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D3504A" w14:textId="77777777" w:rsidR="00DF18A5" w:rsidRDefault="00DF18A5" w:rsidP="00DF18A5">
      <w:pPr>
        <w:spacing w:after="160" w:line="259" w:lineRule="auto"/>
        <w:jc w:val="left"/>
        <w:rPr>
          <w:rFonts w:eastAsiaTheme="majorEastAsia" w:cstheme="majorBidi"/>
          <w:b/>
          <w:sz w:val="36"/>
          <w:szCs w:val="32"/>
        </w:rPr>
      </w:pPr>
      <w:r>
        <w:rPr>
          <w:noProof/>
          <w14:ligatures w14:val="standardContextual"/>
        </w:rPr>
        <w:drawing>
          <wp:inline distT="0" distB="0" distL="0" distR="0" wp14:anchorId="6B92CC43" wp14:editId="79B31741">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02BC2092" w14:textId="77777777" w:rsidR="00DF18A5" w:rsidRDefault="00DF18A5" w:rsidP="00DF18A5">
      <w:pPr>
        <w:spacing w:after="160" w:line="259" w:lineRule="auto"/>
        <w:jc w:val="center"/>
        <w:rPr>
          <w:rFonts w:eastAsiaTheme="majorEastAsia" w:cstheme="majorBidi"/>
          <w:b/>
          <w:sz w:val="36"/>
          <w:szCs w:val="32"/>
        </w:rPr>
      </w:pPr>
    </w:p>
    <w:p w14:paraId="063A33EB" w14:textId="77777777" w:rsidR="00DF18A5" w:rsidRDefault="00DF18A5" w:rsidP="00DF18A5">
      <w:pPr>
        <w:spacing w:after="160" w:line="259" w:lineRule="auto"/>
        <w:jc w:val="center"/>
        <w:rPr>
          <w:rFonts w:eastAsiaTheme="majorEastAsia" w:cstheme="majorBidi"/>
          <w:b/>
          <w:sz w:val="36"/>
          <w:szCs w:val="32"/>
        </w:rPr>
      </w:pPr>
      <w:r w:rsidRPr="00E61304">
        <w:rPr>
          <w:rFonts w:eastAsiaTheme="majorEastAsia" w:cstheme="majorBidi"/>
          <w:b/>
          <w:sz w:val="36"/>
          <w:szCs w:val="32"/>
        </w:rPr>
        <w:t>BSc Health and Social Care</w:t>
      </w:r>
    </w:p>
    <w:p w14:paraId="01E67EAB" w14:textId="77777777" w:rsidR="00DF18A5" w:rsidRDefault="00DF18A5" w:rsidP="00DF18A5">
      <w:pPr>
        <w:spacing w:after="160" w:line="259" w:lineRule="auto"/>
        <w:jc w:val="center"/>
        <w:rPr>
          <w:rFonts w:eastAsiaTheme="majorEastAsia" w:cstheme="majorBidi"/>
          <w:b/>
          <w:sz w:val="36"/>
          <w:szCs w:val="32"/>
        </w:rPr>
      </w:pPr>
      <w:r w:rsidRPr="00E61304">
        <w:rPr>
          <w:rFonts w:eastAsiaTheme="majorEastAsia" w:cstheme="majorBidi"/>
          <w:b/>
          <w:sz w:val="36"/>
          <w:szCs w:val="32"/>
        </w:rPr>
        <w:t>Principles of Health and Social Care Practice</w:t>
      </w:r>
    </w:p>
    <w:p w14:paraId="02960463" w14:textId="77777777" w:rsidR="00DF18A5" w:rsidRDefault="00DF18A5" w:rsidP="00DF18A5">
      <w:pPr>
        <w:spacing w:after="160" w:line="259" w:lineRule="auto"/>
        <w:jc w:val="center"/>
        <w:rPr>
          <w:rFonts w:eastAsiaTheme="majorEastAsia" w:cstheme="majorBidi"/>
          <w:b/>
          <w:sz w:val="36"/>
          <w:szCs w:val="32"/>
        </w:rPr>
      </w:pPr>
      <w:r w:rsidRPr="00E61304">
        <w:rPr>
          <w:rFonts w:eastAsiaTheme="majorEastAsia" w:cstheme="majorBidi"/>
          <w:b/>
          <w:sz w:val="36"/>
          <w:szCs w:val="32"/>
        </w:rPr>
        <w:t>BMHP5016</w:t>
      </w:r>
    </w:p>
    <w:p w14:paraId="5032FCDF" w14:textId="77777777" w:rsidR="00DF18A5" w:rsidRDefault="00DF18A5" w:rsidP="00DF18A5">
      <w:pPr>
        <w:spacing w:after="160" w:line="259" w:lineRule="auto"/>
        <w:jc w:val="center"/>
        <w:rPr>
          <w:rFonts w:eastAsiaTheme="majorEastAsia" w:cstheme="majorBidi"/>
          <w:b/>
          <w:sz w:val="36"/>
          <w:szCs w:val="32"/>
        </w:rPr>
      </w:pPr>
    </w:p>
    <w:p w14:paraId="4F1BD5B5" w14:textId="77777777" w:rsidR="00DF18A5" w:rsidRDefault="00DF18A5" w:rsidP="00DF18A5">
      <w:pPr>
        <w:spacing w:after="160" w:line="259" w:lineRule="auto"/>
        <w:jc w:val="center"/>
        <w:rPr>
          <w:rFonts w:eastAsiaTheme="majorEastAsia" w:cstheme="majorBidi"/>
          <w:b/>
          <w:sz w:val="36"/>
          <w:szCs w:val="32"/>
        </w:rPr>
      </w:pPr>
    </w:p>
    <w:p w14:paraId="79E25A84" w14:textId="79807D4B" w:rsidR="00DF18A5" w:rsidRDefault="00DF18A5" w:rsidP="00DF18A5">
      <w:pPr>
        <w:spacing w:after="160" w:line="259" w:lineRule="auto"/>
        <w:jc w:val="center"/>
        <w:rPr>
          <w:rFonts w:eastAsiaTheme="majorEastAsia" w:cstheme="majorBidi"/>
          <w:b/>
          <w:sz w:val="36"/>
          <w:szCs w:val="32"/>
        </w:rPr>
      </w:pPr>
      <w:r w:rsidRPr="00E61304">
        <w:rPr>
          <w:rFonts w:eastAsiaTheme="majorEastAsia" w:cstheme="majorBidi"/>
          <w:b/>
          <w:sz w:val="36"/>
          <w:szCs w:val="32"/>
        </w:rPr>
        <w:t xml:space="preserve">Component </w:t>
      </w:r>
      <w:r w:rsidR="00E53371">
        <w:rPr>
          <w:rFonts w:eastAsiaTheme="majorEastAsia" w:cstheme="majorBidi"/>
          <w:b/>
          <w:sz w:val="36"/>
          <w:szCs w:val="32"/>
        </w:rPr>
        <w:t>2</w:t>
      </w:r>
    </w:p>
    <w:p w14:paraId="7BB76B04" w14:textId="77777777" w:rsidR="00DF18A5" w:rsidRDefault="00DF18A5" w:rsidP="00DF18A5">
      <w:pPr>
        <w:spacing w:after="160" w:line="259" w:lineRule="auto"/>
        <w:jc w:val="center"/>
        <w:rPr>
          <w:rFonts w:eastAsiaTheme="majorEastAsia" w:cstheme="majorBidi"/>
          <w:b/>
          <w:sz w:val="36"/>
          <w:szCs w:val="32"/>
        </w:rPr>
      </w:pPr>
      <w:r w:rsidRPr="00E61304">
        <w:rPr>
          <w:rFonts w:eastAsiaTheme="majorEastAsia" w:cstheme="majorBidi"/>
          <w:b/>
          <w:sz w:val="36"/>
          <w:szCs w:val="32"/>
        </w:rPr>
        <w:t xml:space="preserve">Written Assignment </w:t>
      </w:r>
    </w:p>
    <w:p w14:paraId="46917C67" w14:textId="5153AD57" w:rsidR="00DF18A5" w:rsidRDefault="00DF18A5" w:rsidP="00DF18A5">
      <w:pPr>
        <w:spacing w:after="160" w:line="259" w:lineRule="auto"/>
        <w:jc w:val="center"/>
        <w:rPr>
          <w:rFonts w:eastAsiaTheme="majorEastAsia" w:cstheme="majorBidi"/>
          <w:b/>
          <w:bCs/>
          <w:sz w:val="36"/>
          <w:szCs w:val="32"/>
        </w:rPr>
      </w:pPr>
      <w:r w:rsidRPr="00E61304">
        <w:rPr>
          <w:rFonts w:eastAsiaTheme="majorEastAsia" w:cstheme="majorBidi"/>
          <w:b/>
          <w:sz w:val="36"/>
          <w:szCs w:val="32"/>
        </w:rPr>
        <w:t>(</w:t>
      </w:r>
      <w:r w:rsidRPr="00E61304">
        <w:rPr>
          <w:rFonts w:eastAsiaTheme="majorEastAsia" w:cstheme="majorBidi"/>
          <w:b/>
          <w:bCs/>
          <w:sz w:val="36"/>
          <w:szCs w:val="32"/>
        </w:rPr>
        <w:t>Report)</w:t>
      </w:r>
    </w:p>
    <w:p w14:paraId="565E5050" w14:textId="77777777" w:rsidR="00DF18A5" w:rsidRDefault="00DF18A5" w:rsidP="00DF18A5">
      <w:pPr>
        <w:spacing w:after="160" w:line="259" w:lineRule="auto"/>
        <w:jc w:val="center"/>
        <w:rPr>
          <w:rFonts w:eastAsiaTheme="majorEastAsia" w:cstheme="majorBidi"/>
          <w:b/>
          <w:bCs/>
          <w:sz w:val="36"/>
          <w:szCs w:val="32"/>
        </w:rPr>
      </w:pPr>
    </w:p>
    <w:p w14:paraId="7B3BDF2E" w14:textId="77777777" w:rsidR="00DF18A5" w:rsidRDefault="00DF18A5" w:rsidP="00DF18A5">
      <w:pPr>
        <w:spacing w:after="160" w:line="259" w:lineRule="auto"/>
        <w:jc w:val="center"/>
        <w:rPr>
          <w:rFonts w:eastAsiaTheme="majorEastAsia" w:cstheme="majorBidi"/>
          <w:b/>
          <w:bCs/>
          <w:sz w:val="36"/>
          <w:szCs w:val="32"/>
        </w:rPr>
      </w:pPr>
    </w:p>
    <w:p w14:paraId="42EDEAE9" w14:textId="77777777" w:rsidR="00DF18A5" w:rsidRDefault="00DF18A5" w:rsidP="00DF18A5">
      <w:pPr>
        <w:spacing w:after="160" w:line="259" w:lineRule="auto"/>
        <w:jc w:val="center"/>
        <w:rPr>
          <w:rFonts w:eastAsiaTheme="majorEastAsia" w:cstheme="majorBidi"/>
          <w:b/>
          <w:bCs/>
          <w:sz w:val="36"/>
          <w:szCs w:val="32"/>
        </w:rPr>
      </w:pPr>
    </w:p>
    <w:p w14:paraId="3C59C895" w14:textId="77777777" w:rsidR="00DF18A5" w:rsidRDefault="00DF18A5" w:rsidP="00DF18A5">
      <w:pPr>
        <w:spacing w:after="160" w:line="259" w:lineRule="auto"/>
        <w:jc w:val="center"/>
        <w:rPr>
          <w:rFonts w:eastAsiaTheme="majorEastAsia" w:cstheme="majorBidi"/>
          <w:b/>
          <w:bCs/>
          <w:sz w:val="36"/>
          <w:szCs w:val="32"/>
        </w:rPr>
      </w:pPr>
    </w:p>
    <w:p w14:paraId="5B70D119" w14:textId="0DCA6978" w:rsidR="00DF18A5" w:rsidRDefault="00DF18A5" w:rsidP="00DF18A5">
      <w:pPr>
        <w:spacing w:after="160" w:line="259" w:lineRule="auto"/>
        <w:jc w:val="center"/>
        <w:rPr>
          <w:rFonts w:eastAsiaTheme="majorEastAsia" w:cstheme="majorBidi"/>
          <w:b/>
          <w:bCs/>
          <w:sz w:val="36"/>
          <w:szCs w:val="32"/>
        </w:rPr>
      </w:pPr>
      <w:r>
        <w:rPr>
          <w:rFonts w:eastAsiaTheme="majorEastAsia" w:cstheme="majorBidi"/>
          <w:b/>
          <w:bCs/>
          <w:sz w:val="36"/>
          <w:szCs w:val="32"/>
        </w:rPr>
        <w:t>Student ID:</w:t>
      </w:r>
      <w:r w:rsidR="009A2CDD">
        <w:rPr>
          <w:rFonts w:eastAsiaTheme="majorEastAsia" w:cstheme="majorBidi"/>
          <w:b/>
          <w:bCs/>
          <w:sz w:val="36"/>
          <w:szCs w:val="32"/>
        </w:rPr>
        <w:t xml:space="preserve"> 2409581</w:t>
      </w:r>
    </w:p>
    <w:p w14:paraId="1212852D" w14:textId="2CC61D6A" w:rsidR="00DF18A5" w:rsidRDefault="00DF18A5" w:rsidP="00DF18A5">
      <w:pPr>
        <w:spacing w:after="160" w:line="259" w:lineRule="auto"/>
        <w:jc w:val="center"/>
        <w:rPr>
          <w:rFonts w:eastAsiaTheme="majorEastAsia" w:cstheme="majorBidi"/>
          <w:b/>
          <w:bCs/>
          <w:sz w:val="36"/>
          <w:szCs w:val="32"/>
        </w:rPr>
      </w:pPr>
      <w:r>
        <w:rPr>
          <w:rFonts w:eastAsiaTheme="majorEastAsia" w:cstheme="majorBidi"/>
          <w:b/>
          <w:bCs/>
          <w:sz w:val="36"/>
          <w:szCs w:val="32"/>
        </w:rPr>
        <w:t>Student Name:</w:t>
      </w:r>
      <w:r w:rsidR="009A2CDD">
        <w:rPr>
          <w:rFonts w:eastAsiaTheme="majorEastAsia" w:cstheme="majorBidi"/>
          <w:b/>
          <w:bCs/>
          <w:sz w:val="36"/>
          <w:szCs w:val="32"/>
        </w:rPr>
        <w:t xml:space="preserve"> Andreea </w:t>
      </w:r>
      <w:proofErr w:type="spellStart"/>
      <w:r w:rsidR="009A2CDD">
        <w:rPr>
          <w:rFonts w:eastAsiaTheme="majorEastAsia" w:cstheme="majorBidi"/>
          <w:b/>
          <w:bCs/>
          <w:sz w:val="36"/>
          <w:szCs w:val="32"/>
        </w:rPr>
        <w:t>Talmaciu</w:t>
      </w:r>
      <w:proofErr w:type="spellEnd"/>
    </w:p>
    <w:p w14:paraId="2532921B" w14:textId="0C7202EB" w:rsidR="00283BB5" w:rsidRDefault="00283BB5" w:rsidP="00DF18A5">
      <w:pPr>
        <w:spacing w:after="160" w:line="259" w:lineRule="auto"/>
        <w:jc w:val="center"/>
        <w:rPr>
          <w:rFonts w:eastAsiaTheme="majorEastAsia" w:cstheme="majorBidi"/>
          <w:b/>
          <w:bCs/>
          <w:sz w:val="36"/>
          <w:szCs w:val="32"/>
        </w:rPr>
      </w:pPr>
    </w:p>
    <w:p w14:paraId="76F4B07A" w14:textId="77777777" w:rsidR="00283BB5" w:rsidRDefault="00283BB5">
      <w:pPr>
        <w:spacing w:after="160" w:line="259" w:lineRule="auto"/>
        <w:jc w:val="left"/>
        <w:rPr>
          <w:rFonts w:eastAsiaTheme="majorEastAsia" w:cstheme="majorBidi"/>
          <w:b/>
          <w:bCs/>
          <w:sz w:val="36"/>
          <w:szCs w:val="32"/>
        </w:rPr>
      </w:pPr>
      <w:r>
        <w:rPr>
          <w:rFonts w:eastAsiaTheme="majorEastAsia" w:cstheme="majorBidi"/>
          <w:b/>
          <w:bCs/>
          <w:sz w:val="36"/>
          <w:szCs w:val="32"/>
        </w:rPr>
        <w:br w:type="page"/>
      </w:r>
    </w:p>
    <w:p w14:paraId="7AC05E82" w14:textId="77777777" w:rsidR="00283BB5" w:rsidRPr="00283BB5" w:rsidRDefault="00283BB5" w:rsidP="00283BB5">
      <w:pPr>
        <w:pStyle w:val="Heading1"/>
      </w:pPr>
      <w:bookmarkStart w:id="0" w:name="_Toc210741338"/>
      <w:r w:rsidRPr="00283BB5">
        <w:lastRenderedPageBreak/>
        <w:t>Abstract</w:t>
      </w:r>
      <w:bookmarkEnd w:id="0"/>
    </w:p>
    <w:p w14:paraId="40F69AD6" w14:textId="17B0B6E3" w:rsidR="00283BB5" w:rsidRPr="00283BB5" w:rsidRDefault="00F11367" w:rsidP="00283BB5">
      <w:pPr>
        <w:rPr>
          <w:lang w:val="en-US"/>
        </w:rPr>
      </w:pPr>
      <w:r w:rsidRPr="00507448">
        <w:rPr>
          <w:lang w:val="en-US"/>
        </w:rPr>
        <w:t xml:space="preserve">This report offers a critical analysis of person-centred care (PCC) and partnership working (PW) in UK health and social care. It defines PCC, analysing the benefits to patient outcomes and limitations with respect to the resource constraints and challenges of implementation. The Social Model of Disability is critically analysed as a core theory which redefines disability as a result of societal barriers instead of individual impairment, therefore supporting the use of a PCC approach. The report also examines the fundamental ethical principles of autonomy, beneficence, non-maleficence and justice with their practical application. </w:t>
      </w:r>
      <w:r w:rsidRPr="00507448">
        <w:t>It evaluates the role that PW has in the delivery of integrated care in terms of such systems as Integrated Care Systems (ICSs), whilst noting the issues, including professional tribalism. The critical analysis is pegged on pertinent policy and legislation, including the Care Act 2014 and Health and Care Act 2022, which demonstrate how they necessitate a change towards personalised and collaborative practice. The report uses the case study of a Personal Health Budget (PHB), which operationalises these concepts, transforming the case of a Personal Health Budget of a client named Robyn. Lastly, recommendations are also presented based on evidence, which consists of digital empowerment, co-production, workforce development and simplified ICS processes to enhance the future of PCC and PW in the UK</w:t>
      </w:r>
      <w:r w:rsidR="00283BB5" w:rsidRPr="00283BB5">
        <w:rPr>
          <w:lang w:val="en-US"/>
        </w:rPr>
        <w:t>.</w:t>
      </w:r>
    </w:p>
    <w:p w14:paraId="6B8BC1B2" w14:textId="566EE283" w:rsidR="00DF18A5" w:rsidRDefault="00DF18A5" w:rsidP="00283BB5">
      <w:pPr>
        <w:rPr>
          <w:lang w:val="en-IN"/>
        </w:rPr>
      </w:pPr>
      <w:r>
        <w:rPr>
          <w:lang w:val="en-IN"/>
        </w:rPr>
        <w:br w:type="page"/>
      </w:r>
    </w:p>
    <w:sdt>
      <w:sdtPr>
        <w:rPr>
          <w:rFonts w:ascii="Arial" w:eastAsiaTheme="minorHAnsi" w:hAnsi="Arial" w:cstheme="minorBidi"/>
          <w:color w:val="000000" w:themeColor="text1"/>
          <w:sz w:val="24"/>
          <w:lang w:val="en-GB" w:bidi="ar-SA"/>
        </w:rPr>
        <w:id w:val="1799943523"/>
        <w:docPartObj>
          <w:docPartGallery w:val="Table of Contents"/>
          <w:docPartUnique/>
        </w:docPartObj>
      </w:sdtPr>
      <w:sdtEndPr>
        <w:rPr>
          <w:b/>
          <w:bCs/>
          <w:sz w:val="22"/>
        </w:rPr>
      </w:sdtEndPr>
      <w:sdtContent>
        <w:p w14:paraId="5947979B" w14:textId="6844E223" w:rsidR="00F45900" w:rsidRPr="00F45900" w:rsidRDefault="00F45900">
          <w:pPr>
            <w:pStyle w:val="TOCHeading"/>
            <w:rPr>
              <w:rFonts w:asciiTheme="majorBidi" w:hAnsiTheme="majorBidi"/>
              <w:b/>
              <w:bCs/>
              <w:color w:val="000000" w:themeColor="text1"/>
            </w:rPr>
          </w:pPr>
          <w:r w:rsidRPr="00F45900">
            <w:rPr>
              <w:rFonts w:asciiTheme="majorBidi" w:hAnsiTheme="majorBidi"/>
              <w:b/>
              <w:bCs/>
              <w:color w:val="000000" w:themeColor="text1"/>
              <w:lang w:val="en-GB"/>
            </w:rPr>
            <w:t>Table of Contents</w:t>
          </w:r>
        </w:p>
        <w:p w14:paraId="013F5B34" w14:textId="7F36A953" w:rsidR="00037B6B" w:rsidRDefault="00F45900">
          <w:pPr>
            <w:pStyle w:val="TOC1"/>
            <w:tabs>
              <w:tab w:val="right" w:leader="dot" w:pos="9016"/>
            </w:tabs>
            <w:rPr>
              <w:rFonts w:asciiTheme="minorHAnsi" w:eastAsiaTheme="minorEastAsia" w:hAnsiTheme="minorHAnsi"/>
              <w:noProof/>
              <w:color w:val="auto"/>
              <w:kern w:val="2"/>
              <w:sz w:val="24"/>
              <w:szCs w:val="24"/>
              <w:lang w:val="en-IN" w:eastAsia="en-IN"/>
              <w14:ligatures w14:val="standardContextual"/>
            </w:rPr>
          </w:pPr>
          <w:r>
            <w:fldChar w:fldCharType="begin"/>
          </w:r>
          <w:r>
            <w:instrText xml:space="preserve"> TOC \o "1-3" \h \z \u </w:instrText>
          </w:r>
          <w:r>
            <w:fldChar w:fldCharType="separate"/>
          </w:r>
          <w:hyperlink w:anchor="_Toc210741338" w:history="1">
            <w:r w:rsidR="00037B6B" w:rsidRPr="00840986">
              <w:rPr>
                <w:rStyle w:val="Hyperlink"/>
                <w:noProof/>
              </w:rPr>
              <w:t>Abstract</w:t>
            </w:r>
            <w:r w:rsidR="00037B6B">
              <w:rPr>
                <w:noProof/>
                <w:webHidden/>
              </w:rPr>
              <w:tab/>
            </w:r>
            <w:r w:rsidR="00037B6B">
              <w:rPr>
                <w:noProof/>
                <w:webHidden/>
              </w:rPr>
              <w:fldChar w:fldCharType="begin"/>
            </w:r>
            <w:r w:rsidR="00037B6B">
              <w:rPr>
                <w:noProof/>
                <w:webHidden/>
              </w:rPr>
              <w:instrText xml:space="preserve"> PAGEREF _Toc210741338 \h </w:instrText>
            </w:r>
            <w:r w:rsidR="00037B6B">
              <w:rPr>
                <w:noProof/>
                <w:webHidden/>
              </w:rPr>
            </w:r>
            <w:r w:rsidR="00037B6B">
              <w:rPr>
                <w:noProof/>
                <w:webHidden/>
              </w:rPr>
              <w:fldChar w:fldCharType="separate"/>
            </w:r>
            <w:r w:rsidR="00037B6B">
              <w:rPr>
                <w:noProof/>
                <w:webHidden/>
              </w:rPr>
              <w:t>2</w:t>
            </w:r>
            <w:r w:rsidR="00037B6B">
              <w:rPr>
                <w:noProof/>
                <w:webHidden/>
              </w:rPr>
              <w:fldChar w:fldCharType="end"/>
            </w:r>
          </w:hyperlink>
        </w:p>
        <w:p w14:paraId="769A8A84" w14:textId="0D85575C" w:rsidR="00037B6B" w:rsidRDefault="00037B6B">
          <w:pPr>
            <w:pStyle w:val="TOC1"/>
            <w:tabs>
              <w:tab w:val="right" w:leader="dot" w:pos="9016"/>
            </w:tabs>
            <w:rPr>
              <w:rFonts w:asciiTheme="minorHAnsi" w:eastAsiaTheme="minorEastAsia" w:hAnsiTheme="minorHAnsi"/>
              <w:noProof/>
              <w:color w:val="auto"/>
              <w:kern w:val="2"/>
              <w:sz w:val="24"/>
              <w:szCs w:val="24"/>
              <w:lang w:val="en-IN" w:eastAsia="en-IN"/>
              <w14:ligatures w14:val="standardContextual"/>
            </w:rPr>
          </w:pPr>
          <w:hyperlink w:anchor="_Toc210741339" w:history="1">
            <w:r w:rsidRPr="00840986">
              <w:rPr>
                <w:rStyle w:val="Hyperlink"/>
                <w:noProof/>
              </w:rPr>
              <w:t>Introduction</w:t>
            </w:r>
            <w:r>
              <w:rPr>
                <w:noProof/>
                <w:webHidden/>
              </w:rPr>
              <w:tab/>
            </w:r>
            <w:r>
              <w:rPr>
                <w:noProof/>
                <w:webHidden/>
              </w:rPr>
              <w:fldChar w:fldCharType="begin"/>
            </w:r>
            <w:r>
              <w:rPr>
                <w:noProof/>
                <w:webHidden/>
              </w:rPr>
              <w:instrText xml:space="preserve"> PAGEREF _Toc210741339 \h </w:instrText>
            </w:r>
            <w:r>
              <w:rPr>
                <w:noProof/>
                <w:webHidden/>
              </w:rPr>
            </w:r>
            <w:r>
              <w:rPr>
                <w:noProof/>
                <w:webHidden/>
              </w:rPr>
              <w:fldChar w:fldCharType="separate"/>
            </w:r>
            <w:r>
              <w:rPr>
                <w:noProof/>
                <w:webHidden/>
              </w:rPr>
              <w:t>4</w:t>
            </w:r>
            <w:r>
              <w:rPr>
                <w:noProof/>
                <w:webHidden/>
              </w:rPr>
              <w:fldChar w:fldCharType="end"/>
            </w:r>
          </w:hyperlink>
        </w:p>
        <w:p w14:paraId="21C0E5BD" w14:textId="5CC905B4" w:rsidR="00037B6B" w:rsidRDefault="00037B6B">
          <w:pPr>
            <w:pStyle w:val="TOC1"/>
            <w:tabs>
              <w:tab w:val="right" w:leader="dot" w:pos="9016"/>
            </w:tabs>
            <w:rPr>
              <w:rFonts w:asciiTheme="minorHAnsi" w:eastAsiaTheme="minorEastAsia" w:hAnsiTheme="minorHAnsi"/>
              <w:noProof/>
              <w:color w:val="auto"/>
              <w:kern w:val="2"/>
              <w:sz w:val="24"/>
              <w:szCs w:val="24"/>
              <w:lang w:val="en-IN" w:eastAsia="en-IN"/>
              <w14:ligatures w14:val="standardContextual"/>
            </w:rPr>
          </w:pPr>
          <w:hyperlink w:anchor="_Toc210741340" w:history="1">
            <w:r w:rsidRPr="00840986">
              <w:rPr>
                <w:rStyle w:val="Hyperlink"/>
                <w:noProof/>
              </w:rPr>
              <w:t>Definition and Analysis of Person-Centred Care</w:t>
            </w:r>
            <w:r>
              <w:rPr>
                <w:noProof/>
                <w:webHidden/>
              </w:rPr>
              <w:tab/>
            </w:r>
            <w:r>
              <w:rPr>
                <w:noProof/>
                <w:webHidden/>
              </w:rPr>
              <w:fldChar w:fldCharType="begin"/>
            </w:r>
            <w:r>
              <w:rPr>
                <w:noProof/>
                <w:webHidden/>
              </w:rPr>
              <w:instrText xml:space="preserve"> PAGEREF _Toc210741340 \h </w:instrText>
            </w:r>
            <w:r>
              <w:rPr>
                <w:noProof/>
                <w:webHidden/>
              </w:rPr>
            </w:r>
            <w:r>
              <w:rPr>
                <w:noProof/>
                <w:webHidden/>
              </w:rPr>
              <w:fldChar w:fldCharType="separate"/>
            </w:r>
            <w:r>
              <w:rPr>
                <w:noProof/>
                <w:webHidden/>
              </w:rPr>
              <w:t>5</w:t>
            </w:r>
            <w:r>
              <w:rPr>
                <w:noProof/>
                <w:webHidden/>
              </w:rPr>
              <w:fldChar w:fldCharType="end"/>
            </w:r>
          </w:hyperlink>
        </w:p>
        <w:p w14:paraId="003A4560" w14:textId="630E52F2" w:rsidR="00037B6B" w:rsidRDefault="00037B6B">
          <w:pPr>
            <w:pStyle w:val="TOC1"/>
            <w:tabs>
              <w:tab w:val="right" w:leader="dot" w:pos="9016"/>
            </w:tabs>
            <w:rPr>
              <w:rFonts w:asciiTheme="minorHAnsi" w:eastAsiaTheme="minorEastAsia" w:hAnsiTheme="minorHAnsi"/>
              <w:noProof/>
              <w:color w:val="auto"/>
              <w:kern w:val="2"/>
              <w:sz w:val="24"/>
              <w:szCs w:val="24"/>
              <w:lang w:val="en-IN" w:eastAsia="en-IN"/>
              <w14:ligatures w14:val="standardContextual"/>
            </w:rPr>
          </w:pPr>
          <w:hyperlink w:anchor="_Toc210741341" w:history="1">
            <w:r w:rsidRPr="00840986">
              <w:rPr>
                <w:rStyle w:val="Hyperlink"/>
                <w:noProof/>
              </w:rPr>
              <w:t>A Relevant Theory: The Social Model of Health</w:t>
            </w:r>
            <w:r>
              <w:rPr>
                <w:noProof/>
                <w:webHidden/>
              </w:rPr>
              <w:tab/>
            </w:r>
            <w:r>
              <w:rPr>
                <w:noProof/>
                <w:webHidden/>
              </w:rPr>
              <w:fldChar w:fldCharType="begin"/>
            </w:r>
            <w:r>
              <w:rPr>
                <w:noProof/>
                <w:webHidden/>
              </w:rPr>
              <w:instrText xml:space="preserve"> PAGEREF _Toc210741341 \h </w:instrText>
            </w:r>
            <w:r>
              <w:rPr>
                <w:noProof/>
                <w:webHidden/>
              </w:rPr>
            </w:r>
            <w:r>
              <w:rPr>
                <w:noProof/>
                <w:webHidden/>
              </w:rPr>
              <w:fldChar w:fldCharType="separate"/>
            </w:r>
            <w:r>
              <w:rPr>
                <w:noProof/>
                <w:webHidden/>
              </w:rPr>
              <w:t>5</w:t>
            </w:r>
            <w:r>
              <w:rPr>
                <w:noProof/>
                <w:webHidden/>
              </w:rPr>
              <w:fldChar w:fldCharType="end"/>
            </w:r>
          </w:hyperlink>
        </w:p>
        <w:p w14:paraId="568432D0" w14:textId="4CE9AADB" w:rsidR="00037B6B" w:rsidRDefault="00037B6B">
          <w:pPr>
            <w:pStyle w:val="TOC1"/>
            <w:tabs>
              <w:tab w:val="right" w:leader="dot" w:pos="9016"/>
            </w:tabs>
            <w:rPr>
              <w:rFonts w:asciiTheme="minorHAnsi" w:eastAsiaTheme="minorEastAsia" w:hAnsiTheme="minorHAnsi"/>
              <w:noProof/>
              <w:color w:val="auto"/>
              <w:kern w:val="2"/>
              <w:sz w:val="24"/>
              <w:szCs w:val="24"/>
              <w:lang w:val="en-IN" w:eastAsia="en-IN"/>
              <w14:ligatures w14:val="standardContextual"/>
            </w:rPr>
          </w:pPr>
          <w:hyperlink w:anchor="_Toc210741342" w:history="1">
            <w:r w:rsidRPr="00840986">
              <w:rPr>
                <w:rStyle w:val="Hyperlink"/>
                <w:noProof/>
              </w:rPr>
              <w:t>Ethical Fundamentals in Health and Social Care</w:t>
            </w:r>
            <w:r>
              <w:rPr>
                <w:noProof/>
                <w:webHidden/>
              </w:rPr>
              <w:tab/>
            </w:r>
            <w:r>
              <w:rPr>
                <w:noProof/>
                <w:webHidden/>
              </w:rPr>
              <w:fldChar w:fldCharType="begin"/>
            </w:r>
            <w:r>
              <w:rPr>
                <w:noProof/>
                <w:webHidden/>
              </w:rPr>
              <w:instrText xml:space="preserve"> PAGEREF _Toc210741342 \h </w:instrText>
            </w:r>
            <w:r>
              <w:rPr>
                <w:noProof/>
                <w:webHidden/>
              </w:rPr>
            </w:r>
            <w:r>
              <w:rPr>
                <w:noProof/>
                <w:webHidden/>
              </w:rPr>
              <w:fldChar w:fldCharType="separate"/>
            </w:r>
            <w:r>
              <w:rPr>
                <w:noProof/>
                <w:webHidden/>
              </w:rPr>
              <w:t>6</w:t>
            </w:r>
            <w:r>
              <w:rPr>
                <w:noProof/>
                <w:webHidden/>
              </w:rPr>
              <w:fldChar w:fldCharType="end"/>
            </w:r>
          </w:hyperlink>
        </w:p>
        <w:p w14:paraId="289E4595" w14:textId="7C5E871F" w:rsidR="00037B6B" w:rsidRDefault="00037B6B">
          <w:pPr>
            <w:pStyle w:val="TOC1"/>
            <w:tabs>
              <w:tab w:val="right" w:leader="dot" w:pos="9016"/>
            </w:tabs>
            <w:rPr>
              <w:rFonts w:asciiTheme="minorHAnsi" w:eastAsiaTheme="minorEastAsia" w:hAnsiTheme="minorHAnsi"/>
              <w:noProof/>
              <w:color w:val="auto"/>
              <w:kern w:val="2"/>
              <w:sz w:val="24"/>
              <w:szCs w:val="24"/>
              <w:lang w:val="en-IN" w:eastAsia="en-IN"/>
              <w14:ligatures w14:val="standardContextual"/>
            </w:rPr>
          </w:pPr>
          <w:hyperlink w:anchor="_Toc210741343" w:history="1">
            <w:r w:rsidRPr="00840986">
              <w:rPr>
                <w:rStyle w:val="Hyperlink"/>
                <w:noProof/>
              </w:rPr>
              <w:t>Evaluation of Partnership Working</w:t>
            </w:r>
            <w:r>
              <w:rPr>
                <w:noProof/>
                <w:webHidden/>
              </w:rPr>
              <w:tab/>
            </w:r>
            <w:r>
              <w:rPr>
                <w:noProof/>
                <w:webHidden/>
              </w:rPr>
              <w:fldChar w:fldCharType="begin"/>
            </w:r>
            <w:r>
              <w:rPr>
                <w:noProof/>
                <w:webHidden/>
              </w:rPr>
              <w:instrText xml:space="preserve"> PAGEREF _Toc210741343 \h </w:instrText>
            </w:r>
            <w:r>
              <w:rPr>
                <w:noProof/>
                <w:webHidden/>
              </w:rPr>
            </w:r>
            <w:r>
              <w:rPr>
                <w:noProof/>
                <w:webHidden/>
              </w:rPr>
              <w:fldChar w:fldCharType="separate"/>
            </w:r>
            <w:r>
              <w:rPr>
                <w:noProof/>
                <w:webHidden/>
              </w:rPr>
              <w:t>7</w:t>
            </w:r>
            <w:r>
              <w:rPr>
                <w:noProof/>
                <w:webHidden/>
              </w:rPr>
              <w:fldChar w:fldCharType="end"/>
            </w:r>
          </w:hyperlink>
        </w:p>
        <w:p w14:paraId="5AE03C32" w14:textId="387E1041" w:rsidR="00037B6B" w:rsidRDefault="00037B6B">
          <w:pPr>
            <w:pStyle w:val="TOC1"/>
            <w:tabs>
              <w:tab w:val="right" w:leader="dot" w:pos="9016"/>
            </w:tabs>
            <w:rPr>
              <w:rFonts w:asciiTheme="minorHAnsi" w:eastAsiaTheme="minorEastAsia" w:hAnsiTheme="minorHAnsi"/>
              <w:noProof/>
              <w:color w:val="auto"/>
              <w:kern w:val="2"/>
              <w:sz w:val="24"/>
              <w:szCs w:val="24"/>
              <w:lang w:val="en-IN" w:eastAsia="en-IN"/>
              <w14:ligatures w14:val="standardContextual"/>
            </w:rPr>
          </w:pPr>
          <w:hyperlink w:anchor="_Toc210741344" w:history="1">
            <w:r w:rsidRPr="00840986">
              <w:rPr>
                <w:rStyle w:val="Hyperlink"/>
                <w:noProof/>
              </w:rPr>
              <w:t>The Role of Policy and Legislation</w:t>
            </w:r>
            <w:r>
              <w:rPr>
                <w:noProof/>
                <w:webHidden/>
              </w:rPr>
              <w:tab/>
            </w:r>
            <w:r>
              <w:rPr>
                <w:noProof/>
                <w:webHidden/>
              </w:rPr>
              <w:fldChar w:fldCharType="begin"/>
            </w:r>
            <w:r>
              <w:rPr>
                <w:noProof/>
                <w:webHidden/>
              </w:rPr>
              <w:instrText xml:space="preserve"> PAGEREF _Toc210741344 \h </w:instrText>
            </w:r>
            <w:r>
              <w:rPr>
                <w:noProof/>
                <w:webHidden/>
              </w:rPr>
            </w:r>
            <w:r>
              <w:rPr>
                <w:noProof/>
                <w:webHidden/>
              </w:rPr>
              <w:fldChar w:fldCharType="separate"/>
            </w:r>
            <w:r>
              <w:rPr>
                <w:noProof/>
                <w:webHidden/>
              </w:rPr>
              <w:t>8</w:t>
            </w:r>
            <w:r>
              <w:rPr>
                <w:noProof/>
                <w:webHidden/>
              </w:rPr>
              <w:fldChar w:fldCharType="end"/>
            </w:r>
          </w:hyperlink>
        </w:p>
        <w:p w14:paraId="6772268C" w14:textId="27235A5C" w:rsidR="00037B6B" w:rsidRDefault="00037B6B">
          <w:pPr>
            <w:pStyle w:val="TOC1"/>
            <w:tabs>
              <w:tab w:val="right" w:leader="dot" w:pos="9016"/>
            </w:tabs>
            <w:rPr>
              <w:rFonts w:asciiTheme="minorHAnsi" w:eastAsiaTheme="minorEastAsia" w:hAnsiTheme="minorHAnsi"/>
              <w:noProof/>
              <w:color w:val="auto"/>
              <w:kern w:val="2"/>
              <w:sz w:val="24"/>
              <w:szCs w:val="24"/>
              <w:lang w:val="en-IN" w:eastAsia="en-IN"/>
              <w14:ligatures w14:val="standardContextual"/>
            </w:rPr>
          </w:pPr>
          <w:hyperlink w:anchor="_Toc210741345" w:history="1">
            <w:r w:rsidRPr="00840986">
              <w:rPr>
                <w:rStyle w:val="Hyperlink"/>
                <w:noProof/>
              </w:rPr>
              <w:t>Recommendations for Future Development</w:t>
            </w:r>
            <w:r>
              <w:rPr>
                <w:noProof/>
                <w:webHidden/>
              </w:rPr>
              <w:tab/>
            </w:r>
            <w:r>
              <w:rPr>
                <w:noProof/>
                <w:webHidden/>
              </w:rPr>
              <w:fldChar w:fldCharType="begin"/>
            </w:r>
            <w:r>
              <w:rPr>
                <w:noProof/>
                <w:webHidden/>
              </w:rPr>
              <w:instrText xml:space="preserve"> PAGEREF _Toc210741345 \h </w:instrText>
            </w:r>
            <w:r>
              <w:rPr>
                <w:noProof/>
                <w:webHidden/>
              </w:rPr>
            </w:r>
            <w:r>
              <w:rPr>
                <w:noProof/>
                <w:webHidden/>
              </w:rPr>
              <w:fldChar w:fldCharType="separate"/>
            </w:r>
            <w:r>
              <w:rPr>
                <w:noProof/>
                <w:webHidden/>
              </w:rPr>
              <w:t>8</w:t>
            </w:r>
            <w:r>
              <w:rPr>
                <w:noProof/>
                <w:webHidden/>
              </w:rPr>
              <w:fldChar w:fldCharType="end"/>
            </w:r>
          </w:hyperlink>
        </w:p>
        <w:p w14:paraId="213DC7A4" w14:textId="616925AD" w:rsidR="00037B6B" w:rsidRDefault="00037B6B">
          <w:pPr>
            <w:pStyle w:val="TOC1"/>
            <w:tabs>
              <w:tab w:val="right" w:leader="dot" w:pos="9016"/>
            </w:tabs>
            <w:rPr>
              <w:rFonts w:asciiTheme="minorHAnsi" w:eastAsiaTheme="minorEastAsia" w:hAnsiTheme="minorHAnsi"/>
              <w:noProof/>
              <w:color w:val="auto"/>
              <w:kern w:val="2"/>
              <w:sz w:val="24"/>
              <w:szCs w:val="24"/>
              <w:lang w:val="en-IN" w:eastAsia="en-IN"/>
              <w14:ligatures w14:val="standardContextual"/>
            </w:rPr>
          </w:pPr>
          <w:hyperlink w:anchor="_Toc210741346" w:history="1">
            <w:r w:rsidRPr="00840986">
              <w:rPr>
                <w:rStyle w:val="Hyperlink"/>
                <w:noProof/>
              </w:rPr>
              <w:t>Conclusion</w:t>
            </w:r>
            <w:r>
              <w:rPr>
                <w:noProof/>
                <w:webHidden/>
              </w:rPr>
              <w:tab/>
            </w:r>
            <w:r>
              <w:rPr>
                <w:noProof/>
                <w:webHidden/>
              </w:rPr>
              <w:fldChar w:fldCharType="begin"/>
            </w:r>
            <w:r>
              <w:rPr>
                <w:noProof/>
                <w:webHidden/>
              </w:rPr>
              <w:instrText xml:space="preserve"> PAGEREF _Toc210741346 \h </w:instrText>
            </w:r>
            <w:r>
              <w:rPr>
                <w:noProof/>
                <w:webHidden/>
              </w:rPr>
            </w:r>
            <w:r>
              <w:rPr>
                <w:noProof/>
                <w:webHidden/>
              </w:rPr>
              <w:fldChar w:fldCharType="separate"/>
            </w:r>
            <w:r>
              <w:rPr>
                <w:noProof/>
                <w:webHidden/>
              </w:rPr>
              <w:t>10</w:t>
            </w:r>
            <w:r>
              <w:rPr>
                <w:noProof/>
                <w:webHidden/>
              </w:rPr>
              <w:fldChar w:fldCharType="end"/>
            </w:r>
          </w:hyperlink>
        </w:p>
        <w:p w14:paraId="5A209EF1" w14:textId="71914052" w:rsidR="00037B6B" w:rsidRDefault="00037B6B">
          <w:pPr>
            <w:pStyle w:val="TOC1"/>
            <w:tabs>
              <w:tab w:val="right" w:leader="dot" w:pos="9016"/>
            </w:tabs>
            <w:rPr>
              <w:rFonts w:asciiTheme="minorHAnsi" w:eastAsiaTheme="minorEastAsia" w:hAnsiTheme="minorHAnsi"/>
              <w:noProof/>
              <w:color w:val="auto"/>
              <w:kern w:val="2"/>
              <w:sz w:val="24"/>
              <w:szCs w:val="24"/>
              <w:lang w:val="en-IN" w:eastAsia="en-IN"/>
              <w14:ligatures w14:val="standardContextual"/>
            </w:rPr>
          </w:pPr>
          <w:hyperlink w:anchor="_Toc210741347" w:history="1">
            <w:r w:rsidRPr="00840986">
              <w:rPr>
                <w:rStyle w:val="Hyperlink"/>
                <w:noProof/>
              </w:rPr>
              <w:t>References</w:t>
            </w:r>
            <w:r>
              <w:rPr>
                <w:noProof/>
                <w:webHidden/>
              </w:rPr>
              <w:tab/>
            </w:r>
            <w:r>
              <w:rPr>
                <w:noProof/>
                <w:webHidden/>
              </w:rPr>
              <w:fldChar w:fldCharType="begin"/>
            </w:r>
            <w:r>
              <w:rPr>
                <w:noProof/>
                <w:webHidden/>
              </w:rPr>
              <w:instrText xml:space="preserve"> PAGEREF _Toc210741347 \h </w:instrText>
            </w:r>
            <w:r>
              <w:rPr>
                <w:noProof/>
                <w:webHidden/>
              </w:rPr>
            </w:r>
            <w:r>
              <w:rPr>
                <w:noProof/>
                <w:webHidden/>
              </w:rPr>
              <w:fldChar w:fldCharType="separate"/>
            </w:r>
            <w:r>
              <w:rPr>
                <w:noProof/>
                <w:webHidden/>
              </w:rPr>
              <w:t>11</w:t>
            </w:r>
            <w:r>
              <w:rPr>
                <w:noProof/>
                <w:webHidden/>
              </w:rPr>
              <w:fldChar w:fldCharType="end"/>
            </w:r>
          </w:hyperlink>
        </w:p>
        <w:p w14:paraId="2A8FF2F8" w14:textId="307E5E84" w:rsidR="00F45900" w:rsidRDefault="00F45900">
          <w:r>
            <w:rPr>
              <w:b/>
              <w:bCs/>
            </w:rPr>
            <w:fldChar w:fldCharType="end"/>
          </w:r>
        </w:p>
      </w:sdtContent>
    </w:sdt>
    <w:p w14:paraId="75439B02" w14:textId="3D9E9749" w:rsidR="00F45900" w:rsidRDefault="00F45900">
      <w:pPr>
        <w:spacing w:after="160" w:line="259" w:lineRule="auto"/>
        <w:jc w:val="left"/>
      </w:pPr>
      <w:r>
        <w:br w:type="page"/>
      </w:r>
    </w:p>
    <w:p w14:paraId="7CBA359C" w14:textId="184C31C8" w:rsidR="004B6E06" w:rsidRPr="00507448" w:rsidRDefault="004B6E06" w:rsidP="004B6E06">
      <w:pPr>
        <w:pStyle w:val="Heading1"/>
      </w:pPr>
      <w:bookmarkStart w:id="1" w:name="_Toc210667099"/>
      <w:bookmarkStart w:id="2" w:name="_Toc210741339"/>
      <w:r w:rsidRPr="00507448">
        <w:lastRenderedPageBreak/>
        <w:t>Introduction</w:t>
      </w:r>
      <w:bookmarkEnd w:id="1"/>
      <w:bookmarkEnd w:id="2"/>
    </w:p>
    <w:p w14:paraId="0EA79B35" w14:textId="77777777" w:rsidR="004B6E06" w:rsidRPr="00507448" w:rsidRDefault="004B6E06" w:rsidP="004B6E06">
      <w:r w:rsidRPr="00507448">
        <w:t>Person-centred care (PCC) and partnership working (PW) are familiar notions which are the foundations of good quality health and social care systems in these modern times. This report will offer a critical interpretation of such concepts and evaluate how they have been applied, their advantages and difficulties in the UK. The report will define PCC and discuss the advantages and drawbacks of PCC, then critically discuss the Social Model of Health as one of the underlying theories. It will proceed to examine the fundamental ethical principles that practice adheres to. The report will also evaluate the concept of partnership working in the light of its application to the Integrated Care Systems (ICSs). This analysis will be grounded on the policy and legislation, including the Care Act 2014 and the Health and Care Act 2022. The report will make constant references to the case of Robyn, a tetraplegic person whose experience of transitioning to an agency-based care model to Personal Health Budget (PHB) is a compelling narrative of failure and success in order to explain these ideas within a practical setting. The report will end with evidence-based recommendations for the future development of PCC and PW in the UK</w:t>
      </w:r>
      <w:r w:rsidRPr="00507448">
        <w:rPr>
          <w:lang w:val="en-US"/>
        </w:rPr>
        <w:t>.</w:t>
      </w:r>
    </w:p>
    <w:p w14:paraId="4EFA0BB5" w14:textId="77777777" w:rsidR="004B6E06" w:rsidRPr="00507448" w:rsidRDefault="004B6E06" w:rsidP="004B6E06">
      <w:pPr>
        <w:spacing w:after="160" w:line="259" w:lineRule="auto"/>
        <w:jc w:val="left"/>
        <w:rPr>
          <w:lang w:val="en-US"/>
        </w:rPr>
      </w:pPr>
      <w:r w:rsidRPr="00507448">
        <w:rPr>
          <w:lang w:val="en-US"/>
        </w:rPr>
        <w:br w:type="page"/>
      </w:r>
    </w:p>
    <w:p w14:paraId="699FF538" w14:textId="31FF5E74" w:rsidR="004B6E06" w:rsidRPr="00507448" w:rsidRDefault="004B6E06" w:rsidP="004B6E06">
      <w:pPr>
        <w:pStyle w:val="Heading1"/>
      </w:pPr>
      <w:bookmarkStart w:id="3" w:name="_Toc210667100"/>
      <w:bookmarkStart w:id="4" w:name="_Toc210741340"/>
      <w:r w:rsidRPr="00507448">
        <w:lastRenderedPageBreak/>
        <w:t>Definition and Analysis of Person-Centred Care</w:t>
      </w:r>
      <w:bookmarkEnd w:id="3"/>
      <w:bookmarkEnd w:id="4"/>
    </w:p>
    <w:p w14:paraId="388F56B6" w14:textId="77777777" w:rsidR="004B6E06" w:rsidRPr="00507448" w:rsidRDefault="004B6E06" w:rsidP="004B6E06">
      <w:r w:rsidRPr="00507448">
        <w:t>Person-centred care (PCC) is an approach that puts the unique preferences, needs and values of the individual at the centre of care, meaning that clinical decisions and the support plan are based around the person who is receiving the care (McCormack et al., 2021). It moves away from a standardised, disease-focused model to one which views the whole person, including their emotional, social and pragmatic realities. In the context of adult social care, this is often framed as "personalisation," where the service user has choice and control over the shape of their support.</w:t>
      </w:r>
    </w:p>
    <w:p w14:paraId="6DFE5723" w14:textId="77777777" w:rsidR="004B6E06" w:rsidRPr="00507448" w:rsidRDefault="004B6E06" w:rsidP="004B6E06">
      <w:r w:rsidRPr="00507448">
        <w:t>The benefits of PCC are great. For the individual, it results in greater satisfaction, enhanced engagement with services and better functional and psychological outcomes (Gustavsson et al., 2023). For Robyn, the implementation of PCC through her PHB was transformative. It resulted in her being in charge of her care, making choices about PAs that suited her lifestyle, resulting in being able to work, to have her hobbies and to regain her social life. For providers and systems, PCC may mean greater efficiency and effectiveness in the use of resources, focusing on what's important to the person, potentially reducing the need for crisis services.</w:t>
      </w:r>
    </w:p>
    <w:p w14:paraId="5161BD72" w14:textId="77777777" w:rsidR="004B6E06" w:rsidRPr="00507448" w:rsidRDefault="004B6E06" w:rsidP="004B6E06">
      <w:pPr>
        <w:rPr>
          <w:lang w:val="en-US"/>
        </w:rPr>
      </w:pPr>
      <w:r w:rsidRPr="00507448">
        <w:t>However, PCC is not without its limitations. A significant challenge is resource implication, as it involves more time in terms of assessment and communication, and coordination. There can also be professional and institutional resistance to the shift of power from the clinician to the patient (Beresford, 2019). In Robyn's first situation, the agency model revealed an important limitation: the danger of PCC becoming a rhetorical term instead of a reality that is practised. The agency was structurally unable to offer personalised care, due to having a large amount of staff turnover and a rigid business model, proving that without the right systems and ethos, PCC cannot flourish. Furthermore, for some people, responsibility for their own care, like that of a direct payment, can be overwhelming, requiring strong support systems for PCC to be a viable and safe option</w:t>
      </w:r>
      <w:r w:rsidRPr="00507448">
        <w:rPr>
          <w:lang w:val="en-US"/>
        </w:rPr>
        <w:t>.</w:t>
      </w:r>
    </w:p>
    <w:p w14:paraId="2DAD8F43" w14:textId="2CD76008" w:rsidR="004B6E06" w:rsidRPr="00507448" w:rsidRDefault="004B6E06" w:rsidP="004B6E06">
      <w:pPr>
        <w:pStyle w:val="Heading1"/>
      </w:pPr>
      <w:bookmarkStart w:id="5" w:name="_Toc210667101"/>
      <w:bookmarkStart w:id="6" w:name="_Toc210741341"/>
      <w:r w:rsidRPr="00507448">
        <w:t>A Relevant Theory: The Social Model of Health</w:t>
      </w:r>
      <w:bookmarkEnd w:id="5"/>
      <w:bookmarkEnd w:id="6"/>
    </w:p>
    <w:p w14:paraId="765DD6CD" w14:textId="77777777" w:rsidR="004B6E06" w:rsidRPr="00507448" w:rsidRDefault="004B6E06" w:rsidP="004B6E06">
      <w:r w:rsidRPr="00507448">
        <w:t>A critical theory that supports and gives justification to the philosophy of PCC is the Social Model of Health and Disability. This model, which is advocated by disability rights activists, makes a fundamental distinction between 'impairment' (a person's physical, sensory or cognitive difference) and 'disability' (the disadvantages and restrictions caused by a society that does not accommodate that impairment) (</w:t>
      </w:r>
      <w:proofErr w:type="spellStart"/>
      <w:r w:rsidRPr="00507448">
        <w:t>Berghs</w:t>
      </w:r>
      <w:proofErr w:type="spellEnd"/>
      <w:r w:rsidRPr="00507448">
        <w:t xml:space="preserve"> et al., 2019). The model is based on the idea that people are disabled by barriers in society and not by their impairment.</w:t>
      </w:r>
    </w:p>
    <w:p w14:paraId="09067208" w14:textId="77777777" w:rsidR="004B6E06" w:rsidRPr="00507448" w:rsidRDefault="004B6E06" w:rsidP="004B6E06">
      <w:r w:rsidRPr="00507448">
        <w:lastRenderedPageBreak/>
        <w:t>Applying this model to the case of Robyn offers extensive insight. Robyn's spinal injury was her disability. However, her disability was created by the failure of the care agency to provide PAs who could drive or were comfortable with animals and a system that provided no continuity or personal choice. The barriers were socio- and organisational. The solution to this, her PHB, was effective precisely because it broke down these barriers. It provided her with the means to create an environment that accommodated her impairment - and by doing so, decreased her disability. This is in perfect line with the Social Model's political strategy of removing barriers.</w:t>
      </w:r>
    </w:p>
    <w:p w14:paraId="5751649D" w14:textId="77777777" w:rsidR="004B6E06" w:rsidRPr="00507448" w:rsidRDefault="004B6E06" w:rsidP="004B6E06">
      <w:pPr>
        <w:rPr>
          <w:lang w:val="en-US"/>
        </w:rPr>
      </w:pPr>
      <w:r w:rsidRPr="00507448">
        <w:t>Critically, the Social Model is a strong justification of PCC and policies such as PHBs. It argues that the focus of intervention should not be "fixing" the individual to fit into society (as the older Medical Model might suggest), but "fixing" society to be inclusive of all. By taking this model as a theoretical underpinning, PCC is not only advocated as a 'nicer' way to deliver care, but it is a matter of social justice and rights, challenging systems and professionals to be agents of social change rather than just providers of clinical treatment</w:t>
      </w:r>
      <w:r w:rsidRPr="00507448">
        <w:rPr>
          <w:lang w:val="en-US"/>
        </w:rPr>
        <w:t>.</w:t>
      </w:r>
    </w:p>
    <w:p w14:paraId="688DAE5A" w14:textId="5D8BEF37" w:rsidR="004B6E06" w:rsidRPr="00507448" w:rsidRDefault="004B6E06" w:rsidP="004B6E06">
      <w:pPr>
        <w:pStyle w:val="Heading1"/>
      </w:pPr>
      <w:bookmarkStart w:id="7" w:name="_Toc210667102"/>
      <w:bookmarkStart w:id="8" w:name="_Toc210741342"/>
      <w:r w:rsidRPr="00507448">
        <w:t>Ethical Fundamentals in Health and Social Care</w:t>
      </w:r>
      <w:bookmarkEnd w:id="7"/>
      <w:bookmarkEnd w:id="8"/>
    </w:p>
    <w:p w14:paraId="1E66B24D" w14:textId="77777777" w:rsidR="004B6E06" w:rsidRPr="00507448" w:rsidRDefault="004B6E06" w:rsidP="004B6E06">
      <w:r w:rsidRPr="00507448">
        <w:t>A set of fundamental ethical principles, which is mostly described by Beauchamp and Childress (2019), i.e., autonomy, beneficence, non-maleficence and justice, informs the delivery of PCC and PW. These are not merely theoretical ideas as they are codified in UK law and professional code of conduct, such as the HCPC (2025).</w:t>
      </w:r>
    </w:p>
    <w:p w14:paraId="64D2F442" w14:textId="77777777" w:rsidR="004B6E06" w:rsidRPr="00507448" w:rsidRDefault="004B6E06" w:rsidP="004B6E06">
      <w:r w:rsidRPr="00507448">
        <w:t>The ethics of PCC is based on autonomy and respect for the right of the person to self-determination. This situation of care presented to Robyn by the first care provider was a severe disregard of her autonomy; she did not have any say in who offered her the most intimate care. This has been taken back by the PHB, and at this point, she is the boss and the decision maker.</w:t>
      </w:r>
    </w:p>
    <w:p w14:paraId="0BF18257" w14:textId="77777777" w:rsidR="004B6E06" w:rsidRPr="00507448" w:rsidRDefault="004B6E06" w:rsidP="004B6E06">
      <w:r w:rsidRPr="00507448">
        <w:t>There are beneficence (do good) and non-maleficence (not harm), which are two sides of the same coin. The agency model, despite ensuring that she was physically safe, had a giant psychological impact, and she did not flourish. The PHB, on the contrary, took a good step in promoting her well-being by enabling her to live a valuable life, and thereby the obligation of beneficence is fulfilled.</w:t>
      </w:r>
    </w:p>
    <w:p w14:paraId="4B21E878" w14:textId="77777777" w:rsidR="004B6E06" w:rsidRPr="00507448" w:rsidRDefault="004B6E06" w:rsidP="004B6E06">
      <w:r w:rsidRPr="00507448">
        <w:t xml:space="preserve">Justice is concerned with the distribution of resources and the equitable treatment of individuals. The initial system was unjust as it provided a service that met basic needs but failed to provide an equal opportunity for Robyn to live a full life. The allocation of a PHB was </w:t>
      </w:r>
      <w:r w:rsidRPr="00507448">
        <w:lastRenderedPageBreak/>
        <w:t>a more just response as it allocated directly to her assessed needs and personal goals, which is in line with the principles of the Care Act 2014 (Joseph et al., 2020)</w:t>
      </w:r>
      <w:r w:rsidRPr="00507448">
        <w:rPr>
          <w:lang w:val="en-US"/>
        </w:rPr>
        <w:t>.</w:t>
      </w:r>
    </w:p>
    <w:p w14:paraId="6EE02B84" w14:textId="77777777" w:rsidR="004B6E06" w:rsidRPr="00507448" w:rsidRDefault="004B6E06" w:rsidP="004B6E06">
      <w:pPr>
        <w:rPr>
          <w:lang w:val="en-US"/>
        </w:rPr>
      </w:pPr>
      <w:r w:rsidRPr="00507448">
        <w:t>In practice, dilemmas are often the result of these principles. For example, a professional's moral obligation to beneficence may clash with the autonomous choice of the service user to refuse a treatment which is advised by the professional. This involves careful communication, a strong knowledge of the Mental Capacity Act 2005 and the desire and ability to strike a balance that honours the person's wishes and preferences whilst managing risk</w:t>
      </w:r>
      <w:r w:rsidRPr="00507448">
        <w:rPr>
          <w:lang w:val="en-US"/>
        </w:rPr>
        <w:t>.</w:t>
      </w:r>
    </w:p>
    <w:p w14:paraId="28F264AF" w14:textId="7D216A05" w:rsidR="004B6E06" w:rsidRPr="00507448" w:rsidRDefault="004B6E06" w:rsidP="004B6E06">
      <w:pPr>
        <w:pStyle w:val="Heading1"/>
      </w:pPr>
      <w:bookmarkStart w:id="9" w:name="_Toc210667103"/>
      <w:bookmarkStart w:id="10" w:name="_Toc210741343"/>
      <w:r w:rsidRPr="00507448">
        <w:t>Evaluation of Partnership Working</w:t>
      </w:r>
      <w:bookmarkEnd w:id="9"/>
      <w:bookmarkEnd w:id="10"/>
    </w:p>
    <w:p w14:paraId="760D5F9E" w14:textId="77777777" w:rsidR="004B6E06" w:rsidRPr="00507448" w:rsidRDefault="004B6E06" w:rsidP="004B6E06">
      <w:r w:rsidRPr="00507448">
        <w:t>Partnership working (PW) can be defined as a common process of organisations and individuals working together to achieve common goals which they would not be able to achieve on their own (</w:t>
      </w:r>
      <w:proofErr w:type="spellStart"/>
      <w:r w:rsidRPr="00507448">
        <w:t>Alderwick</w:t>
      </w:r>
      <w:proofErr w:type="spellEnd"/>
      <w:r w:rsidRPr="00507448">
        <w:t xml:space="preserve"> et al., 2021). In health and social care, it is of paramount importance to provide integrated and seamless care, especially for individuals with complex, long-term needs, like Robyn.</w:t>
      </w:r>
    </w:p>
    <w:p w14:paraId="7A1A2CA0" w14:textId="77777777" w:rsidR="004B6E06" w:rsidRPr="00507448" w:rsidRDefault="004B6E06" w:rsidP="004B6E06">
      <w:r w:rsidRPr="00507448">
        <w:t>The positive impact of good PW is self-explanatory. It has the potential to drive better service coordination, less duplication, better problem-solving through combined expertise and ultimately better outcomes for service users (NHS, 2025). PW played a crucial role in the smooth transition of Robyn to a PHB. Her social care team, CHC team and the PHB nurse worked in a multi-agency partnership to review, plan and put in place her new care package. This partnership was critical in order to surmount the financial and administrative hurdles of the process.</w:t>
      </w:r>
    </w:p>
    <w:p w14:paraId="592EFC9F" w14:textId="77777777" w:rsidR="004B6E06" w:rsidRPr="00507448" w:rsidRDefault="004B6E06" w:rsidP="004B6E06">
      <w:r w:rsidRPr="00507448">
        <w:t>However, PW is faced with severe challenges. These include professional tribalism, incompatible organisational cultures and priorities, incompatible IT systems and a lack of clear governance (Hildreth, Millerand Rabin, 2021). Robyn's own experience of waiting for 18 months shows the main issue: that the process can be slow and bureaucratic, frustrating for the service user. Furthermore, her proposal for peer support points to the need for collaborations that go one step further than traditional professionals and involve the invaluable resource of lived experience.</w:t>
      </w:r>
    </w:p>
    <w:p w14:paraId="7A9E3B65" w14:textId="77777777" w:rsidR="004B6E06" w:rsidRPr="00507448" w:rsidRDefault="004B6E06" w:rsidP="004B6E06">
      <w:r w:rsidRPr="00507448">
        <w:t xml:space="preserve">Through the creation of Integrated Care Systems (ICSs), the Health and Care Act 2022 has put PW on a statutory footing. These systems are intended to bring together NHS, local authority and third sector partners in making plans and providing services for their local population. "Robyn's case illustrates how the spirit of ICSs is at work - different parts of the system working together to develop an individualised solution." Her work with her PHB nurse </w:t>
      </w:r>
      <w:r w:rsidRPr="00507448">
        <w:lastRenderedPageBreak/>
        <w:t>to delegate health activities is an example of the microcosm of the integrated care that is supposed to occur at the system level within ICSs.</w:t>
      </w:r>
    </w:p>
    <w:p w14:paraId="23599784" w14:textId="05ED32D0" w:rsidR="004B6E06" w:rsidRPr="00507448" w:rsidRDefault="004B6E06" w:rsidP="004B6E06">
      <w:pPr>
        <w:pStyle w:val="Heading1"/>
      </w:pPr>
      <w:bookmarkStart w:id="11" w:name="_Toc210667104"/>
      <w:bookmarkStart w:id="12" w:name="_Toc210741344"/>
      <w:r w:rsidRPr="00507448">
        <w:t>The Role of Policy and Legislation</w:t>
      </w:r>
      <w:bookmarkEnd w:id="11"/>
      <w:bookmarkEnd w:id="12"/>
    </w:p>
    <w:p w14:paraId="3F166650" w14:textId="77777777" w:rsidR="004B6E06" w:rsidRPr="00507448" w:rsidRDefault="004B6E06" w:rsidP="004B6E06">
      <w:r w:rsidRPr="00507448">
        <w:t>Policy and legislation provide the obligatory framework within which PCC and PW are made possible for, and mandated for, implementation. There are a number of key pieces of legislation that are directly relevant to Robyn's case and the wider themes of this report.</w:t>
      </w:r>
    </w:p>
    <w:p w14:paraId="595FF037" w14:textId="77777777" w:rsidR="004B6E06" w:rsidRPr="00507448" w:rsidRDefault="004B6E06" w:rsidP="004B6E06">
      <w:r w:rsidRPr="00507448">
        <w:t>The Care Act 2014 is the most substantial social care legislation for some decades. It also enshrines the principle of "well-being" as the key purpose of adult support, which includes participation in work, education and community life - a direct reflection of Robyn's aims. The focus on personal budgets and direct payments in the Act provided the legal framework for her PHB, which gave her the choice and control she so desperately needed.</w:t>
      </w:r>
    </w:p>
    <w:p w14:paraId="508F5010" w14:textId="77777777" w:rsidR="004B6E06" w:rsidRPr="00507448" w:rsidRDefault="004B6E06" w:rsidP="004B6E06">
      <w:r w:rsidRPr="00507448">
        <w:t>The structural aspect of integration is covered by the Health and Care Act 2022. By setting up ICSs formally, it legislates for the partnership working that was needed to resolve Robyn's care crisis. The Act intends to reduce fragmentation between health and social care, and also make integrated, preventative and person-centred care the norm rather than the exception.</w:t>
      </w:r>
    </w:p>
    <w:p w14:paraId="24FF46BD" w14:textId="77777777" w:rsidR="004B6E06" w:rsidRPr="00507448" w:rsidRDefault="004B6E06" w:rsidP="004B6E06">
      <w:pPr>
        <w:rPr>
          <w:lang w:val="en-US"/>
        </w:rPr>
      </w:pPr>
      <w:r w:rsidRPr="00507448">
        <w:t>Other important legislation is the Equality Act 2010, which protects people with disabilities like Robyn from discrimination, and the Mental Capacity Act 2005, which provides a framework for supporting autonomy. Taken together, these policies constitute a complex and interlocking system of law that requires a shift away from paternalistic service-oriented care and towards a rights-based, participatory and collaborative care system</w:t>
      </w:r>
      <w:r w:rsidRPr="00507448">
        <w:rPr>
          <w:lang w:val="en-US"/>
        </w:rPr>
        <w:t>.</w:t>
      </w:r>
    </w:p>
    <w:p w14:paraId="70497ABA" w14:textId="77C305BD" w:rsidR="004B6E06" w:rsidRPr="00507448" w:rsidRDefault="004B6E06" w:rsidP="004B6E06">
      <w:pPr>
        <w:pStyle w:val="Heading1"/>
      </w:pPr>
      <w:bookmarkStart w:id="13" w:name="_Toc210667105"/>
      <w:bookmarkStart w:id="14" w:name="_Toc210741345"/>
      <w:r w:rsidRPr="00507448">
        <w:t>Recommendations for Future Development</w:t>
      </w:r>
      <w:bookmarkEnd w:id="13"/>
      <w:bookmarkEnd w:id="14"/>
    </w:p>
    <w:p w14:paraId="4DF62901" w14:textId="77777777" w:rsidR="004B6E06" w:rsidRPr="00507448" w:rsidRDefault="004B6E06" w:rsidP="004B6E06">
      <w:r w:rsidRPr="00507448">
        <w:t>Based on the analysis of Robyn's case and the identified issues in PCC and PW, the following recommendations are suggested for UK futures development, based on evidence:</w:t>
      </w:r>
    </w:p>
    <w:p w14:paraId="778FF9E1" w14:textId="77777777" w:rsidR="004B6E06" w:rsidRPr="00507448" w:rsidRDefault="004B6E06" w:rsidP="004B6E06">
      <w:r w:rsidRPr="00507448">
        <w:t>1. Support Digital Infrastructure for Personalised Care: Invest in, and deploy, easy-to-use digital environments which enable PHB holders and others with personal budgets to manage their care plans, communicate with their PAs and professionals, and access peer support networks. This would remove the isolation that Robyn experienced throughout her 18-month process and give people real control over their future in real time. One possible barrier is digital exclusion, which needs to be addressed by providing alternative options that do not require digital technology and access to support for those who can't access digital options (Maguire et al., 2018).</w:t>
      </w:r>
    </w:p>
    <w:p w14:paraId="697229DE" w14:textId="77777777" w:rsidR="004B6E06" w:rsidRPr="00507448" w:rsidRDefault="004B6E06" w:rsidP="004B6E06">
      <w:r w:rsidRPr="00507448">
        <w:lastRenderedPageBreak/>
        <w:t>2. Support Co-production and Peer Support in Care Planning: Policy should also stipulate and provide funding for the inclusion of independent peer support workers in the care and support planning process for individuals considering a PHB or direct payment. As Robyn pointed out, there is nothing like talking to a person who has lived experiences. This would institutionalise a professional and service user co-production partnership, which would ensure that plans would be co-produced from the start. It would need to recruit and train enough peer workers, which would come at a cost.</w:t>
      </w:r>
    </w:p>
    <w:p w14:paraId="5BBD10AC" w14:textId="77777777" w:rsidR="004B6E06" w:rsidRPr="00507448" w:rsidRDefault="004B6E06" w:rsidP="004B6E06">
      <w:r w:rsidRPr="00507448">
        <w:t>3. Increase Pace of Workforce Training on the Social Model and Ethics: Health and social care curricula and continuing professional development (CPD) need to be enhanced so that everyone in the workforce understands and can apply the Social Model of Disability and ethical decision-making frameworks. The training needs to go beyond theory to incorporate realistic cases, resulting in a cultural shift in which professionals are empowered to view their role as barrier-removers and autonomy-facilitators (Glasby et al., 2021). Strong leadership to overcome the resistance to change from established workforce cultures is one of the key issues.</w:t>
      </w:r>
    </w:p>
    <w:p w14:paraId="7F358D51" w14:textId="77777777" w:rsidR="004B6E06" w:rsidRPr="00507448" w:rsidRDefault="004B6E06" w:rsidP="004B6E06">
      <w:pPr>
        <w:rPr>
          <w:lang w:val="en-US"/>
        </w:rPr>
      </w:pPr>
      <w:r w:rsidRPr="00507448">
        <w:t>4. Simplify and Streamline ICS Processes for Service Users: ICSs need to create clear, simple and transparent pathways for service users and frontline professionals to access integrated support. The bureaucracy which Robyn had to go through must be graded systematically, resolved as well and removed through process mapping and clearing away bureaucratic hurdles. This will involve uncompromising dedication to the user experience in the ICS governance framework, and the measurement and reduction of the processing times</w:t>
      </w:r>
      <w:r w:rsidRPr="00507448">
        <w:rPr>
          <w:lang w:val="en-US"/>
        </w:rPr>
        <w:t>.</w:t>
      </w:r>
    </w:p>
    <w:p w14:paraId="447B5FC6" w14:textId="77777777" w:rsidR="004B6E06" w:rsidRPr="00507448" w:rsidRDefault="004B6E06" w:rsidP="004B6E06">
      <w:pPr>
        <w:spacing w:after="160" w:line="259" w:lineRule="auto"/>
        <w:jc w:val="left"/>
        <w:rPr>
          <w:b/>
          <w:bCs/>
          <w:lang w:val="en-US"/>
        </w:rPr>
      </w:pPr>
      <w:r w:rsidRPr="00507448">
        <w:rPr>
          <w:b/>
          <w:bCs/>
          <w:lang w:val="en-US"/>
        </w:rPr>
        <w:br w:type="page"/>
      </w:r>
    </w:p>
    <w:p w14:paraId="4C1618CE" w14:textId="0FC01C00" w:rsidR="004B6E06" w:rsidRPr="004B6E06" w:rsidRDefault="004B6E06" w:rsidP="004B6E06">
      <w:pPr>
        <w:pStyle w:val="Heading1"/>
      </w:pPr>
      <w:bookmarkStart w:id="15" w:name="_Toc210667106"/>
      <w:bookmarkStart w:id="16" w:name="_Toc210741346"/>
      <w:r w:rsidRPr="00507448">
        <w:lastRenderedPageBreak/>
        <w:t>Conclusion</w:t>
      </w:r>
      <w:bookmarkEnd w:id="15"/>
      <w:bookmarkEnd w:id="16"/>
    </w:p>
    <w:p w14:paraId="6A491C75" w14:textId="06C26391" w:rsidR="004B2F61" w:rsidRDefault="004B6E06" w:rsidP="004B6E06">
      <w:pPr>
        <w:rPr>
          <w:lang w:val="en-US"/>
        </w:rPr>
      </w:pPr>
      <w:r w:rsidRPr="00507448">
        <w:t xml:space="preserve">This report has critically examined the theory and practice, and appraisal of person-centred care and partnership working in health and social care in the UK. It has been demonstrated that PCC founded on the Social Model of Health is critical to the provision of care that honours autonomy and promotes true wellbeing. The key and codified within ICSs </w:t>
      </w:r>
      <w:proofErr w:type="gramStart"/>
      <w:r w:rsidRPr="00507448">
        <w:t>is</w:t>
      </w:r>
      <w:proofErr w:type="gramEnd"/>
      <w:r w:rsidRPr="00507448">
        <w:t xml:space="preserve"> partnership working, which is the means of making PCC a reality. Both are supported by a robust ethical framework and some of the essential policies, such as the Care Act 2014. The example of Robyn was a strong illustration of how these concepts can change things when they are embodied to the full extent, and a strong reminder of the threats of their lack. Through the proposed developments (digital empowerment, co-production, workforce training and streamlined systems), the UK will be able to go on to develop a health and social care system that is not only integrated and efficient, but as essentially humane, just, and person-centred</w:t>
      </w:r>
      <w:r w:rsidR="00F45900" w:rsidRPr="00F45900">
        <w:rPr>
          <w:lang w:val="en-US"/>
        </w:rPr>
        <w:t>.</w:t>
      </w:r>
    </w:p>
    <w:p w14:paraId="081E933B" w14:textId="19D23DF6" w:rsidR="00F45900" w:rsidRDefault="004B2F61">
      <w:pPr>
        <w:spacing w:after="160" w:line="259" w:lineRule="auto"/>
        <w:jc w:val="left"/>
        <w:rPr>
          <w:lang w:val="en-US"/>
        </w:rPr>
      </w:pPr>
      <w:r>
        <w:rPr>
          <w:lang w:val="en-US"/>
        </w:rPr>
        <w:br w:type="page"/>
      </w:r>
    </w:p>
    <w:p w14:paraId="5A72C3E9" w14:textId="6FE578C4" w:rsidR="00AD70A6" w:rsidRDefault="00F45900" w:rsidP="00F45900">
      <w:pPr>
        <w:pStyle w:val="Heading1"/>
      </w:pPr>
      <w:bookmarkStart w:id="17" w:name="_Toc210741347"/>
      <w:r>
        <w:lastRenderedPageBreak/>
        <w:t>References</w:t>
      </w:r>
      <w:bookmarkEnd w:id="17"/>
    </w:p>
    <w:p w14:paraId="491CCE40" w14:textId="24EBD0B5" w:rsidR="004B2F61" w:rsidRPr="004B2F61" w:rsidRDefault="00516045" w:rsidP="004B2F61">
      <w:pPr>
        <w:rPr>
          <w:lang w:val="en-US"/>
        </w:rPr>
      </w:pPr>
      <w:r w:rsidRPr="00516045">
        <w:t xml:space="preserve">Beauchamp, T. and Childress, J. </w:t>
      </w:r>
      <w:r>
        <w:t>(</w:t>
      </w:r>
      <w:r w:rsidRPr="00516045">
        <w:t>2019</w:t>
      </w:r>
      <w:r>
        <w:t>)</w:t>
      </w:r>
      <w:r w:rsidRPr="00516045">
        <w:t>. Principles of biomedical ethics: marking its fortieth anniversary. </w:t>
      </w:r>
      <w:r w:rsidRPr="00516045">
        <w:rPr>
          <w:i/>
          <w:iCs/>
        </w:rPr>
        <w:t>The American journal of bioethics</w:t>
      </w:r>
      <w:r w:rsidRPr="00516045">
        <w:t>, </w:t>
      </w:r>
      <w:r w:rsidRPr="00516045">
        <w:rPr>
          <w:i/>
          <w:iCs/>
        </w:rPr>
        <w:t>19</w:t>
      </w:r>
      <w:r w:rsidRPr="00516045">
        <w:t>(11), pp.9-12</w:t>
      </w:r>
      <w:r w:rsidR="004B2F61" w:rsidRPr="004B2F61">
        <w:rPr>
          <w:lang w:val="en-US"/>
        </w:rPr>
        <w:t>.</w:t>
      </w:r>
    </w:p>
    <w:p w14:paraId="712147FC" w14:textId="115985B7" w:rsidR="004B2F61" w:rsidRPr="004B2F61" w:rsidRDefault="00516045" w:rsidP="004B2F61">
      <w:pPr>
        <w:rPr>
          <w:lang w:val="en-US"/>
        </w:rPr>
      </w:pPr>
      <w:r w:rsidRPr="00516045">
        <w:t xml:space="preserve">Hildreth, W.B., Miller, G. and Rabin, J. eds. </w:t>
      </w:r>
      <w:r w:rsidR="00A35E86">
        <w:t>(</w:t>
      </w:r>
      <w:r w:rsidRPr="00516045">
        <w:t>2021</w:t>
      </w:r>
      <w:r w:rsidR="00A35E86">
        <w:t>)</w:t>
      </w:r>
      <w:r w:rsidRPr="00516045">
        <w:t>. </w:t>
      </w:r>
      <w:r w:rsidRPr="00516045">
        <w:rPr>
          <w:i/>
          <w:iCs/>
        </w:rPr>
        <w:t xml:space="preserve">Handbook of </w:t>
      </w:r>
      <w:r>
        <w:rPr>
          <w:i/>
          <w:iCs/>
        </w:rPr>
        <w:t>Public Administration</w:t>
      </w:r>
      <w:r w:rsidRPr="00516045">
        <w:t>. Routledge.</w:t>
      </w:r>
    </w:p>
    <w:p w14:paraId="24D38D7A" w14:textId="481ADAB7" w:rsidR="004B2F61" w:rsidRPr="004B2F61" w:rsidRDefault="00A35E86" w:rsidP="004B2F61">
      <w:pPr>
        <w:rPr>
          <w:lang w:val="en-US"/>
        </w:rPr>
      </w:pPr>
      <w:r w:rsidRPr="00A35E86">
        <w:t xml:space="preserve">Joseph, S., </w:t>
      </w:r>
      <w:proofErr w:type="spellStart"/>
      <w:r w:rsidRPr="00A35E86">
        <w:t>Sempik</w:t>
      </w:r>
      <w:proofErr w:type="spellEnd"/>
      <w:r w:rsidRPr="00A35E86">
        <w:t xml:space="preserve">, J., Leu, A. and Becker, S. </w:t>
      </w:r>
      <w:r>
        <w:t>(</w:t>
      </w:r>
      <w:r w:rsidRPr="00A35E86">
        <w:t>2020</w:t>
      </w:r>
      <w:r>
        <w:t>)</w:t>
      </w:r>
      <w:r w:rsidRPr="00A35E86">
        <w:t>. Young carers research, practice and policy: An overview and critical perspective on possible future directions. </w:t>
      </w:r>
      <w:r w:rsidRPr="00A35E86">
        <w:rPr>
          <w:i/>
          <w:iCs/>
        </w:rPr>
        <w:t>Adolescent Research Review</w:t>
      </w:r>
      <w:r w:rsidRPr="00A35E86">
        <w:t>, </w:t>
      </w:r>
      <w:r w:rsidRPr="00A35E86">
        <w:rPr>
          <w:i/>
          <w:iCs/>
        </w:rPr>
        <w:t>5</w:t>
      </w:r>
      <w:r w:rsidRPr="00A35E86">
        <w:t>(1), pp.77-</w:t>
      </w:r>
      <w:proofErr w:type="gramStart"/>
      <w:r w:rsidRPr="00A35E86">
        <w:t>89.</w:t>
      </w:r>
      <w:r w:rsidR="004B2F61" w:rsidRPr="004B2F61">
        <w:rPr>
          <w:lang w:val="en-US"/>
        </w:rPr>
        <w:t>.</w:t>
      </w:r>
      <w:proofErr w:type="gramEnd"/>
    </w:p>
    <w:p w14:paraId="62E74FC5" w14:textId="62889D4B" w:rsidR="004B2F61" w:rsidRPr="004B2F61" w:rsidRDefault="001F7659" w:rsidP="004B2F61">
      <w:pPr>
        <w:rPr>
          <w:lang w:val="en-US"/>
        </w:rPr>
      </w:pPr>
      <w:proofErr w:type="spellStart"/>
      <w:r w:rsidRPr="001F7659">
        <w:t>Alderwick</w:t>
      </w:r>
      <w:proofErr w:type="spellEnd"/>
      <w:r w:rsidRPr="001F7659">
        <w:t xml:space="preserve">, H., Hutchings, A., Briggs, A. and Mays, N. </w:t>
      </w:r>
      <w:r>
        <w:t>(</w:t>
      </w:r>
      <w:r w:rsidRPr="001F7659">
        <w:t>2021</w:t>
      </w:r>
      <w:r>
        <w:t>)</w:t>
      </w:r>
      <w:r w:rsidRPr="001F7659">
        <w:t xml:space="preserve">. The impacts of collaboration between local health care and non-health care </w:t>
      </w:r>
      <w:r w:rsidR="00615B7F">
        <w:t>organisations</w:t>
      </w:r>
      <w:r w:rsidRPr="001F7659">
        <w:t xml:space="preserve"> and factors shaping how they work: a systematic review of reviews. </w:t>
      </w:r>
      <w:r w:rsidRPr="001F7659">
        <w:rPr>
          <w:i/>
          <w:iCs/>
        </w:rPr>
        <w:t xml:space="preserve">BMC </w:t>
      </w:r>
      <w:r w:rsidR="00615B7F">
        <w:rPr>
          <w:i/>
          <w:iCs/>
        </w:rPr>
        <w:t>Public Health</w:t>
      </w:r>
      <w:r w:rsidRPr="001F7659">
        <w:t>, </w:t>
      </w:r>
      <w:r w:rsidRPr="001F7659">
        <w:rPr>
          <w:i/>
          <w:iCs/>
        </w:rPr>
        <w:t>21</w:t>
      </w:r>
      <w:r w:rsidRPr="001F7659">
        <w:t>(1), p.753</w:t>
      </w:r>
      <w:r w:rsidR="004B2F61" w:rsidRPr="004B2F61">
        <w:rPr>
          <w:lang w:val="en-US"/>
        </w:rPr>
        <w:t>.</w:t>
      </w:r>
    </w:p>
    <w:p w14:paraId="14F5B708" w14:textId="77777777" w:rsidR="009B5D6B" w:rsidRPr="009B5D6B" w:rsidRDefault="009B5D6B" w:rsidP="009B5D6B">
      <w:pPr>
        <w:rPr>
          <w:lang w:val="en-US"/>
        </w:rPr>
      </w:pPr>
      <w:r w:rsidRPr="009B5D6B">
        <w:rPr>
          <w:lang w:val="en-US"/>
        </w:rPr>
        <w:t xml:space="preserve">HCPC (2025) </w:t>
      </w:r>
      <w:r w:rsidRPr="009B5D6B">
        <w:rPr>
          <w:i/>
          <w:iCs/>
          <w:lang w:val="en-US"/>
        </w:rPr>
        <w:t>Standards of conduct, performance and Ethics</w:t>
      </w:r>
      <w:r w:rsidRPr="009B5D6B">
        <w:rPr>
          <w:lang w:val="en-US"/>
        </w:rPr>
        <w:t xml:space="preserve">, </w:t>
      </w:r>
      <w:r w:rsidRPr="009B5D6B">
        <w:rPr>
          <w:i/>
          <w:iCs/>
          <w:lang w:val="en-US"/>
        </w:rPr>
        <w:t>HCPC</w:t>
      </w:r>
      <w:r w:rsidRPr="009B5D6B">
        <w:rPr>
          <w:lang w:val="en-US"/>
        </w:rPr>
        <w:t xml:space="preserve">. Available at: https://www.hcpc-uk.org/standards/standards-of-conduct-performance-and-ethics/ (Accessed: 06 October 2025). </w:t>
      </w:r>
    </w:p>
    <w:p w14:paraId="229085B0" w14:textId="6817A50D" w:rsidR="004B2F61" w:rsidRPr="004B2F61" w:rsidRDefault="009B5D6B" w:rsidP="004B2F61">
      <w:pPr>
        <w:rPr>
          <w:lang w:val="en-US"/>
        </w:rPr>
      </w:pPr>
      <w:r w:rsidRPr="009B5D6B">
        <w:t xml:space="preserve">Gustavsson, K., van Diepen, C., Fors, A., Axelsson, M., Bertilsson, M. and Hensing, G., </w:t>
      </w:r>
      <w:r>
        <w:t>(</w:t>
      </w:r>
      <w:r w:rsidRPr="009B5D6B">
        <w:t>2023</w:t>
      </w:r>
      <w:r>
        <w:t>)</w:t>
      </w:r>
      <w:r w:rsidRPr="009B5D6B">
        <w:t>. Healthcare professionals’ experiences of job satisfaction when providing person-centred care: a systematic review of qualitative studies. </w:t>
      </w:r>
      <w:r w:rsidRPr="009B5D6B">
        <w:rPr>
          <w:i/>
          <w:iCs/>
        </w:rPr>
        <w:t>BMJ open</w:t>
      </w:r>
      <w:r w:rsidRPr="009B5D6B">
        <w:t>, </w:t>
      </w:r>
      <w:r w:rsidRPr="009B5D6B">
        <w:rPr>
          <w:i/>
          <w:iCs/>
        </w:rPr>
        <w:t>13</w:t>
      </w:r>
      <w:r w:rsidRPr="009B5D6B">
        <w:t>(6), p.e071178.</w:t>
      </w:r>
    </w:p>
    <w:p w14:paraId="5D37BF71" w14:textId="4CB13DAB" w:rsidR="00657766" w:rsidRPr="00657766" w:rsidRDefault="00657766" w:rsidP="00657766">
      <w:pPr>
        <w:rPr>
          <w:lang w:val="en-US"/>
        </w:rPr>
      </w:pPr>
      <w:r w:rsidRPr="00657766">
        <w:rPr>
          <w:lang w:val="en-US"/>
        </w:rPr>
        <w:t xml:space="preserve">NHS (2025) </w:t>
      </w:r>
      <w:r w:rsidRPr="00657766">
        <w:rPr>
          <w:i/>
          <w:iCs/>
          <w:lang w:val="en-US"/>
        </w:rPr>
        <w:t>Integrated Care Systems</w:t>
      </w:r>
      <w:r w:rsidRPr="00657766">
        <w:rPr>
          <w:lang w:val="en-US"/>
        </w:rPr>
        <w:t xml:space="preserve">, </w:t>
      </w:r>
      <w:r w:rsidRPr="00657766">
        <w:rPr>
          <w:i/>
          <w:iCs/>
          <w:lang w:val="en-US"/>
        </w:rPr>
        <w:t xml:space="preserve">NHS </w:t>
      </w:r>
      <w:r w:rsidR="00615B7F">
        <w:rPr>
          <w:i/>
          <w:iCs/>
          <w:lang w:val="en-US"/>
        </w:rPr>
        <w:t>Choices</w:t>
      </w:r>
      <w:r w:rsidRPr="00657766">
        <w:rPr>
          <w:lang w:val="en-US"/>
        </w:rPr>
        <w:t xml:space="preserve">. Available at: https://www.england.nhs.uk/integratedcare/what-is-integrated-care/ (Accessed: 06 October 2025). </w:t>
      </w:r>
    </w:p>
    <w:p w14:paraId="57035A15" w14:textId="0EA8B35B" w:rsidR="004B2F61" w:rsidRPr="004B2F61" w:rsidRDefault="00657766" w:rsidP="004B2F61">
      <w:pPr>
        <w:rPr>
          <w:lang w:val="en-US"/>
        </w:rPr>
      </w:pPr>
      <w:proofErr w:type="spellStart"/>
      <w:r w:rsidRPr="00657766">
        <w:t>Berghs</w:t>
      </w:r>
      <w:proofErr w:type="spellEnd"/>
      <w:r w:rsidRPr="00657766">
        <w:t xml:space="preserve">, M., Atkin, K., Hatton, C. and Thomas, C. </w:t>
      </w:r>
      <w:r>
        <w:t>(</w:t>
      </w:r>
      <w:r w:rsidRPr="00657766">
        <w:t>2019</w:t>
      </w:r>
      <w:r>
        <w:t>)</w:t>
      </w:r>
      <w:r w:rsidRPr="00657766">
        <w:t xml:space="preserve">. Do disabled people need a stronger social model: a social model of human </w:t>
      </w:r>
      <w:proofErr w:type="gramStart"/>
      <w:r w:rsidRPr="00657766">
        <w:t>rights?.</w:t>
      </w:r>
      <w:proofErr w:type="gramEnd"/>
      <w:r w:rsidRPr="00657766">
        <w:t> </w:t>
      </w:r>
      <w:r w:rsidRPr="00657766">
        <w:rPr>
          <w:i/>
          <w:iCs/>
        </w:rPr>
        <w:t>Disability &amp; Society</w:t>
      </w:r>
      <w:r w:rsidRPr="00657766">
        <w:t>, </w:t>
      </w:r>
      <w:r w:rsidRPr="00657766">
        <w:rPr>
          <w:i/>
          <w:iCs/>
        </w:rPr>
        <w:t>34</w:t>
      </w:r>
      <w:r w:rsidRPr="00657766">
        <w:t>(7-8), pp.1034-</w:t>
      </w:r>
      <w:proofErr w:type="gramStart"/>
      <w:r w:rsidRPr="00657766">
        <w:t>1039.</w:t>
      </w:r>
      <w:r w:rsidR="004B2F61" w:rsidRPr="004B2F61">
        <w:rPr>
          <w:lang w:val="en-US"/>
        </w:rPr>
        <w:t>.</w:t>
      </w:r>
      <w:proofErr w:type="gramEnd"/>
    </w:p>
    <w:p w14:paraId="36A3BC2F" w14:textId="760F02B5" w:rsidR="004B2F61" w:rsidRPr="004B2F61" w:rsidRDefault="00422807" w:rsidP="004B2F61">
      <w:pPr>
        <w:rPr>
          <w:lang w:val="en-US"/>
        </w:rPr>
      </w:pPr>
      <w:r w:rsidRPr="00422807">
        <w:t xml:space="preserve">Glasby, J.O.N., Zhang, Y., Bennett, M.R. and Hall, P. </w:t>
      </w:r>
      <w:r>
        <w:t>(</w:t>
      </w:r>
      <w:r w:rsidRPr="00422807">
        <w:t>2021</w:t>
      </w:r>
      <w:r>
        <w:t>)</w:t>
      </w:r>
      <w:r w:rsidRPr="00422807">
        <w:t>. A lost decade? A renewed case for adult social care reform in England. </w:t>
      </w:r>
      <w:r w:rsidRPr="00422807">
        <w:rPr>
          <w:i/>
          <w:iCs/>
        </w:rPr>
        <w:t>Journal of Social Policy</w:t>
      </w:r>
      <w:r w:rsidRPr="00422807">
        <w:t>, </w:t>
      </w:r>
      <w:r w:rsidRPr="00422807">
        <w:rPr>
          <w:i/>
          <w:iCs/>
        </w:rPr>
        <w:t>50</w:t>
      </w:r>
      <w:r w:rsidRPr="00422807">
        <w:t>(2), pp.406-</w:t>
      </w:r>
      <w:proofErr w:type="gramStart"/>
      <w:r w:rsidRPr="00422807">
        <w:t>437.</w:t>
      </w:r>
      <w:r w:rsidR="004B2F61" w:rsidRPr="004B2F61">
        <w:rPr>
          <w:lang w:val="en-US"/>
        </w:rPr>
        <w:t>.</w:t>
      </w:r>
      <w:proofErr w:type="gramEnd"/>
    </w:p>
    <w:p w14:paraId="427727C6" w14:textId="45824BAA" w:rsidR="004B2F61" w:rsidRPr="004B2F61" w:rsidRDefault="006361E0" w:rsidP="004B2F61">
      <w:pPr>
        <w:rPr>
          <w:lang w:val="en-US"/>
        </w:rPr>
      </w:pPr>
      <w:r w:rsidRPr="006361E0">
        <w:t xml:space="preserve">McCormack, B., McCance, T., Bulley, C., Brown, D., McMillan, A. and Martin, S. eds. </w:t>
      </w:r>
      <w:r>
        <w:t>(</w:t>
      </w:r>
      <w:r w:rsidRPr="006361E0">
        <w:t>2021</w:t>
      </w:r>
      <w:r>
        <w:t>)</w:t>
      </w:r>
      <w:r w:rsidRPr="006361E0">
        <w:t>. </w:t>
      </w:r>
      <w:r w:rsidRPr="006361E0">
        <w:rPr>
          <w:i/>
          <w:iCs/>
        </w:rPr>
        <w:t>Fundamentals of person-centred healthcare practice</w:t>
      </w:r>
      <w:r w:rsidRPr="006361E0">
        <w:t xml:space="preserve">. John Wiley &amp; </w:t>
      </w:r>
      <w:proofErr w:type="gramStart"/>
      <w:r w:rsidRPr="006361E0">
        <w:t>Sons.</w:t>
      </w:r>
      <w:r w:rsidR="004B2F61" w:rsidRPr="004B2F61">
        <w:rPr>
          <w:lang w:val="en-US"/>
        </w:rPr>
        <w:t>.</w:t>
      </w:r>
      <w:proofErr w:type="gramEnd"/>
    </w:p>
    <w:p w14:paraId="703DA274" w14:textId="5669401B" w:rsidR="004B2F61" w:rsidRPr="004B2F61" w:rsidRDefault="00D94115" w:rsidP="004B2F61">
      <w:pPr>
        <w:rPr>
          <w:lang w:val="en-US"/>
        </w:rPr>
      </w:pPr>
      <w:r w:rsidRPr="00D94115">
        <w:t xml:space="preserve">Maguire, D., Evans, H., Honeyman, M. and </w:t>
      </w:r>
      <w:r w:rsidR="00615B7F">
        <w:t>Ojomolo</w:t>
      </w:r>
      <w:r w:rsidRPr="00D94115">
        <w:t xml:space="preserve">, D. </w:t>
      </w:r>
      <w:r>
        <w:t>(</w:t>
      </w:r>
      <w:r w:rsidRPr="00D94115">
        <w:t>2018</w:t>
      </w:r>
      <w:r>
        <w:t>)</w:t>
      </w:r>
      <w:r w:rsidRPr="00D94115">
        <w:t>. </w:t>
      </w:r>
      <w:r w:rsidRPr="00D94115">
        <w:rPr>
          <w:i/>
          <w:iCs/>
        </w:rPr>
        <w:t>Digital change in health and social care</w:t>
      </w:r>
      <w:r w:rsidRPr="00D94115">
        <w:t xml:space="preserve">. London: King's </w:t>
      </w:r>
      <w:proofErr w:type="gramStart"/>
      <w:r w:rsidRPr="00D94115">
        <w:t>Fund.</w:t>
      </w:r>
      <w:r w:rsidR="004B2F61" w:rsidRPr="004B2F61">
        <w:rPr>
          <w:lang w:val="en-US"/>
        </w:rPr>
        <w:t>.</w:t>
      </w:r>
      <w:proofErr w:type="gramEnd"/>
    </w:p>
    <w:p w14:paraId="5B3B7C03" w14:textId="5A686A0F" w:rsidR="004B2F61" w:rsidRPr="004B2F61" w:rsidRDefault="00944C1C" w:rsidP="004B2F61">
      <w:pPr>
        <w:rPr>
          <w:lang w:val="en-US"/>
        </w:rPr>
      </w:pPr>
      <w:r w:rsidRPr="00944C1C">
        <w:t xml:space="preserve">Beresford, P. </w:t>
      </w:r>
      <w:r>
        <w:t>(</w:t>
      </w:r>
      <w:r w:rsidRPr="00944C1C">
        <w:t>2019</w:t>
      </w:r>
      <w:r>
        <w:t>)</w:t>
      </w:r>
      <w:r w:rsidRPr="00944C1C">
        <w:t>. Public participation in health and social care: exploring the co-production of knowledge. </w:t>
      </w:r>
      <w:r w:rsidRPr="00944C1C">
        <w:rPr>
          <w:i/>
          <w:iCs/>
        </w:rPr>
        <w:t>Frontiers in Sociology</w:t>
      </w:r>
      <w:r w:rsidRPr="00944C1C">
        <w:t>, </w:t>
      </w:r>
      <w:r w:rsidRPr="00944C1C">
        <w:rPr>
          <w:i/>
          <w:iCs/>
        </w:rPr>
        <w:t>3</w:t>
      </w:r>
      <w:r w:rsidRPr="00944C1C">
        <w:t>, p.41</w:t>
      </w:r>
      <w:r w:rsidR="004B2F61" w:rsidRPr="004B2F61">
        <w:rPr>
          <w:lang w:val="en-US"/>
        </w:rPr>
        <w:t>.</w:t>
      </w:r>
    </w:p>
    <w:sectPr w:rsidR="004B2F61" w:rsidRPr="004B2F61" w:rsidSect="004F600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14EB36" w14:textId="77777777" w:rsidR="00286F6C" w:rsidRDefault="00286F6C" w:rsidP="00F45900">
      <w:pPr>
        <w:spacing w:after="0" w:line="240" w:lineRule="auto"/>
      </w:pPr>
      <w:r>
        <w:separator/>
      </w:r>
    </w:p>
  </w:endnote>
  <w:endnote w:type="continuationSeparator" w:id="0">
    <w:p w14:paraId="48193E7F" w14:textId="77777777" w:rsidR="00286F6C" w:rsidRDefault="00286F6C" w:rsidP="00F459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9736410"/>
      <w:docPartObj>
        <w:docPartGallery w:val="Page Numbers (Bottom of Page)"/>
        <w:docPartUnique/>
      </w:docPartObj>
    </w:sdtPr>
    <w:sdtEndPr>
      <w:rPr>
        <w:noProof/>
      </w:rPr>
    </w:sdtEndPr>
    <w:sdtContent>
      <w:p w14:paraId="2E98DDD9" w14:textId="445F5FD4" w:rsidR="00F45900" w:rsidRDefault="00F459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6B4945" w14:textId="77777777" w:rsidR="00F45900" w:rsidRDefault="00F459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7FE184" w14:textId="77777777" w:rsidR="00286F6C" w:rsidRDefault="00286F6C" w:rsidP="00F45900">
      <w:pPr>
        <w:spacing w:after="0" w:line="240" w:lineRule="auto"/>
      </w:pPr>
      <w:r>
        <w:separator/>
      </w:r>
    </w:p>
  </w:footnote>
  <w:footnote w:type="continuationSeparator" w:id="0">
    <w:p w14:paraId="5FDA3C1A" w14:textId="77777777" w:rsidR="00286F6C" w:rsidRDefault="00286F6C" w:rsidP="00F459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214AB6"/>
    <w:multiLevelType w:val="multilevel"/>
    <w:tmpl w:val="BE4AB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C7356F"/>
    <w:multiLevelType w:val="multilevel"/>
    <w:tmpl w:val="666E00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01512694">
    <w:abstractNumId w:val="0"/>
  </w:num>
  <w:num w:numId="2" w16cid:durableId="19308458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900"/>
    <w:rsid w:val="00020B2D"/>
    <w:rsid w:val="00030CD6"/>
    <w:rsid w:val="00034993"/>
    <w:rsid w:val="00035372"/>
    <w:rsid w:val="00037B6B"/>
    <w:rsid w:val="00056292"/>
    <w:rsid w:val="00091804"/>
    <w:rsid w:val="000B4237"/>
    <w:rsid w:val="000C4384"/>
    <w:rsid w:val="000D3DE5"/>
    <w:rsid w:val="000D3F43"/>
    <w:rsid w:val="00166918"/>
    <w:rsid w:val="001C476E"/>
    <w:rsid w:val="001E290F"/>
    <w:rsid w:val="001F1167"/>
    <w:rsid w:val="001F1B13"/>
    <w:rsid w:val="001F1D2C"/>
    <w:rsid w:val="001F7659"/>
    <w:rsid w:val="0021629B"/>
    <w:rsid w:val="00225792"/>
    <w:rsid w:val="00243ED5"/>
    <w:rsid w:val="002563FE"/>
    <w:rsid w:val="00267D36"/>
    <w:rsid w:val="00283BB5"/>
    <w:rsid w:val="00286F6C"/>
    <w:rsid w:val="002D411F"/>
    <w:rsid w:val="002D7055"/>
    <w:rsid w:val="002E1FF9"/>
    <w:rsid w:val="002E5865"/>
    <w:rsid w:val="002F7C7F"/>
    <w:rsid w:val="00337F9E"/>
    <w:rsid w:val="00393932"/>
    <w:rsid w:val="00422807"/>
    <w:rsid w:val="00425DF3"/>
    <w:rsid w:val="0042620C"/>
    <w:rsid w:val="0043220E"/>
    <w:rsid w:val="004346A2"/>
    <w:rsid w:val="00435508"/>
    <w:rsid w:val="00454AFC"/>
    <w:rsid w:val="0046124B"/>
    <w:rsid w:val="00466C33"/>
    <w:rsid w:val="00476775"/>
    <w:rsid w:val="0049221B"/>
    <w:rsid w:val="004B2F61"/>
    <w:rsid w:val="004B6E06"/>
    <w:rsid w:val="004D2024"/>
    <w:rsid w:val="004D3A34"/>
    <w:rsid w:val="004F600B"/>
    <w:rsid w:val="00516045"/>
    <w:rsid w:val="005733B7"/>
    <w:rsid w:val="005D47FE"/>
    <w:rsid w:val="005D548A"/>
    <w:rsid w:val="005E1A3C"/>
    <w:rsid w:val="005E5DF6"/>
    <w:rsid w:val="005E6463"/>
    <w:rsid w:val="005E77EA"/>
    <w:rsid w:val="005F4AE2"/>
    <w:rsid w:val="006038ED"/>
    <w:rsid w:val="00615B7F"/>
    <w:rsid w:val="006361E0"/>
    <w:rsid w:val="00657766"/>
    <w:rsid w:val="00661E9F"/>
    <w:rsid w:val="00671713"/>
    <w:rsid w:val="00681872"/>
    <w:rsid w:val="00682108"/>
    <w:rsid w:val="0069665D"/>
    <w:rsid w:val="006C5708"/>
    <w:rsid w:val="006D2B9F"/>
    <w:rsid w:val="006E7C63"/>
    <w:rsid w:val="007529E4"/>
    <w:rsid w:val="00756791"/>
    <w:rsid w:val="00782FDA"/>
    <w:rsid w:val="007A476E"/>
    <w:rsid w:val="007E0D79"/>
    <w:rsid w:val="007E51D8"/>
    <w:rsid w:val="007F6C7D"/>
    <w:rsid w:val="00854339"/>
    <w:rsid w:val="008867A1"/>
    <w:rsid w:val="008D1441"/>
    <w:rsid w:val="008D468F"/>
    <w:rsid w:val="008E2525"/>
    <w:rsid w:val="00902C33"/>
    <w:rsid w:val="00922B62"/>
    <w:rsid w:val="009267E2"/>
    <w:rsid w:val="00943D6A"/>
    <w:rsid w:val="00944C1C"/>
    <w:rsid w:val="00946C87"/>
    <w:rsid w:val="009716B3"/>
    <w:rsid w:val="00971CF7"/>
    <w:rsid w:val="00975DF2"/>
    <w:rsid w:val="009776DD"/>
    <w:rsid w:val="0099479D"/>
    <w:rsid w:val="0099580C"/>
    <w:rsid w:val="009A2CDD"/>
    <w:rsid w:val="009B5D6B"/>
    <w:rsid w:val="009B67AF"/>
    <w:rsid w:val="00A03AB3"/>
    <w:rsid w:val="00A35E86"/>
    <w:rsid w:val="00A56D71"/>
    <w:rsid w:val="00A9560E"/>
    <w:rsid w:val="00AB7E4F"/>
    <w:rsid w:val="00AC687E"/>
    <w:rsid w:val="00AD48A4"/>
    <w:rsid w:val="00AD70A6"/>
    <w:rsid w:val="00AE6BC9"/>
    <w:rsid w:val="00B4269A"/>
    <w:rsid w:val="00B502A8"/>
    <w:rsid w:val="00B62F0B"/>
    <w:rsid w:val="00B72ABA"/>
    <w:rsid w:val="00B76A8D"/>
    <w:rsid w:val="00B92E00"/>
    <w:rsid w:val="00BA1FDF"/>
    <w:rsid w:val="00BB3841"/>
    <w:rsid w:val="00BD1C36"/>
    <w:rsid w:val="00BE2FCB"/>
    <w:rsid w:val="00BF4858"/>
    <w:rsid w:val="00C302BF"/>
    <w:rsid w:val="00C53AB9"/>
    <w:rsid w:val="00C54903"/>
    <w:rsid w:val="00C54C6D"/>
    <w:rsid w:val="00C63DD2"/>
    <w:rsid w:val="00C72DB1"/>
    <w:rsid w:val="00C93E69"/>
    <w:rsid w:val="00CB5B2F"/>
    <w:rsid w:val="00CD1E59"/>
    <w:rsid w:val="00CE2DE5"/>
    <w:rsid w:val="00D0052D"/>
    <w:rsid w:val="00D06968"/>
    <w:rsid w:val="00D11DA5"/>
    <w:rsid w:val="00D26575"/>
    <w:rsid w:val="00D415C6"/>
    <w:rsid w:val="00D512F0"/>
    <w:rsid w:val="00D62EC4"/>
    <w:rsid w:val="00D94115"/>
    <w:rsid w:val="00DD7313"/>
    <w:rsid w:val="00DE3FFB"/>
    <w:rsid w:val="00DF18A5"/>
    <w:rsid w:val="00E24B28"/>
    <w:rsid w:val="00E53371"/>
    <w:rsid w:val="00EC13F8"/>
    <w:rsid w:val="00EC76AA"/>
    <w:rsid w:val="00ED1F62"/>
    <w:rsid w:val="00ED6D70"/>
    <w:rsid w:val="00EF3B38"/>
    <w:rsid w:val="00F01FBA"/>
    <w:rsid w:val="00F038C3"/>
    <w:rsid w:val="00F04874"/>
    <w:rsid w:val="00F11367"/>
    <w:rsid w:val="00F1325E"/>
    <w:rsid w:val="00F34E4F"/>
    <w:rsid w:val="00F45900"/>
    <w:rsid w:val="00F51659"/>
    <w:rsid w:val="00F64557"/>
    <w:rsid w:val="00F65FB4"/>
    <w:rsid w:val="00F74783"/>
    <w:rsid w:val="00FA662A"/>
    <w:rsid w:val="00FC059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433C3A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3"/>
    <w:pPr>
      <w:spacing w:after="200" w:line="360" w:lineRule="auto"/>
      <w:jc w:val="both"/>
    </w:pPr>
    <w:rPr>
      <w:rFonts w:ascii="Arial" w:hAnsi="Arial"/>
      <w:color w:val="000000" w:themeColor="text1"/>
      <w:lang w:val="en-GB"/>
      <w14:ligatures w14:val="none"/>
    </w:rPr>
  </w:style>
  <w:style w:type="paragraph" w:styleId="Heading1">
    <w:name w:val="heading 1"/>
    <w:basedOn w:val="Normal"/>
    <w:next w:val="Normal"/>
    <w:link w:val="Heading1Char"/>
    <w:autoRedefine/>
    <w:uiPriority w:val="9"/>
    <w:qFormat/>
    <w:rsid w:val="004B6E06"/>
    <w:pPr>
      <w:keepNext/>
      <w:keepLines/>
      <w:spacing w:before="240" w:after="0"/>
      <w:outlineLvl w:val="0"/>
    </w:pPr>
    <w:rPr>
      <w:rFonts w:eastAsiaTheme="majorEastAsia" w:cstheme="majorBidi"/>
      <w:b/>
      <w:sz w:val="36"/>
      <w:lang w:val="en-IN"/>
    </w:rPr>
  </w:style>
  <w:style w:type="paragraph" w:styleId="Heading2">
    <w:name w:val="heading 2"/>
    <w:basedOn w:val="Normal"/>
    <w:next w:val="Normal"/>
    <w:link w:val="Heading2Char"/>
    <w:autoRedefine/>
    <w:uiPriority w:val="9"/>
    <w:unhideWhenUsed/>
    <w:qFormat/>
    <w:rsid w:val="00F34E4F"/>
    <w:pPr>
      <w:keepNext/>
      <w:keepLines/>
      <w:spacing w:before="40" w:after="0"/>
      <w:outlineLvl w:val="1"/>
    </w:pPr>
    <w:rPr>
      <w:rFonts w:eastAsiaTheme="majorEastAsia" w:cstheme="majorBidi"/>
      <w:b/>
      <w:kern w:val="2"/>
      <w:sz w:val="32"/>
      <w:szCs w:val="26"/>
      <w:lang w:val="en-IN"/>
      <w14:ligatures w14:val="standardContextual"/>
    </w:rPr>
  </w:style>
  <w:style w:type="paragraph" w:styleId="Heading3">
    <w:name w:val="heading 3"/>
    <w:basedOn w:val="Normal"/>
    <w:next w:val="Normal"/>
    <w:link w:val="Heading3Char"/>
    <w:uiPriority w:val="9"/>
    <w:unhideWhenUsed/>
    <w:qFormat/>
    <w:rsid w:val="00B72ABA"/>
    <w:pPr>
      <w:keepNext/>
      <w:keepLines/>
      <w:suppressAutoHyphens/>
      <w:autoSpaceDN w:val="0"/>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F4590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4590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4590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4590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4590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4590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6E06"/>
    <w:rPr>
      <w:rFonts w:ascii="Arial" w:eastAsiaTheme="majorEastAsia" w:hAnsi="Arial" w:cstheme="majorBidi"/>
      <w:b/>
      <w:color w:val="000000" w:themeColor="text1"/>
      <w:sz w:val="36"/>
      <w:lang w:val="en-IN"/>
      <w14:ligatures w14:val="none"/>
    </w:rPr>
  </w:style>
  <w:style w:type="character" w:customStyle="1" w:styleId="Heading2Char">
    <w:name w:val="Heading 2 Char"/>
    <w:basedOn w:val="DefaultParagraphFont"/>
    <w:link w:val="Heading2"/>
    <w:uiPriority w:val="9"/>
    <w:rsid w:val="00F34E4F"/>
    <w:rPr>
      <w:rFonts w:ascii="Times New Roman" w:eastAsiaTheme="majorEastAsia" w:hAnsi="Times New Roman" w:cstheme="majorBidi"/>
      <w:b/>
      <w:color w:val="000000" w:themeColor="text1"/>
      <w:kern w:val="2"/>
      <w:sz w:val="32"/>
      <w:szCs w:val="26"/>
      <w:lang w:val="en-IN"/>
    </w:rPr>
  </w:style>
  <w:style w:type="character" w:customStyle="1" w:styleId="Heading3Char">
    <w:name w:val="Heading 3 Char"/>
    <w:basedOn w:val="DefaultParagraphFont"/>
    <w:link w:val="Heading3"/>
    <w:uiPriority w:val="9"/>
    <w:rsid w:val="00B72ABA"/>
    <w:rPr>
      <w:rFonts w:ascii="Times New Roman" w:eastAsiaTheme="majorEastAsia" w:hAnsi="Times New Roman" w:cstheme="majorBidi"/>
      <w:b/>
      <w:color w:val="000000" w:themeColor="text1"/>
      <w:kern w:val="0"/>
      <w:sz w:val="24"/>
      <w:szCs w:val="24"/>
      <w:lang w:val="en-GB"/>
    </w:rPr>
  </w:style>
  <w:style w:type="character" w:customStyle="1" w:styleId="Heading4Char">
    <w:name w:val="Heading 4 Char"/>
    <w:basedOn w:val="DefaultParagraphFont"/>
    <w:link w:val="Heading4"/>
    <w:uiPriority w:val="9"/>
    <w:semiHidden/>
    <w:rsid w:val="00F45900"/>
    <w:rPr>
      <w:rFonts w:eastAsiaTheme="majorEastAsia" w:cstheme="majorBidi"/>
      <w:i/>
      <w:iCs/>
      <w:color w:val="2F5496" w:themeColor="accent1" w:themeShade="BF"/>
      <w:sz w:val="24"/>
      <w:lang w:val="en-GB"/>
      <w14:ligatures w14:val="none"/>
    </w:rPr>
  </w:style>
  <w:style w:type="character" w:customStyle="1" w:styleId="Heading5Char">
    <w:name w:val="Heading 5 Char"/>
    <w:basedOn w:val="DefaultParagraphFont"/>
    <w:link w:val="Heading5"/>
    <w:uiPriority w:val="9"/>
    <w:semiHidden/>
    <w:rsid w:val="00F45900"/>
    <w:rPr>
      <w:rFonts w:eastAsiaTheme="majorEastAsia" w:cstheme="majorBidi"/>
      <w:color w:val="2F5496" w:themeColor="accent1" w:themeShade="BF"/>
      <w:sz w:val="24"/>
      <w:lang w:val="en-GB"/>
      <w14:ligatures w14:val="none"/>
    </w:rPr>
  </w:style>
  <w:style w:type="character" w:customStyle="1" w:styleId="Heading6Char">
    <w:name w:val="Heading 6 Char"/>
    <w:basedOn w:val="DefaultParagraphFont"/>
    <w:link w:val="Heading6"/>
    <w:uiPriority w:val="9"/>
    <w:semiHidden/>
    <w:rsid w:val="00F45900"/>
    <w:rPr>
      <w:rFonts w:eastAsiaTheme="majorEastAsia" w:cstheme="majorBidi"/>
      <w:i/>
      <w:iCs/>
      <w:color w:val="595959" w:themeColor="text1" w:themeTint="A6"/>
      <w:sz w:val="24"/>
      <w:lang w:val="en-GB"/>
      <w14:ligatures w14:val="none"/>
    </w:rPr>
  </w:style>
  <w:style w:type="character" w:customStyle="1" w:styleId="Heading7Char">
    <w:name w:val="Heading 7 Char"/>
    <w:basedOn w:val="DefaultParagraphFont"/>
    <w:link w:val="Heading7"/>
    <w:uiPriority w:val="9"/>
    <w:semiHidden/>
    <w:rsid w:val="00F45900"/>
    <w:rPr>
      <w:rFonts w:eastAsiaTheme="majorEastAsia" w:cstheme="majorBidi"/>
      <w:color w:val="595959" w:themeColor="text1" w:themeTint="A6"/>
      <w:sz w:val="24"/>
      <w:lang w:val="en-GB"/>
      <w14:ligatures w14:val="none"/>
    </w:rPr>
  </w:style>
  <w:style w:type="character" w:customStyle="1" w:styleId="Heading8Char">
    <w:name w:val="Heading 8 Char"/>
    <w:basedOn w:val="DefaultParagraphFont"/>
    <w:link w:val="Heading8"/>
    <w:uiPriority w:val="9"/>
    <w:semiHidden/>
    <w:rsid w:val="00F45900"/>
    <w:rPr>
      <w:rFonts w:eastAsiaTheme="majorEastAsia" w:cstheme="majorBidi"/>
      <w:i/>
      <w:iCs/>
      <w:color w:val="272727" w:themeColor="text1" w:themeTint="D8"/>
      <w:sz w:val="24"/>
      <w:lang w:val="en-GB"/>
      <w14:ligatures w14:val="none"/>
    </w:rPr>
  </w:style>
  <w:style w:type="character" w:customStyle="1" w:styleId="Heading9Char">
    <w:name w:val="Heading 9 Char"/>
    <w:basedOn w:val="DefaultParagraphFont"/>
    <w:link w:val="Heading9"/>
    <w:uiPriority w:val="9"/>
    <w:semiHidden/>
    <w:rsid w:val="00F45900"/>
    <w:rPr>
      <w:rFonts w:eastAsiaTheme="majorEastAsia" w:cstheme="majorBidi"/>
      <w:color w:val="272727" w:themeColor="text1" w:themeTint="D8"/>
      <w:sz w:val="24"/>
      <w:lang w:val="en-GB"/>
      <w14:ligatures w14:val="none"/>
    </w:rPr>
  </w:style>
  <w:style w:type="paragraph" w:styleId="Title">
    <w:name w:val="Title"/>
    <w:basedOn w:val="Normal"/>
    <w:next w:val="Normal"/>
    <w:link w:val="TitleChar"/>
    <w:uiPriority w:val="10"/>
    <w:qFormat/>
    <w:rsid w:val="00F45900"/>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F45900"/>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F4590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5900"/>
    <w:rPr>
      <w:rFonts w:eastAsiaTheme="majorEastAsia" w:cstheme="majorBidi"/>
      <w:color w:val="595959" w:themeColor="text1" w:themeTint="A6"/>
      <w:spacing w:val="15"/>
      <w:sz w:val="28"/>
      <w:szCs w:val="28"/>
      <w:lang w:val="en-GB"/>
      <w14:ligatures w14:val="none"/>
    </w:rPr>
  </w:style>
  <w:style w:type="paragraph" w:styleId="Quote">
    <w:name w:val="Quote"/>
    <w:basedOn w:val="Normal"/>
    <w:next w:val="Normal"/>
    <w:link w:val="QuoteChar"/>
    <w:uiPriority w:val="29"/>
    <w:qFormat/>
    <w:rsid w:val="00F4590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45900"/>
    <w:rPr>
      <w:rFonts w:ascii="Times New Roman" w:hAnsi="Times New Roman"/>
      <w:i/>
      <w:iCs/>
      <w:color w:val="404040" w:themeColor="text1" w:themeTint="BF"/>
      <w:sz w:val="24"/>
      <w:lang w:val="en-GB"/>
      <w14:ligatures w14:val="none"/>
    </w:rPr>
  </w:style>
  <w:style w:type="paragraph" w:styleId="ListParagraph">
    <w:name w:val="List Paragraph"/>
    <w:basedOn w:val="Normal"/>
    <w:uiPriority w:val="34"/>
    <w:qFormat/>
    <w:rsid w:val="00F45900"/>
    <w:pPr>
      <w:ind w:left="720"/>
      <w:contextualSpacing/>
    </w:pPr>
  </w:style>
  <w:style w:type="character" w:styleId="IntenseEmphasis">
    <w:name w:val="Intense Emphasis"/>
    <w:basedOn w:val="DefaultParagraphFont"/>
    <w:uiPriority w:val="21"/>
    <w:qFormat/>
    <w:rsid w:val="00F45900"/>
    <w:rPr>
      <w:i/>
      <w:iCs/>
      <w:color w:val="2F5496" w:themeColor="accent1" w:themeShade="BF"/>
    </w:rPr>
  </w:style>
  <w:style w:type="paragraph" w:styleId="IntenseQuote">
    <w:name w:val="Intense Quote"/>
    <w:basedOn w:val="Normal"/>
    <w:next w:val="Normal"/>
    <w:link w:val="IntenseQuoteChar"/>
    <w:uiPriority w:val="30"/>
    <w:qFormat/>
    <w:rsid w:val="00F4590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45900"/>
    <w:rPr>
      <w:rFonts w:ascii="Times New Roman" w:hAnsi="Times New Roman"/>
      <w:i/>
      <w:iCs/>
      <w:color w:val="2F5496" w:themeColor="accent1" w:themeShade="BF"/>
      <w:sz w:val="24"/>
      <w:lang w:val="en-GB"/>
      <w14:ligatures w14:val="none"/>
    </w:rPr>
  </w:style>
  <w:style w:type="character" w:styleId="IntenseReference">
    <w:name w:val="Intense Reference"/>
    <w:basedOn w:val="DefaultParagraphFont"/>
    <w:uiPriority w:val="32"/>
    <w:qFormat/>
    <w:rsid w:val="00F45900"/>
    <w:rPr>
      <w:b/>
      <w:bCs/>
      <w:smallCaps/>
      <w:color w:val="2F5496" w:themeColor="accent1" w:themeShade="BF"/>
      <w:spacing w:val="5"/>
    </w:rPr>
  </w:style>
  <w:style w:type="paragraph" w:styleId="TOCHeading">
    <w:name w:val="TOC Heading"/>
    <w:basedOn w:val="Heading1"/>
    <w:next w:val="Normal"/>
    <w:uiPriority w:val="39"/>
    <w:unhideWhenUsed/>
    <w:qFormat/>
    <w:rsid w:val="00F45900"/>
    <w:pPr>
      <w:spacing w:line="259" w:lineRule="auto"/>
      <w:jc w:val="left"/>
      <w:outlineLvl w:val="9"/>
    </w:pPr>
    <w:rPr>
      <w:rFonts w:asciiTheme="majorHAnsi" w:hAnsiTheme="majorHAnsi"/>
      <w:b w:val="0"/>
      <w:color w:val="2F5496" w:themeColor="accent1" w:themeShade="BF"/>
      <w:sz w:val="32"/>
      <w:lang w:val="en-US" w:bidi="hi-IN"/>
    </w:rPr>
  </w:style>
  <w:style w:type="paragraph" w:styleId="TOC1">
    <w:name w:val="toc 1"/>
    <w:basedOn w:val="Normal"/>
    <w:next w:val="Normal"/>
    <w:autoRedefine/>
    <w:uiPriority w:val="39"/>
    <w:unhideWhenUsed/>
    <w:rsid w:val="00F45900"/>
    <w:pPr>
      <w:spacing w:after="100"/>
    </w:pPr>
  </w:style>
  <w:style w:type="character" w:styleId="Hyperlink">
    <w:name w:val="Hyperlink"/>
    <w:basedOn w:val="DefaultParagraphFont"/>
    <w:uiPriority w:val="99"/>
    <w:unhideWhenUsed/>
    <w:rsid w:val="00F45900"/>
    <w:rPr>
      <w:color w:val="0563C1" w:themeColor="hyperlink"/>
      <w:u w:val="single"/>
    </w:rPr>
  </w:style>
  <w:style w:type="paragraph" w:styleId="Header">
    <w:name w:val="header"/>
    <w:basedOn w:val="Normal"/>
    <w:link w:val="HeaderChar"/>
    <w:uiPriority w:val="99"/>
    <w:unhideWhenUsed/>
    <w:rsid w:val="00F459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5900"/>
    <w:rPr>
      <w:rFonts w:ascii="Times New Roman" w:hAnsi="Times New Roman"/>
      <w:color w:val="000000" w:themeColor="text1"/>
      <w:sz w:val="24"/>
      <w:lang w:val="en-GB"/>
      <w14:ligatures w14:val="none"/>
    </w:rPr>
  </w:style>
  <w:style w:type="paragraph" w:styleId="Footer">
    <w:name w:val="footer"/>
    <w:basedOn w:val="Normal"/>
    <w:link w:val="FooterChar"/>
    <w:uiPriority w:val="99"/>
    <w:unhideWhenUsed/>
    <w:rsid w:val="00F459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5900"/>
    <w:rPr>
      <w:rFonts w:ascii="Times New Roman" w:hAnsi="Times New Roman"/>
      <w:color w:val="000000" w:themeColor="text1"/>
      <w:sz w:val="24"/>
      <w:lang w:val="en-GB"/>
      <w14:ligatures w14:val="none"/>
    </w:rPr>
  </w:style>
  <w:style w:type="character" w:styleId="UnresolvedMention">
    <w:name w:val="Unresolved Mention"/>
    <w:basedOn w:val="DefaultParagraphFont"/>
    <w:uiPriority w:val="99"/>
    <w:semiHidden/>
    <w:unhideWhenUsed/>
    <w:rsid w:val="004B2F61"/>
    <w:rPr>
      <w:color w:val="605E5C"/>
      <w:shd w:val="clear" w:color="auto" w:fill="E1DFDD"/>
    </w:rPr>
  </w:style>
  <w:style w:type="character" w:styleId="FollowedHyperlink">
    <w:name w:val="FollowedHyperlink"/>
    <w:basedOn w:val="DefaultParagraphFont"/>
    <w:uiPriority w:val="99"/>
    <w:semiHidden/>
    <w:unhideWhenUsed/>
    <w:rsid w:val="009B5D6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2886</Words>
  <Characters>16456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2025-10-06T11:49:00Z</dcterms:created>
  <dcterms:modified xsi:type="dcterms:W3CDTF">2025-10-08T10:45:00Z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1582a9ae-0797-4258-90a4-c760dd17a654</vt:lpwstr>
  </property>
</Properties>
</file>