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480" w:lineRule="auto"/>
        <w:jc w:val="center"/>
        <w:rPr>
          <w:rFonts w:ascii="Georgia" w:cs="Georgia" w:eastAsia="Georgia" w:hAnsi="Georgia"/>
          <w:b w:val="1"/>
        </w:rPr>
      </w:pPr>
      <w:r w:rsidDel="00000000" w:rsidR="00000000" w:rsidRPr="00000000">
        <w:rPr>
          <w:rtl w:val="0"/>
        </w:rPr>
      </w:r>
    </w:p>
    <w:p w:rsidR="00000000" w:rsidDel="00000000" w:rsidP="00000000" w:rsidRDefault="00000000" w:rsidRPr="00000000" w14:paraId="00000002">
      <w:pPr>
        <w:spacing w:line="480" w:lineRule="auto"/>
        <w:jc w:val="center"/>
        <w:rPr>
          <w:rFonts w:ascii="Georgia" w:cs="Georgia" w:eastAsia="Georgia" w:hAnsi="Georgia"/>
          <w:b w:val="1"/>
        </w:rPr>
      </w:pPr>
      <w:r w:rsidDel="00000000" w:rsidR="00000000" w:rsidRPr="00000000">
        <w:rPr>
          <w:rtl w:val="0"/>
        </w:rPr>
      </w:r>
    </w:p>
    <w:p w:rsidR="00000000" w:rsidDel="00000000" w:rsidP="00000000" w:rsidRDefault="00000000" w:rsidRPr="00000000" w14:paraId="00000003">
      <w:pPr>
        <w:spacing w:line="480" w:lineRule="auto"/>
        <w:jc w:val="center"/>
        <w:rPr>
          <w:rFonts w:ascii="Georgia" w:cs="Georgia" w:eastAsia="Georgia" w:hAnsi="Georgia"/>
          <w:b w:val="1"/>
        </w:rPr>
      </w:pPr>
      <w:r w:rsidDel="00000000" w:rsidR="00000000" w:rsidRPr="00000000">
        <w:rPr>
          <w:rtl w:val="0"/>
        </w:rPr>
      </w:r>
    </w:p>
    <w:p w:rsidR="00000000" w:rsidDel="00000000" w:rsidP="00000000" w:rsidRDefault="00000000" w:rsidRPr="00000000" w14:paraId="00000004">
      <w:pPr>
        <w:spacing w:line="480" w:lineRule="auto"/>
        <w:jc w:val="center"/>
        <w:rPr>
          <w:rFonts w:ascii="Georgia" w:cs="Georgia" w:eastAsia="Georgia" w:hAnsi="Georgia"/>
          <w:b w:val="1"/>
        </w:rPr>
      </w:pPr>
      <w:r w:rsidDel="00000000" w:rsidR="00000000" w:rsidRPr="00000000">
        <w:rPr>
          <w:rtl w:val="0"/>
        </w:rPr>
      </w:r>
    </w:p>
    <w:p w:rsidR="00000000" w:rsidDel="00000000" w:rsidP="00000000" w:rsidRDefault="00000000" w:rsidRPr="00000000" w14:paraId="00000005">
      <w:pPr>
        <w:spacing w:line="480" w:lineRule="auto"/>
        <w:jc w:val="center"/>
        <w:rPr>
          <w:rFonts w:ascii="Georgia" w:cs="Georgia" w:eastAsia="Georgia" w:hAnsi="Georgia"/>
          <w:b w:val="1"/>
        </w:rPr>
      </w:pPr>
      <w:r w:rsidDel="00000000" w:rsidR="00000000" w:rsidRPr="00000000">
        <w:rPr>
          <w:rtl w:val="0"/>
        </w:rPr>
      </w:r>
    </w:p>
    <w:p w:rsidR="00000000" w:rsidDel="00000000" w:rsidP="00000000" w:rsidRDefault="00000000" w:rsidRPr="00000000" w14:paraId="00000006">
      <w:pPr>
        <w:spacing w:line="480" w:lineRule="auto"/>
        <w:jc w:val="center"/>
        <w:rPr>
          <w:rFonts w:ascii="Georgia" w:cs="Georgia" w:eastAsia="Georgia" w:hAnsi="Georgia"/>
          <w:b w:val="1"/>
        </w:rPr>
      </w:pPr>
      <w:r w:rsidDel="00000000" w:rsidR="00000000" w:rsidRPr="00000000">
        <w:rPr>
          <w:rFonts w:ascii="Georgia" w:cs="Georgia" w:eastAsia="Georgia" w:hAnsi="Georgia"/>
          <w:b w:val="1"/>
          <w:rtl w:val="0"/>
        </w:rPr>
        <w:t xml:space="preserve">Material Culture in Theory: A Case Study</w:t>
      </w:r>
    </w:p>
    <w:p w:rsidR="00000000" w:rsidDel="00000000" w:rsidP="00000000" w:rsidRDefault="00000000" w:rsidRPr="00000000" w14:paraId="00000007">
      <w:pPr>
        <w:spacing w:line="480" w:lineRule="auto"/>
        <w:jc w:val="center"/>
        <w:rPr>
          <w:rFonts w:ascii="Georgia" w:cs="Georgia" w:eastAsia="Georgia" w:hAnsi="Georgia"/>
        </w:rPr>
      </w:pPr>
      <w:r w:rsidDel="00000000" w:rsidR="00000000" w:rsidRPr="00000000">
        <w:rPr>
          <w:rtl w:val="0"/>
        </w:rPr>
      </w:r>
    </w:p>
    <w:p w:rsidR="00000000" w:rsidDel="00000000" w:rsidP="00000000" w:rsidRDefault="00000000" w:rsidRPr="00000000" w14:paraId="00000008">
      <w:pPr>
        <w:spacing w:line="480" w:lineRule="auto"/>
        <w:jc w:val="center"/>
        <w:rPr>
          <w:rFonts w:ascii="Georgia" w:cs="Georgia" w:eastAsia="Georgia" w:hAnsi="Georgia"/>
        </w:rPr>
      </w:pPr>
      <w:r w:rsidDel="00000000" w:rsidR="00000000" w:rsidRPr="00000000">
        <w:rPr>
          <w:rtl w:val="0"/>
        </w:rPr>
      </w:r>
    </w:p>
    <w:p w:rsidR="00000000" w:rsidDel="00000000" w:rsidP="00000000" w:rsidRDefault="00000000" w:rsidRPr="00000000" w14:paraId="00000009">
      <w:pPr>
        <w:spacing w:line="480" w:lineRule="auto"/>
        <w:jc w:val="center"/>
        <w:rPr>
          <w:rFonts w:ascii="Georgia" w:cs="Georgia" w:eastAsia="Georgia" w:hAnsi="Georgia"/>
        </w:rPr>
      </w:pPr>
      <w:r w:rsidDel="00000000" w:rsidR="00000000" w:rsidRPr="00000000">
        <w:rPr>
          <w:rFonts w:ascii="Georgia" w:cs="Georgia" w:eastAsia="Georgia" w:hAnsi="Georgia"/>
          <w:rtl w:val="0"/>
        </w:rPr>
        <w:t xml:space="preserve">Mariana S Vargas Gonzalez</w:t>
      </w:r>
    </w:p>
    <w:p w:rsidR="00000000" w:rsidDel="00000000" w:rsidP="00000000" w:rsidRDefault="00000000" w:rsidRPr="00000000" w14:paraId="0000000A">
      <w:pPr>
        <w:spacing w:line="480" w:lineRule="auto"/>
        <w:jc w:val="center"/>
        <w:rPr>
          <w:rFonts w:ascii="Georgia" w:cs="Georgia" w:eastAsia="Georgia" w:hAnsi="Georgia"/>
        </w:rPr>
      </w:pPr>
      <w:r w:rsidDel="00000000" w:rsidR="00000000" w:rsidRPr="00000000">
        <w:rPr>
          <w:rFonts w:ascii="Georgia" w:cs="Georgia" w:eastAsia="Georgia" w:hAnsi="Georgia"/>
          <w:rtl w:val="0"/>
        </w:rPr>
        <w:t xml:space="preserve">University of Wales Trinity Saint David</w:t>
      </w:r>
    </w:p>
    <w:p w:rsidR="00000000" w:rsidDel="00000000" w:rsidP="00000000" w:rsidRDefault="00000000" w:rsidRPr="00000000" w14:paraId="0000000B">
      <w:pPr>
        <w:spacing w:line="480" w:lineRule="auto"/>
        <w:jc w:val="center"/>
        <w:rPr>
          <w:rFonts w:ascii="Georgia" w:cs="Georgia" w:eastAsia="Georgia" w:hAnsi="Georgia"/>
        </w:rPr>
      </w:pPr>
      <w:r w:rsidDel="00000000" w:rsidR="00000000" w:rsidRPr="00000000">
        <w:rPr>
          <w:rFonts w:ascii="Georgia" w:cs="Georgia" w:eastAsia="Georgia" w:hAnsi="Georgia"/>
          <w:rtl w:val="0"/>
        </w:rPr>
        <w:t xml:space="preserve">HPAN5044: Materialities in Anthropology</w:t>
      </w:r>
    </w:p>
    <w:p w:rsidR="00000000" w:rsidDel="00000000" w:rsidP="00000000" w:rsidRDefault="00000000" w:rsidRPr="00000000" w14:paraId="0000000C">
      <w:pPr>
        <w:spacing w:line="480" w:lineRule="auto"/>
        <w:jc w:val="center"/>
        <w:rPr>
          <w:rFonts w:ascii="Georgia" w:cs="Georgia" w:eastAsia="Georgia" w:hAnsi="Georgia"/>
        </w:rPr>
      </w:pPr>
      <w:r w:rsidDel="00000000" w:rsidR="00000000" w:rsidRPr="00000000">
        <w:rPr>
          <w:rFonts w:ascii="Georgia" w:cs="Georgia" w:eastAsia="Georgia" w:hAnsi="Georgia"/>
          <w:rtl w:val="0"/>
        </w:rPr>
        <w:t xml:space="preserve">Dr. Ryan O’Byrne</w:t>
      </w:r>
    </w:p>
    <w:p w:rsidR="00000000" w:rsidDel="00000000" w:rsidP="00000000" w:rsidRDefault="00000000" w:rsidRPr="00000000" w14:paraId="0000000D">
      <w:pPr>
        <w:spacing w:line="480" w:lineRule="auto"/>
        <w:jc w:val="center"/>
        <w:rPr>
          <w:rFonts w:ascii="Georgia" w:cs="Georgia" w:eastAsia="Georgia" w:hAnsi="Georgia"/>
        </w:rPr>
      </w:pPr>
      <w:r w:rsidDel="00000000" w:rsidR="00000000" w:rsidRPr="00000000">
        <w:rPr>
          <w:rFonts w:ascii="Georgia" w:cs="Georgia" w:eastAsia="Georgia" w:hAnsi="Georgia"/>
          <w:rtl w:val="0"/>
        </w:rPr>
        <w:t xml:space="preserve">October 12, 2025</w:t>
      </w:r>
    </w:p>
    <w:p w:rsidR="00000000" w:rsidDel="00000000" w:rsidP="00000000" w:rsidRDefault="00000000" w:rsidRPr="00000000" w14:paraId="0000000E">
      <w:pPr>
        <w:spacing w:line="480" w:lineRule="auto"/>
        <w:jc w:val="center"/>
        <w:rPr>
          <w:rFonts w:ascii="Georgia" w:cs="Georgia" w:eastAsia="Georgia" w:hAnsi="Georgia"/>
        </w:rPr>
      </w:pPr>
      <w:r w:rsidDel="00000000" w:rsidR="00000000" w:rsidRPr="00000000">
        <w:rPr>
          <w:rtl w:val="0"/>
        </w:rPr>
      </w:r>
    </w:p>
    <w:p w:rsidR="00000000" w:rsidDel="00000000" w:rsidP="00000000" w:rsidRDefault="00000000" w:rsidRPr="00000000" w14:paraId="0000000F">
      <w:pPr>
        <w:spacing w:line="480" w:lineRule="auto"/>
        <w:jc w:val="center"/>
        <w:rPr>
          <w:rFonts w:ascii="Georgia" w:cs="Georgia" w:eastAsia="Georgia" w:hAnsi="Georgia"/>
        </w:rPr>
      </w:pPr>
      <w:r w:rsidDel="00000000" w:rsidR="00000000" w:rsidRPr="00000000">
        <w:rPr>
          <w:rtl w:val="0"/>
        </w:rPr>
      </w:r>
    </w:p>
    <w:p w:rsidR="00000000" w:rsidDel="00000000" w:rsidP="00000000" w:rsidRDefault="00000000" w:rsidRPr="00000000" w14:paraId="00000010">
      <w:pPr>
        <w:spacing w:line="480" w:lineRule="auto"/>
        <w:jc w:val="center"/>
        <w:rPr>
          <w:rFonts w:ascii="Georgia" w:cs="Georgia" w:eastAsia="Georgia" w:hAnsi="Georgia"/>
        </w:rPr>
      </w:pPr>
      <w:r w:rsidDel="00000000" w:rsidR="00000000" w:rsidRPr="00000000">
        <w:rPr>
          <w:rtl w:val="0"/>
        </w:rPr>
      </w:r>
    </w:p>
    <w:p w:rsidR="00000000" w:rsidDel="00000000" w:rsidP="00000000" w:rsidRDefault="00000000" w:rsidRPr="00000000" w14:paraId="00000011">
      <w:pPr>
        <w:spacing w:line="480" w:lineRule="auto"/>
        <w:jc w:val="center"/>
        <w:rPr>
          <w:rFonts w:ascii="Georgia" w:cs="Georgia" w:eastAsia="Georgia" w:hAnsi="Georgia"/>
        </w:rPr>
      </w:pPr>
      <w:r w:rsidDel="00000000" w:rsidR="00000000" w:rsidRPr="00000000">
        <w:rPr>
          <w:rtl w:val="0"/>
        </w:rPr>
      </w:r>
    </w:p>
    <w:p w:rsidR="00000000" w:rsidDel="00000000" w:rsidP="00000000" w:rsidRDefault="00000000" w:rsidRPr="00000000" w14:paraId="00000012">
      <w:pPr>
        <w:spacing w:line="480" w:lineRule="auto"/>
        <w:jc w:val="center"/>
        <w:rPr>
          <w:rFonts w:ascii="Georgia" w:cs="Georgia" w:eastAsia="Georgia" w:hAnsi="Georgia"/>
        </w:rPr>
      </w:pPr>
      <w:r w:rsidDel="00000000" w:rsidR="00000000" w:rsidRPr="00000000">
        <w:rPr>
          <w:rtl w:val="0"/>
        </w:rPr>
      </w:r>
    </w:p>
    <w:p w:rsidR="00000000" w:rsidDel="00000000" w:rsidP="00000000" w:rsidRDefault="00000000" w:rsidRPr="00000000" w14:paraId="00000013">
      <w:pPr>
        <w:spacing w:line="480" w:lineRule="auto"/>
        <w:jc w:val="center"/>
        <w:rPr>
          <w:rFonts w:ascii="Georgia" w:cs="Georgia" w:eastAsia="Georgia" w:hAnsi="Georgia"/>
        </w:rPr>
      </w:pPr>
      <w:r w:rsidDel="00000000" w:rsidR="00000000" w:rsidRPr="00000000">
        <w:rPr>
          <w:rtl w:val="0"/>
        </w:rPr>
      </w:r>
    </w:p>
    <w:p w:rsidR="00000000" w:rsidDel="00000000" w:rsidP="00000000" w:rsidRDefault="00000000" w:rsidRPr="00000000" w14:paraId="00000014">
      <w:pPr>
        <w:spacing w:line="480" w:lineRule="auto"/>
        <w:jc w:val="center"/>
        <w:rPr>
          <w:rFonts w:ascii="Georgia" w:cs="Georgia" w:eastAsia="Georgia" w:hAnsi="Georgia"/>
        </w:rPr>
      </w:pPr>
      <w:r w:rsidDel="00000000" w:rsidR="00000000" w:rsidRPr="00000000">
        <w:rPr>
          <w:rtl w:val="0"/>
        </w:rPr>
      </w:r>
    </w:p>
    <w:p w:rsidR="00000000" w:rsidDel="00000000" w:rsidP="00000000" w:rsidRDefault="00000000" w:rsidRPr="00000000" w14:paraId="00000015">
      <w:pPr>
        <w:spacing w:line="480" w:lineRule="auto"/>
        <w:jc w:val="center"/>
        <w:rPr>
          <w:rFonts w:ascii="Georgia" w:cs="Georgia" w:eastAsia="Georgia" w:hAnsi="Georgia"/>
        </w:rPr>
      </w:pPr>
      <w:r w:rsidDel="00000000" w:rsidR="00000000" w:rsidRPr="00000000">
        <w:rPr>
          <w:rtl w:val="0"/>
        </w:rPr>
      </w:r>
    </w:p>
    <w:p w:rsidR="00000000" w:rsidDel="00000000" w:rsidP="00000000" w:rsidRDefault="00000000" w:rsidRPr="00000000" w14:paraId="00000016">
      <w:pPr>
        <w:spacing w:line="480" w:lineRule="auto"/>
        <w:jc w:val="center"/>
        <w:rPr>
          <w:rFonts w:ascii="Georgia" w:cs="Georgia" w:eastAsia="Georgia" w:hAnsi="Georgia"/>
        </w:rPr>
      </w:pPr>
      <w:r w:rsidDel="00000000" w:rsidR="00000000" w:rsidRPr="00000000">
        <w:rPr>
          <w:rtl w:val="0"/>
        </w:rPr>
      </w:r>
    </w:p>
    <w:p w:rsidR="00000000" w:rsidDel="00000000" w:rsidP="00000000" w:rsidRDefault="00000000" w:rsidRPr="00000000" w14:paraId="00000017">
      <w:pPr>
        <w:spacing w:line="480" w:lineRule="auto"/>
        <w:jc w:val="center"/>
        <w:rPr>
          <w:rFonts w:ascii="Georgia" w:cs="Georgia" w:eastAsia="Georgia" w:hAnsi="Georgia"/>
        </w:rPr>
      </w:pPr>
      <w:r w:rsidDel="00000000" w:rsidR="00000000" w:rsidRPr="00000000">
        <w:rPr>
          <w:rtl w:val="0"/>
        </w:rPr>
      </w:r>
    </w:p>
    <w:p w:rsidR="00000000" w:rsidDel="00000000" w:rsidP="00000000" w:rsidRDefault="00000000" w:rsidRPr="00000000" w14:paraId="00000018">
      <w:pPr>
        <w:spacing w:line="480" w:lineRule="auto"/>
        <w:jc w:val="center"/>
        <w:rPr>
          <w:rFonts w:ascii="Georgia" w:cs="Georgia" w:eastAsia="Georgia" w:hAnsi="Georgia"/>
        </w:rPr>
      </w:pPr>
      <w:r w:rsidDel="00000000" w:rsidR="00000000" w:rsidRPr="00000000">
        <w:rPr>
          <w:rtl w:val="0"/>
        </w:rPr>
      </w:r>
    </w:p>
    <w:p w:rsidR="00000000" w:rsidDel="00000000" w:rsidP="00000000" w:rsidRDefault="00000000" w:rsidRPr="00000000" w14:paraId="00000019">
      <w:pPr>
        <w:spacing w:line="480" w:lineRule="auto"/>
        <w:rPr>
          <w:rFonts w:ascii="Georgia" w:cs="Georgia" w:eastAsia="Georgia" w:hAnsi="Georgia"/>
        </w:rPr>
      </w:pPr>
      <w:r w:rsidDel="00000000" w:rsidR="00000000" w:rsidRPr="00000000">
        <w:rPr>
          <w:rtl w:val="0"/>
        </w:rPr>
      </w:r>
    </w:p>
    <w:p w:rsidR="00000000" w:rsidDel="00000000" w:rsidP="00000000" w:rsidRDefault="00000000" w:rsidRPr="00000000" w14:paraId="0000001A">
      <w:pPr>
        <w:spacing w:line="480" w:lineRule="auto"/>
        <w:rPr>
          <w:rFonts w:ascii="Georgia" w:cs="Georgia" w:eastAsia="Georgia" w:hAnsi="Georgia"/>
        </w:rPr>
      </w:pPr>
      <w:r w:rsidDel="00000000" w:rsidR="00000000" w:rsidRPr="00000000">
        <w:rPr>
          <w:rtl w:val="0"/>
        </w:rPr>
      </w:r>
    </w:p>
    <w:p w:rsidR="00000000" w:rsidDel="00000000" w:rsidP="00000000" w:rsidRDefault="00000000" w:rsidRPr="00000000" w14:paraId="0000001B">
      <w:pPr>
        <w:spacing w:line="480" w:lineRule="auto"/>
        <w:jc w:val="center"/>
        <w:rPr>
          <w:rFonts w:ascii="Georgia" w:cs="Georgia" w:eastAsia="Georgia" w:hAnsi="Georgia"/>
          <w:b w:val="1"/>
        </w:rPr>
      </w:pPr>
      <w:r w:rsidDel="00000000" w:rsidR="00000000" w:rsidRPr="00000000">
        <w:rPr>
          <w:rFonts w:ascii="Georgia" w:cs="Georgia" w:eastAsia="Georgia" w:hAnsi="Georgia"/>
          <w:b w:val="1"/>
          <w:rtl w:val="0"/>
        </w:rPr>
        <w:t xml:space="preserve">Introduction</w:t>
      </w:r>
    </w:p>
    <w:p w:rsidR="00000000" w:rsidDel="00000000" w:rsidP="00000000" w:rsidRDefault="00000000" w:rsidRPr="00000000" w14:paraId="0000001C">
      <w:pPr>
        <w:spacing w:line="480" w:lineRule="auto"/>
        <w:jc w:val="left"/>
        <w:rPr>
          <w:rFonts w:ascii="Georgia" w:cs="Georgia" w:eastAsia="Georgia" w:hAnsi="Georgia"/>
        </w:rPr>
      </w:pPr>
      <w:r w:rsidDel="00000000" w:rsidR="00000000" w:rsidRPr="00000000">
        <w:rPr>
          <w:rFonts w:ascii="Georgia" w:cs="Georgia" w:eastAsia="Georgia" w:hAnsi="Georgia"/>
          <w:rtl w:val="0"/>
        </w:rPr>
        <w:tab/>
        <w:t xml:space="preserve">Objects and materials are more than just their physical forms. They are capable of holding meaning and connections that show how humans live, work, and interact. Beer is one such material that reflects how history and society can both be represented in an everyday object. Beer is more than just an alcoholic drink. It can represent human creativity, social identity, and community. By analyzing beer as both a material and a societal symbol, it is possible to see how an everyday product can reveal things about human life and social patterns. Beer’s existence came into fruition thousands of years ago, making it one of the oldest alcoholic beverages known to man (Tonelli, 2009). Its origins trace back to ancient Mesopotamia, where people first learnt about the process of fermenting barley (Young, 2025). The process of its production was later adopted and adjusted by the Egyptians, and their new methods then managed to spread to Europe (Young, 2025). As time progressed, the art of beer making became a very important craft, continuing to spread through to the Middle Ages, and then the Industrial Revolution, all the way until the 21st century today (Young, 2025). Now, beer is mass-produced and consumed throughout the entire globe, demonstrating how a simple process of fermentation that began years ago has now developed into an industry and culture recognized across the world. The importance of beer, though, is more than just its physical production. Beer is also strongly tied to social meanings, particularly those related to gender. Throughout history, the general perception of beer has been deemed as masculine via advertisement and public behaviour (Thurnell-Read, 2022; Lemle &amp; Mishkind, 1989). Beer's role in its perception can be assessed using materialist theories, such as that of Judith Butler. In addition to social meanings, beer is also strongly tied to the creation of social relationships. Across the world, beer can be found to be a continuous factor in bringing people together in places like pubs, bars, games, and celebrations, contributing to the creation of spaces for interaction and connection. Such a role in influencing social interaction and relationships can also be assessed using materialist theories, particularly that of Bruno Latour’s. Before exploring these theories, though, it is important to fully understand beer in its entire material form.</w:t>
      </w:r>
    </w:p>
    <w:p w:rsidR="00000000" w:rsidDel="00000000" w:rsidP="00000000" w:rsidRDefault="00000000" w:rsidRPr="00000000" w14:paraId="0000001D">
      <w:pPr>
        <w:spacing w:line="480" w:lineRule="auto"/>
        <w:jc w:val="center"/>
        <w:rPr>
          <w:rFonts w:ascii="Georgia" w:cs="Georgia" w:eastAsia="Georgia" w:hAnsi="Georgia"/>
          <w:b w:val="1"/>
        </w:rPr>
      </w:pPr>
      <w:r w:rsidDel="00000000" w:rsidR="00000000" w:rsidRPr="00000000">
        <w:rPr>
          <w:rFonts w:ascii="Georgia" w:cs="Georgia" w:eastAsia="Georgia" w:hAnsi="Georgia"/>
          <w:b w:val="1"/>
          <w:rtl w:val="0"/>
        </w:rPr>
        <w:t xml:space="preserve">Beer: Material Definition</w:t>
      </w:r>
    </w:p>
    <w:p w:rsidR="00000000" w:rsidDel="00000000" w:rsidP="00000000" w:rsidRDefault="00000000" w:rsidRPr="00000000" w14:paraId="0000001E">
      <w:pPr>
        <w:spacing w:line="480" w:lineRule="auto"/>
        <w:jc w:val="left"/>
        <w:rPr>
          <w:rFonts w:ascii="Georgia" w:cs="Georgia" w:eastAsia="Georgia" w:hAnsi="Georgia"/>
        </w:rPr>
      </w:pPr>
      <w:r w:rsidDel="00000000" w:rsidR="00000000" w:rsidRPr="00000000">
        <w:rPr>
          <w:rFonts w:ascii="Georgia" w:cs="Georgia" w:eastAsia="Georgia" w:hAnsi="Georgia"/>
          <w:rtl w:val="0"/>
        </w:rPr>
        <w:tab/>
        <w:t xml:space="preserve">One of the oldest alcoholic beverages known in history is beer (Tonelli, 2009). Its production revolves around the fermentation of germinated cereal grains, along with the occasional addition of herbs, fruits or spices to introduce flavours (Tonelli, 2009). The introduction of these different ingredients, along with differences in production and storage, are what give people the large variety of beers that exist today (Tonelli, 2009). This drink, which is known globally to this day, has its origins in Sumer and Babylonia before 6000 BCE, where it was made from fermented barley (Young, 2025). Later evidence showed early Egyptians using germinated barley dried into cakes, which generated fermentable extract when combined with water (Young, 2025). Basic brewing techniques then made their way to Europe, where ale was recorded to be consumed by Saxons, Celts, Nordic and Germanic tribes, which is the reason for many brewing terms in English having Anglo-Saxon origin (Young, 2025). Monastic orders later preserved brewing throughout the Middle Ages, introducing hops to Germany and Britain, and giving rise to the production of lagers via new fermentation techniques (Young, 2025). During the Industrial Revolution, mechanized brewing came into fruition, as well as new microbiological practices used in brewing (Young, 2025). Today, beer has become one of the most popular drinks produced industrially worldwide (Young, 2025). The production of beer consists of six main steps: malting, milling, mashing, filtering, boiling and fermentation (Thesseling et al., 2019). In its first step, barley or other cereals are malted, activating enzymes that convert starches to sugars, break down proteins, and modify the grain (Thesseling et al., 2019). During this step, drying and kilning also take place to stop germination (Thesseling et al., 2019). In the next two steps, mashing mixes malt with hot water to convert starch into sugars, after which milling breaks grains for extraction (Young, 2025). Filtering then separates spent grains from wort, which are then boiled (Thesseling et al., 2019). The boiling process adds hops for bitterness and aroma, removes off-flavours, and prepares the wort for fermentation (Thesseling et al., 2019). Finally, during fermentation, yeast converts the wort’s sugars into alcohol and CO2, producing young beer (Young, 2025). As can be seen, beer’s history and production illustrate a strong material complexity behind this object. In addition to this, though, beer also possesses strong social meanings and associations.</w:t>
      </w:r>
    </w:p>
    <w:p w:rsidR="00000000" w:rsidDel="00000000" w:rsidP="00000000" w:rsidRDefault="00000000" w:rsidRPr="00000000" w14:paraId="0000001F">
      <w:pPr>
        <w:spacing w:line="480" w:lineRule="auto"/>
        <w:jc w:val="center"/>
        <w:rPr>
          <w:rFonts w:ascii="Georgia" w:cs="Georgia" w:eastAsia="Georgia" w:hAnsi="Georgia"/>
          <w:b w:val="1"/>
        </w:rPr>
      </w:pPr>
      <w:r w:rsidDel="00000000" w:rsidR="00000000" w:rsidRPr="00000000">
        <w:rPr>
          <w:rFonts w:ascii="Georgia" w:cs="Georgia" w:eastAsia="Georgia" w:hAnsi="Georgia"/>
          <w:b w:val="1"/>
          <w:rtl w:val="0"/>
        </w:rPr>
        <w:t xml:space="preserve">Beer: Gender and the Material</w:t>
      </w:r>
    </w:p>
    <w:p w:rsidR="00000000" w:rsidDel="00000000" w:rsidP="00000000" w:rsidRDefault="00000000" w:rsidRPr="00000000" w14:paraId="00000020">
      <w:pPr>
        <w:spacing w:line="480" w:lineRule="auto"/>
        <w:ind w:firstLine="720"/>
        <w:rPr>
          <w:rFonts w:ascii="Georgia" w:cs="Georgia" w:eastAsia="Georgia" w:hAnsi="Georgia"/>
        </w:rPr>
      </w:pPr>
      <w:r w:rsidDel="00000000" w:rsidR="00000000" w:rsidRPr="00000000">
        <w:rPr>
          <w:rFonts w:ascii="Georgia" w:cs="Georgia" w:eastAsia="Georgia" w:hAnsi="Georgia"/>
          <w:rtl w:val="0"/>
        </w:rPr>
        <w:t xml:space="preserve">The concept and usage of beer has, for a long time, possessed ties with the performance and perception of gendered norms in society. Throughout history, beer has been regarded as a representative of masculinity in terms of both its physical description and its use, be it through its production or consumption. When it comes to beer in the physical sense, such as its colour, texture, and taste, there are many distinct assumptions about the type of beer styles that each gender prefers (Thurnell-Read, 2022). Softer, sweeter and lighter beers, for instance, are generally associated with being feminine, whilst stronger, darker and heavier beers are seen as masculine (Thurnell-Read, 2022). Its physical delivery through advertising is also largely tied to its association with masculinity. Most beer ads contain male actors over female, and their characters are often given stereotypically masculine roles such as athletes and handymen (Lemle &amp; Mishkind, 1989). Similarly, many beer ads depict symbols of male ritualistic initiation like fraternal union (Lemle &amp; Mishkind, 1989). This depiction of beer as masculine and the social norms it imposes can be linked to Judith Butler’s theory of gender performativity. This theory argues that gender is constructed through repeated acts of performance, particularly those which are performed not voluntarily, but out of compulsion to societal norms (Butler, 1999). In this sense, Butler’s theory can be applied to the everyday consumption of beer, classifying it not only as a material but also as an event that enforces gender norms. An example of this would be the previously mentioned perception that women and men prefer differing styles of beer. Because light beers are “feminine” and dark beers are “masculine”, women and men then often feel repeatedly inclined to consume the style of beer expected of their gender, reinforcing gender through action as Butler’s theory suggests. The gender roles reinforced extend further than just the material sense of beer, they can also be seen in the various settings it creates, such as its production and distribution. In the early history of beer, the Egyptians viewed its production as a role delegated to women (Poelmans &amp; Swinnen, 2012). Such was the case up until the eight century when brewing beer switched from being a female-centred task to becoming male-dominated (Poelmans &amp; Swinnen, 2012). This new gendering of beer production then proceeded to become the new norm through repeated acts of performance, which we commonly still see in industrial breweries to this day, once more connecting to Butler’s theory of gender performativity.</w:t>
      </w:r>
    </w:p>
    <w:p w:rsidR="00000000" w:rsidDel="00000000" w:rsidP="00000000" w:rsidRDefault="00000000" w:rsidRPr="00000000" w14:paraId="00000021">
      <w:pPr>
        <w:spacing w:line="480" w:lineRule="auto"/>
        <w:jc w:val="center"/>
        <w:rPr>
          <w:rFonts w:ascii="Georgia" w:cs="Georgia" w:eastAsia="Georgia" w:hAnsi="Georgia"/>
          <w:b w:val="1"/>
        </w:rPr>
      </w:pPr>
      <w:r w:rsidDel="00000000" w:rsidR="00000000" w:rsidRPr="00000000">
        <w:rPr>
          <w:rFonts w:ascii="Georgia" w:cs="Georgia" w:eastAsia="Georgia" w:hAnsi="Georgia"/>
          <w:b w:val="1"/>
          <w:rtl w:val="0"/>
        </w:rPr>
        <w:t xml:space="preserve">Beer: Material of Social Interaction</w:t>
      </w:r>
    </w:p>
    <w:p w:rsidR="00000000" w:rsidDel="00000000" w:rsidP="00000000" w:rsidRDefault="00000000" w:rsidRPr="00000000" w14:paraId="00000022">
      <w:pPr>
        <w:spacing w:line="480" w:lineRule="auto"/>
        <w:jc w:val="left"/>
        <w:rPr>
          <w:rFonts w:ascii="Georgia" w:cs="Georgia" w:eastAsia="Georgia" w:hAnsi="Georgia"/>
        </w:rPr>
      </w:pPr>
      <w:r w:rsidDel="00000000" w:rsidR="00000000" w:rsidRPr="00000000">
        <w:rPr>
          <w:rFonts w:ascii="Georgia" w:cs="Georgia" w:eastAsia="Georgia" w:hAnsi="Georgia"/>
          <w:rtl w:val="0"/>
        </w:rPr>
        <w:tab/>
        <w:t xml:space="preserve">Gender norms, though, are not the only influence that beer and its generated settings impose on society. In fact, beer can also play a large role in creating both social settings and relationships. Be it a pub, a bar, a sporting venue or a domestic gathering, beer can often be found to be the primary highlight of these settings. Pubs, specifically, revolve around the action of consuming beer, among other alcohols, in the company of others. As a result, much of the construction surrounding pubs revolves around creating a public venue that invites people to come together to drink. Items such as warm lighting, wooden furniture, and collective seating help create a sense of welcome and familiarity, inviting people to partake. These social settings produced by beer are then able to foster social relationships between people. The act of drinking beer in spaces meant for public gatherings can influence and encourage social interaction, conversation, and engagement between groups of people. This concept of beer being capable of generating social settings and relationships can be viewed through the lens of Bruno Latour’s Actor-Network Theory (ANT). ANT argues the notion that agency is located solely within individuals (Latour, 2005). It views agency as arising through networks of relations which are emergent, contextual, and distributed across both humans and nonhumans (Latour, 2005). This way, objects are not just instruments that carry out human will, they are instead mediators that can transform the connections passing through them (Latour, 2005). Essentially, Latour suggests the principle of generalized symmetry, which means that it should not be assumed that objects are passive tools incapable of action (Latour, 2005). Instead, ANT argues that even non-human entities are capable of affecting and shaping social life (Latour, 2005). Latour’s Actor-Network Theory is then capable of being applied to the social relationships generated by beer. As mentioned, beer can be seen as a mediator in settings such as pubs or bars, which helps organize social behaviours and influence interaction. Through the perspective of ANT, elements such as beer itself, the glassware in which it is held, the lighting, and the furniture of a pub all operate as what Latour calls actants (Latour, 2005). Actant refers to any being that affects others (Latour, 2005). As a result, beer does not simply reflect existing social relationships. Instead, it actively contributes in creating them. The sense of community associated with beer is therefore co-produced through human and non-human interactions, much like Latour’s ANT suggests (Latour, 2005).</w:t>
      </w:r>
    </w:p>
    <w:p w:rsidR="00000000" w:rsidDel="00000000" w:rsidP="00000000" w:rsidRDefault="00000000" w:rsidRPr="00000000" w14:paraId="00000023">
      <w:pPr>
        <w:spacing w:line="480" w:lineRule="auto"/>
        <w:jc w:val="center"/>
        <w:rPr>
          <w:rFonts w:ascii="Georgia" w:cs="Georgia" w:eastAsia="Georgia" w:hAnsi="Georgia"/>
          <w:b w:val="1"/>
        </w:rPr>
      </w:pPr>
      <w:r w:rsidDel="00000000" w:rsidR="00000000" w:rsidRPr="00000000">
        <w:rPr>
          <w:rFonts w:ascii="Georgia" w:cs="Georgia" w:eastAsia="Georgia" w:hAnsi="Georgia"/>
          <w:b w:val="1"/>
          <w:rtl w:val="0"/>
        </w:rPr>
        <w:t xml:space="preserve">Conclusion</w:t>
      </w:r>
    </w:p>
    <w:p w:rsidR="00000000" w:rsidDel="00000000" w:rsidP="00000000" w:rsidRDefault="00000000" w:rsidRPr="00000000" w14:paraId="00000024">
      <w:pPr>
        <w:spacing w:line="480" w:lineRule="auto"/>
        <w:ind w:firstLine="720"/>
        <w:rPr>
          <w:rFonts w:ascii="Georgia" w:cs="Georgia" w:eastAsia="Georgia" w:hAnsi="Georgia"/>
        </w:rPr>
      </w:pPr>
      <w:r w:rsidDel="00000000" w:rsidR="00000000" w:rsidRPr="00000000">
        <w:rPr>
          <w:rFonts w:ascii="Georgia" w:cs="Georgia" w:eastAsia="Georgia" w:hAnsi="Georgia"/>
          <w:rtl w:val="0"/>
        </w:rPr>
        <w:t xml:space="preserve">Beer demonstrates how materials can possess deep historical and social meanings. From its early beginnings before 6000 BCE to its modern industrial production, beer has continuously reflected how humans interact with the world. Not only does its production involve skill and technology, but it also possesses a long history of community. When looking past its material form, beer can help to reveal how social norms, particularly those of gender, are constructed and repeated over time. As Judith Butler’s (1999) theory of gender performativity suggests, repeated actions, such as who drinks what kind of beer or who is behind their production, help maintain long-existing concepts of masculinity and femininity related to beer. In addition, beer also plays a role in bringing people together through social spaces. Using Bruno Latour’s (2005) Actor-Network Theory, it is possible to view how beer can help shape social relationships. Both theories, though different, demonstrate how the material and the social are connected. The aforementioned theories discussed in relation to beer, though, are not independent. Despite Butler’s (1999) theory revolving around the enforcement of gender norms, it could also be argued that repeated acts of performance can help generate other societal norms, such as the idea that beer and pubs are meant to be seen as warm, social environments. Similarly, Latour’s (2005) ANT could be argued to overlap with Butler’s theory, seeing as beer is functioning as a non-human entity capable of affecting and shaping social life, particularly social views on gender. In addition to theories overlapping when discussing material culture, it can also be noted through the assessment of beer that one singular object cannot stand to function and create influence on its own. As can be seen during the analysis of beer and the social relationships it creates, there is a strong reliance on the social settings that beer generates. Without the help of spaces such as pubs, bars, or sporting venues, beer would likely not have as strong an influence on affecting and shaping social life. Ultimately, the study of beer reveals an interconnection between objects, people, and society. It demonstrates how everyday materials, as simple as a drink, can be connected to deeper patterns of human life and influence human culture.</w:t>
      </w:r>
      <w:r w:rsidDel="00000000" w:rsidR="00000000" w:rsidRPr="00000000">
        <w:rPr>
          <w:rtl w:val="0"/>
        </w:rPr>
      </w:r>
    </w:p>
    <w:p w:rsidR="00000000" w:rsidDel="00000000" w:rsidP="00000000" w:rsidRDefault="00000000" w:rsidRPr="00000000" w14:paraId="00000025">
      <w:pPr>
        <w:spacing w:line="480" w:lineRule="auto"/>
        <w:rPr>
          <w:rFonts w:ascii="Georgia" w:cs="Georgia" w:eastAsia="Georgia" w:hAnsi="Georgia"/>
        </w:rPr>
      </w:pPr>
      <w:r w:rsidDel="00000000" w:rsidR="00000000" w:rsidRPr="00000000">
        <w:rPr>
          <w:rtl w:val="0"/>
        </w:rPr>
      </w:r>
    </w:p>
    <w:p w:rsidR="00000000" w:rsidDel="00000000" w:rsidP="00000000" w:rsidRDefault="00000000" w:rsidRPr="00000000" w14:paraId="00000026">
      <w:pPr>
        <w:spacing w:line="480" w:lineRule="auto"/>
        <w:ind w:firstLine="720"/>
        <w:rPr>
          <w:rFonts w:ascii="Georgia" w:cs="Georgia" w:eastAsia="Georgia" w:hAnsi="Georgia"/>
        </w:rPr>
      </w:pPr>
      <w:r w:rsidDel="00000000" w:rsidR="00000000" w:rsidRPr="00000000">
        <w:rPr>
          <w:rtl w:val="0"/>
        </w:rPr>
      </w:r>
    </w:p>
    <w:p w:rsidR="00000000" w:rsidDel="00000000" w:rsidP="00000000" w:rsidRDefault="00000000" w:rsidRPr="00000000" w14:paraId="00000027">
      <w:pPr>
        <w:spacing w:line="480" w:lineRule="auto"/>
        <w:ind w:firstLine="720"/>
        <w:rPr>
          <w:rFonts w:ascii="Georgia" w:cs="Georgia" w:eastAsia="Georgia" w:hAnsi="Georgia"/>
        </w:rPr>
      </w:pPr>
      <w:r w:rsidDel="00000000" w:rsidR="00000000" w:rsidRPr="00000000">
        <w:rPr>
          <w:rtl w:val="0"/>
        </w:rPr>
      </w:r>
    </w:p>
    <w:p w:rsidR="00000000" w:rsidDel="00000000" w:rsidP="00000000" w:rsidRDefault="00000000" w:rsidRPr="00000000" w14:paraId="00000028">
      <w:pPr>
        <w:spacing w:line="480" w:lineRule="auto"/>
        <w:ind w:firstLine="720"/>
        <w:rPr>
          <w:rFonts w:ascii="Georgia" w:cs="Georgia" w:eastAsia="Georgia" w:hAnsi="Georgia"/>
        </w:rPr>
      </w:pPr>
      <w:r w:rsidDel="00000000" w:rsidR="00000000" w:rsidRPr="00000000">
        <w:rPr>
          <w:rtl w:val="0"/>
        </w:rPr>
      </w:r>
    </w:p>
    <w:p w:rsidR="00000000" w:rsidDel="00000000" w:rsidP="00000000" w:rsidRDefault="00000000" w:rsidRPr="00000000" w14:paraId="00000029">
      <w:pPr>
        <w:spacing w:line="480" w:lineRule="auto"/>
        <w:ind w:firstLine="720"/>
        <w:rPr>
          <w:rFonts w:ascii="Georgia" w:cs="Georgia" w:eastAsia="Georgia" w:hAnsi="Georgia"/>
        </w:rPr>
      </w:pPr>
      <w:r w:rsidDel="00000000" w:rsidR="00000000" w:rsidRPr="00000000">
        <w:rPr>
          <w:rtl w:val="0"/>
        </w:rPr>
      </w:r>
    </w:p>
    <w:p w:rsidR="00000000" w:rsidDel="00000000" w:rsidP="00000000" w:rsidRDefault="00000000" w:rsidRPr="00000000" w14:paraId="0000002A">
      <w:pPr>
        <w:spacing w:line="480" w:lineRule="auto"/>
        <w:ind w:firstLine="720"/>
        <w:rPr>
          <w:rFonts w:ascii="Georgia" w:cs="Georgia" w:eastAsia="Georgia" w:hAnsi="Georgia"/>
        </w:rPr>
      </w:pPr>
      <w:r w:rsidDel="00000000" w:rsidR="00000000" w:rsidRPr="00000000">
        <w:rPr>
          <w:rtl w:val="0"/>
        </w:rPr>
      </w:r>
    </w:p>
    <w:p w:rsidR="00000000" w:rsidDel="00000000" w:rsidP="00000000" w:rsidRDefault="00000000" w:rsidRPr="00000000" w14:paraId="0000002B">
      <w:pPr>
        <w:spacing w:line="480" w:lineRule="auto"/>
        <w:ind w:firstLine="720"/>
        <w:rPr>
          <w:rFonts w:ascii="Georgia" w:cs="Georgia" w:eastAsia="Georgia" w:hAnsi="Georgia"/>
        </w:rPr>
      </w:pPr>
      <w:r w:rsidDel="00000000" w:rsidR="00000000" w:rsidRPr="00000000">
        <w:rPr>
          <w:rtl w:val="0"/>
        </w:rPr>
      </w:r>
    </w:p>
    <w:p w:rsidR="00000000" w:rsidDel="00000000" w:rsidP="00000000" w:rsidRDefault="00000000" w:rsidRPr="00000000" w14:paraId="0000002C">
      <w:pPr>
        <w:spacing w:line="480" w:lineRule="auto"/>
        <w:ind w:firstLine="720"/>
        <w:rPr>
          <w:rFonts w:ascii="Georgia" w:cs="Georgia" w:eastAsia="Georgia" w:hAnsi="Georgia"/>
        </w:rPr>
      </w:pPr>
      <w:r w:rsidDel="00000000" w:rsidR="00000000" w:rsidRPr="00000000">
        <w:rPr>
          <w:rtl w:val="0"/>
        </w:rPr>
      </w:r>
    </w:p>
    <w:p w:rsidR="00000000" w:rsidDel="00000000" w:rsidP="00000000" w:rsidRDefault="00000000" w:rsidRPr="00000000" w14:paraId="0000002D">
      <w:pPr>
        <w:spacing w:line="480" w:lineRule="auto"/>
        <w:ind w:firstLine="720"/>
        <w:rPr>
          <w:rFonts w:ascii="Georgia" w:cs="Georgia" w:eastAsia="Georgia" w:hAnsi="Georgia"/>
        </w:rPr>
      </w:pPr>
      <w:r w:rsidDel="00000000" w:rsidR="00000000" w:rsidRPr="00000000">
        <w:rPr>
          <w:rtl w:val="0"/>
        </w:rPr>
      </w:r>
    </w:p>
    <w:p w:rsidR="00000000" w:rsidDel="00000000" w:rsidP="00000000" w:rsidRDefault="00000000" w:rsidRPr="00000000" w14:paraId="0000002E">
      <w:pPr>
        <w:spacing w:line="480" w:lineRule="auto"/>
        <w:ind w:firstLine="720"/>
        <w:rPr>
          <w:rFonts w:ascii="Georgia" w:cs="Georgia" w:eastAsia="Georgia" w:hAnsi="Georgia"/>
        </w:rPr>
      </w:pPr>
      <w:r w:rsidDel="00000000" w:rsidR="00000000" w:rsidRPr="00000000">
        <w:rPr>
          <w:rtl w:val="0"/>
        </w:rPr>
      </w:r>
    </w:p>
    <w:p w:rsidR="00000000" w:rsidDel="00000000" w:rsidP="00000000" w:rsidRDefault="00000000" w:rsidRPr="00000000" w14:paraId="0000002F">
      <w:pPr>
        <w:spacing w:line="480" w:lineRule="auto"/>
        <w:ind w:firstLine="720"/>
        <w:rPr>
          <w:rFonts w:ascii="Georgia" w:cs="Georgia" w:eastAsia="Georgia" w:hAnsi="Georgia"/>
        </w:rPr>
      </w:pPr>
      <w:r w:rsidDel="00000000" w:rsidR="00000000" w:rsidRPr="00000000">
        <w:rPr>
          <w:rtl w:val="0"/>
        </w:rPr>
      </w:r>
    </w:p>
    <w:p w:rsidR="00000000" w:rsidDel="00000000" w:rsidP="00000000" w:rsidRDefault="00000000" w:rsidRPr="00000000" w14:paraId="00000030">
      <w:pPr>
        <w:spacing w:line="480" w:lineRule="auto"/>
        <w:ind w:firstLine="720"/>
        <w:rPr>
          <w:rFonts w:ascii="Georgia" w:cs="Georgia" w:eastAsia="Georgia" w:hAnsi="Georgia"/>
        </w:rPr>
      </w:pPr>
      <w:r w:rsidDel="00000000" w:rsidR="00000000" w:rsidRPr="00000000">
        <w:rPr>
          <w:rtl w:val="0"/>
        </w:rPr>
      </w:r>
    </w:p>
    <w:p w:rsidR="00000000" w:rsidDel="00000000" w:rsidP="00000000" w:rsidRDefault="00000000" w:rsidRPr="00000000" w14:paraId="00000031">
      <w:pPr>
        <w:spacing w:line="480" w:lineRule="auto"/>
        <w:jc w:val="center"/>
        <w:rPr>
          <w:rFonts w:ascii="Georgia" w:cs="Georgia" w:eastAsia="Georgia" w:hAnsi="Georgia"/>
          <w:b w:val="1"/>
        </w:rPr>
      </w:pPr>
      <w:r w:rsidDel="00000000" w:rsidR="00000000" w:rsidRPr="00000000">
        <w:rPr>
          <w:rFonts w:ascii="Georgia" w:cs="Georgia" w:eastAsia="Georgia" w:hAnsi="Georgia"/>
          <w:b w:val="1"/>
          <w:rtl w:val="0"/>
        </w:rPr>
        <w:t xml:space="preserve">References</w:t>
      </w:r>
      <w:r w:rsidDel="00000000" w:rsidR="00000000" w:rsidRPr="00000000">
        <w:rPr>
          <w:rtl w:val="0"/>
        </w:rPr>
      </w:r>
    </w:p>
    <w:p w:rsidR="00000000" w:rsidDel="00000000" w:rsidP="00000000" w:rsidRDefault="00000000" w:rsidRPr="00000000" w14:paraId="00000032">
      <w:pPr>
        <w:spacing w:line="480" w:lineRule="auto"/>
        <w:ind w:left="720"/>
        <w:rPr>
          <w:rFonts w:ascii="Georgia" w:cs="Georgia" w:eastAsia="Georgia" w:hAnsi="Georgia"/>
        </w:rPr>
      </w:pPr>
      <w:r w:rsidDel="00000000" w:rsidR="00000000" w:rsidRPr="00000000">
        <w:rPr>
          <w:rFonts w:ascii="Georgia" w:cs="Georgia" w:eastAsia="Georgia" w:hAnsi="Georgia"/>
          <w:rtl w:val="0"/>
        </w:rPr>
        <w:t xml:space="preserve">Butler, J. (1999). </w:t>
      </w:r>
      <w:r w:rsidDel="00000000" w:rsidR="00000000" w:rsidRPr="00000000">
        <w:rPr>
          <w:rFonts w:ascii="Georgia" w:cs="Georgia" w:eastAsia="Georgia" w:hAnsi="Georgia"/>
          <w:i w:val="1"/>
          <w:rtl w:val="0"/>
        </w:rPr>
        <w:t xml:space="preserve">Gender Trouble: Feminism and the Subversion of Identity</w:t>
      </w:r>
      <w:r w:rsidDel="00000000" w:rsidR="00000000" w:rsidRPr="00000000">
        <w:rPr>
          <w:rFonts w:ascii="Georgia" w:cs="Georgia" w:eastAsia="Georgia" w:hAnsi="Georgia"/>
          <w:rtl w:val="0"/>
        </w:rPr>
        <w:t xml:space="preserve">. Routledge. </w:t>
      </w:r>
      <w:hyperlink r:id="rId6">
        <w:r w:rsidDel="00000000" w:rsidR="00000000" w:rsidRPr="00000000">
          <w:rPr>
            <w:rFonts w:ascii="Georgia" w:cs="Georgia" w:eastAsia="Georgia" w:hAnsi="Georgia"/>
            <w:color w:val="1155cc"/>
            <w:u w:val="single"/>
            <w:rtl w:val="0"/>
          </w:rPr>
          <w:t xml:space="preserve">https://selforganizedseminar.files.wordpress.com/2011/07/butler-gender_trouble.pdf</w:t>
        </w:r>
      </w:hyperlink>
      <w:r w:rsidDel="00000000" w:rsidR="00000000" w:rsidRPr="00000000">
        <w:rPr>
          <w:rFonts w:ascii="Georgia" w:cs="Georgia" w:eastAsia="Georgia" w:hAnsi="Georgia"/>
          <w:rtl w:val="0"/>
        </w:rPr>
        <w:t xml:space="preserve"> </w:t>
      </w:r>
    </w:p>
    <w:p w:rsidR="00000000" w:rsidDel="00000000" w:rsidP="00000000" w:rsidRDefault="00000000" w:rsidRPr="00000000" w14:paraId="00000033">
      <w:pPr>
        <w:spacing w:line="480" w:lineRule="auto"/>
        <w:ind w:left="720"/>
        <w:rPr>
          <w:rFonts w:ascii="Georgia" w:cs="Georgia" w:eastAsia="Georgia" w:hAnsi="Georgia"/>
        </w:rPr>
      </w:pPr>
      <w:r w:rsidDel="00000000" w:rsidR="00000000" w:rsidRPr="00000000">
        <w:rPr>
          <w:rFonts w:ascii="Georgia" w:cs="Georgia" w:eastAsia="Georgia" w:hAnsi="Georgia"/>
          <w:rtl w:val="0"/>
        </w:rPr>
        <w:t xml:space="preserve">Latour, B. (2005). </w:t>
      </w:r>
      <w:r w:rsidDel="00000000" w:rsidR="00000000" w:rsidRPr="00000000">
        <w:rPr>
          <w:rFonts w:ascii="Georgia" w:cs="Georgia" w:eastAsia="Georgia" w:hAnsi="Georgia"/>
          <w:i w:val="1"/>
          <w:rtl w:val="0"/>
        </w:rPr>
        <w:t xml:space="preserve">Reassembling the Social: An Introduction to Actor-Network-Theory</w:t>
      </w:r>
      <w:r w:rsidDel="00000000" w:rsidR="00000000" w:rsidRPr="00000000">
        <w:rPr>
          <w:rFonts w:ascii="Georgia" w:cs="Georgia" w:eastAsia="Georgia" w:hAnsi="Georgia"/>
          <w:rtl w:val="0"/>
        </w:rPr>
        <w:t xml:space="preserve">. Oxford: Oxford University Press. </w:t>
      </w:r>
      <w:hyperlink r:id="rId7">
        <w:r w:rsidDel="00000000" w:rsidR="00000000" w:rsidRPr="00000000">
          <w:rPr>
            <w:rFonts w:ascii="Georgia" w:cs="Georgia" w:eastAsia="Georgia" w:hAnsi="Georgia"/>
            <w:color w:val="1155cc"/>
            <w:u w:val="single"/>
            <w:rtl w:val="0"/>
          </w:rPr>
          <w:t xml:space="preserve">https://hdl-handle-net.ezproxy.uwtsd.ac.uk/2027/heb32135.0001.001</w:t>
        </w:r>
      </w:hyperlink>
      <w:r w:rsidDel="00000000" w:rsidR="00000000" w:rsidRPr="00000000">
        <w:rPr>
          <w:rFonts w:ascii="Georgia" w:cs="Georgia" w:eastAsia="Georgia" w:hAnsi="Georgia"/>
          <w:rtl w:val="0"/>
        </w:rPr>
        <w:t xml:space="preserve"> </w:t>
      </w:r>
    </w:p>
    <w:p w:rsidR="00000000" w:rsidDel="00000000" w:rsidP="00000000" w:rsidRDefault="00000000" w:rsidRPr="00000000" w14:paraId="00000034">
      <w:pPr>
        <w:spacing w:line="480" w:lineRule="auto"/>
        <w:ind w:left="720"/>
        <w:rPr>
          <w:rFonts w:ascii="Georgia" w:cs="Georgia" w:eastAsia="Georgia" w:hAnsi="Georgia"/>
        </w:rPr>
      </w:pPr>
      <w:r w:rsidDel="00000000" w:rsidR="00000000" w:rsidRPr="00000000">
        <w:rPr>
          <w:rFonts w:ascii="Georgia" w:cs="Georgia" w:eastAsia="Georgia" w:hAnsi="Georgia"/>
          <w:rtl w:val="0"/>
        </w:rPr>
        <w:t xml:space="preserve">Lemle, R., &amp; Mishkind, M. E. (1989). Alcohol and Masculinity. </w:t>
      </w:r>
      <w:r w:rsidDel="00000000" w:rsidR="00000000" w:rsidRPr="00000000">
        <w:rPr>
          <w:rFonts w:ascii="Georgia" w:cs="Georgia" w:eastAsia="Georgia" w:hAnsi="Georgia"/>
          <w:i w:val="1"/>
          <w:rtl w:val="0"/>
        </w:rPr>
        <w:t xml:space="preserve">Journal of Substance Abuse Treatment, 6</w:t>
      </w:r>
      <w:r w:rsidDel="00000000" w:rsidR="00000000" w:rsidRPr="00000000">
        <w:rPr>
          <w:rFonts w:ascii="Georgia" w:cs="Georgia" w:eastAsia="Georgia" w:hAnsi="Georgia"/>
          <w:rtl w:val="0"/>
        </w:rPr>
        <w:t xml:space="preserve">(4), 215. </w:t>
      </w:r>
      <w:hyperlink r:id="rId8">
        <w:r w:rsidDel="00000000" w:rsidR="00000000" w:rsidRPr="00000000">
          <w:rPr>
            <w:rFonts w:ascii="Georgia" w:cs="Georgia" w:eastAsia="Georgia" w:hAnsi="Georgia"/>
            <w:color w:val="1155cc"/>
            <w:u w:val="single"/>
            <w:rtl w:val="0"/>
          </w:rPr>
          <w:t xml:space="preserve">https://doi.org/10.1016/0740-5472(89)90045-7</w:t>
        </w:r>
      </w:hyperlink>
      <w:r w:rsidDel="00000000" w:rsidR="00000000" w:rsidRPr="00000000">
        <w:rPr>
          <w:rFonts w:ascii="Georgia" w:cs="Georgia" w:eastAsia="Georgia" w:hAnsi="Georgia"/>
          <w:rtl w:val="0"/>
        </w:rPr>
        <w:t xml:space="preserve"> </w:t>
      </w:r>
    </w:p>
    <w:p w:rsidR="00000000" w:rsidDel="00000000" w:rsidP="00000000" w:rsidRDefault="00000000" w:rsidRPr="00000000" w14:paraId="00000035">
      <w:pPr>
        <w:spacing w:line="480" w:lineRule="auto"/>
        <w:ind w:left="720"/>
        <w:rPr>
          <w:rFonts w:ascii="Georgia" w:cs="Georgia" w:eastAsia="Georgia" w:hAnsi="Georgia"/>
        </w:rPr>
      </w:pPr>
      <w:r w:rsidDel="00000000" w:rsidR="00000000" w:rsidRPr="00000000">
        <w:rPr>
          <w:rFonts w:ascii="Georgia" w:cs="Georgia" w:eastAsia="Georgia" w:hAnsi="Georgia"/>
          <w:rtl w:val="0"/>
        </w:rPr>
        <w:t xml:space="preserve">Poelmans, E., &amp; Swinnen, J. F. (2012). A Brief Economic History of Beer. </w:t>
      </w:r>
      <w:r w:rsidDel="00000000" w:rsidR="00000000" w:rsidRPr="00000000">
        <w:rPr>
          <w:rFonts w:ascii="Georgia" w:cs="Georgia" w:eastAsia="Georgia" w:hAnsi="Georgia"/>
          <w:i w:val="1"/>
          <w:rtl w:val="0"/>
        </w:rPr>
        <w:t xml:space="preserve">The Economics of Beer</w:t>
      </w:r>
      <w:r w:rsidDel="00000000" w:rsidR="00000000" w:rsidRPr="00000000">
        <w:rPr>
          <w:rFonts w:ascii="Georgia" w:cs="Georgia" w:eastAsia="Georgia" w:hAnsi="Georgia"/>
          <w:rtl w:val="0"/>
        </w:rPr>
        <w:t xml:space="preserve">. </w:t>
      </w:r>
      <w:hyperlink r:id="rId9">
        <w:r w:rsidDel="00000000" w:rsidR="00000000" w:rsidRPr="00000000">
          <w:rPr>
            <w:rFonts w:ascii="Georgia" w:cs="Georgia" w:eastAsia="Georgia" w:hAnsi="Georgia"/>
            <w:color w:val="1155cc"/>
            <w:u w:val="single"/>
            <w:rtl w:val="0"/>
          </w:rPr>
          <w:t xml:space="preserve">https://www.researchgate.net/publication/268043355_A_Brief_Economic_History_of_Beer</w:t>
        </w:r>
      </w:hyperlink>
      <w:r w:rsidDel="00000000" w:rsidR="00000000" w:rsidRPr="00000000">
        <w:rPr>
          <w:rFonts w:ascii="Georgia" w:cs="Georgia" w:eastAsia="Georgia" w:hAnsi="Georgia"/>
          <w:rtl w:val="0"/>
        </w:rPr>
        <w:t xml:space="preserve"> </w:t>
      </w:r>
    </w:p>
    <w:p w:rsidR="00000000" w:rsidDel="00000000" w:rsidP="00000000" w:rsidRDefault="00000000" w:rsidRPr="00000000" w14:paraId="00000036">
      <w:pPr>
        <w:spacing w:line="480" w:lineRule="auto"/>
        <w:ind w:left="720"/>
        <w:rPr>
          <w:rFonts w:ascii="Georgia" w:cs="Georgia" w:eastAsia="Georgia" w:hAnsi="Georgia"/>
        </w:rPr>
      </w:pPr>
      <w:r w:rsidDel="00000000" w:rsidR="00000000" w:rsidRPr="00000000">
        <w:rPr>
          <w:rFonts w:ascii="Georgia" w:cs="Georgia" w:eastAsia="Georgia" w:hAnsi="Georgia"/>
          <w:rtl w:val="0"/>
        </w:rPr>
        <w:t xml:space="preserve">Thesseling, F. A., Bircham, P. W., Mertens, S., Voordeckers, K., &amp; Verstrepen, K. J. (2019). A Hands-On Guide to Brewing and Analyzing Beer in the Laboratory. </w:t>
      </w:r>
      <w:r w:rsidDel="00000000" w:rsidR="00000000" w:rsidRPr="00000000">
        <w:rPr>
          <w:rFonts w:ascii="Georgia" w:cs="Georgia" w:eastAsia="Georgia" w:hAnsi="Georgia"/>
          <w:i w:val="1"/>
          <w:rtl w:val="0"/>
        </w:rPr>
        <w:t xml:space="preserve">Current protocols in microbiology</w:t>
      </w:r>
      <w:r w:rsidDel="00000000" w:rsidR="00000000" w:rsidRPr="00000000">
        <w:rPr>
          <w:rFonts w:ascii="Georgia" w:cs="Georgia" w:eastAsia="Georgia" w:hAnsi="Georgia"/>
          <w:rtl w:val="0"/>
        </w:rPr>
        <w:t xml:space="preserve">, </w:t>
      </w:r>
      <w:r w:rsidDel="00000000" w:rsidR="00000000" w:rsidRPr="00000000">
        <w:rPr>
          <w:rFonts w:ascii="Georgia" w:cs="Georgia" w:eastAsia="Georgia" w:hAnsi="Georgia"/>
          <w:i w:val="1"/>
          <w:rtl w:val="0"/>
        </w:rPr>
        <w:t xml:space="preserve">54</w:t>
      </w:r>
      <w:r w:rsidDel="00000000" w:rsidR="00000000" w:rsidRPr="00000000">
        <w:rPr>
          <w:rFonts w:ascii="Georgia" w:cs="Georgia" w:eastAsia="Georgia" w:hAnsi="Georgia"/>
          <w:rtl w:val="0"/>
        </w:rPr>
        <w:t xml:space="preserve">(1), e91. </w:t>
      </w:r>
      <w:hyperlink r:id="rId10">
        <w:r w:rsidDel="00000000" w:rsidR="00000000" w:rsidRPr="00000000">
          <w:rPr>
            <w:rFonts w:ascii="Georgia" w:cs="Georgia" w:eastAsia="Georgia" w:hAnsi="Georgia"/>
            <w:color w:val="1155cc"/>
            <w:u w:val="single"/>
            <w:rtl w:val="0"/>
          </w:rPr>
          <w:t xml:space="preserve">https://doi.org/10.1002/cpmc.91</w:t>
        </w:r>
      </w:hyperlink>
      <w:r w:rsidDel="00000000" w:rsidR="00000000" w:rsidRPr="00000000">
        <w:rPr>
          <w:rFonts w:ascii="Georgia" w:cs="Georgia" w:eastAsia="Georgia" w:hAnsi="Georgia"/>
          <w:rtl w:val="0"/>
        </w:rPr>
        <w:t xml:space="preserve"> </w:t>
      </w:r>
    </w:p>
    <w:p w:rsidR="00000000" w:rsidDel="00000000" w:rsidP="00000000" w:rsidRDefault="00000000" w:rsidRPr="00000000" w14:paraId="00000037">
      <w:pPr>
        <w:spacing w:line="480" w:lineRule="auto"/>
        <w:ind w:left="720"/>
        <w:rPr>
          <w:rFonts w:ascii="Georgia" w:cs="Georgia" w:eastAsia="Georgia" w:hAnsi="Georgia"/>
        </w:rPr>
      </w:pPr>
      <w:r w:rsidDel="00000000" w:rsidR="00000000" w:rsidRPr="00000000">
        <w:rPr>
          <w:rFonts w:ascii="Georgia" w:cs="Georgia" w:eastAsia="Georgia" w:hAnsi="Georgia"/>
          <w:rtl w:val="0"/>
        </w:rPr>
        <w:t xml:space="preserve">Thurnell-Read, T. (2022). Gender and craft drinks. </w:t>
      </w:r>
      <w:r w:rsidDel="00000000" w:rsidR="00000000" w:rsidRPr="00000000">
        <w:rPr>
          <w:rFonts w:ascii="Georgia" w:cs="Georgia" w:eastAsia="Georgia" w:hAnsi="Georgia"/>
          <w:i w:val="1"/>
          <w:rtl w:val="0"/>
        </w:rPr>
        <w:t xml:space="preserve">Sociology Compass, 16</w:t>
      </w:r>
      <w:r w:rsidDel="00000000" w:rsidR="00000000" w:rsidRPr="00000000">
        <w:rPr>
          <w:rFonts w:ascii="Georgia" w:cs="Georgia" w:eastAsia="Georgia" w:hAnsi="Georgia"/>
          <w:rtl w:val="0"/>
        </w:rPr>
        <w:t xml:space="preserve">(9). </w:t>
      </w:r>
      <w:hyperlink r:id="rId11">
        <w:r w:rsidDel="00000000" w:rsidR="00000000" w:rsidRPr="00000000">
          <w:rPr>
            <w:rFonts w:ascii="Georgia" w:cs="Georgia" w:eastAsia="Georgia" w:hAnsi="Georgia"/>
            <w:color w:val="1155cc"/>
            <w:u w:val="single"/>
            <w:rtl w:val="0"/>
          </w:rPr>
          <w:t xml:space="preserve">https://doi.org/10.1111/soc4.13018</w:t>
        </w:r>
      </w:hyperlink>
      <w:r w:rsidDel="00000000" w:rsidR="00000000" w:rsidRPr="00000000">
        <w:rPr>
          <w:rFonts w:ascii="Georgia" w:cs="Georgia" w:eastAsia="Georgia" w:hAnsi="Georgia"/>
          <w:rtl w:val="0"/>
        </w:rPr>
        <w:t xml:space="preserve"> </w:t>
      </w:r>
    </w:p>
    <w:p w:rsidR="00000000" w:rsidDel="00000000" w:rsidP="00000000" w:rsidRDefault="00000000" w:rsidRPr="00000000" w14:paraId="00000038">
      <w:pPr>
        <w:spacing w:line="480" w:lineRule="auto"/>
        <w:ind w:left="720"/>
        <w:rPr>
          <w:rFonts w:ascii="Georgia" w:cs="Georgia" w:eastAsia="Georgia" w:hAnsi="Georgia"/>
        </w:rPr>
      </w:pPr>
      <w:r w:rsidDel="00000000" w:rsidR="00000000" w:rsidRPr="00000000">
        <w:rPr>
          <w:rFonts w:ascii="Georgia" w:cs="Georgia" w:eastAsia="Georgia" w:hAnsi="Georgia"/>
          <w:rtl w:val="0"/>
        </w:rPr>
        <w:t xml:space="preserve">Tonelli, D. (2009). Methods for Determining Ethanol in Beer. </w:t>
      </w:r>
      <w:r w:rsidDel="00000000" w:rsidR="00000000" w:rsidRPr="00000000">
        <w:rPr>
          <w:rFonts w:ascii="Georgia" w:cs="Georgia" w:eastAsia="Georgia" w:hAnsi="Georgia"/>
          <w:i w:val="1"/>
          <w:rtl w:val="0"/>
        </w:rPr>
        <w:t xml:space="preserve">Beer in Health and Disease Prevention, </w:t>
      </w:r>
      <w:r w:rsidDel="00000000" w:rsidR="00000000" w:rsidRPr="00000000">
        <w:rPr>
          <w:rFonts w:ascii="Georgia" w:cs="Georgia" w:eastAsia="Georgia" w:hAnsi="Georgia"/>
          <w:rtl w:val="0"/>
        </w:rPr>
        <w:t xml:space="preserve">1055-1065</w:t>
      </w:r>
      <w:r w:rsidDel="00000000" w:rsidR="00000000" w:rsidRPr="00000000">
        <w:rPr>
          <w:rFonts w:ascii="Georgia" w:cs="Georgia" w:eastAsia="Georgia" w:hAnsi="Georgia"/>
          <w:i w:val="1"/>
          <w:rtl w:val="0"/>
        </w:rPr>
        <w:t xml:space="preserve">. </w:t>
      </w:r>
      <w:hyperlink r:id="rId12">
        <w:r w:rsidDel="00000000" w:rsidR="00000000" w:rsidRPr="00000000">
          <w:rPr>
            <w:rFonts w:ascii="Georgia" w:cs="Georgia" w:eastAsia="Georgia" w:hAnsi="Georgia"/>
            <w:color w:val="1155cc"/>
            <w:u w:val="single"/>
            <w:rtl w:val="0"/>
          </w:rPr>
          <w:t xml:space="preserve">https://doi.org/10.1016/B978-0-12-373891-2.00102-4</w:t>
        </w:r>
      </w:hyperlink>
      <w:r w:rsidDel="00000000" w:rsidR="00000000" w:rsidRPr="00000000">
        <w:rPr>
          <w:rFonts w:ascii="Georgia" w:cs="Georgia" w:eastAsia="Georgia" w:hAnsi="Georgia"/>
          <w:rtl w:val="0"/>
        </w:rPr>
        <w:t xml:space="preserve"> </w:t>
      </w:r>
    </w:p>
    <w:p w:rsidR="00000000" w:rsidDel="00000000" w:rsidP="00000000" w:rsidRDefault="00000000" w:rsidRPr="00000000" w14:paraId="00000039">
      <w:pPr>
        <w:spacing w:line="480" w:lineRule="auto"/>
        <w:ind w:left="720"/>
        <w:rPr>
          <w:rFonts w:ascii="Georgia" w:cs="Georgia" w:eastAsia="Georgia" w:hAnsi="Georgia"/>
        </w:rPr>
      </w:pPr>
      <w:r w:rsidDel="00000000" w:rsidR="00000000" w:rsidRPr="00000000">
        <w:rPr>
          <w:rFonts w:ascii="Georgia" w:cs="Georgia" w:eastAsia="Georgia" w:hAnsi="Georgia"/>
          <w:rtl w:val="0"/>
        </w:rPr>
        <w:t xml:space="preserve">Young, T. W. (2025). Beer. </w:t>
      </w:r>
      <w:r w:rsidDel="00000000" w:rsidR="00000000" w:rsidRPr="00000000">
        <w:rPr>
          <w:rFonts w:ascii="Georgia" w:cs="Georgia" w:eastAsia="Georgia" w:hAnsi="Georgia"/>
          <w:i w:val="1"/>
          <w:rtl w:val="0"/>
        </w:rPr>
        <w:t xml:space="preserve">Encyclopedia Britannica</w:t>
      </w:r>
      <w:r w:rsidDel="00000000" w:rsidR="00000000" w:rsidRPr="00000000">
        <w:rPr>
          <w:rFonts w:ascii="Georgia" w:cs="Georgia" w:eastAsia="Georgia" w:hAnsi="Georgia"/>
          <w:rtl w:val="0"/>
        </w:rPr>
        <w:t xml:space="preserve">. </w:t>
      </w:r>
      <w:hyperlink r:id="rId13">
        <w:r w:rsidDel="00000000" w:rsidR="00000000" w:rsidRPr="00000000">
          <w:rPr>
            <w:rFonts w:ascii="Georgia" w:cs="Georgia" w:eastAsia="Georgia" w:hAnsi="Georgia"/>
            <w:color w:val="1155cc"/>
            <w:u w:val="single"/>
            <w:rtl w:val="0"/>
          </w:rPr>
          <w:t xml:space="preserve">https://www.britannica.com/topic/beer</w:t>
        </w:r>
      </w:hyperlink>
      <w:r w:rsidDel="00000000" w:rsidR="00000000" w:rsidRPr="00000000">
        <w:rPr>
          <w:rFonts w:ascii="Georgia" w:cs="Georgia" w:eastAsia="Georgia" w:hAnsi="Georgia"/>
          <w:rtl w:val="0"/>
        </w:rPr>
        <w:t xml:space="preserve"> </w:t>
      </w:r>
    </w:p>
    <w:p w:rsidR="00000000" w:rsidDel="00000000" w:rsidP="00000000" w:rsidRDefault="00000000" w:rsidRPr="00000000" w14:paraId="0000003A">
      <w:pPr>
        <w:spacing w:line="480" w:lineRule="auto"/>
        <w:ind w:left="720"/>
        <w:rPr>
          <w:rFonts w:ascii="Georgia" w:cs="Georgia" w:eastAsia="Georgia" w:hAnsi="Georgia"/>
        </w:rPr>
      </w:pPr>
      <w:r w:rsidDel="00000000" w:rsidR="00000000" w:rsidRPr="00000000">
        <w:rPr>
          <w:rtl w:val="0"/>
        </w:rPr>
      </w:r>
    </w:p>
    <w:p w:rsidR="00000000" w:rsidDel="00000000" w:rsidP="00000000" w:rsidRDefault="00000000" w:rsidRPr="00000000" w14:paraId="0000003B">
      <w:pPr>
        <w:spacing w:line="480" w:lineRule="auto"/>
        <w:rPr>
          <w:rFonts w:ascii="Georgia" w:cs="Georgia" w:eastAsia="Georgia" w:hAnsi="Georgia"/>
        </w:rPr>
      </w:pPr>
      <w:r w:rsidDel="00000000" w:rsidR="00000000" w:rsidRPr="00000000">
        <w:rPr>
          <w:rtl w:val="0"/>
        </w:rPr>
      </w:r>
    </w:p>
    <w:p w:rsidR="00000000" w:rsidDel="00000000" w:rsidP="00000000" w:rsidRDefault="00000000" w:rsidRPr="00000000" w14:paraId="0000003C">
      <w:pPr>
        <w:spacing w:line="480" w:lineRule="auto"/>
        <w:rPr>
          <w:rFonts w:ascii="Georgia" w:cs="Georgia" w:eastAsia="Georgia" w:hAnsi="Georgia"/>
        </w:rPr>
      </w:pPr>
      <w:r w:rsidDel="00000000" w:rsidR="00000000" w:rsidRPr="00000000">
        <w:rPr>
          <w:rtl w:val="0"/>
        </w:rPr>
      </w:r>
    </w:p>
    <w:sectPr>
      <w:headerReference r:id="rId14"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D">
    <w:pPr>
      <w:jc w:val="right"/>
      <w:rPr>
        <w:rFonts w:ascii="Georgia" w:cs="Georgia" w:eastAsia="Georgia" w:hAnsi="Georgia"/>
      </w:rPr>
    </w:pPr>
    <w:r w:rsidDel="00000000" w:rsidR="00000000" w:rsidRPr="00000000">
      <w:rPr>
        <w:rFonts w:ascii="Georgia" w:cs="Georgia" w:eastAsia="Georgia" w:hAnsi="Georgia"/>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CA"/>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doi.org/10.1111/soc4.13018" TargetMode="External"/><Relationship Id="rId10" Type="http://schemas.openxmlformats.org/officeDocument/2006/relationships/hyperlink" Target="https://doi.org/10.1002/cpmc.91" TargetMode="External"/><Relationship Id="rId13" Type="http://schemas.openxmlformats.org/officeDocument/2006/relationships/hyperlink" Target="https://www.britannica.com/topic/beer" TargetMode="External"/><Relationship Id="rId12" Type="http://schemas.openxmlformats.org/officeDocument/2006/relationships/hyperlink" Target="https://doi.org/10.1016/B978-0-12-373891-2.00102-4"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researchgate.net/publication/268043355_A_Brief_Economic_History_of_Beer" TargetMode="Externa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selforganizedseminar.files.wordpress.com/2011/07/butler-gender_trouble.pdf" TargetMode="External"/><Relationship Id="rId7" Type="http://schemas.openxmlformats.org/officeDocument/2006/relationships/hyperlink" Target="https://hdl-handle-net.ezproxy.uwtsd.ac.uk/2027/heb32135.0001.001" TargetMode="External"/><Relationship Id="rId8" Type="http://schemas.openxmlformats.org/officeDocument/2006/relationships/hyperlink" Target="https://doi.org/10.1016/0740-5472(89)9004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