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72EF5" w14:textId="77777777" w:rsidR="00BB1657" w:rsidRPr="00BB1657" w:rsidRDefault="00BB1657" w:rsidP="00BB1657">
      <w:pPr>
        <w:spacing w:before="0" w:after="0" w:line="240" w:lineRule="auto"/>
        <w:rPr>
          <w:rFonts w:eastAsia="Times New Roman"/>
          <w:sz w:val="32"/>
          <w:szCs w:val="20"/>
          <w:lang w:eastAsia="en-GB"/>
        </w:rPr>
      </w:pPr>
    </w:p>
    <w:p w14:paraId="5505024C" w14:textId="77777777" w:rsidR="00840B96" w:rsidRDefault="00E24B73" w:rsidP="00935614">
      <w:pPr>
        <w:spacing w:before="280"/>
        <w:rPr>
          <w:b/>
        </w:rPr>
      </w:pPr>
      <w:r>
        <w:rPr>
          <w:b/>
          <w:noProof/>
        </w:rPr>
        <w:drawing>
          <wp:inline distT="114300" distB="114300" distL="114300" distR="114300" wp14:anchorId="7F48C295" wp14:editId="255DC9C3">
            <wp:extent cx="2209800"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09800" cy="904875"/>
                    </a:xfrm>
                    <a:prstGeom prst="rect">
                      <a:avLst/>
                    </a:prstGeom>
                    <a:ln/>
                  </pic:spPr>
                </pic:pic>
              </a:graphicData>
            </a:graphic>
          </wp:inline>
        </w:drawing>
      </w:r>
    </w:p>
    <w:p w14:paraId="3C360443" w14:textId="77777777" w:rsidR="00840B96" w:rsidRDefault="00E24B73">
      <w:pPr>
        <w:spacing w:before="0" w:after="0"/>
        <w:jc w:val="center"/>
        <w:rPr>
          <w:b/>
          <w:sz w:val="28"/>
          <w:szCs w:val="28"/>
        </w:rPr>
      </w:pPr>
      <w:r>
        <w:rPr>
          <w:b/>
          <w:sz w:val="28"/>
          <w:szCs w:val="28"/>
        </w:rPr>
        <w:t>PROGRAMME: LAW PORTFOLIO</w:t>
      </w:r>
    </w:p>
    <w:p w14:paraId="7F4E5255" w14:textId="77777777" w:rsidR="00840B96" w:rsidRDefault="00E24B73">
      <w:pPr>
        <w:spacing w:before="0" w:after="0"/>
        <w:jc w:val="center"/>
        <w:rPr>
          <w:b/>
          <w:sz w:val="28"/>
          <w:szCs w:val="28"/>
        </w:rPr>
      </w:pPr>
      <w:r>
        <w:rPr>
          <w:b/>
          <w:sz w:val="28"/>
          <w:szCs w:val="28"/>
        </w:rPr>
        <w:t>MODULE: CONTRACT LAW</w:t>
      </w:r>
    </w:p>
    <w:p w14:paraId="7AB97878" w14:textId="77777777" w:rsidR="00840B96" w:rsidRDefault="00E24B73">
      <w:pPr>
        <w:spacing w:before="0" w:after="0"/>
        <w:jc w:val="center"/>
        <w:rPr>
          <w:b/>
          <w:sz w:val="28"/>
          <w:szCs w:val="28"/>
        </w:rPr>
      </w:pPr>
      <w:r>
        <w:rPr>
          <w:b/>
          <w:sz w:val="28"/>
          <w:szCs w:val="28"/>
        </w:rPr>
        <w:t>MODULE CODE: BMLW5017</w:t>
      </w:r>
    </w:p>
    <w:p w14:paraId="384F7B85" w14:textId="28B402D7" w:rsidR="00840B96" w:rsidRDefault="00E24B73">
      <w:pPr>
        <w:spacing w:before="0" w:after="0"/>
        <w:jc w:val="center"/>
        <w:rPr>
          <w:b/>
          <w:sz w:val="28"/>
          <w:szCs w:val="28"/>
        </w:rPr>
      </w:pPr>
      <w:r>
        <w:rPr>
          <w:b/>
          <w:sz w:val="28"/>
          <w:szCs w:val="28"/>
        </w:rPr>
        <w:t xml:space="preserve">STUDENT NAME: </w:t>
      </w:r>
      <w:r w:rsidR="0090785D">
        <w:rPr>
          <w:b/>
          <w:sz w:val="28"/>
          <w:szCs w:val="28"/>
        </w:rPr>
        <w:t xml:space="preserve">HARSHINI A/P </w:t>
      </w:r>
      <w:proofErr w:type="spellStart"/>
      <w:r w:rsidR="0090785D">
        <w:rPr>
          <w:b/>
          <w:sz w:val="28"/>
          <w:szCs w:val="28"/>
        </w:rPr>
        <w:t>JANASINGGAM</w:t>
      </w:r>
      <w:proofErr w:type="spellEnd"/>
    </w:p>
    <w:p w14:paraId="5C4274C2" w14:textId="220FB96F" w:rsidR="00840B96" w:rsidRDefault="00E24B73">
      <w:pPr>
        <w:spacing w:before="0" w:after="0"/>
        <w:jc w:val="center"/>
        <w:rPr>
          <w:b/>
          <w:sz w:val="28"/>
          <w:szCs w:val="28"/>
        </w:rPr>
      </w:pPr>
      <w:r>
        <w:rPr>
          <w:b/>
          <w:sz w:val="28"/>
          <w:szCs w:val="28"/>
        </w:rPr>
        <w:t>STUDENT ID NUMBER:</w:t>
      </w:r>
      <w:r w:rsidR="0090785D">
        <w:rPr>
          <w:b/>
          <w:sz w:val="28"/>
          <w:szCs w:val="28"/>
        </w:rPr>
        <w:t>2426418</w:t>
      </w:r>
    </w:p>
    <w:p w14:paraId="7C860F57" w14:textId="77777777" w:rsidR="00840B96" w:rsidRDefault="00E24B73">
      <w:pPr>
        <w:spacing w:before="0" w:after="0"/>
        <w:jc w:val="center"/>
        <w:rPr>
          <w:b/>
          <w:sz w:val="28"/>
          <w:szCs w:val="28"/>
        </w:rPr>
      </w:pPr>
      <w:r>
        <w:rPr>
          <w:b/>
          <w:sz w:val="28"/>
          <w:szCs w:val="28"/>
        </w:rPr>
        <w:t>SUBMISSION DEADLINE: 23:59 ON FRIDAY 7/3/25</w:t>
      </w:r>
    </w:p>
    <w:p w14:paraId="3E0766C8" w14:textId="77777777" w:rsidR="00840B96" w:rsidRDefault="00E24B73">
      <w:pPr>
        <w:spacing w:before="280"/>
        <w:rPr>
          <w:b/>
        </w:rPr>
      </w:pPr>
      <w:r>
        <w:br w:type="page"/>
      </w:r>
    </w:p>
    <w:p w14:paraId="3CFEC8F8" w14:textId="77777777" w:rsidR="00840B96" w:rsidRDefault="00E24B73">
      <w:pPr>
        <w:spacing w:before="280"/>
        <w:rPr>
          <w:b/>
        </w:rPr>
      </w:pPr>
      <w:r>
        <w:rPr>
          <w:b/>
        </w:rPr>
        <w:lastRenderedPageBreak/>
        <w:t>Letter of Advice to Mr. Smith</w:t>
      </w:r>
    </w:p>
    <w:p w14:paraId="1570A26B" w14:textId="0C60FB9B" w:rsidR="00840B96" w:rsidRDefault="00E24B73">
      <w:r>
        <w:rPr>
          <w:b/>
        </w:rPr>
        <w:t>[</w:t>
      </w:r>
      <w:r w:rsidR="009E704D">
        <w:rPr>
          <w:b/>
        </w:rPr>
        <w:t>HAR</w:t>
      </w:r>
      <w:r w:rsidR="00B36693">
        <w:rPr>
          <w:b/>
        </w:rPr>
        <w:t xml:space="preserve">SHINI A/P </w:t>
      </w:r>
      <w:proofErr w:type="spellStart"/>
      <w:r w:rsidR="00B36693">
        <w:rPr>
          <w:b/>
        </w:rPr>
        <w:t>JANASINGGAM</w:t>
      </w:r>
      <w:proofErr w:type="spellEnd"/>
      <w:r>
        <w:rPr>
          <w:b/>
        </w:rPr>
        <w:t>]</w:t>
      </w:r>
      <w:r>
        <w:rPr>
          <w:b/>
        </w:rPr>
        <w:br/>
      </w:r>
      <w:r>
        <w:t>[</w:t>
      </w:r>
      <w:r w:rsidR="00B36693">
        <w:t>Seren Swansea Accomodation , 66 Alexandra Road</w:t>
      </w:r>
      <w:r w:rsidR="00E86A1D">
        <w:t xml:space="preserve"> , SA1 5BD, Swansea</w:t>
      </w:r>
      <w:r>
        <w:t>]</w:t>
      </w:r>
      <w:r>
        <w:br/>
        <w:t>[</w:t>
      </w:r>
      <w:r w:rsidR="00E86A1D">
        <w:t>25.02.2025</w:t>
      </w:r>
      <w:r>
        <w:t>]</w:t>
      </w:r>
    </w:p>
    <w:p w14:paraId="1D13B1EC" w14:textId="55C6B234" w:rsidR="00840B96" w:rsidRDefault="00E24B73">
      <w:r>
        <w:rPr>
          <w:b/>
        </w:rPr>
        <w:t>Mr. Smith</w:t>
      </w:r>
      <w:r>
        <w:rPr>
          <w:b/>
        </w:rPr>
        <w:br/>
      </w:r>
      <w:r>
        <w:t>[</w:t>
      </w:r>
      <w:r w:rsidR="00EF0564">
        <w:t xml:space="preserve">Flat 31 </w:t>
      </w:r>
      <w:proofErr w:type="spellStart"/>
      <w:r w:rsidR="00EF0564">
        <w:t>Hi</w:t>
      </w:r>
      <w:r w:rsidR="009E5D59">
        <w:t>therwood</w:t>
      </w:r>
      <w:proofErr w:type="spellEnd"/>
      <w:r w:rsidR="009E5D59">
        <w:t xml:space="preserve"> Court, 28 Charcot Road, NW9 5YW</w:t>
      </w:r>
      <w:r w:rsidR="00A3480F">
        <w:t>, London</w:t>
      </w:r>
      <w:r>
        <w:t>]</w:t>
      </w:r>
    </w:p>
    <w:p w14:paraId="179D766A" w14:textId="77777777" w:rsidR="00840B96" w:rsidRDefault="00E24B73">
      <w:pPr>
        <w:rPr>
          <w:b/>
        </w:rPr>
      </w:pPr>
      <w:r>
        <w:rPr>
          <w:b/>
        </w:rPr>
        <w:t>Subject: Legally Binding Contract – Rental Agreement with Jane</w:t>
      </w:r>
    </w:p>
    <w:p w14:paraId="0ED48585" w14:textId="77777777" w:rsidR="00840B96" w:rsidRDefault="00E24B73">
      <w:r>
        <w:t>Dear Mr. Smith,</w:t>
      </w:r>
    </w:p>
    <w:p w14:paraId="0A12FDF6" w14:textId="77777777" w:rsidR="00840B96" w:rsidRDefault="00E24B73" w:rsidP="00B00761">
      <w:pPr>
        <w:ind w:firstLine="720"/>
      </w:pPr>
      <w:r>
        <w:t>This letter is from Jane in response to some of the recent correspondence about your rented-out flat. This letter explains whether contracts were formed and the legal implications for the decision demanded by you to rent the flat to another person right after planning to rent it to Jane.</w:t>
      </w:r>
    </w:p>
    <w:p w14:paraId="15A57427" w14:textId="77777777" w:rsidR="00840B96" w:rsidRDefault="00E24B73">
      <w:pPr>
        <w:spacing w:before="280"/>
        <w:rPr>
          <w:b/>
        </w:rPr>
      </w:pPr>
      <w:r>
        <w:rPr>
          <w:b/>
        </w:rPr>
        <w:t xml:space="preserve">1. Legal Principles of Contract Formation </w:t>
      </w:r>
    </w:p>
    <w:p w14:paraId="0765AEF9" w14:textId="77777777" w:rsidR="00840B96" w:rsidRDefault="00E24B73" w:rsidP="00B00761">
      <w:pPr>
        <w:ind w:firstLine="720"/>
      </w:pPr>
      <w:r>
        <w:t>Markovits &amp; Atiq (2021) mention that the legal principles of contract law involve the five legal requisites: an offer, acceptance, consideration, intention to do things that will be legally binding, and capacity. Any of the elements stated above may be deemed as voiding an agreement or making it unenforceable.</w:t>
      </w:r>
    </w:p>
    <w:p w14:paraId="038B940B" w14:textId="77777777" w:rsidR="00292A19" w:rsidRDefault="00292A19">
      <w:pPr>
        <w:spacing w:after="40"/>
        <w:rPr>
          <w:b/>
          <w:u w:val="single"/>
        </w:rPr>
      </w:pPr>
    </w:p>
    <w:p w14:paraId="4F895219" w14:textId="77777777" w:rsidR="00292A19" w:rsidRDefault="00292A19">
      <w:pPr>
        <w:spacing w:after="40"/>
        <w:rPr>
          <w:b/>
          <w:u w:val="single"/>
        </w:rPr>
      </w:pPr>
    </w:p>
    <w:p w14:paraId="681A554D" w14:textId="77777777" w:rsidR="00292A19" w:rsidRDefault="00292A19">
      <w:pPr>
        <w:spacing w:after="40"/>
        <w:rPr>
          <w:b/>
          <w:u w:val="single"/>
        </w:rPr>
      </w:pPr>
    </w:p>
    <w:p w14:paraId="62F63FC6" w14:textId="621F5C07" w:rsidR="00840B96" w:rsidRDefault="00E24B73">
      <w:pPr>
        <w:spacing w:after="40"/>
        <w:rPr>
          <w:b/>
          <w:u w:val="single"/>
        </w:rPr>
      </w:pPr>
      <w:r>
        <w:rPr>
          <w:b/>
          <w:u w:val="single"/>
        </w:rPr>
        <w:lastRenderedPageBreak/>
        <w:t>Offer</w:t>
      </w:r>
    </w:p>
    <w:p w14:paraId="1BF98D69" w14:textId="77777777" w:rsidR="00840B96" w:rsidRDefault="00E24B73" w:rsidP="00B00761">
      <w:pPr>
        <w:ind w:firstLine="720"/>
      </w:pPr>
      <w:r>
        <w:t>O’Sullivan &amp; Hilliard (2022) opined that an offer is defined as a precise and unqualified expression of the vendor’s intention regarding the formation of a contract. It must be communicated to the offeree and show the intention of the offeror to be bound if the offer is accepted. It may be as a result of an invitation to treat like in Partridge v. Crittenden [1968] and Harvey v Facey [1893] where advertised products and quotes for prices respectively were not considered offers (Jones, 2019).</w:t>
      </w:r>
    </w:p>
    <w:p w14:paraId="4FB2BFFF" w14:textId="77777777" w:rsidR="00840B96" w:rsidRDefault="00E24B73">
      <w:pPr>
        <w:spacing w:after="40"/>
        <w:rPr>
          <w:b/>
          <w:u w:val="single"/>
        </w:rPr>
      </w:pPr>
      <w:r>
        <w:rPr>
          <w:b/>
          <w:u w:val="single"/>
        </w:rPr>
        <w:t>Acceptance</w:t>
      </w:r>
    </w:p>
    <w:p w14:paraId="177C8516" w14:textId="511E8DBE" w:rsidR="00840B96" w:rsidRDefault="00E24B73" w:rsidP="00B00761">
      <w:pPr>
        <w:ind w:firstLine="720"/>
      </w:pPr>
      <w:r>
        <w:t>Taylor &amp; Taylor (2019) mentioned that acceptance must be unconditional and matched with the offer terms to the latter’s letter (Hyde v Wrench [1840]). However, if new terms are added, then it cannot be deemed as acceptance but a counter-offer instead. It must also be communicated effectively to the offeror, Entores Ltd v Miles Far East Corp [1955] (Merkin &amp; Saintier, 2019). Poole et al. (2017) argued that as for the cases that have been brought concerning the common law rules, it is worthy of note that in some situations conduct can constitute acceptance (Brogden v Metropolitan Railway [1877]).</w:t>
      </w:r>
    </w:p>
    <w:p w14:paraId="1F0A629A" w14:textId="77777777" w:rsidR="00840B96" w:rsidRDefault="00E24B73">
      <w:pPr>
        <w:spacing w:after="40"/>
        <w:rPr>
          <w:b/>
          <w:u w:val="single"/>
        </w:rPr>
      </w:pPr>
      <w:r>
        <w:rPr>
          <w:b/>
          <w:u w:val="single"/>
        </w:rPr>
        <w:t>Consideration</w:t>
      </w:r>
    </w:p>
    <w:p w14:paraId="6C757DF7" w14:textId="27899B5C" w:rsidR="00840B96" w:rsidRDefault="00E24B73" w:rsidP="00B00761">
      <w:pPr>
        <w:ind w:firstLine="720"/>
      </w:pPr>
      <w:r>
        <w:t xml:space="preserve">According to Gulati (2018), in any legal relationship, consideration is defined to be something which the parties have given up and which they could call theirs to be the price of the right they have granted or bargain which is exchanged for the legal agreement. It must be sufficient though need not be adequate (Thomas V Thomas 1842) and must originate from the </w:t>
      </w:r>
      <w:r w:rsidR="00B00761">
        <w:t>promise</w:t>
      </w:r>
      <w:r>
        <w:t xml:space="preserve"> (Twedd1 V Atkinson 1861) </w:t>
      </w:r>
      <w:r>
        <w:lastRenderedPageBreak/>
        <w:t>(Lawteacher, 2018). It then follows that notice given in the past is not valid (See Re McArdle [1951]).</w:t>
      </w:r>
    </w:p>
    <w:p w14:paraId="726E6CA1" w14:textId="77777777" w:rsidR="00840B96" w:rsidRDefault="00E24B73">
      <w:pPr>
        <w:spacing w:after="40"/>
        <w:rPr>
          <w:b/>
          <w:u w:val="single"/>
        </w:rPr>
      </w:pPr>
      <w:r>
        <w:rPr>
          <w:b/>
          <w:u w:val="single"/>
        </w:rPr>
        <w:t>Intention to Create Legal Relations</w:t>
      </w:r>
    </w:p>
    <w:p w14:paraId="114A5F17" w14:textId="77777777" w:rsidR="00840B96" w:rsidRDefault="00E24B73" w:rsidP="00B00761">
      <w:pPr>
        <w:ind w:firstLine="720"/>
      </w:pPr>
      <w:r>
        <w:t>Khan (2019) added that when a contract was made for commercial purposes then it must be treated to have contractual intention unless it is proved otherwise (Edwards v Skyways [1964]). Saprai (2017) argued that where the contract was for a social or domestic relationship then such a contract is not assumed to be contractual unless proven otherwise (Balfour v Balfour [1919]).</w:t>
      </w:r>
    </w:p>
    <w:p w14:paraId="6D2EBFE8" w14:textId="77777777" w:rsidR="00840B96" w:rsidRDefault="00E24B73">
      <w:pPr>
        <w:spacing w:after="40"/>
        <w:rPr>
          <w:b/>
          <w:u w:val="single"/>
        </w:rPr>
      </w:pPr>
      <w:r>
        <w:rPr>
          <w:b/>
          <w:u w:val="single"/>
        </w:rPr>
        <w:t>Capacity</w:t>
      </w:r>
    </w:p>
    <w:p w14:paraId="35851D38" w14:textId="77777777" w:rsidR="00840B96" w:rsidRDefault="00E24B73" w:rsidP="00B00761">
      <w:pPr>
        <w:ind w:firstLine="720"/>
      </w:pPr>
      <w:r>
        <w:t>Star &amp; Dhankar (2022) argued that there is always the legal requirement that a party to an agreement must have the capacity to enter into a contract. Austen-Baker &amp; Hunter (2020) argued that Incapacitated people like the minors or the mentally challenged or the intoxicated are incompetent thus rendering the contract voidable (Nash v Inman [1908]).</w:t>
      </w:r>
    </w:p>
    <w:p w14:paraId="4EBEC396" w14:textId="77777777" w:rsidR="00840B96" w:rsidRDefault="00E24B73" w:rsidP="00B00761">
      <w:pPr>
        <w:ind w:firstLine="720"/>
      </w:pPr>
      <w:r>
        <w:t>All these are necessary for a contract to exist and be enforced by the law.</w:t>
      </w:r>
    </w:p>
    <w:p w14:paraId="07622DF5" w14:textId="77777777" w:rsidR="00840B96" w:rsidRDefault="00E24B73">
      <w:pPr>
        <w:spacing w:before="280"/>
        <w:rPr>
          <w:b/>
        </w:rPr>
      </w:pPr>
      <w:r>
        <w:rPr>
          <w:b/>
        </w:rPr>
        <w:t>2. Application to the Scenario</w:t>
      </w:r>
    </w:p>
    <w:p w14:paraId="5C89C906" w14:textId="77777777" w:rsidR="00840B96" w:rsidRDefault="00E24B73">
      <w:pPr>
        <w:spacing w:after="40"/>
        <w:rPr>
          <w:b/>
          <w:u w:val="single"/>
        </w:rPr>
      </w:pPr>
      <w:r>
        <w:rPr>
          <w:b/>
          <w:u w:val="single"/>
        </w:rPr>
        <w:t>Offer and Acceptance</w:t>
      </w:r>
    </w:p>
    <w:p w14:paraId="2CF1CDC9" w14:textId="77777777" w:rsidR="00840B96" w:rsidRDefault="00E24B73" w:rsidP="00B00761">
      <w:pPr>
        <w:ind w:firstLine="720"/>
      </w:pPr>
      <w:r>
        <w:t xml:space="preserve">According to Machnikowski &amp; Balcarczyk (2020), an offer therefore refers to an offer as a definite provocation for acceptance, within the anticipation of the legal enforcement of the contract. According to the oral pledge given by Smith, he said that he would rent the flat for £500 starting September 1st. Jane’s email the next day </w:t>
      </w:r>
      <w:r>
        <w:lastRenderedPageBreak/>
        <w:t>is about the finalisation of the plan and can be considered as a request for acceptance of the offer instead of a counteroffer. Mr. Smith’s follow-up recapitulates the terms of the rental and urging Jane to reply is confirmation. Taylor &amp; Taylor (2019) stated that it passes the acceptance test of the contract and hence Jane’s reply “I agree to the terms” meets the requirement of the contract stipulation that acceptance has to be clear and unambiguous (Hyde v Wrench [1840]).</w:t>
      </w:r>
    </w:p>
    <w:p w14:paraId="5370735B" w14:textId="77777777" w:rsidR="00840B96" w:rsidRDefault="00E24B73" w:rsidP="00B00761">
      <w:pPr>
        <w:ind w:firstLine="720"/>
      </w:pPr>
      <w:r>
        <w:t>Furthermore, Merkin &amp; Séverine Saintier (2019) highlighted Entores Ltd v Miles Far East Corporation [1955], acceptance made through electronic mail takes place at the time when it is received by the offeror. This means that there is contract formation since Mr. Smith let Jane’s acceptance go without any objection. Ignachkov (2022), Gibson v Manchester City Council [1979] has taken its time to uphold the fact that an effective legally binding agreement entails offer and acceptance which has happened in this case.</w:t>
      </w:r>
    </w:p>
    <w:p w14:paraId="1C065402" w14:textId="77777777" w:rsidR="00840B96" w:rsidRDefault="00E24B73">
      <w:pPr>
        <w:spacing w:after="40"/>
      </w:pPr>
      <w:r>
        <w:rPr>
          <w:b/>
          <w:u w:val="single"/>
        </w:rPr>
        <w:t>Consideration</w:t>
      </w:r>
    </w:p>
    <w:p w14:paraId="39D1A46C" w14:textId="19784E47" w:rsidR="00840B96" w:rsidRDefault="00E24B73" w:rsidP="00B00761">
      <w:pPr>
        <w:ind w:firstLine="720"/>
      </w:pPr>
      <w:r>
        <w:t xml:space="preserve">It is also worth noting that consideration can be in money form or kind. Jane offers her intention to pay rent money in exchange for possession of the flat, and that therefore, she has provided valid consideration. </w:t>
      </w:r>
      <w:r w:rsidR="00B00761">
        <w:t>Moreover,</w:t>
      </w:r>
      <w:r>
        <w:t xml:space="preserve"> transferring the deposit to Jane ensures the various contractual clauses into existence especially the contract are enforceable. As mentioned by Ungerer (2023), In Currie v Misa [1875], it is defined that consideration is the thing of value in exchange for the contract, and Jane meets this since it shows her willingness to perform her part of the agreement.</w:t>
      </w:r>
    </w:p>
    <w:p w14:paraId="3A9D98F4" w14:textId="77777777" w:rsidR="00840B96" w:rsidRDefault="00E24B73">
      <w:pPr>
        <w:spacing w:after="40"/>
      </w:pPr>
      <w:r>
        <w:rPr>
          <w:b/>
          <w:u w:val="single"/>
        </w:rPr>
        <w:t>Intention to Create Legal Relations</w:t>
      </w:r>
    </w:p>
    <w:p w14:paraId="4B019AB0" w14:textId="77777777" w:rsidR="00840B96" w:rsidRDefault="00E24B73" w:rsidP="00B00761">
      <w:pPr>
        <w:ind w:firstLine="720"/>
      </w:pPr>
      <w:r>
        <w:lastRenderedPageBreak/>
        <w:t>Khan (2019) added that the law may take the view that an agreement in commercial and rental relations is meant to be legally enforceable (Edwards v Skyways Ltd [1964]). Dikshit (2022) counted that, unlike other social or domestic contracts, rental contracts have a clear implication of contractual enforceability (Balfour v Balfour [1919]). Because Mr. Smith is a landlord of the property on rent and Jane is a tenant willing to make the payments, this assumption holds.</w:t>
      </w:r>
    </w:p>
    <w:p w14:paraId="179827CF" w14:textId="77777777" w:rsidR="00840B96" w:rsidRDefault="00E24B73">
      <w:pPr>
        <w:spacing w:after="40"/>
        <w:rPr>
          <w:b/>
          <w:u w:val="single"/>
        </w:rPr>
      </w:pPr>
      <w:r>
        <w:rPr>
          <w:b/>
          <w:u w:val="single"/>
        </w:rPr>
        <w:t>Capacity</w:t>
      </w:r>
    </w:p>
    <w:p w14:paraId="433BE9D2" w14:textId="77777777" w:rsidR="00840B96" w:rsidRDefault="00E24B73" w:rsidP="00B00761">
      <w:pPr>
        <w:ind w:firstLine="720"/>
      </w:pPr>
      <w:r>
        <w:t>Therefore, Jane being an adult university student and Mr. Smith, being a landlord, both the parties possess the legal capacity to conclude a contract. As will be seen, there are no signs of disability arising out of minority, mental illness, or any other legal disability (Nash v Inman (1908)).</w:t>
      </w:r>
    </w:p>
    <w:p w14:paraId="6C85EAEA" w14:textId="77777777" w:rsidR="00840B96" w:rsidRDefault="00E24B73" w:rsidP="00B00761">
      <w:pPr>
        <w:ind w:firstLine="720"/>
      </w:pPr>
      <w:r>
        <w:t>As mentioned above, all the elements of a contract were present, and therefore, a legally enforceable contract was indeed made.</w:t>
      </w:r>
    </w:p>
    <w:p w14:paraId="6891F3BD" w14:textId="77777777" w:rsidR="00840B96" w:rsidRDefault="00E24B73">
      <w:pPr>
        <w:spacing w:before="280"/>
        <w:rPr>
          <w:b/>
        </w:rPr>
      </w:pPr>
      <w:r>
        <w:rPr>
          <w:b/>
        </w:rPr>
        <w:t xml:space="preserve">3. Legal Implications of Mr. Smith’s Decision </w:t>
      </w:r>
    </w:p>
    <w:p w14:paraId="424086AE" w14:textId="77777777" w:rsidR="00840B96" w:rsidRDefault="00E24B73" w:rsidP="00B00761">
      <w:pPr>
        <w:ind w:firstLine="720"/>
      </w:pPr>
      <w:r>
        <w:t xml:space="preserve">Based on the considerations made above it is clear the creation of a legally binding contract between Jane and Mr. Smith meant that his actions of renting the flat to another party was a breach of contract. Ben-Shahar et al. (2022) stated that It happens when a party to a contract does not meet the agreed obligations as per the court of law or the treaty in question. In this case, many aspects of the new tenancy situation can be observed; Mr. Smith agreed to rent the flat to Jane and she accepted the proposed terms and paid a deposit and had good reason to rely on the </w:t>
      </w:r>
      <w:r>
        <w:lastRenderedPageBreak/>
        <w:t>agreement. It is against the agreement, and he decides to rent out the house to another person, which makes him have some legal consequences to face.</w:t>
      </w:r>
    </w:p>
    <w:p w14:paraId="407BA611" w14:textId="77777777" w:rsidR="00840B96" w:rsidRDefault="00E24B73" w:rsidP="00B00761">
      <w:pPr>
        <w:ind w:firstLine="720"/>
      </w:pPr>
      <w:r>
        <w:t>Here are Jane’s alternatives that consist of specific performance, damages, and potential restitution of deposit included.</w:t>
      </w:r>
    </w:p>
    <w:p w14:paraId="629EA062" w14:textId="77777777" w:rsidR="00840B96" w:rsidRDefault="00E24B73">
      <w:pPr>
        <w:spacing w:after="40"/>
        <w:rPr>
          <w:b/>
          <w:u w:val="single"/>
        </w:rPr>
      </w:pPr>
      <w:r>
        <w:rPr>
          <w:b/>
          <w:u w:val="single"/>
        </w:rPr>
        <w:t>Specific Performance</w:t>
      </w:r>
    </w:p>
    <w:p w14:paraId="7A7BB101" w14:textId="77777777" w:rsidR="00840B96" w:rsidRDefault="00E24B73" w:rsidP="00B00761">
      <w:pPr>
        <w:ind w:firstLine="720"/>
      </w:pPr>
      <w:r>
        <w:t>According to De Rey &amp; Chen (2021), Specific performance is a legal remedy where the court orders the defendant to perform the contractual promises that he agreed to make. It is an available remedy that may be given mainly in situations where a payment of money cannot fairly compensate due to peculiar circumstances as in Contracts for the sale of specific goods or land (Beswick v Beswick [1968]) (Lawteacher, 2020). Since rental properties are usually different due to the location, the cost, and ease of access, Jane can cite that specific performance is suitable here; it means that Mr Smith should fulfil the signed lease.</w:t>
      </w:r>
    </w:p>
    <w:p w14:paraId="764278A8" w14:textId="6D8F75D6" w:rsidR="00840B96" w:rsidRDefault="00E24B73" w:rsidP="00B00761">
      <w:pPr>
        <w:ind w:firstLine="720"/>
      </w:pPr>
      <w:r>
        <w:t xml:space="preserve">However, Bogg &amp; Brodie (2023) counted that specific performance cannot be ordered for a contract for personal services or a contract that calls for performing continuous services (Co-operative Insurance Society Ltd v Argyll Stores [1998]). This is so because renting a </w:t>
      </w:r>
      <w:r w:rsidR="00B00761">
        <w:t>flat entail</w:t>
      </w:r>
      <w:r>
        <w:t xml:space="preserve"> the creation of a continuous landlord-tenant relationship that would make specific performance infeasible (Burchardi et al., 2018). The second outcome is a possible outcome if the claim does not require a lease order to be issued to Mr Smith, but the court may award damages as a remedy if enforcing the lease would cause significant hardship to the lease.</w:t>
      </w:r>
    </w:p>
    <w:p w14:paraId="6F1BCAA0" w14:textId="77777777" w:rsidR="00840B96" w:rsidRDefault="00E24B73">
      <w:pPr>
        <w:spacing w:after="40"/>
        <w:rPr>
          <w:b/>
          <w:u w:val="single"/>
        </w:rPr>
      </w:pPr>
      <w:r>
        <w:rPr>
          <w:b/>
          <w:u w:val="single"/>
        </w:rPr>
        <w:t>Damages</w:t>
      </w:r>
    </w:p>
    <w:p w14:paraId="1839573C" w14:textId="77777777" w:rsidR="00840B96" w:rsidRDefault="00E24B73" w:rsidP="00B00761">
      <w:pPr>
        <w:ind w:firstLine="360"/>
      </w:pPr>
      <w:r>
        <w:lastRenderedPageBreak/>
        <w:t>If the specific performance is not granted then the plaintiff that is Jane has grounds to claim damages from the parties that have breached the contract. The aim of the damages therefore is to put the injured party in the position that he would have been had the contract been performed under the agreed terms.</w:t>
      </w:r>
    </w:p>
    <w:p w14:paraId="6AD45D0E" w14:textId="77777777" w:rsidR="00840B96" w:rsidRDefault="00E24B73">
      <w:pPr>
        <w:numPr>
          <w:ilvl w:val="0"/>
          <w:numId w:val="4"/>
        </w:numPr>
        <w:rPr>
          <w:i/>
        </w:rPr>
      </w:pPr>
      <w:r>
        <w:rPr>
          <w:i/>
        </w:rPr>
        <w:t>Expectation Loss (Loss of Bargain)</w:t>
      </w:r>
    </w:p>
    <w:p w14:paraId="7002CE21" w14:textId="7917CCD8" w:rsidR="00840B96" w:rsidRDefault="00E24B73" w:rsidP="00B00761">
      <w:pPr>
        <w:ind w:firstLine="360"/>
      </w:pPr>
      <w:r>
        <w:t xml:space="preserve">If Jane was compelled to rent another flat for a higher </w:t>
      </w:r>
      <w:r w:rsidR="00B00761">
        <w:t>charge,</w:t>
      </w:r>
      <w:r>
        <w:t xml:space="preserve"> then she can recover the extra costs of rent as damages. For instance, if she obtained a similar flat for £550 per month, she could demand £50 per month for the entire intended lease period as compensation.</w:t>
      </w:r>
    </w:p>
    <w:p w14:paraId="36AAC57E" w14:textId="77777777" w:rsidR="00840B96" w:rsidRDefault="00E24B73">
      <w:pPr>
        <w:numPr>
          <w:ilvl w:val="0"/>
          <w:numId w:val="3"/>
        </w:numPr>
        <w:rPr>
          <w:i/>
        </w:rPr>
      </w:pPr>
      <w:r>
        <w:rPr>
          <w:i/>
        </w:rPr>
        <w:t>Reliance Loss (Financial Loss Due to the Breach)</w:t>
      </w:r>
    </w:p>
    <w:p w14:paraId="50675634" w14:textId="77777777" w:rsidR="00840B96" w:rsidRDefault="00E24B73" w:rsidP="00B00761">
      <w:pPr>
        <w:ind w:firstLine="360"/>
      </w:pPr>
      <w:r>
        <w:t>Jane has already paid an amount of money to Mr Smith as a deposit. If Mr. Smith is unable to return it, she can seek compensation for that loss of property.</w:t>
      </w:r>
    </w:p>
    <w:p w14:paraId="2762E428" w14:textId="77777777" w:rsidR="00840B96" w:rsidRDefault="00E24B73" w:rsidP="00B00761">
      <w:pPr>
        <w:ind w:firstLine="360"/>
      </w:pPr>
      <w:r>
        <w:t>If Jane had incurred any other expenses which she used to acquire another property like administration or agency charges he can also ask for reimbursement for such costs.</w:t>
      </w:r>
    </w:p>
    <w:p w14:paraId="17D78F27" w14:textId="77777777" w:rsidR="00840B96" w:rsidRDefault="00E24B73">
      <w:pPr>
        <w:numPr>
          <w:ilvl w:val="0"/>
          <w:numId w:val="2"/>
        </w:numPr>
        <w:rPr>
          <w:i/>
        </w:rPr>
      </w:pPr>
      <w:r>
        <w:rPr>
          <w:i/>
        </w:rPr>
        <w:t>Non-Pecuniary Loss (Distress and Inconvenience)</w:t>
      </w:r>
    </w:p>
    <w:p w14:paraId="439B7C9F" w14:textId="77777777" w:rsidR="00840B96" w:rsidRDefault="00E24B73" w:rsidP="00B00761">
      <w:pPr>
        <w:ind w:firstLine="360"/>
      </w:pPr>
      <w:r>
        <w:t xml:space="preserve">Zlatev (2021) pointed out that as a general rule, the aggrieved party is not compensated for disappointment lost, where the contract that has been breached was for enjoyment or having peace of mind, then the aggrieved party can recover the loss of those expectations (Jarvis v Swans Tours Ltd [1973], Farley v Skinner [2001]). In case the stress or inconvenience is quite huge because of the loss of the </w:t>
      </w:r>
      <w:r>
        <w:lastRenderedPageBreak/>
        <w:t>flat (for instance; the difficulties encountered while searching for a new place to stay), Jane may be able to sue for inconvenience and stress.</w:t>
      </w:r>
    </w:p>
    <w:p w14:paraId="3F08B51B" w14:textId="77777777" w:rsidR="00840B96" w:rsidRDefault="00E24B73">
      <w:pPr>
        <w:spacing w:after="40"/>
      </w:pPr>
      <w:r>
        <w:rPr>
          <w:b/>
          <w:u w:val="single"/>
        </w:rPr>
        <w:t>Restitution and Return of Deposit</w:t>
      </w:r>
    </w:p>
    <w:p w14:paraId="4C18A260" w14:textId="77777777" w:rsidR="00840B96" w:rsidRDefault="00E24B73" w:rsidP="00B00761">
      <w:pPr>
        <w:ind w:firstLine="720"/>
      </w:pPr>
      <w:r>
        <w:t>According to Paterson (2023), this certainly seeks to bar someone who has benefited from a contract from having to surrender the gains which are subject to the breach of the contract. Since Jane has already transferred the deposit, the legal ovation to Mr Smith to return is it unless he can argue that the deposit was non-refundable as per the agreed contract terms and conditions. The clause of non-refundable deposit will not readily be upheld if Jane was never given a fair chance to review the clause and /or be allowed expressly to consent to the clause.</w:t>
      </w:r>
    </w:p>
    <w:p w14:paraId="681A2759" w14:textId="108D627A" w:rsidR="00840B96" w:rsidRDefault="00E24B73">
      <w:pPr>
        <w:spacing w:after="40"/>
      </w:pPr>
      <w:r>
        <w:rPr>
          <w:b/>
          <w:u w:val="single"/>
        </w:rPr>
        <w:t xml:space="preserve">Potential </w:t>
      </w:r>
      <w:r w:rsidR="00B00761">
        <w:rPr>
          <w:b/>
          <w:u w:val="single"/>
        </w:rPr>
        <w:t>Defences</w:t>
      </w:r>
      <w:r>
        <w:rPr>
          <w:b/>
          <w:u w:val="single"/>
        </w:rPr>
        <w:t xml:space="preserve"> by Mr. Smith</w:t>
      </w:r>
    </w:p>
    <w:p w14:paraId="4E645F71" w14:textId="77777777" w:rsidR="00840B96" w:rsidRDefault="00E24B73">
      <w:pPr>
        <w:numPr>
          <w:ilvl w:val="0"/>
          <w:numId w:val="1"/>
        </w:numPr>
        <w:spacing w:after="0"/>
      </w:pPr>
      <w:r>
        <w:t>No written agreement was made and put into writing and signed by the two parties as well. However, this does not frustrate the agreement as contracts do not necessarily have to be in writing always especially where the statute did not require it for instance in the sale of land required under the Law of Property (Miscellaneous Provisions) Act 1989 (Legislation, 2010). In this particular case, Defossez (2019) stated that there is an email communication on the acceptance of the offer and even a deposit payment which gives a clear message of the intention of a contract.</w:t>
      </w:r>
    </w:p>
    <w:p w14:paraId="7BAE5148" w14:textId="77777777" w:rsidR="00840B96" w:rsidRDefault="00E24B73">
      <w:pPr>
        <w:numPr>
          <w:ilvl w:val="0"/>
          <w:numId w:val="1"/>
        </w:numPr>
        <w:spacing w:before="0"/>
      </w:pPr>
      <w:r>
        <w:t xml:space="preserve">He rejected the offer before acceptance. In this respect, Jane had agreed to abide by the terms and even paid a deposit which means that she could not revoke her decision at that stage. This legal writing will show that, once acceptance has taken place and reliance has been created. The revocation of </w:t>
      </w:r>
      <w:r>
        <w:lastRenderedPageBreak/>
        <w:t>the offer will not be effective (Commnr of Stamp Duties (Vic) v Errington) [1952].</w:t>
      </w:r>
    </w:p>
    <w:p w14:paraId="69713230" w14:textId="77777777" w:rsidR="00840B96" w:rsidRDefault="00E24B73" w:rsidP="00B00761">
      <w:pPr>
        <w:ind w:firstLine="360"/>
      </w:pPr>
      <w:r>
        <w:t>In this case, Jane has a good basis for seeking remedies because Mr. Smith’s act of renting out the flat to another person is in contract violation. Where such displacements may be difficult to award due to rental agreements, Jane can claim for any additional expense, loss of deposit, and inconvenience. She can also seek restitution to recover her money from Mr Smith in case he declines to refund the deposit.</w:t>
      </w:r>
    </w:p>
    <w:p w14:paraId="369F3F2B" w14:textId="77777777" w:rsidR="00840B96" w:rsidRDefault="00E24B73" w:rsidP="00B00761">
      <w:pPr>
        <w:ind w:firstLine="360"/>
      </w:pPr>
      <w:r>
        <w:t>Ultimately, one has to agree that Mr. Smith may face legal and financial repercussions, and Jane is covered quite well as a compensation candidate.</w:t>
      </w:r>
    </w:p>
    <w:p w14:paraId="16472566" w14:textId="77777777" w:rsidR="00840B96" w:rsidRDefault="00E24B73">
      <w:pPr>
        <w:spacing w:before="280"/>
        <w:rPr>
          <w:b/>
        </w:rPr>
      </w:pPr>
      <w:r>
        <w:rPr>
          <w:b/>
        </w:rPr>
        <w:t>4. Conclusion and Advice</w:t>
      </w:r>
    </w:p>
    <w:p w14:paraId="42726630" w14:textId="77777777" w:rsidR="00840B96" w:rsidRDefault="00E24B73" w:rsidP="00B00761">
      <w:pPr>
        <w:ind w:firstLine="720"/>
      </w:pPr>
      <w:r>
        <w:t>It should be noted that after having fulfilled all the requirements that would comprise an offer, acceptance, consideration, intention to create legal relation, and capacity a legally enforceable contract was created between you and Jane. The email exchange elaborates consent to the rental provisions, and Jane pays for the deposit, entailing the existence of the contract.</w:t>
      </w:r>
    </w:p>
    <w:p w14:paraId="39C718C1" w14:textId="77E038D7" w:rsidR="00840B96" w:rsidRDefault="00B00761" w:rsidP="00B00761">
      <w:pPr>
        <w:ind w:firstLine="720"/>
      </w:pPr>
      <w:r>
        <w:t xml:space="preserve">Next action of renting the flat to another tenant amounts to a breach of contract which attracts chances of suffering litigation. Jane can, therefore, have good grounds for specific performance and demand that you perform the contract as agreed. If specific performance is not feasible according to the court, Jane can seek, inter alia, all the costs of obtaining other accommodation and any amounts recoverable for the inconvenience or loss of chance for her and her family. On the </w:t>
      </w:r>
      <w:r>
        <w:lastRenderedPageBreak/>
        <w:t>same note, you are obliged by law to return her money deposit in case you had held it without any proper warrant not to do so constitutes the act of unjust enrichment.</w:t>
      </w:r>
    </w:p>
    <w:p w14:paraId="260D6B5F" w14:textId="30B4D75D" w:rsidR="00840B96" w:rsidRDefault="00E24B73">
      <w:r>
        <w:t xml:space="preserve">In any case, I suggest that you should avoid going to court. Besides damaging your </w:t>
      </w:r>
      <w:r w:rsidR="00B00761">
        <w:t>image,</w:t>
      </w:r>
      <w:r>
        <w:t xml:space="preserve"> you are likely to spend a lot of money. It may involve sticking with what you agreed upon before or paying Jane for any incurred losses that came as a result of your infringement. Schwartz &amp; Scott (2023) suggested that </w:t>
      </w:r>
      <w:r w:rsidR="00B00761">
        <w:t>it</w:t>
      </w:r>
      <w:r>
        <w:t xml:space="preserve"> will, therefore, be in the best interest of the two parties to agree on a fair and quick solution to curb the outcome of complicated and protracted legal suits.</w:t>
      </w:r>
    </w:p>
    <w:p w14:paraId="6BDCEB62" w14:textId="77777777" w:rsidR="00840B96" w:rsidRDefault="00E24B73" w:rsidP="00B00761">
      <w:pPr>
        <w:ind w:firstLine="720"/>
      </w:pPr>
      <w:r>
        <w:t>I would like to recommend you change your mind and solve the dispute in a peaceful manner not involving the court system.</w:t>
      </w:r>
    </w:p>
    <w:p w14:paraId="153F0092" w14:textId="46C81506" w:rsidR="00840B96" w:rsidRDefault="00E24B73">
      <w:r>
        <w:t>Yours sincerely,</w:t>
      </w:r>
      <w:r>
        <w:br/>
        <w:t>[</w:t>
      </w:r>
      <w:r w:rsidR="009E704D">
        <w:t xml:space="preserve">HARSHINI A/P </w:t>
      </w:r>
      <w:proofErr w:type="spellStart"/>
      <w:r w:rsidR="009E704D">
        <w:t>JANASINGGAM</w:t>
      </w:r>
      <w:proofErr w:type="spellEnd"/>
      <w:r>
        <w:t>]</w:t>
      </w:r>
    </w:p>
    <w:p w14:paraId="2D059F28" w14:textId="77777777" w:rsidR="00840B96" w:rsidRDefault="00E24B73">
      <w:pPr>
        <w:pStyle w:val="Heading1"/>
        <w:keepNext w:val="0"/>
        <w:keepLines w:val="0"/>
      </w:pPr>
      <w:bookmarkStart w:id="0" w:name="_e5fphn9418zn" w:colFirst="0" w:colLast="0"/>
      <w:bookmarkEnd w:id="0"/>
      <w:r>
        <w:br w:type="page"/>
      </w:r>
    </w:p>
    <w:p w14:paraId="4BB78B43" w14:textId="77777777" w:rsidR="00840B96" w:rsidRDefault="00E24B73">
      <w:pPr>
        <w:pStyle w:val="Heading1"/>
        <w:keepNext w:val="0"/>
        <w:keepLines w:val="0"/>
      </w:pPr>
      <w:bookmarkStart w:id="1" w:name="_7f796vyp58ul" w:colFirst="0" w:colLast="0"/>
      <w:bookmarkEnd w:id="1"/>
      <w:r>
        <w:lastRenderedPageBreak/>
        <w:t>References</w:t>
      </w:r>
    </w:p>
    <w:p w14:paraId="5B6658FD" w14:textId="77777777" w:rsidR="00840B96" w:rsidRDefault="00E24B73" w:rsidP="00B00761">
      <w:pPr>
        <w:spacing w:before="0" w:after="0"/>
        <w:ind w:left="720" w:hanging="720"/>
      </w:pPr>
      <w:r>
        <w:t xml:space="preserve">Austen-Baker, R., &amp; Hunter, K. (2020). </w:t>
      </w:r>
      <w:r>
        <w:rPr>
          <w:i/>
        </w:rPr>
        <w:t>Infants’ Contracts: Law and Policy in the 18th and 19th Centuries</w:t>
      </w:r>
      <w:r>
        <w:t xml:space="preserve"> (pp. 1–45). https://cris.brighton.ac.uk/ws/portalfiles/portal/37481044/JC_Infants_Capacity_JCL_Final_Rev_1_1_.pdf</w:t>
      </w:r>
    </w:p>
    <w:p w14:paraId="0070BEFA" w14:textId="77777777" w:rsidR="00840B96" w:rsidRDefault="00E24B73" w:rsidP="00B00761">
      <w:pPr>
        <w:spacing w:before="0" w:after="0"/>
        <w:ind w:left="720" w:hanging="720"/>
      </w:pPr>
      <w:r>
        <w:t xml:space="preserve">Ben-Shahar, O., Hoffman, D., &amp; Hwang, C. (2022). </w:t>
      </w:r>
      <w:r>
        <w:rPr>
          <w:i/>
        </w:rPr>
        <w:t>Public Law and Legal Theory Research Paper Series 2022-17 Law and Economics Research Paper Series</w:t>
      </w:r>
      <w:r>
        <w:t>. https://scholarship.law.upenn.edu/cgi/viewcontent.cgi?article=3823&amp;context=faculty_scholarship</w:t>
      </w:r>
    </w:p>
    <w:p w14:paraId="005B20DD" w14:textId="77777777" w:rsidR="00840B96" w:rsidRDefault="00E24B73" w:rsidP="00B00761">
      <w:pPr>
        <w:spacing w:before="0" w:after="0"/>
        <w:ind w:left="720" w:hanging="720"/>
      </w:pPr>
      <w:r>
        <w:t xml:space="preserve">Bogg, A., &amp; Brodie, D. (2023). Every Little Helps: Permanent Benefits, Contract Interpretation, and “Fire and Rehire.” </w:t>
      </w:r>
      <w:r>
        <w:rPr>
          <w:i/>
        </w:rPr>
        <w:t>Industrial Law Journal</w:t>
      </w:r>
      <w:r>
        <w:t>. https://doi.org/10.1093/indlaw/dwac032</w:t>
      </w:r>
    </w:p>
    <w:p w14:paraId="43087FEC" w14:textId="77777777" w:rsidR="00840B96" w:rsidRDefault="00E24B73" w:rsidP="00B00761">
      <w:pPr>
        <w:spacing w:before="0" w:after="0"/>
        <w:ind w:left="720" w:hanging="720"/>
      </w:pPr>
      <w:r>
        <w:t xml:space="preserve">Burchardi, K. B., </w:t>
      </w:r>
      <w:proofErr w:type="spellStart"/>
      <w:r>
        <w:t>Gulesci</w:t>
      </w:r>
      <w:proofErr w:type="spellEnd"/>
      <w:r>
        <w:t xml:space="preserve">, S., </w:t>
      </w:r>
      <w:proofErr w:type="spellStart"/>
      <w:r>
        <w:t>Lerva</w:t>
      </w:r>
      <w:proofErr w:type="spellEnd"/>
      <w:r>
        <w:t xml:space="preserve">, B., &amp; Sulaiman, M. (2018). Moral Hazard: Experimental Evidence from Tenancy Contracts*. </w:t>
      </w:r>
      <w:r>
        <w:rPr>
          <w:i/>
        </w:rPr>
        <w:t>The Quarterly Journal of Economics</w:t>
      </w:r>
      <w:r>
        <w:t xml:space="preserve">, </w:t>
      </w:r>
      <w:r>
        <w:rPr>
          <w:i/>
        </w:rPr>
        <w:t>134</w:t>
      </w:r>
      <w:r>
        <w:t>(1), 281–347. https://doi.org/10.1093/qje/qjy023</w:t>
      </w:r>
    </w:p>
    <w:p w14:paraId="38206A92" w14:textId="77777777" w:rsidR="00840B96" w:rsidRDefault="00E24B73" w:rsidP="00B00761">
      <w:pPr>
        <w:spacing w:before="0" w:after="0"/>
        <w:ind w:left="720" w:hanging="720"/>
      </w:pPr>
      <w:r>
        <w:t xml:space="preserve">De Rey, S., &amp; Chen, L. (2021). Non-monetary relief for breach of contract: a European perspective on Chinese contract law. </w:t>
      </w:r>
      <w:r>
        <w:rPr>
          <w:i/>
        </w:rPr>
        <w:t>Asia Pacific Law Review</w:t>
      </w:r>
      <w:r>
        <w:t xml:space="preserve">, </w:t>
      </w:r>
      <w:r>
        <w:rPr>
          <w:i/>
        </w:rPr>
        <w:t>29</w:t>
      </w:r>
      <w:r>
        <w:t>(2), 325–345. https://doi.org/10.1080/10192557.2022.2033086</w:t>
      </w:r>
    </w:p>
    <w:p w14:paraId="4EA52B58" w14:textId="77777777" w:rsidR="00840B96" w:rsidRDefault="00E24B73" w:rsidP="00B00761">
      <w:pPr>
        <w:spacing w:before="0" w:after="0"/>
        <w:ind w:left="720" w:hanging="720"/>
      </w:pPr>
      <w:r>
        <w:t xml:space="preserve">Defossez, D. (2019). Acceptance is sent through email; is the postal rule applicable? </w:t>
      </w:r>
      <w:r>
        <w:rPr>
          <w:i/>
        </w:rPr>
        <w:t>Law, State and Telecommunications Review</w:t>
      </w:r>
      <w:r>
        <w:t xml:space="preserve">, </w:t>
      </w:r>
      <w:r>
        <w:rPr>
          <w:i/>
        </w:rPr>
        <w:t>11</w:t>
      </w:r>
      <w:r>
        <w:t>(1), 23–46. https://doi.org/10.26512/lstr.v11i1.24847</w:t>
      </w:r>
    </w:p>
    <w:p w14:paraId="317CB3AC" w14:textId="77777777" w:rsidR="00840B96" w:rsidRDefault="00E24B73" w:rsidP="00B00761">
      <w:pPr>
        <w:spacing w:before="0" w:after="0"/>
        <w:ind w:left="720" w:hanging="720"/>
      </w:pPr>
      <w:r>
        <w:t xml:space="preserve">Dikshit, P. (2022). Balfour vs Balfour. </w:t>
      </w:r>
      <w:r>
        <w:rPr>
          <w:i/>
        </w:rPr>
        <w:t>Jus Corpus Law Journal</w:t>
      </w:r>
      <w:r>
        <w:t xml:space="preserve">, </w:t>
      </w:r>
      <w:r>
        <w:rPr>
          <w:i/>
        </w:rPr>
        <w:t>3</w:t>
      </w:r>
      <w:r>
        <w:t>, 34. https://heinonline.org/HOL/LandingPage?handle=hein.journals/juscrp3&amp;div=192&amp;id=&amp;page=</w:t>
      </w:r>
    </w:p>
    <w:p w14:paraId="1805AC1F" w14:textId="77777777" w:rsidR="00840B96" w:rsidRDefault="00E24B73" w:rsidP="00B00761">
      <w:pPr>
        <w:spacing w:before="0" w:after="0"/>
        <w:ind w:left="720" w:hanging="720"/>
      </w:pPr>
      <w:r>
        <w:lastRenderedPageBreak/>
        <w:t xml:space="preserve">Gulati, B. (2018). “Intention to Create Legal Relations”: A Contractual Necessity or An Illusory Concept. </w:t>
      </w:r>
      <w:r>
        <w:rPr>
          <w:i/>
        </w:rPr>
        <w:t>Beijing Law Review</w:t>
      </w:r>
      <w:r>
        <w:t xml:space="preserve">, </w:t>
      </w:r>
      <w:r>
        <w:rPr>
          <w:i/>
        </w:rPr>
        <w:t>02</w:t>
      </w:r>
      <w:r>
        <w:t>(03), 127–133. https://doi.org/10.4236/blr.2011.23013</w:t>
      </w:r>
    </w:p>
    <w:p w14:paraId="2CA8E48D" w14:textId="77777777" w:rsidR="00840B96" w:rsidRDefault="00E24B73" w:rsidP="00B00761">
      <w:pPr>
        <w:spacing w:before="0" w:after="0"/>
        <w:ind w:left="720" w:hanging="720"/>
      </w:pPr>
      <w:r>
        <w:t xml:space="preserve">Ignachkov, B. (2022). </w:t>
      </w:r>
      <w:r>
        <w:rPr>
          <w:i/>
        </w:rPr>
        <w:t>Case Summary: Gibson v Manchester City Council [1979] 1 WLR 294</w:t>
      </w:r>
      <w:r>
        <w:t>. Careerinlaw.net. https://careerinlaw.net/uk/case-summary-gibson-v-manchester-city-council-1979-1-wlr-294</w:t>
      </w:r>
    </w:p>
    <w:p w14:paraId="6654AD0B" w14:textId="77777777" w:rsidR="00840B96" w:rsidRDefault="00E24B73" w:rsidP="00B00761">
      <w:pPr>
        <w:spacing w:before="0" w:after="0"/>
        <w:ind w:left="720" w:hanging="720"/>
      </w:pPr>
      <w:r>
        <w:t xml:space="preserve">Jones, L. (2019). </w:t>
      </w:r>
      <w:r>
        <w:rPr>
          <w:i/>
        </w:rPr>
        <w:t>Introduction to business law</w:t>
      </w:r>
      <w:r>
        <w:t xml:space="preserve"> (5th ed.). Oxford University Press. https://books.google.co.in/books?hl=en&amp;lr=&amp;id=nDGoDwAAQBAJ&amp;oi=fnd&amp;pg=PP1&amp;dq=Partridge+v.+Crittenden+%5B1968%5D+and+Harvey+v+Facey+%5B1893%5D+where+advertised+products+and+quotes+for+prices+respectively+were+not+considered+offers.&amp;ots=yYo23eYdqT&amp;sig=z12Zyi7dgoBmZVVqNOIZh0dmuj8&amp;redir_esc=y#v=onepage&amp;q=Partridge%20&amp;f=false</w:t>
      </w:r>
    </w:p>
    <w:p w14:paraId="597F6532" w14:textId="77777777" w:rsidR="00840B96" w:rsidRDefault="00E24B73" w:rsidP="00B00761">
      <w:pPr>
        <w:spacing w:before="0" w:after="0"/>
        <w:ind w:left="720" w:hanging="720"/>
      </w:pPr>
      <w:r>
        <w:t xml:space="preserve">Khan, A. (2019). Intention to Create Legal Relationship. </w:t>
      </w:r>
      <w:r>
        <w:rPr>
          <w:i/>
        </w:rPr>
        <w:t>Supremo Amicus</w:t>
      </w:r>
      <w:r>
        <w:t xml:space="preserve">, </w:t>
      </w:r>
      <w:r>
        <w:rPr>
          <w:i/>
        </w:rPr>
        <w:t>11</w:t>
      </w:r>
      <w:r>
        <w:t>, 30. https://heinonline.org/HOL/LandingPage?handle=hein.journals/supami11&amp;div=9&amp;id=&amp;page=</w:t>
      </w:r>
    </w:p>
    <w:p w14:paraId="075A2614" w14:textId="77777777" w:rsidR="00840B96" w:rsidRDefault="00E24B73" w:rsidP="00B00761">
      <w:pPr>
        <w:spacing w:before="0" w:after="0"/>
        <w:ind w:left="720" w:hanging="720"/>
      </w:pPr>
      <w:r>
        <w:t xml:space="preserve">Lawteacher.net. (2018). </w:t>
      </w:r>
      <w:r>
        <w:rPr>
          <w:i/>
        </w:rPr>
        <w:t>Thomas v Thomas – 1842</w:t>
      </w:r>
      <w:r>
        <w:t>. Lawteacher.net. https://www.lawteacher.net/cases/thomas-v-thomas.php</w:t>
      </w:r>
    </w:p>
    <w:p w14:paraId="28738ADC" w14:textId="77777777" w:rsidR="00840B96" w:rsidRDefault="00E24B73" w:rsidP="00B00761">
      <w:pPr>
        <w:spacing w:before="0" w:after="0"/>
        <w:ind w:left="720" w:hanging="720"/>
      </w:pPr>
      <w:r>
        <w:t xml:space="preserve">Lawteacher.net. (2020). </w:t>
      </w:r>
      <w:r>
        <w:rPr>
          <w:i/>
        </w:rPr>
        <w:t>Beswick v Beswick – 1968</w:t>
      </w:r>
      <w:r>
        <w:t>. Lawteacher.net. https://www.lawteacher.net/cases/beswick-v-beswick.php</w:t>
      </w:r>
    </w:p>
    <w:p w14:paraId="73A2D93C" w14:textId="77777777" w:rsidR="00840B96" w:rsidRDefault="00E24B73" w:rsidP="00B00761">
      <w:pPr>
        <w:spacing w:before="0" w:after="0"/>
        <w:ind w:left="720" w:hanging="720"/>
      </w:pPr>
      <w:r>
        <w:t xml:space="preserve">Legislation.gov.uk. (2010). </w:t>
      </w:r>
      <w:r>
        <w:rPr>
          <w:i/>
        </w:rPr>
        <w:t>Law of Property (Miscellaneous Provisions) Act 1989</w:t>
      </w:r>
      <w:r>
        <w:t>. Legislation.gov.uk. https://www.legislation.gov.uk/ukpga/1989/34/section/2</w:t>
      </w:r>
    </w:p>
    <w:p w14:paraId="4974BF4B" w14:textId="77777777" w:rsidR="00840B96" w:rsidRDefault="00E24B73" w:rsidP="00B00761">
      <w:pPr>
        <w:spacing w:before="0" w:after="0"/>
        <w:ind w:left="720" w:hanging="720"/>
      </w:pPr>
      <w:r>
        <w:t xml:space="preserve">Machnikowski, P. , &amp; Balcarczyk, J. (2020). </w:t>
      </w:r>
      <w:r>
        <w:rPr>
          <w:i/>
        </w:rPr>
        <w:t>Contract Law in Poland</w:t>
      </w:r>
      <w:r>
        <w:t>. Google Books. https://books.google.co.in/books?hl=en&amp;lr=&amp;id=c4MSEAAAQBAJ&amp;oi=fnd&amp;pg</w:t>
      </w:r>
      <w:r>
        <w:lastRenderedPageBreak/>
        <w:t>=PT13&amp;dq=An+offer+therefore+refers+to+an+offer+as+a+definite+provocation+for+acceptance</w:t>
      </w:r>
    </w:p>
    <w:p w14:paraId="1EDB7AB0" w14:textId="77777777" w:rsidR="00840B96" w:rsidRDefault="00E24B73" w:rsidP="00B00761">
      <w:pPr>
        <w:spacing w:before="0" w:after="0"/>
        <w:ind w:left="720" w:hanging="720"/>
      </w:pPr>
      <w:r>
        <w:t xml:space="preserve">Markovits, D., &amp; Atiq, E. (2021). </w:t>
      </w:r>
      <w:r>
        <w:rPr>
          <w:i/>
        </w:rPr>
        <w:t>Philosophy of Contract Law</w:t>
      </w:r>
      <w:r>
        <w:t xml:space="preserve"> (E. N. Zalta, Ed.). Stanford </w:t>
      </w:r>
      <w:proofErr w:type="spellStart"/>
      <w:r>
        <w:t>Encyclopedia</w:t>
      </w:r>
      <w:proofErr w:type="spellEnd"/>
      <w:r>
        <w:t xml:space="preserve"> of Philosophy; Metaphysics Research Lab, Stanford University. https://plato.stanford.edu/entries/contract-law/</w:t>
      </w:r>
    </w:p>
    <w:p w14:paraId="64FE6EA1" w14:textId="77777777" w:rsidR="00840B96" w:rsidRDefault="00E24B73" w:rsidP="00B00761">
      <w:pPr>
        <w:spacing w:before="0" w:after="0"/>
        <w:ind w:left="720" w:hanging="720"/>
      </w:pPr>
      <w:r>
        <w:t xml:space="preserve">Merkin, R. M., &amp; Séverine Saintier. (2019). </w:t>
      </w:r>
      <w:r>
        <w:rPr>
          <w:i/>
        </w:rPr>
        <w:t>Poole’s casebook on contract law</w:t>
      </w:r>
      <w:r>
        <w:t>. Oxford University Press. Copyright. https://books.google.co.in/books?hl=en&amp;lr=&amp;id=aOK9EAAAQBAJ&amp;oi=fnd&amp;pg=PP1&amp;dq=communicated+effectively+to+the+offeror,+Entores+Ltd+v+Miles+Far+East+Corp+%5B1955&amp;ots=bliPnqXEBb&amp;sig=1YvYqniZUjqffvsF5gFi13hhu04&amp;redir_esc=y#v=onepage&amp;q=entores&amp;f=false</w:t>
      </w:r>
    </w:p>
    <w:p w14:paraId="0FE6F547" w14:textId="77777777" w:rsidR="00840B96" w:rsidRDefault="00E24B73" w:rsidP="00B00761">
      <w:pPr>
        <w:spacing w:before="0" w:after="0"/>
        <w:ind w:left="720" w:hanging="720"/>
      </w:pPr>
      <w:r>
        <w:t xml:space="preserve">O’Sullivan, J., &amp; Hilliard, J. (2022). </w:t>
      </w:r>
      <w:r>
        <w:rPr>
          <w:i/>
        </w:rPr>
        <w:t>The Law of Contract</w:t>
      </w:r>
      <w:r>
        <w:t xml:space="preserve"> (10th ed.). Oxford University Press. Copyright. https://books.google.com/books?hl=en&amp;lr=&amp;id=awfcDwAAQBAJ&amp;oi=fnd&amp;pg=PP1&amp;dq=An+offer+is+defined+as+a+precise+and+unqualified+expression+of+the+vendor%E2%80%99s+intention+regarding+the+formation+of+a+contract.&amp;ots=OM556m7U0S&amp;sig=Di2Iout7FEfXmSQqqR1un-LPMuY</w:t>
      </w:r>
    </w:p>
    <w:p w14:paraId="2A5C4FA7" w14:textId="77777777" w:rsidR="00840B96" w:rsidRDefault="00E24B73" w:rsidP="00B00761">
      <w:pPr>
        <w:spacing w:before="0" w:after="0"/>
        <w:ind w:left="720" w:hanging="720"/>
      </w:pPr>
      <w:r>
        <w:t xml:space="preserve">Paterson, S. (2023). Restructuring moratoriums through an information-processing lens. </w:t>
      </w:r>
      <w:r>
        <w:rPr>
          <w:i/>
        </w:rPr>
        <w:t>The Journal of Corporate Law Studies</w:t>
      </w:r>
      <w:r>
        <w:t xml:space="preserve">, </w:t>
      </w:r>
      <w:r>
        <w:rPr>
          <w:i/>
        </w:rPr>
        <w:t>23</w:t>
      </w:r>
      <w:r>
        <w:t>(1), 37–67. https://doi.org/10.1080/14735970.2023.2249149</w:t>
      </w:r>
    </w:p>
    <w:p w14:paraId="32688F9D" w14:textId="77777777" w:rsidR="00840B96" w:rsidRDefault="00E24B73" w:rsidP="00B00761">
      <w:pPr>
        <w:spacing w:before="0" w:after="0"/>
        <w:ind w:left="720" w:hanging="720"/>
      </w:pPr>
      <w:r>
        <w:t xml:space="preserve">Poole, J., Devenney, J., &amp; Shaw-Mellors, A. (2017). </w:t>
      </w:r>
      <w:r>
        <w:rPr>
          <w:i/>
        </w:rPr>
        <w:t>Contract law: law revision and study guide</w:t>
      </w:r>
      <w:r>
        <w:t>. Oxford University Press. Contract Law Concentrate: Law Revision and Study Guide</w:t>
      </w:r>
    </w:p>
    <w:p w14:paraId="705A3A9F" w14:textId="77777777" w:rsidR="00840B96" w:rsidRDefault="00E24B73" w:rsidP="00B00761">
      <w:pPr>
        <w:spacing w:before="0" w:after="0"/>
        <w:ind w:left="720" w:hanging="720"/>
      </w:pPr>
      <w:proofErr w:type="spellStart"/>
      <w:r>
        <w:lastRenderedPageBreak/>
        <w:t>SSarai</w:t>
      </w:r>
      <w:proofErr w:type="spellEnd"/>
      <w:r>
        <w:t xml:space="preserve"> P. (2017). Balfour V Balfour and the separation of contract and promise. </w:t>
      </w:r>
      <w:r>
        <w:rPr>
          <w:i/>
        </w:rPr>
        <w:t>Legal Studies</w:t>
      </w:r>
      <w:r>
        <w:t xml:space="preserve">, </w:t>
      </w:r>
      <w:r>
        <w:rPr>
          <w:i/>
        </w:rPr>
        <w:t>37</w:t>
      </w:r>
      <w:r>
        <w:t>(3), 468–492. https://doi.org/10.1111/lest.12162</w:t>
      </w:r>
    </w:p>
    <w:p w14:paraId="5087D5A1" w14:textId="77777777" w:rsidR="00840B96" w:rsidRDefault="00E24B73" w:rsidP="00B00761">
      <w:pPr>
        <w:spacing w:before="0" w:after="0"/>
        <w:ind w:left="720" w:hanging="720"/>
      </w:pPr>
      <w:r>
        <w:t xml:space="preserve">Schwartz, A., &amp; Scott, R. E. (2023). Contract Theory and the Limits of Contract Law. </w:t>
      </w:r>
      <w:r>
        <w:rPr>
          <w:i/>
        </w:rPr>
        <w:t>The Yale Law Journal</w:t>
      </w:r>
      <w:r>
        <w:t xml:space="preserve">, </w:t>
      </w:r>
      <w:r>
        <w:rPr>
          <w:i/>
        </w:rPr>
        <w:t>113</w:t>
      </w:r>
      <w:r>
        <w:t>(3), 541. https://doi.org/10.2307/3657531</w:t>
      </w:r>
    </w:p>
    <w:p w14:paraId="061B62AD" w14:textId="77777777" w:rsidR="00840B96" w:rsidRDefault="00E24B73" w:rsidP="00B00761">
      <w:pPr>
        <w:spacing w:before="0" w:after="0"/>
        <w:ind w:left="720" w:hanging="720"/>
      </w:pPr>
      <w:r>
        <w:t xml:space="preserve">Star, S., &amp; Dhankar, D. (2022). Major Differences in Minors’ Contracts: A Comparative Analysis into the Validity of Contracts with Minors in the Sport and Entertainment Industry. </w:t>
      </w:r>
      <w:r>
        <w:rPr>
          <w:i/>
        </w:rPr>
        <w:t>Liverpool Law Review</w:t>
      </w:r>
      <w:r>
        <w:t xml:space="preserve">, </w:t>
      </w:r>
      <w:r>
        <w:rPr>
          <w:i/>
        </w:rPr>
        <w:t>43</w:t>
      </w:r>
      <w:r>
        <w:t>(2), 203–235. https://doi.org/10.1007/s10991-022-09308-4</w:t>
      </w:r>
    </w:p>
    <w:p w14:paraId="63A52A83" w14:textId="77777777" w:rsidR="00840B96" w:rsidRDefault="00E24B73" w:rsidP="00B00761">
      <w:pPr>
        <w:spacing w:before="0" w:after="0"/>
        <w:ind w:left="720" w:hanging="720"/>
      </w:pPr>
      <w:r>
        <w:t xml:space="preserve">Taylor, R. D., &amp; Taylor, D. (2019). </w:t>
      </w:r>
      <w:r>
        <w:rPr>
          <w:i/>
        </w:rPr>
        <w:t>Contract law directions</w:t>
      </w:r>
      <w:r>
        <w:t>. Oxford University Press. https://books.google.co.in/books?hl=en&amp;lr=&amp;id=ZuK9EAAAQBAJ&amp;oi=fnd&amp;pg=PP1&amp;dq=Acceptance+the+latter%E2%80%99s+letter+(Hyde+v+Wrench+%5B1840%5D).&amp;ots=TR6j9L3wNn&amp;sig=Cu5Zd6UoyndcA665229DMghkinM&amp;redir_esc=y#v=onepage&amp;q=Hyde&amp;f=false</w:t>
      </w:r>
    </w:p>
    <w:p w14:paraId="525CCF1C" w14:textId="77777777" w:rsidR="00840B96" w:rsidRDefault="00E24B73" w:rsidP="00B00761">
      <w:pPr>
        <w:spacing w:before="0" w:after="0"/>
        <w:ind w:left="720" w:hanging="720"/>
      </w:pPr>
      <w:r>
        <w:t xml:space="preserve">Ungerer, J. (2023). A BIDIRECTIONAL ANGLO-GERMAN COMPARISON OF CONSIDERATION IN CONTRACT LAW. </w:t>
      </w:r>
      <w:r>
        <w:rPr>
          <w:i/>
        </w:rPr>
        <w:t>International and Comparative Law Quarterly</w:t>
      </w:r>
      <w:r>
        <w:t xml:space="preserve">, </w:t>
      </w:r>
      <w:r>
        <w:rPr>
          <w:i/>
        </w:rPr>
        <w:t>72</w:t>
      </w:r>
      <w:r>
        <w:t>(1), 251–268. https://doi.org/10.1017/s0020589322000513</w:t>
      </w:r>
    </w:p>
    <w:p w14:paraId="4D82581D" w14:textId="2B3960FE" w:rsidR="00840B96" w:rsidRDefault="00E24B73" w:rsidP="00B00761">
      <w:pPr>
        <w:spacing w:before="0" w:after="0"/>
        <w:ind w:left="720" w:hanging="720"/>
      </w:pPr>
      <w:r>
        <w:t xml:space="preserve">Zlatev, Z. (2021). Recoverability of Damages for Non-pecuniary Losses Deriving from Breach of Contract. </w:t>
      </w:r>
      <w:r>
        <w:rPr>
          <w:i/>
        </w:rPr>
        <w:t>Oxford Journal of Legal Studies</w:t>
      </w:r>
      <w:r>
        <w:t xml:space="preserve">. </w:t>
      </w:r>
      <w:hyperlink r:id="rId8" w:history="1">
        <w:r w:rsidR="00292A19" w:rsidRPr="00154445">
          <w:rPr>
            <w:rStyle w:val="Hyperlink"/>
          </w:rPr>
          <w:t>https://doi.org/10.1093/ojls/gqaa062</w:t>
        </w:r>
      </w:hyperlink>
    </w:p>
    <w:p w14:paraId="2F29B78E" w14:textId="77777777" w:rsidR="00292A19" w:rsidRDefault="00292A19" w:rsidP="00B00761">
      <w:pPr>
        <w:spacing w:before="0" w:after="0"/>
        <w:ind w:left="720" w:hanging="720"/>
      </w:pPr>
    </w:p>
    <w:p w14:paraId="7B502EDD" w14:textId="77777777" w:rsidR="00292A19" w:rsidRDefault="00292A19" w:rsidP="00B00761">
      <w:pPr>
        <w:spacing w:before="0" w:after="0"/>
        <w:ind w:left="720" w:hanging="720"/>
      </w:pPr>
    </w:p>
    <w:p w14:paraId="272DA8F4" w14:textId="77777777" w:rsidR="00292A19" w:rsidRDefault="00292A19" w:rsidP="00B00761">
      <w:pPr>
        <w:spacing w:before="0" w:after="0"/>
        <w:ind w:left="720" w:hanging="720"/>
      </w:pPr>
    </w:p>
    <w:p w14:paraId="2150CEA0" w14:textId="77777777" w:rsidR="00292A19" w:rsidRDefault="00292A19" w:rsidP="00B00761">
      <w:pPr>
        <w:spacing w:before="0" w:after="0"/>
        <w:ind w:left="720" w:hanging="720"/>
      </w:pPr>
    </w:p>
    <w:p w14:paraId="6EBD394F" w14:textId="77777777" w:rsidR="00292A19" w:rsidRDefault="00292A19" w:rsidP="00B00761">
      <w:pPr>
        <w:spacing w:before="0" w:after="0"/>
        <w:ind w:left="720" w:hanging="720"/>
      </w:pPr>
    </w:p>
    <w:sectPr w:rsidR="00292A19">
      <w:headerReference w:type="default" r:id="rId9"/>
      <w:headerReference w:type="first" r:id="rId10"/>
      <w:footerReference w:type="first" r:id="rId1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F106E" w14:textId="77777777" w:rsidR="00C05DA2" w:rsidRDefault="00C05DA2">
      <w:pPr>
        <w:spacing w:before="0" w:after="0" w:line="240" w:lineRule="auto"/>
      </w:pPr>
      <w:r>
        <w:separator/>
      </w:r>
    </w:p>
  </w:endnote>
  <w:endnote w:type="continuationSeparator" w:id="0">
    <w:p w14:paraId="4C2EC52D" w14:textId="77777777" w:rsidR="00C05DA2" w:rsidRDefault="00C05DA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39013" w14:textId="77777777" w:rsidR="00840B96" w:rsidRDefault="00840B9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CADCA" w14:textId="77777777" w:rsidR="00C05DA2" w:rsidRDefault="00C05DA2">
      <w:pPr>
        <w:spacing w:before="0" w:after="0" w:line="240" w:lineRule="auto"/>
      </w:pPr>
      <w:r>
        <w:separator/>
      </w:r>
    </w:p>
  </w:footnote>
  <w:footnote w:type="continuationSeparator" w:id="0">
    <w:p w14:paraId="4D8A725E" w14:textId="77777777" w:rsidR="00C05DA2" w:rsidRDefault="00C05DA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39EAE" w14:textId="77777777" w:rsidR="00840B96" w:rsidRDefault="00E24B73">
    <w:pPr>
      <w:spacing w:line="240" w:lineRule="auto"/>
      <w:jc w:val="right"/>
      <w:rPr>
        <w:sz w:val="20"/>
        <w:szCs w:val="20"/>
      </w:rPr>
    </w:pPr>
    <w:r>
      <w:rPr>
        <w:sz w:val="20"/>
        <w:szCs w:val="20"/>
      </w:rPr>
      <w:fldChar w:fldCharType="begin"/>
    </w:r>
    <w:r>
      <w:rPr>
        <w:sz w:val="20"/>
        <w:szCs w:val="20"/>
      </w:rPr>
      <w:instrText>PAGE</w:instrText>
    </w:r>
    <w:r>
      <w:rPr>
        <w:sz w:val="20"/>
        <w:szCs w:val="20"/>
      </w:rPr>
      <w:fldChar w:fldCharType="separate"/>
    </w:r>
    <w:r w:rsidR="00B00761">
      <w:rPr>
        <w:noProof/>
        <w:sz w:val="20"/>
        <w:szCs w:val="20"/>
      </w:rPr>
      <w:t>2</w:t>
    </w:r>
    <w:r>
      <w:rPr>
        <w:sz w:val="20"/>
        <w:szCs w:val="20"/>
      </w:rPr>
      <w:fldChar w:fldCharType="end"/>
    </w:r>
  </w:p>
  <w:p w14:paraId="0F6B6509" w14:textId="77777777" w:rsidR="00840B96" w:rsidRDefault="00E24B73">
    <w:pPr>
      <w:spacing w:line="240" w:lineRule="auto"/>
      <w:rPr>
        <w:sz w:val="20"/>
        <w:szCs w:val="20"/>
      </w:rPr>
    </w:pPr>
    <w:r>
      <w:rPr>
        <w:sz w:val="20"/>
        <w:szCs w:val="20"/>
      </w:rPr>
      <w:t>CONTRACT LAW: BMLW5017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280B6" w14:textId="77777777" w:rsidR="00840B96" w:rsidRDefault="00E24B73">
    <w:pPr>
      <w:spacing w:line="240" w:lineRule="auto"/>
      <w:rPr>
        <w:sz w:val="20"/>
        <w:szCs w:val="20"/>
      </w:rPr>
    </w:pPr>
    <w:r>
      <w:rPr>
        <w:sz w:val="20"/>
        <w:szCs w:val="20"/>
      </w:rPr>
      <w:t>CONTRACT LAW: BMLW5017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354ED"/>
    <w:multiLevelType w:val="multilevel"/>
    <w:tmpl w:val="ADE85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DF4869"/>
    <w:multiLevelType w:val="multilevel"/>
    <w:tmpl w:val="6CD0E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6C23D63"/>
    <w:multiLevelType w:val="multilevel"/>
    <w:tmpl w:val="88A840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2CA7645"/>
    <w:multiLevelType w:val="multilevel"/>
    <w:tmpl w:val="028AB3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1606081">
    <w:abstractNumId w:val="1"/>
  </w:num>
  <w:num w:numId="2" w16cid:durableId="1838032072">
    <w:abstractNumId w:val="2"/>
  </w:num>
  <w:num w:numId="3" w16cid:durableId="1906329125">
    <w:abstractNumId w:val="3"/>
  </w:num>
  <w:num w:numId="4" w16cid:durableId="243489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B96"/>
    <w:rsid w:val="00072305"/>
    <w:rsid w:val="00094C64"/>
    <w:rsid w:val="000A3466"/>
    <w:rsid w:val="00292A19"/>
    <w:rsid w:val="002C1C80"/>
    <w:rsid w:val="003C2DA1"/>
    <w:rsid w:val="00594E79"/>
    <w:rsid w:val="0066083D"/>
    <w:rsid w:val="00783185"/>
    <w:rsid w:val="007B010D"/>
    <w:rsid w:val="00840B96"/>
    <w:rsid w:val="0090785D"/>
    <w:rsid w:val="00935614"/>
    <w:rsid w:val="009E5D59"/>
    <w:rsid w:val="009E704D"/>
    <w:rsid w:val="00A3480F"/>
    <w:rsid w:val="00B00761"/>
    <w:rsid w:val="00B36693"/>
    <w:rsid w:val="00BB1657"/>
    <w:rsid w:val="00C05DA2"/>
    <w:rsid w:val="00C75C94"/>
    <w:rsid w:val="00CA0B92"/>
    <w:rsid w:val="00DA2ECE"/>
    <w:rsid w:val="00E24B73"/>
    <w:rsid w:val="00E86A1D"/>
    <w:rsid w:val="00EF0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91401"/>
  <w15:docId w15:val="{06EF2713-B93B-4D7D-A115-6A471D671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US" w:bidi="ar-SA"/>
      </w:rPr>
    </w:rPrDefault>
    <w:pPrDefault>
      <w:pPr>
        <w:spacing w:before="240"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0" w:after="0"/>
      <w:jc w:val="center"/>
      <w:outlineLvl w:val="0"/>
    </w:pPr>
    <w:rPr>
      <w:b/>
      <w:sz w:val="28"/>
      <w:szCs w:val="28"/>
    </w:rPr>
  </w:style>
  <w:style w:type="paragraph" w:styleId="Heading2">
    <w:name w:val="heading 2"/>
    <w:basedOn w:val="Normal"/>
    <w:next w:val="Normal"/>
    <w:link w:val="Heading2Char"/>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character" w:customStyle="1" w:styleId="Heading2Char">
    <w:name w:val="Heading 2 Char"/>
    <w:basedOn w:val="DefaultParagraphFont"/>
    <w:link w:val="Heading2"/>
    <w:rsid w:val="00BB1657"/>
    <w:rPr>
      <w:sz w:val="32"/>
      <w:szCs w:val="32"/>
    </w:rPr>
  </w:style>
  <w:style w:type="character" w:customStyle="1" w:styleId="Heading4Char">
    <w:name w:val="Heading 4 Char"/>
    <w:basedOn w:val="DefaultParagraphFont"/>
    <w:link w:val="Heading4"/>
    <w:rsid w:val="00BB1657"/>
    <w:rPr>
      <w:color w:val="666666"/>
    </w:rPr>
  </w:style>
  <w:style w:type="paragraph" w:styleId="Header">
    <w:name w:val="header"/>
    <w:basedOn w:val="Normal"/>
    <w:link w:val="HeaderChar"/>
    <w:rsid w:val="00BB1657"/>
    <w:pPr>
      <w:tabs>
        <w:tab w:val="center" w:pos="4153"/>
        <w:tab w:val="right" w:pos="8306"/>
      </w:tabs>
      <w:spacing w:before="0"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B1657"/>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92A19"/>
    <w:rPr>
      <w:color w:val="0000FF" w:themeColor="hyperlink"/>
      <w:u w:val="single"/>
    </w:rPr>
  </w:style>
  <w:style w:type="character" w:styleId="UnresolvedMention">
    <w:name w:val="Unresolved Mention"/>
    <w:basedOn w:val="DefaultParagraphFont"/>
    <w:uiPriority w:val="99"/>
    <w:semiHidden/>
    <w:unhideWhenUsed/>
    <w:rsid w:val="00292A19"/>
    <w:rPr>
      <w:color w:val="605E5C"/>
      <w:shd w:val="clear" w:color="auto" w:fill="E1DFDD"/>
    </w:rPr>
  </w:style>
  <w:style w:type="paragraph" w:styleId="NormalWeb">
    <w:name w:val="Normal (Web)"/>
    <w:basedOn w:val="Normal"/>
    <w:uiPriority w:val="99"/>
    <w:unhideWhenUsed/>
    <w:rsid w:val="00094C64"/>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93/ojls/gqaa06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2944</Words>
  <Characters>16784</Characters>
  <Application>Microsoft Office Word</Application>
  <DocSecurity>0</DocSecurity>
  <Lines>139</Lines>
  <Paragraphs>39</Paragraphs>
  <ScaleCrop>false</ScaleCrop>
  <Company/>
  <LinksUpToDate>false</LinksUpToDate>
  <CharactersWithSpaces>19689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harr shini</cp:lastModifiedBy>
  <cp:revision>2</cp:revision>
  <dcterms:created xsi:type="dcterms:W3CDTF">2025-03-07T18:08:00Z</dcterms:created>
  <dcterms:modified xsi:type="dcterms:W3CDTF">2025-03-07T18:08:00Z</dcterms:modified>
</cp:coreProperties>
</file>