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B1B8C" w:rsidRDefault="004B1B8C">
      <w:r>
        <w:t>Exam 2 – DHEP</w:t>
      </w:r>
    </w:p>
    <w:p w:rsidR="004B1B8C" w:rsidRDefault="004B1B8C" w:rsidP="004B1B8C">
      <w:r>
        <w:t>16/11/2020</w:t>
      </w:r>
    </w:p>
    <w:p w:rsidR="004B1B8C" w:rsidRDefault="004B1B8C">
      <w:r>
        <w:t xml:space="preserve">Ffion Grant </w:t>
      </w:r>
      <w:r w:rsidR="00AC4661">
        <w:t>SWP6722</w:t>
      </w:r>
    </w:p>
    <w:p w:rsidR="00AC4661" w:rsidRDefault="00AC4661">
      <w:r>
        <w:t>Student Number: 1922466</w:t>
      </w:r>
    </w:p>
    <w:p w:rsidR="00AC4661" w:rsidRDefault="00AC4661"/>
    <w:p w:rsidR="004B1B8C" w:rsidRDefault="00BD25A6">
      <w:r>
        <w:t xml:space="preserve">Q1 </w:t>
      </w:r>
    </w:p>
    <w:p w:rsidR="00BD25A6" w:rsidRDefault="00BD25A6">
      <w:r>
        <w:t xml:space="preserve">A police constable who is engaged in the regulation of traffic or a traffic officer may ask anyone in charge of or driving </w:t>
      </w:r>
      <w:proofErr w:type="gramStart"/>
      <w:r>
        <w:t>an</w:t>
      </w:r>
      <w:proofErr w:type="gramEnd"/>
      <w:r>
        <w:t xml:space="preserve"> mechanically propelled vehicle or a pedal cycle on a road or public place to stop. A failure to stop is an offence. Contrary to section 163 of the Road Traffic Act 1988. </w:t>
      </w:r>
    </w:p>
    <w:p w:rsidR="00BD25A6" w:rsidRDefault="00BD25A6">
      <w:r>
        <w:t>Q2</w:t>
      </w:r>
    </w:p>
    <w:p w:rsidR="00BD25A6" w:rsidRDefault="00BD25A6">
      <w:r>
        <w:t>If a person is driving, attempting to drive or in charge of a motor vehicle (mechanically propelled vehicle) on a road or public place and commits a traffic offence whilst the vehicle is in motion then they a constable may require them to comply with preliminary road side tests. Contrary to Section 6(4) of the Road Traffic Act 1988.</w:t>
      </w:r>
    </w:p>
    <w:p w:rsidR="00BD25A6" w:rsidRDefault="00BD25A6">
      <w:r>
        <w:t>Q3</w:t>
      </w:r>
    </w:p>
    <w:p w:rsidR="00BD25A6" w:rsidRDefault="00BD25A6">
      <w:r>
        <w:t xml:space="preserve">A person who drives, attempts to drive or is in charge of a motor vehicle (mechanically propelled vehicle) on a road or public place and drives without due care and attention or reasonable consideration for other users of that road or place commits an offence contrary to Section 3 of the Road Traffic Act 1988. </w:t>
      </w:r>
    </w:p>
    <w:p w:rsidR="00BD25A6" w:rsidRDefault="00BD25A6">
      <w:r>
        <w:t>Q4</w:t>
      </w:r>
    </w:p>
    <w:p w:rsidR="00BD25A6" w:rsidRDefault="00BD25A6">
      <w:r>
        <w:t xml:space="preserve">Criminals often use the ‘strategic road network’ (SRN) to help facilitate the crimes they commit. By effectively using policing powers this can disrupt criminality. For example, criminals may use the SRN to transport drugs across county lines or for people trafficking. It is known that individuals who commit certain traffic offences often have other crimes linked to them. For example, an individual may commit an offence of dangerous driving or driving without proper insurance. Whilst being stopped by the police under Section 163 of the Road Traffic Act, it may be discovered for example, that the individual has drugs in their vehicle and may be </w:t>
      </w:r>
      <w:r w:rsidR="00E16862">
        <w:t xml:space="preserve">committing an offence of possession with intent to supply. </w:t>
      </w:r>
    </w:p>
    <w:p w:rsidR="00E16862" w:rsidRDefault="00E16862">
      <w:r>
        <w:t xml:space="preserve">Moreover, certain powers such as Section 4 of the Police and Criminal Evidence Act 1984 allows police the power to stop certain vehicles or vehicles within a certain parameter to identify suspects who have attempted to flee from certain crimes. </w:t>
      </w:r>
    </w:p>
    <w:p w:rsidR="00E16862" w:rsidRDefault="00E16862">
      <w:r>
        <w:t>The strategic use of ANPR (automatic number plate recognition) may be useful to track the wher</w:t>
      </w:r>
      <w:r w:rsidR="00856B6E">
        <w:t>eabouts and routes of criminals and use this an evidence to prosecute in certain cases.</w:t>
      </w:r>
    </w:p>
    <w:p w:rsidR="00E16862" w:rsidRDefault="00E16862">
      <w:r>
        <w:t>Q5</w:t>
      </w:r>
    </w:p>
    <w:p w:rsidR="00E16862" w:rsidRDefault="00E16862">
      <w:r>
        <w:t xml:space="preserve">A person who has been disqualified from driving a motor vehicle or disqualified/prohibited from obtaining a licence commits an offence if they </w:t>
      </w:r>
    </w:p>
    <w:p w:rsidR="00E16862" w:rsidRDefault="00E16862" w:rsidP="00E16862">
      <w:pPr>
        <w:pStyle w:val="ListParagraph"/>
        <w:numPr>
          <w:ilvl w:val="0"/>
          <w:numId w:val="1"/>
        </w:numPr>
      </w:pPr>
      <w:r>
        <w:t>Drive a motor vehicle on a road or public place</w:t>
      </w:r>
    </w:p>
    <w:p w:rsidR="00E16862" w:rsidRDefault="00E16862" w:rsidP="00E16862">
      <w:pPr>
        <w:pStyle w:val="ListParagraph"/>
        <w:numPr>
          <w:ilvl w:val="0"/>
          <w:numId w:val="1"/>
        </w:numPr>
      </w:pPr>
      <w:r>
        <w:t xml:space="preserve">Obtain a licence   </w:t>
      </w:r>
    </w:p>
    <w:p w:rsidR="00E16862" w:rsidRDefault="00E16862" w:rsidP="00E16862">
      <w:r>
        <w:lastRenderedPageBreak/>
        <w:t>Contrary to Section 165(A) of the Road Traffic Act 1988.</w:t>
      </w:r>
    </w:p>
    <w:p w:rsidR="00E16862" w:rsidRDefault="00E16862" w:rsidP="00E16862">
      <w:r>
        <w:t>Q6</w:t>
      </w:r>
    </w:p>
    <w:p w:rsidR="00E16862" w:rsidRDefault="00E16862" w:rsidP="00E16862">
      <w:r>
        <w:t>Owing to the driving of a motor vehicle (mechanically propelled vehicle) on a road or public place an accident occurs whereby:</w:t>
      </w:r>
    </w:p>
    <w:p w:rsidR="00E16862" w:rsidRDefault="00E16862" w:rsidP="00E16862">
      <w:pPr>
        <w:pStyle w:val="ListParagraph"/>
        <w:numPr>
          <w:ilvl w:val="0"/>
          <w:numId w:val="2"/>
        </w:numPr>
      </w:pPr>
      <w:r>
        <w:t>Personal injury is cause to any person (Except the driver of that mechanically propelled vehicle) or</w:t>
      </w:r>
    </w:p>
    <w:p w:rsidR="00E16862" w:rsidRDefault="00E16862" w:rsidP="00E16862">
      <w:pPr>
        <w:pStyle w:val="ListParagraph"/>
        <w:numPr>
          <w:ilvl w:val="0"/>
          <w:numId w:val="2"/>
        </w:numPr>
      </w:pPr>
      <w:r>
        <w:t>Damage is cause to a vehicle (Except the vehicle driven by that driver or a trailer drawn by that vehicle) or</w:t>
      </w:r>
    </w:p>
    <w:p w:rsidR="00E16862" w:rsidRDefault="00E16862" w:rsidP="00E16862">
      <w:pPr>
        <w:pStyle w:val="ListParagraph"/>
        <w:numPr>
          <w:ilvl w:val="0"/>
          <w:numId w:val="2"/>
        </w:numPr>
      </w:pPr>
      <w:r>
        <w:t>Damage is caused to an animal (Except an animal that is in that mechanically propelled vehicle or in the trailer drawn by that vehicle) or</w:t>
      </w:r>
    </w:p>
    <w:p w:rsidR="00E16862" w:rsidRDefault="00E16862" w:rsidP="00E16862">
      <w:pPr>
        <w:pStyle w:val="ListParagraph"/>
        <w:numPr>
          <w:ilvl w:val="0"/>
          <w:numId w:val="2"/>
        </w:numPr>
      </w:pPr>
      <w:r>
        <w:t>Damage is cause to property constructed on, fixed to, growing in or otherwise forming pa</w:t>
      </w:r>
      <w:r w:rsidR="00856B6E">
        <w:t xml:space="preserve">rt of the land that is attached/situated next </w:t>
      </w:r>
      <w:r>
        <w:t xml:space="preserve">to the road or land adjacent to that road. </w:t>
      </w:r>
    </w:p>
    <w:p w:rsidR="00E16862" w:rsidRDefault="00E16862" w:rsidP="00E16862">
      <w:r>
        <w:t>If the accident meets the criteria of the above then the driver must report the offence to a police station within 24 hours of the accident. Contrary to section 170(1) of the Road Traffic Act 1988.</w:t>
      </w:r>
    </w:p>
    <w:p w:rsidR="00E16862" w:rsidRDefault="00E16862" w:rsidP="00E16862">
      <w:r>
        <w:t>Q7</w:t>
      </w:r>
    </w:p>
    <w:p w:rsidR="00E16862" w:rsidRDefault="00E16862" w:rsidP="00E16862">
      <w:r>
        <w:t>The role of the family liaison officer (FLO) is to work as the investigating officer in a serious crime or incident. For example, they may work within a missing persons case, road traffic accident involving serious injury or death, murder investigations and other serious crimes where there is a necessity to liaise with the family of the victim.</w:t>
      </w:r>
    </w:p>
    <w:p w:rsidR="00E16862" w:rsidRDefault="00E16862" w:rsidP="00E16862">
      <w:r>
        <w:t>Within fatalities of the road the role of the FLO is to first establish alongside the senior investigating officer (SIO) an appropriate strategy for dealing with the incident. They must establish clear objectives and a clear exit strategy (i.e. when and how they will finish liaising with the family). It is their role to research into the case and understand what has occurred and what information has already been given to the family.</w:t>
      </w:r>
    </w:p>
    <w:p w:rsidR="00E16862" w:rsidRDefault="001E6B4E" w:rsidP="00E16862">
      <w:r>
        <w:t xml:space="preserve">The FLO will then go and </w:t>
      </w:r>
      <w:r w:rsidR="00E16862">
        <w:t xml:space="preserve">speak to the family. One of the main roles is to build a rapport with the family and gain their trust. This is so that they can achieve all their investigation needs. The FLO will gain information from the family such as Victimology i.e. Information about the victim, their routines, places they frequented etc. This is to open up lines of investigation before they become apparent. </w:t>
      </w:r>
      <w:r>
        <w:t>When they discover this information they should update the SIO on any progress.</w:t>
      </w:r>
    </w:p>
    <w:p w:rsidR="00E16862" w:rsidRDefault="00E16862" w:rsidP="00E16862">
      <w:r>
        <w:t xml:space="preserve">The FLO, whilst they should not act as a counsellor (even if qualified) they may offer advice and support to bereaved families. For example, they may provide the family with a bereavement pack </w:t>
      </w:r>
      <w:r w:rsidR="000E343B">
        <w:t xml:space="preserve">and </w:t>
      </w:r>
      <w:r w:rsidR="001E6B4E">
        <w:t xml:space="preserve">refer to the appropriate charities (in this case it might be a charity that deals with road deaths e.g. </w:t>
      </w:r>
      <w:proofErr w:type="gramStart"/>
      <w:r w:rsidR="001E6B4E">
        <w:t>Break</w:t>
      </w:r>
      <w:proofErr w:type="gramEnd"/>
      <w:r w:rsidR="001E6B4E">
        <w:t>). The FLO may also (if appropriate) take the family to the site of the fatality so that the family can gain closure. The FLO is the first point of contact for the family if they have any queries regarding the investigation or policing response.</w:t>
      </w:r>
    </w:p>
    <w:p w:rsidR="001E6B4E" w:rsidRDefault="001E6B4E" w:rsidP="00E16862">
      <w:r>
        <w:t>It is vital that throughout the whole process the FLO remains professional and treats the situation with care and compassion.</w:t>
      </w:r>
    </w:p>
    <w:p w:rsidR="007E489E" w:rsidRDefault="007E489E" w:rsidP="00E16862">
      <w:r>
        <w:t>Q8</w:t>
      </w:r>
    </w:p>
    <w:p w:rsidR="007E489E" w:rsidRDefault="007E489E" w:rsidP="00E16862">
      <w:r>
        <w:t>When a driver is involved in a reportable traffic collision they must stop their mechanically propelled vehicle. They must remain as long as is reasonable to provide the other driver/person whose property has been damaged enough time to obtain their details and vice versa if applicable.</w:t>
      </w:r>
    </w:p>
    <w:p w:rsidR="007E489E" w:rsidRDefault="007E489E" w:rsidP="00E16862">
      <w:r>
        <w:lastRenderedPageBreak/>
        <w:t xml:space="preserve">They must provide details such as their name and address, the name and address of the owner of the vehicle (if different from the driver’s details), the vehicle ID (such as chassis number, VIN number or registration number) and their insurance details (if there is some form of personal injury involved to another). </w:t>
      </w:r>
    </w:p>
    <w:p w:rsidR="007E489E" w:rsidRDefault="007E489E" w:rsidP="00E16862">
      <w:r>
        <w:t>If the above does not apply or is not reasonably practicable in those circumstances then the person must report the reportable traffic collision to a police station within 24 hours of the incident occurring.</w:t>
      </w:r>
      <w:r w:rsidR="005609C3">
        <w:t xml:space="preserve"> Contrary to section 170 of the Road Traffic Act 1988. </w:t>
      </w:r>
    </w:p>
    <w:p w:rsidR="007E489E" w:rsidRDefault="005609C3" w:rsidP="00E16862">
      <w:r>
        <w:t>Q9</w:t>
      </w:r>
    </w:p>
    <w:p w:rsidR="005609C3" w:rsidRDefault="005609C3" w:rsidP="00E16862">
      <w:r>
        <w:t>A constable may enter and search a premises</w:t>
      </w:r>
      <w:r w:rsidR="007E0C1D">
        <w:t xml:space="preserve"> (using reasonable force if necessary)</w:t>
      </w:r>
      <w:r>
        <w:t xml:space="preserve"> if they have reasonable grounds to believe that:</w:t>
      </w:r>
    </w:p>
    <w:p w:rsidR="005609C3" w:rsidRDefault="005609C3" w:rsidP="005609C3">
      <w:pPr>
        <w:pStyle w:val="ListParagraph"/>
        <w:numPr>
          <w:ilvl w:val="0"/>
          <w:numId w:val="3"/>
        </w:numPr>
      </w:pPr>
      <w:r>
        <w:t xml:space="preserve">A person inside the premises has been the driver, attempted to drive or been in charge of a mechanically propelled vehicle on a road or public place whilst an accident occurred and personal injury to another is involved and the constable wants to impose a requirement under section 6(5) of the Road Traffic Act (To provide a specimen of breath blood or urine for a preliminary breath test or a preliminary drugs test). </w:t>
      </w:r>
    </w:p>
    <w:p w:rsidR="005609C3" w:rsidRDefault="005609C3" w:rsidP="005609C3">
      <w:pPr>
        <w:pStyle w:val="ListParagraph"/>
        <w:numPr>
          <w:ilvl w:val="0"/>
          <w:numId w:val="3"/>
        </w:numPr>
      </w:pPr>
      <w:r>
        <w:t xml:space="preserve">A person inside the premises has been the driver, attempted to drive or been in charge of a mechanically propelled vehicle on a road or public place and owing to their driving an accident occurred involving personal injury to another and they have failed a preliminary breath test or a preliminary blood test and the constable </w:t>
      </w:r>
      <w:r w:rsidR="007E0C1D">
        <w:t>wants to arrest under section 6(D</w:t>
      </w:r>
      <w:proofErr w:type="gramStart"/>
      <w:r w:rsidR="007E0C1D">
        <w:t>)(</w:t>
      </w:r>
      <w:proofErr w:type="gramEnd"/>
      <w:r w:rsidR="007E0C1D">
        <w:t xml:space="preserve">1) of the Road Traffic Act 1988. </w:t>
      </w:r>
    </w:p>
    <w:p w:rsidR="007E0C1D" w:rsidRDefault="007E0C1D" w:rsidP="007E0C1D">
      <w:pPr>
        <w:pStyle w:val="ListParagraph"/>
      </w:pPr>
      <w:r>
        <w:t>Contrary to section 6(E) of the Road Traffic Act 1988.</w:t>
      </w:r>
    </w:p>
    <w:p w:rsidR="007E0C1D" w:rsidRDefault="007E0C1D" w:rsidP="007E0C1D">
      <w:r>
        <w:t>Q10</w:t>
      </w:r>
    </w:p>
    <w:p w:rsidR="007E0C1D" w:rsidRDefault="007E0C1D" w:rsidP="007E0C1D">
      <w:r>
        <w:t>A person who causes the death of another whilst driving, attempting to drive or is in charge of a motor vehicle (mechanically propelled vehicle) dangerously on a road or public place is guilty of an offence contrary to Section 1 of the Road Traffic Act 1988.</w:t>
      </w:r>
    </w:p>
    <w:p w:rsidR="007E0C1D" w:rsidRDefault="007E0C1D" w:rsidP="007E0C1D">
      <w:r>
        <w:t>Q11</w:t>
      </w:r>
    </w:p>
    <w:p w:rsidR="007E0C1D" w:rsidRDefault="007E0C1D" w:rsidP="007E0C1D">
      <w:r>
        <w:t xml:space="preserve">The national prescribed limits vary upon which specimen you are analysing. For alcohol the limits are 35 micrograms per 100ml of breath, 80 milligrams per 100ml of urine and 107 milligrams per 100ml of blood. The amount of drugs in a person’s body may only be analysed through a blood or urine sample. The limits vary for each specific drug. For example, the limit for THC (the active ingredient in cannabis) is different to the limit for cocaine. </w:t>
      </w:r>
    </w:p>
    <w:p w:rsidR="007E0C1D" w:rsidRDefault="007E0C1D" w:rsidP="007E0C1D">
      <w:r>
        <w:t xml:space="preserve">Q12 </w:t>
      </w:r>
    </w:p>
    <w:p w:rsidR="007E0C1D" w:rsidRDefault="007E0C1D" w:rsidP="007E0C1D">
      <w:r>
        <w:t>There are many people who may be involved in a suspect interview:</w:t>
      </w:r>
    </w:p>
    <w:p w:rsidR="007E0C1D" w:rsidRDefault="007E0C1D" w:rsidP="007E0C1D">
      <w:pPr>
        <w:pStyle w:val="ListParagraph"/>
        <w:numPr>
          <w:ilvl w:val="0"/>
          <w:numId w:val="4"/>
        </w:numPr>
      </w:pPr>
      <w:r>
        <w:t>Solicitor: Their role is to provide their client (the suspect) with legal advice before and during the interview and ensure that the investigating police officer and all other relevant police officers are conducting their duties in accordance with standards set out in the Police and Criminal Evidence Act 1984.</w:t>
      </w:r>
    </w:p>
    <w:p w:rsidR="007E0C1D" w:rsidRDefault="007E0C1D" w:rsidP="007E0C1D">
      <w:pPr>
        <w:pStyle w:val="ListParagraph"/>
        <w:numPr>
          <w:ilvl w:val="0"/>
          <w:numId w:val="4"/>
        </w:numPr>
      </w:pPr>
      <w:r>
        <w:t xml:space="preserve">Appropriate Adult: Their role is to provide children and vulnerable adults with appropriate support during the interview. They may be of use to help the suspect understand and simplify the question that is being put before them. They may also make sure that the needs of the suspect are being met e.g. food, water and rest. </w:t>
      </w:r>
    </w:p>
    <w:p w:rsidR="007E0C1D" w:rsidRDefault="007E0C1D" w:rsidP="007E0C1D">
      <w:pPr>
        <w:pStyle w:val="ListParagraph"/>
        <w:numPr>
          <w:ilvl w:val="0"/>
          <w:numId w:val="4"/>
        </w:numPr>
      </w:pPr>
      <w:r>
        <w:lastRenderedPageBreak/>
        <w:t xml:space="preserve">Translator: A translator may be of use if the suspect speaks a different language to the investigating officer. They may translate precisely what is said by the suspect and relay this to the investigating officer and vice versa. It is crucial that a translator is obtained from a reliable and unbiased source and solely translates and does not provide legal advice or attempt to misconstrue what is said by the suspect or officer.  </w:t>
      </w:r>
    </w:p>
    <w:p w:rsidR="007B23CB" w:rsidRDefault="007B23CB" w:rsidP="007E0C1D">
      <w:pPr>
        <w:pStyle w:val="ListParagraph"/>
        <w:numPr>
          <w:ilvl w:val="0"/>
          <w:numId w:val="4"/>
        </w:numPr>
      </w:pPr>
      <w:r>
        <w:t xml:space="preserve">Second officer: A second officer may provide assistance to the lead interviewing officer and ask any relevant of additional questions to the person. They may be on hand to provide documents and take notes. </w:t>
      </w:r>
    </w:p>
    <w:p w:rsidR="007B23CB" w:rsidRDefault="007B23CB" w:rsidP="007E0C1D">
      <w:pPr>
        <w:pStyle w:val="ListParagraph"/>
        <w:numPr>
          <w:ilvl w:val="0"/>
          <w:numId w:val="4"/>
        </w:numPr>
      </w:pPr>
      <w:r>
        <w:t xml:space="preserve">Support: in some serious crimes an additional person may be in the interview to provide support (usually emotionally) to the person who is being interviewed. </w:t>
      </w:r>
      <w:bookmarkStart w:id="0" w:name="_GoBack"/>
      <w:bookmarkEnd w:id="0"/>
    </w:p>
    <w:p w:rsidR="007E0C1D" w:rsidRDefault="007E0C1D" w:rsidP="007E0C1D"/>
    <w:p w:rsidR="007E0C1D" w:rsidRDefault="007E0C1D" w:rsidP="007E0C1D">
      <w:r>
        <w:t>Q13</w:t>
      </w:r>
    </w:p>
    <w:p w:rsidR="007E0C1D" w:rsidRDefault="007E0C1D" w:rsidP="007E0C1D">
      <w:r>
        <w:t xml:space="preserve">The national police interviewing model is known by the acronym ‘PEACE’. </w:t>
      </w:r>
    </w:p>
    <w:p w:rsidR="007E0C1D" w:rsidRDefault="007E0C1D" w:rsidP="007E0C1D">
      <w:r>
        <w:t>P: Plan and Prepare</w:t>
      </w:r>
    </w:p>
    <w:p w:rsidR="007E0C1D" w:rsidRDefault="007E0C1D" w:rsidP="007E0C1D">
      <w:r>
        <w:t xml:space="preserve">The officer must plan and prepare before the interview. This may include understanding all the details about the investigation. It is crucial that they have followed up all relevant enquiries and </w:t>
      </w:r>
      <w:r w:rsidR="00F950C3">
        <w:t xml:space="preserve">have gathered all relevant evidence and exhibits for the interview. At this stage the officer would ensure all measures are in place for the interview to take place practically e.g. assessing the needs of the person being interviewed and ensure all relevant aid is there (such as an appropriate adult), ensuring there is an available room and the equipment is working correctly. </w:t>
      </w:r>
    </w:p>
    <w:p w:rsidR="00F950C3" w:rsidRDefault="00F950C3" w:rsidP="007E0C1D">
      <w:r>
        <w:t>E: Engage and Explain</w:t>
      </w:r>
    </w:p>
    <w:p w:rsidR="00F950C3" w:rsidRDefault="00F950C3" w:rsidP="007E0C1D">
      <w:r>
        <w:t xml:space="preserve">At the beginning of the interview the officer must engage with the person they are interviewing e.g. building rapport, offering them a drink and ensuring they are comfortable. The officer must clearly signpost the interview i.e. what the structure of the interview will be, what their rights are and what the aims of the interview are. If it is a suspect interview the officer must read the caution to remind them of their rights. Each person in the room with have the opportunity to introduce themselves. </w:t>
      </w:r>
    </w:p>
    <w:p w:rsidR="00F950C3" w:rsidRDefault="00F950C3" w:rsidP="007E0C1D">
      <w:r>
        <w:t>A: Account, Clarification and Challenge</w:t>
      </w:r>
    </w:p>
    <w:p w:rsidR="00F950C3" w:rsidRDefault="00F950C3" w:rsidP="007E0C1D">
      <w:r>
        <w:t>At this stage the officer will give the person being interviewed an opportunity to give their ‘free narrative’ this is where they may say their account of what has happened in an interrupted format. This free recall technique has been known to increase recall by 30%. The next stage the officer should focus on the conversation management model this is after their free recall is done the officer with clarify what they have said and revisit topics to gain a more in depth knowledge about what they have said. Lastly, the officer will challenge the person’s recall. The officer must identify any anomalies in their account and challenge or clarify those details. In addition, if the officer knows information prior to the interview which is not corroborated by the person then they may challenge the person on this. An officer may decide to introduce special warnings at this section if it is a suspect interview.</w:t>
      </w:r>
    </w:p>
    <w:p w:rsidR="00F950C3" w:rsidRDefault="00F950C3" w:rsidP="007E0C1D">
      <w:r>
        <w:t>C: Closure</w:t>
      </w:r>
    </w:p>
    <w:p w:rsidR="00F950C3" w:rsidRDefault="00F950C3" w:rsidP="007E0C1D">
      <w:r>
        <w:t xml:space="preserve">At this stage the interview will conclude. The officer will review the aims and may clarify and summarise what has been said in the interview. It will be an opportunity for anyone in the room to ask any further and final questions. The officer will the signpost what will happen next. For example, </w:t>
      </w:r>
      <w:r>
        <w:lastRenderedPageBreak/>
        <w:t xml:space="preserve">if it is a victim/witness interview they may explain the court process or provide a victim personal statement leaflet. </w:t>
      </w:r>
    </w:p>
    <w:p w:rsidR="00F950C3" w:rsidRDefault="00F950C3" w:rsidP="007E0C1D">
      <w:r>
        <w:t>E: Evaluation</w:t>
      </w:r>
    </w:p>
    <w:p w:rsidR="00F950C3" w:rsidRDefault="00F950C3" w:rsidP="007E0C1D">
      <w:r>
        <w:t xml:space="preserve">At this stage the officer will consider what went well and what could have been improved on in the interview. Moreover, the officer will review any further information that has been obtained and opened up further lines of enquiry. This is an opportunity for the investigation to progress. </w:t>
      </w:r>
    </w:p>
    <w:p w:rsidR="00F950C3" w:rsidRDefault="0012618C" w:rsidP="007E0C1D">
      <w:r>
        <w:t>Q</w:t>
      </w:r>
      <w:r w:rsidR="005E34AE">
        <w:t>14</w:t>
      </w:r>
    </w:p>
    <w:p w:rsidR="005E34AE" w:rsidRDefault="005E34AE" w:rsidP="007E0C1D">
      <w:r>
        <w:t>If a person (A) engages in behaviour towards (B) repeatedly or continuously which is controlling or coercive</w:t>
      </w:r>
    </w:p>
    <w:p w:rsidR="005E34AE" w:rsidRDefault="005E34AE" w:rsidP="005E34AE">
      <w:pPr>
        <w:pStyle w:val="ListParagraph"/>
        <w:numPr>
          <w:ilvl w:val="0"/>
          <w:numId w:val="11"/>
        </w:numPr>
      </w:pPr>
      <w:r>
        <w:t>And (B) are personally connected</w:t>
      </w:r>
    </w:p>
    <w:p w:rsidR="005E34AE" w:rsidRDefault="005E34AE" w:rsidP="005E34AE">
      <w:r>
        <w:br/>
        <w:t>The behaviour has a serious effect on (B)</w:t>
      </w:r>
    </w:p>
    <w:p w:rsidR="005E34AE" w:rsidRDefault="005E34AE" w:rsidP="005E34AE">
      <w:r>
        <w:t>(A) Knows or ought to know the behaviour would have a serious effect on (B)</w:t>
      </w:r>
    </w:p>
    <w:p w:rsidR="005E34AE" w:rsidRDefault="005E34AE" w:rsidP="005E34AE">
      <w:r>
        <w:t>Commits an offence contrary to section 76 of the Serious Crime Act 2015</w:t>
      </w:r>
    </w:p>
    <w:p w:rsidR="005E34AE" w:rsidRDefault="005E34AE" w:rsidP="005E34AE">
      <w:r>
        <w:t>Q15</w:t>
      </w:r>
    </w:p>
    <w:p w:rsidR="005E34AE" w:rsidRDefault="005E34AE" w:rsidP="005E34AE">
      <w:r>
        <w:t xml:space="preserve">The offence is important as many cases of domestic violence/abuse and honour based violence may include coercive control. Before 2015 there was no official legislation for this and it was difficult to prosecute despite the behaviour of the perpetrator having a serious effect on the victim. Many victims of domestic abuse suffer from the effects of coercion and control e.g. blackmailing, gas lighting, intimidation and isolation. However, they may not suffer due to offences which were already in place before 2015 e.g. assault. Therefore, before 2015 if was difficult to prosecute as no crime has officially been committed leaving many vulnerable victims helpless and </w:t>
      </w:r>
      <w:proofErr w:type="gramStart"/>
      <w:r>
        <w:t>may</w:t>
      </w:r>
      <w:proofErr w:type="gramEnd"/>
      <w:r>
        <w:t xml:space="preserve"> perpetrators free in society. It offers the police and the criminal justice system better powers to recognise and prosecute offenders who engage in this behaviour before they proceed to commit more heinous crimes such as assault or murder. </w:t>
      </w:r>
    </w:p>
    <w:p w:rsidR="005E34AE" w:rsidRDefault="005E34AE" w:rsidP="005E34AE">
      <w:r>
        <w:t>Q16</w:t>
      </w:r>
    </w:p>
    <w:p w:rsidR="005E34AE" w:rsidRDefault="005E34AE" w:rsidP="005E34AE">
      <w:r>
        <w:t>If a constable believes a child may otherwise suffer significant serious harm they may:</w:t>
      </w:r>
    </w:p>
    <w:p w:rsidR="005E34AE" w:rsidRDefault="005E34AE" w:rsidP="005E34AE">
      <w:pPr>
        <w:pStyle w:val="ListParagraph"/>
        <w:numPr>
          <w:ilvl w:val="0"/>
          <w:numId w:val="12"/>
        </w:numPr>
      </w:pPr>
      <w:r>
        <w:t>Remove the child to suitable accommodation</w:t>
      </w:r>
    </w:p>
    <w:p w:rsidR="005E34AE" w:rsidRDefault="005E34AE" w:rsidP="005E34AE">
      <w:pPr>
        <w:pStyle w:val="ListParagraph"/>
        <w:numPr>
          <w:ilvl w:val="0"/>
          <w:numId w:val="12"/>
        </w:numPr>
      </w:pPr>
      <w:r>
        <w:t>Take steps as is reasonable to prevent the child’s removal</w:t>
      </w:r>
      <w:r w:rsidR="00E9018E">
        <w:t xml:space="preserve"> from a hospital or other suitable accommodation.</w:t>
      </w:r>
    </w:p>
    <w:p w:rsidR="00E9018E" w:rsidRDefault="00E9018E" w:rsidP="00E9018E">
      <w:r>
        <w:t>Contrary to section 46 of the children act 1989.</w:t>
      </w:r>
    </w:p>
    <w:p w:rsidR="00E9018E" w:rsidRDefault="00E9018E" w:rsidP="00E9018E">
      <w:r>
        <w:t>Therefore, if a constable believes a child may otherwise suffer significant harm they have the power to remove that child to a suitable place. Examples of this could be where you believe the child’s current accommodation is not suitable e.g. no food or no heating. It could also be where you believe the child may suffer abus</w:t>
      </w:r>
      <w:r w:rsidR="008D1BFA">
        <w:t xml:space="preserve">e/further abuse if they remain. A constable may then remove a child to suitable accommodation e.g. a home of a family member which is deemed safe. The officer should make a record of this and also collect the details of where the child is and who they are staying with and conduct necessary welfare checks before they are satisfied the child may remain. Moreover, the officer may prevent the removal of a child from a hospital or other suitable accommodation, this </w:t>
      </w:r>
      <w:r w:rsidR="008D1BFA">
        <w:lastRenderedPageBreak/>
        <w:t xml:space="preserve">may protect the child from (for example) an abusive family member removing them, or a family member preventing them from receiving appropriate medical care. </w:t>
      </w:r>
    </w:p>
    <w:p w:rsidR="005E34AE" w:rsidRDefault="00CF6B80" w:rsidP="005E34AE">
      <w:r>
        <w:t xml:space="preserve">Q17 </w:t>
      </w:r>
    </w:p>
    <w:p w:rsidR="00636E9E" w:rsidRDefault="00636E9E" w:rsidP="005E34AE">
      <w:r>
        <w:t xml:space="preserve">Child cruelty is anyone above 18 years old who has a responsibility for a child under 18 and neglects the child emotionally or physically or causes the child to suffer serious physical or mental harm. </w:t>
      </w:r>
      <w:r w:rsidR="00856B6E">
        <w:t>This may include abuse. If the person fails to prevent the child from suffering harm.</w:t>
      </w:r>
      <w:r w:rsidR="007B23CB">
        <w:t xml:space="preserve"> Neglects the child and their needs or exposes them to harm. </w:t>
      </w:r>
    </w:p>
    <w:p w:rsidR="00636E9E" w:rsidRDefault="00636E9E" w:rsidP="005E34AE">
      <w:r>
        <w:t xml:space="preserve">Commits an offence contrary to section 1 of the children and young </w:t>
      </w:r>
      <w:proofErr w:type="spellStart"/>
      <w:r>
        <w:t>persons</w:t>
      </w:r>
      <w:proofErr w:type="spellEnd"/>
      <w:r>
        <w:t xml:space="preserve"> act 1933</w:t>
      </w:r>
    </w:p>
    <w:p w:rsidR="00CF6B80" w:rsidRDefault="00CF6B80" w:rsidP="005E34AE">
      <w:r>
        <w:t>Q18</w:t>
      </w:r>
    </w:p>
    <w:p w:rsidR="00636E9E" w:rsidRDefault="00636E9E" w:rsidP="005E34AE">
      <w:r>
        <w:t xml:space="preserve">The THRIVE model could be used to assess this situation. We could consider the threat that the person may suffer. The harm that could occur as a result of this threat and the level of risk that there is i.e. the actual probability of the threat occurring. We must consider the needs of the investigation and the vulnerability of the victim. In these circumstances children should always be considered vulnerable. </w:t>
      </w:r>
      <w:r w:rsidR="00926D2C">
        <w:t>Lastly we would consider engagement.</w:t>
      </w:r>
    </w:p>
    <w:p w:rsidR="00C14322" w:rsidRDefault="00C14322" w:rsidP="005E34AE">
      <w:r>
        <w:t xml:space="preserve">Child offender management model. Highlights individuals who are susceptible to commit offences linked to CSE. It aims to highlight those children who are at risk of experiencing CSE and using preventative methods to protect the child before such exploitation occurs. Professionals and people (whether medical staff or police officers) should report any concerns via a PPN immediately if they think a child is at risk </w:t>
      </w:r>
      <w:proofErr w:type="gramStart"/>
      <w:r>
        <w:t>an</w:t>
      </w:r>
      <w:proofErr w:type="gramEnd"/>
      <w:r>
        <w:t xml:space="preserve"> consider section 46 of the children act. </w:t>
      </w:r>
    </w:p>
    <w:p w:rsidR="00CF6B80" w:rsidRDefault="00CF6B80" w:rsidP="005E34AE">
      <w:r>
        <w:t>Q19</w:t>
      </w:r>
    </w:p>
    <w:p w:rsidR="00CF6B80" w:rsidRDefault="00CF6B80" w:rsidP="005E34AE">
      <w:r>
        <w:t xml:space="preserve">A Public Protection Notification (PPN) should be used for a child at risk, a vulnerable adult at risk and for use in circumstances of domestic violence and harassment and stalking. They may also be used in circumstances of anti-social behaviour and hate crime. A PPN should be used when the officer is concerned for the safety of a person or victim and wants to highlight this to the relevant organisations in order to gain the appropriate help for this person. A PPN should always be submitted for a case of domestic violence, any circumstance where a child is at risk, any cases of stalking and harassment and any other circumstances the officer deems necessary. There may be circumstances which may not meet the requirements for a PPN. However, it is advised that if an officer has any concerns about a persons’ safety then a PPN should be submitted. </w:t>
      </w:r>
    </w:p>
    <w:p w:rsidR="00CF6B80" w:rsidRDefault="00CF6B80" w:rsidP="005E34AE">
      <w:r>
        <w:t>Q20</w:t>
      </w:r>
    </w:p>
    <w:p w:rsidR="00CF6B80" w:rsidRDefault="00CF6B80" w:rsidP="005E34AE">
      <w:r>
        <w:t xml:space="preserve">A Domestic Violence Protection Notice (DVPN) is used in circumstances where there is not enough evidence to charge a suspect with an offence related to domestic violence. If that is the case the officer may apply for a DVPN this is an order which requires the suspect to not contact the victim, to leave the premises where they live (if it is the same premises as the victim) and remain away from this victim for 48 hours. </w:t>
      </w:r>
      <w:r w:rsidR="00B6671F">
        <w:t xml:space="preserve">The officer must present this to the suspect whilst in custody. The process is a victimless one i.e. there is no need for any involvement from the victim. However, it is advised that the officer takes into account any wishes from the victim and consider their circumstances. </w:t>
      </w:r>
    </w:p>
    <w:p w:rsidR="00B6671F" w:rsidRDefault="00B6671F" w:rsidP="005E34AE">
      <w:r>
        <w:t xml:space="preserve">Within 48 hours (or within the next available court date) the officer must attend a magistrates court with the suspect to apply for a DVPO (Domestic Violence Protection Order) this is similar to the DVPN however, it is a non-molestation order which lasts for 14-28 days depending what the magistrates decide. If approved the same conditions apply and it offers the victim a respite and an opportunity to consider their circumstances and what they wish to do in the future. </w:t>
      </w:r>
    </w:p>
    <w:p w:rsidR="00B6671F" w:rsidRDefault="00B6671F" w:rsidP="005E34AE">
      <w:r>
        <w:lastRenderedPageBreak/>
        <w:t>Q21</w:t>
      </w:r>
    </w:p>
    <w:p w:rsidR="00B6671F" w:rsidRDefault="00B6671F" w:rsidP="005E34AE">
      <w:r>
        <w:t>Child Sexual Exploitation is when a person of a group of people (over 18) who are in a position of power coerce, incite or manipulate a child (under 18) to engage in sexual activity either:</w:t>
      </w:r>
    </w:p>
    <w:p w:rsidR="00B6671F" w:rsidRDefault="00B6671F" w:rsidP="005E34AE">
      <w:r>
        <w:t>In exchange for something the child needs or wants or</w:t>
      </w:r>
    </w:p>
    <w:p w:rsidR="00B6671F" w:rsidRDefault="00B6671F" w:rsidP="005E34AE">
      <w:r>
        <w:t xml:space="preserve">For a financial or status advantage for the facilitator or perpetrator. </w:t>
      </w:r>
    </w:p>
    <w:p w:rsidR="00B6671F" w:rsidRDefault="00B6671F" w:rsidP="005E34AE">
      <w:r>
        <w:t xml:space="preserve">The boyfriend model can be used to explain one form of CSE (Child sexual exploitation) this is where a person may deceive a young individual (under 18) into thinking that they are their partner and that they care for them. Once they have gained the victims trust they may then exploit that person e.g. allow the perpetrators friends to engage in sexual activity with the child or use the child as part of child sex trafficking. </w:t>
      </w:r>
    </w:p>
    <w:p w:rsidR="00B6671F" w:rsidRDefault="00B6671F" w:rsidP="005E34AE">
      <w:r>
        <w:t xml:space="preserve">Another form of CSE may be a person in a position of power (e.g. a teacher) taking advantage of their position and causing or coercing the child to engage in sexual activity. CSE may involve people in positions of power and trust who exploit the child. It may also be close family members of the child who have easy and regular access to the child who commit CSE. </w:t>
      </w:r>
    </w:p>
    <w:p w:rsidR="00B6671F" w:rsidRDefault="00B6671F" w:rsidP="005E34AE">
      <w:r>
        <w:t>Q22</w:t>
      </w:r>
    </w:p>
    <w:p w:rsidR="00B6671F" w:rsidRDefault="00B6671F" w:rsidP="005E34AE">
      <w:r>
        <w:t xml:space="preserve">The child sexual offender disclosure scheme (CSODS) is aimed at protecting vulnerable children who may be exposed to a person who puts them in danger. If a person who is caring for the child or has concerns for the child believes a specific person may be putting the child in danger then they may make an application to review the suspected person’s history. A careful and considerate decision may be made to disclose this information if it is appropriate. </w:t>
      </w:r>
    </w:p>
    <w:p w:rsidR="00B6671F" w:rsidRDefault="00B6671F" w:rsidP="005E34AE">
      <w:r>
        <w:t>Circumstances where this information may be given:</w:t>
      </w:r>
    </w:p>
    <w:p w:rsidR="00B6671F" w:rsidRDefault="00B6671F" w:rsidP="005E34AE">
      <w:r>
        <w:t>If the suspected person has previous convictions of child sexual exploitation and are on the child sex offender register or</w:t>
      </w:r>
    </w:p>
    <w:p w:rsidR="00B6671F" w:rsidRDefault="00B6671F" w:rsidP="005E34AE">
      <w:r>
        <w:t>If the person has a history of offences which may put the child at risk e.g. previous violent history or a previous history of drugs or</w:t>
      </w:r>
    </w:p>
    <w:p w:rsidR="00B6671F" w:rsidRDefault="00B6671F" w:rsidP="005E34AE">
      <w:r>
        <w:t xml:space="preserve">If the offender displays any worrying and concerning behaviour which may be indicators of CSE and grooming. </w:t>
      </w:r>
    </w:p>
    <w:p w:rsidR="00922A25" w:rsidRDefault="00922A25" w:rsidP="005E34AE">
      <w:r>
        <w:t xml:space="preserve">The person applying for the information must then (if disclosed) sign to agree that they will only use that information to safeguard the child (or children). The scheme will also provide the person concerned with relevant safeguarding tips and strategies so that they can confidently safeguard their child. </w:t>
      </w:r>
    </w:p>
    <w:p w:rsidR="00922A25" w:rsidRDefault="00636E9E" w:rsidP="005E34AE">
      <w:r>
        <w:t>Q23</w:t>
      </w:r>
    </w:p>
    <w:p w:rsidR="00926D2C" w:rsidRDefault="00926D2C" w:rsidP="00926D2C">
      <w:r>
        <w:t xml:space="preserve">Section 75 (a) of the sexual offences act 2003 that a person cannot consent if the offender appropriates the identification of another person in order to deceive the victim into sexual activity e.g. they are a twin and they pretend to be their sibling in order to gain this. </w:t>
      </w:r>
      <w:r>
        <w:t>Contrary to section 75(a) of the sexual offences act 2003.</w:t>
      </w:r>
    </w:p>
    <w:p w:rsidR="00926D2C" w:rsidRDefault="00926D2C" w:rsidP="005E34AE">
      <w:r>
        <w:t xml:space="preserve">Section 75 (b) of the sexual offences act 2003 that a person cannot consent if the offender pretends to be a person in a position of power and trust and does so to deceive the victim e.g. someone </w:t>
      </w:r>
      <w:r>
        <w:lastRenderedPageBreak/>
        <w:t>pretending to be a medical practitioner to deceive the victim into sexual activity. Contrary to section 75 (b) of the sexual offences act 2003.</w:t>
      </w:r>
    </w:p>
    <w:p w:rsidR="00926D2C" w:rsidRDefault="00926D2C" w:rsidP="005E34AE"/>
    <w:p w:rsidR="00CF6B80" w:rsidRDefault="00636E9E" w:rsidP="005E34AE">
      <w:r>
        <w:t>Q24</w:t>
      </w:r>
    </w:p>
    <w:p w:rsidR="00636E9E" w:rsidRDefault="00636E9E" w:rsidP="005E34AE">
      <w:r>
        <w:t>The overriding objectives are:</w:t>
      </w:r>
    </w:p>
    <w:p w:rsidR="00636E9E" w:rsidRDefault="00636E9E" w:rsidP="005E34AE">
      <w:r>
        <w:t>Acquit the innocent and convict the guilty</w:t>
      </w:r>
    </w:p>
    <w:p w:rsidR="00636E9E" w:rsidRDefault="00636E9E" w:rsidP="005E34AE">
      <w:r>
        <w:t xml:space="preserve">Consider the defendant’s rights and respect those (especially with regards to </w:t>
      </w:r>
      <w:r w:rsidR="00926D2C">
        <w:t>article</w:t>
      </w:r>
      <w:r>
        <w:t xml:space="preserve"> 6 of the human rights act </w:t>
      </w:r>
      <w:r w:rsidR="00975C0D">
        <w:t xml:space="preserve">as </w:t>
      </w:r>
      <w:r>
        <w:t xml:space="preserve">enshrined in the ECHR) </w:t>
      </w:r>
      <w:proofErr w:type="gramStart"/>
      <w:r w:rsidR="00975C0D">
        <w:t>The</w:t>
      </w:r>
      <w:proofErr w:type="gramEnd"/>
      <w:r w:rsidR="00975C0D">
        <w:t xml:space="preserve"> right to a fair trial.</w:t>
      </w:r>
    </w:p>
    <w:p w:rsidR="00636E9E" w:rsidRDefault="00636E9E" w:rsidP="005E34AE">
      <w:r>
        <w:t>The defendant and the prosecution must be treated fairly at all times</w:t>
      </w:r>
    </w:p>
    <w:p w:rsidR="00636E9E" w:rsidRDefault="00636E9E" w:rsidP="005E34AE">
      <w:r>
        <w:t>The prosecution, victim, witnesses and jurors should be updated at all times concerning proceedings and should be updated on any outcomes</w:t>
      </w:r>
    </w:p>
    <w:p w:rsidR="00636E9E" w:rsidRDefault="00636E9E" w:rsidP="005E34AE">
      <w:r>
        <w:t xml:space="preserve">All appropriate information must be disclosed to the court to make appropriate decisions for bail and sentencing </w:t>
      </w:r>
    </w:p>
    <w:p w:rsidR="00636E9E" w:rsidRDefault="00636E9E" w:rsidP="005E34AE">
      <w:r>
        <w:t xml:space="preserve">The processes should be conducted efficiently and expeditiously </w:t>
      </w:r>
    </w:p>
    <w:p w:rsidR="00636E9E" w:rsidRDefault="00636E9E" w:rsidP="005E34AE">
      <w:r>
        <w:t xml:space="preserve">When conducting the case the gravity of the case, the culpability of the suspect and the severity of the crime should be taken into consideration. </w:t>
      </w:r>
    </w:p>
    <w:p w:rsidR="00636E9E" w:rsidRDefault="00636E9E" w:rsidP="005E34AE">
      <w:r>
        <w:t>Q25</w:t>
      </w:r>
    </w:p>
    <w:p w:rsidR="00636E9E" w:rsidRDefault="00636E9E" w:rsidP="005E34AE">
      <w:r>
        <w:t>The full code test is split into two sections: the evidential test and the public interest stage. The full code test must pass both sections in order to proceed.</w:t>
      </w:r>
    </w:p>
    <w:p w:rsidR="00636E9E" w:rsidRDefault="00636E9E" w:rsidP="005E34AE">
      <w:r>
        <w:t xml:space="preserve">The evidential tests concerns the evidence. The evidence must be credible, sufficient and provide a realistic prospect of conviction. There must be no other evidence which may affect the sufficiency of the evidence. </w:t>
      </w:r>
    </w:p>
    <w:p w:rsidR="00636E9E" w:rsidRDefault="00636E9E" w:rsidP="005E34AE">
      <w:r>
        <w:t xml:space="preserve">The public interest stage concerns is it in the public interest to prosecute. Should we look at other methods of disposal? We have to consider if it is in the public interest and weigh this against the cost of prosecution. Factors could be taken into consideration such as the </w:t>
      </w:r>
      <w:r w:rsidR="00784395">
        <w:t>defendant’s</w:t>
      </w:r>
      <w:r>
        <w:t xml:space="preserve"> age, culpability, seriousness and gravity of the crime and the effect that the crime has had on the community. </w:t>
      </w:r>
    </w:p>
    <w:p w:rsidR="00784395" w:rsidRDefault="00784395" w:rsidP="005E34AE">
      <w:r>
        <w:t xml:space="preserve">Once both stages of the test have been passed then it can be deemed that the full code test has passed. </w:t>
      </w:r>
    </w:p>
    <w:p w:rsidR="00636E9E" w:rsidRDefault="00636E9E" w:rsidP="005E34AE"/>
    <w:p w:rsidR="005E34AE" w:rsidRDefault="005E34AE" w:rsidP="005E34AE"/>
    <w:p w:rsidR="005E34AE" w:rsidRDefault="005E34AE" w:rsidP="005E34AE"/>
    <w:p w:rsidR="004B1B8C" w:rsidRDefault="004B1B8C"/>
    <w:p w:rsidR="004B1B8C" w:rsidRDefault="004B1B8C"/>
    <w:sectPr w:rsidR="004B1B8C" w:rsidSect="00AC4661">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6671F" w:rsidRDefault="00B6671F" w:rsidP="00AC4661">
      <w:pPr>
        <w:spacing w:after="0" w:line="240" w:lineRule="auto"/>
      </w:pPr>
      <w:r>
        <w:separator/>
      </w:r>
    </w:p>
  </w:endnote>
  <w:endnote w:type="continuationSeparator" w:id="0">
    <w:p w:rsidR="00B6671F" w:rsidRDefault="00B6671F" w:rsidP="00AC46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671F" w:rsidRDefault="007B458F" w:rsidP="007B458F">
    <w:pPr>
      <w:pStyle w:val="Footer"/>
      <w:rPr>
        <w:color w:val="000000"/>
        <w:sz w:val="17"/>
      </w:rPr>
    </w:pPr>
    <w:bookmarkStart w:id="3" w:name="TITUS1FooterEvenPages"/>
    <w:r>
      <w:rPr>
        <w:color w:val="000000"/>
        <w:sz w:val="17"/>
      </w:rPr>
      <w:t> </w:t>
    </w:r>
  </w:p>
  <w:bookmarkEnd w:id="3"/>
  <w:p w:rsidR="00B6671F" w:rsidRDefault="00B6671F" w:rsidP="000E343B">
    <w:pPr>
      <w:pStyle w:val="Footer"/>
    </w:pPr>
  </w:p>
  <w:p w:rsidR="00B6671F" w:rsidRDefault="00B6671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671F" w:rsidRDefault="007B458F" w:rsidP="007B458F">
    <w:pPr>
      <w:pStyle w:val="Footer"/>
      <w:rPr>
        <w:color w:val="000000"/>
        <w:sz w:val="17"/>
      </w:rPr>
    </w:pPr>
    <w:bookmarkStart w:id="4" w:name="TITUS1FooterPrimary"/>
    <w:r>
      <w:rPr>
        <w:color w:val="000000"/>
        <w:sz w:val="17"/>
      </w:rPr>
      <w:t> </w:t>
    </w:r>
  </w:p>
  <w:bookmarkEnd w:id="4"/>
  <w:p w:rsidR="00B6671F" w:rsidRDefault="00B6671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671F" w:rsidRDefault="007B458F" w:rsidP="007B458F">
    <w:pPr>
      <w:pStyle w:val="Footer"/>
      <w:rPr>
        <w:color w:val="000000"/>
        <w:sz w:val="17"/>
      </w:rPr>
    </w:pPr>
    <w:bookmarkStart w:id="6" w:name="TITUS1FooterFirstPage"/>
    <w:r>
      <w:rPr>
        <w:color w:val="000000"/>
        <w:sz w:val="17"/>
      </w:rPr>
      <w:t> </w:t>
    </w:r>
  </w:p>
  <w:bookmarkEnd w:id="6"/>
  <w:p w:rsidR="00B6671F" w:rsidRDefault="00B667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6671F" w:rsidRDefault="00B6671F" w:rsidP="00AC4661">
      <w:pPr>
        <w:spacing w:after="0" w:line="240" w:lineRule="auto"/>
      </w:pPr>
      <w:r>
        <w:separator/>
      </w:r>
    </w:p>
  </w:footnote>
  <w:footnote w:type="continuationSeparator" w:id="0">
    <w:p w:rsidR="00B6671F" w:rsidRDefault="00B6671F" w:rsidP="00AC466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671F" w:rsidRDefault="007B458F" w:rsidP="007B458F">
    <w:pPr>
      <w:pStyle w:val="Header"/>
      <w:rPr>
        <w:color w:val="000000"/>
        <w:sz w:val="17"/>
      </w:rPr>
    </w:pPr>
    <w:bookmarkStart w:id="1" w:name="TITUS1HeaderEvenPages"/>
    <w:r>
      <w:rPr>
        <w:color w:val="000000"/>
        <w:sz w:val="17"/>
      </w:rPr>
      <w:t> </w:t>
    </w:r>
  </w:p>
  <w:bookmarkEnd w:id="1"/>
  <w:p w:rsidR="00B6671F" w:rsidRDefault="00B6671F" w:rsidP="000E343B">
    <w:pPr>
      <w:pStyle w:val="Header"/>
    </w:pPr>
  </w:p>
  <w:p w:rsidR="00B6671F" w:rsidRDefault="00B6671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671F" w:rsidRDefault="007B458F" w:rsidP="007B458F">
    <w:pPr>
      <w:pStyle w:val="Header"/>
      <w:rPr>
        <w:color w:val="000000"/>
        <w:sz w:val="17"/>
      </w:rPr>
    </w:pPr>
    <w:bookmarkStart w:id="2" w:name="TITUS1HeaderPrimary"/>
    <w:r>
      <w:rPr>
        <w:color w:val="000000"/>
        <w:sz w:val="17"/>
      </w:rPr>
      <w:t> </w:t>
    </w:r>
  </w:p>
  <w:bookmarkEnd w:id="2"/>
  <w:p w:rsidR="00B6671F" w:rsidRDefault="00B6671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671F" w:rsidRDefault="007B458F" w:rsidP="007B458F">
    <w:pPr>
      <w:pStyle w:val="Header"/>
      <w:rPr>
        <w:color w:val="000000"/>
        <w:sz w:val="17"/>
      </w:rPr>
    </w:pPr>
    <w:bookmarkStart w:id="5" w:name="TITUS1HeaderFirstPage"/>
    <w:r>
      <w:rPr>
        <w:color w:val="000000"/>
        <w:sz w:val="17"/>
      </w:rPr>
      <w:t> </w:t>
    </w:r>
  </w:p>
  <w:bookmarkEnd w:id="5"/>
  <w:p w:rsidR="00B6671F" w:rsidRDefault="00B6671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AD0B5B"/>
    <w:multiLevelType w:val="hybridMultilevel"/>
    <w:tmpl w:val="4DC638D0"/>
    <w:lvl w:ilvl="0" w:tplc="535C767E">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F333A2"/>
    <w:multiLevelType w:val="hybridMultilevel"/>
    <w:tmpl w:val="760AF4CC"/>
    <w:lvl w:ilvl="0" w:tplc="DE7246A4">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3A71FF9"/>
    <w:multiLevelType w:val="hybridMultilevel"/>
    <w:tmpl w:val="1B26D246"/>
    <w:lvl w:ilvl="0" w:tplc="497ED202">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0E5436"/>
    <w:multiLevelType w:val="hybridMultilevel"/>
    <w:tmpl w:val="4F7261CC"/>
    <w:lvl w:ilvl="0" w:tplc="520C022A">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2634E67"/>
    <w:multiLevelType w:val="hybridMultilevel"/>
    <w:tmpl w:val="43AA6068"/>
    <w:lvl w:ilvl="0" w:tplc="6DF250C0">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1F2239F"/>
    <w:multiLevelType w:val="hybridMultilevel"/>
    <w:tmpl w:val="E1E6DBF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5E225DC"/>
    <w:multiLevelType w:val="hybridMultilevel"/>
    <w:tmpl w:val="F4C8282C"/>
    <w:lvl w:ilvl="0" w:tplc="05AAB73C">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702489A"/>
    <w:multiLevelType w:val="hybridMultilevel"/>
    <w:tmpl w:val="FEAA6C60"/>
    <w:lvl w:ilvl="0" w:tplc="3FE0D8C0">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3273DB3"/>
    <w:multiLevelType w:val="hybridMultilevel"/>
    <w:tmpl w:val="9BD018BC"/>
    <w:lvl w:ilvl="0" w:tplc="22B01CD6">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5AA14D6"/>
    <w:multiLevelType w:val="hybridMultilevel"/>
    <w:tmpl w:val="64E6225E"/>
    <w:lvl w:ilvl="0" w:tplc="BEA2F82C">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CB8104D"/>
    <w:multiLevelType w:val="hybridMultilevel"/>
    <w:tmpl w:val="43D6CE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D9638C2"/>
    <w:multiLevelType w:val="hybridMultilevel"/>
    <w:tmpl w:val="45925B8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1"/>
  </w:num>
  <w:num w:numId="2">
    <w:abstractNumId w:val="9"/>
  </w:num>
  <w:num w:numId="3">
    <w:abstractNumId w:val="5"/>
  </w:num>
  <w:num w:numId="4">
    <w:abstractNumId w:val="10"/>
  </w:num>
  <w:num w:numId="5">
    <w:abstractNumId w:val="7"/>
  </w:num>
  <w:num w:numId="6">
    <w:abstractNumId w:val="1"/>
  </w:num>
  <w:num w:numId="7">
    <w:abstractNumId w:val="4"/>
  </w:num>
  <w:num w:numId="8">
    <w:abstractNumId w:val="6"/>
  </w:num>
  <w:num w:numId="9">
    <w:abstractNumId w:val="2"/>
  </w:num>
  <w:num w:numId="10">
    <w:abstractNumId w:val="8"/>
  </w:num>
  <w:num w:numId="11">
    <w:abstractNumId w:val="3"/>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4661"/>
    <w:rsid w:val="000E343B"/>
    <w:rsid w:val="0012618C"/>
    <w:rsid w:val="001E6B4E"/>
    <w:rsid w:val="00481E05"/>
    <w:rsid w:val="004B1B8C"/>
    <w:rsid w:val="005609C3"/>
    <w:rsid w:val="005E34AE"/>
    <w:rsid w:val="00636461"/>
    <w:rsid w:val="00636E9E"/>
    <w:rsid w:val="00784395"/>
    <w:rsid w:val="007B23CB"/>
    <w:rsid w:val="007B458F"/>
    <w:rsid w:val="007E0C1D"/>
    <w:rsid w:val="007E489E"/>
    <w:rsid w:val="00856B6E"/>
    <w:rsid w:val="008B0175"/>
    <w:rsid w:val="008D1BFA"/>
    <w:rsid w:val="00922A25"/>
    <w:rsid w:val="00926D2C"/>
    <w:rsid w:val="00975C0D"/>
    <w:rsid w:val="00AC4661"/>
    <w:rsid w:val="00B6671F"/>
    <w:rsid w:val="00BD25A6"/>
    <w:rsid w:val="00C14322"/>
    <w:rsid w:val="00CB1F59"/>
    <w:rsid w:val="00CF6B80"/>
    <w:rsid w:val="00E16862"/>
    <w:rsid w:val="00E9018E"/>
    <w:rsid w:val="00E90D61"/>
    <w:rsid w:val="00F950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1AE19B"/>
  <w15:chartTrackingRefBased/>
  <w15:docId w15:val="{CB35877F-70FD-4FAB-B6A0-7856A93E4B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C4661"/>
    <w:pPr>
      <w:tabs>
        <w:tab w:val="center" w:pos="4513"/>
        <w:tab w:val="right" w:pos="9026"/>
      </w:tabs>
      <w:spacing w:after="0" w:line="240" w:lineRule="auto"/>
    </w:pPr>
  </w:style>
  <w:style w:type="character" w:customStyle="1" w:styleId="HeaderChar">
    <w:name w:val="Header Char"/>
    <w:basedOn w:val="DefaultParagraphFont"/>
    <w:link w:val="Header"/>
    <w:uiPriority w:val="99"/>
    <w:rsid w:val="00AC4661"/>
  </w:style>
  <w:style w:type="paragraph" w:styleId="Footer">
    <w:name w:val="footer"/>
    <w:basedOn w:val="Normal"/>
    <w:link w:val="FooterChar"/>
    <w:uiPriority w:val="99"/>
    <w:unhideWhenUsed/>
    <w:rsid w:val="00AC4661"/>
    <w:pPr>
      <w:tabs>
        <w:tab w:val="center" w:pos="4513"/>
        <w:tab w:val="right" w:pos="9026"/>
      </w:tabs>
      <w:spacing w:after="0" w:line="240" w:lineRule="auto"/>
    </w:pPr>
  </w:style>
  <w:style w:type="character" w:customStyle="1" w:styleId="FooterChar">
    <w:name w:val="Footer Char"/>
    <w:basedOn w:val="DefaultParagraphFont"/>
    <w:link w:val="Footer"/>
    <w:uiPriority w:val="99"/>
    <w:rsid w:val="00AC4661"/>
  </w:style>
  <w:style w:type="paragraph" w:styleId="ListParagraph">
    <w:name w:val="List Paragraph"/>
    <w:basedOn w:val="Normal"/>
    <w:uiPriority w:val="34"/>
    <w:qFormat/>
    <w:rsid w:val="00E1686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3399</Words>
  <Characters>19380</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22734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Grant,Ffion swp6722</dc:creator>
  <cp:keywords/>
  <dc:description/>
  <cp:lastModifiedBy>Grant,Ffion swp6722</cp:lastModifiedBy>
  <cp:revision>2</cp:revision>
  <dcterms:created xsi:type="dcterms:W3CDTF">2020-11-16T15:00:00Z</dcterms:created>
  <dcterms:modified xsi:type="dcterms:W3CDTF">2020-11-16T15:00:00Z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03b4173c-4186-4b3c-86db-c20f96daf8ef</vt:lpwstr>
  </property>
  <property fmtid="{D5CDD505-2E9C-101B-9397-08002B2CF9AE}" pid="3" name="Classification">
    <vt:lpwstr>OFFICIAL</vt:lpwstr>
  </property>
  <property fmtid="{D5CDD505-2E9C-101B-9397-08002B2CF9AE}" pid="4" name="Visibility">
    <vt:lpwstr>NOT VISIBLE</vt:lpwstr>
  </property>
</Properties>
</file>