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08B78" w14:textId="685D7CB0" w:rsidR="00B151A8" w:rsidRP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1C3536">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Food &amp; Beverage Operations</w:t>
      </w:r>
    </w:p>
    <w:p w14:paraId="454B6F88" w14:textId="7EE14107" w:rsid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1C3536">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BMIH4002</w:t>
      </w:r>
    </w:p>
    <w:p w14:paraId="48359362" w14:textId="77777777" w:rsid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759081CA" w14:textId="77777777" w:rsid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23C2DB1E" w14:textId="77777777" w:rsid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57CE73DB" w14:textId="77777777" w:rsidR="001C3536" w:rsidRPr="001C3536" w:rsidRDefault="001C3536" w:rsidP="001C3536">
      <w:pPr>
        <w:spacing w:line="360" w:lineRule="auto"/>
        <w:jc w:val="center"/>
        <w:rPr>
          <w:rFonts w:ascii="Arial" w:hAnsi="Arial" w:cs="Arial"/>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6D32F52B" w14:textId="6A65659B" w:rsidR="001C3536" w:rsidRPr="001C3536" w:rsidRDefault="001C3536" w:rsidP="001C3536">
      <w:pPr>
        <w:spacing w:line="360" w:lineRule="auto"/>
        <w:jc w:val="center"/>
        <w:rPr>
          <w:rFonts w:ascii="Arial" w:hAnsi="Arial" w:cs="Arial"/>
          <w:sz w:val="32"/>
          <w:szCs w:val="32"/>
        </w:rPr>
      </w:pPr>
      <w:r w:rsidRPr="001C3536">
        <w:rPr>
          <w:rFonts w:ascii="Arial" w:hAnsi="Arial" w:cs="Arial"/>
          <w:sz w:val="32"/>
          <w:szCs w:val="32"/>
        </w:rPr>
        <w:t>Assignment 1 Student Journal</w:t>
      </w:r>
    </w:p>
    <w:p w14:paraId="142D5F24" w14:textId="10C23579" w:rsidR="001C3536" w:rsidRPr="001C3536" w:rsidRDefault="001C3536" w:rsidP="001C3536">
      <w:pPr>
        <w:spacing w:line="360" w:lineRule="auto"/>
        <w:jc w:val="center"/>
        <w:rPr>
          <w:rFonts w:ascii="Arial" w:hAnsi="Arial" w:cs="Arial"/>
          <w:sz w:val="32"/>
          <w:szCs w:val="32"/>
        </w:rPr>
      </w:pPr>
      <w:r w:rsidRPr="001C3536">
        <w:rPr>
          <w:rFonts w:ascii="Arial" w:hAnsi="Arial" w:cs="Arial"/>
          <w:sz w:val="32"/>
          <w:szCs w:val="32"/>
        </w:rPr>
        <w:t xml:space="preserve">Lecturer </w:t>
      </w:r>
      <w:proofErr w:type="spellStart"/>
      <w:proofErr w:type="gramStart"/>
      <w:r w:rsidRPr="001C3536">
        <w:rPr>
          <w:rFonts w:ascii="Arial" w:hAnsi="Arial" w:cs="Arial"/>
          <w:sz w:val="32"/>
          <w:szCs w:val="32"/>
        </w:rPr>
        <w:t>name:</w:t>
      </w:r>
      <w:r w:rsidR="007357B6">
        <w:rPr>
          <w:rFonts w:ascii="Arial" w:hAnsi="Arial" w:cs="Arial"/>
          <w:sz w:val="32"/>
          <w:szCs w:val="32"/>
        </w:rPr>
        <w:t>Ffion</w:t>
      </w:r>
      <w:proofErr w:type="spellEnd"/>
      <w:proofErr w:type="gramEnd"/>
      <w:r w:rsidR="007357B6">
        <w:rPr>
          <w:rFonts w:ascii="Arial" w:hAnsi="Arial" w:cs="Arial"/>
          <w:sz w:val="32"/>
          <w:szCs w:val="32"/>
        </w:rPr>
        <w:t xml:space="preserve"> </w:t>
      </w:r>
      <w:proofErr w:type="spellStart"/>
      <w:r w:rsidR="007357B6">
        <w:rPr>
          <w:rFonts w:ascii="Arial" w:hAnsi="Arial" w:cs="Arial"/>
          <w:sz w:val="32"/>
          <w:szCs w:val="32"/>
        </w:rPr>
        <w:t>Cumberpatch</w:t>
      </w:r>
      <w:proofErr w:type="spellEnd"/>
    </w:p>
    <w:p w14:paraId="572AF562" w14:textId="34DB5377" w:rsidR="001C3536" w:rsidRPr="001C3536" w:rsidRDefault="001C3536" w:rsidP="001C3536">
      <w:pPr>
        <w:spacing w:line="360" w:lineRule="auto"/>
        <w:jc w:val="center"/>
        <w:rPr>
          <w:rFonts w:ascii="Arial" w:hAnsi="Arial" w:cs="Arial"/>
          <w:sz w:val="32"/>
          <w:szCs w:val="32"/>
        </w:rPr>
      </w:pPr>
      <w:r w:rsidRPr="001C3536">
        <w:rPr>
          <w:rFonts w:ascii="Arial" w:hAnsi="Arial" w:cs="Arial"/>
          <w:sz w:val="32"/>
          <w:szCs w:val="32"/>
        </w:rPr>
        <w:t>Student id:</w:t>
      </w:r>
      <w:r w:rsidR="007357B6">
        <w:rPr>
          <w:rFonts w:ascii="Arial" w:hAnsi="Arial" w:cs="Arial"/>
          <w:sz w:val="32"/>
          <w:szCs w:val="32"/>
        </w:rPr>
        <w:t>2218469</w:t>
      </w:r>
    </w:p>
    <w:p w14:paraId="299842EF" w14:textId="1EA4E07A" w:rsidR="001C3536" w:rsidRPr="001C3536" w:rsidRDefault="001C3536" w:rsidP="001C3536">
      <w:pPr>
        <w:spacing w:line="360" w:lineRule="auto"/>
        <w:jc w:val="center"/>
        <w:rPr>
          <w:rFonts w:ascii="Arial" w:hAnsi="Arial" w:cs="Arial"/>
          <w:sz w:val="32"/>
          <w:szCs w:val="32"/>
        </w:rPr>
      </w:pPr>
      <w:r w:rsidRPr="001C3536">
        <w:rPr>
          <w:rFonts w:ascii="Arial" w:hAnsi="Arial" w:cs="Arial"/>
          <w:sz w:val="32"/>
          <w:szCs w:val="32"/>
        </w:rPr>
        <w:t>Student name:</w:t>
      </w:r>
    </w:p>
    <w:p w14:paraId="7BC6C1A2" w14:textId="6D20AF88" w:rsidR="001C3536" w:rsidRDefault="001C3536" w:rsidP="001C3536">
      <w:pPr>
        <w:spacing w:line="360" w:lineRule="auto"/>
        <w:jc w:val="center"/>
        <w:rPr>
          <w:rFonts w:ascii="Arial" w:hAnsi="Arial" w:cs="Arial"/>
          <w:sz w:val="32"/>
          <w:szCs w:val="32"/>
        </w:rPr>
      </w:pPr>
      <w:r w:rsidRPr="001C3536">
        <w:rPr>
          <w:rFonts w:ascii="Arial" w:hAnsi="Arial" w:cs="Arial"/>
          <w:sz w:val="32"/>
          <w:szCs w:val="32"/>
        </w:rPr>
        <w:t>Word count:</w:t>
      </w:r>
      <w:r w:rsidR="00F0659A">
        <w:rPr>
          <w:rFonts w:ascii="Arial" w:hAnsi="Arial" w:cs="Arial"/>
          <w:sz w:val="32"/>
          <w:szCs w:val="32"/>
        </w:rPr>
        <w:t xml:space="preserve"> 753</w:t>
      </w:r>
    </w:p>
    <w:p w14:paraId="66E5BF52" w14:textId="77777777" w:rsidR="001C3536" w:rsidRDefault="001C3536" w:rsidP="001C3536">
      <w:pPr>
        <w:spacing w:line="360" w:lineRule="auto"/>
        <w:jc w:val="center"/>
        <w:rPr>
          <w:rFonts w:ascii="Arial" w:hAnsi="Arial" w:cs="Arial"/>
          <w:sz w:val="32"/>
          <w:szCs w:val="32"/>
        </w:rPr>
      </w:pPr>
    </w:p>
    <w:p w14:paraId="19BEAA91" w14:textId="77777777" w:rsidR="001C3536" w:rsidRDefault="001C3536" w:rsidP="001C3536">
      <w:pPr>
        <w:spacing w:line="360" w:lineRule="auto"/>
        <w:jc w:val="center"/>
        <w:rPr>
          <w:rFonts w:ascii="Arial" w:hAnsi="Arial" w:cs="Arial"/>
          <w:sz w:val="32"/>
          <w:szCs w:val="32"/>
        </w:rPr>
      </w:pPr>
    </w:p>
    <w:p w14:paraId="6365F69B" w14:textId="77777777" w:rsidR="001C3536" w:rsidRDefault="001C3536" w:rsidP="001C3536">
      <w:pPr>
        <w:spacing w:line="360" w:lineRule="auto"/>
        <w:jc w:val="center"/>
        <w:rPr>
          <w:rFonts w:ascii="Arial" w:hAnsi="Arial" w:cs="Arial"/>
          <w:sz w:val="32"/>
          <w:szCs w:val="32"/>
        </w:rPr>
      </w:pPr>
    </w:p>
    <w:p w14:paraId="2F8F796F" w14:textId="77777777" w:rsidR="001C3536" w:rsidRDefault="001C3536" w:rsidP="001C3536">
      <w:pPr>
        <w:spacing w:line="360" w:lineRule="auto"/>
        <w:jc w:val="center"/>
        <w:rPr>
          <w:rFonts w:ascii="Arial" w:hAnsi="Arial" w:cs="Arial"/>
          <w:sz w:val="32"/>
          <w:szCs w:val="32"/>
        </w:rPr>
      </w:pPr>
    </w:p>
    <w:p w14:paraId="5C5DB5C5" w14:textId="77777777" w:rsidR="001C3536" w:rsidRDefault="001C3536" w:rsidP="001C3536">
      <w:pPr>
        <w:spacing w:line="360" w:lineRule="auto"/>
        <w:jc w:val="center"/>
        <w:rPr>
          <w:rFonts w:ascii="Arial" w:hAnsi="Arial" w:cs="Arial"/>
          <w:sz w:val="32"/>
          <w:szCs w:val="32"/>
        </w:rPr>
      </w:pPr>
    </w:p>
    <w:p w14:paraId="05220CB0" w14:textId="77777777" w:rsidR="001C3536" w:rsidRDefault="001C3536" w:rsidP="001C3536">
      <w:pPr>
        <w:spacing w:line="360" w:lineRule="auto"/>
        <w:jc w:val="center"/>
        <w:rPr>
          <w:rFonts w:ascii="Arial" w:hAnsi="Arial" w:cs="Arial"/>
          <w:sz w:val="32"/>
          <w:szCs w:val="32"/>
        </w:rPr>
      </w:pPr>
    </w:p>
    <w:p w14:paraId="39318E12" w14:textId="77777777" w:rsidR="001C3536" w:rsidRDefault="001C3536" w:rsidP="001C3536">
      <w:pPr>
        <w:spacing w:line="360" w:lineRule="auto"/>
        <w:jc w:val="center"/>
        <w:rPr>
          <w:rFonts w:ascii="Arial" w:hAnsi="Arial" w:cs="Arial"/>
          <w:sz w:val="32"/>
          <w:szCs w:val="32"/>
        </w:rPr>
      </w:pPr>
    </w:p>
    <w:p w14:paraId="2D843DB5" w14:textId="5035D196" w:rsidR="001C3536" w:rsidRPr="0004750D" w:rsidRDefault="001C3536" w:rsidP="001C3536">
      <w:pPr>
        <w:spacing w:line="360" w:lineRule="auto"/>
        <w:jc w:val="center"/>
        <w:rPr>
          <w:rFonts w:ascii="Arial" w:hAnsi="Arial" w:cs="Arial"/>
          <w:b/>
          <w:bCs/>
          <w:sz w:val="24"/>
          <w:szCs w:val="24"/>
        </w:rPr>
      </w:pPr>
      <w:r w:rsidRPr="0004750D">
        <w:rPr>
          <w:rFonts w:ascii="Arial" w:hAnsi="Arial" w:cs="Arial"/>
          <w:b/>
          <w:bCs/>
          <w:sz w:val="24"/>
          <w:szCs w:val="24"/>
        </w:rPr>
        <w:lastRenderedPageBreak/>
        <w:t>Does the required skill set of a Food &amp; Beverage employee change, based on the type of business and the type of service that is offered?</w:t>
      </w:r>
    </w:p>
    <w:p w14:paraId="5F293CE0" w14:textId="77777777" w:rsidR="001C3536" w:rsidRPr="0004750D" w:rsidRDefault="001C3536" w:rsidP="001C3536">
      <w:pPr>
        <w:spacing w:line="360" w:lineRule="auto"/>
        <w:jc w:val="center"/>
        <w:rPr>
          <w:rFonts w:ascii="Arial" w:hAnsi="Arial" w:cs="Arial"/>
          <w:b/>
          <w:bCs/>
          <w:sz w:val="24"/>
          <w:szCs w:val="24"/>
        </w:rPr>
      </w:pPr>
    </w:p>
    <w:p w14:paraId="5E8D9870" w14:textId="6670E8C0" w:rsidR="001C3536" w:rsidRPr="00F0659A" w:rsidRDefault="001C3536"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F0659A">
        <w:rPr>
          <w:rFonts w:ascii="Arial" w:hAnsi="Arial" w:cs="Arial"/>
          <w:sz w:val="24"/>
          <w:szCs w:val="24"/>
        </w:rPr>
        <w:t>There are many kinds of restaurants in the hospitality industry, such as family-owned establishments and upscale establishments. The skills required for workers in this field vary depending on the type of establishment, as well as the level of service that it provides.</w:t>
      </w:r>
      <w:r w:rsidRPr="00F0659A">
        <w:rPr>
          <w:rFonts w:ascii="Arial" w:eastAsia="Times New Roman" w:hAnsi="Arial" w:cs="Arial"/>
          <w:kern w:val="0"/>
          <w:sz w:val="24"/>
          <w:szCs w:val="24"/>
          <w:lang w:eastAsia="en-GB"/>
          <w14:ligatures w14:val="none"/>
        </w:rPr>
        <w:t xml:space="preserve"> The goal of this paper is to explore the various skills that an employee in the food and beverage industry needs based on the type and quality of service that they provide. In order to do this, the journal will assess and differentiate among the roles of a sommelier in a family-style establishment and an upscale one.</w:t>
      </w:r>
    </w:p>
    <w:p w14:paraId="3E3D7928" w14:textId="5D963375" w:rsidR="001C3536" w:rsidRPr="00F0659A" w:rsidRDefault="001C3536"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F0659A">
        <w:rPr>
          <w:rFonts w:ascii="Arial" w:eastAsia="Times New Roman" w:hAnsi="Arial" w:cs="Arial"/>
          <w:kern w:val="0"/>
          <w:sz w:val="24"/>
          <w:szCs w:val="24"/>
          <w:lang w:eastAsia="en-GB"/>
          <w14:ligatures w14:val="none"/>
        </w:rPr>
        <w:t>A sommelier's influence may be diminished at a casual dining restaurant catering to families (Wood, 2013). Sommeliers at casual dining establishments may be responsible for stocking and storing wine, suggesting food and wine pairings, and educating customers about the restaurant's limited wine list (Cousins et al., 2011). A sommelier should know the basics of wines, such as the kind of grapes used, where they come from, and what kinds of foods go well with them (</w:t>
      </w:r>
      <w:proofErr w:type="spellStart"/>
      <w:r w:rsidRPr="00F0659A">
        <w:rPr>
          <w:rFonts w:ascii="Arial" w:eastAsia="Times New Roman" w:hAnsi="Arial" w:cs="Arial"/>
          <w:kern w:val="0"/>
          <w:sz w:val="24"/>
          <w:szCs w:val="24"/>
          <w:lang w:eastAsia="en-GB"/>
          <w14:ligatures w14:val="none"/>
        </w:rPr>
        <w:t>Foskett</w:t>
      </w:r>
      <w:proofErr w:type="spellEnd"/>
      <w:r w:rsidRPr="00F0659A">
        <w:rPr>
          <w:rFonts w:ascii="Arial" w:eastAsia="Times New Roman" w:hAnsi="Arial" w:cs="Arial"/>
          <w:kern w:val="0"/>
          <w:sz w:val="24"/>
          <w:szCs w:val="24"/>
          <w:lang w:eastAsia="en-GB"/>
          <w14:ligatures w14:val="none"/>
        </w:rPr>
        <w:t xml:space="preserve"> et al., 2021). Additionally, sommeliers need to be excellent communicators since they often </w:t>
      </w:r>
      <w:proofErr w:type="gramStart"/>
      <w:r w:rsidRPr="00F0659A">
        <w:rPr>
          <w:rFonts w:ascii="Arial" w:eastAsia="Times New Roman" w:hAnsi="Arial" w:cs="Arial"/>
          <w:kern w:val="0"/>
          <w:sz w:val="24"/>
          <w:szCs w:val="24"/>
          <w:lang w:eastAsia="en-GB"/>
          <w14:ligatures w14:val="none"/>
        </w:rPr>
        <w:t>have to</w:t>
      </w:r>
      <w:proofErr w:type="gramEnd"/>
      <w:r w:rsidRPr="00F0659A">
        <w:rPr>
          <w:rFonts w:ascii="Arial" w:eastAsia="Times New Roman" w:hAnsi="Arial" w:cs="Arial"/>
          <w:kern w:val="0"/>
          <w:sz w:val="24"/>
          <w:szCs w:val="24"/>
          <w:lang w:eastAsia="en-GB"/>
          <w14:ligatures w14:val="none"/>
        </w:rPr>
        <w:t xml:space="preserve"> teach new employees and explain wine menu items to consumers (Brown et al., 2013).</w:t>
      </w:r>
      <w:r w:rsidR="0004750D" w:rsidRPr="00F0659A">
        <w:rPr>
          <w:rFonts w:ascii="Arial" w:eastAsia="Times New Roman" w:hAnsi="Arial" w:cs="Arial"/>
          <w:kern w:val="0"/>
          <w:sz w:val="24"/>
          <w:szCs w:val="24"/>
          <w:lang w:eastAsia="en-GB"/>
          <w14:ligatures w14:val="none"/>
        </w:rPr>
        <w:t xml:space="preserve"> On the other hand, sommeliers have greater responsibility and work harder in themed upscale restaurants (</w:t>
      </w:r>
      <w:proofErr w:type="spellStart"/>
      <w:r w:rsidR="0004750D" w:rsidRPr="00F0659A">
        <w:rPr>
          <w:rFonts w:ascii="Arial" w:eastAsia="Times New Roman" w:hAnsi="Arial" w:cs="Arial"/>
          <w:kern w:val="0"/>
          <w:sz w:val="24"/>
          <w:szCs w:val="24"/>
          <w:lang w:eastAsia="en-GB"/>
          <w14:ligatures w14:val="none"/>
        </w:rPr>
        <w:t>Boussard</w:t>
      </w:r>
      <w:proofErr w:type="spellEnd"/>
      <w:r w:rsidR="0004750D" w:rsidRPr="00F0659A">
        <w:rPr>
          <w:rFonts w:ascii="Arial" w:eastAsia="Times New Roman" w:hAnsi="Arial" w:cs="Arial"/>
          <w:kern w:val="0"/>
          <w:sz w:val="24"/>
          <w:szCs w:val="24"/>
          <w:lang w:eastAsia="en-GB"/>
          <w14:ligatures w14:val="none"/>
        </w:rPr>
        <w:t>, 2021). Sommeliers at fine dining restaurants are required to have extensive wine knowledge (Cousins et al., 2011). This includes familiarity with different wine areas, grape varietals, production techniques, and food pairings. Customer service is another important ability, since sommeliers help diners choose wines that complement their meals and the overall atmosphere of the restaurant (Davis et al., 2018). In addition, they need to keep in touch with wine suppliers, go to wine-related events, and follow the news and developments in the business (Johnston, 2012).</w:t>
      </w:r>
    </w:p>
    <w:p w14:paraId="65BFEA0F" w14:textId="7071D1DA" w:rsidR="0004750D" w:rsidRPr="00F0659A" w:rsidRDefault="0004750D"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F0659A">
        <w:rPr>
          <w:rFonts w:ascii="Arial" w:eastAsia="Times New Roman" w:hAnsi="Arial" w:cs="Arial"/>
          <w:kern w:val="0"/>
          <w:sz w:val="24"/>
          <w:szCs w:val="24"/>
          <w:lang w:eastAsia="en-GB"/>
          <w14:ligatures w14:val="none"/>
        </w:rPr>
        <w:t xml:space="preserve">When comparing the knowledge and experience expected of a sommelier in a family-style diner and a themed premium restaurant, </w:t>
      </w:r>
      <w:proofErr w:type="gramStart"/>
      <w:r w:rsidRPr="00F0659A">
        <w:rPr>
          <w:rFonts w:ascii="Arial" w:eastAsia="Times New Roman" w:hAnsi="Arial" w:cs="Arial"/>
          <w:kern w:val="0"/>
          <w:sz w:val="24"/>
          <w:szCs w:val="24"/>
          <w:lang w:eastAsia="en-GB"/>
          <w14:ligatures w14:val="none"/>
        </w:rPr>
        <w:t>it is clear that the</w:t>
      </w:r>
      <w:proofErr w:type="gramEnd"/>
      <w:r w:rsidRPr="00F0659A">
        <w:rPr>
          <w:rFonts w:ascii="Arial" w:eastAsia="Times New Roman" w:hAnsi="Arial" w:cs="Arial"/>
          <w:kern w:val="0"/>
          <w:sz w:val="24"/>
          <w:szCs w:val="24"/>
          <w:lang w:eastAsia="en-GB"/>
          <w14:ligatures w14:val="none"/>
        </w:rPr>
        <w:t xml:space="preserve"> two need quite different sets of skills (Walker, 2017). While both require an understanding of wine and the ability to communicate effectively, a sommelier in a themed upscale restaurant will </w:t>
      </w:r>
      <w:r w:rsidRPr="00F0659A">
        <w:rPr>
          <w:rFonts w:ascii="Arial" w:eastAsia="Times New Roman" w:hAnsi="Arial" w:cs="Arial"/>
          <w:kern w:val="0"/>
          <w:sz w:val="24"/>
          <w:szCs w:val="24"/>
          <w:lang w:eastAsia="en-GB"/>
          <w14:ligatures w14:val="none"/>
        </w:rPr>
        <w:lastRenderedPageBreak/>
        <w:t>also need an in-depth understanding of wines, excellent customer service skills, and the creativity to make recommendations that fit in with the restaurant's theme. Therefore, skill sets vary depending on the nature of the service provided and the expectations of the target audience (Davis et al., 2018). The goal of a family restaurant is to make everyone feel at home, so the wine list is small, and the food combinations are straightforward. On the other hand, a themed premium restaurant with an extensive wine list and well paired dishes strives to provide an unforgettable dining experience. These differences in service and customer expectations have an indirect effect on the knowledge base and abilities required to run a restaurant's Food &amp; Beverage department.</w:t>
      </w:r>
      <w:r w:rsidRPr="00F0659A">
        <w:rPr>
          <w:rFonts w:ascii="Arial" w:hAnsi="Arial" w:cs="Arial"/>
          <w:sz w:val="24"/>
          <w:szCs w:val="24"/>
        </w:rPr>
        <w:t xml:space="preserve"> </w:t>
      </w:r>
      <w:r w:rsidRPr="00F0659A">
        <w:rPr>
          <w:rFonts w:ascii="Arial" w:eastAsia="Times New Roman" w:hAnsi="Arial" w:cs="Arial"/>
          <w:kern w:val="0"/>
          <w:sz w:val="24"/>
          <w:szCs w:val="24"/>
          <w:lang w:eastAsia="en-GB"/>
          <w14:ligatures w14:val="none"/>
        </w:rPr>
        <w:t>In a family-style restaurant, for example, when the emphasis is on a casual dining experience with a limited wine selection, the sommelier may need to prioritise approachability and the ability to explain wine selections in a basic and easy-to-understand way</w:t>
      </w:r>
      <w:r w:rsidR="00943536" w:rsidRPr="00F0659A">
        <w:rPr>
          <w:rFonts w:ascii="Arial" w:eastAsia="Times New Roman" w:hAnsi="Arial" w:cs="Arial"/>
          <w:kern w:val="0"/>
          <w:sz w:val="24"/>
          <w:szCs w:val="24"/>
          <w:lang w:eastAsia="en-GB"/>
          <w14:ligatures w14:val="none"/>
        </w:rPr>
        <w:t xml:space="preserve"> (</w:t>
      </w:r>
      <w:proofErr w:type="spellStart"/>
      <w:r w:rsidR="00943536" w:rsidRPr="00F0659A">
        <w:rPr>
          <w:rFonts w:ascii="Arial" w:eastAsia="Times New Roman" w:hAnsi="Arial" w:cs="Arial"/>
          <w:kern w:val="0"/>
          <w:sz w:val="24"/>
          <w:szCs w:val="24"/>
          <w:lang w:eastAsia="en-GB"/>
          <w14:ligatures w14:val="none"/>
        </w:rPr>
        <w:t>Zutshi</w:t>
      </w:r>
      <w:proofErr w:type="spellEnd"/>
      <w:r w:rsidR="00943536" w:rsidRPr="00F0659A">
        <w:rPr>
          <w:rFonts w:ascii="Arial" w:eastAsia="Times New Roman" w:hAnsi="Arial" w:cs="Arial"/>
          <w:kern w:val="0"/>
          <w:sz w:val="24"/>
          <w:szCs w:val="24"/>
          <w:lang w:eastAsia="en-GB"/>
          <w14:ligatures w14:val="none"/>
        </w:rPr>
        <w:t>, 2019).</w:t>
      </w:r>
      <w:r w:rsidRPr="00F0659A">
        <w:rPr>
          <w:rFonts w:ascii="Arial" w:eastAsia="Times New Roman" w:hAnsi="Arial" w:cs="Arial"/>
          <w:kern w:val="0"/>
          <w:sz w:val="24"/>
          <w:szCs w:val="24"/>
          <w:lang w:eastAsia="en-GB"/>
          <w14:ligatures w14:val="none"/>
        </w:rPr>
        <w:t xml:space="preserve"> Thus, the sommelier's responsibility is to make customers feel at ease when selecting a wine to complement guests’ meal. On the other hand, a sommelier working in a themed luxury restaurant with an emphasis on a more extensive and sophisticated dining experience, must have a thorough understanding of wines, especially rare and unique vintages</w:t>
      </w:r>
      <w:r w:rsidR="00ED55D8" w:rsidRPr="00F0659A">
        <w:rPr>
          <w:rFonts w:ascii="Arial" w:eastAsia="Times New Roman" w:hAnsi="Arial" w:cs="Arial"/>
          <w:kern w:val="0"/>
          <w:sz w:val="24"/>
          <w:szCs w:val="24"/>
          <w:lang w:eastAsia="en-GB"/>
          <w14:ligatures w14:val="none"/>
        </w:rPr>
        <w:t xml:space="preserve"> (Cousins, 2020). </w:t>
      </w:r>
      <w:r w:rsidRPr="00F0659A">
        <w:rPr>
          <w:rFonts w:ascii="Arial" w:eastAsia="Times New Roman" w:hAnsi="Arial" w:cs="Arial"/>
          <w:kern w:val="0"/>
          <w:sz w:val="24"/>
          <w:szCs w:val="24"/>
          <w:lang w:eastAsia="en-GB"/>
          <w14:ligatures w14:val="none"/>
        </w:rPr>
        <w:t>They must be able to provide personalised suggestions depending on individual interests and the subject of the restaurant. For example, if the premium restaurant has a French theme, the sommelier should be knowledgeable about French wine areas such as Bordeaux and Burgundy and advise wine pairings that mirror the theme while also enhancing the flavours of the food.</w:t>
      </w:r>
    </w:p>
    <w:p w14:paraId="623AF314" w14:textId="52D4F5B1" w:rsidR="0004750D" w:rsidRPr="00F0659A" w:rsidRDefault="0004750D"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F0659A">
        <w:rPr>
          <w:rFonts w:ascii="Arial" w:eastAsia="Times New Roman" w:hAnsi="Arial" w:cs="Arial"/>
          <w:kern w:val="0"/>
          <w:sz w:val="24"/>
          <w:szCs w:val="24"/>
          <w:lang w:eastAsia="en-GB"/>
          <w14:ligatures w14:val="none"/>
        </w:rPr>
        <w:t>To sum up, the sommelier's position in each kind of restaurant influences the total visitor experience and pleasure (</w:t>
      </w:r>
      <w:proofErr w:type="spellStart"/>
      <w:r w:rsidRPr="00F0659A">
        <w:rPr>
          <w:rFonts w:ascii="Arial" w:eastAsia="Times New Roman" w:hAnsi="Arial" w:cs="Arial"/>
          <w:kern w:val="0"/>
          <w:sz w:val="24"/>
          <w:szCs w:val="24"/>
          <w:lang w:eastAsia="en-GB"/>
          <w14:ligatures w14:val="none"/>
        </w:rPr>
        <w:t>Foskett</w:t>
      </w:r>
      <w:proofErr w:type="spellEnd"/>
      <w:r w:rsidRPr="00F0659A">
        <w:rPr>
          <w:rFonts w:ascii="Arial" w:eastAsia="Times New Roman" w:hAnsi="Arial" w:cs="Arial"/>
          <w:kern w:val="0"/>
          <w:sz w:val="24"/>
          <w:szCs w:val="24"/>
          <w:lang w:eastAsia="en-GB"/>
          <w14:ligatures w14:val="none"/>
        </w:rPr>
        <w:t xml:space="preserve"> et al., 2021). The sommelier helps to create a pleasant and accessible ambiance in a family-style restaurant, where visitors may enjoy a relaxed dining experience with simple, but enjoyable wine and food pairings. In a themed premium restaurant, on the other hand, the sommelier plays an important role in upgrading the guest experience by giving a beautifully curated wine selection and expert suggestions that correspond with the restaurant's theme and food offerings</w:t>
      </w:r>
      <w:r w:rsidR="00F0659A">
        <w:rPr>
          <w:rFonts w:ascii="Arial" w:eastAsia="Times New Roman" w:hAnsi="Arial" w:cs="Arial"/>
          <w:kern w:val="0"/>
          <w:sz w:val="24"/>
          <w:szCs w:val="24"/>
          <w:lang w:eastAsia="en-GB"/>
          <w14:ligatures w14:val="none"/>
        </w:rPr>
        <w:t>.</w:t>
      </w:r>
    </w:p>
    <w:p w14:paraId="70066CB4" w14:textId="5FDEEC53" w:rsidR="0004750D" w:rsidRPr="00F0659A" w:rsidRDefault="0004750D"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67DE4C7" w14:textId="77777777" w:rsidR="0004750D" w:rsidRPr="00F0659A" w:rsidRDefault="0004750D"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DE056C0" w14:textId="47204BCF" w:rsidR="0004750D" w:rsidRPr="00F0659A" w:rsidRDefault="0004750D" w:rsidP="00F0659A">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F0659A">
        <w:rPr>
          <w:rFonts w:ascii="Arial" w:eastAsia="Times New Roman" w:hAnsi="Arial" w:cs="Arial"/>
          <w:b/>
          <w:bCs/>
          <w:kern w:val="0"/>
          <w:sz w:val="24"/>
          <w:szCs w:val="24"/>
          <w:lang w:eastAsia="en-GB"/>
          <w14:ligatures w14:val="none"/>
        </w:rPr>
        <w:lastRenderedPageBreak/>
        <w:t>References</w:t>
      </w:r>
    </w:p>
    <w:p w14:paraId="22ACAD7A" w14:textId="618BD584" w:rsidR="0004750D" w:rsidRPr="00F0659A" w:rsidRDefault="00943536" w:rsidP="00F0659A">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F0659A">
        <w:rPr>
          <w:rFonts w:ascii="Arial" w:eastAsia="Times New Roman" w:hAnsi="Arial" w:cs="Arial"/>
          <w:kern w:val="0"/>
          <w:sz w:val="24"/>
          <w:szCs w:val="24"/>
          <w:lang w:eastAsia="en-GB"/>
          <w14:ligatures w14:val="none"/>
        </w:rPr>
        <w:t>Boussard</w:t>
      </w:r>
      <w:proofErr w:type="spellEnd"/>
      <w:r w:rsidRPr="00F0659A">
        <w:rPr>
          <w:rFonts w:ascii="Arial" w:eastAsia="Times New Roman" w:hAnsi="Arial" w:cs="Arial"/>
          <w:kern w:val="0"/>
          <w:sz w:val="24"/>
          <w:szCs w:val="24"/>
          <w:lang w:eastAsia="en-GB"/>
          <w14:ligatures w14:val="none"/>
        </w:rPr>
        <w:t>, S. (2021) Food and Beverage Management in the Luxury Hotel Industry. New York: Business Expert Press.</w:t>
      </w:r>
    </w:p>
    <w:p w14:paraId="5BB87134" w14:textId="63AFD13A" w:rsidR="0004750D" w:rsidRPr="00F0659A" w:rsidRDefault="000B4AE8"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 xml:space="preserve">Brown, D. R., </w:t>
      </w:r>
      <w:proofErr w:type="spellStart"/>
      <w:r w:rsidRPr="00F0659A">
        <w:rPr>
          <w:rFonts w:ascii="Arial" w:hAnsi="Arial" w:cs="Arial"/>
          <w:sz w:val="24"/>
          <w:szCs w:val="24"/>
        </w:rPr>
        <w:t>TotalBoox</w:t>
      </w:r>
      <w:proofErr w:type="spellEnd"/>
      <w:r w:rsidRPr="00F0659A">
        <w:rPr>
          <w:rFonts w:ascii="Arial" w:hAnsi="Arial" w:cs="Arial"/>
          <w:sz w:val="24"/>
          <w:szCs w:val="24"/>
        </w:rPr>
        <w:t xml:space="preserve"> and TBX (2013) The Restaurant Manager’s </w:t>
      </w:r>
      <w:proofErr w:type="gramStart"/>
      <w:r w:rsidRPr="00F0659A">
        <w:rPr>
          <w:rFonts w:ascii="Arial" w:hAnsi="Arial" w:cs="Arial"/>
          <w:sz w:val="24"/>
          <w:szCs w:val="24"/>
        </w:rPr>
        <w:t>Handbook :</w:t>
      </w:r>
      <w:proofErr w:type="gramEnd"/>
      <w:r w:rsidRPr="00F0659A">
        <w:rPr>
          <w:rFonts w:ascii="Arial" w:hAnsi="Arial" w:cs="Arial"/>
          <w:sz w:val="24"/>
          <w:szCs w:val="24"/>
        </w:rPr>
        <w:t xml:space="preserve"> How to Set Up, Operate, and Manage a Financially Successful Food Service Operation. 4th Edition. Atlantic Publishing Group</w:t>
      </w:r>
    </w:p>
    <w:p w14:paraId="0153C95A" w14:textId="2763FCA3" w:rsidR="00A23910" w:rsidRPr="00F0659A" w:rsidRDefault="00A23910"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 xml:space="preserve">Cousins, J. (2020) Food and beverage service. 9 </w:t>
      </w:r>
      <w:proofErr w:type="spellStart"/>
      <w:r w:rsidRPr="00F0659A">
        <w:rPr>
          <w:rFonts w:ascii="Arial" w:hAnsi="Arial" w:cs="Arial"/>
          <w:sz w:val="24"/>
          <w:szCs w:val="24"/>
        </w:rPr>
        <w:t>th</w:t>
      </w:r>
      <w:proofErr w:type="spellEnd"/>
      <w:r w:rsidRPr="00F0659A">
        <w:rPr>
          <w:rFonts w:ascii="Arial" w:hAnsi="Arial" w:cs="Arial"/>
          <w:sz w:val="24"/>
          <w:szCs w:val="24"/>
        </w:rPr>
        <w:t xml:space="preserve"> ed. London: Hodder Education Group.</w:t>
      </w:r>
    </w:p>
    <w:p w14:paraId="1A9E5A1B" w14:textId="5A7AD5F0" w:rsidR="00B65975" w:rsidRPr="00F0659A" w:rsidRDefault="00B65975"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 xml:space="preserve">Cousins et al. (2011) Food and beverage management: For the hospitality, tourism and event industries. 3rd </w:t>
      </w:r>
      <w:proofErr w:type="spellStart"/>
      <w:r w:rsidRPr="00F0659A">
        <w:rPr>
          <w:rFonts w:ascii="Arial" w:hAnsi="Arial" w:cs="Arial"/>
          <w:sz w:val="24"/>
          <w:szCs w:val="24"/>
        </w:rPr>
        <w:t>edn</w:t>
      </w:r>
      <w:proofErr w:type="spellEnd"/>
      <w:r w:rsidRPr="00F0659A">
        <w:rPr>
          <w:rFonts w:ascii="Arial" w:hAnsi="Arial" w:cs="Arial"/>
          <w:sz w:val="24"/>
          <w:szCs w:val="24"/>
        </w:rPr>
        <w:t>. Oxford: Goodfellow</w:t>
      </w:r>
    </w:p>
    <w:p w14:paraId="50209FD5" w14:textId="680DC98F" w:rsidR="00A23910" w:rsidRPr="00F0659A" w:rsidRDefault="00A23910"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 xml:space="preserve">Davis, B et al. (2018) Food and Beverage Management. 6 </w:t>
      </w:r>
      <w:proofErr w:type="spellStart"/>
      <w:r w:rsidRPr="00F0659A">
        <w:rPr>
          <w:rFonts w:ascii="Arial" w:hAnsi="Arial" w:cs="Arial"/>
          <w:sz w:val="24"/>
          <w:szCs w:val="24"/>
        </w:rPr>
        <w:t>edn</w:t>
      </w:r>
      <w:proofErr w:type="spellEnd"/>
      <w:r w:rsidRPr="00F0659A">
        <w:rPr>
          <w:rFonts w:ascii="Arial" w:hAnsi="Arial" w:cs="Arial"/>
          <w:sz w:val="24"/>
          <w:szCs w:val="24"/>
        </w:rPr>
        <w:t xml:space="preserve"> London: Routledge</w:t>
      </w:r>
    </w:p>
    <w:p w14:paraId="6D631225" w14:textId="672985B5" w:rsidR="00A23910" w:rsidRPr="00F0659A" w:rsidRDefault="00E63E4A" w:rsidP="00F0659A">
      <w:pPr>
        <w:spacing w:before="100" w:beforeAutospacing="1" w:after="100" w:afterAutospacing="1" w:line="360" w:lineRule="auto"/>
        <w:jc w:val="both"/>
        <w:rPr>
          <w:rFonts w:ascii="Arial" w:hAnsi="Arial" w:cs="Arial"/>
          <w:sz w:val="24"/>
          <w:szCs w:val="24"/>
        </w:rPr>
      </w:pPr>
      <w:proofErr w:type="spellStart"/>
      <w:r w:rsidRPr="00F0659A">
        <w:rPr>
          <w:rFonts w:ascii="Arial" w:hAnsi="Arial" w:cs="Arial"/>
          <w:sz w:val="24"/>
          <w:szCs w:val="24"/>
        </w:rPr>
        <w:t>Foskett</w:t>
      </w:r>
      <w:proofErr w:type="spellEnd"/>
      <w:r w:rsidRPr="00F0659A">
        <w:rPr>
          <w:rFonts w:ascii="Arial" w:hAnsi="Arial" w:cs="Arial"/>
          <w:sz w:val="24"/>
          <w:szCs w:val="24"/>
        </w:rPr>
        <w:t>, D. et al. (2021) The Theory of Hospitality and Catering. 14th Edition. London: Hodder Education Group.</w:t>
      </w:r>
    </w:p>
    <w:p w14:paraId="02DABF44" w14:textId="2150CF55" w:rsidR="00E63E4A" w:rsidRPr="00F0659A" w:rsidRDefault="00E63E4A"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 xml:space="preserve">Johnston, R. (2012) Service operations </w:t>
      </w:r>
      <w:proofErr w:type="gramStart"/>
      <w:r w:rsidRPr="00F0659A">
        <w:rPr>
          <w:rFonts w:ascii="Arial" w:hAnsi="Arial" w:cs="Arial"/>
          <w:sz w:val="24"/>
          <w:szCs w:val="24"/>
        </w:rPr>
        <w:t>management :</w:t>
      </w:r>
      <w:proofErr w:type="gramEnd"/>
      <w:r w:rsidRPr="00F0659A">
        <w:rPr>
          <w:rFonts w:ascii="Arial" w:hAnsi="Arial" w:cs="Arial"/>
          <w:sz w:val="24"/>
          <w:szCs w:val="24"/>
        </w:rPr>
        <w:t xml:space="preserve"> improving service delivery. 4th ed. Harlow, England: Pearson.</w:t>
      </w:r>
    </w:p>
    <w:p w14:paraId="3FED1C90" w14:textId="77777777" w:rsidR="00D759E7" w:rsidRPr="00F0659A" w:rsidRDefault="00D759E7"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Walker, J (2017) Introduction to Hospitality. Harlow: Pearson Education Limited.</w:t>
      </w:r>
    </w:p>
    <w:p w14:paraId="3DBB13E7" w14:textId="066D89D2" w:rsidR="00E63E4A" w:rsidRPr="00F0659A" w:rsidRDefault="00D759E7" w:rsidP="00F0659A">
      <w:pPr>
        <w:spacing w:before="100" w:beforeAutospacing="1" w:after="100" w:afterAutospacing="1" w:line="360" w:lineRule="auto"/>
        <w:jc w:val="both"/>
        <w:rPr>
          <w:rFonts w:ascii="Arial" w:hAnsi="Arial" w:cs="Arial"/>
          <w:sz w:val="24"/>
          <w:szCs w:val="24"/>
        </w:rPr>
      </w:pPr>
      <w:r w:rsidRPr="00F0659A">
        <w:rPr>
          <w:rFonts w:ascii="Arial" w:hAnsi="Arial" w:cs="Arial"/>
          <w:sz w:val="24"/>
          <w:szCs w:val="24"/>
        </w:rPr>
        <w:t>Wood, R. (2013) Key Concepts in Hospitality Management. London: Sage</w:t>
      </w:r>
    </w:p>
    <w:p w14:paraId="12889D98" w14:textId="75E63AAE" w:rsidR="00B65975" w:rsidRPr="00F0659A" w:rsidRDefault="002D4A12" w:rsidP="00F0659A">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roofErr w:type="spellStart"/>
      <w:r w:rsidRPr="00F0659A">
        <w:rPr>
          <w:rFonts w:ascii="Arial" w:hAnsi="Arial" w:cs="Arial"/>
          <w:sz w:val="24"/>
          <w:szCs w:val="24"/>
        </w:rPr>
        <w:t>Zutshi</w:t>
      </w:r>
      <w:proofErr w:type="spellEnd"/>
      <w:r w:rsidRPr="00F0659A">
        <w:rPr>
          <w:rFonts w:ascii="Arial" w:hAnsi="Arial" w:cs="Arial"/>
          <w:sz w:val="24"/>
          <w:szCs w:val="24"/>
        </w:rPr>
        <w:t>, A. (2019) ‘How to develop well-informed and assured teams to embed food safety compliance in the UK catering and hospitality industry’, Perspectives in Public Health, 139(6), pp. 294–</w:t>
      </w:r>
      <w:proofErr w:type="gramStart"/>
      <w:r w:rsidRPr="00F0659A">
        <w:rPr>
          <w:rFonts w:ascii="Arial" w:hAnsi="Arial" w:cs="Arial"/>
          <w:sz w:val="24"/>
          <w:szCs w:val="24"/>
        </w:rPr>
        <w:t>295</w:t>
      </w:r>
      <w:proofErr w:type="gramEnd"/>
    </w:p>
    <w:p w14:paraId="4F799CDF" w14:textId="09947BE0" w:rsidR="001C3536" w:rsidRPr="00F0659A" w:rsidRDefault="001C3536" w:rsidP="00F0659A">
      <w:pPr>
        <w:spacing w:line="360" w:lineRule="auto"/>
        <w:jc w:val="both"/>
        <w:rPr>
          <w:rFonts w:ascii="Arial" w:hAnsi="Arial" w:cs="Arial"/>
          <w:b/>
          <w:bCs/>
          <w:sz w:val="24"/>
          <w:szCs w:val="24"/>
        </w:rPr>
      </w:pPr>
    </w:p>
    <w:sectPr w:rsidR="001C3536" w:rsidRPr="00F0659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3599D" w14:textId="77777777" w:rsidR="009753E6" w:rsidRDefault="009753E6" w:rsidP="001C3536">
      <w:pPr>
        <w:spacing w:after="0" w:line="240" w:lineRule="auto"/>
      </w:pPr>
      <w:r>
        <w:separator/>
      </w:r>
    </w:p>
  </w:endnote>
  <w:endnote w:type="continuationSeparator" w:id="0">
    <w:p w14:paraId="30F435A3" w14:textId="77777777" w:rsidR="009753E6" w:rsidRDefault="009753E6" w:rsidP="001C3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048863"/>
      <w:docPartObj>
        <w:docPartGallery w:val="Page Numbers (Bottom of Page)"/>
        <w:docPartUnique/>
      </w:docPartObj>
    </w:sdtPr>
    <w:sdtContent>
      <w:sdt>
        <w:sdtPr>
          <w:id w:val="1728636285"/>
          <w:docPartObj>
            <w:docPartGallery w:val="Page Numbers (Top of Page)"/>
            <w:docPartUnique/>
          </w:docPartObj>
        </w:sdtPr>
        <w:sdtContent>
          <w:p w14:paraId="25C59DEB" w14:textId="4D9B415E" w:rsidR="001C3536" w:rsidRDefault="001C353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D484D0C" w14:textId="77777777" w:rsidR="001C3536" w:rsidRDefault="001C3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BF20F" w14:textId="77777777" w:rsidR="009753E6" w:rsidRDefault="009753E6" w:rsidP="001C3536">
      <w:pPr>
        <w:spacing w:after="0" w:line="240" w:lineRule="auto"/>
      </w:pPr>
      <w:r>
        <w:separator/>
      </w:r>
    </w:p>
  </w:footnote>
  <w:footnote w:type="continuationSeparator" w:id="0">
    <w:p w14:paraId="04F2811C" w14:textId="77777777" w:rsidR="009753E6" w:rsidRDefault="009753E6" w:rsidP="001C35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36"/>
    <w:rsid w:val="0004750D"/>
    <w:rsid w:val="000B4AE8"/>
    <w:rsid w:val="001C3536"/>
    <w:rsid w:val="002D4A12"/>
    <w:rsid w:val="003B264B"/>
    <w:rsid w:val="007357B6"/>
    <w:rsid w:val="00943536"/>
    <w:rsid w:val="009753E6"/>
    <w:rsid w:val="00A23910"/>
    <w:rsid w:val="00B151A8"/>
    <w:rsid w:val="00B65975"/>
    <w:rsid w:val="00D759E7"/>
    <w:rsid w:val="00E63E4A"/>
    <w:rsid w:val="00ED55D8"/>
    <w:rsid w:val="00F0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AC30"/>
  <w15:chartTrackingRefBased/>
  <w15:docId w15:val="{39FA54B3-C348-435E-B8C3-A5588516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5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536"/>
  </w:style>
  <w:style w:type="paragraph" w:styleId="Footer">
    <w:name w:val="footer"/>
    <w:basedOn w:val="Normal"/>
    <w:link w:val="FooterChar"/>
    <w:uiPriority w:val="99"/>
    <w:unhideWhenUsed/>
    <w:rsid w:val="001C35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37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caradan</cp:lastModifiedBy>
  <cp:revision>14</cp:revision>
  <dcterms:created xsi:type="dcterms:W3CDTF">2023-05-11T20:35:00Z</dcterms:created>
  <dcterms:modified xsi:type="dcterms:W3CDTF">2023-05-17T09:40:00Z</dcterms:modified>
</cp:coreProperties>
</file>