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B3841" w:rsidRPr="005837C0" w:rsidRDefault="005837C0" w:rsidP="005837C0">
      <w:pPr>
        <w:jc w:val="center"/>
        <w:rPr>
          <w:b/>
          <w:u w:val="single"/>
        </w:rPr>
      </w:pPr>
      <w:r w:rsidRPr="005837C0">
        <w:rPr>
          <w:b/>
          <w:u w:val="single"/>
        </w:rPr>
        <w:t>Dissertation proposal</w:t>
      </w:r>
    </w:p>
    <w:p w:rsidR="005837C0" w:rsidRDefault="005837C0" w:rsidP="005837C0">
      <w:pPr>
        <w:jc w:val="center"/>
      </w:pPr>
    </w:p>
    <w:p w:rsidR="005478AC" w:rsidRDefault="005478AC" w:rsidP="005478AC">
      <w:r>
        <w:t xml:space="preserve">For my Dissertation, I propose to explore the homosexual influences on Men’s fashion and how the effeminate styles of dress choices have influenced the fashion trends within both the gay subculture but also the heterosexual society. In order to do this I am going to explore and analyse my three chosen Keywords that link to my practise: Androgyny, fashion and Subculture, whilst also looking at theorists that are related to my chosen topics of study, in order to full analyse and answer the question of my dissertation.  </w:t>
      </w:r>
    </w:p>
    <w:p w:rsidR="005837C0" w:rsidRDefault="005837C0" w:rsidP="005837C0">
      <w:pPr>
        <w:jc w:val="center"/>
      </w:pPr>
    </w:p>
    <w:p w:rsidR="00EC1279" w:rsidRDefault="00EC1279" w:rsidP="005837C0">
      <w:pPr>
        <w:rPr>
          <w:b/>
          <w:u w:val="single"/>
        </w:rPr>
      </w:pPr>
      <w:r>
        <w:rPr>
          <w:b/>
          <w:u w:val="single"/>
        </w:rPr>
        <w:t>Subculture</w:t>
      </w:r>
    </w:p>
    <w:p w:rsidR="00EF1384" w:rsidRDefault="00EF1384" w:rsidP="005837C0">
      <w:pPr>
        <w:rPr>
          <w:b/>
          <w:u w:val="single"/>
        </w:rPr>
      </w:pPr>
    </w:p>
    <w:p w:rsidR="00FF4ED4" w:rsidRPr="00C3443D" w:rsidRDefault="00EF1384" w:rsidP="005837C0">
      <w:r>
        <w:t>My first keyword that I</w:t>
      </w:r>
      <w:r w:rsidR="00C57EDE">
        <w:t xml:space="preserve"> am going to Explore</w:t>
      </w:r>
      <w:r>
        <w:t xml:space="preserve"> is Subculture.  The word subculture is a reference to a group in society that has identifiable reason for being or a set belief that sets them outside the main or dominant culture, the hegemony, or </w:t>
      </w:r>
      <w:r w:rsidR="003E4627">
        <w:t xml:space="preserve">better known as </w:t>
      </w:r>
      <w:r>
        <w:t xml:space="preserve">the heterosexual community. </w:t>
      </w:r>
      <w:r w:rsidR="00D96513">
        <w:rPr>
          <w:b/>
        </w:rPr>
        <w:t>{Gelder &amp; Thornton</w:t>
      </w:r>
      <w:r w:rsidRPr="00EF1384">
        <w:rPr>
          <w:b/>
        </w:rPr>
        <w:t xml:space="preserve"> (1996)</w:t>
      </w:r>
      <w:r w:rsidR="00C3443D">
        <w:rPr>
          <w:b/>
        </w:rPr>
        <w:t>}</w:t>
      </w:r>
      <w:r w:rsidR="00C3443D">
        <w:t>.</w:t>
      </w:r>
      <w:r w:rsidR="00C3443D">
        <w:rPr>
          <w:b/>
        </w:rPr>
        <w:t xml:space="preserve"> I</w:t>
      </w:r>
      <w:r w:rsidR="00C3443D">
        <w:t xml:space="preserve">n his book “the meaning of Style”, Hebdige emphasises that subculture “As in genets novels, this process begins with a crime against the natural order, though in this case the deviation may seem slight indeed – the cultivation of a quiff, the acquisition of a scooter or a record or a certain type of suit. But it ends in the construction of a style, in a gesture of defiance or contempt, in a smile or a sneer. It signals a refusal” </w:t>
      </w:r>
      <w:r w:rsidR="00C3443D" w:rsidRPr="00C3443D">
        <w:rPr>
          <w:b/>
        </w:rPr>
        <w:t xml:space="preserve">{Hebdige (1979:3)}. </w:t>
      </w:r>
      <w:r w:rsidR="00C3443D">
        <w:rPr>
          <w:b/>
        </w:rPr>
        <w:t xml:space="preserve"> </w:t>
      </w:r>
      <w:r w:rsidR="00C3443D">
        <w:t xml:space="preserve">This is very in depth research that emphasises that the homosexual subculture was not necessarily accepted by society until the 60’s, which meant that effeminate dress styles in public view was illegal and therefore could end up you being imprisoned. </w:t>
      </w:r>
      <w:r w:rsidR="00282D35">
        <w:t xml:space="preserve"> This also gives an insight that homosexual men and women were not really treated respectively during the early 20</w:t>
      </w:r>
      <w:r w:rsidR="00282D35" w:rsidRPr="00282D35">
        <w:rPr>
          <w:vertAlign w:val="superscript"/>
        </w:rPr>
        <w:t>th</w:t>
      </w:r>
      <w:r w:rsidR="00282D35">
        <w:t xml:space="preserve"> century, therefore made them challenge the laws in order to display the homosexual identity to the heterosexual society</w:t>
      </w:r>
      <w:r w:rsidR="00B70909">
        <w:t>, without being discriminated.  In his writing, Hebdige focuses on the youths of the subculture and how they grew into the gay scene by challenging their sexuality through the adoption of style, but also talks about how they stylised the future of “queer fashion” in the cultural scene such as the teddy boys, Mods, Skinheads and punks. This is valuable research as it underlines how trends from the past have influenced men’s fashion of today.</w:t>
      </w:r>
    </w:p>
    <w:p w:rsidR="00F65D7A" w:rsidRDefault="001471C5" w:rsidP="005837C0">
      <w:pPr>
        <w:rPr>
          <w:b/>
        </w:rPr>
      </w:pPr>
      <w:r>
        <w:t xml:space="preserve">In the gay subculture, various strategies were developed by gay men to “manage” their identities in worlds where they were seen as “immoral and ill, pathetic and dangerous”. </w:t>
      </w:r>
      <w:r w:rsidR="00D96513">
        <w:rPr>
          <w:b/>
        </w:rPr>
        <w:t xml:space="preserve">{Pearce, </w:t>
      </w:r>
      <w:r>
        <w:rPr>
          <w:b/>
        </w:rPr>
        <w:t>(1973</w:t>
      </w:r>
      <w:r w:rsidR="00D96513">
        <w:rPr>
          <w:b/>
        </w:rPr>
        <w:t>:32</w:t>
      </w:r>
      <w:r>
        <w:rPr>
          <w:b/>
        </w:rPr>
        <w:t>)</w:t>
      </w:r>
      <w:r w:rsidR="00D96513">
        <w:rPr>
          <w:b/>
        </w:rPr>
        <w:t>)</w:t>
      </w:r>
      <w:r w:rsidR="00F65D7A">
        <w:t>. These were reflected in behaviour, demeanour and, most importantly the way men dress.  Sociologist Martin P. Levine has identified 3 such strategies: Passing, Minstrelization and Capitulation.</w:t>
      </w:r>
      <w:r>
        <w:rPr>
          <w:b/>
        </w:rPr>
        <w:t xml:space="preserve"> </w:t>
      </w:r>
    </w:p>
    <w:p w:rsidR="00F65D7A" w:rsidRDefault="00F65D7A" w:rsidP="005837C0">
      <w:pPr>
        <w:rPr>
          <w:b/>
        </w:rPr>
      </w:pPr>
    </w:p>
    <w:p w:rsidR="00EF1384" w:rsidRDefault="00F65D7A" w:rsidP="00F65D7A">
      <w:pPr>
        <w:pStyle w:val="ListParagraph"/>
        <w:numPr>
          <w:ilvl w:val="0"/>
          <w:numId w:val="3"/>
        </w:numPr>
      </w:pPr>
      <w:r w:rsidRPr="00F65D7A">
        <w:rPr>
          <w:b/>
        </w:rPr>
        <w:t>Passing</w:t>
      </w:r>
      <w:r>
        <w:t xml:space="preserve">- Involved dressing and behaving in such a way as to become “invisible” as a gay man, to be able to negotiate the wider world </w:t>
      </w:r>
      <w:r w:rsidR="001F5F08">
        <w:t>under a disguise of heterosexuality.</w:t>
      </w:r>
    </w:p>
    <w:p w:rsidR="001F5F08" w:rsidRDefault="001F5F08" w:rsidP="00F65D7A">
      <w:pPr>
        <w:pStyle w:val="ListParagraph"/>
        <w:numPr>
          <w:ilvl w:val="0"/>
          <w:numId w:val="3"/>
        </w:numPr>
      </w:pPr>
      <w:r>
        <w:rPr>
          <w:b/>
        </w:rPr>
        <w:t>Minstrelization</w:t>
      </w:r>
      <w:r w:rsidRPr="001F5F08">
        <w:rPr>
          <w:b/>
        </w:rPr>
        <w:t>-</w:t>
      </w:r>
      <w:r>
        <w:rPr>
          <w:b/>
        </w:rPr>
        <w:t xml:space="preserve"> </w:t>
      </w:r>
      <w:r>
        <w:t>A</w:t>
      </w:r>
      <w:r w:rsidRPr="001F5F08">
        <w:t>doption</w:t>
      </w:r>
      <w:r>
        <w:t xml:space="preserve"> of cross-gendered behaviour through feminine dress, behaviour and speech, described by many (observers and participants; both gay and straight) as “camp”.</w:t>
      </w:r>
    </w:p>
    <w:p w:rsidR="001F5F08" w:rsidRDefault="001F5F08" w:rsidP="005837C0">
      <w:pPr>
        <w:pStyle w:val="ListParagraph"/>
        <w:numPr>
          <w:ilvl w:val="0"/>
          <w:numId w:val="3"/>
        </w:numPr>
      </w:pPr>
      <w:r>
        <w:rPr>
          <w:b/>
        </w:rPr>
        <w:t>Capitulation -</w:t>
      </w:r>
      <w:r w:rsidR="00103294">
        <w:t xml:space="preserve"> A</w:t>
      </w:r>
      <w:r>
        <w:t xml:space="preserve">rose from the sense of guilt and </w:t>
      </w:r>
      <w:r w:rsidR="00103294">
        <w:t>self-hatred</w:t>
      </w:r>
      <w:r>
        <w:t xml:space="preserve"> about one’s homosexuality</w:t>
      </w:r>
      <w:r w:rsidR="00103294">
        <w:t xml:space="preserve"> resulting from the belief that homosexuality was a form of gender defiance. </w:t>
      </w:r>
      <w:r w:rsidR="00103294" w:rsidRPr="00103294">
        <w:rPr>
          <w:b/>
        </w:rPr>
        <w:t>{</w:t>
      </w:r>
      <w:r w:rsidR="00103294">
        <w:rPr>
          <w:b/>
        </w:rPr>
        <w:t>Levine, (1998</w:t>
      </w:r>
      <w:r w:rsidR="00D96513">
        <w:rPr>
          <w:b/>
        </w:rPr>
        <w:t>:51</w:t>
      </w:r>
      <w:r w:rsidR="00103294">
        <w:rPr>
          <w:b/>
        </w:rPr>
        <w:t>)}.</w:t>
      </w:r>
      <w:r w:rsidRPr="001F5F08">
        <w:t xml:space="preserve"> </w:t>
      </w:r>
      <w:r w:rsidR="00B447C8">
        <w:t xml:space="preserve"> </w:t>
      </w:r>
    </w:p>
    <w:p w:rsidR="00B447C8" w:rsidRDefault="00994D58" w:rsidP="00B447C8">
      <w:r>
        <w:lastRenderedPageBreak/>
        <w:t xml:space="preserve">This research is key to my research as it </w:t>
      </w:r>
      <w:r w:rsidR="00143418">
        <w:t>paints</w:t>
      </w:r>
      <w:r>
        <w:t xml:space="preserve"> a picture </w:t>
      </w:r>
      <w:r w:rsidR="00143418">
        <w:t>on how men illustrated their homosexuality to the heterosexual society</w:t>
      </w:r>
      <w:r w:rsidR="00DE3C5E">
        <w:t>, but also shows how men portrayed their queer nature to the society, inspiring other gay men to emphasise their homosexuality through dress (which later set the trends)</w:t>
      </w:r>
      <w:r w:rsidR="00143418">
        <w:t xml:space="preserve">. </w:t>
      </w:r>
      <w:r w:rsidR="00B447C8">
        <w:t>In the gay Subculture, many gay Men had “developed a semiotics for identification and/or invisibility within the larger culture, as well as communication among themselves. Since the 19</w:t>
      </w:r>
      <w:r w:rsidR="00B447C8" w:rsidRPr="00B447C8">
        <w:rPr>
          <w:vertAlign w:val="superscript"/>
        </w:rPr>
        <w:t>th</w:t>
      </w:r>
      <w:r w:rsidR="00B447C8">
        <w:t xml:space="preserve"> Century, gay men had imbued certain elements of dress with symbolism, using them as means of attracting other men, or revealing their secret identity to one another”. </w:t>
      </w:r>
      <w:r w:rsidR="00B447C8" w:rsidRPr="00B447C8">
        <w:rPr>
          <w:b/>
        </w:rPr>
        <w:t>{</w:t>
      </w:r>
      <w:r w:rsidR="00D96513">
        <w:rPr>
          <w:b/>
        </w:rPr>
        <w:t>Fischer (</w:t>
      </w:r>
      <w:r w:rsidR="00B447C8">
        <w:rPr>
          <w:b/>
        </w:rPr>
        <w:t>1977</w:t>
      </w:r>
      <w:r w:rsidR="00D96513">
        <w:rPr>
          <w:b/>
        </w:rPr>
        <w:t xml:space="preserve">:22)}. </w:t>
      </w:r>
      <w:r w:rsidR="00B447C8">
        <w:t xml:space="preserve">Oscar Wilde and his circle of Aesthetes wore green carnations as an indicator of their sexuality. </w:t>
      </w:r>
      <w:r w:rsidR="00050A43">
        <w:t xml:space="preserve"> </w:t>
      </w:r>
      <w:r w:rsidR="00015F97">
        <w:t>Dick</w:t>
      </w:r>
      <w:r w:rsidR="00C66125">
        <w:t xml:space="preserve"> hebdige also states,</w:t>
      </w:r>
      <w:r w:rsidR="00015F97">
        <w:t xml:space="preserve"> </w:t>
      </w:r>
      <w:r w:rsidR="00C66125">
        <w:t xml:space="preserve">“As the screaming queen was the most visible manifestation of homosexuality, dressing up in this way was, for many young gay men, a means of identification, of becoming part of a recognisable group” </w:t>
      </w:r>
      <w:r w:rsidR="00C66125" w:rsidRPr="00C66125">
        <w:rPr>
          <w:b/>
        </w:rPr>
        <w:t>{Hebdige (1979:85}</w:t>
      </w:r>
      <w:r w:rsidR="00C66125" w:rsidRPr="00C66125">
        <w:t>.</w:t>
      </w:r>
      <w:r w:rsidR="00C66125">
        <w:t xml:space="preserve"> This is a great in depth piece of information as it shows that semiotics and the idea of identification in the subculture was key to attract other homosexuals and not to expose their identity to the heterosexual society- in other words the semiotics in the gay subculture was basically a code that only other homosexuals will know.     </w:t>
      </w:r>
    </w:p>
    <w:p w:rsidR="00050A43" w:rsidRPr="00045D53" w:rsidRDefault="00050A43" w:rsidP="00B447C8">
      <w:r>
        <w:t xml:space="preserve">   In Today’s society, since the 60’s, the adoption of the Queer dress styles by heterosexual men marks the importance and the relevance of the gay subculture: “Gay styles actually sets trends, its what people take fashion from. Apart form a few things gay culture is basically what becomes straight culture </w:t>
      </w:r>
      <w:r w:rsidR="00045D53">
        <w:t xml:space="preserve">6 months later”. </w:t>
      </w:r>
      <w:r w:rsidR="00045D53" w:rsidRPr="00045D53">
        <w:rPr>
          <w:b/>
        </w:rPr>
        <w:t>{Sontag (1969</w:t>
      </w:r>
      <w:r w:rsidR="00D96513">
        <w:rPr>
          <w:b/>
        </w:rPr>
        <w:t>:291-2</w:t>
      </w:r>
      <w:r w:rsidR="00045D53" w:rsidRPr="00045D53">
        <w:rPr>
          <w:b/>
        </w:rPr>
        <w:t>)}</w:t>
      </w:r>
      <w:r w:rsidR="00D96513">
        <w:rPr>
          <w:b/>
        </w:rPr>
        <w:t>.</w:t>
      </w:r>
      <w:r w:rsidR="00045D53">
        <w:rPr>
          <w:b/>
        </w:rPr>
        <w:t xml:space="preserve"> </w:t>
      </w:r>
      <w:r w:rsidR="00FD6493">
        <w:t>T</w:t>
      </w:r>
      <w:r w:rsidR="00045D53">
        <w:t>his emphasises that the gay subculture influenced the heterosexual society to move with the times, through the adoption of “gender-fuck” styles which were a combination of the heterosexual way of dress, combined with the effeminate; this led to the forming of the stereotypical clone</w:t>
      </w:r>
      <w:r w:rsidR="00B70909">
        <w:t>, which is great resourced research as the subculture later set trends within both the straight and gay communities.</w:t>
      </w:r>
      <w:r w:rsidR="00045D53">
        <w:t xml:space="preserve"> </w:t>
      </w:r>
      <w:r w:rsidR="00FD6493">
        <w:t xml:space="preserve">The importance of gay dress is acknowledged by the dress historian Amy De La Haye, who stated, “Gay and lesbian dress is crucial to the study of subculture”. </w:t>
      </w:r>
      <w:r w:rsidR="00FD6493" w:rsidRPr="00FD6493">
        <w:rPr>
          <w:b/>
        </w:rPr>
        <w:t>{Collard, (1994</w:t>
      </w:r>
      <w:r w:rsidR="00D96513">
        <w:rPr>
          <w:b/>
        </w:rPr>
        <w:t>:14</w:t>
      </w:r>
      <w:r w:rsidR="00FD6493" w:rsidRPr="00FD6493">
        <w:rPr>
          <w:b/>
        </w:rPr>
        <w:t>)</w:t>
      </w:r>
      <w:r w:rsidR="00D96513">
        <w:rPr>
          <w:b/>
        </w:rPr>
        <w:t>}.</w:t>
      </w:r>
      <w:r w:rsidR="00FD6493" w:rsidRPr="00FD6493">
        <w:rPr>
          <w:b/>
        </w:rPr>
        <w:t xml:space="preserve"> </w:t>
      </w:r>
      <w:r w:rsidR="00282D35">
        <w:rPr>
          <w:b/>
        </w:rPr>
        <w:t xml:space="preserve"> </w:t>
      </w:r>
    </w:p>
    <w:p w:rsidR="001F5F08" w:rsidRDefault="001F5F08" w:rsidP="001F5F08">
      <w:pPr>
        <w:pStyle w:val="ListParagraph"/>
        <w:ind w:left="780"/>
      </w:pPr>
    </w:p>
    <w:p w:rsidR="005837C0" w:rsidRPr="001F5F08" w:rsidRDefault="005837C0" w:rsidP="001F5F08">
      <w:r w:rsidRPr="001F5F08">
        <w:rPr>
          <w:b/>
          <w:u w:val="single"/>
        </w:rPr>
        <w:t xml:space="preserve">Androgyny </w:t>
      </w:r>
    </w:p>
    <w:p w:rsidR="005837C0" w:rsidRDefault="005837C0" w:rsidP="005837C0">
      <w:pPr>
        <w:rPr>
          <w:b/>
          <w:u w:val="single"/>
        </w:rPr>
      </w:pPr>
    </w:p>
    <w:p w:rsidR="00E1618A" w:rsidRPr="00994D58" w:rsidRDefault="00EC1279" w:rsidP="00C43E77">
      <w:pPr>
        <w:pStyle w:val="NoSpacing"/>
      </w:pPr>
      <w:r>
        <w:t xml:space="preserve">My second </w:t>
      </w:r>
      <w:r w:rsidR="001F5D33">
        <w:t xml:space="preserve">keyword </w:t>
      </w:r>
      <w:r w:rsidR="00D96513">
        <w:t xml:space="preserve">is </w:t>
      </w:r>
      <w:r w:rsidR="001F5D33">
        <w:t>Androgyny</w:t>
      </w:r>
      <w:r w:rsidR="0056343A">
        <w:t xml:space="preserve">. Androgyny, the concept of </w:t>
      </w:r>
      <w:r w:rsidR="00591B9A">
        <w:t xml:space="preserve">challenging the gender – binary barrier in fashion was first developed </w:t>
      </w:r>
      <w:r w:rsidR="002F79CA">
        <w:t>by effeminate homosexual men of the early 19</w:t>
      </w:r>
      <w:r w:rsidR="002F79CA" w:rsidRPr="002F79CA">
        <w:rPr>
          <w:vertAlign w:val="superscript"/>
        </w:rPr>
        <w:t>th</w:t>
      </w:r>
      <w:r w:rsidR="002F79CA">
        <w:t xml:space="preserve"> century; though apparel and adornment had provided an indication of homosexuality since the 17</w:t>
      </w:r>
      <w:r w:rsidR="002F79CA" w:rsidRPr="002F79CA">
        <w:rPr>
          <w:vertAlign w:val="superscript"/>
        </w:rPr>
        <w:t>th</w:t>
      </w:r>
      <w:r w:rsidR="000478BA">
        <w:t xml:space="preserve"> century. T</w:t>
      </w:r>
      <w:r w:rsidR="00C43E77">
        <w:t>herefore</w:t>
      </w:r>
      <w:r w:rsidR="000478BA">
        <w:t xml:space="preserve"> dressing in this way created</w:t>
      </w:r>
      <w:r w:rsidR="00C43E77">
        <w:t xml:space="preserve"> a cross gender identity.</w:t>
      </w:r>
      <w:r w:rsidR="002F79CA">
        <w:t xml:space="preserve"> </w:t>
      </w:r>
      <w:r w:rsidR="002F79CA" w:rsidRPr="00703EAF">
        <w:rPr>
          <w:b/>
        </w:rPr>
        <w:t>{</w:t>
      </w:r>
      <w:r w:rsidR="00703EAF" w:rsidRPr="00703EAF">
        <w:rPr>
          <w:b/>
        </w:rPr>
        <w:t>Cole, (2000</w:t>
      </w:r>
      <w:r w:rsidR="00D96513">
        <w:rPr>
          <w:b/>
        </w:rPr>
        <w:t>:2</w:t>
      </w:r>
      <w:r w:rsidR="00703EAF" w:rsidRPr="00703EAF">
        <w:rPr>
          <w:b/>
        </w:rPr>
        <w:t>)}</w:t>
      </w:r>
      <w:r w:rsidR="00703EAF">
        <w:rPr>
          <w:b/>
        </w:rPr>
        <w:t xml:space="preserve">. </w:t>
      </w:r>
      <w:r w:rsidR="000478BA">
        <w:t xml:space="preserve"> </w:t>
      </w:r>
      <w:r w:rsidR="00BA437B">
        <w:t>Theorists such as Karl Heinrich argued that “male homosexuals had a female soul trapped in a male body, and therefore possessed the personality characteristics of a woman”. Richard Von Krafft Ebing subscribed to this degeneracy</w:t>
      </w:r>
      <w:r w:rsidR="009F211D">
        <w:t xml:space="preserve"> theory, which contended-that </w:t>
      </w:r>
      <w:r w:rsidR="00BA437B">
        <w:t>“medical, psychiatric and social problems were transmitted</w:t>
      </w:r>
      <w:r w:rsidR="009F211D">
        <w:t xml:space="preserve"> from generation to generation”. </w:t>
      </w:r>
      <w:r w:rsidR="009F211D" w:rsidRPr="009F211D">
        <w:rPr>
          <w:b/>
        </w:rPr>
        <w:t>{Miller (1995</w:t>
      </w:r>
      <w:r w:rsidR="00D96513">
        <w:rPr>
          <w:b/>
        </w:rPr>
        <w:t>:</w:t>
      </w:r>
      <w:r w:rsidR="009F211D" w:rsidRPr="009F211D">
        <w:rPr>
          <w:b/>
        </w:rPr>
        <w:t>chapter 2)}.</w:t>
      </w:r>
      <w:r w:rsidR="009F211D">
        <w:t xml:space="preserve"> </w:t>
      </w:r>
      <w:r w:rsidR="00994D58">
        <w:t xml:space="preserve">This is also illustrated through the work of Michel Foucault who stated, “ Homosexuality appeared as one of the forms of sexuality when it was transposed from the practise of sodomy into a kind of interior androgyny, a hermaphroditism of the soul. The sodomite had been a temporary aberration; the homosexual was now a Species.” </w:t>
      </w:r>
      <w:r w:rsidR="00994D58">
        <w:rPr>
          <w:b/>
        </w:rPr>
        <w:t xml:space="preserve">{Foucault (1976: 5}. </w:t>
      </w:r>
      <w:r w:rsidR="00994D58">
        <w:t>This is key knowledge to my research because i</w:t>
      </w:r>
      <w:r w:rsidR="009F211D">
        <w:t xml:space="preserve">t was </w:t>
      </w:r>
      <w:r w:rsidR="00A04A73">
        <w:t xml:space="preserve">this emphasis </w:t>
      </w:r>
      <w:r w:rsidR="009F211D">
        <w:t xml:space="preserve">on binary gender division </w:t>
      </w:r>
      <w:r w:rsidR="00A04A73">
        <w:t xml:space="preserve">and the related theories of female souls </w:t>
      </w:r>
      <w:r w:rsidR="00A04A73">
        <w:lastRenderedPageBreak/>
        <w:t>trapped in male bodies that were to have an overwhelming impact upon the development of homosexual identity and as a consequence dress choice in the 1</w:t>
      </w:r>
      <w:r w:rsidR="00A04A73" w:rsidRPr="00A04A73">
        <w:rPr>
          <w:vertAlign w:val="superscript"/>
        </w:rPr>
        <w:t>st</w:t>
      </w:r>
      <w:r w:rsidR="00A04A73">
        <w:t xml:space="preserve"> half of the 20</w:t>
      </w:r>
      <w:r w:rsidR="00A04A73" w:rsidRPr="00A04A73">
        <w:rPr>
          <w:vertAlign w:val="superscript"/>
        </w:rPr>
        <w:t>th</w:t>
      </w:r>
      <w:r w:rsidR="00A04A73">
        <w:t xml:space="preserve"> century.</w:t>
      </w:r>
      <w:r w:rsidR="00994D58">
        <w:rPr>
          <w:b/>
        </w:rPr>
        <w:t xml:space="preserve"> </w:t>
      </w:r>
    </w:p>
    <w:p w:rsidR="00C43E77" w:rsidRDefault="002D1756" w:rsidP="00C43E77">
      <w:pPr>
        <w:pStyle w:val="NoSpacing"/>
      </w:pPr>
      <w:r>
        <w:t xml:space="preserve">    From the time of Oscar Wilde’s Trial of 1895, the image of the homosexual was emphasised on the public through </w:t>
      </w:r>
      <w:r w:rsidR="00B53177">
        <w:t xml:space="preserve">Wilde’s very flamboyant, romanticism, dandy demeanour; “Wilde became an object of revulsion in England, so much that the word Oscar became a popular term of contempt”. </w:t>
      </w:r>
      <w:r w:rsidR="00B53177" w:rsidRPr="00B53177">
        <w:rPr>
          <w:b/>
        </w:rPr>
        <w:t xml:space="preserve">{Crisp, </w:t>
      </w:r>
      <w:r w:rsidR="00B53177" w:rsidRPr="00B53177">
        <w:rPr>
          <w:b/>
          <w:i/>
        </w:rPr>
        <w:t>“Naked civil servant”,</w:t>
      </w:r>
      <w:r w:rsidR="00B53177">
        <w:rPr>
          <w:b/>
        </w:rPr>
        <w:t xml:space="preserve"> </w:t>
      </w:r>
      <w:r w:rsidR="00B53177" w:rsidRPr="00B53177">
        <w:rPr>
          <w:b/>
        </w:rPr>
        <w:t>(1970)}.</w:t>
      </w:r>
      <w:r w:rsidR="00B53177">
        <w:t xml:space="preserve"> </w:t>
      </w:r>
      <w:r w:rsidR="00EC1279">
        <w:t xml:space="preserve">Alan Sinfield draws attention to the fact that at the time of Wilde’s trials, “Effeminacy was still flexible, with the potential to refute homosexuality, as well as to imply it.” </w:t>
      </w:r>
      <w:r w:rsidR="00EC1279" w:rsidRPr="00EC1279">
        <w:rPr>
          <w:b/>
        </w:rPr>
        <w:t>{Sinfield, (1994</w:t>
      </w:r>
      <w:r w:rsidR="00D96513">
        <w:rPr>
          <w:b/>
        </w:rPr>
        <w:t>:</w:t>
      </w:r>
      <w:r w:rsidR="00EC1279" w:rsidRPr="00EC1279">
        <w:rPr>
          <w:b/>
        </w:rPr>
        <w:t>6-7, London}.</w:t>
      </w:r>
      <w:r w:rsidR="00E50DD9">
        <w:t xml:space="preserve">  </w:t>
      </w:r>
    </w:p>
    <w:p w:rsidR="00C57EDE" w:rsidRDefault="00C57EDE" w:rsidP="00C43E77">
      <w:pPr>
        <w:pStyle w:val="NoSpacing"/>
      </w:pPr>
    </w:p>
    <w:p w:rsidR="00C57EDE" w:rsidRDefault="00C57EDE" w:rsidP="00C43E77">
      <w:pPr>
        <w:pStyle w:val="NoSpacing"/>
        <w:rPr>
          <w:b/>
          <w:u w:val="single"/>
        </w:rPr>
      </w:pPr>
      <w:r>
        <w:rPr>
          <w:b/>
          <w:u w:val="single"/>
        </w:rPr>
        <w:t xml:space="preserve">Fashion </w:t>
      </w:r>
    </w:p>
    <w:p w:rsidR="00C57EDE" w:rsidRDefault="00C57EDE" w:rsidP="00C43E77">
      <w:pPr>
        <w:pStyle w:val="NoSpacing"/>
        <w:rPr>
          <w:b/>
          <w:u w:val="single"/>
        </w:rPr>
      </w:pPr>
    </w:p>
    <w:p w:rsidR="00015F97" w:rsidRDefault="00C57EDE" w:rsidP="00C43E77">
      <w:pPr>
        <w:pStyle w:val="NoSpacing"/>
      </w:pPr>
      <w:r w:rsidRPr="00C57EDE">
        <w:t xml:space="preserve">My </w:t>
      </w:r>
      <w:r>
        <w:t xml:space="preserve">third key word, which I am going to explore, is fashion, particularly “queer” fashion. </w:t>
      </w:r>
      <w:r w:rsidR="00295840">
        <w:t xml:space="preserve">The issue of ephemerality, and particularly the characterisation of an active interest in clothing as feminine and frivolous, has been a prevalent, and an active, issue for debate in studies of twentieth- century men’s clothing. </w:t>
      </w:r>
      <w:r w:rsidR="00295840" w:rsidRPr="00703EAF">
        <w:rPr>
          <w:b/>
        </w:rPr>
        <w:t>{Cole, (2000</w:t>
      </w:r>
      <w:r w:rsidR="00D96513">
        <w:rPr>
          <w:b/>
        </w:rPr>
        <w:t>:2</w:t>
      </w:r>
      <w:r w:rsidR="00295840" w:rsidRPr="00703EAF">
        <w:rPr>
          <w:b/>
        </w:rPr>
        <w:t>)</w:t>
      </w:r>
      <w:r w:rsidR="00D96513">
        <w:rPr>
          <w:b/>
          <w:i/>
        </w:rPr>
        <w:t>}</w:t>
      </w:r>
      <w:r w:rsidR="00295840">
        <w:rPr>
          <w:b/>
        </w:rPr>
        <w:t xml:space="preserve">.  </w:t>
      </w:r>
      <w:r w:rsidR="00295840">
        <w:t xml:space="preserve">In “the face of fashion” Jennifer Craik notes that “rhetoric of men’s fashion takes the form of a set of denials” one of which </w:t>
      </w:r>
      <w:r w:rsidR="004A7E97">
        <w:t xml:space="preserve">is that “men who dress up are peculiar (one way or another)”. </w:t>
      </w:r>
      <w:r w:rsidR="004A7E97">
        <w:rPr>
          <w:b/>
        </w:rPr>
        <w:t>{Craik, (1994</w:t>
      </w:r>
      <w:r w:rsidR="00D96513">
        <w:rPr>
          <w:b/>
        </w:rPr>
        <w:t>:176</w:t>
      </w:r>
      <w:r w:rsidR="004A7E97">
        <w:rPr>
          <w:b/>
        </w:rPr>
        <w:t>)</w:t>
      </w:r>
      <w:r w:rsidR="00D96513">
        <w:rPr>
          <w:b/>
        </w:rPr>
        <w:t xml:space="preserve">}. </w:t>
      </w:r>
      <w:r w:rsidR="004A7E97">
        <w:t>T</w:t>
      </w:r>
      <w:r w:rsidR="004A7E97" w:rsidRPr="004A7E97">
        <w:t>he notion</w:t>
      </w:r>
      <w:r w:rsidR="004A7E97">
        <w:t xml:space="preserve"> of a mans interest in fashion, acting as a signifier of his homosexuality, is mentioned in most works of 20</w:t>
      </w:r>
      <w:r w:rsidR="004A7E97" w:rsidRPr="004A7E97">
        <w:rPr>
          <w:vertAlign w:val="superscript"/>
        </w:rPr>
        <w:t>th</w:t>
      </w:r>
      <w:r w:rsidR="004A7E97">
        <w:t xml:space="preserve"> century fashion, but usually in the form of a denial that all men interested in clothes or fashion were or are homosexuals. </w:t>
      </w:r>
      <w:r w:rsidR="00D96513">
        <w:rPr>
          <w:b/>
        </w:rPr>
        <w:t>{Bernard (</w:t>
      </w:r>
      <w:r w:rsidR="004A7E97">
        <w:rPr>
          <w:b/>
        </w:rPr>
        <w:t>1996</w:t>
      </w:r>
      <w:r w:rsidR="00D96513">
        <w:rPr>
          <w:b/>
        </w:rPr>
        <w:t>:</w:t>
      </w:r>
      <w:r w:rsidR="004A7E97">
        <w:rPr>
          <w:b/>
        </w:rPr>
        <w:t>chapter 1)}.</w:t>
      </w:r>
      <w:r w:rsidR="00D932AC">
        <w:rPr>
          <w:b/>
        </w:rPr>
        <w:t xml:space="preserve"> </w:t>
      </w:r>
      <w:r w:rsidR="00B70909">
        <w:rPr>
          <w:b/>
        </w:rPr>
        <w:t xml:space="preserve"> </w:t>
      </w:r>
      <w:r w:rsidR="00B70909">
        <w:t>This is analytical research that I can explore, because in the past, specific colours or accessories worn by men was seen as effem</w:t>
      </w:r>
      <w:r w:rsidR="00CF1018">
        <w:t xml:space="preserve">inate and against the rules of </w:t>
      </w:r>
      <w:r w:rsidR="00B70909">
        <w:t>masculinity; but in today</w:t>
      </w:r>
      <w:r w:rsidR="00CF1018">
        <w:t xml:space="preserve">s society the rules of </w:t>
      </w:r>
      <w:r w:rsidR="00B70909">
        <w:t>what types of c</w:t>
      </w:r>
      <w:r w:rsidR="00CF1018">
        <w:t>olours or garments worn by men,</w:t>
      </w:r>
      <w:r w:rsidR="00B70909">
        <w:t xml:space="preserve"> has eased and has changed with the times as homosexuality is slowly being accepted into the heterosexual society. </w:t>
      </w:r>
      <w:r w:rsidR="003E4627">
        <w:t>What</w:t>
      </w:r>
      <w:r w:rsidR="00D932AC">
        <w:t xml:space="preserve"> many of these analytical topics do offer is an opinion that (for various reasons, the most notable being their status as “Outsiders” and the self association of some gay men with the feminine), gay men were ahead of “Fashion” and influenced changes in men’s fashion through their challenges to the hegemony of Men’s dress codes and also to be accepted in a heterosexual society.  </w:t>
      </w:r>
      <w:r w:rsidR="007B72A7">
        <w:t xml:space="preserve">Professor Elizabeth Wilson has argued that dress serves to “stabilise identity” and that the identity that dress makes firm in both single and shared: “the way in which we dress may assuage that fear [of not sustaining the autonomy of the self] by stabilizing of individual identity.” </w:t>
      </w:r>
      <w:r w:rsidR="007B72A7" w:rsidRPr="007B72A7">
        <w:rPr>
          <w:b/>
        </w:rPr>
        <w:t>{Wilson, (1985</w:t>
      </w:r>
      <w:r w:rsidR="00D96513">
        <w:rPr>
          <w:b/>
        </w:rPr>
        <w:t>:12</w:t>
      </w:r>
      <w:r w:rsidR="007B72A7" w:rsidRPr="007B72A7">
        <w:rPr>
          <w:b/>
        </w:rPr>
        <w:t>)</w:t>
      </w:r>
      <w:r w:rsidR="00D96513">
        <w:rPr>
          <w:b/>
        </w:rPr>
        <w:t xml:space="preserve">}. </w:t>
      </w:r>
      <w:r w:rsidR="007B72A7">
        <w:t>For many men growing up with the questioning of their sexuality, experimenting with clothing offered a means of exploring that sense of Difference.</w:t>
      </w:r>
      <w:r w:rsidR="00015F97">
        <w:t xml:space="preserve"> </w:t>
      </w:r>
      <w:r w:rsidR="00014C51">
        <w:t xml:space="preserve"> With the rise of exaggerated male styles, theorists began to note the similarity between masculinity and femininity.  Jamie Gough said “Gay masculinity is not, in any simple way, “real” masculinity, anymore than “camp” is femininity. It is more self-conscious than the real thing, more theatrical and more iconic”. </w:t>
      </w:r>
      <w:r w:rsidR="00014C51" w:rsidRPr="00014C51">
        <w:rPr>
          <w:b/>
        </w:rPr>
        <w:t>{Gough, (1989:12)}.</w:t>
      </w:r>
      <w:r w:rsidR="00014C51">
        <w:t xml:space="preserve"> </w:t>
      </w:r>
      <w:r w:rsidR="00ED6B0A">
        <w:t xml:space="preserve"> Judith Butler progressed this theory, declaring that gender is performative, that is, something homosexuals do.  Dress, therefore, is a visible and conscious marker of this cons</w:t>
      </w:r>
      <w:r w:rsidR="0037498A">
        <w:t>tructed or performed gender; “</w:t>
      </w:r>
      <w:r w:rsidR="0037498A">
        <w:rPr>
          <w:rFonts w:eastAsia="Times New Roman" w:cs="Times New Roman"/>
        </w:rPr>
        <w:t xml:space="preserve">If gender attributes and acts, the various ways in which a body shows or produces its cultural signification, are performative, then there is no pre-existing identity by which an act or attribute might be measured; there would be no true or false, real or distorted acts of </w:t>
      </w:r>
      <w:r w:rsidR="0037498A">
        <w:rPr>
          <w:rFonts w:eastAsia="Times New Roman" w:cs="Times New Roman"/>
        </w:rPr>
        <w:lastRenderedPageBreak/>
        <w:t>gender, and the postulation of a true gender identity would be revealed as a regulatory fiction. That gender reality is created through sustained social performances means that the very notions of an essential sex and a true or abiding masculinity or femininity are also constituted as part of the strategy that conceals gender’s performative character and the performative possibilities for proliferating gender configurations outside the restricting frames of masculinist domination and compulsory heterosexuality.”</w:t>
      </w:r>
      <w:r w:rsidR="00ED6B0A">
        <w:t xml:space="preserve"> </w:t>
      </w:r>
      <w:r w:rsidR="00E50DD9">
        <w:t xml:space="preserve"> </w:t>
      </w:r>
      <w:r w:rsidR="00E50DD9" w:rsidRPr="00E50DD9">
        <w:rPr>
          <w:b/>
        </w:rPr>
        <w:t>{</w:t>
      </w:r>
      <w:r w:rsidR="0037498A" w:rsidRPr="00E50DD9">
        <w:rPr>
          <w:b/>
        </w:rPr>
        <w:t>Butler (1990:</w:t>
      </w:r>
      <w:r w:rsidR="00E50DD9" w:rsidRPr="00E50DD9">
        <w:rPr>
          <w:b/>
        </w:rPr>
        <w:t>24</w:t>
      </w:r>
      <w:r w:rsidR="00E50DD9">
        <w:rPr>
          <w:b/>
        </w:rPr>
        <w:t xml:space="preserve">)}. </w:t>
      </w:r>
      <w:r w:rsidR="00014EF0">
        <w:t>This gives an analytical resource of information as it illustrates that many young gay homosexuals adopted very effeminate pieces of clothing as a means of expressio</w:t>
      </w:r>
      <w:r w:rsidR="0037498A">
        <w:t>n and freedom to be who you are, but also allowed them to create a persona through the garments.</w:t>
      </w:r>
      <w:r w:rsidR="00014EF0">
        <w:t xml:space="preserve">  This also emphasises that men’s fashion became iconic examples that are being forecasted into the future trends, such as Jean Paul Gautier, who created a trend in 2014 that represented the modern punk. </w:t>
      </w:r>
      <w:r w:rsidR="00014EF0">
        <w:rPr>
          <w:b/>
        </w:rPr>
        <w:t>{</w:t>
      </w:r>
      <w:r w:rsidR="006C4376">
        <w:rPr>
          <w:b/>
        </w:rPr>
        <w:t xml:space="preserve">Vogue (2014) Jean Paul Gautier’s fashion show: punk couture}. </w:t>
      </w:r>
      <w:r w:rsidR="00014EF0">
        <w:t xml:space="preserve"> </w:t>
      </w:r>
    </w:p>
    <w:p w:rsidR="00C57EDE" w:rsidRDefault="00015F97" w:rsidP="00C43E77">
      <w:pPr>
        <w:pStyle w:val="NoSpacing"/>
      </w:pPr>
      <w:r>
        <w:t xml:space="preserve"> </w:t>
      </w:r>
    </w:p>
    <w:p w:rsidR="00E50DD9" w:rsidRDefault="00E50DD9" w:rsidP="00C43E77">
      <w:pPr>
        <w:pStyle w:val="NoSpacing"/>
      </w:pPr>
      <w:r>
        <w:t>To conclude, I feel that using my knowledge of the research that I h</w:t>
      </w:r>
      <w:r w:rsidR="007B4480">
        <w:t>ave resourced in this proposal; through the chosen key words,</w:t>
      </w:r>
      <w:r>
        <w:t xml:space="preserve"> Androgyny, </w:t>
      </w:r>
      <w:r w:rsidR="007B4480">
        <w:t xml:space="preserve">Subculture and Fashion, I will be able to explore how the historical impact of the homosexual subculture on Men’s fashion, and how the trends are being evolutionised in trends of today and the future, looking at how designers are forecasting the idea of the contemporary dandy or the </w:t>
      </w:r>
      <w:r w:rsidR="00BA28A3">
        <w:t xml:space="preserve">modern punk in the future.  To </w:t>
      </w:r>
      <w:bookmarkStart w:id="0" w:name="_GoBack"/>
      <w:bookmarkEnd w:id="0"/>
      <w:r w:rsidR="007B4480">
        <w:t>analyse this I will focus on the social history of fashion in the gay subculture and how it shaped fashion in the heterosexual society today, by the adoption of effeminate influences, such as adornment and colours, associated with androgyny and femin</w:t>
      </w:r>
      <w:r w:rsidR="00BA28A3">
        <w:t>in</w:t>
      </w:r>
      <w:r w:rsidR="007B4480">
        <w:t>ity.</w:t>
      </w:r>
    </w:p>
    <w:p w:rsidR="00E50DD9" w:rsidRDefault="00E50DD9" w:rsidP="00C43E77">
      <w:pPr>
        <w:pStyle w:val="NoSpacing"/>
      </w:pPr>
    </w:p>
    <w:p w:rsidR="00D96513" w:rsidRPr="00E50DD9" w:rsidRDefault="00FF4ED4" w:rsidP="00C43E77">
      <w:pPr>
        <w:pStyle w:val="NoSpacing"/>
      </w:pPr>
      <w:r>
        <w:t xml:space="preserve">  </w:t>
      </w:r>
      <w:r w:rsidR="00D96513" w:rsidRPr="00D96513">
        <w:rPr>
          <w:u w:val="single"/>
        </w:rPr>
        <w:t>Referencing bibliography</w:t>
      </w:r>
    </w:p>
    <w:p w:rsidR="006C4376" w:rsidRDefault="006C4376" w:rsidP="00C43E77">
      <w:pPr>
        <w:pStyle w:val="NoSpacing"/>
        <w:rPr>
          <w:u w:val="single"/>
        </w:rPr>
      </w:pPr>
    </w:p>
    <w:p w:rsidR="006C4376" w:rsidRDefault="006C4376" w:rsidP="00C43E77">
      <w:pPr>
        <w:pStyle w:val="NoSpacing"/>
        <w:rPr>
          <w:u w:val="single"/>
        </w:rPr>
      </w:pPr>
      <w:r>
        <w:rPr>
          <w:u w:val="single"/>
        </w:rPr>
        <w:t>Books</w:t>
      </w:r>
    </w:p>
    <w:p w:rsidR="00D96513" w:rsidRDefault="00D96513" w:rsidP="00C43E77">
      <w:pPr>
        <w:pStyle w:val="NoSpacing"/>
        <w:rPr>
          <w:u w:val="single"/>
        </w:rPr>
      </w:pPr>
    </w:p>
    <w:p w:rsidR="00D96513" w:rsidRDefault="00D96513" w:rsidP="00C43E77">
      <w:pPr>
        <w:pStyle w:val="NoSpacing"/>
        <w:rPr>
          <w:b/>
        </w:rPr>
      </w:pPr>
      <w:r>
        <w:rPr>
          <w:b/>
        </w:rPr>
        <w:t xml:space="preserve">{Gelder, Ken &amp; Thornton, Sarah (1996) </w:t>
      </w:r>
      <w:r w:rsidRPr="003E29E6">
        <w:rPr>
          <w:b/>
          <w:i/>
        </w:rPr>
        <w:t>“subculture’s reader”,</w:t>
      </w:r>
      <w:r>
        <w:rPr>
          <w:b/>
        </w:rPr>
        <w:t xml:space="preserve"> Routledge’s Essays.}</w:t>
      </w:r>
    </w:p>
    <w:p w:rsidR="00D96513" w:rsidRDefault="00D96513" w:rsidP="00C43E77">
      <w:pPr>
        <w:pStyle w:val="NoSpacing"/>
        <w:rPr>
          <w:b/>
        </w:rPr>
      </w:pPr>
    </w:p>
    <w:p w:rsidR="00D96513" w:rsidRDefault="00D96513" w:rsidP="00C43E77">
      <w:pPr>
        <w:pStyle w:val="NoSpacing"/>
        <w:rPr>
          <w:b/>
        </w:rPr>
      </w:pPr>
      <w:r>
        <w:rPr>
          <w:b/>
        </w:rPr>
        <w:t>{Pearce, Frank (1973</w:t>
      </w:r>
      <w:r w:rsidR="003E29E6">
        <w:rPr>
          <w:b/>
        </w:rPr>
        <w:t>:32</w:t>
      </w:r>
      <w:r>
        <w:rPr>
          <w:b/>
        </w:rPr>
        <w:t xml:space="preserve">) </w:t>
      </w:r>
      <w:r w:rsidRPr="003E29E6">
        <w:rPr>
          <w:b/>
          <w:i/>
        </w:rPr>
        <w:t>“how to be immoral and ill, pathetic and dangerous, all at the same time: Mass media and the homosexual”</w:t>
      </w:r>
      <w:r w:rsidR="003E29E6">
        <w:rPr>
          <w:b/>
        </w:rPr>
        <w:t xml:space="preserve"> </w:t>
      </w:r>
      <w:r>
        <w:rPr>
          <w:b/>
        </w:rPr>
        <w:t xml:space="preserve">, in Cohen, Stanley &amp; </w:t>
      </w:r>
      <w:r w:rsidR="003E29E6">
        <w:rPr>
          <w:b/>
        </w:rPr>
        <w:t xml:space="preserve">Young, Jock (1973) </w:t>
      </w:r>
      <w:r w:rsidR="003E29E6" w:rsidRPr="003E29E6">
        <w:rPr>
          <w:b/>
          <w:i/>
        </w:rPr>
        <w:t>“the manufacture of news: social problems, deviance and the mass media”,</w:t>
      </w:r>
      <w:r w:rsidR="003E29E6">
        <w:rPr>
          <w:b/>
        </w:rPr>
        <w:t xml:space="preserve"> London.}</w:t>
      </w:r>
    </w:p>
    <w:p w:rsidR="003E29E6" w:rsidRDefault="003E29E6" w:rsidP="00C43E77">
      <w:pPr>
        <w:pStyle w:val="NoSpacing"/>
        <w:rPr>
          <w:b/>
        </w:rPr>
      </w:pPr>
    </w:p>
    <w:p w:rsidR="003E29E6" w:rsidRDefault="003E29E6" w:rsidP="00C43E77">
      <w:pPr>
        <w:pStyle w:val="NoSpacing"/>
        <w:rPr>
          <w:b/>
        </w:rPr>
      </w:pPr>
      <w:r>
        <w:rPr>
          <w:b/>
        </w:rPr>
        <w:t>{Levine, Martin P (1998:51</w:t>
      </w:r>
      <w:r w:rsidRPr="00D67D16">
        <w:rPr>
          <w:b/>
          <w:i/>
        </w:rPr>
        <w:t>) “G</w:t>
      </w:r>
      <w:r w:rsidR="00D67D16" w:rsidRPr="00D67D16">
        <w:rPr>
          <w:b/>
          <w:i/>
        </w:rPr>
        <w:t>ay Macho: the life and death of the homosexual clone”</w:t>
      </w:r>
      <w:r w:rsidR="00D67D16">
        <w:rPr>
          <w:b/>
        </w:rPr>
        <w:t>, New York and London)}.</w:t>
      </w:r>
    </w:p>
    <w:p w:rsidR="00D67D16" w:rsidRDefault="00D67D16" w:rsidP="00C43E77">
      <w:pPr>
        <w:pStyle w:val="NoSpacing"/>
        <w:rPr>
          <w:b/>
        </w:rPr>
      </w:pPr>
    </w:p>
    <w:p w:rsidR="00D67D16" w:rsidRDefault="00D67D16" w:rsidP="00C43E77">
      <w:pPr>
        <w:pStyle w:val="NoSpacing"/>
        <w:rPr>
          <w:b/>
        </w:rPr>
      </w:pPr>
      <w:r>
        <w:rPr>
          <w:b/>
        </w:rPr>
        <w:t xml:space="preserve">{Fischer, Hal, (1997:22) </w:t>
      </w:r>
      <w:r w:rsidRPr="00D67D16">
        <w:rPr>
          <w:b/>
          <w:i/>
        </w:rPr>
        <w:t>“Gay semiotics”</w:t>
      </w:r>
      <w:r>
        <w:rPr>
          <w:b/>
        </w:rPr>
        <w:t>, San Francisco}.</w:t>
      </w:r>
    </w:p>
    <w:p w:rsidR="00D67D16" w:rsidRDefault="00D67D16" w:rsidP="00C43E77">
      <w:pPr>
        <w:pStyle w:val="NoSpacing"/>
        <w:rPr>
          <w:b/>
        </w:rPr>
      </w:pPr>
    </w:p>
    <w:p w:rsidR="00D67D16" w:rsidRDefault="00D67D16" w:rsidP="00C43E77">
      <w:pPr>
        <w:pStyle w:val="NoSpacing"/>
        <w:rPr>
          <w:b/>
        </w:rPr>
      </w:pPr>
      <w:r>
        <w:rPr>
          <w:b/>
        </w:rPr>
        <w:t xml:space="preserve">{Sontag, Susan, (1969:291-2) </w:t>
      </w:r>
      <w:r w:rsidRPr="00D67D16">
        <w:rPr>
          <w:b/>
          <w:i/>
        </w:rPr>
        <w:t>“Notes on camp: in against interpretation”</w:t>
      </w:r>
      <w:r>
        <w:rPr>
          <w:b/>
        </w:rPr>
        <w:t>, New York}.</w:t>
      </w:r>
    </w:p>
    <w:p w:rsidR="00D67D16" w:rsidRDefault="00D67D16" w:rsidP="00C43E77">
      <w:pPr>
        <w:pStyle w:val="NoSpacing"/>
        <w:rPr>
          <w:b/>
        </w:rPr>
      </w:pPr>
    </w:p>
    <w:p w:rsidR="00D67D16" w:rsidRDefault="00937DEF" w:rsidP="00C43E77">
      <w:pPr>
        <w:pStyle w:val="NoSpacing"/>
        <w:rPr>
          <w:b/>
        </w:rPr>
      </w:pPr>
      <w:r>
        <w:rPr>
          <w:b/>
        </w:rPr>
        <w:t xml:space="preserve">{Collard, James, (1994:14) </w:t>
      </w:r>
      <w:r w:rsidRPr="00937DEF">
        <w:rPr>
          <w:b/>
          <w:i/>
        </w:rPr>
        <w:t>“No style on queer street”,</w:t>
      </w:r>
      <w:r>
        <w:rPr>
          <w:b/>
        </w:rPr>
        <w:t xml:space="preserve"> Attitude, London and New York}.</w:t>
      </w:r>
    </w:p>
    <w:p w:rsidR="00937DEF" w:rsidRDefault="00937DEF" w:rsidP="00C43E77">
      <w:pPr>
        <w:pStyle w:val="NoSpacing"/>
        <w:rPr>
          <w:b/>
        </w:rPr>
      </w:pPr>
    </w:p>
    <w:p w:rsidR="00937DEF" w:rsidRDefault="00937DEF" w:rsidP="00C43E77">
      <w:pPr>
        <w:pStyle w:val="NoSpacing"/>
        <w:rPr>
          <w:b/>
        </w:rPr>
      </w:pPr>
      <w:r>
        <w:rPr>
          <w:b/>
        </w:rPr>
        <w:lastRenderedPageBreak/>
        <w:t xml:space="preserve">{Cole, Shaun (2000: 2) </w:t>
      </w:r>
      <w:r w:rsidRPr="005577B5">
        <w:rPr>
          <w:b/>
          <w:i/>
        </w:rPr>
        <w:t>“Don we know our gay apparel</w:t>
      </w:r>
      <w:r>
        <w:rPr>
          <w:b/>
        </w:rPr>
        <w:t>”, New York}.</w:t>
      </w:r>
    </w:p>
    <w:p w:rsidR="00937DEF" w:rsidRDefault="00937DEF" w:rsidP="00C43E77">
      <w:pPr>
        <w:pStyle w:val="NoSpacing"/>
        <w:rPr>
          <w:b/>
        </w:rPr>
      </w:pPr>
    </w:p>
    <w:p w:rsidR="00937DEF" w:rsidRDefault="00937DEF" w:rsidP="00C43E77">
      <w:pPr>
        <w:pStyle w:val="NoSpacing"/>
        <w:rPr>
          <w:b/>
        </w:rPr>
      </w:pPr>
      <w:r>
        <w:rPr>
          <w:b/>
        </w:rPr>
        <w:t xml:space="preserve">{Miller, Neil (1995:chapter 2) </w:t>
      </w:r>
      <w:r w:rsidRPr="005577B5">
        <w:rPr>
          <w:b/>
          <w:i/>
        </w:rPr>
        <w:t>“Out of the past: Gay and Lesbian history from 1869 – the present”</w:t>
      </w:r>
      <w:r>
        <w:rPr>
          <w:b/>
        </w:rPr>
        <w:t xml:space="preserve"> London}.</w:t>
      </w:r>
    </w:p>
    <w:p w:rsidR="00937DEF" w:rsidRDefault="00937DEF" w:rsidP="00C43E77">
      <w:pPr>
        <w:pStyle w:val="NoSpacing"/>
        <w:rPr>
          <w:b/>
        </w:rPr>
      </w:pPr>
    </w:p>
    <w:p w:rsidR="00937DEF" w:rsidRDefault="00937DEF" w:rsidP="00C43E77">
      <w:pPr>
        <w:pStyle w:val="NoSpacing"/>
        <w:rPr>
          <w:b/>
        </w:rPr>
      </w:pPr>
      <w:r>
        <w:rPr>
          <w:b/>
        </w:rPr>
        <w:t xml:space="preserve">{Crisp, Quentin, Autobiography </w:t>
      </w:r>
      <w:r w:rsidRPr="005577B5">
        <w:rPr>
          <w:b/>
          <w:i/>
        </w:rPr>
        <w:t>“the civil servant”,</w:t>
      </w:r>
      <w:r>
        <w:rPr>
          <w:b/>
        </w:rPr>
        <w:t xml:space="preserve"> newspaper </w:t>
      </w:r>
      <w:r w:rsidR="005577B5">
        <w:rPr>
          <w:b/>
        </w:rPr>
        <w:t>reports on Jeremy Thorpe, television screening (1970)}</w:t>
      </w:r>
    </w:p>
    <w:p w:rsidR="00937DEF" w:rsidRDefault="00937DEF" w:rsidP="00C43E77">
      <w:pPr>
        <w:pStyle w:val="NoSpacing"/>
        <w:rPr>
          <w:b/>
        </w:rPr>
      </w:pPr>
      <w:r>
        <w:rPr>
          <w:b/>
        </w:rPr>
        <w:t xml:space="preserve"> </w:t>
      </w:r>
    </w:p>
    <w:p w:rsidR="005577B5" w:rsidRDefault="005577B5" w:rsidP="00C43E77">
      <w:pPr>
        <w:pStyle w:val="NoSpacing"/>
        <w:rPr>
          <w:b/>
        </w:rPr>
      </w:pPr>
      <w:r>
        <w:rPr>
          <w:b/>
        </w:rPr>
        <w:t>{Sinfield, Alan (1994:6-7</w:t>
      </w:r>
      <w:r w:rsidRPr="005577B5">
        <w:rPr>
          <w:b/>
          <w:i/>
        </w:rPr>
        <w:t>) “the Wilde century”</w:t>
      </w:r>
      <w:r>
        <w:rPr>
          <w:b/>
        </w:rPr>
        <w:t>, London.</w:t>
      </w:r>
    </w:p>
    <w:p w:rsidR="00937DEF" w:rsidRDefault="00937DEF" w:rsidP="00C43E77">
      <w:pPr>
        <w:pStyle w:val="NoSpacing"/>
        <w:rPr>
          <w:b/>
        </w:rPr>
      </w:pPr>
    </w:p>
    <w:p w:rsidR="005577B5" w:rsidRDefault="005577B5" w:rsidP="00C43E77">
      <w:pPr>
        <w:pStyle w:val="NoSpacing"/>
        <w:rPr>
          <w:b/>
        </w:rPr>
      </w:pPr>
      <w:r>
        <w:rPr>
          <w:b/>
        </w:rPr>
        <w:t>{</w:t>
      </w:r>
      <w:r w:rsidRPr="005577B5">
        <w:rPr>
          <w:b/>
        </w:rPr>
        <w:t>Craik</w:t>
      </w:r>
      <w:r>
        <w:rPr>
          <w:b/>
        </w:rPr>
        <w:t xml:space="preserve">, Jennifer (1994:176) </w:t>
      </w:r>
      <w:r w:rsidRPr="005577B5">
        <w:rPr>
          <w:b/>
          <w:i/>
        </w:rPr>
        <w:t>“the face of fashion”</w:t>
      </w:r>
      <w:r>
        <w:rPr>
          <w:b/>
        </w:rPr>
        <w:t>, London.</w:t>
      </w:r>
    </w:p>
    <w:p w:rsidR="005577B5" w:rsidRDefault="005577B5" w:rsidP="00C43E77">
      <w:pPr>
        <w:pStyle w:val="NoSpacing"/>
        <w:rPr>
          <w:b/>
        </w:rPr>
      </w:pPr>
    </w:p>
    <w:p w:rsidR="005577B5" w:rsidRDefault="005577B5" w:rsidP="00C43E77">
      <w:pPr>
        <w:pStyle w:val="NoSpacing"/>
        <w:rPr>
          <w:b/>
        </w:rPr>
      </w:pPr>
      <w:r>
        <w:rPr>
          <w:b/>
        </w:rPr>
        <w:t xml:space="preserve">{Bernard, Malcolm (1996:chapter 1) </w:t>
      </w:r>
      <w:r w:rsidRPr="005577B5">
        <w:rPr>
          <w:b/>
          <w:i/>
        </w:rPr>
        <w:t>“fashion as communication”</w:t>
      </w:r>
      <w:r>
        <w:rPr>
          <w:b/>
        </w:rPr>
        <w:t>, London and New York}.</w:t>
      </w:r>
    </w:p>
    <w:p w:rsidR="005577B5" w:rsidRDefault="005577B5" w:rsidP="00C43E77">
      <w:pPr>
        <w:pStyle w:val="NoSpacing"/>
        <w:rPr>
          <w:b/>
        </w:rPr>
      </w:pPr>
    </w:p>
    <w:p w:rsidR="005577B5" w:rsidRDefault="005577B5" w:rsidP="00C43E77">
      <w:pPr>
        <w:pStyle w:val="NoSpacing"/>
        <w:rPr>
          <w:b/>
        </w:rPr>
      </w:pPr>
      <w:r>
        <w:rPr>
          <w:b/>
        </w:rPr>
        <w:t>{Wilson, Elizabeth (1985:12) “</w:t>
      </w:r>
      <w:r w:rsidR="000A43C2">
        <w:rPr>
          <w:b/>
        </w:rPr>
        <w:t>Adorned in dreams: Fashion and Modernity”, London}.</w:t>
      </w:r>
    </w:p>
    <w:p w:rsidR="00937DEF" w:rsidRDefault="00937DEF" w:rsidP="00C43E77">
      <w:pPr>
        <w:pStyle w:val="NoSpacing"/>
        <w:rPr>
          <w:b/>
        </w:rPr>
      </w:pPr>
    </w:p>
    <w:p w:rsidR="0095255F" w:rsidRDefault="0095255F" w:rsidP="00C43E77">
      <w:pPr>
        <w:pStyle w:val="NoSpacing"/>
        <w:rPr>
          <w:b/>
        </w:rPr>
      </w:pPr>
      <w:r>
        <w:rPr>
          <w:b/>
        </w:rPr>
        <w:t>{Foucault, Michel (1976</w:t>
      </w:r>
      <w:r w:rsidR="00014EF0">
        <w:rPr>
          <w:b/>
        </w:rPr>
        <w:t>:5</w:t>
      </w:r>
      <w:r>
        <w:rPr>
          <w:b/>
        </w:rPr>
        <w:t xml:space="preserve">) </w:t>
      </w:r>
      <w:r w:rsidRPr="0095255F">
        <w:rPr>
          <w:b/>
          <w:i/>
        </w:rPr>
        <w:t>“The will of Knowledge: the history of sexuality”</w:t>
      </w:r>
      <w:r>
        <w:rPr>
          <w:b/>
        </w:rPr>
        <w:t>, penguin books, London}</w:t>
      </w:r>
      <w:r w:rsidR="00994D58">
        <w:rPr>
          <w:b/>
        </w:rPr>
        <w:t>.</w:t>
      </w:r>
    </w:p>
    <w:p w:rsidR="00937DEF" w:rsidRDefault="00937DEF" w:rsidP="00C43E77">
      <w:pPr>
        <w:pStyle w:val="NoSpacing"/>
        <w:rPr>
          <w:b/>
        </w:rPr>
      </w:pPr>
    </w:p>
    <w:p w:rsidR="00282D35" w:rsidRDefault="00282D35" w:rsidP="00C43E77">
      <w:pPr>
        <w:pStyle w:val="NoSpacing"/>
        <w:rPr>
          <w:b/>
        </w:rPr>
      </w:pPr>
      <w:r>
        <w:rPr>
          <w:b/>
        </w:rPr>
        <w:t>{Hebdige, Dick (1979</w:t>
      </w:r>
      <w:r w:rsidR="00014EF0">
        <w:rPr>
          <w:b/>
        </w:rPr>
        <w:t>:85</w:t>
      </w:r>
      <w:r>
        <w:rPr>
          <w:b/>
        </w:rPr>
        <w:t xml:space="preserve">) </w:t>
      </w:r>
      <w:r w:rsidRPr="00014C51">
        <w:rPr>
          <w:b/>
          <w:i/>
        </w:rPr>
        <w:t>“ Subculture: the meaning of Fashion”</w:t>
      </w:r>
      <w:r>
        <w:rPr>
          <w:b/>
        </w:rPr>
        <w:t xml:space="preserve">, </w:t>
      </w:r>
      <w:r w:rsidR="00B70909">
        <w:rPr>
          <w:b/>
        </w:rPr>
        <w:t>London.}</w:t>
      </w:r>
      <w:r>
        <w:rPr>
          <w:b/>
        </w:rPr>
        <w:t xml:space="preserve"> </w:t>
      </w:r>
    </w:p>
    <w:p w:rsidR="00D67D16" w:rsidRDefault="00D67D16" w:rsidP="00C43E77">
      <w:pPr>
        <w:pStyle w:val="NoSpacing"/>
        <w:rPr>
          <w:b/>
        </w:rPr>
      </w:pPr>
    </w:p>
    <w:p w:rsidR="00014C51" w:rsidRDefault="00014C51" w:rsidP="00C43E77">
      <w:pPr>
        <w:pStyle w:val="NoSpacing"/>
        <w:rPr>
          <w:b/>
        </w:rPr>
      </w:pPr>
      <w:r>
        <w:rPr>
          <w:b/>
        </w:rPr>
        <w:t>{Gough, Jamie (1989:</w:t>
      </w:r>
      <w:r w:rsidR="00014EF0">
        <w:rPr>
          <w:b/>
        </w:rPr>
        <w:t>12</w:t>
      </w:r>
      <w:r>
        <w:rPr>
          <w:b/>
        </w:rPr>
        <w:t>) “</w:t>
      </w:r>
      <w:r w:rsidRPr="00014EF0">
        <w:rPr>
          <w:b/>
          <w:i/>
        </w:rPr>
        <w:t>theories of sexual identity and the masculinisation of the gay man”</w:t>
      </w:r>
      <w:r>
        <w:rPr>
          <w:b/>
        </w:rPr>
        <w:t>, London</w:t>
      </w:r>
      <w:r w:rsidR="00014EF0">
        <w:rPr>
          <w:b/>
        </w:rPr>
        <w:t>}.</w:t>
      </w:r>
    </w:p>
    <w:p w:rsidR="00E50DD9" w:rsidRDefault="00E50DD9" w:rsidP="00C43E77">
      <w:pPr>
        <w:pStyle w:val="NoSpacing"/>
        <w:rPr>
          <w:b/>
        </w:rPr>
      </w:pPr>
    </w:p>
    <w:p w:rsidR="00E50DD9" w:rsidRDefault="00E50DD9" w:rsidP="00E50DD9">
      <w:pPr>
        <w:pStyle w:val="NoSpacing"/>
        <w:rPr>
          <w:b/>
        </w:rPr>
      </w:pPr>
    </w:p>
    <w:p w:rsidR="00E50DD9" w:rsidRPr="00D96513" w:rsidRDefault="00E50DD9" w:rsidP="00E50DD9">
      <w:pPr>
        <w:pStyle w:val="NoSpacing"/>
        <w:rPr>
          <w:b/>
        </w:rPr>
      </w:pPr>
      <w:r>
        <w:rPr>
          <w:b/>
        </w:rPr>
        <w:t xml:space="preserve">{Butler, Judith (1990:24) </w:t>
      </w:r>
      <w:r w:rsidRPr="00E50DD9">
        <w:rPr>
          <w:b/>
          <w:i/>
        </w:rPr>
        <w:t>“Gender trouble: Feminism and the subversion of identity”</w:t>
      </w:r>
      <w:r>
        <w:rPr>
          <w:b/>
        </w:rPr>
        <w:t>, London}.</w:t>
      </w:r>
    </w:p>
    <w:p w:rsidR="00E50DD9" w:rsidRDefault="00E50DD9" w:rsidP="00C43E77">
      <w:pPr>
        <w:pStyle w:val="NoSpacing"/>
        <w:rPr>
          <w:b/>
        </w:rPr>
      </w:pPr>
    </w:p>
    <w:p w:rsidR="006C4376" w:rsidRPr="006C4376" w:rsidRDefault="006C4376" w:rsidP="00C43E77">
      <w:pPr>
        <w:pStyle w:val="NoSpacing"/>
        <w:rPr>
          <w:u w:val="single"/>
        </w:rPr>
      </w:pPr>
      <w:r w:rsidRPr="006C4376">
        <w:rPr>
          <w:u w:val="single"/>
        </w:rPr>
        <w:t>Websites</w:t>
      </w:r>
    </w:p>
    <w:p w:rsidR="006C4376" w:rsidRDefault="006C4376" w:rsidP="00C43E77">
      <w:pPr>
        <w:pStyle w:val="NoSpacing"/>
        <w:rPr>
          <w:b/>
        </w:rPr>
      </w:pPr>
    </w:p>
    <w:p w:rsidR="006C4376" w:rsidRDefault="006C4376" w:rsidP="00C43E77">
      <w:pPr>
        <w:pStyle w:val="NoSpacing"/>
        <w:rPr>
          <w:b/>
        </w:rPr>
      </w:pPr>
      <w:r>
        <w:rPr>
          <w:b/>
        </w:rPr>
        <w:t xml:space="preserve">{Vogue (2014) “Jean Paul Gautier’s fashion show: punk couture”. Available </w:t>
      </w:r>
      <w:r w:rsidR="008118A6">
        <w:rPr>
          <w:b/>
        </w:rPr>
        <w:t>at:</w:t>
      </w:r>
      <w:r>
        <w:rPr>
          <w:b/>
        </w:rPr>
        <w:t xml:space="preserve"> </w:t>
      </w:r>
      <w:hyperlink r:id="rId6" w:history="1">
        <w:r w:rsidRPr="00956A2F">
          <w:rPr>
            <w:rStyle w:val="Hyperlink"/>
            <w:b/>
          </w:rPr>
          <w:t>https://www.vogue.com/fashion-shows/spring-2014-couture/jean-paul-gaultier</w:t>
        </w:r>
      </w:hyperlink>
      <w:r>
        <w:rPr>
          <w:b/>
        </w:rPr>
        <w:t>. (Accessed: 4 May 2018).</w:t>
      </w:r>
    </w:p>
    <w:p w:rsidR="006C4376" w:rsidRDefault="006C4376" w:rsidP="00C43E77">
      <w:pPr>
        <w:pStyle w:val="NoSpacing"/>
        <w:rPr>
          <w:b/>
        </w:rPr>
      </w:pPr>
    </w:p>
    <w:p w:rsidR="00B70909" w:rsidRDefault="00B70909" w:rsidP="00C43E77">
      <w:pPr>
        <w:pStyle w:val="NoSpacing"/>
        <w:rPr>
          <w:b/>
        </w:rPr>
      </w:pPr>
    </w:p>
    <w:p w:rsidR="00E50DD9" w:rsidRPr="00D96513" w:rsidRDefault="00E50DD9" w:rsidP="00C43E77">
      <w:pPr>
        <w:pStyle w:val="NoSpacing"/>
        <w:rPr>
          <w:b/>
        </w:rPr>
      </w:pPr>
    </w:p>
    <w:sectPr w:rsidR="00E50DD9" w:rsidRPr="00D96513" w:rsidSect="00276E0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170F9F"/>
    <w:multiLevelType w:val="hybridMultilevel"/>
    <w:tmpl w:val="DC46032E"/>
    <w:lvl w:ilvl="0" w:tplc="04090001">
      <w:start w:val="1"/>
      <w:numFmt w:val="bullet"/>
      <w:lvlText w:val=""/>
      <w:lvlJc w:val="left"/>
      <w:pPr>
        <w:ind w:left="820" w:hanging="360"/>
      </w:pPr>
      <w:rPr>
        <w:rFonts w:ascii="Symbol" w:hAnsi="Symbol" w:hint="default"/>
      </w:rPr>
    </w:lvl>
    <w:lvl w:ilvl="1" w:tplc="04090003" w:tentative="1">
      <w:start w:val="1"/>
      <w:numFmt w:val="bullet"/>
      <w:lvlText w:val="o"/>
      <w:lvlJc w:val="left"/>
      <w:pPr>
        <w:ind w:left="1540" w:hanging="360"/>
      </w:pPr>
      <w:rPr>
        <w:rFonts w:ascii="Courier New" w:hAnsi="Courier New" w:hint="default"/>
      </w:rPr>
    </w:lvl>
    <w:lvl w:ilvl="2" w:tplc="04090005" w:tentative="1">
      <w:start w:val="1"/>
      <w:numFmt w:val="bullet"/>
      <w:lvlText w:val=""/>
      <w:lvlJc w:val="left"/>
      <w:pPr>
        <w:ind w:left="2260" w:hanging="360"/>
      </w:pPr>
      <w:rPr>
        <w:rFonts w:ascii="Wingdings" w:hAnsi="Wingdings" w:hint="default"/>
      </w:rPr>
    </w:lvl>
    <w:lvl w:ilvl="3" w:tplc="04090001" w:tentative="1">
      <w:start w:val="1"/>
      <w:numFmt w:val="bullet"/>
      <w:lvlText w:val=""/>
      <w:lvlJc w:val="left"/>
      <w:pPr>
        <w:ind w:left="2980" w:hanging="360"/>
      </w:pPr>
      <w:rPr>
        <w:rFonts w:ascii="Symbol" w:hAnsi="Symbol" w:hint="default"/>
      </w:rPr>
    </w:lvl>
    <w:lvl w:ilvl="4" w:tplc="04090003" w:tentative="1">
      <w:start w:val="1"/>
      <w:numFmt w:val="bullet"/>
      <w:lvlText w:val="o"/>
      <w:lvlJc w:val="left"/>
      <w:pPr>
        <w:ind w:left="3700" w:hanging="360"/>
      </w:pPr>
      <w:rPr>
        <w:rFonts w:ascii="Courier New" w:hAnsi="Courier New" w:hint="default"/>
      </w:rPr>
    </w:lvl>
    <w:lvl w:ilvl="5" w:tplc="04090005" w:tentative="1">
      <w:start w:val="1"/>
      <w:numFmt w:val="bullet"/>
      <w:lvlText w:val=""/>
      <w:lvlJc w:val="left"/>
      <w:pPr>
        <w:ind w:left="4420" w:hanging="360"/>
      </w:pPr>
      <w:rPr>
        <w:rFonts w:ascii="Wingdings" w:hAnsi="Wingdings" w:hint="default"/>
      </w:rPr>
    </w:lvl>
    <w:lvl w:ilvl="6" w:tplc="04090001" w:tentative="1">
      <w:start w:val="1"/>
      <w:numFmt w:val="bullet"/>
      <w:lvlText w:val=""/>
      <w:lvlJc w:val="left"/>
      <w:pPr>
        <w:ind w:left="5140" w:hanging="360"/>
      </w:pPr>
      <w:rPr>
        <w:rFonts w:ascii="Symbol" w:hAnsi="Symbol" w:hint="default"/>
      </w:rPr>
    </w:lvl>
    <w:lvl w:ilvl="7" w:tplc="04090003" w:tentative="1">
      <w:start w:val="1"/>
      <w:numFmt w:val="bullet"/>
      <w:lvlText w:val="o"/>
      <w:lvlJc w:val="left"/>
      <w:pPr>
        <w:ind w:left="5860" w:hanging="360"/>
      </w:pPr>
      <w:rPr>
        <w:rFonts w:ascii="Courier New" w:hAnsi="Courier New" w:hint="default"/>
      </w:rPr>
    </w:lvl>
    <w:lvl w:ilvl="8" w:tplc="04090005" w:tentative="1">
      <w:start w:val="1"/>
      <w:numFmt w:val="bullet"/>
      <w:lvlText w:val=""/>
      <w:lvlJc w:val="left"/>
      <w:pPr>
        <w:ind w:left="6580" w:hanging="360"/>
      </w:pPr>
      <w:rPr>
        <w:rFonts w:ascii="Wingdings" w:hAnsi="Wingdings" w:hint="default"/>
      </w:rPr>
    </w:lvl>
  </w:abstractNum>
  <w:abstractNum w:abstractNumId="1">
    <w:nsid w:val="32A51CDA"/>
    <w:multiLevelType w:val="hybridMultilevel"/>
    <w:tmpl w:val="419674C0"/>
    <w:lvl w:ilvl="0" w:tplc="04090001">
      <w:start w:val="1"/>
      <w:numFmt w:val="bullet"/>
      <w:lvlText w:val=""/>
      <w:lvlJc w:val="left"/>
      <w:pPr>
        <w:ind w:left="820" w:hanging="360"/>
      </w:pPr>
      <w:rPr>
        <w:rFonts w:ascii="Symbol" w:hAnsi="Symbol" w:hint="default"/>
      </w:rPr>
    </w:lvl>
    <w:lvl w:ilvl="1" w:tplc="04090003" w:tentative="1">
      <w:start w:val="1"/>
      <w:numFmt w:val="bullet"/>
      <w:lvlText w:val="o"/>
      <w:lvlJc w:val="left"/>
      <w:pPr>
        <w:ind w:left="1540" w:hanging="360"/>
      </w:pPr>
      <w:rPr>
        <w:rFonts w:ascii="Courier New" w:hAnsi="Courier New" w:hint="default"/>
      </w:rPr>
    </w:lvl>
    <w:lvl w:ilvl="2" w:tplc="04090005" w:tentative="1">
      <w:start w:val="1"/>
      <w:numFmt w:val="bullet"/>
      <w:lvlText w:val=""/>
      <w:lvlJc w:val="left"/>
      <w:pPr>
        <w:ind w:left="2260" w:hanging="360"/>
      </w:pPr>
      <w:rPr>
        <w:rFonts w:ascii="Wingdings" w:hAnsi="Wingdings" w:hint="default"/>
      </w:rPr>
    </w:lvl>
    <w:lvl w:ilvl="3" w:tplc="04090001" w:tentative="1">
      <w:start w:val="1"/>
      <w:numFmt w:val="bullet"/>
      <w:lvlText w:val=""/>
      <w:lvlJc w:val="left"/>
      <w:pPr>
        <w:ind w:left="2980" w:hanging="360"/>
      </w:pPr>
      <w:rPr>
        <w:rFonts w:ascii="Symbol" w:hAnsi="Symbol" w:hint="default"/>
      </w:rPr>
    </w:lvl>
    <w:lvl w:ilvl="4" w:tplc="04090003" w:tentative="1">
      <w:start w:val="1"/>
      <w:numFmt w:val="bullet"/>
      <w:lvlText w:val="o"/>
      <w:lvlJc w:val="left"/>
      <w:pPr>
        <w:ind w:left="3700" w:hanging="360"/>
      </w:pPr>
      <w:rPr>
        <w:rFonts w:ascii="Courier New" w:hAnsi="Courier New" w:hint="default"/>
      </w:rPr>
    </w:lvl>
    <w:lvl w:ilvl="5" w:tplc="04090005" w:tentative="1">
      <w:start w:val="1"/>
      <w:numFmt w:val="bullet"/>
      <w:lvlText w:val=""/>
      <w:lvlJc w:val="left"/>
      <w:pPr>
        <w:ind w:left="4420" w:hanging="360"/>
      </w:pPr>
      <w:rPr>
        <w:rFonts w:ascii="Wingdings" w:hAnsi="Wingdings" w:hint="default"/>
      </w:rPr>
    </w:lvl>
    <w:lvl w:ilvl="6" w:tplc="04090001" w:tentative="1">
      <w:start w:val="1"/>
      <w:numFmt w:val="bullet"/>
      <w:lvlText w:val=""/>
      <w:lvlJc w:val="left"/>
      <w:pPr>
        <w:ind w:left="5140" w:hanging="360"/>
      </w:pPr>
      <w:rPr>
        <w:rFonts w:ascii="Symbol" w:hAnsi="Symbol" w:hint="default"/>
      </w:rPr>
    </w:lvl>
    <w:lvl w:ilvl="7" w:tplc="04090003" w:tentative="1">
      <w:start w:val="1"/>
      <w:numFmt w:val="bullet"/>
      <w:lvlText w:val="o"/>
      <w:lvlJc w:val="left"/>
      <w:pPr>
        <w:ind w:left="5860" w:hanging="360"/>
      </w:pPr>
      <w:rPr>
        <w:rFonts w:ascii="Courier New" w:hAnsi="Courier New" w:hint="default"/>
      </w:rPr>
    </w:lvl>
    <w:lvl w:ilvl="8" w:tplc="04090005" w:tentative="1">
      <w:start w:val="1"/>
      <w:numFmt w:val="bullet"/>
      <w:lvlText w:val=""/>
      <w:lvlJc w:val="left"/>
      <w:pPr>
        <w:ind w:left="6580" w:hanging="360"/>
      </w:pPr>
      <w:rPr>
        <w:rFonts w:ascii="Wingdings" w:hAnsi="Wingdings" w:hint="default"/>
      </w:rPr>
    </w:lvl>
  </w:abstractNum>
  <w:abstractNum w:abstractNumId="2">
    <w:nsid w:val="7DF33568"/>
    <w:multiLevelType w:val="hybridMultilevel"/>
    <w:tmpl w:val="4DECAA8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37C0"/>
    <w:rsid w:val="00014C51"/>
    <w:rsid w:val="00014EF0"/>
    <w:rsid w:val="00015F97"/>
    <w:rsid w:val="00045D53"/>
    <w:rsid w:val="000478BA"/>
    <w:rsid w:val="00050A43"/>
    <w:rsid w:val="000A43C2"/>
    <w:rsid w:val="00103294"/>
    <w:rsid w:val="00143418"/>
    <w:rsid w:val="001471C5"/>
    <w:rsid w:val="001F5D33"/>
    <w:rsid w:val="001F5F08"/>
    <w:rsid w:val="00276E03"/>
    <w:rsid w:val="00282D35"/>
    <w:rsid w:val="00295840"/>
    <w:rsid w:val="002D1756"/>
    <w:rsid w:val="002F79CA"/>
    <w:rsid w:val="0037498A"/>
    <w:rsid w:val="003E29E6"/>
    <w:rsid w:val="003E4627"/>
    <w:rsid w:val="004A7E97"/>
    <w:rsid w:val="005478AC"/>
    <w:rsid w:val="00552CB7"/>
    <w:rsid w:val="005577B5"/>
    <w:rsid w:val="0056343A"/>
    <w:rsid w:val="005837C0"/>
    <w:rsid w:val="00591B9A"/>
    <w:rsid w:val="006C4376"/>
    <w:rsid w:val="00703EAF"/>
    <w:rsid w:val="007B4480"/>
    <w:rsid w:val="007B72A7"/>
    <w:rsid w:val="008118A6"/>
    <w:rsid w:val="00937DEF"/>
    <w:rsid w:val="0095255F"/>
    <w:rsid w:val="00994D58"/>
    <w:rsid w:val="009F211D"/>
    <w:rsid w:val="00A04A73"/>
    <w:rsid w:val="00AB3841"/>
    <w:rsid w:val="00B447C8"/>
    <w:rsid w:val="00B53177"/>
    <w:rsid w:val="00B55093"/>
    <w:rsid w:val="00B70909"/>
    <w:rsid w:val="00BA28A3"/>
    <w:rsid w:val="00BA437B"/>
    <w:rsid w:val="00C3443D"/>
    <w:rsid w:val="00C43E77"/>
    <w:rsid w:val="00C57EDE"/>
    <w:rsid w:val="00C66125"/>
    <w:rsid w:val="00CD1290"/>
    <w:rsid w:val="00CF1018"/>
    <w:rsid w:val="00D3095C"/>
    <w:rsid w:val="00D67D16"/>
    <w:rsid w:val="00D932AC"/>
    <w:rsid w:val="00D96513"/>
    <w:rsid w:val="00DE3C5E"/>
    <w:rsid w:val="00E1618A"/>
    <w:rsid w:val="00E50DD9"/>
    <w:rsid w:val="00EC1279"/>
    <w:rsid w:val="00ED6B0A"/>
    <w:rsid w:val="00EF1384"/>
    <w:rsid w:val="00F65D7A"/>
    <w:rsid w:val="00FD6493"/>
    <w:rsid w:val="00FF4ED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91B9A"/>
  </w:style>
  <w:style w:type="paragraph" w:styleId="ListParagraph">
    <w:name w:val="List Paragraph"/>
    <w:basedOn w:val="Normal"/>
    <w:uiPriority w:val="34"/>
    <w:qFormat/>
    <w:rsid w:val="00F65D7A"/>
    <w:pPr>
      <w:ind w:left="720"/>
      <w:contextualSpacing/>
    </w:pPr>
  </w:style>
  <w:style w:type="character" w:styleId="Hyperlink">
    <w:name w:val="Hyperlink"/>
    <w:basedOn w:val="DefaultParagraphFont"/>
    <w:uiPriority w:val="99"/>
    <w:unhideWhenUsed/>
    <w:rsid w:val="006C4376"/>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91B9A"/>
  </w:style>
  <w:style w:type="paragraph" w:styleId="ListParagraph">
    <w:name w:val="List Paragraph"/>
    <w:basedOn w:val="Normal"/>
    <w:uiPriority w:val="34"/>
    <w:qFormat/>
    <w:rsid w:val="00F65D7A"/>
    <w:pPr>
      <w:ind w:left="720"/>
      <w:contextualSpacing/>
    </w:pPr>
  </w:style>
  <w:style w:type="character" w:styleId="Hyperlink">
    <w:name w:val="Hyperlink"/>
    <w:basedOn w:val="DefaultParagraphFont"/>
    <w:uiPriority w:val="99"/>
    <w:unhideWhenUsed/>
    <w:rsid w:val="006C437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vogue.com/fashion-shows/spring-2014-couture/jean-paul-gaultier"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2093</Words>
  <Characters>11931</Characters>
  <Application>Microsoft Macintosh Word</Application>
  <DocSecurity>0</DocSecurity>
  <Lines>99</Lines>
  <Paragraphs>27</Paragraphs>
  <ScaleCrop>false</ScaleCrop>
  <Company>UWTSD</Company>
  <LinksUpToDate>false</LinksUpToDate>
  <CharactersWithSpaces>13997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Miller (P145632)</dc:creator>
  <cp:keywords/>
  <dc:description/>
  <cp:lastModifiedBy>Student</cp:lastModifiedBy>
  <cp:revision>2</cp:revision>
  <dcterms:created xsi:type="dcterms:W3CDTF">2018-05-09T18:01:00Z</dcterms:created>
  <dcterms:modified xsi:type="dcterms:W3CDTF">2018-05-09T18:01:00Z</dcterms:modified>
</cp:coreProperties>
</file>