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F56FB0" w14:textId="77777777" w:rsidR="00EB26BE" w:rsidRPr="00EB26BE" w:rsidRDefault="00EB26BE" w:rsidP="00064240">
      <w:pPr>
        <w:ind w:left="720"/>
        <w:jc w:val="center"/>
        <w:rPr>
          <w:rFonts w:ascii="Times" w:hAnsi="Times" w:cs="Arial"/>
          <w:u w:val="single"/>
        </w:rPr>
      </w:pPr>
      <w:r w:rsidRPr="00EB26BE">
        <w:rPr>
          <w:rFonts w:ascii="Times" w:hAnsi="Times" w:cs="Arial"/>
          <w:u w:val="single"/>
        </w:rPr>
        <w:t>Using empirical evidence, critically explore the impact of pro-social and/or educational media on tackling issues associ</w:t>
      </w:r>
      <w:r>
        <w:rPr>
          <w:rFonts w:ascii="Times" w:hAnsi="Times" w:cs="Arial"/>
          <w:u w:val="single"/>
        </w:rPr>
        <w:t>ated with health and well-being</w:t>
      </w:r>
    </w:p>
    <w:p w14:paraId="06CAA608" w14:textId="77777777" w:rsidR="00DB4E90" w:rsidRDefault="00AF0BFD">
      <w:pPr>
        <w:rPr>
          <w:rFonts w:ascii="Times" w:hAnsi="Times"/>
          <w:u w:val="single"/>
        </w:rPr>
      </w:pPr>
    </w:p>
    <w:p w14:paraId="27E0E549" w14:textId="77777777" w:rsidR="00064240" w:rsidRDefault="00064240" w:rsidP="00AC623E">
      <w:pPr>
        <w:jc w:val="center"/>
        <w:rPr>
          <w:rFonts w:ascii="Times" w:hAnsi="Times"/>
          <w:u w:val="single"/>
        </w:rPr>
      </w:pPr>
    </w:p>
    <w:p w14:paraId="79C8EA32" w14:textId="77777777" w:rsidR="00064240" w:rsidRDefault="00064240">
      <w:pPr>
        <w:rPr>
          <w:rFonts w:ascii="Times" w:hAnsi="Times"/>
          <w:u w:val="single"/>
        </w:rPr>
      </w:pPr>
    </w:p>
    <w:p w14:paraId="2BCD87B6" w14:textId="5AF3A7A3" w:rsidR="00064240" w:rsidRDefault="00C62003" w:rsidP="00AC623E">
      <w:pPr>
        <w:spacing w:line="360" w:lineRule="auto"/>
        <w:jc w:val="center"/>
        <w:rPr>
          <w:rFonts w:ascii="Times" w:hAnsi="Times"/>
        </w:rPr>
      </w:pPr>
      <w:r>
        <w:rPr>
          <w:rFonts w:ascii="Times" w:hAnsi="Times"/>
        </w:rPr>
        <w:t xml:space="preserve">The influence of media is becoming increasingly stronger with the use of platforms such as the internet and television. </w:t>
      </w:r>
      <w:r w:rsidR="007D7FE4" w:rsidRPr="00AC623E">
        <w:rPr>
          <w:rFonts w:ascii="Times" w:hAnsi="Times"/>
        </w:rPr>
        <w:t xml:space="preserve">This </w:t>
      </w:r>
      <w:r w:rsidR="009B430B">
        <w:rPr>
          <w:rFonts w:ascii="Times" w:hAnsi="Times"/>
        </w:rPr>
        <w:t xml:space="preserve">essay will </w:t>
      </w:r>
      <w:r w:rsidR="00422602">
        <w:rPr>
          <w:rFonts w:ascii="Times" w:hAnsi="Times"/>
        </w:rPr>
        <w:t xml:space="preserve">aim to </w:t>
      </w:r>
      <w:r w:rsidR="009B430B">
        <w:rPr>
          <w:rFonts w:ascii="Times" w:hAnsi="Times"/>
        </w:rPr>
        <w:t xml:space="preserve">discuss </w:t>
      </w:r>
      <w:r>
        <w:rPr>
          <w:rFonts w:ascii="Times" w:hAnsi="Times"/>
        </w:rPr>
        <w:t>what impacts that educational media campaigns have when faced with health and well-being issues.</w:t>
      </w:r>
    </w:p>
    <w:p w14:paraId="73A72633" w14:textId="3BA1AA50" w:rsidR="00193189" w:rsidRDefault="008676F7" w:rsidP="006165CB">
      <w:pPr>
        <w:spacing w:line="360" w:lineRule="auto"/>
        <w:jc w:val="center"/>
        <w:rPr>
          <w:rFonts w:ascii="Times" w:hAnsi="Times"/>
        </w:rPr>
      </w:pPr>
      <w:r>
        <w:rPr>
          <w:rFonts w:ascii="Times" w:hAnsi="Times"/>
        </w:rPr>
        <w:t>The media uses a range of methods and strategies in order to influence a specific pr</w:t>
      </w:r>
      <w:r w:rsidR="00991F98">
        <w:rPr>
          <w:rFonts w:ascii="Times" w:hAnsi="Times"/>
        </w:rPr>
        <w:t>oportion of the general public (</w:t>
      </w:r>
      <w:proofErr w:type="spellStart"/>
      <w:r w:rsidR="00991F98">
        <w:rPr>
          <w:rFonts w:ascii="Times" w:hAnsi="Times"/>
        </w:rPr>
        <w:t>Wartella</w:t>
      </w:r>
      <w:proofErr w:type="spellEnd"/>
      <w:r w:rsidR="00991F98">
        <w:rPr>
          <w:rFonts w:ascii="Times" w:hAnsi="Times"/>
        </w:rPr>
        <w:t xml:space="preserve"> and Stout, 2002). The ‘four p’s’ are used in media in order to create a successful campaign. (Kotler and lee, 2008) highlights that the four p’s are important for planning, monitoring and reviewing the overall campaign. Identifying and segmenting the target audience is an important part of a health care campaign as not knowing the target audience would result in an unsuccessful campaign. (</w:t>
      </w:r>
      <w:proofErr w:type="spellStart"/>
      <w:r w:rsidR="00C35ED5">
        <w:rPr>
          <w:rFonts w:ascii="Times" w:hAnsi="Times"/>
        </w:rPr>
        <w:t>Abroms</w:t>
      </w:r>
      <w:proofErr w:type="spellEnd"/>
      <w:r w:rsidR="00C35ED5">
        <w:rPr>
          <w:rFonts w:ascii="Times" w:hAnsi="Times"/>
        </w:rPr>
        <w:t xml:space="preserve">, </w:t>
      </w:r>
      <w:proofErr w:type="spellStart"/>
      <w:r w:rsidR="00C35ED5">
        <w:rPr>
          <w:rFonts w:ascii="Times" w:hAnsi="Times"/>
        </w:rPr>
        <w:t>Schiavo</w:t>
      </w:r>
      <w:proofErr w:type="spellEnd"/>
      <w:r w:rsidR="00C35ED5">
        <w:rPr>
          <w:rFonts w:ascii="Times" w:hAnsi="Times"/>
        </w:rPr>
        <w:t xml:space="preserve"> and Lefebvre, 2008</w:t>
      </w:r>
      <w:r w:rsidR="00991F98">
        <w:rPr>
          <w:rFonts w:ascii="Times" w:hAnsi="Times"/>
        </w:rPr>
        <w:t xml:space="preserve">). There are two types of audiences for a media campaign. The primary target audience refers to the proportion of people that campaigners directly want to influence and the secondary target audience are the proportion of people who influence the primary target audience. </w:t>
      </w:r>
      <w:r w:rsidR="00BB1F95">
        <w:rPr>
          <w:rFonts w:ascii="Times" w:hAnsi="Times"/>
        </w:rPr>
        <w:t xml:space="preserve">There are different psychological </w:t>
      </w:r>
      <w:r w:rsidR="00B07F58">
        <w:rPr>
          <w:rFonts w:ascii="Times" w:hAnsi="Times"/>
        </w:rPr>
        <w:t>theories</w:t>
      </w:r>
      <w:r w:rsidR="00BB1F95">
        <w:rPr>
          <w:rFonts w:ascii="Times" w:hAnsi="Times"/>
        </w:rPr>
        <w:t xml:space="preserve"> used in order to make a health campaign successful (by successfully changing an individual’s behaviour). The theory of planed behaviour explains how behavioural changes come as a result of changes in attitudes and social norms. Another theory used in this area of Psychology is the transtheoretical model (Prochaska, Diclemente and Norcross, 1992). The model explains how segmenting and self-</w:t>
      </w:r>
      <w:r w:rsidR="00B07F58">
        <w:rPr>
          <w:rFonts w:ascii="Times" w:hAnsi="Times"/>
        </w:rPr>
        <w:t>efficacy</w:t>
      </w:r>
      <w:r w:rsidR="00BB1F95">
        <w:rPr>
          <w:rFonts w:ascii="Times" w:hAnsi="Times"/>
        </w:rPr>
        <w:t xml:space="preserve"> is used in changing behaviour. A further theory </w:t>
      </w:r>
      <w:r w:rsidR="00B07F58">
        <w:rPr>
          <w:rFonts w:ascii="Times" w:hAnsi="Times"/>
        </w:rPr>
        <w:t>referred</w:t>
      </w:r>
      <w:r w:rsidR="00BB1F95">
        <w:rPr>
          <w:rFonts w:ascii="Times" w:hAnsi="Times"/>
        </w:rPr>
        <w:t xml:space="preserve"> to as the health belief model explains how individuals evaluate the risks and advantages prior to </w:t>
      </w:r>
      <w:r w:rsidR="00B07F58">
        <w:rPr>
          <w:rFonts w:ascii="Times" w:hAnsi="Times"/>
        </w:rPr>
        <w:t>committing</w:t>
      </w:r>
      <w:r w:rsidR="00BB1F95">
        <w:rPr>
          <w:rFonts w:ascii="Times" w:hAnsi="Times"/>
        </w:rPr>
        <w:t xml:space="preserve"> to a change in behaviour. </w:t>
      </w:r>
      <w:r w:rsidR="00C35ED5">
        <w:rPr>
          <w:rFonts w:ascii="Times" w:hAnsi="Times"/>
        </w:rPr>
        <w:t>(</w:t>
      </w:r>
      <w:proofErr w:type="spellStart"/>
      <w:r w:rsidR="00C35ED5">
        <w:rPr>
          <w:rFonts w:ascii="Times" w:hAnsi="Times"/>
        </w:rPr>
        <w:t>Abroms</w:t>
      </w:r>
      <w:proofErr w:type="spellEnd"/>
      <w:r w:rsidR="00C35ED5">
        <w:rPr>
          <w:rFonts w:ascii="Times" w:hAnsi="Times"/>
        </w:rPr>
        <w:t xml:space="preserve">, </w:t>
      </w:r>
      <w:proofErr w:type="spellStart"/>
      <w:r w:rsidR="00C35ED5">
        <w:rPr>
          <w:rFonts w:ascii="Times" w:hAnsi="Times"/>
        </w:rPr>
        <w:t>Schiavo</w:t>
      </w:r>
      <w:proofErr w:type="spellEnd"/>
      <w:r w:rsidR="00C35ED5">
        <w:rPr>
          <w:rFonts w:ascii="Times" w:hAnsi="Times"/>
        </w:rPr>
        <w:t xml:space="preserve"> and Lefebvre, 2008).</w:t>
      </w:r>
      <w:r w:rsidR="00B07F58">
        <w:rPr>
          <w:rFonts w:ascii="Times" w:hAnsi="Times"/>
        </w:rPr>
        <w:t xml:space="preserve">) states that in order to produce a successful campaign, there needs to be agreements made on the outcomes and objectives must be shared in a clear and strategic way. </w:t>
      </w:r>
    </w:p>
    <w:p w14:paraId="0F5FB7B9" w14:textId="5CA4DC3B" w:rsidR="00193189" w:rsidRDefault="008C3B15" w:rsidP="006165CB">
      <w:pPr>
        <w:spacing w:line="360" w:lineRule="auto"/>
        <w:jc w:val="center"/>
        <w:rPr>
          <w:rFonts w:ascii="Times" w:hAnsi="Times"/>
        </w:rPr>
      </w:pPr>
      <w:r>
        <w:rPr>
          <w:rFonts w:ascii="Times" w:hAnsi="Times"/>
        </w:rPr>
        <w:t xml:space="preserve">A review of media campaigns, conducted by Wakefield, </w:t>
      </w:r>
      <w:proofErr w:type="spellStart"/>
      <w:r>
        <w:rPr>
          <w:rFonts w:ascii="Times" w:hAnsi="Times"/>
        </w:rPr>
        <w:t>Loken</w:t>
      </w:r>
      <w:proofErr w:type="spellEnd"/>
      <w:r>
        <w:rPr>
          <w:rFonts w:ascii="Times" w:hAnsi="Times"/>
        </w:rPr>
        <w:t xml:space="preserve"> and </w:t>
      </w:r>
      <w:proofErr w:type="spellStart"/>
      <w:r>
        <w:rPr>
          <w:rFonts w:ascii="Times" w:hAnsi="Times"/>
        </w:rPr>
        <w:t>Hornnik</w:t>
      </w:r>
      <w:proofErr w:type="spellEnd"/>
      <w:r>
        <w:rPr>
          <w:rFonts w:ascii="Times" w:hAnsi="Times"/>
        </w:rPr>
        <w:t xml:space="preserve">, 2010 found in a review that mass media campaigns were associated with a decrease in the number of young people that were starting smoking and also a decrease with the number of adults that were quitting smoking. Campaigns that involved Cardiovascular disease was also reviewed due to it being one of the leading causes of death worldwide. Before 1990, media campaigns focused on lowering the amount of fat that people were taking in. In more recent times, media campaigns are concerned with increasing the amount of health food the general population are consuming (fruit and vegetables).  Reviews of these media campaigns show </w:t>
      </w:r>
      <w:r>
        <w:rPr>
          <w:rFonts w:ascii="Times" w:hAnsi="Times"/>
        </w:rPr>
        <w:lastRenderedPageBreak/>
        <w:t xml:space="preserve">that short-term changes in health can be achieved, however, long-term changes are difficult to achieve. The review paper concluded that mass media campaigns can both directly and indirectly result in positive outcomes and restrict negative changes in regards to health relates behaviours within the general public. </w:t>
      </w:r>
    </w:p>
    <w:p w14:paraId="5EDE1385" w14:textId="65CBF5E2" w:rsidR="00617BCE" w:rsidRDefault="00C83700" w:rsidP="006165CB">
      <w:pPr>
        <w:spacing w:line="360" w:lineRule="auto"/>
        <w:jc w:val="center"/>
        <w:rPr>
          <w:rFonts w:ascii="Times" w:hAnsi="Times"/>
        </w:rPr>
      </w:pPr>
      <w:r>
        <w:rPr>
          <w:rFonts w:ascii="Times" w:hAnsi="Times"/>
        </w:rPr>
        <w:t>The media also uses fear in health campaigns in order to change the attitude and behaviour</w:t>
      </w:r>
      <w:r w:rsidR="008D2F96">
        <w:rPr>
          <w:rFonts w:ascii="Times" w:hAnsi="Times"/>
        </w:rPr>
        <w:t xml:space="preserve"> of the target audience. Witt and Allen (2000) stated that the stronger the fear was within a campaign, the greater the change in intention and attitudes and thus the more persuasive the campaign actually is. One model suggests that fear appeals result in two processes; danger control processes and fear control processes. The model has led to changes</w:t>
      </w:r>
      <w:r w:rsidR="004F57DE">
        <w:rPr>
          <w:rFonts w:ascii="Times" w:hAnsi="Times"/>
        </w:rPr>
        <w:t xml:space="preserve"> specifically the split between emotional and cognitive processes. Witt and Allen (2000) concluded that fear itself seemed to be a strong motivator, only when people have the belief that they are able to protect themselves. </w:t>
      </w:r>
    </w:p>
    <w:p w14:paraId="089FB3CE" w14:textId="3114AB64" w:rsidR="00617BCE" w:rsidRDefault="00617BCE" w:rsidP="00AC623E">
      <w:pPr>
        <w:spacing w:line="360" w:lineRule="auto"/>
        <w:jc w:val="center"/>
        <w:rPr>
          <w:rFonts w:ascii="Times" w:hAnsi="Times"/>
        </w:rPr>
      </w:pPr>
      <w:r>
        <w:rPr>
          <w:rFonts w:ascii="Times" w:hAnsi="Times"/>
        </w:rPr>
        <w:t xml:space="preserve">A study conducted by Zhang et al, 2015 looked at what features of social media increase physical activity. </w:t>
      </w:r>
      <w:r w:rsidR="00BE6E73">
        <w:rPr>
          <w:rFonts w:ascii="Times" w:hAnsi="Times"/>
        </w:rPr>
        <w:t xml:space="preserve"> It involved </w:t>
      </w:r>
      <w:r w:rsidR="002D2094">
        <w:rPr>
          <w:rFonts w:ascii="Times" w:hAnsi="Times"/>
        </w:rPr>
        <w:t xml:space="preserve">a 13-week social media based exercise programme called Shape-up. The programme used different exercise classes in order to help participants start an exercise routine. Each participant also had access to the Shape-up website which gave each person an anonymous profile. Participants were put into three different conditions. Participants in condition one (control group) were given access to the basic website whereas participants in condition two were given access to the basic website along with promotional messages (media condition). Condition three involved the basic website along with social network (social condition). Results regarding daily exercise found that participants within condition three (social) stated that they exercised on average an extra 1.6 days compared with 0.8 within the control group. </w:t>
      </w:r>
      <w:r w:rsidR="00006D27">
        <w:rPr>
          <w:rFonts w:ascii="Times" w:hAnsi="Times"/>
        </w:rPr>
        <w:t>However, participants within the media condition reported they exercised an extra 0.9 days which was not a statistically significant finding. Further findings from the study found that promotional messages were effective in boosting motivation and engagement within the early stages of the exercise programme. However, engagement did decrease over the course of the programme</w:t>
      </w:r>
      <w:r w:rsidR="004755A9">
        <w:rPr>
          <w:rFonts w:ascii="Times" w:hAnsi="Times"/>
        </w:rPr>
        <w:t xml:space="preserve"> and thus motivation. </w:t>
      </w:r>
      <w:r w:rsidR="00703C6B">
        <w:rPr>
          <w:rFonts w:ascii="Times" w:hAnsi="Times"/>
        </w:rPr>
        <w:t xml:space="preserve">Peer networks were found to have improved the levels of participation along with higher levels of engagement throughout the programme. One conclusion that was made from Zhang et al’s (2015) study was that an effective method of changing behaviour was to use both media campaigns and programme generated peer influence networks which would help to prolong engagement over time. </w:t>
      </w:r>
      <w:r w:rsidR="00CB5F5E">
        <w:rPr>
          <w:rFonts w:ascii="Times" w:hAnsi="Times"/>
        </w:rPr>
        <w:t xml:space="preserve">The study discussed does have some limitations. One limitation is that the sample selected only looked at graduate students which makes the results less generalizable to the wider population. </w:t>
      </w:r>
      <w:r w:rsidR="0088735F">
        <w:rPr>
          <w:rFonts w:ascii="Times" w:hAnsi="Times"/>
        </w:rPr>
        <w:t xml:space="preserve">As well as this, the use of self-reporting when measuring the amount of exercise being completed may have been inaccurate and bias. </w:t>
      </w:r>
    </w:p>
    <w:p w14:paraId="3BEDE91C" w14:textId="2B957C0B" w:rsidR="0088735F" w:rsidRDefault="0088735F" w:rsidP="00AC623E">
      <w:pPr>
        <w:spacing w:line="360" w:lineRule="auto"/>
        <w:jc w:val="center"/>
        <w:rPr>
          <w:rFonts w:ascii="Times" w:hAnsi="Times"/>
        </w:rPr>
      </w:pPr>
      <w:r>
        <w:rPr>
          <w:rFonts w:ascii="Times" w:hAnsi="Times"/>
        </w:rPr>
        <w:t xml:space="preserve">Maher et al (2014) conducted a review which looked at the effect of online social network health behaviour interventions. 2040 students were used which amounted to a total of 113,988 participants. </w:t>
      </w:r>
      <w:r w:rsidR="005356C6">
        <w:rPr>
          <w:rFonts w:ascii="Times" w:hAnsi="Times"/>
        </w:rPr>
        <w:t xml:space="preserve">Interventions included commercial online health social network websites and widely used social network sites such as Twitter. 90% of the studies that were included had improvements in at least one aspect of health behaviour change. It was concluded that social networks such as Twitter and Facebook are effective in changing some aspects of behaviour. </w:t>
      </w:r>
    </w:p>
    <w:p w14:paraId="2C852CE5" w14:textId="0C181666" w:rsidR="00741BA5" w:rsidRDefault="00C85627" w:rsidP="00741BA5">
      <w:pPr>
        <w:spacing w:line="360" w:lineRule="auto"/>
        <w:jc w:val="center"/>
        <w:rPr>
          <w:rFonts w:ascii="Times" w:hAnsi="Times"/>
        </w:rPr>
      </w:pPr>
      <w:r>
        <w:rPr>
          <w:rFonts w:ascii="Times" w:hAnsi="Times"/>
        </w:rPr>
        <w:t xml:space="preserve">A different type of media not yet discussed is the impact of entertainment companies, in particular, the use of cartoon characters. </w:t>
      </w:r>
      <w:proofErr w:type="spellStart"/>
      <w:r w:rsidR="000E1803">
        <w:rPr>
          <w:rFonts w:ascii="Times" w:hAnsi="Times"/>
        </w:rPr>
        <w:t>Kraak</w:t>
      </w:r>
      <w:proofErr w:type="spellEnd"/>
      <w:r w:rsidR="000E1803">
        <w:rPr>
          <w:rFonts w:ascii="Times" w:hAnsi="Times"/>
        </w:rPr>
        <w:t xml:space="preserve"> and Story (2015) looked at the effect that these characters had on children’s diet and health. The study reviewed 11 different papers that involved children from age 2-11 in order to collect information regarding the influence of these media characters. One finding was that the use of media characters could be an effective method in increasing children’s purchase request for intakes of fruit and vegetables instead of not using characters. Another finding was that if a cartoon character was unfamiliar to children it could increase </w:t>
      </w:r>
      <w:r w:rsidR="00D045C9">
        <w:rPr>
          <w:rFonts w:ascii="Times" w:hAnsi="Times"/>
        </w:rPr>
        <w:t xml:space="preserve">appetite as well as consumption of healthy foods. A further finding was that familiar media characters were more powerful in influencing a child’s appetite and intake for foods which were healthy. </w:t>
      </w:r>
      <w:r w:rsidR="00DA6032">
        <w:rPr>
          <w:rFonts w:ascii="Times" w:hAnsi="Times"/>
        </w:rPr>
        <w:t xml:space="preserve"> Many media campaigns such as the ones discussed above do tend to focus on influencing children. However, these campaigns don’t always have the best intentions. Guidelines are set in order for pro-social programmes to meet requirements and the needs of the target audience.</w:t>
      </w:r>
      <w:r w:rsidR="00705BDB">
        <w:rPr>
          <w:rFonts w:ascii="Times" w:hAnsi="Times"/>
        </w:rPr>
        <w:t xml:space="preserve"> G</w:t>
      </w:r>
      <w:r w:rsidR="0028647A">
        <w:rPr>
          <w:rFonts w:ascii="Times" w:hAnsi="Times"/>
        </w:rPr>
        <w:t xml:space="preserve">entile et al (2009) reported that media that is </w:t>
      </w:r>
      <w:r w:rsidR="004F58A6">
        <w:rPr>
          <w:rFonts w:ascii="Times" w:hAnsi="Times"/>
        </w:rPr>
        <w:t xml:space="preserve">interactive </w:t>
      </w:r>
      <w:r w:rsidR="00695ACC">
        <w:rPr>
          <w:rFonts w:ascii="Times" w:hAnsi="Times"/>
        </w:rPr>
        <w:t xml:space="preserve">with children can have many positive outcomes. One advantage is the development that companies are </w:t>
      </w:r>
      <w:r w:rsidR="004D7F13">
        <w:rPr>
          <w:rFonts w:ascii="Times" w:hAnsi="Times"/>
        </w:rPr>
        <w:t xml:space="preserve">putting into games for children to play and be educated about something health related. Health games research is an example </w:t>
      </w:r>
      <w:r w:rsidR="000F3C10">
        <w:rPr>
          <w:rFonts w:ascii="Times" w:hAnsi="Times"/>
        </w:rPr>
        <w:t xml:space="preserve">of a programme that is designing and researching to produce digital games that promote health which is what re-mission tried to achieve. </w:t>
      </w:r>
    </w:p>
    <w:p w14:paraId="13200C4B" w14:textId="67C569E6" w:rsidR="00741BA5" w:rsidRDefault="00741BA5" w:rsidP="00741BA5">
      <w:pPr>
        <w:spacing w:line="360" w:lineRule="auto"/>
        <w:jc w:val="center"/>
        <w:rPr>
          <w:rFonts w:ascii="Times" w:hAnsi="Times"/>
        </w:rPr>
      </w:pPr>
      <w:r>
        <w:rPr>
          <w:rFonts w:ascii="Times" w:hAnsi="Times"/>
        </w:rPr>
        <w:t>Browne and H</w:t>
      </w:r>
      <w:r w:rsidR="0023650D">
        <w:rPr>
          <w:rFonts w:ascii="Times" w:hAnsi="Times"/>
        </w:rPr>
        <w:t xml:space="preserve">amilton (2005) looked at the influence of violent media on children and adolescents. Evidence found showed that violent imagery does not have effects (short-term) on factors such as arousal and emotions but the findings were not as consistent when children were tested. In regards to sex differences, boys are supposedly meant to be more aggressive than girls after watching forms of violent media. </w:t>
      </w:r>
      <w:r w:rsidR="00583CAD">
        <w:rPr>
          <w:rFonts w:ascii="Times" w:hAnsi="Times"/>
        </w:rPr>
        <w:t xml:space="preserve">Theories such as Bandura’s Social Learning Theory can be useful in explaining why aggressive behaviour may be shown along with the effect of media. Anderson et al (2003) also looked at the influence of media violence on the youth. The </w:t>
      </w:r>
      <w:r w:rsidR="000D7E8E">
        <w:rPr>
          <w:rFonts w:ascii="Times" w:hAnsi="Times"/>
        </w:rPr>
        <w:t xml:space="preserve">television has been researched about its link with aggression. </w:t>
      </w:r>
      <w:proofErr w:type="spellStart"/>
      <w:r w:rsidR="00714F43">
        <w:rPr>
          <w:rFonts w:ascii="Times" w:hAnsi="Times"/>
        </w:rPr>
        <w:t>Centerwal</w:t>
      </w:r>
      <w:r w:rsidR="00AF3D8F">
        <w:rPr>
          <w:rFonts w:ascii="Times" w:hAnsi="Times"/>
        </w:rPr>
        <w:t>l</w:t>
      </w:r>
      <w:proofErr w:type="spellEnd"/>
      <w:r w:rsidR="00AF3D8F">
        <w:rPr>
          <w:rFonts w:ascii="Times" w:hAnsi="Times"/>
        </w:rPr>
        <w:t xml:space="preserve"> (1992, as</w:t>
      </w:r>
      <w:r w:rsidR="00E30E06">
        <w:rPr>
          <w:rFonts w:ascii="Times" w:hAnsi="Times"/>
        </w:rPr>
        <w:t xml:space="preserve"> cited</w:t>
      </w:r>
      <w:r w:rsidR="00613C6F">
        <w:rPr>
          <w:rFonts w:ascii="Times" w:hAnsi="Times"/>
        </w:rPr>
        <w:t xml:space="preserve"> by Anderson et al</w:t>
      </w:r>
      <w:r w:rsidR="00AF3D8F">
        <w:rPr>
          <w:rFonts w:ascii="Times" w:hAnsi="Times"/>
        </w:rPr>
        <w:t>,</w:t>
      </w:r>
      <w:r w:rsidR="00613C6F">
        <w:rPr>
          <w:rFonts w:ascii="Times" w:hAnsi="Times"/>
        </w:rPr>
        <w:t xml:space="preserve"> </w:t>
      </w:r>
      <w:r w:rsidR="00AF3D8F">
        <w:rPr>
          <w:rFonts w:ascii="Times" w:hAnsi="Times"/>
        </w:rPr>
        <w:t xml:space="preserve">2003) looked at the introduction of the television in the United States and South Africa and concluded that it increased interpersonal violence. </w:t>
      </w:r>
    </w:p>
    <w:p w14:paraId="0AC2AED8" w14:textId="3C309748" w:rsidR="002B235E" w:rsidRDefault="002B235E" w:rsidP="00741BA5">
      <w:pPr>
        <w:spacing w:line="360" w:lineRule="auto"/>
        <w:jc w:val="center"/>
        <w:rPr>
          <w:rFonts w:ascii="Times" w:hAnsi="Times"/>
        </w:rPr>
      </w:pPr>
      <w:r>
        <w:rPr>
          <w:rFonts w:ascii="Times" w:hAnsi="Times"/>
        </w:rPr>
        <w:t xml:space="preserve">Josephson (1987, as cited by Anderson et al, 2003) conducted an experiment which looked at the effect of violent and non-violent films on 396 boys which aged from seven to nine years old. </w:t>
      </w:r>
      <w:r w:rsidR="00FC2AE6">
        <w:rPr>
          <w:rFonts w:ascii="Times" w:hAnsi="Times"/>
        </w:rPr>
        <w:t xml:space="preserve">The violent and non-violent films were displayed to the boys prior to them taking part in a hockey game. The number of times each boy attacked someone else it was recorded by an observer. The referee in charge of the game was given a </w:t>
      </w:r>
      <w:r w:rsidR="00901078">
        <w:rPr>
          <w:rFonts w:ascii="Times" w:hAnsi="Times"/>
        </w:rPr>
        <w:t xml:space="preserve">walkie-talkie which was a visual cue that had appeared in the films that the children had watched. Josephson concluded </w:t>
      </w:r>
      <w:r w:rsidR="00D4435A">
        <w:rPr>
          <w:rFonts w:ascii="Times" w:hAnsi="Times"/>
        </w:rPr>
        <w:t>that the boys</w:t>
      </w:r>
      <w:r w:rsidR="000C1C86">
        <w:rPr>
          <w:rFonts w:ascii="Times" w:hAnsi="Times"/>
        </w:rPr>
        <w:t xml:space="preserve"> who had high scores of aggression was because of the fact that they had watched the film and that </w:t>
      </w:r>
      <w:r w:rsidR="00022718">
        <w:rPr>
          <w:rFonts w:ascii="Times" w:hAnsi="Times"/>
        </w:rPr>
        <w:t xml:space="preserve">the new cue gave constant verbal cues which </w:t>
      </w:r>
      <w:r w:rsidR="004666E7">
        <w:rPr>
          <w:rFonts w:ascii="Times" w:hAnsi="Times"/>
        </w:rPr>
        <w:t>reminded the boys of the study which consequently led to aggressive behaviour being displayed.</w:t>
      </w:r>
      <w:r w:rsidR="00E47B70">
        <w:rPr>
          <w:rFonts w:ascii="Times" w:hAnsi="Times"/>
        </w:rPr>
        <w:t xml:space="preserve"> Berkowitz (1975, as cited by Anderson et al, 2003) looked at the effect of violent movies. Boys were put into cottages </w:t>
      </w:r>
      <w:r w:rsidR="004B24FC">
        <w:rPr>
          <w:rFonts w:ascii="Times" w:hAnsi="Times"/>
        </w:rPr>
        <w:t>and given a violent movie to watch once a night for five nights. Once the films had finished, the boys were observed and any aggressive behaviour was scored.</w:t>
      </w:r>
      <w:r w:rsidR="00050EB7">
        <w:rPr>
          <w:rFonts w:ascii="Times" w:hAnsi="Times"/>
        </w:rPr>
        <w:t xml:space="preserve"> The boys who watched the violent films behaved more aggressive acts such as kicking and sleeping in comparison with the control group. </w:t>
      </w:r>
    </w:p>
    <w:p w14:paraId="4F7F17ED" w14:textId="00102238" w:rsidR="000F3F4B" w:rsidRDefault="000F3F4B" w:rsidP="00AC623E">
      <w:pPr>
        <w:spacing w:line="360" w:lineRule="auto"/>
        <w:jc w:val="center"/>
        <w:rPr>
          <w:rFonts w:ascii="Times" w:hAnsi="Times"/>
        </w:rPr>
      </w:pPr>
      <w:proofErr w:type="spellStart"/>
      <w:r>
        <w:rPr>
          <w:rFonts w:ascii="Times" w:hAnsi="Times"/>
        </w:rPr>
        <w:t>Atusingwize</w:t>
      </w:r>
      <w:proofErr w:type="spellEnd"/>
      <w:r>
        <w:rPr>
          <w:rFonts w:ascii="Times" w:hAnsi="Times"/>
        </w:rPr>
        <w:t>, Lewis and Langley (2015) reviewed tobacco media campaigns with previous research suggesting that mass media campaigns are useful and an effective method in decreasing the number of people smoking, however, they are very expensive to produce and carry out a successful one. All papers reviewed led to the same conclusions that mass media campaigns involved in tobacco control were a cost-effective strategy in lowering the number of people smoking.</w:t>
      </w:r>
    </w:p>
    <w:p w14:paraId="379C86DE" w14:textId="62380D08" w:rsidR="00D15A05" w:rsidRPr="00D15A05" w:rsidRDefault="002706D7" w:rsidP="00DA6032">
      <w:pPr>
        <w:spacing w:line="360" w:lineRule="auto"/>
        <w:jc w:val="center"/>
        <w:rPr>
          <w:rFonts w:ascii="Times" w:hAnsi="Times"/>
        </w:rPr>
      </w:pPr>
      <w:r>
        <w:rPr>
          <w:rFonts w:ascii="Times" w:hAnsi="Times"/>
        </w:rPr>
        <w:t xml:space="preserve">Looking at entertainment television, Collins et al (2003) assessed the impact of condom efficacy messages on an episode of </w:t>
      </w:r>
      <w:r>
        <w:rPr>
          <w:rFonts w:ascii="Times" w:hAnsi="Times"/>
          <w:i/>
        </w:rPr>
        <w:t xml:space="preserve">Friends </w:t>
      </w:r>
      <w:r w:rsidR="00D15A05">
        <w:rPr>
          <w:rFonts w:ascii="Times" w:hAnsi="Times"/>
        </w:rPr>
        <w:t xml:space="preserve">called condom effectiveness on adolescents. 648 participants aged 12-17 were involved with the data being collected from 78% of them. It was hypothesised that participants would take some information away regarding condoms that would be useful for the future. Findings from the study showed that 10%-17% of adolescents that watched the episode reported that they gained some new information regarding condoms. 16%-24% talked with an adult about condoms once the show had finished which shows that it had some educational value. The paper concluded that entertainment television can be a useful way in educating adolescents about sex (specifically condoms). As well as this it can be combined with the role of the parent in that they are able to watch the show and answer any questions the adolescents ask. However, there are some disadvantages to be considered within the study. One is that the use of sex within a television show may promote it in day to day behaviour. Additionally, as </w:t>
      </w:r>
      <w:r w:rsidR="00D15A05">
        <w:rPr>
          <w:rFonts w:ascii="Times" w:hAnsi="Times"/>
          <w:i/>
        </w:rPr>
        <w:t xml:space="preserve">Friends </w:t>
      </w:r>
      <w:r w:rsidR="00D15A05">
        <w:rPr>
          <w:rFonts w:ascii="Times" w:hAnsi="Times"/>
        </w:rPr>
        <w:t xml:space="preserve">is a show and not a genuine health educator, messages may not be as clear at times. It is critical that in the future, </w:t>
      </w:r>
      <w:proofErr w:type="spellStart"/>
      <w:r w:rsidR="00D15A05">
        <w:rPr>
          <w:rFonts w:ascii="Times" w:hAnsi="Times"/>
        </w:rPr>
        <w:t>Tv</w:t>
      </w:r>
      <w:proofErr w:type="spellEnd"/>
      <w:r w:rsidR="00D15A05">
        <w:rPr>
          <w:rFonts w:ascii="Times" w:hAnsi="Times"/>
        </w:rPr>
        <w:t xml:space="preserve"> shows which may choose to educate in the area of health that the information provided is clear and more importantly accurate.</w:t>
      </w:r>
      <w:r w:rsidR="00DA6032" w:rsidRPr="00DA6032">
        <w:rPr>
          <w:rFonts w:ascii="Times" w:hAnsi="Times"/>
        </w:rPr>
        <w:t xml:space="preserve"> </w:t>
      </w:r>
      <w:r w:rsidR="00DA6032">
        <w:rPr>
          <w:rFonts w:ascii="Times" w:hAnsi="Times"/>
        </w:rPr>
        <w:t>Bailey et al (2010) looked at the use of the internet in improving sexual health. One advantage of this is that important and useful messages can be posted and interacted with. The internet has been seen as an effective method in learning about sexual and reproductive health. However, Bailey et al (2010) stated that the internet may not be an appropriate place for every message regarding sexual health as they may not be as clear in comparison with other types of media. The messages and campaigns that the media put through are not always accepted ad perceived in a positive light. Atkin (2001) stated that certain messages can be seen as misleading and offense to the general public. On average, people are exposed to more negative news than positive news which leads to individuals paying more attention to the negative media (</w:t>
      </w:r>
      <w:proofErr w:type="spellStart"/>
      <w:r w:rsidR="00DA6032">
        <w:rPr>
          <w:rFonts w:ascii="Times" w:hAnsi="Times"/>
        </w:rPr>
        <w:t>Zillmann</w:t>
      </w:r>
      <w:proofErr w:type="spellEnd"/>
      <w:r w:rsidR="00DA6032">
        <w:rPr>
          <w:rFonts w:ascii="Times" w:hAnsi="Times"/>
        </w:rPr>
        <w:t xml:space="preserve"> et al, 2004).</w:t>
      </w:r>
    </w:p>
    <w:p w14:paraId="1D7EB97E" w14:textId="1B49994D" w:rsidR="000F3F4B" w:rsidRDefault="001450E9" w:rsidP="00AC623E">
      <w:pPr>
        <w:spacing w:line="360" w:lineRule="auto"/>
        <w:jc w:val="center"/>
        <w:rPr>
          <w:rFonts w:ascii="Times" w:hAnsi="Times"/>
        </w:rPr>
      </w:pPr>
      <w:r>
        <w:rPr>
          <w:rFonts w:ascii="Times" w:hAnsi="Times"/>
        </w:rPr>
        <w:t>B</w:t>
      </w:r>
      <w:r w:rsidR="00B859AA">
        <w:rPr>
          <w:rFonts w:ascii="Times" w:hAnsi="Times"/>
        </w:rPr>
        <w:t>eale et al (2007) produced a video game (re-mission) that looked at improving people’s knowledge within the area of cancer. 37 participants were involved and two conditions were used. Condition one involved participants playing an Indiana Jones game and condition two involved the game re-mission. It was hypothesized that participants that were playing the re-mission game would gain more knowledge regarding cancer once the three-month period had ended. Results from the knowledge</w:t>
      </w:r>
      <w:r w:rsidR="00DD29F7">
        <w:rPr>
          <w:rFonts w:ascii="Times" w:hAnsi="Times"/>
        </w:rPr>
        <w:t xml:space="preserve"> test showed that the participants that were playing the re-mission game had higher test scores than those that had played the Indiana Jones game. This can be linked with the theory of planned behaviour in that the participants that played the re-mission game were purposely processing the available information in the form of intention. </w:t>
      </w:r>
    </w:p>
    <w:p w14:paraId="63296E0B" w14:textId="0565FEDE" w:rsidR="007F1B45" w:rsidRDefault="005B1E45" w:rsidP="00AC623E">
      <w:pPr>
        <w:spacing w:line="360" w:lineRule="auto"/>
        <w:jc w:val="center"/>
        <w:rPr>
          <w:rFonts w:ascii="Times" w:hAnsi="Times"/>
        </w:rPr>
      </w:pPr>
      <w:r>
        <w:rPr>
          <w:rFonts w:ascii="Times" w:hAnsi="Times"/>
        </w:rPr>
        <w:t>Ogden and Mundray</w:t>
      </w:r>
      <w:r w:rsidR="00C91A30">
        <w:rPr>
          <w:rFonts w:ascii="Times" w:hAnsi="Times"/>
        </w:rPr>
        <w:t xml:space="preserve"> (1996) </w:t>
      </w:r>
      <w:r>
        <w:rPr>
          <w:rFonts w:ascii="Times" w:hAnsi="Times"/>
        </w:rPr>
        <w:t xml:space="preserve">looked into the effects that the media has on body satisfaction. </w:t>
      </w:r>
      <w:r w:rsidR="007C19B0">
        <w:rPr>
          <w:rFonts w:ascii="Times" w:hAnsi="Times"/>
        </w:rPr>
        <w:t>Bruch</w:t>
      </w:r>
      <w:r w:rsidR="00780EF2">
        <w:rPr>
          <w:rFonts w:ascii="Times" w:hAnsi="Times"/>
        </w:rPr>
        <w:t xml:space="preserve"> </w:t>
      </w:r>
      <w:r w:rsidR="00512178">
        <w:rPr>
          <w:rFonts w:ascii="Times" w:hAnsi="Times"/>
        </w:rPr>
        <w:t>(</w:t>
      </w:r>
      <w:r w:rsidR="00780EF2">
        <w:rPr>
          <w:rFonts w:ascii="Times" w:hAnsi="Times"/>
        </w:rPr>
        <w:t>1974</w:t>
      </w:r>
      <w:r w:rsidR="00512178">
        <w:rPr>
          <w:rFonts w:ascii="Times" w:hAnsi="Times"/>
        </w:rPr>
        <w:t>,</w:t>
      </w:r>
      <w:r w:rsidR="00780EF2">
        <w:rPr>
          <w:rFonts w:ascii="Times" w:hAnsi="Times"/>
        </w:rPr>
        <w:t xml:space="preserve"> as cited by Ogden</w:t>
      </w:r>
      <w:r w:rsidR="00512178">
        <w:rPr>
          <w:rFonts w:ascii="Times" w:hAnsi="Times"/>
        </w:rPr>
        <w:t xml:space="preserve"> and Mundray </w:t>
      </w:r>
      <w:r w:rsidR="00780EF2">
        <w:rPr>
          <w:rFonts w:ascii="Times" w:hAnsi="Times"/>
        </w:rPr>
        <w:t xml:space="preserve">1996) states that media stereotypes are a critical component in making the situation worse. The theory put forward by Garner et al (1980, as cited in </w:t>
      </w:r>
      <w:r w:rsidR="000D78E5">
        <w:rPr>
          <w:rFonts w:ascii="Times" w:hAnsi="Times"/>
        </w:rPr>
        <w:t xml:space="preserve">Ogden and Mundray, 1996) is that the stereotypes created by the media lead to the association between being thin (socially attractive) and fat (socially unattractive). 40 participants </w:t>
      </w:r>
      <w:r w:rsidR="00537E80">
        <w:rPr>
          <w:rFonts w:ascii="Times" w:hAnsi="Times"/>
        </w:rPr>
        <w:t>from London medical schools</w:t>
      </w:r>
      <w:r w:rsidR="00AA0616">
        <w:rPr>
          <w:rFonts w:ascii="Times" w:hAnsi="Times"/>
        </w:rPr>
        <w:t xml:space="preserve"> </w:t>
      </w:r>
      <w:r w:rsidR="000D78E5">
        <w:rPr>
          <w:rFonts w:ascii="Times" w:hAnsi="Times"/>
        </w:rPr>
        <w:t xml:space="preserve">were involved, 20 of which included males and 20 included females. </w:t>
      </w:r>
      <w:r w:rsidR="005303E0">
        <w:rPr>
          <w:rFonts w:ascii="Times" w:hAnsi="Times"/>
        </w:rPr>
        <w:t xml:space="preserve">Participants were asked different questions which included ‘How fat do you feel’ and ‘How fit do you feel’? Answers were scored and participants were also asked to estimate their body size. </w:t>
      </w:r>
      <w:r w:rsidR="00E97BF9">
        <w:rPr>
          <w:rFonts w:ascii="Times" w:hAnsi="Times"/>
        </w:rPr>
        <w:t>Results from the study showed that males perceived themselves as less fat, more toned in comparison with the female participants. Along with this</w:t>
      </w:r>
      <w:r w:rsidR="00CE62F3">
        <w:rPr>
          <w:rFonts w:ascii="Times" w:hAnsi="Times"/>
        </w:rPr>
        <w:t>,</w:t>
      </w:r>
      <w:r w:rsidR="00E97BF9">
        <w:rPr>
          <w:rFonts w:ascii="Times" w:hAnsi="Times"/>
        </w:rPr>
        <w:t xml:space="preserve"> the male participants</w:t>
      </w:r>
      <w:r w:rsidR="00CE62F3">
        <w:rPr>
          <w:rFonts w:ascii="Times" w:hAnsi="Times"/>
        </w:rPr>
        <w:t xml:space="preserve"> reported higher body satisfaction than females. The results supported previous research that a small level of exposure to thin models may worsen body dissatisfaction in individuals that have eating disorders</w:t>
      </w:r>
      <w:r w:rsidR="00C205EE">
        <w:rPr>
          <w:rFonts w:ascii="Times" w:hAnsi="Times"/>
        </w:rPr>
        <w:t xml:space="preserve"> (Waller, Hamilton</w:t>
      </w:r>
      <w:r w:rsidR="004246E9">
        <w:rPr>
          <w:rFonts w:ascii="Times" w:hAnsi="Times"/>
        </w:rPr>
        <w:t xml:space="preserve"> and Shaw, 1992). </w:t>
      </w:r>
      <w:r w:rsidR="00C205EE">
        <w:rPr>
          <w:rFonts w:ascii="Times" w:hAnsi="Times"/>
        </w:rPr>
        <w:t xml:space="preserve"> The findings infer that men show higher body satisfaction than females but are still sensitive to images used by the media. </w:t>
      </w:r>
    </w:p>
    <w:p w14:paraId="4C3367ED" w14:textId="2E329667" w:rsidR="00325E34" w:rsidRPr="001C69E9" w:rsidRDefault="00325E34" w:rsidP="00AC623E">
      <w:pPr>
        <w:spacing w:line="360" w:lineRule="auto"/>
        <w:jc w:val="center"/>
        <w:rPr>
          <w:rFonts w:ascii="Times" w:hAnsi="Times"/>
        </w:rPr>
      </w:pPr>
      <w:r>
        <w:rPr>
          <w:rFonts w:ascii="Times" w:hAnsi="Times"/>
        </w:rPr>
        <w:t xml:space="preserve">Looking back on the literature discussed it is clear to see that there are many </w:t>
      </w:r>
      <w:r w:rsidR="00351D89">
        <w:rPr>
          <w:rFonts w:ascii="Times" w:hAnsi="Times"/>
        </w:rPr>
        <w:t xml:space="preserve">different types of media </w:t>
      </w:r>
      <w:r w:rsidR="00983832">
        <w:rPr>
          <w:rFonts w:ascii="Times" w:hAnsi="Times"/>
        </w:rPr>
        <w:t>that have advantages and disadvantages when tackling health and well-being issues.</w:t>
      </w:r>
      <w:r w:rsidR="00EF329D">
        <w:rPr>
          <w:rFonts w:ascii="Times" w:hAnsi="Times"/>
        </w:rPr>
        <w:t xml:space="preserve"> </w:t>
      </w:r>
      <w:r w:rsidR="00983832">
        <w:rPr>
          <w:rFonts w:ascii="Times" w:hAnsi="Times"/>
        </w:rPr>
        <w:t xml:space="preserve">One main advantage is the work done by </w:t>
      </w:r>
      <w:r w:rsidR="007300A6">
        <w:rPr>
          <w:rFonts w:ascii="Times" w:hAnsi="Times"/>
        </w:rPr>
        <w:t xml:space="preserve">Gentile et al (2009) which looked at educating people in cancer by producing video games. However, research conducted by Ogden and Mundray (1996) found that the media has a strong influence on </w:t>
      </w:r>
      <w:r w:rsidR="008B25FD">
        <w:rPr>
          <w:rFonts w:ascii="Times" w:hAnsi="Times"/>
        </w:rPr>
        <w:t xml:space="preserve">how people perceive their own body types which can lead to social anxiety and other serious disorders. From the literature reviewed above it is clear that media offers both positives and negatives in tackling health and general well-being. </w:t>
      </w:r>
      <w:r w:rsidR="00E25C9A">
        <w:rPr>
          <w:rFonts w:ascii="Times" w:hAnsi="Times"/>
        </w:rPr>
        <w:t xml:space="preserve">I believe that media should be used in the present and in the future for said issues, however, </w:t>
      </w:r>
      <w:r w:rsidR="00AB04CF">
        <w:rPr>
          <w:rFonts w:ascii="Times" w:hAnsi="Times"/>
        </w:rPr>
        <w:t xml:space="preserve">the right type of media needs to be considered when presenting a message/campaign. </w:t>
      </w:r>
      <w:r w:rsidR="001C69E9">
        <w:rPr>
          <w:rFonts w:ascii="Times" w:hAnsi="Times"/>
        </w:rPr>
        <w:t xml:space="preserve">For example, Collins et al (2003) explained how the television show </w:t>
      </w:r>
      <w:r w:rsidR="001C69E9">
        <w:rPr>
          <w:rFonts w:ascii="Times" w:hAnsi="Times"/>
          <w:i/>
        </w:rPr>
        <w:t xml:space="preserve">Friends </w:t>
      </w:r>
      <w:r w:rsidR="001C69E9">
        <w:rPr>
          <w:rFonts w:ascii="Times" w:hAnsi="Times"/>
        </w:rPr>
        <w:t xml:space="preserve">was able to educate viewers about sexual health. However, not all media types such as the internet may be the best way to educate individuals as certain messages may be perceived in the wrong way and lead to negative factors. </w:t>
      </w:r>
      <w:bookmarkStart w:id="0" w:name="_GoBack"/>
      <w:bookmarkEnd w:id="0"/>
    </w:p>
    <w:p w14:paraId="40BA25F4" w14:textId="77777777" w:rsidR="00A7293C" w:rsidRDefault="00A7293C" w:rsidP="00AC623E">
      <w:pPr>
        <w:spacing w:line="360" w:lineRule="auto"/>
        <w:jc w:val="center"/>
        <w:rPr>
          <w:rFonts w:ascii="Times" w:hAnsi="Times"/>
        </w:rPr>
      </w:pPr>
    </w:p>
    <w:p w14:paraId="404ECA65" w14:textId="77777777" w:rsidR="00A7293C" w:rsidRDefault="00A7293C" w:rsidP="00AC623E">
      <w:pPr>
        <w:spacing w:line="360" w:lineRule="auto"/>
        <w:jc w:val="center"/>
        <w:rPr>
          <w:rFonts w:ascii="Times" w:hAnsi="Times"/>
        </w:rPr>
      </w:pPr>
    </w:p>
    <w:p w14:paraId="29B76CD8" w14:textId="77777777" w:rsidR="00A7293C" w:rsidRDefault="00A7293C" w:rsidP="00AC623E">
      <w:pPr>
        <w:spacing w:line="360" w:lineRule="auto"/>
        <w:jc w:val="center"/>
        <w:rPr>
          <w:rFonts w:ascii="Times" w:hAnsi="Times"/>
        </w:rPr>
      </w:pPr>
    </w:p>
    <w:p w14:paraId="7CD76060" w14:textId="77777777" w:rsidR="00A7293C" w:rsidRDefault="00A7293C" w:rsidP="00AC623E">
      <w:pPr>
        <w:spacing w:line="360" w:lineRule="auto"/>
        <w:jc w:val="center"/>
        <w:rPr>
          <w:rFonts w:ascii="Times" w:hAnsi="Times"/>
        </w:rPr>
      </w:pPr>
    </w:p>
    <w:p w14:paraId="6D992EC5" w14:textId="77777777" w:rsidR="00A7293C" w:rsidRDefault="00A7293C" w:rsidP="00AC623E">
      <w:pPr>
        <w:spacing w:line="360" w:lineRule="auto"/>
        <w:jc w:val="center"/>
        <w:rPr>
          <w:rFonts w:ascii="Times" w:hAnsi="Times"/>
        </w:rPr>
      </w:pPr>
    </w:p>
    <w:p w14:paraId="28A42AFD" w14:textId="77777777" w:rsidR="00A7293C" w:rsidRDefault="00A7293C" w:rsidP="00AC623E">
      <w:pPr>
        <w:spacing w:line="360" w:lineRule="auto"/>
        <w:jc w:val="center"/>
        <w:rPr>
          <w:rFonts w:ascii="Times" w:hAnsi="Times"/>
        </w:rPr>
      </w:pPr>
    </w:p>
    <w:p w14:paraId="3D11E348" w14:textId="77777777" w:rsidR="00A7293C" w:rsidRDefault="00A7293C" w:rsidP="00AC623E">
      <w:pPr>
        <w:spacing w:line="360" w:lineRule="auto"/>
        <w:jc w:val="center"/>
        <w:rPr>
          <w:rFonts w:ascii="Times" w:hAnsi="Times"/>
        </w:rPr>
      </w:pPr>
    </w:p>
    <w:p w14:paraId="724923E9" w14:textId="77777777" w:rsidR="00A7293C" w:rsidRDefault="00A7293C" w:rsidP="00AC623E">
      <w:pPr>
        <w:spacing w:line="360" w:lineRule="auto"/>
        <w:jc w:val="center"/>
        <w:rPr>
          <w:rFonts w:ascii="Times" w:hAnsi="Times"/>
        </w:rPr>
      </w:pPr>
    </w:p>
    <w:p w14:paraId="7AF38AEA" w14:textId="77777777" w:rsidR="00A7293C" w:rsidRDefault="00A7293C" w:rsidP="00AC623E">
      <w:pPr>
        <w:spacing w:line="360" w:lineRule="auto"/>
        <w:jc w:val="center"/>
        <w:rPr>
          <w:rFonts w:ascii="Times" w:hAnsi="Times"/>
        </w:rPr>
      </w:pPr>
    </w:p>
    <w:p w14:paraId="6C253B26" w14:textId="77777777" w:rsidR="00A7293C" w:rsidRDefault="00A7293C" w:rsidP="00AC623E">
      <w:pPr>
        <w:spacing w:line="360" w:lineRule="auto"/>
        <w:jc w:val="center"/>
        <w:rPr>
          <w:rFonts w:ascii="Times" w:hAnsi="Times"/>
        </w:rPr>
      </w:pPr>
    </w:p>
    <w:p w14:paraId="6B5B22A7" w14:textId="77777777" w:rsidR="00A7293C" w:rsidRDefault="00A7293C" w:rsidP="00AC623E">
      <w:pPr>
        <w:spacing w:line="360" w:lineRule="auto"/>
        <w:jc w:val="center"/>
        <w:rPr>
          <w:rFonts w:ascii="Times" w:hAnsi="Times"/>
        </w:rPr>
      </w:pPr>
    </w:p>
    <w:p w14:paraId="224D58A1" w14:textId="77777777" w:rsidR="00A7293C" w:rsidRDefault="00A7293C" w:rsidP="00AC623E">
      <w:pPr>
        <w:spacing w:line="360" w:lineRule="auto"/>
        <w:jc w:val="center"/>
        <w:rPr>
          <w:rFonts w:ascii="Times" w:hAnsi="Times"/>
        </w:rPr>
      </w:pPr>
    </w:p>
    <w:p w14:paraId="0C4DEAFD" w14:textId="77777777" w:rsidR="00A7293C" w:rsidRDefault="00A7293C" w:rsidP="00AC623E">
      <w:pPr>
        <w:spacing w:line="360" w:lineRule="auto"/>
        <w:jc w:val="center"/>
        <w:rPr>
          <w:rFonts w:ascii="Times" w:hAnsi="Times"/>
        </w:rPr>
      </w:pPr>
    </w:p>
    <w:p w14:paraId="243C9EDD" w14:textId="77777777" w:rsidR="00A7293C" w:rsidRDefault="00A7293C" w:rsidP="00AC623E">
      <w:pPr>
        <w:spacing w:line="360" w:lineRule="auto"/>
        <w:jc w:val="center"/>
        <w:rPr>
          <w:rFonts w:ascii="Times" w:hAnsi="Times"/>
        </w:rPr>
      </w:pPr>
    </w:p>
    <w:p w14:paraId="01657446" w14:textId="5C27FE45" w:rsidR="003A263C" w:rsidRDefault="00A7293C" w:rsidP="00A7293C">
      <w:pPr>
        <w:spacing w:line="360" w:lineRule="auto"/>
        <w:rPr>
          <w:rFonts w:ascii="Times" w:hAnsi="Times"/>
          <w:u w:val="single"/>
        </w:rPr>
      </w:pPr>
      <w:r w:rsidRPr="00054C1C">
        <w:rPr>
          <w:rFonts w:ascii="Times" w:hAnsi="Times"/>
          <w:u w:val="single"/>
        </w:rPr>
        <w:t>References</w:t>
      </w:r>
    </w:p>
    <w:p w14:paraId="7B08ECCE" w14:textId="77777777" w:rsidR="00A55618" w:rsidRPr="00EF329D" w:rsidRDefault="00A55618" w:rsidP="00A7293C">
      <w:pPr>
        <w:spacing w:line="360" w:lineRule="auto"/>
        <w:rPr>
          <w:rFonts w:ascii="Times" w:hAnsi="Times"/>
          <w:u w:val="single"/>
        </w:rPr>
      </w:pPr>
    </w:p>
    <w:p w14:paraId="3F71F721" w14:textId="6BAC73AA" w:rsidR="003A263C" w:rsidRDefault="003A263C" w:rsidP="00EF329D">
      <w:pPr>
        <w:spacing w:line="360" w:lineRule="auto"/>
        <w:rPr>
          <w:rFonts w:ascii="Times" w:hAnsi="Times" w:cs="Arial"/>
          <w:color w:val="222222"/>
          <w:shd w:val="clear" w:color="auto" w:fill="FFFFFF"/>
        </w:rPr>
      </w:pPr>
      <w:proofErr w:type="spellStart"/>
      <w:r w:rsidRPr="00C35ED5">
        <w:rPr>
          <w:rFonts w:ascii="Times" w:hAnsi="Times" w:cs="Arial"/>
          <w:color w:val="222222"/>
          <w:shd w:val="clear" w:color="auto" w:fill="FFFFFF"/>
        </w:rPr>
        <w:t>Abroms</w:t>
      </w:r>
      <w:proofErr w:type="spellEnd"/>
      <w:r w:rsidRPr="00C35ED5">
        <w:rPr>
          <w:rFonts w:ascii="Times" w:hAnsi="Times" w:cs="Arial"/>
          <w:color w:val="222222"/>
          <w:shd w:val="clear" w:color="auto" w:fill="FFFFFF"/>
        </w:rPr>
        <w:t xml:space="preserve">, L. C., </w:t>
      </w:r>
      <w:proofErr w:type="spellStart"/>
      <w:r w:rsidRPr="00C35ED5">
        <w:rPr>
          <w:rFonts w:ascii="Times" w:hAnsi="Times" w:cs="Arial"/>
          <w:color w:val="222222"/>
          <w:shd w:val="clear" w:color="auto" w:fill="FFFFFF"/>
        </w:rPr>
        <w:t>Schiavo</w:t>
      </w:r>
      <w:proofErr w:type="spellEnd"/>
      <w:r w:rsidRPr="00C35ED5">
        <w:rPr>
          <w:rFonts w:ascii="Times" w:hAnsi="Times" w:cs="Arial"/>
          <w:color w:val="222222"/>
          <w:shd w:val="clear" w:color="auto" w:fill="FFFFFF"/>
        </w:rPr>
        <w:t>, R., &amp; Lefebvre, C. (2008). New media cases in Cases in Public Health Communication &amp; Marketing: the promise and potential.</w:t>
      </w:r>
      <w:r w:rsidRPr="00EF329D">
        <w:rPr>
          <w:rFonts w:ascii="Times" w:hAnsi="Times" w:cs="Arial"/>
          <w:color w:val="222222"/>
          <w:shd w:val="clear" w:color="auto" w:fill="FFFFFF"/>
        </w:rPr>
        <w:t> </w:t>
      </w:r>
      <w:r w:rsidRPr="00C35ED5">
        <w:rPr>
          <w:rFonts w:ascii="Times" w:hAnsi="Times" w:cs="Arial"/>
          <w:i/>
          <w:iCs/>
          <w:color w:val="222222"/>
        </w:rPr>
        <w:t>Cases in Public Health Communication &amp; Marketing</w:t>
      </w:r>
      <w:r w:rsidRPr="00C35ED5">
        <w:rPr>
          <w:rFonts w:ascii="Times" w:hAnsi="Times" w:cs="Arial"/>
          <w:color w:val="222222"/>
          <w:shd w:val="clear" w:color="auto" w:fill="FFFFFF"/>
        </w:rPr>
        <w:t>,</w:t>
      </w:r>
      <w:r w:rsidRPr="00EF329D">
        <w:rPr>
          <w:rFonts w:ascii="Times" w:hAnsi="Times" w:cs="Arial"/>
          <w:color w:val="222222"/>
          <w:shd w:val="clear" w:color="auto" w:fill="FFFFFF"/>
        </w:rPr>
        <w:t> </w:t>
      </w:r>
      <w:r w:rsidRPr="00C35ED5">
        <w:rPr>
          <w:rFonts w:ascii="Times" w:hAnsi="Times" w:cs="Arial"/>
          <w:i/>
          <w:iCs/>
          <w:color w:val="222222"/>
        </w:rPr>
        <w:t>2</w:t>
      </w:r>
      <w:r w:rsidRPr="00C35ED5">
        <w:rPr>
          <w:rFonts w:ascii="Times" w:hAnsi="Times" w:cs="Arial"/>
          <w:color w:val="222222"/>
          <w:shd w:val="clear" w:color="auto" w:fill="FFFFFF"/>
        </w:rPr>
        <w:t>, 3-10.</w:t>
      </w:r>
    </w:p>
    <w:p w14:paraId="55180010" w14:textId="77777777" w:rsidR="00EF329D" w:rsidRPr="00EF329D" w:rsidRDefault="00EF329D" w:rsidP="00EF329D">
      <w:pPr>
        <w:spacing w:line="360" w:lineRule="auto"/>
        <w:rPr>
          <w:rFonts w:ascii="Times" w:hAnsi="Times" w:cs="Arial"/>
          <w:color w:val="222222"/>
          <w:shd w:val="clear" w:color="auto" w:fill="FFFFFF"/>
        </w:rPr>
      </w:pPr>
    </w:p>
    <w:p w14:paraId="2A40D3EB" w14:textId="0552952E" w:rsidR="00CB3392" w:rsidRDefault="00CB3392" w:rsidP="00EF329D">
      <w:pPr>
        <w:spacing w:line="360" w:lineRule="auto"/>
        <w:rPr>
          <w:rFonts w:ascii="Times" w:eastAsia="Times New Roman" w:hAnsi="Times"/>
        </w:rPr>
      </w:pPr>
      <w:r w:rsidRPr="00EF329D">
        <w:rPr>
          <w:rFonts w:ascii="Times" w:eastAsia="Times New Roman" w:hAnsi="Times" w:cs="Arial"/>
          <w:color w:val="222222"/>
          <w:shd w:val="clear" w:color="auto" w:fill="FFFFFF"/>
        </w:rPr>
        <w:t xml:space="preserve">Anderson, C. A., Berkowitz, L., </w:t>
      </w:r>
      <w:proofErr w:type="spellStart"/>
      <w:r w:rsidRPr="00EF329D">
        <w:rPr>
          <w:rFonts w:ascii="Times" w:eastAsia="Times New Roman" w:hAnsi="Times" w:cs="Arial"/>
          <w:color w:val="222222"/>
          <w:shd w:val="clear" w:color="auto" w:fill="FFFFFF"/>
        </w:rPr>
        <w:t>Donnerstein</w:t>
      </w:r>
      <w:proofErr w:type="spellEnd"/>
      <w:r w:rsidRPr="00EF329D">
        <w:rPr>
          <w:rFonts w:ascii="Times" w:eastAsia="Times New Roman" w:hAnsi="Times" w:cs="Arial"/>
          <w:color w:val="222222"/>
          <w:shd w:val="clear" w:color="auto" w:fill="FFFFFF"/>
        </w:rPr>
        <w:t xml:space="preserve">, E., </w:t>
      </w:r>
      <w:proofErr w:type="spellStart"/>
      <w:r w:rsidRPr="00EF329D">
        <w:rPr>
          <w:rFonts w:ascii="Times" w:eastAsia="Times New Roman" w:hAnsi="Times" w:cs="Arial"/>
          <w:color w:val="222222"/>
          <w:shd w:val="clear" w:color="auto" w:fill="FFFFFF"/>
        </w:rPr>
        <w:t>Huesmann</w:t>
      </w:r>
      <w:proofErr w:type="spellEnd"/>
      <w:r w:rsidRPr="00EF329D">
        <w:rPr>
          <w:rFonts w:ascii="Times" w:eastAsia="Times New Roman" w:hAnsi="Times" w:cs="Arial"/>
          <w:color w:val="222222"/>
          <w:shd w:val="clear" w:color="auto" w:fill="FFFFFF"/>
        </w:rPr>
        <w:t xml:space="preserve">, L. R., Johnson, J. D., Linz, D., ... &amp; </w:t>
      </w:r>
      <w:proofErr w:type="spellStart"/>
      <w:r w:rsidRPr="00EF329D">
        <w:rPr>
          <w:rFonts w:ascii="Times" w:eastAsia="Times New Roman" w:hAnsi="Times" w:cs="Arial"/>
          <w:color w:val="222222"/>
          <w:shd w:val="clear" w:color="auto" w:fill="FFFFFF"/>
        </w:rPr>
        <w:t>Wartella</w:t>
      </w:r>
      <w:proofErr w:type="spellEnd"/>
      <w:r w:rsidRPr="00EF329D">
        <w:rPr>
          <w:rFonts w:ascii="Times" w:eastAsia="Times New Roman" w:hAnsi="Times" w:cs="Arial"/>
          <w:color w:val="222222"/>
          <w:shd w:val="clear" w:color="auto" w:fill="FFFFFF"/>
        </w:rPr>
        <w:t>, E. (2003). The influence of media violence on youth.</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Psychological science in the public interest</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4</w:t>
      </w:r>
      <w:r w:rsidRPr="00EF329D">
        <w:rPr>
          <w:rFonts w:ascii="Times" w:eastAsia="Times New Roman" w:hAnsi="Times" w:cs="Arial"/>
          <w:color w:val="222222"/>
          <w:shd w:val="clear" w:color="auto" w:fill="FFFFFF"/>
        </w:rPr>
        <w:t>(3), 81-110.</w:t>
      </w:r>
    </w:p>
    <w:p w14:paraId="4C31BFB4" w14:textId="77777777" w:rsidR="00EF329D" w:rsidRPr="00EF329D" w:rsidRDefault="00EF329D" w:rsidP="00EF329D">
      <w:pPr>
        <w:spacing w:line="360" w:lineRule="auto"/>
        <w:rPr>
          <w:rFonts w:ascii="Times" w:eastAsia="Times New Roman" w:hAnsi="Times"/>
        </w:rPr>
      </w:pPr>
    </w:p>
    <w:p w14:paraId="1F1ECC0B" w14:textId="77777777" w:rsidR="00780667" w:rsidRPr="00EF329D" w:rsidRDefault="00780667" w:rsidP="00EF329D">
      <w:pPr>
        <w:spacing w:line="360" w:lineRule="auto"/>
        <w:rPr>
          <w:rFonts w:ascii="Times" w:eastAsia="Times New Roman" w:hAnsi="Times"/>
        </w:rPr>
      </w:pPr>
      <w:r w:rsidRPr="00EF329D">
        <w:rPr>
          <w:rFonts w:ascii="Times" w:eastAsia="Times New Roman" w:hAnsi="Times" w:cs="Arial"/>
          <w:color w:val="222222"/>
          <w:shd w:val="clear" w:color="auto" w:fill="FFFFFF"/>
        </w:rPr>
        <w:t>Atkin, C. K. (2001). Theory and principles of media health campaigns.</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Public communication campaigns</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3</w:t>
      </w:r>
      <w:r w:rsidRPr="00EF329D">
        <w:rPr>
          <w:rFonts w:ascii="Times" w:eastAsia="Times New Roman" w:hAnsi="Times" w:cs="Arial"/>
          <w:color w:val="222222"/>
          <w:shd w:val="clear" w:color="auto" w:fill="FFFFFF"/>
        </w:rPr>
        <w:t>, 49-67.</w:t>
      </w:r>
    </w:p>
    <w:p w14:paraId="563392DA" w14:textId="77777777" w:rsidR="00405D81" w:rsidRPr="00EF329D" w:rsidRDefault="00405D81" w:rsidP="00EF329D">
      <w:pPr>
        <w:spacing w:line="360" w:lineRule="auto"/>
        <w:rPr>
          <w:rFonts w:ascii="Times" w:hAnsi="Times" w:cs="Arial"/>
          <w:color w:val="222222"/>
          <w:shd w:val="clear" w:color="auto" w:fill="FFFFFF"/>
        </w:rPr>
      </w:pPr>
    </w:p>
    <w:p w14:paraId="4080E9F3" w14:textId="77777777" w:rsidR="00A55618" w:rsidRPr="00EF329D" w:rsidRDefault="00A55618" w:rsidP="00EF329D">
      <w:pPr>
        <w:spacing w:line="360" w:lineRule="auto"/>
        <w:rPr>
          <w:rFonts w:ascii="Times" w:eastAsia="Times New Roman" w:hAnsi="Times" w:cs="Arial"/>
          <w:color w:val="222222"/>
          <w:shd w:val="clear" w:color="auto" w:fill="FFFFFF"/>
        </w:rPr>
      </w:pPr>
      <w:proofErr w:type="spellStart"/>
      <w:r w:rsidRPr="00EF329D">
        <w:rPr>
          <w:rFonts w:ascii="Times" w:eastAsia="Times New Roman" w:hAnsi="Times" w:cs="Arial"/>
          <w:color w:val="222222"/>
          <w:shd w:val="clear" w:color="auto" w:fill="FFFFFF"/>
        </w:rPr>
        <w:t>Atusingwize</w:t>
      </w:r>
      <w:proofErr w:type="spellEnd"/>
      <w:r w:rsidRPr="00EF329D">
        <w:rPr>
          <w:rFonts w:ascii="Times" w:eastAsia="Times New Roman" w:hAnsi="Times" w:cs="Arial"/>
          <w:color w:val="222222"/>
          <w:shd w:val="clear" w:color="auto" w:fill="FFFFFF"/>
        </w:rPr>
        <w:t>, E., Lewis, S., &amp; Langley, T. (2015). Economic evaluations of tobacco control mass media campaigns: a systematic review.</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Tobacco control</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24</w:t>
      </w:r>
      <w:r w:rsidRPr="00EF329D">
        <w:rPr>
          <w:rFonts w:ascii="Times" w:eastAsia="Times New Roman" w:hAnsi="Times" w:cs="Arial"/>
          <w:color w:val="222222"/>
          <w:shd w:val="clear" w:color="auto" w:fill="FFFFFF"/>
        </w:rPr>
        <w:t>(4), 320-327.</w:t>
      </w:r>
    </w:p>
    <w:p w14:paraId="5902CF31" w14:textId="77777777" w:rsidR="00D53816" w:rsidRPr="00EF329D" w:rsidRDefault="00D53816" w:rsidP="00EF329D">
      <w:pPr>
        <w:spacing w:line="360" w:lineRule="auto"/>
        <w:rPr>
          <w:rFonts w:ascii="Times" w:eastAsia="Times New Roman" w:hAnsi="Times" w:cs="Arial"/>
          <w:color w:val="222222"/>
          <w:shd w:val="clear" w:color="auto" w:fill="FFFFFF"/>
        </w:rPr>
      </w:pPr>
    </w:p>
    <w:p w14:paraId="5BD36670" w14:textId="4CA4C209" w:rsidR="00D53816" w:rsidRPr="00EF329D" w:rsidRDefault="00A32505" w:rsidP="00EF329D">
      <w:pPr>
        <w:spacing w:line="360" w:lineRule="auto"/>
        <w:rPr>
          <w:rFonts w:ascii="Times" w:eastAsia="Times New Roman" w:hAnsi="Times"/>
        </w:rPr>
      </w:pPr>
      <w:r w:rsidRPr="00EF329D">
        <w:rPr>
          <w:rFonts w:ascii="Times" w:eastAsia="Times New Roman" w:hAnsi="Times" w:cs="Arial"/>
          <w:color w:val="222222"/>
          <w:shd w:val="clear" w:color="auto" w:fill="FFFFFF"/>
        </w:rPr>
        <w:t xml:space="preserve">Bailey, J. V., Murray, E., </w:t>
      </w:r>
      <w:proofErr w:type="spellStart"/>
      <w:r w:rsidRPr="00EF329D">
        <w:rPr>
          <w:rFonts w:ascii="Times" w:eastAsia="Times New Roman" w:hAnsi="Times" w:cs="Arial"/>
          <w:color w:val="222222"/>
          <w:shd w:val="clear" w:color="auto" w:fill="FFFFFF"/>
        </w:rPr>
        <w:t>Rait</w:t>
      </w:r>
      <w:proofErr w:type="spellEnd"/>
      <w:r w:rsidRPr="00EF329D">
        <w:rPr>
          <w:rFonts w:ascii="Times" w:eastAsia="Times New Roman" w:hAnsi="Times" w:cs="Arial"/>
          <w:color w:val="222222"/>
          <w:shd w:val="clear" w:color="auto" w:fill="FFFFFF"/>
        </w:rPr>
        <w:t>, G., Mercer, C. H., Morris, R. W., Peacock, R., ... &amp; Nazareth, I. (2010). Interactive computer</w:t>
      </w:r>
      <w:r w:rsidRPr="00EF329D">
        <w:rPr>
          <w:rFonts w:ascii="Calibri" w:eastAsia="Calibri" w:hAnsi="Calibri" w:cs="Calibri"/>
          <w:color w:val="222222"/>
          <w:shd w:val="clear" w:color="auto" w:fill="FFFFFF"/>
        </w:rPr>
        <w:t>‐</w:t>
      </w:r>
      <w:r w:rsidRPr="00EF329D">
        <w:rPr>
          <w:rFonts w:ascii="Times" w:eastAsia="Times New Roman" w:hAnsi="Times" w:cs="Arial"/>
          <w:color w:val="222222"/>
          <w:shd w:val="clear" w:color="auto" w:fill="FFFFFF"/>
        </w:rPr>
        <w:t>based interventions for sexual health promotion.</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The Cochrane Library</w:t>
      </w:r>
      <w:r w:rsidRPr="00EF329D">
        <w:rPr>
          <w:rFonts w:ascii="Times" w:eastAsia="Times New Roman" w:hAnsi="Times" w:cs="Arial"/>
          <w:color w:val="222222"/>
          <w:shd w:val="clear" w:color="auto" w:fill="FFFFFF"/>
        </w:rPr>
        <w:t>.</w:t>
      </w:r>
    </w:p>
    <w:p w14:paraId="2D10CF0A" w14:textId="77777777" w:rsidR="00E659F0" w:rsidRPr="00EF329D" w:rsidRDefault="00E659F0" w:rsidP="00EF329D">
      <w:pPr>
        <w:spacing w:line="360" w:lineRule="auto"/>
        <w:rPr>
          <w:rFonts w:ascii="Times" w:eastAsia="Times New Roman" w:hAnsi="Times" w:cs="Arial"/>
          <w:color w:val="222222"/>
          <w:shd w:val="clear" w:color="auto" w:fill="FFFFFF"/>
        </w:rPr>
      </w:pPr>
    </w:p>
    <w:p w14:paraId="00ADFF90" w14:textId="77777777" w:rsidR="00385B58" w:rsidRPr="00EF329D" w:rsidRDefault="00385B58" w:rsidP="00EF329D">
      <w:pPr>
        <w:spacing w:line="360" w:lineRule="auto"/>
        <w:rPr>
          <w:rFonts w:ascii="Times" w:eastAsia="Times New Roman" w:hAnsi="Times"/>
        </w:rPr>
      </w:pPr>
      <w:r w:rsidRPr="00EF329D">
        <w:rPr>
          <w:rFonts w:ascii="Times" w:eastAsia="Times New Roman" w:hAnsi="Times" w:cs="Arial"/>
          <w:color w:val="222222"/>
          <w:shd w:val="clear" w:color="auto" w:fill="FFFFFF"/>
        </w:rPr>
        <w:t>Bandura, A., &amp; Walters, R. H. (1977).</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 xml:space="preserve">Social learning </w:t>
      </w:r>
      <w:proofErr w:type="gramStart"/>
      <w:r w:rsidRPr="00EF329D">
        <w:rPr>
          <w:rFonts w:ascii="Times" w:eastAsia="Times New Roman" w:hAnsi="Times" w:cs="Arial"/>
          <w:i/>
          <w:iCs/>
          <w:color w:val="222222"/>
        </w:rPr>
        <w:t>theory</w:t>
      </w:r>
      <w:r w:rsidRPr="00EF329D">
        <w:rPr>
          <w:rFonts w:ascii="Times" w:eastAsia="Times New Roman" w:hAnsi="Times" w:cs="Arial"/>
          <w:color w:val="222222"/>
          <w:shd w:val="clear" w:color="auto" w:fill="FFFFFF"/>
        </w:rPr>
        <w:t>(</w:t>
      </w:r>
      <w:proofErr w:type="gramEnd"/>
      <w:r w:rsidRPr="00EF329D">
        <w:rPr>
          <w:rFonts w:ascii="Times" w:eastAsia="Times New Roman" w:hAnsi="Times" w:cs="Arial"/>
          <w:color w:val="222222"/>
          <w:shd w:val="clear" w:color="auto" w:fill="FFFFFF"/>
        </w:rPr>
        <w:t>Vol. 1). Englewood Cliffs, NJ: Prentice-hall.</w:t>
      </w:r>
    </w:p>
    <w:p w14:paraId="0AD901C8" w14:textId="77777777" w:rsidR="00F23925" w:rsidRPr="00EF329D" w:rsidRDefault="00F23925" w:rsidP="00EF329D">
      <w:pPr>
        <w:spacing w:line="360" w:lineRule="auto"/>
        <w:rPr>
          <w:rFonts w:ascii="Times" w:eastAsia="Times New Roman" w:hAnsi="Times" w:cs="Arial"/>
          <w:color w:val="222222"/>
          <w:shd w:val="clear" w:color="auto" w:fill="FFFFFF"/>
        </w:rPr>
      </w:pPr>
    </w:p>
    <w:p w14:paraId="5EACABD7" w14:textId="77777777" w:rsidR="007F0889" w:rsidRDefault="007F0889" w:rsidP="00EF329D">
      <w:pPr>
        <w:spacing w:line="360" w:lineRule="auto"/>
        <w:rPr>
          <w:rFonts w:ascii="Times" w:eastAsia="Times New Roman" w:hAnsi="Times" w:cs="Arial"/>
          <w:color w:val="222222"/>
          <w:shd w:val="clear" w:color="auto" w:fill="FFFFFF"/>
        </w:rPr>
      </w:pPr>
      <w:r w:rsidRPr="00EF329D">
        <w:rPr>
          <w:rFonts w:ascii="Times" w:eastAsia="Times New Roman" w:hAnsi="Times" w:cs="Arial"/>
          <w:color w:val="222222"/>
          <w:shd w:val="clear" w:color="auto" w:fill="FFFFFF"/>
        </w:rPr>
        <w:t>Beale, I. L., Kato, P. M., Marin-Bowling, V. M., Guthrie, N., &amp; Cole, S. W. (2007). Improvement in cancer-related knowledge following use of a psychoeducational video game for adolescents and young adults with cancer.</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Journal of Adolescent Health</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41</w:t>
      </w:r>
      <w:r w:rsidRPr="00EF329D">
        <w:rPr>
          <w:rFonts w:ascii="Times" w:eastAsia="Times New Roman" w:hAnsi="Times" w:cs="Arial"/>
          <w:color w:val="222222"/>
          <w:shd w:val="clear" w:color="auto" w:fill="FFFFFF"/>
        </w:rPr>
        <w:t>(3), 263-270.</w:t>
      </w:r>
    </w:p>
    <w:p w14:paraId="6DAA22B2" w14:textId="77777777" w:rsidR="00983832" w:rsidRPr="00EF329D" w:rsidRDefault="00983832" w:rsidP="00EF329D">
      <w:pPr>
        <w:spacing w:line="360" w:lineRule="auto"/>
        <w:rPr>
          <w:rFonts w:ascii="Times" w:eastAsia="Times New Roman" w:hAnsi="Times"/>
        </w:rPr>
      </w:pPr>
    </w:p>
    <w:p w14:paraId="7C7A4F5D" w14:textId="77777777" w:rsidR="005A1656" w:rsidRPr="00EF329D" w:rsidRDefault="005A1656" w:rsidP="00EF329D">
      <w:pPr>
        <w:spacing w:line="360" w:lineRule="auto"/>
        <w:rPr>
          <w:rFonts w:ascii="Times" w:eastAsia="Times New Roman" w:hAnsi="Times"/>
        </w:rPr>
      </w:pPr>
      <w:r w:rsidRPr="00EF329D">
        <w:rPr>
          <w:rFonts w:ascii="Times" w:eastAsia="Times New Roman" w:hAnsi="Times" w:cs="Arial"/>
          <w:color w:val="222222"/>
          <w:shd w:val="clear" w:color="auto" w:fill="FFFFFF"/>
        </w:rPr>
        <w:t>Browne, K. D., &amp; Hamilton-</w:t>
      </w:r>
      <w:proofErr w:type="spellStart"/>
      <w:r w:rsidRPr="00EF329D">
        <w:rPr>
          <w:rFonts w:ascii="Times" w:eastAsia="Times New Roman" w:hAnsi="Times" w:cs="Arial"/>
          <w:color w:val="222222"/>
          <w:shd w:val="clear" w:color="auto" w:fill="FFFFFF"/>
        </w:rPr>
        <w:t>Giachritsis</w:t>
      </w:r>
      <w:proofErr w:type="spellEnd"/>
      <w:r w:rsidRPr="00EF329D">
        <w:rPr>
          <w:rFonts w:ascii="Times" w:eastAsia="Times New Roman" w:hAnsi="Times" w:cs="Arial"/>
          <w:color w:val="222222"/>
          <w:shd w:val="clear" w:color="auto" w:fill="FFFFFF"/>
        </w:rPr>
        <w:t>, C. (2005). The influence of violent media on children and adolescents: a public-health approach.</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The Lancet</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365</w:t>
      </w:r>
      <w:r w:rsidRPr="00EF329D">
        <w:rPr>
          <w:rFonts w:ascii="Times" w:eastAsia="Times New Roman" w:hAnsi="Times" w:cs="Arial"/>
          <w:color w:val="222222"/>
          <w:shd w:val="clear" w:color="auto" w:fill="FFFFFF"/>
        </w:rPr>
        <w:t>(9460), 702-710.</w:t>
      </w:r>
    </w:p>
    <w:p w14:paraId="21982673" w14:textId="77777777" w:rsidR="00E659F0" w:rsidRPr="00EF329D" w:rsidRDefault="00E659F0" w:rsidP="00EF329D">
      <w:pPr>
        <w:spacing w:line="360" w:lineRule="auto"/>
        <w:rPr>
          <w:rFonts w:ascii="Times" w:eastAsia="Times New Roman" w:hAnsi="Times" w:cs="Arial"/>
          <w:color w:val="222222"/>
          <w:shd w:val="clear" w:color="auto" w:fill="FFFFFF"/>
        </w:rPr>
      </w:pPr>
    </w:p>
    <w:p w14:paraId="31D75626" w14:textId="77777777" w:rsidR="00E659F0" w:rsidRPr="00EF329D" w:rsidRDefault="00E659F0" w:rsidP="00EF329D">
      <w:pPr>
        <w:spacing w:line="360" w:lineRule="auto"/>
        <w:rPr>
          <w:rFonts w:ascii="Times" w:eastAsia="Times New Roman" w:hAnsi="Times" w:cs="Arial"/>
          <w:color w:val="222222"/>
          <w:shd w:val="clear" w:color="auto" w:fill="FFFFFF"/>
        </w:rPr>
      </w:pPr>
      <w:r w:rsidRPr="00EF329D">
        <w:rPr>
          <w:rFonts w:ascii="Times" w:eastAsia="Times New Roman" w:hAnsi="Times" w:cs="Arial"/>
          <w:color w:val="222222"/>
          <w:shd w:val="clear" w:color="auto" w:fill="FFFFFF"/>
        </w:rPr>
        <w:t xml:space="preserve">Collins, R. L., Elliott, M. N., Berry, S. H., </w:t>
      </w:r>
      <w:proofErr w:type="spellStart"/>
      <w:r w:rsidRPr="00EF329D">
        <w:rPr>
          <w:rFonts w:ascii="Times" w:eastAsia="Times New Roman" w:hAnsi="Times" w:cs="Arial"/>
          <w:color w:val="222222"/>
          <w:shd w:val="clear" w:color="auto" w:fill="FFFFFF"/>
        </w:rPr>
        <w:t>Kanouse</w:t>
      </w:r>
      <w:proofErr w:type="spellEnd"/>
      <w:r w:rsidRPr="00EF329D">
        <w:rPr>
          <w:rFonts w:ascii="Times" w:eastAsia="Times New Roman" w:hAnsi="Times" w:cs="Arial"/>
          <w:color w:val="222222"/>
          <w:shd w:val="clear" w:color="auto" w:fill="FFFFFF"/>
        </w:rPr>
        <w:t>, D. E., &amp; Hunter, S. B. (2003). Entertainment television as a healthy sex educator: The impact of condom-efficacy information in an episode of Friends.</w:t>
      </w:r>
      <w:r w:rsidRPr="00EF329D">
        <w:rPr>
          <w:rStyle w:val="apple-converted-space"/>
          <w:rFonts w:ascii="Times" w:eastAsia="Times New Roman" w:hAnsi="Times" w:cs="Arial"/>
          <w:color w:val="222222"/>
          <w:shd w:val="clear" w:color="auto" w:fill="FFFFFF"/>
        </w:rPr>
        <w:t> </w:t>
      </w:r>
      <w:proofErr w:type="spellStart"/>
      <w:r w:rsidRPr="00EF329D">
        <w:rPr>
          <w:rFonts w:ascii="Times" w:eastAsia="Times New Roman" w:hAnsi="Times" w:cs="Arial"/>
          <w:i/>
          <w:iCs/>
          <w:color w:val="222222"/>
        </w:rPr>
        <w:t>Pediatrics</w:t>
      </w:r>
      <w:proofErr w:type="spellEnd"/>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112</w:t>
      </w:r>
      <w:r w:rsidRPr="00EF329D">
        <w:rPr>
          <w:rFonts w:ascii="Times" w:eastAsia="Times New Roman" w:hAnsi="Times" w:cs="Arial"/>
          <w:color w:val="222222"/>
          <w:shd w:val="clear" w:color="auto" w:fill="FFFFFF"/>
        </w:rPr>
        <w:t>(5), 1115-1121.</w:t>
      </w:r>
    </w:p>
    <w:p w14:paraId="5446D097" w14:textId="77777777" w:rsidR="00E64B0F" w:rsidRPr="00EF329D" w:rsidRDefault="00E64B0F" w:rsidP="00EF329D">
      <w:pPr>
        <w:spacing w:line="360" w:lineRule="auto"/>
        <w:rPr>
          <w:rFonts w:ascii="Times" w:eastAsia="Times New Roman" w:hAnsi="Times" w:cs="Arial"/>
          <w:color w:val="222222"/>
          <w:shd w:val="clear" w:color="auto" w:fill="FFFFFF"/>
        </w:rPr>
      </w:pPr>
    </w:p>
    <w:p w14:paraId="145AF34B" w14:textId="7355600C" w:rsidR="003A263C" w:rsidRDefault="00E64B0F" w:rsidP="00EF329D">
      <w:pPr>
        <w:spacing w:line="360" w:lineRule="auto"/>
        <w:rPr>
          <w:rFonts w:ascii="Times" w:eastAsia="Times New Roman" w:hAnsi="Times"/>
        </w:rPr>
      </w:pPr>
      <w:r w:rsidRPr="00EF329D">
        <w:rPr>
          <w:rFonts w:ascii="Times" w:eastAsia="Times New Roman" w:hAnsi="Times" w:cs="Arial"/>
          <w:color w:val="222222"/>
          <w:shd w:val="clear" w:color="auto" w:fill="FFFFFF"/>
        </w:rPr>
        <w:t>Gentile, D. (2009). Pathological video-game use among youth ages 8 to 18: a national study.</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Psychological science</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20</w:t>
      </w:r>
      <w:r w:rsidRPr="00EF329D">
        <w:rPr>
          <w:rFonts w:ascii="Times" w:eastAsia="Times New Roman" w:hAnsi="Times" w:cs="Arial"/>
          <w:color w:val="222222"/>
          <w:shd w:val="clear" w:color="auto" w:fill="FFFFFF"/>
        </w:rPr>
        <w:t>(5), 594-602.</w:t>
      </w:r>
    </w:p>
    <w:p w14:paraId="2D529B2E" w14:textId="77777777" w:rsidR="00EF329D" w:rsidRPr="00EF329D" w:rsidRDefault="00EF329D" w:rsidP="00EF329D">
      <w:pPr>
        <w:spacing w:line="360" w:lineRule="auto"/>
        <w:rPr>
          <w:rFonts w:ascii="Times" w:eastAsia="Times New Roman" w:hAnsi="Times"/>
        </w:rPr>
      </w:pPr>
    </w:p>
    <w:p w14:paraId="4EEE818E" w14:textId="2B944CDC" w:rsidR="00386340" w:rsidRPr="00EF329D" w:rsidRDefault="003A263C" w:rsidP="00EF329D">
      <w:pPr>
        <w:spacing w:line="360" w:lineRule="auto"/>
        <w:rPr>
          <w:rFonts w:ascii="Times" w:hAnsi="Times" w:cs="Arial"/>
          <w:color w:val="222222"/>
          <w:shd w:val="clear" w:color="auto" w:fill="FFFFFF"/>
        </w:rPr>
      </w:pPr>
      <w:r w:rsidRPr="00390AF9">
        <w:rPr>
          <w:rFonts w:ascii="Times" w:hAnsi="Times" w:cs="Arial"/>
          <w:color w:val="222222"/>
          <w:shd w:val="clear" w:color="auto" w:fill="FFFFFF"/>
        </w:rPr>
        <w:t>Kotler, P., &amp; Lee, N. (2008).</w:t>
      </w:r>
      <w:r w:rsidRPr="00EF329D">
        <w:rPr>
          <w:rFonts w:ascii="Times" w:hAnsi="Times" w:cs="Arial"/>
          <w:color w:val="222222"/>
          <w:shd w:val="clear" w:color="auto" w:fill="FFFFFF"/>
        </w:rPr>
        <w:t> </w:t>
      </w:r>
      <w:r w:rsidRPr="00390AF9">
        <w:rPr>
          <w:rFonts w:ascii="Times" w:hAnsi="Times" w:cs="Arial"/>
          <w:i/>
          <w:iCs/>
          <w:color w:val="222222"/>
        </w:rPr>
        <w:t xml:space="preserve">Corporate social responsibility: Doing the </w:t>
      </w:r>
      <w:proofErr w:type="gramStart"/>
      <w:r w:rsidRPr="00390AF9">
        <w:rPr>
          <w:rFonts w:ascii="Times" w:hAnsi="Times" w:cs="Arial"/>
          <w:i/>
          <w:iCs/>
          <w:color w:val="222222"/>
        </w:rPr>
        <w:t>most good</w:t>
      </w:r>
      <w:proofErr w:type="gramEnd"/>
      <w:r w:rsidRPr="00390AF9">
        <w:rPr>
          <w:rFonts w:ascii="Times" w:hAnsi="Times" w:cs="Arial"/>
          <w:i/>
          <w:iCs/>
          <w:color w:val="222222"/>
        </w:rPr>
        <w:t xml:space="preserve"> for your company and your cause</w:t>
      </w:r>
      <w:r w:rsidRPr="00390AF9">
        <w:rPr>
          <w:rFonts w:ascii="Times" w:hAnsi="Times" w:cs="Arial"/>
          <w:color w:val="222222"/>
          <w:shd w:val="clear" w:color="auto" w:fill="FFFFFF"/>
        </w:rPr>
        <w:t>. John Wiley &amp; Sons.</w:t>
      </w:r>
    </w:p>
    <w:p w14:paraId="686E1854" w14:textId="77777777" w:rsidR="00386340" w:rsidRPr="00EF329D" w:rsidRDefault="00386340" w:rsidP="00EF329D">
      <w:pPr>
        <w:spacing w:line="360" w:lineRule="auto"/>
        <w:rPr>
          <w:rFonts w:ascii="Times" w:eastAsia="Times New Roman" w:hAnsi="Times"/>
        </w:rPr>
      </w:pPr>
      <w:r w:rsidRPr="00EF329D">
        <w:rPr>
          <w:rFonts w:ascii="Times" w:eastAsia="Times New Roman" w:hAnsi="Times" w:cs="Arial"/>
          <w:color w:val="222222"/>
          <w:shd w:val="clear" w:color="auto" w:fill="FFFFFF"/>
        </w:rPr>
        <w:t xml:space="preserve">Kohlberg, L., &amp; </w:t>
      </w:r>
      <w:proofErr w:type="spellStart"/>
      <w:r w:rsidRPr="00EF329D">
        <w:rPr>
          <w:rFonts w:ascii="Times" w:eastAsia="Times New Roman" w:hAnsi="Times" w:cs="Arial"/>
          <w:color w:val="222222"/>
          <w:shd w:val="clear" w:color="auto" w:fill="FFFFFF"/>
        </w:rPr>
        <w:t>Hersh</w:t>
      </w:r>
      <w:proofErr w:type="spellEnd"/>
      <w:r w:rsidRPr="00EF329D">
        <w:rPr>
          <w:rFonts w:ascii="Times" w:eastAsia="Times New Roman" w:hAnsi="Times" w:cs="Arial"/>
          <w:color w:val="222222"/>
          <w:shd w:val="clear" w:color="auto" w:fill="FFFFFF"/>
        </w:rPr>
        <w:t>, R. H. (1977). Moral development: A review of the theory.</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Theory into practice</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16</w:t>
      </w:r>
      <w:r w:rsidRPr="00EF329D">
        <w:rPr>
          <w:rFonts w:ascii="Times" w:eastAsia="Times New Roman" w:hAnsi="Times" w:cs="Arial"/>
          <w:color w:val="222222"/>
          <w:shd w:val="clear" w:color="auto" w:fill="FFFFFF"/>
        </w:rPr>
        <w:t>(2), 53-59.</w:t>
      </w:r>
    </w:p>
    <w:p w14:paraId="2CF1481F" w14:textId="77777777" w:rsidR="00C27D56" w:rsidRPr="00EF329D" w:rsidRDefault="00C27D56" w:rsidP="00EF329D">
      <w:pPr>
        <w:spacing w:line="360" w:lineRule="auto"/>
        <w:rPr>
          <w:rFonts w:ascii="Times" w:hAnsi="Times" w:cs="Arial"/>
          <w:color w:val="222222"/>
          <w:shd w:val="clear" w:color="auto" w:fill="FFFFFF"/>
        </w:rPr>
      </w:pPr>
    </w:p>
    <w:p w14:paraId="3A6CC608" w14:textId="77777777" w:rsidR="0059371D" w:rsidRPr="00EF329D" w:rsidRDefault="0059371D" w:rsidP="00EF329D">
      <w:pPr>
        <w:spacing w:line="360" w:lineRule="auto"/>
        <w:rPr>
          <w:rFonts w:ascii="Times" w:eastAsia="Times New Roman" w:hAnsi="Times"/>
        </w:rPr>
      </w:pPr>
      <w:proofErr w:type="spellStart"/>
      <w:r w:rsidRPr="00EF329D">
        <w:rPr>
          <w:rFonts w:ascii="Times" w:eastAsia="Times New Roman" w:hAnsi="Times" w:cs="Arial"/>
          <w:color w:val="222222"/>
          <w:shd w:val="clear" w:color="auto" w:fill="FFFFFF"/>
        </w:rPr>
        <w:t>Kraak</w:t>
      </w:r>
      <w:proofErr w:type="spellEnd"/>
      <w:r w:rsidRPr="00EF329D">
        <w:rPr>
          <w:rFonts w:ascii="Times" w:eastAsia="Times New Roman" w:hAnsi="Times" w:cs="Arial"/>
          <w:color w:val="222222"/>
          <w:shd w:val="clear" w:color="auto" w:fill="FFFFFF"/>
        </w:rPr>
        <w:t>, V. I., &amp; Story, M. (2015). Influence of food companies' brand mascots and entertainment companies' cartoon media characters on children's diet and health: a systematic review and research needs.</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obesity reviews</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16</w:t>
      </w:r>
      <w:r w:rsidRPr="00EF329D">
        <w:rPr>
          <w:rFonts w:ascii="Times" w:eastAsia="Times New Roman" w:hAnsi="Times" w:cs="Arial"/>
          <w:color w:val="222222"/>
          <w:shd w:val="clear" w:color="auto" w:fill="FFFFFF"/>
        </w:rPr>
        <w:t>(2), 107-126.</w:t>
      </w:r>
    </w:p>
    <w:p w14:paraId="7263B6AC" w14:textId="77777777" w:rsidR="003A263C" w:rsidRPr="00EF329D" w:rsidRDefault="003A263C" w:rsidP="00EF329D">
      <w:pPr>
        <w:spacing w:line="360" w:lineRule="auto"/>
        <w:rPr>
          <w:rFonts w:ascii="Times" w:eastAsia="Times New Roman" w:hAnsi="Times"/>
        </w:rPr>
      </w:pPr>
    </w:p>
    <w:p w14:paraId="5CEDAA74" w14:textId="77777777" w:rsidR="006E61DF" w:rsidRPr="00EF329D" w:rsidRDefault="006E61DF" w:rsidP="00EF329D">
      <w:pPr>
        <w:spacing w:line="360" w:lineRule="auto"/>
        <w:rPr>
          <w:rFonts w:ascii="Times" w:eastAsia="Times New Roman" w:hAnsi="Times" w:cs="Arial"/>
          <w:color w:val="222222"/>
          <w:shd w:val="clear" w:color="auto" w:fill="FFFFFF"/>
        </w:rPr>
      </w:pPr>
      <w:r w:rsidRPr="00EF329D">
        <w:rPr>
          <w:rFonts w:ascii="Times" w:eastAsia="Times New Roman" w:hAnsi="Times" w:cs="Arial"/>
          <w:color w:val="222222"/>
          <w:shd w:val="clear" w:color="auto" w:fill="FFFFFF"/>
        </w:rPr>
        <w:t xml:space="preserve">Maher, C. A., Lewis, L. K., </w:t>
      </w:r>
      <w:proofErr w:type="spellStart"/>
      <w:r w:rsidRPr="00EF329D">
        <w:rPr>
          <w:rFonts w:ascii="Times" w:eastAsia="Times New Roman" w:hAnsi="Times" w:cs="Arial"/>
          <w:color w:val="222222"/>
          <w:shd w:val="clear" w:color="auto" w:fill="FFFFFF"/>
        </w:rPr>
        <w:t>Ferrar</w:t>
      </w:r>
      <w:proofErr w:type="spellEnd"/>
      <w:r w:rsidRPr="00EF329D">
        <w:rPr>
          <w:rFonts w:ascii="Times" w:eastAsia="Times New Roman" w:hAnsi="Times" w:cs="Arial"/>
          <w:color w:val="222222"/>
          <w:shd w:val="clear" w:color="auto" w:fill="FFFFFF"/>
        </w:rPr>
        <w:t xml:space="preserve">, K., Marshall, S., De </w:t>
      </w:r>
      <w:proofErr w:type="spellStart"/>
      <w:r w:rsidRPr="00EF329D">
        <w:rPr>
          <w:rFonts w:ascii="Times" w:eastAsia="Times New Roman" w:hAnsi="Times" w:cs="Arial"/>
          <w:color w:val="222222"/>
          <w:shd w:val="clear" w:color="auto" w:fill="FFFFFF"/>
        </w:rPr>
        <w:t>Bourdeaudhuij</w:t>
      </w:r>
      <w:proofErr w:type="spellEnd"/>
      <w:r w:rsidRPr="00EF329D">
        <w:rPr>
          <w:rFonts w:ascii="Times" w:eastAsia="Times New Roman" w:hAnsi="Times" w:cs="Arial"/>
          <w:color w:val="222222"/>
          <w:shd w:val="clear" w:color="auto" w:fill="FFFFFF"/>
        </w:rPr>
        <w:t xml:space="preserve">, I., &amp; </w:t>
      </w:r>
      <w:proofErr w:type="spellStart"/>
      <w:r w:rsidRPr="00EF329D">
        <w:rPr>
          <w:rFonts w:ascii="Times" w:eastAsia="Times New Roman" w:hAnsi="Times" w:cs="Arial"/>
          <w:color w:val="222222"/>
          <w:shd w:val="clear" w:color="auto" w:fill="FFFFFF"/>
        </w:rPr>
        <w:t>Vandelanotte</w:t>
      </w:r>
      <w:proofErr w:type="spellEnd"/>
      <w:r w:rsidRPr="00EF329D">
        <w:rPr>
          <w:rFonts w:ascii="Times" w:eastAsia="Times New Roman" w:hAnsi="Times" w:cs="Arial"/>
          <w:color w:val="222222"/>
          <w:shd w:val="clear" w:color="auto" w:fill="FFFFFF"/>
        </w:rPr>
        <w:t xml:space="preserve">, C. (2014). Are health </w:t>
      </w:r>
      <w:proofErr w:type="spellStart"/>
      <w:r w:rsidRPr="00EF329D">
        <w:rPr>
          <w:rFonts w:ascii="Times" w:eastAsia="Times New Roman" w:hAnsi="Times" w:cs="Arial"/>
          <w:color w:val="222222"/>
          <w:shd w:val="clear" w:color="auto" w:fill="FFFFFF"/>
        </w:rPr>
        <w:t>behavior</w:t>
      </w:r>
      <w:proofErr w:type="spellEnd"/>
      <w:r w:rsidRPr="00EF329D">
        <w:rPr>
          <w:rFonts w:ascii="Times" w:eastAsia="Times New Roman" w:hAnsi="Times" w:cs="Arial"/>
          <w:color w:val="222222"/>
          <w:shd w:val="clear" w:color="auto" w:fill="FFFFFF"/>
        </w:rPr>
        <w:t xml:space="preserve"> change interventions that use online social networks effective? A systematic review.</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Journal of medical Internet research</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16</w:t>
      </w:r>
      <w:r w:rsidRPr="00EF329D">
        <w:rPr>
          <w:rFonts w:ascii="Times" w:eastAsia="Times New Roman" w:hAnsi="Times" w:cs="Arial"/>
          <w:color w:val="222222"/>
          <w:shd w:val="clear" w:color="auto" w:fill="FFFFFF"/>
        </w:rPr>
        <w:t>(2).</w:t>
      </w:r>
    </w:p>
    <w:p w14:paraId="5E65561A" w14:textId="77777777" w:rsidR="00220F7D" w:rsidRPr="00EF329D" w:rsidRDefault="00220F7D" w:rsidP="00EF329D">
      <w:pPr>
        <w:spacing w:line="360" w:lineRule="auto"/>
        <w:rPr>
          <w:rFonts w:ascii="Times" w:eastAsia="Times New Roman" w:hAnsi="Times"/>
        </w:rPr>
      </w:pPr>
    </w:p>
    <w:p w14:paraId="1DFBC29A" w14:textId="77777777" w:rsidR="00220F7D" w:rsidRPr="00EF329D" w:rsidRDefault="00220F7D" w:rsidP="00EF329D">
      <w:pPr>
        <w:spacing w:line="360" w:lineRule="auto"/>
        <w:rPr>
          <w:rFonts w:ascii="Times" w:eastAsia="Times New Roman" w:hAnsi="Times"/>
        </w:rPr>
      </w:pPr>
      <w:r w:rsidRPr="00EF329D">
        <w:rPr>
          <w:rFonts w:ascii="Times" w:eastAsia="Times New Roman" w:hAnsi="Times" w:cs="Arial"/>
          <w:color w:val="222222"/>
          <w:shd w:val="clear" w:color="auto" w:fill="FFFFFF"/>
        </w:rPr>
        <w:t>Ogden, J. E., &amp; Mundray, K. (1996). The effect of the media on body satisfaction: The role of gender and size.</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European Eating Disorders Review</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4</w:t>
      </w:r>
      <w:r w:rsidRPr="00EF329D">
        <w:rPr>
          <w:rFonts w:ascii="Times" w:eastAsia="Times New Roman" w:hAnsi="Times" w:cs="Arial"/>
          <w:color w:val="222222"/>
          <w:shd w:val="clear" w:color="auto" w:fill="FFFFFF"/>
        </w:rPr>
        <w:t>(3), 171-182.</w:t>
      </w:r>
    </w:p>
    <w:p w14:paraId="3544E2A0" w14:textId="77777777" w:rsidR="006E61DF" w:rsidRPr="00390AF9" w:rsidRDefault="006E61DF" w:rsidP="00EF329D">
      <w:pPr>
        <w:spacing w:line="360" w:lineRule="auto"/>
        <w:rPr>
          <w:rFonts w:ascii="Times" w:eastAsia="Times New Roman" w:hAnsi="Times"/>
        </w:rPr>
      </w:pPr>
    </w:p>
    <w:p w14:paraId="687B8453" w14:textId="77777777" w:rsidR="003A263C" w:rsidRPr="00EF329D" w:rsidRDefault="003A263C" w:rsidP="00EF329D">
      <w:pPr>
        <w:spacing w:line="360" w:lineRule="auto"/>
        <w:rPr>
          <w:rFonts w:ascii="Times" w:eastAsia="Times New Roman" w:hAnsi="Times" w:cs="Arial"/>
          <w:color w:val="222222"/>
          <w:shd w:val="clear" w:color="auto" w:fill="FFFFFF"/>
        </w:rPr>
      </w:pPr>
      <w:r w:rsidRPr="00EF329D">
        <w:rPr>
          <w:rFonts w:ascii="Times" w:eastAsia="Times New Roman" w:hAnsi="Times" w:cs="Arial"/>
          <w:color w:val="222222"/>
          <w:shd w:val="clear" w:color="auto" w:fill="FFFFFF"/>
        </w:rPr>
        <w:t xml:space="preserve">Prochaska, J. O., </w:t>
      </w:r>
      <w:proofErr w:type="spellStart"/>
      <w:r w:rsidRPr="00EF329D">
        <w:rPr>
          <w:rFonts w:ascii="Times" w:eastAsia="Times New Roman" w:hAnsi="Times" w:cs="Arial"/>
          <w:color w:val="222222"/>
          <w:shd w:val="clear" w:color="auto" w:fill="FFFFFF"/>
        </w:rPr>
        <w:t>DiClemente</w:t>
      </w:r>
      <w:proofErr w:type="spellEnd"/>
      <w:r w:rsidRPr="00EF329D">
        <w:rPr>
          <w:rFonts w:ascii="Times" w:eastAsia="Times New Roman" w:hAnsi="Times" w:cs="Arial"/>
          <w:color w:val="222222"/>
          <w:shd w:val="clear" w:color="auto" w:fill="FFFFFF"/>
        </w:rPr>
        <w:t xml:space="preserve">, C. C., &amp; Norcross, J. C. (1992). In search of how people change: Applications </w:t>
      </w:r>
      <w:proofErr w:type="gramStart"/>
      <w:r w:rsidRPr="00EF329D">
        <w:rPr>
          <w:rFonts w:ascii="Times" w:eastAsia="Times New Roman" w:hAnsi="Times" w:cs="Arial"/>
          <w:color w:val="222222"/>
          <w:shd w:val="clear" w:color="auto" w:fill="FFFFFF"/>
        </w:rPr>
        <w:t>to</w:t>
      </w:r>
      <w:proofErr w:type="gramEnd"/>
      <w:r w:rsidRPr="00EF329D">
        <w:rPr>
          <w:rFonts w:ascii="Times" w:eastAsia="Times New Roman" w:hAnsi="Times" w:cs="Arial"/>
          <w:color w:val="222222"/>
          <w:shd w:val="clear" w:color="auto" w:fill="FFFFFF"/>
        </w:rPr>
        <w:t xml:space="preserve"> addictive </w:t>
      </w:r>
      <w:proofErr w:type="spellStart"/>
      <w:r w:rsidRPr="00EF329D">
        <w:rPr>
          <w:rFonts w:ascii="Times" w:eastAsia="Times New Roman" w:hAnsi="Times" w:cs="Arial"/>
          <w:color w:val="222222"/>
          <w:shd w:val="clear" w:color="auto" w:fill="FFFFFF"/>
        </w:rPr>
        <w:t>behaviors</w:t>
      </w:r>
      <w:proofErr w:type="spellEnd"/>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American psychologist</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47</w:t>
      </w:r>
      <w:r w:rsidRPr="00EF329D">
        <w:rPr>
          <w:rFonts w:ascii="Times" w:eastAsia="Times New Roman" w:hAnsi="Times" w:cs="Arial"/>
          <w:color w:val="222222"/>
          <w:shd w:val="clear" w:color="auto" w:fill="FFFFFF"/>
        </w:rPr>
        <w:t>(9), 1102.</w:t>
      </w:r>
    </w:p>
    <w:p w14:paraId="23F4C79B" w14:textId="77777777" w:rsidR="00C205EE" w:rsidRPr="00EF329D" w:rsidRDefault="00C205EE" w:rsidP="00EF329D">
      <w:pPr>
        <w:spacing w:line="360" w:lineRule="auto"/>
        <w:rPr>
          <w:rFonts w:ascii="Times" w:eastAsia="Times New Roman" w:hAnsi="Times" w:cs="Arial"/>
          <w:color w:val="222222"/>
          <w:shd w:val="clear" w:color="auto" w:fill="FFFFFF"/>
        </w:rPr>
      </w:pPr>
    </w:p>
    <w:p w14:paraId="6C93B0BF" w14:textId="77777777" w:rsidR="00C205EE" w:rsidRPr="00EF329D" w:rsidRDefault="00C205EE" w:rsidP="00EF329D">
      <w:pPr>
        <w:spacing w:line="360" w:lineRule="auto"/>
        <w:rPr>
          <w:rFonts w:ascii="Times" w:eastAsia="Times New Roman" w:hAnsi="Times"/>
        </w:rPr>
      </w:pPr>
      <w:r w:rsidRPr="00EF329D">
        <w:rPr>
          <w:rFonts w:ascii="Times" w:eastAsia="Times New Roman" w:hAnsi="Times" w:cs="Arial"/>
          <w:color w:val="222222"/>
          <w:shd w:val="clear" w:color="auto" w:fill="FFFFFF"/>
        </w:rPr>
        <w:t>Waller, G., Hamilton, K., &amp; Shaw, J. (1992). Media influences on body size estimation in eating disordered and comparison subjects.</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British Review of Bulimia &amp; Anorexia Nervosa</w:t>
      </w:r>
      <w:r w:rsidRPr="00EF329D">
        <w:rPr>
          <w:rFonts w:ascii="Times" w:eastAsia="Times New Roman" w:hAnsi="Times" w:cs="Arial"/>
          <w:color w:val="222222"/>
          <w:shd w:val="clear" w:color="auto" w:fill="FFFFFF"/>
        </w:rPr>
        <w:t>.</w:t>
      </w:r>
    </w:p>
    <w:p w14:paraId="65904B7A" w14:textId="77777777" w:rsidR="003A263C" w:rsidRPr="00EF329D" w:rsidRDefault="003A263C" w:rsidP="00EF329D">
      <w:pPr>
        <w:spacing w:line="360" w:lineRule="auto"/>
        <w:rPr>
          <w:rFonts w:ascii="Times" w:eastAsia="Times New Roman" w:hAnsi="Times"/>
        </w:rPr>
      </w:pPr>
    </w:p>
    <w:p w14:paraId="66FD094E" w14:textId="4BE26B5B" w:rsidR="003A263C" w:rsidRPr="00EF329D" w:rsidRDefault="003A263C" w:rsidP="00EF329D">
      <w:pPr>
        <w:spacing w:line="360" w:lineRule="auto"/>
        <w:rPr>
          <w:rFonts w:ascii="Times" w:eastAsia="Times New Roman" w:hAnsi="Times"/>
        </w:rPr>
      </w:pPr>
      <w:r w:rsidRPr="00EF329D">
        <w:rPr>
          <w:rFonts w:ascii="Times" w:eastAsia="Times New Roman" w:hAnsi="Times" w:cs="Arial"/>
          <w:color w:val="222222"/>
          <w:shd w:val="clear" w:color="auto" w:fill="FFFFFF"/>
        </w:rPr>
        <w:t xml:space="preserve">Wakefield, M. A., </w:t>
      </w:r>
      <w:proofErr w:type="spellStart"/>
      <w:r w:rsidRPr="00EF329D">
        <w:rPr>
          <w:rFonts w:ascii="Times" w:eastAsia="Times New Roman" w:hAnsi="Times" w:cs="Arial"/>
          <w:color w:val="222222"/>
          <w:shd w:val="clear" w:color="auto" w:fill="FFFFFF"/>
        </w:rPr>
        <w:t>Loken</w:t>
      </w:r>
      <w:proofErr w:type="spellEnd"/>
      <w:r w:rsidRPr="00EF329D">
        <w:rPr>
          <w:rFonts w:ascii="Times" w:eastAsia="Times New Roman" w:hAnsi="Times" w:cs="Arial"/>
          <w:color w:val="222222"/>
          <w:shd w:val="clear" w:color="auto" w:fill="FFFFFF"/>
        </w:rPr>
        <w:t xml:space="preserve">, B., &amp; </w:t>
      </w:r>
      <w:proofErr w:type="spellStart"/>
      <w:r w:rsidRPr="00EF329D">
        <w:rPr>
          <w:rFonts w:ascii="Times" w:eastAsia="Times New Roman" w:hAnsi="Times" w:cs="Arial"/>
          <w:color w:val="222222"/>
          <w:shd w:val="clear" w:color="auto" w:fill="FFFFFF"/>
        </w:rPr>
        <w:t>Hornik</w:t>
      </w:r>
      <w:proofErr w:type="spellEnd"/>
      <w:r w:rsidRPr="00EF329D">
        <w:rPr>
          <w:rFonts w:ascii="Times" w:eastAsia="Times New Roman" w:hAnsi="Times" w:cs="Arial"/>
          <w:color w:val="222222"/>
          <w:shd w:val="clear" w:color="auto" w:fill="FFFFFF"/>
        </w:rPr>
        <w:t>, R. C. (2010). Use of mass media campaigns to change health behaviour.</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The Lancet</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376</w:t>
      </w:r>
      <w:r w:rsidRPr="00EF329D">
        <w:rPr>
          <w:rFonts w:ascii="Times" w:eastAsia="Times New Roman" w:hAnsi="Times" w:cs="Arial"/>
          <w:color w:val="222222"/>
          <w:shd w:val="clear" w:color="auto" w:fill="FFFFFF"/>
        </w:rPr>
        <w:t>(9748), 1261-1271.</w:t>
      </w:r>
    </w:p>
    <w:p w14:paraId="122272AD" w14:textId="77777777" w:rsidR="003A263C" w:rsidRPr="00EF329D" w:rsidRDefault="003A263C" w:rsidP="00EF329D">
      <w:pPr>
        <w:spacing w:line="360" w:lineRule="auto"/>
        <w:rPr>
          <w:rFonts w:ascii="Times" w:hAnsi="Times"/>
          <w:u w:val="single"/>
        </w:rPr>
      </w:pPr>
    </w:p>
    <w:p w14:paraId="248B23E5" w14:textId="77777777" w:rsidR="00054C1C" w:rsidRPr="00EF329D" w:rsidRDefault="00054C1C" w:rsidP="00EF329D">
      <w:pPr>
        <w:spacing w:line="360" w:lineRule="auto"/>
        <w:rPr>
          <w:rFonts w:ascii="Times" w:hAnsi="Times" w:cs="Arial"/>
          <w:color w:val="222222"/>
          <w:shd w:val="clear" w:color="auto" w:fill="FFFFFF"/>
        </w:rPr>
      </w:pPr>
      <w:proofErr w:type="spellStart"/>
      <w:r w:rsidRPr="00054C1C">
        <w:rPr>
          <w:rFonts w:ascii="Times" w:hAnsi="Times" w:cs="Arial"/>
          <w:color w:val="222222"/>
          <w:shd w:val="clear" w:color="auto" w:fill="FFFFFF"/>
        </w:rPr>
        <w:t>Wartella</w:t>
      </w:r>
      <w:proofErr w:type="spellEnd"/>
      <w:r w:rsidRPr="00054C1C">
        <w:rPr>
          <w:rFonts w:ascii="Times" w:hAnsi="Times" w:cs="Arial"/>
          <w:color w:val="222222"/>
          <w:shd w:val="clear" w:color="auto" w:fill="FFFFFF"/>
        </w:rPr>
        <w:t>, E. A., &amp; Stout, P. A. (2002). The evolution of mass media and health persuasion models.</w:t>
      </w:r>
      <w:r w:rsidRPr="00EF329D">
        <w:rPr>
          <w:rFonts w:ascii="Times" w:hAnsi="Times" w:cs="Arial"/>
          <w:color w:val="222222"/>
          <w:shd w:val="clear" w:color="auto" w:fill="FFFFFF"/>
        </w:rPr>
        <w:t> </w:t>
      </w:r>
      <w:r w:rsidRPr="00054C1C">
        <w:rPr>
          <w:rFonts w:ascii="Times" w:hAnsi="Times" w:cs="Arial"/>
          <w:i/>
          <w:iCs/>
          <w:color w:val="222222"/>
        </w:rPr>
        <w:t>Mass media and drug prevention: Classic and contemporary theories and research</w:t>
      </w:r>
      <w:r w:rsidRPr="00054C1C">
        <w:rPr>
          <w:rFonts w:ascii="Times" w:hAnsi="Times" w:cs="Arial"/>
          <w:color w:val="222222"/>
          <w:shd w:val="clear" w:color="auto" w:fill="FFFFFF"/>
        </w:rPr>
        <w:t>, 19-34.</w:t>
      </w:r>
    </w:p>
    <w:p w14:paraId="2F006276" w14:textId="77777777" w:rsidR="00BC5280" w:rsidRPr="00EF329D" w:rsidRDefault="00BC5280" w:rsidP="00EF329D">
      <w:pPr>
        <w:spacing w:line="360" w:lineRule="auto"/>
        <w:rPr>
          <w:rFonts w:ascii="Times" w:hAnsi="Times" w:cs="Arial"/>
          <w:color w:val="222222"/>
          <w:shd w:val="clear" w:color="auto" w:fill="FFFFFF"/>
        </w:rPr>
      </w:pPr>
    </w:p>
    <w:p w14:paraId="3D18B149" w14:textId="77777777" w:rsidR="00BC5280" w:rsidRPr="00EF329D" w:rsidRDefault="00BC5280" w:rsidP="00EF329D">
      <w:pPr>
        <w:spacing w:line="360" w:lineRule="auto"/>
        <w:rPr>
          <w:rFonts w:ascii="Times" w:eastAsia="Times New Roman" w:hAnsi="Times"/>
        </w:rPr>
      </w:pPr>
      <w:r w:rsidRPr="00EF329D">
        <w:rPr>
          <w:rFonts w:ascii="Times" w:eastAsia="Times New Roman" w:hAnsi="Times" w:cs="Arial"/>
          <w:color w:val="222222"/>
          <w:shd w:val="clear" w:color="auto" w:fill="FFFFFF"/>
        </w:rPr>
        <w:t>Witte, K., &amp; Allen, M. (2000). A meta-analysis of fear appeals: Implications for effective public health campaigns.</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 xml:space="preserve">Health education &amp; </w:t>
      </w:r>
      <w:proofErr w:type="spellStart"/>
      <w:r w:rsidRPr="00EF329D">
        <w:rPr>
          <w:rFonts w:ascii="Times" w:eastAsia="Times New Roman" w:hAnsi="Times" w:cs="Arial"/>
          <w:i/>
          <w:iCs/>
          <w:color w:val="222222"/>
        </w:rPr>
        <w:t>behavior</w:t>
      </w:r>
      <w:proofErr w:type="spellEnd"/>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27</w:t>
      </w:r>
      <w:r w:rsidRPr="00EF329D">
        <w:rPr>
          <w:rFonts w:ascii="Times" w:eastAsia="Times New Roman" w:hAnsi="Times" w:cs="Arial"/>
          <w:color w:val="222222"/>
          <w:shd w:val="clear" w:color="auto" w:fill="FFFFFF"/>
        </w:rPr>
        <w:t>(5), 591-615.</w:t>
      </w:r>
    </w:p>
    <w:p w14:paraId="348C1F79" w14:textId="77777777" w:rsidR="003A263C" w:rsidRPr="00C35ED5" w:rsidRDefault="003A263C" w:rsidP="00EF329D">
      <w:pPr>
        <w:spacing w:line="360" w:lineRule="auto"/>
        <w:rPr>
          <w:rFonts w:ascii="Times" w:eastAsia="Times New Roman" w:hAnsi="Times"/>
        </w:rPr>
      </w:pPr>
    </w:p>
    <w:p w14:paraId="54941E9B" w14:textId="77777777" w:rsidR="002E622C" w:rsidRPr="00EF329D" w:rsidRDefault="002E622C" w:rsidP="00EF329D">
      <w:pPr>
        <w:spacing w:line="360" w:lineRule="auto"/>
        <w:rPr>
          <w:rFonts w:ascii="Times" w:eastAsia="Times New Roman" w:hAnsi="Times"/>
        </w:rPr>
      </w:pPr>
      <w:r w:rsidRPr="00EF329D">
        <w:rPr>
          <w:rFonts w:ascii="Times" w:eastAsia="Times New Roman" w:hAnsi="Times" w:cs="Arial"/>
          <w:color w:val="222222"/>
          <w:shd w:val="clear" w:color="auto" w:fill="FFFFFF"/>
        </w:rPr>
        <w:t xml:space="preserve">Zhang, J., </w:t>
      </w:r>
      <w:proofErr w:type="spellStart"/>
      <w:r w:rsidRPr="00EF329D">
        <w:rPr>
          <w:rFonts w:ascii="Times" w:eastAsia="Times New Roman" w:hAnsi="Times" w:cs="Arial"/>
          <w:color w:val="222222"/>
          <w:shd w:val="clear" w:color="auto" w:fill="FFFFFF"/>
        </w:rPr>
        <w:t>Brackbill</w:t>
      </w:r>
      <w:proofErr w:type="spellEnd"/>
      <w:r w:rsidRPr="00EF329D">
        <w:rPr>
          <w:rFonts w:ascii="Times" w:eastAsia="Times New Roman" w:hAnsi="Times" w:cs="Arial"/>
          <w:color w:val="222222"/>
          <w:shd w:val="clear" w:color="auto" w:fill="FFFFFF"/>
        </w:rPr>
        <w:t xml:space="preserve">, D., Yang, S., &amp; </w:t>
      </w:r>
      <w:proofErr w:type="spellStart"/>
      <w:r w:rsidRPr="00EF329D">
        <w:rPr>
          <w:rFonts w:ascii="Times" w:eastAsia="Times New Roman" w:hAnsi="Times" w:cs="Arial"/>
          <w:color w:val="222222"/>
          <w:shd w:val="clear" w:color="auto" w:fill="FFFFFF"/>
        </w:rPr>
        <w:t>Centola</w:t>
      </w:r>
      <w:proofErr w:type="spellEnd"/>
      <w:r w:rsidRPr="00EF329D">
        <w:rPr>
          <w:rFonts w:ascii="Times" w:eastAsia="Times New Roman" w:hAnsi="Times" w:cs="Arial"/>
          <w:color w:val="222222"/>
          <w:shd w:val="clear" w:color="auto" w:fill="FFFFFF"/>
        </w:rPr>
        <w:t>, D. (2015). Efficacy and causal mechanism of an online social media intervention to increase physical activity: results of a randomized controlled trial.</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Preventive medicine reports</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2</w:t>
      </w:r>
      <w:r w:rsidRPr="00EF329D">
        <w:rPr>
          <w:rFonts w:ascii="Times" w:eastAsia="Times New Roman" w:hAnsi="Times" w:cs="Arial"/>
          <w:color w:val="222222"/>
          <w:shd w:val="clear" w:color="auto" w:fill="FFFFFF"/>
        </w:rPr>
        <w:t>, 651-657.</w:t>
      </w:r>
    </w:p>
    <w:p w14:paraId="770ED125" w14:textId="07DB38EA" w:rsidR="00966845" w:rsidRPr="00054C1C" w:rsidRDefault="0019432E" w:rsidP="00EF329D">
      <w:pPr>
        <w:tabs>
          <w:tab w:val="left" w:pos="3791"/>
        </w:tabs>
        <w:spacing w:line="360" w:lineRule="auto"/>
        <w:rPr>
          <w:rFonts w:ascii="Times" w:eastAsia="Times New Roman" w:hAnsi="Times"/>
        </w:rPr>
      </w:pPr>
      <w:r w:rsidRPr="00EF329D">
        <w:rPr>
          <w:rFonts w:ascii="Times" w:eastAsia="Times New Roman" w:hAnsi="Times"/>
        </w:rPr>
        <w:tab/>
      </w:r>
    </w:p>
    <w:p w14:paraId="6F0B58E0" w14:textId="77777777" w:rsidR="0051589A" w:rsidRPr="00EF329D" w:rsidRDefault="0051589A" w:rsidP="00EF329D">
      <w:pPr>
        <w:spacing w:line="360" w:lineRule="auto"/>
        <w:rPr>
          <w:rFonts w:ascii="Times" w:eastAsia="Times New Roman" w:hAnsi="Times"/>
        </w:rPr>
      </w:pPr>
      <w:proofErr w:type="spellStart"/>
      <w:r w:rsidRPr="00EF329D">
        <w:rPr>
          <w:rFonts w:ascii="Times" w:eastAsia="Times New Roman" w:hAnsi="Times" w:cs="Arial"/>
          <w:color w:val="222222"/>
          <w:shd w:val="clear" w:color="auto" w:fill="FFFFFF"/>
        </w:rPr>
        <w:t>Zillmann</w:t>
      </w:r>
      <w:proofErr w:type="spellEnd"/>
      <w:r w:rsidRPr="00EF329D">
        <w:rPr>
          <w:rFonts w:ascii="Times" w:eastAsia="Times New Roman" w:hAnsi="Times" w:cs="Arial"/>
          <w:color w:val="222222"/>
          <w:shd w:val="clear" w:color="auto" w:fill="FFFFFF"/>
        </w:rPr>
        <w:t xml:space="preserve">, D., Chen, L., </w:t>
      </w:r>
      <w:proofErr w:type="spellStart"/>
      <w:r w:rsidRPr="00EF329D">
        <w:rPr>
          <w:rFonts w:ascii="Times" w:eastAsia="Times New Roman" w:hAnsi="Times" w:cs="Arial"/>
          <w:color w:val="222222"/>
          <w:shd w:val="clear" w:color="auto" w:fill="FFFFFF"/>
        </w:rPr>
        <w:t>Knobloch</w:t>
      </w:r>
      <w:proofErr w:type="spellEnd"/>
      <w:r w:rsidRPr="00EF329D">
        <w:rPr>
          <w:rFonts w:ascii="Times" w:eastAsia="Times New Roman" w:hAnsi="Times" w:cs="Arial"/>
          <w:color w:val="222222"/>
          <w:shd w:val="clear" w:color="auto" w:fill="FFFFFF"/>
        </w:rPr>
        <w:t xml:space="preserve">, S., &amp; </w:t>
      </w:r>
      <w:proofErr w:type="spellStart"/>
      <w:r w:rsidRPr="00EF329D">
        <w:rPr>
          <w:rFonts w:ascii="Times" w:eastAsia="Times New Roman" w:hAnsi="Times" w:cs="Arial"/>
          <w:color w:val="222222"/>
          <w:shd w:val="clear" w:color="auto" w:fill="FFFFFF"/>
        </w:rPr>
        <w:t>Callison</w:t>
      </w:r>
      <w:proofErr w:type="spellEnd"/>
      <w:r w:rsidRPr="00EF329D">
        <w:rPr>
          <w:rFonts w:ascii="Times" w:eastAsia="Times New Roman" w:hAnsi="Times" w:cs="Arial"/>
          <w:color w:val="222222"/>
          <w:shd w:val="clear" w:color="auto" w:fill="FFFFFF"/>
        </w:rPr>
        <w:t>, C. (2004). Effects of lead framing on selective exposure to Internet news reports.</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Communication Research</w:t>
      </w:r>
      <w:r w:rsidRPr="00EF329D">
        <w:rPr>
          <w:rFonts w:ascii="Times" w:eastAsia="Times New Roman" w:hAnsi="Times" w:cs="Arial"/>
          <w:color w:val="222222"/>
          <w:shd w:val="clear" w:color="auto" w:fill="FFFFFF"/>
        </w:rPr>
        <w:t>,</w:t>
      </w:r>
      <w:r w:rsidRPr="00EF329D">
        <w:rPr>
          <w:rStyle w:val="apple-converted-space"/>
          <w:rFonts w:ascii="Times" w:eastAsia="Times New Roman" w:hAnsi="Times" w:cs="Arial"/>
          <w:color w:val="222222"/>
          <w:shd w:val="clear" w:color="auto" w:fill="FFFFFF"/>
        </w:rPr>
        <w:t> </w:t>
      </w:r>
      <w:r w:rsidRPr="00EF329D">
        <w:rPr>
          <w:rFonts w:ascii="Times" w:eastAsia="Times New Roman" w:hAnsi="Times" w:cs="Arial"/>
          <w:i/>
          <w:iCs/>
          <w:color w:val="222222"/>
        </w:rPr>
        <w:t>31</w:t>
      </w:r>
      <w:r w:rsidRPr="00EF329D">
        <w:rPr>
          <w:rFonts w:ascii="Times" w:eastAsia="Times New Roman" w:hAnsi="Times" w:cs="Arial"/>
          <w:color w:val="222222"/>
          <w:shd w:val="clear" w:color="auto" w:fill="FFFFFF"/>
        </w:rPr>
        <w:t>(1), 58-81.</w:t>
      </w:r>
    </w:p>
    <w:p w14:paraId="072B1338" w14:textId="77777777" w:rsidR="00054C1C" w:rsidRPr="00EF329D" w:rsidRDefault="00054C1C" w:rsidP="00EF329D">
      <w:pPr>
        <w:spacing w:line="360" w:lineRule="auto"/>
        <w:rPr>
          <w:rFonts w:ascii="Times" w:hAnsi="Times"/>
        </w:rPr>
      </w:pPr>
    </w:p>
    <w:sectPr w:rsidR="00054C1C" w:rsidRPr="00EF329D" w:rsidSect="00D6620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6BE"/>
    <w:rsid w:val="00006D27"/>
    <w:rsid w:val="00014D71"/>
    <w:rsid w:val="00022718"/>
    <w:rsid w:val="00050EB7"/>
    <w:rsid w:val="00054C1C"/>
    <w:rsid w:val="00064240"/>
    <w:rsid w:val="000701DA"/>
    <w:rsid w:val="000C1C86"/>
    <w:rsid w:val="000D78E5"/>
    <w:rsid w:val="000D7E8E"/>
    <w:rsid w:val="000E1803"/>
    <w:rsid w:val="000F3C10"/>
    <w:rsid w:val="000F3F4B"/>
    <w:rsid w:val="00126BA4"/>
    <w:rsid w:val="001450E9"/>
    <w:rsid w:val="00193189"/>
    <w:rsid w:val="0019432E"/>
    <w:rsid w:val="001C69E9"/>
    <w:rsid w:val="001E4A30"/>
    <w:rsid w:val="00220F7D"/>
    <w:rsid w:val="0023650D"/>
    <w:rsid w:val="0024149C"/>
    <w:rsid w:val="002612FC"/>
    <w:rsid w:val="00261CFC"/>
    <w:rsid w:val="002706D7"/>
    <w:rsid w:val="0028647A"/>
    <w:rsid w:val="002B235E"/>
    <w:rsid w:val="002D2094"/>
    <w:rsid w:val="002E622C"/>
    <w:rsid w:val="00325E34"/>
    <w:rsid w:val="00342719"/>
    <w:rsid w:val="00351D89"/>
    <w:rsid w:val="00385B58"/>
    <w:rsid w:val="00386340"/>
    <w:rsid w:val="00390AF9"/>
    <w:rsid w:val="003A263C"/>
    <w:rsid w:val="00405D81"/>
    <w:rsid w:val="00422602"/>
    <w:rsid w:val="004246E9"/>
    <w:rsid w:val="00436493"/>
    <w:rsid w:val="004666E7"/>
    <w:rsid w:val="004755A9"/>
    <w:rsid w:val="00482679"/>
    <w:rsid w:val="004B24FC"/>
    <w:rsid w:val="004B6075"/>
    <w:rsid w:val="004D7F13"/>
    <w:rsid w:val="004F57DE"/>
    <w:rsid w:val="004F58A6"/>
    <w:rsid w:val="00512178"/>
    <w:rsid w:val="0051589A"/>
    <w:rsid w:val="005303E0"/>
    <w:rsid w:val="005356C6"/>
    <w:rsid w:val="00537E80"/>
    <w:rsid w:val="00575FD9"/>
    <w:rsid w:val="00583CAD"/>
    <w:rsid w:val="0059371D"/>
    <w:rsid w:val="005A1656"/>
    <w:rsid w:val="005B1E45"/>
    <w:rsid w:val="005C6192"/>
    <w:rsid w:val="005E3AC4"/>
    <w:rsid w:val="005F4290"/>
    <w:rsid w:val="00613C6F"/>
    <w:rsid w:val="006165CB"/>
    <w:rsid w:val="00617BCE"/>
    <w:rsid w:val="00685DFF"/>
    <w:rsid w:val="00695ACC"/>
    <w:rsid w:val="006E61DF"/>
    <w:rsid w:val="006F014C"/>
    <w:rsid w:val="00703C6B"/>
    <w:rsid w:val="00705BDB"/>
    <w:rsid w:val="0071295E"/>
    <w:rsid w:val="00714F43"/>
    <w:rsid w:val="00725090"/>
    <w:rsid w:val="007300A6"/>
    <w:rsid w:val="00741BA5"/>
    <w:rsid w:val="00780667"/>
    <w:rsid w:val="00780EF2"/>
    <w:rsid w:val="0079606E"/>
    <w:rsid w:val="007B6D40"/>
    <w:rsid w:val="007C19B0"/>
    <w:rsid w:val="007D7FE4"/>
    <w:rsid w:val="007F0889"/>
    <w:rsid w:val="007F1B45"/>
    <w:rsid w:val="008261D8"/>
    <w:rsid w:val="0083020F"/>
    <w:rsid w:val="00842AEA"/>
    <w:rsid w:val="008676F7"/>
    <w:rsid w:val="0088735F"/>
    <w:rsid w:val="008B25FD"/>
    <w:rsid w:val="008C3B15"/>
    <w:rsid w:val="008D173C"/>
    <w:rsid w:val="008D2F96"/>
    <w:rsid w:val="00901078"/>
    <w:rsid w:val="00903C73"/>
    <w:rsid w:val="00942734"/>
    <w:rsid w:val="00966845"/>
    <w:rsid w:val="00983832"/>
    <w:rsid w:val="00991F98"/>
    <w:rsid w:val="009B430B"/>
    <w:rsid w:val="00A25AE5"/>
    <w:rsid w:val="00A32505"/>
    <w:rsid w:val="00A350CD"/>
    <w:rsid w:val="00A55618"/>
    <w:rsid w:val="00A56100"/>
    <w:rsid w:val="00A7293C"/>
    <w:rsid w:val="00AA0616"/>
    <w:rsid w:val="00AB04CF"/>
    <w:rsid w:val="00AB263F"/>
    <w:rsid w:val="00AC623E"/>
    <w:rsid w:val="00AF0BFD"/>
    <w:rsid w:val="00AF3D8F"/>
    <w:rsid w:val="00B07F58"/>
    <w:rsid w:val="00B859AA"/>
    <w:rsid w:val="00BB1F95"/>
    <w:rsid w:val="00BC5280"/>
    <w:rsid w:val="00BE6E73"/>
    <w:rsid w:val="00BF1B5C"/>
    <w:rsid w:val="00C12DC7"/>
    <w:rsid w:val="00C205EE"/>
    <w:rsid w:val="00C27D56"/>
    <w:rsid w:val="00C35ED5"/>
    <w:rsid w:val="00C62003"/>
    <w:rsid w:val="00C71D02"/>
    <w:rsid w:val="00C83700"/>
    <w:rsid w:val="00C85627"/>
    <w:rsid w:val="00C91A30"/>
    <w:rsid w:val="00C94D73"/>
    <w:rsid w:val="00CB3392"/>
    <w:rsid w:val="00CB5F5E"/>
    <w:rsid w:val="00CE62F3"/>
    <w:rsid w:val="00D045C9"/>
    <w:rsid w:val="00D15A05"/>
    <w:rsid w:val="00D209BC"/>
    <w:rsid w:val="00D4435A"/>
    <w:rsid w:val="00D53816"/>
    <w:rsid w:val="00D66202"/>
    <w:rsid w:val="00DA6032"/>
    <w:rsid w:val="00DB3E4C"/>
    <w:rsid w:val="00DB4D8A"/>
    <w:rsid w:val="00DD29F7"/>
    <w:rsid w:val="00E25C9A"/>
    <w:rsid w:val="00E30E06"/>
    <w:rsid w:val="00E47B70"/>
    <w:rsid w:val="00E64B0F"/>
    <w:rsid w:val="00E659F0"/>
    <w:rsid w:val="00E97BF9"/>
    <w:rsid w:val="00EB26BE"/>
    <w:rsid w:val="00EF329D"/>
    <w:rsid w:val="00F23925"/>
    <w:rsid w:val="00F55AB8"/>
    <w:rsid w:val="00FC2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678A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205EE"/>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54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345714">
      <w:bodyDiv w:val="1"/>
      <w:marLeft w:val="0"/>
      <w:marRight w:val="0"/>
      <w:marTop w:val="0"/>
      <w:marBottom w:val="0"/>
      <w:divBdr>
        <w:top w:val="none" w:sz="0" w:space="0" w:color="auto"/>
        <w:left w:val="none" w:sz="0" w:space="0" w:color="auto"/>
        <w:bottom w:val="none" w:sz="0" w:space="0" w:color="auto"/>
        <w:right w:val="none" w:sz="0" w:space="0" w:color="auto"/>
      </w:divBdr>
    </w:div>
    <w:div w:id="345523346">
      <w:bodyDiv w:val="1"/>
      <w:marLeft w:val="0"/>
      <w:marRight w:val="0"/>
      <w:marTop w:val="0"/>
      <w:marBottom w:val="0"/>
      <w:divBdr>
        <w:top w:val="none" w:sz="0" w:space="0" w:color="auto"/>
        <w:left w:val="none" w:sz="0" w:space="0" w:color="auto"/>
        <w:bottom w:val="none" w:sz="0" w:space="0" w:color="auto"/>
        <w:right w:val="none" w:sz="0" w:space="0" w:color="auto"/>
      </w:divBdr>
    </w:div>
    <w:div w:id="384764481">
      <w:bodyDiv w:val="1"/>
      <w:marLeft w:val="0"/>
      <w:marRight w:val="0"/>
      <w:marTop w:val="0"/>
      <w:marBottom w:val="0"/>
      <w:divBdr>
        <w:top w:val="none" w:sz="0" w:space="0" w:color="auto"/>
        <w:left w:val="none" w:sz="0" w:space="0" w:color="auto"/>
        <w:bottom w:val="none" w:sz="0" w:space="0" w:color="auto"/>
        <w:right w:val="none" w:sz="0" w:space="0" w:color="auto"/>
      </w:divBdr>
    </w:div>
    <w:div w:id="529807401">
      <w:bodyDiv w:val="1"/>
      <w:marLeft w:val="0"/>
      <w:marRight w:val="0"/>
      <w:marTop w:val="0"/>
      <w:marBottom w:val="0"/>
      <w:divBdr>
        <w:top w:val="none" w:sz="0" w:space="0" w:color="auto"/>
        <w:left w:val="none" w:sz="0" w:space="0" w:color="auto"/>
        <w:bottom w:val="none" w:sz="0" w:space="0" w:color="auto"/>
        <w:right w:val="none" w:sz="0" w:space="0" w:color="auto"/>
      </w:divBdr>
    </w:div>
    <w:div w:id="544677721">
      <w:bodyDiv w:val="1"/>
      <w:marLeft w:val="0"/>
      <w:marRight w:val="0"/>
      <w:marTop w:val="0"/>
      <w:marBottom w:val="0"/>
      <w:divBdr>
        <w:top w:val="none" w:sz="0" w:space="0" w:color="auto"/>
        <w:left w:val="none" w:sz="0" w:space="0" w:color="auto"/>
        <w:bottom w:val="none" w:sz="0" w:space="0" w:color="auto"/>
        <w:right w:val="none" w:sz="0" w:space="0" w:color="auto"/>
      </w:divBdr>
    </w:div>
    <w:div w:id="549730853">
      <w:bodyDiv w:val="1"/>
      <w:marLeft w:val="0"/>
      <w:marRight w:val="0"/>
      <w:marTop w:val="0"/>
      <w:marBottom w:val="0"/>
      <w:divBdr>
        <w:top w:val="none" w:sz="0" w:space="0" w:color="auto"/>
        <w:left w:val="none" w:sz="0" w:space="0" w:color="auto"/>
        <w:bottom w:val="none" w:sz="0" w:space="0" w:color="auto"/>
        <w:right w:val="none" w:sz="0" w:space="0" w:color="auto"/>
      </w:divBdr>
    </w:div>
    <w:div w:id="664820424">
      <w:bodyDiv w:val="1"/>
      <w:marLeft w:val="0"/>
      <w:marRight w:val="0"/>
      <w:marTop w:val="0"/>
      <w:marBottom w:val="0"/>
      <w:divBdr>
        <w:top w:val="none" w:sz="0" w:space="0" w:color="auto"/>
        <w:left w:val="none" w:sz="0" w:space="0" w:color="auto"/>
        <w:bottom w:val="none" w:sz="0" w:space="0" w:color="auto"/>
        <w:right w:val="none" w:sz="0" w:space="0" w:color="auto"/>
      </w:divBdr>
    </w:div>
    <w:div w:id="721709160">
      <w:bodyDiv w:val="1"/>
      <w:marLeft w:val="0"/>
      <w:marRight w:val="0"/>
      <w:marTop w:val="0"/>
      <w:marBottom w:val="0"/>
      <w:divBdr>
        <w:top w:val="none" w:sz="0" w:space="0" w:color="auto"/>
        <w:left w:val="none" w:sz="0" w:space="0" w:color="auto"/>
        <w:bottom w:val="none" w:sz="0" w:space="0" w:color="auto"/>
        <w:right w:val="none" w:sz="0" w:space="0" w:color="auto"/>
      </w:divBdr>
    </w:div>
    <w:div w:id="744761172">
      <w:bodyDiv w:val="1"/>
      <w:marLeft w:val="0"/>
      <w:marRight w:val="0"/>
      <w:marTop w:val="0"/>
      <w:marBottom w:val="0"/>
      <w:divBdr>
        <w:top w:val="none" w:sz="0" w:space="0" w:color="auto"/>
        <w:left w:val="none" w:sz="0" w:space="0" w:color="auto"/>
        <w:bottom w:val="none" w:sz="0" w:space="0" w:color="auto"/>
        <w:right w:val="none" w:sz="0" w:space="0" w:color="auto"/>
      </w:divBdr>
    </w:div>
    <w:div w:id="831749858">
      <w:bodyDiv w:val="1"/>
      <w:marLeft w:val="0"/>
      <w:marRight w:val="0"/>
      <w:marTop w:val="0"/>
      <w:marBottom w:val="0"/>
      <w:divBdr>
        <w:top w:val="none" w:sz="0" w:space="0" w:color="auto"/>
        <w:left w:val="none" w:sz="0" w:space="0" w:color="auto"/>
        <w:bottom w:val="none" w:sz="0" w:space="0" w:color="auto"/>
        <w:right w:val="none" w:sz="0" w:space="0" w:color="auto"/>
      </w:divBdr>
    </w:div>
    <w:div w:id="921641771">
      <w:bodyDiv w:val="1"/>
      <w:marLeft w:val="0"/>
      <w:marRight w:val="0"/>
      <w:marTop w:val="0"/>
      <w:marBottom w:val="0"/>
      <w:divBdr>
        <w:top w:val="none" w:sz="0" w:space="0" w:color="auto"/>
        <w:left w:val="none" w:sz="0" w:space="0" w:color="auto"/>
        <w:bottom w:val="none" w:sz="0" w:space="0" w:color="auto"/>
        <w:right w:val="none" w:sz="0" w:space="0" w:color="auto"/>
      </w:divBdr>
    </w:div>
    <w:div w:id="1064329147">
      <w:bodyDiv w:val="1"/>
      <w:marLeft w:val="0"/>
      <w:marRight w:val="0"/>
      <w:marTop w:val="0"/>
      <w:marBottom w:val="0"/>
      <w:divBdr>
        <w:top w:val="none" w:sz="0" w:space="0" w:color="auto"/>
        <w:left w:val="none" w:sz="0" w:space="0" w:color="auto"/>
        <w:bottom w:val="none" w:sz="0" w:space="0" w:color="auto"/>
        <w:right w:val="none" w:sz="0" w:space="0" w:color="auto"/>
      </w:divBdr>
    </w:div>
    <w:div w:id="1065446085">
      <w:bodyDiv w:val="1"/>
      <w:marLeft w:val="0"/>
      <w:marRight w:val="0"/>
      <w:marTop w:val="0"/>
      <w:marBottom w:val="0"/>
      <w:divBdr>
        <w:top w:val="none" w:sz="0" w:space="0" w:color="auto"/>
        <w:left w:val="none" w:sz="0" w:space="0" w:color="auto"/>
        <w:bottom w:val="none" w:sz="0" w:space="0" w:color="auto"/>
        <w:right w:val="none" w:sz="0" w:space="0" w:color="auto"/>
      </w:divBdr>
    </w:div>
    <w:div w:id="1085153477">
      <w:bodyDiv w:val="1"/>
      <w:marLeft w:val="0"/>
      <w:marRight w:val="0"/>
      <w:marTop w:val="0"/>
      <w:marBottom w:val="0"/>
      <w:divBdr>
        <w:top w:val="none" w:sz="0" w:space="0" w:color="auto"/>
        <w:left w:val="none" w:sz="0" w:space="0" w:color="auto"/>
        <w:bottom w:val="none" w:sz="0" w:space="0" w:color="auto"/>
        <w:right w:val="none" w:sz="0" w:space="0" w:color="auto"/>
      </w:divBdr>
    </w:div>
    <w:div w:id="1205483992">
      <w:bodyDiv w:val="1"/>
      <w:marLeft w:val="0"/>
      <w:marRight w:val="0"/>
      <w:marTop w:val="0"/>
      <w:marBottom w:val="0"/>
      <w:divBdr>
        <w:top w:val="none" w:sz="0" w:space="0" w:color="auto"/>
        <w:left w:val="none" w:sz="0" w:space="0" w:color="auto"/>
        <w:bottom w:val="none" w:sz="0" w:space="0" w:color="auto"/>
        <w:right w:val="none" w:sz="0" w:space="0" w:color="auto"/>
      </w:divBdr>
    </w:div>
    <w:div w:id="1226183006">
      <w:bodyDiv w:val="1"/>
      <w:marLeft w:val="0"/>
      <w:marRight w:val="0"/>
      <w:marTop w:val="0"/>
      <w:marBottom w:val="0"/>
      <w:divBdr>
        <w:top w:val="none" w:sz="0" w:space="0" w:color="auto"/>
        <w:left w:val="none" w:sz="0" w:space="0" w:color="auto"/>
        <w:bottom w:val="none" w:sz="0" w:space="0" w:color="auto"/>
        <w:right w:val="none" w:sz="0" w:space="0" w:color="auto"/>
      </w:divBdr>
    </w:div>
    <w:div w:id="1243026292">
      <w:bodyDiv w:val="1"/>
      <w:marLeft w:val="0"/>
      <w:marRight w:val="0"/>
      <w:marTop w:val="0"/>
      <w:marBottom w:val="0"/>
      <w:divBdr>
        <w:top w:val="none" w:sz="0" w:space="0" w:color="auto"/>
        <w:left w:val="none" w:sz="0" w:space="0" w:color="auto"/>
        <w:bottom w:val="none" w:sz="0" w:space="0" w:color="auto"/>
        <w:right w:val="none" w:sz="0" w:space="0" w:color="auto"/>
      </w:divBdr>
    </w:div>
    <w:div w:id="1383359439">
      <w:bodyDiv w:val="1"/>
      <w:marLeft w:val="0"/>
      <w:marRight w:val="0"/>
      <w:marTop w:val="0"/>
      <w:marBottom w:val="0"/>
      <w:divBdr>
        <w:top w:val="none" w:sz="0" w:space="0" w:color="auto"/>
        <w:left w:val="none" w:sz="0" w:space="0" w:color="auto"/>
        <w:bottom w:val="none" w:sz="0" w:space="0" w:color="auto"/>
        <w:right w:val="none" w:sz="0" w:space="0" w:color="auto"/>
      </w:divBdr>
    </w:div>
    <w:div w:id="1392192226">
      <w:bodyDiv w:val="1"/>
      <w:marLeft w:val="0"/>
      <w:marRight w:val="0"/>
      <w:marTop w:val="0"/>
      <w:marBottom w:val="0"/>
      <w:divBdr>
        <w:top w:val="none" w:sz="0" w:space="0" w:color="auto"/>
        <w:left w:val="none" w:sz="0" w:space="0" w:color="auto"/>
        <w:bottom w:val="none" w:sz="0" w:space="0" w:color="auto"/>
        <w:right w:val="none" w:sz="0" w:space="0" w:color="auto"/>
      </w:divBdr>
    </w:div>
    <w:div w:id="1536845666">
      <w:bodyDiv w:val="1"/>
      <w:marLeft w:val="0"/>
      <w:marRight w:val="0"/>
      <w:marTop w:val="0"/>
      <w:marBottom w:val="0"/>
      <w:divBdr>
        <w:top w:val="none" w:sz="0" w:space="0" w:color="auto"/>
        <w:left w:val="none" w:sz="0" w:space="0" w:color="auto"/>
        <w:bottom w:val="none" w:sz="0" w:space="0" w:color="auto"/>
        <w:right w:val="none" w:sz="0" w:space="0" w:color="auto"/>
      </w:divBdr>
    </w:div>
    <w:div w:id="1775591365">
      <w:bodyDiv w:val="1"/>
      <w:marLeft w:val="0"/>
      <w:marRight w:val="0"/>
      <w:marTop w:val="0"/>
      <w:marBottom w:val="0"/>
      <w:divBdr>
        <w:top w:val="none" w:sz="0" w:space="0" w:color="auto"/>
        <w:left w:val="none" w:sz="0" w:space="0" w:color="auto"/>
        <w:bottom w:val="none" w:sz="0" w:space="0" w:color="auto"/>
        <w:right w:val="none" w:sz="0" w:space="0" w:color="auto"/>
      </w:divBdr>
    </w:div>
    <w:div w:id="1929734243">
      <w:bodyDiv w:val="1"/>
      <w:marLeft w:val="0"/>
      <w:marRight w:val="0"/>
      <w:marTop w:val="0"/>
      <w:marBottom w:val="0"/>
      <w:divBdr>
        <w:top w:val="none" w:sz="0" w:space="0" w:color="auto"/>
        <w:left w:val="none" w:sz="0" w:space="0" w:color="auto"/>
        <w:bottom w:val="none" w:sz="0" w:space="0" w:color="auto"/>
        <w:right w:val="none" w:sz="0" w:space="0" w:color="auto"/>
      </w:divBdr>
    </w:div>
    <w:div w:id="1954286728">
      <w:bodyDiv w:val="1"/>
      <w:marLeft w:val="0"/>
      <w:marRight w:val="0"/>
      <w:marTop w:val="0"/>
      <w:marBottom w:val="0"/>
      <w:divBdr>
        <w:top w:val="none" w:sz="0" w:space="0" w:color="auto"/>
        <w:left w:val="none" w:sz="0" w:space="0" w:color="auto"/>
        <w:bottom w:val="none" w:sz="0" w:space="0" w:color="auto"/>
        <w:right w:val="none" w:sz="0" w:space="0" w:color="auto"/>
      </w:divBdr>
    </w:div>
    <w:div w:id="19811088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2978</Words>
  <Characters>16979</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Jones (1600460)</dc:creator>
  <cp:keywords/>
  <dc:description/>
  <cp:lastModifiedBy>Callum Jones (1600460)</cp:lastModifiedBy>
  <cp:revision>2</cp:revision>
  <dcterms:created xsi:type="dcterms:W3CDTF">2018-04-05T21:46:00Z</dcterms:created>
  <dcterms:modified xsi:type="dcterms:W3CDTF">2018-04-05T21:46:00Z</dcterms:modified>
</cp:coreProperties>
</file>