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6A6A4C" w:rsidRDefault="006A6A4C" w14:paraId="6140705A" w14:textId="77777777" w:rsidP="005439C3" w:rsidRPr="005439C3">
      <w:pPr>
        <w:jc w:val="center"/>
        <w:spacing w:line="360" w:lineRule="auto"/>
        <w:rPr>
          <w:bCs/>
          <w:b/>
          <w:rFonts w:ascii="Amasis MT Pro Black" w:cs="Aharoni" w:hAnsi="Amasis MT Pro Black"/>
        </w:rPr>
      </w:pPr>
    </w:p>
    <w:p w:rsidR="00754FCF" w:rsidRDefault="00754FCF" w14:paraId="2AD952AD" w14:textId="77777777" w:rsidP="005439C3" w:rsidRPr="00754FCF">
      <w:pPr>
        <w:jc w:val="center"/>
        <w:spacing w:line="360" w:lineRule="auto"/>
        <w:rPr>
          <w:bCs/>
          <w:b/>
          <w:rFonts w:ascii="Amasis MT Pro Black" w:cs="Aharoni" w:hAnsi="Amasis MT Pro Black"/>
        </w:rPr>
      </w:pPr>
      <w:r w:rsidRPr="00754FCF">
        <w:rPr>
          <w:bCs/>
          <w:b/>
          <w:rFonts w:ascii="Amasis MT Pro Black" w:cs="Aharoni" w:hAnsi="Amasis MT Pro Black"/>
        </w:rPr>
        <w:t>Gender Incongruence: Classification, Diagnosis, Treatment and Contemporary Debates</w:t>
      </w:r>
    </w:p>
    <w:p w:rsidR="00754FCF" w:rsidRDefault="00754FCF" w14:paraId="6E457676" w14:textId="77777777" w:rsidP="005439C3" w:rsidRPr="00754FCF">
      <w:pPr>
        <w:jc w:val="center"/>
        <w:spacing w:line="360" w:lineRule="auto"/>
        <w:rPr>
          <w:bCs/>
          <w:b/>
          <w:rFonts w:ascii="Amasis MT Pro Black" w:cs="Aharoni" w:hAnsi="Amasis MT Pro Black"/>
        </w:rPr>
      </w:pPr>
      <w:r w:rsidRPr="00754FCF">
        <w:rPr>
          <w:bCs/>
          <w:b/>
          <w:rFonts w:ascii="Amasis MT Pro Black" w:cs="Aharoni" w:hAnsi="Amasis MT Pro Black"/>
        </w:rPr>
        <w:t>Module:</w:t>
      </w:r>
    </w:p>
    <w:p w:rsidR="00754FCF" w:rsidRDefault="00754FCF" w14:paraId="79DE6EDF" w14:textId="77777777" w:rsidP="005439C3" w:rsidRPr="00754FCF">
      <w:pPr>
        <w:jc w:val="center"/>
        <w:spacing w:line="360" w:lineRule="auto"/>
        <w:rPr>
          <w:bCs/>
          <w:b/>
          <w:rFonts w:ascii="Amasis MT Pro Black" w:cs="Aharoni" w:hAnsi="Amasis MT Pro Black"/>
        </w:rPr>
      </w:pPr>
      <w:r w:rsidRPr="00754FCF">
        <w:rPr>
          <w:bCs/>
          <w:b/>
          <w:rFonts w:ascii="Amasis MT Pro Black" w:cs="Aharoni" w:hAnsi="Amasis MT Pro Black"/>
        </w:rPr>
        <w:t>Psychological Classifications and Provisions</w:t>
      </w:r>
    </w:p>
    <w:p w:rsidR="00754FCF" w:rsidRDefault="00754FCF" w14:paraId="65505154" w14:textId="77777777" w:rsidP="005439C3" w:rsidRPr="00754FCF">
      <w:pPr>
        <w:jc w:val="center"/>
        <w:spacing w:line="360" w:lineRule="auto"/>
        <w:rPr>
          <w:bCs/>
          <w:b/>
          <w:rFonts w:ascii="Amasis MT Pro Black" w:cs="Aharoni" w:hAnsi="Amasis MT Pro Black"/>
        </w:rPr>
      </w:pPr>
      <w:r w:rsidRPr="00754FCF">
        <w:rPr>
          <w:bCs/>
          <w:b/>
          <w:rFonts w:ascii="Amasis MT Pro Black" w:cs="Aharoni" w:hAnsi="Amasis MT Pro Black"/>
        </w:rPr>
        <w:t>Module Code:</w:t>
      </w:r>
    </w:p>
    <w:p w:rsidR="00754FCF" w:rsidRDefault="00754FCF" w14:paraId="554CE825" w14:textId="77777777" w:rsidP="005439C3" w:rsidRPr="00754FCF">
      <w:pPr>
        <w:jc w:val="center"/>
        <w:spacing w:line="360" w:lineRule="auto"/>
        <w:rPr>
          <w:bCs/>
          <w:b/>
          <w:rFonts w:ascii="Amasis MT Pro Black" w:cs="Aharoni" w:hAnsi="Amasis MT Pro Black"/>
        </w:rPr>
      </w:pPr>
      <w:r w:rsidRPr="00754FCF">
        <w:rPr>
          <w:bCs/>
          <w:b/>
          <w:rFonts w:ascii="Amasis MT Pro Black" w:cs="Aharoni" w:hAnsi="Amasis MT Pro Black"/>
        </w:rPr>
        <w:t>BMHP6029</w:t>
      </w:r>
    </w:p>
    <w:p w:rsidR="00754FCF" w:rsidRDefault="00754FCF" w14:paraId="0272AB1D" w14:textId="77777777" w:rsidP="005439C3" w:rsidRPr="00754FCF">
      <w:pPr>
        <w:jc w:val="center"/>
        <w:spacing w:line="360" w:lineRule="auto"/>
        <w:rPr>
          <w:bCs/>
          <w:b/>
          <w:rFonts w:ascii="Amasis MT Pro Black" w:cs="Aharoni" w:hAnsi="Amasis MT Pro Black"/>
        </w:rPr>
      </w:pPr>
      <w:proofErr w:type="spellStart"/>
      <w:r w:rsidRPr="00754FCF">
        <w:rPr>
          <w:bCs/>
          <w:b/>
          <w:rFonts w:ascii="Amasis MT Pro Black" w:cs="Aharoni" w:hAnsi="Amasis MT Pro Black"/>
        </w:rPr>
        <w:t>Programme</w:t>
      </w:r>
      <w:proofErr w:type="spellEnd"/>
      <w:r w:rsidRPr="00754FCF">
        <w:rPr>
          <w:bCs/>
          <w:b/>
          <w:rFonts w:ascii="Amasis MT Pro Black" w:cs="Aharoni" w:hAnsi="Amasis MT Pro Black"/>
        </w:rPr>
        <w:t>:</w:t>
      </w:r>
    </w:p>
    <w:p w:rsidR="00754FCF" w:rsidRDefault="00754FCF" w14:paraId="041B1895" w14:textId="77777777" w:rsidP="005439C3" w:rsidRPr="00754FCF">
      <w:pPr>
        <w:jc w:val="center"/>
        <w:spacing w:line="360" w:lineRule="auto"/>
        <w:rPr>
          <w:bCs/>
          <w:b/>
          <w:rFonts w:ascii="Amasis MT Pro Black" w:cs="Aharoni" w:hAnsi="Amasis MT Pro Black"/>
        </w:rPr>
      </w:pPr>
      <w:r w:rsidRPr="00754FCF">
        <w:rPr>
          <w:bCs/>
          <w:b/>
          <w:rFonts w:ascii="Amasis MT Pro Black" w:cs="Aharoni" w:hAnsi="Amasis MT Pro Black"/>
        </w:rPr>
        <w:t>BSc (Hons) Health and Social Care</w:t>
      </w:r>
    </w:p>
    <w:p w:rsidR="00754FCF" w:rsidRDefault="00754FCF" w14:paraId="1E8AC395" w14:textId="77777777" w:rsidP="005439C3" w:rsidRPr="00754FCF">
      <w:pPr>
        <w:jc w:val="center"/>
        <w:spacing w:line="360" w:lineRule="auto"/>
        <w:rPr>
          <w:bCs/>
          <w:b/>
          <w:rFonts w:ascii="Amasis MT Pro Black" w:cs="Aharoni" w:hAnsi="Amasis MT Pro Black"/>
        </w:rPr>
      </w:pPr>
      <w:r w:rsidRPr="00754FCF">
        <w:rPr>
          <w:bCs/>
          <w:b/>
          <w:rFonts w:ascii="Amasis MT Pro Black" w:cs="Aharoni" w:hAnsi="Amasis MT Pro Black"/>
        </w:rPr>
        <w:t>Assignment Title:</w:t>
      </w:r>
    </w:p>
    <w:p w:rsidR="00754FCF" w:rsidRDefault="00754FCF" w14:paraId="4C7DDF1F" w14:textId="77777777" w:rsidP="005439C3" w:rsidRPr="00754FCF">
      <w:pPr>
        <w:jc w:val="center"/>
        <w:spacing w:line="360" w:lineRule="auto"/>
        <w:rPr>
          <w:bCs/>
          <w:b/>
          <w:rFonts w:ascii="Amasis MT Pro Black" w:cs="Aharoni" w:hAnsi="Amasis MT Pro Black"/>
        </w:rPr>
      </w:pPr>
      <w:r w:rsidRPr="00754FCF">
        <w:rPr>
          <w:bCs/>
          <w:b/>
          <w:rFonts w:ascii="Amasis MT Pro Black" w:cs="Aharoni" w:hAnsi="Amasis MT Pro Black"/>
        </w:rPr>
        <w:t>Component 2 – Written Assignment (Report)</w:t>
      </w:r>
    </w:p>
    <w:p w:rsidR="00754FCF" w:rsidRDefault="00754FCF" w14:paraId="13E5751B" w14:textId="77777777" w:rsidP="005439C3" w:rsidRPr="00754FCF">
      <w:pPr>
        <w:jc w:val="center"/>
        <w:spacing w:line="360" w:lineRule="auto"/>
        <w:rPr>
          <w:bCs/>
          <w:b/>
          <w:rFonts w:ascii="Amasis MT Pro Black" w:cs="Aharoni" w:hAnsi="Amasis MT Pro Black"/>
        </w:rPr>
      </w:pPr>
      <w:r w:rsidRPr="00754FCF">
        <w:rPr>
          <w:bCs/>
          <w:b/>
          <w:rFonts w:ascii="Amasis MT Pro Black" w:cs="Aharoni" w:hAnsi="Amasis MT Pro Black"/>
        </w:rPr>
        <w:t>Student Name: Eunice-Naomi Labou</w:t>
      </w:r>
    </w:p>
    <w:p w:rsidR="00754FCF" w:rsidRDefault="00754FCF" w14:paraId="3CC0B153" w14:textId="77777777" w:rsidP="005439C3" w:rsidRPr="00754FCF">
      <w:pPr>
        <w:jc w:val="center"/>
        <w:spacing w:line="360" w:lineRule="auto"/>
        <w:rPr>
          <w:bCs/>
          <w:b/>
          <w:rFonts w:ascii="Amasis MT Pro Black" w:cs="Aharoni" w:hAnsi="Amasis MT Pro Black"/>
        </w:rPr>
      </w:pPr>
      <w:r w:rsidRPr="00754FCF">
        <w:rPr>
          <w:bCs/>
          <w:b/>
          <w:rFonts w:ascii="Amasis MT Pro Black" w:cs="Aharoni" w:hAnsi="Amasis MT Pro Black"/>
        </w:rPr>
        <w:t>Student Number: 2322368</w:t>
      </w:r>
    </w:p>
    <w:p w:rsidR="00754FCF" w:rsidRDefault="00754FCF" w14:paraId="36A3DD4E" w14:textId="77777777" w:rsidP="005439C3" w:rsidRPr="00754FCF">
      <w:pPr>
        <w:jc w:val="center"/>
        <w:spacing w:line="360" w:lineRule="auto"/>
        <w:rPr>
          <w:bCs/>
          <w:b/>
          <w:rFonts w:ascii="Amasis MT Pro Black" w:cs="Aharoni" w:hAnsi="Amasis MT Pro Black"/>
        </w:rPr>
      </w:pPr>
      <w:r w:rsidRPr="00754FCF">
        <w:rPr>
          <w:bCs/>
          <w:b/>
          <w:rFonts w:ascii="Amasis MT Pro Black" w:cs="Aharoni" w:hAnsi="Amasis MT Pro Black"/>
        </w:rPr>
        <w:t xml:space="preserve">Lecturer: Neale Haddon </w:t>
      </w:r>
    </w:p>
    <w:p w:rsidR="00754FCF" w:rsidRDefault="00754FCF" w14:paraId="57B08088" w14:textId="77777777" w:rsidP="005439C3" w:rsidRPr="00754FCF">
      <w:pPr>
        <w:jc w:val="center"/>
        <w:spacing w:line="360" w:lineRule="auto"/>
        <w:rPr>
          <w:bCs/>
          <w:b/>
          <w:rFonts w:ascii="Amasis MT Pro Black" w:cs="Aharoni" w:hAnsi="Amasis MT Pro Black"/>
        </w:rPr>
      </w:pPr>
      <w:r w:rsidRPr="00754FCF">
        <w:rPr>
          <w:bCs/>
          <w:b/>
          <w:rFonts w:ascii="Amasis MT Pro Black" w:cs="Aharoni" w:hAnsi="Amasis MT Pro Black"/>
        </w:rPr>
        <w:t>Submission Date:</w:t>
      </w:r>
    </w:p>
    <w:p w:rsidR="00754FCF" w:rsidRDefault="00754FCF" w14:paraId="293FCD4E" w14:textId="77777777" w:rsidP="005439C3" w:rsidRPr="00754FCF">
      <w:pPr>
        <w:jc w:val="center"/>
        <w:spacing w:line="360" w:lineRule="auto"/>
        <w:rPr>
          <w:bCs/>
          <w:b/>
          <w:rFonts w:ascii="Amasis MT Pro Black" w:cs="Aharoni" w:hAnsi="Amasis MT Pro Black"/>
        </w:rPr>
      </w:pPr>
      <w:r w:rsidRPr="00754FCF">
        <w:rPr>
          <w:bCs/>
          <w:b/>
          <w:rFonts w:ascii="Amasis MT Pro Black" w:cs="Aharoni" w:hAnsi="Amasis MT Pro Black"/>
        </w:rPr>
        <w:t>29 March 2026</w:t>
      </w:r>
    </w:p>
    <w:p w:rsidR="00167E9E" w:rsidRDefault="00167E9E" w14:paraId="16DD8BD9" w14:textId="77777777" w:rsidP="005439C3" w:rsidRPr="005439C3">
      <w:pPr>
        <w:jc w:val="center"/>
        <w:spacing w:line="360" w:lineRule="auto"/>
        <w:rPr>
          <w:bCs/>
          <w:b/>
          <w:rFonts w:ascii="Amasis MT Pro Black" w:cs="Aharoni" w:hAnsi="Amasis MT Pro Black"/>
        </w:rPr>
      </w:pPr>
    </w:p>
    <w:p w:rsidR="00167E9E" w:rsidRDefault="00167E9E" w14:paraId="6C3E62A6" w14:textId="77777777" w:rsidP="00ED60B1" w:rsidRPr="00ED60B1">
      <w:pPr>
        <w:jc w:val="both"/>
        <w:spacing w:line="360" w:lineRule="auto"/>
        <w:rPr>
          <w:rFonts w:ascii="Arial" w:cs="Arial" w:hAnsi="Arial"/>
        </w:rPr>
      </w:pPr>
    </w:p>
    <w:p w:rsidR="00167E9E" w:rsidRDefault="00167E9E" w14:paraId="3F60CB98" w14:textId="77777777" w:rsidP="00ED60B1" w:rsidRPr="00ED60B1">
      <w:pPr>
        <w:jc w:val="both"/>
        <w:spacing w:line="360" w:lineRule="auto"/>
        <w:rPr>
          <w:rFonts w:ascii="Arial" w:cs="Arial" w:hAnsi="Arial"/>
        </w:rPr>
      </w:pPr>
    </w:p>
    <w:p w:rsidR="00167E9E" w:rsidRDefault="00167E9E" w14:paraId="6D74A040" w14:textId="77777777" w:rsidP="00ED60B1" w:rsidRPr="00ED60B1">
      <w:pPr>
        <w:jc w:val="both"/>
        <w:spacing w:line="360" w:lineRule="auto"/>
        <w:rPr>
          <w:rFonts w:ascii="Arial" w:cs="Arial" w:hAnsi="Arial"/>
        </w:rPr>
      </w:pPr>
    </w:p>
    <w:p w:rsidR="00167E9E" w:rsidRDefault="00167E9E" w14:paraId="34E50C1E" w14:textId="77777777" w:rsidP="00ED60B1" w:rsidRPr="00ED60B1">
      <w:pPr>
        <w:jc w:val="both"/>
        <w:spacing w:line="360" w:lineRule="auto"/>
        <w:rPr>
          <w:rFonts w:ascii="Arial" w:cs="Arial" w:hAnsi="Arial"/>
        </w:rPr>
      </w:pPr>
    </w:p>
    <w:p w:rsidR="00167E9E" w:rsidRDefault="00167E9E" w14:paraId="48172AD2" w14:textId="77777777" w:rsidP="00ED60B1" w:rsidRPr="00ED60B1">
      <w:pPr>
        <w:jc w:val="both"/>
        <w:spacing w:line="360" w:lineRule="auto"/>
        <w:rPr>
          <w:rFonts w:ascii="Arial" w:cs="Arial" w:hAnsi="Arial"/>
        </w:rPr>
      </w:pPr>
    </w:p>
    <w:p w:rsidR="00264030" w:rsidRDefault="00264030" w14:paraId="64A1B719" w14:textId="77777777" w:rsidP="00ED60B1" w:rsidRPr="00ED60B1">
      <w:pPr>
        <w:jc w:val="both"/>
        <w:spacing w:line="360" w:lineRule="auto"/>
        <w:rPr>
          <w:rFonts w:ascii="Arial" w:cs="Arial" w:hAnsi="Arial"/>
        </w:rPr>
      </w:pPr>
    </w:p>
    <w:sdt>
      <w:sdtPr>
        <w:rPr>
          <w:rFonts w:ascii="Arial" w:hAnsi="Arial" w:cs="Arial"/>
          <w:sz w:val="24"/>
          <w:szCs w:val="24"/>
        </w:rPr>
        <w:id w:val="191351122"/>
        <w:docPartObj>
          <w:docPartGallery w:val="Table of Contents"/>
          <w:docPartUnique/>
        </w:docPartObj>
      </w:sdtPr>
      <w:sdtEndPr>
        <w:rPr>
          <w:rFonts w:eastAsiaTheme="minorHAnsi"/>
          <w:b/>
          <w:bCs/>
          <w:noProof/>
          <w:color w:val="auto"/>
          <w:kern w:val="2"/>
          <w14:ligatures w14:val="standardContextual"/>
        </w:rPr>
      </w:sdtEndPr>
      <w:sdtContent>
        <w:p w:rsidR="00264030" w:rsidRDefault="00264030" w14:paraId="579FEB81" w14:textId="1962F6ED" w:rsidP="005439C3" w:rsidRPr="00ED60B1">
          <w:pPr>
            <w:pStyle w:val="TOCHeading"/>
            <w:jc w:val="center"/>
            <w:spacing w:line="360" w:lineRule="auto"/>
            <w:rPr>
              <w:rFonts w:ascii="Arial" w:cs="Arial" w:hAnsi="Arial"/>
              <w:sz w:val="24"/>
              <w:szCs w:val="24"/>
            </w:rPr>
          </w:pPr>
          <w:r w:rsidRPr="00ED60B1">
            <w:rPr>
              <w:rFonts w:ascii="Arial" w:cs="Arial" w:hAnsi="Arial"/>
              <w:sz w:val="24"/>
              <w:szCs w:val="24"/>
            </w:rPr>
            <w:t>Table of Contents</w:t>
          </w:r>
        </w:p>
        <w:p w:rsidR="00264030" w:rsidRDefault="00264030" w14:paraId="083E4258" w14:textId="3E9A8295" w:rsidP="00ED60B1" w:rsidRPr="00ED60B1">
          <w:pPr>
            <w:pStyle w:val="TOC1"/>
            <w:jc w:val="both"/>
            <w:spacing w:line="360" w:lineRule="auto"/>
            <w:tabs>
              <w:tab w:val="right" w:leader="dot" w:pos="9350"/>
            </w:tabs>
            <w:rPr>
              <w:noProof/>
              <w:rFonts w:ascii="Arial" w:cs="Arial" w:hAnsi="Arial"/>
            </w:rPr>
          </w:pPr>
          <w:r w:rsidRPr="00ED60B1">
            <w:rPr>
              <w:rFonts w:ascii="Arial" w:cs="Arial" w:hAnsi="Arial"/>
            </w:rPr>
            <w:fldChar w:fldCharType="begin"/>
          </w:r>
          <w:r w:rsidRPr="00ED60B1">
            <w:rPr>
              <w:rFonts w:ascii="Arial" w:cs="Arial" w:hAnsi="Arial"/>
            </w:rPr>
            <w:instrText xml:space="preserve"> TOC \o "1-3" \h \z \u </w:instrText>
          </w:r>
          <w:r w:rsidRPr="00ED60B1">
            <w:rPr>
              <w:rFonts w:ascii="Arial" w:cs="Arial" w:hAnsi="Arial"/>
            </w:rPr>
            <w:fldChar w:fldCharType="separate"/>
          </w:r>
          <w:hyperlink w:anchor="_Toc224549592" w:history="1">
            <w:r w:rsidRPr="00ED60B1">
              <w:rPr>
                <w:noProof/>
                <w:rStyle w:val="Hyperlink"/>
                <w:rFonts w:ascii="Arial" w:cs="Arial" w:hAnsi="Arial"/>
              </w:rPr>
              <w:t>1. Introduction</w:t>
            </w:r>
            <w:r w:rsidRPr="00ED60B1">
              <w:rPr>
                <w:noProof/>
                <w:webHidden/>
                <w:rFonts w:ascii="Arial" w:cs="Arial" w:hAnsi="Arial"/>
              </w:rPr>
              <w:tab/>
            </w:r>
            <w:r w:rsidRPr="00ED60B1">
              <w:rPr>
                <w:noProof/>
                <w:webHidden/>
                <w:rFonts w:ascii="Arial" w:cs="Arial" w:hAnsi="Arial"/>
              </w:rPr>
              <w:fldChar w:fldCharType="begin"/>
            </w:r>
            <w:r w:rsidRPr="00ED60B1">
              <w:rPr>
                <w:noProof/>
                <w:webHidden/>
                <w:rFonts w:ascii="Arial" w:cs="Arial" w:hAnsi="Arial"/>
              </w:rPr>
              <w:instrText xml:space="preserve"> PAGEREF _Toc224549592 \h </w:instrText>
            </w:r>
            <w:r w:rsidRPr="00ED60B1">
              <w:rPr>
                <w:noProof/>
                <w:webHidden/>
                <w:rFonts w:ascii="Arial" w:cs="Arial" w:hAnsi="Arial"/>
              </w:rPr>
            </w:r>
            <w:r w:rsidRPr="00ED60B1">
              <w:rPr>
                <w:noProof/>
                <w:webHidden/>
                <w:rFonts w:ascii="Arial" w:cs="Arial" w:hAnsi="Arial"/>
              </w:rPr>
              <w:fldChar w:fldCharType="separate"/>
            </w:r>
            <w:r w:rsidRPr="00ED60B1">
              <w:rPr>
                <w:noProof/>
                <w:webHidden/>
                <w:rFonts w:ascii="Arial" w:cs="Arial" w:hAnsi="Arial"/>
              </w:rPr>
              <w:t>2</w:t>
            </w:r>
            <w:r w:rsidRPr="00ED60B1">
              <w:rPr>
                <w:noProof/>
                <w:webHidden/>
                <w:rFonts w:ascii="Arial" w:cs="Arial" w:hAnsi="Arial"/>
              </w:rPr>
              <w:fldChar w:fldCharType="end"/>
            </w:r>
          </w:hyperlink>
        </w:p>
        <w:p w:rsidR="00264030" w:rsidRDefault="00264030" w14:paraId="5783DC2B" w14:textId="66FA0660" w:rsidP="00ED60B1" w:rsidRPr="00ED60B1">
          <w:pPr>
            <w:pStyle w:val="TOC1"/>
            <w:jc w:val="both"/>
            <w:spacing w:line="360" w:lineRule="auto"/>
            <w:tabs>
              <w:tab w:val="right" w:leader="dot" w:pos="9350"/>
            </w:tabs>
            <w:rPr>
              <w:noProof/>
              <w:rFonts w:ascii="Arial" w:cs="Arial" w:hAnsi="Arial"/>
            </w:rPr>
          </w:pPr>
          <w:hyperlink w:anchor="_Toc224549593" w:history="1">
            <w:r w:rsidRPr="00ED60B1">
              <w:rPr>
                <w:noProof/>
                <w:rStyle w:val="Hyperlink"/>
                <w:rFonts w:ascii="Arial" w:cs="Arial" w:hAnsi="Arial"/>
              </w:rPr>
              <w:t>2. Diagnosis and Classification</w:t>
            </w:r>
            <w:r w:rsidRPr="00ED60B1">
              <w:rPr>
                <w:noProof/>
                <w:webHidden/>
                <w:rFonts w:ascii="Arial" w:cs="Arial" w:hAnsi="Arial"/>
              </w:rPr>
              <w:tab/>
            </w:r>
            <w:r w:rsidRPr="00ED60B1">
              <w:rPr>
                <w:noProof/>
                <w:webHidden/>
                <w:rFonts w:ascii="Arial" w:cs="Arial" w:hAnsi="Arial"/>
              </w:rPr>
              <w:fldChar w:fldCharType="begin"/>
            </w:r>
            <w:r w:rsidRPr="00ED60B1">
              <w:rPr>
                <w:noProof/>
                <w:webHidden/>
                <w:rFonts w:ascii="Arial" w:cs="Arial" w:hAnsi="Arial"/>
              </w:rPr>
              <w:instrText xml:space="preserve"> PAGEREF _Toc224549593 \h </w:instrText>
            </w:r>
            <w:r w:rsidRPr="00ED60B1">
              <w:rPr>
                <w:noProof/>
                <w:webHidden/>
                <w:rFonts w:ascii="Arial" w:cs="Arial" w:hAnsi="Arial"/>
              </w:rPr>
            </w:r>
            <w:r w:rsidRPr="00ED60B1">
              <w:rPr>
                <w:noProof/>
                <w:webHidden/>
                <w:rFonts w:ascii="Arial" w:cs="Arial" w:hAnsi="Arial"/>
              </w:rPr>
              <w:fldChar w:fldCharType="separate"/>
            </w:r>
            <w:r w:rsidRPr="00ED60B1">
              <w:rPr>
                <w:noProof/>
                <w:webHidden/>
                <w:rFonts w:ascii="Arial" w:cs="Arial" w:hAnsi="Arial"/>
              </w:rPr>
              <w:t>2</w:t>
            </w:r>
            <w:r w:rsidRPr="00ED60B1">
              <w:rPr>
                <w:noProof/>
                <w:webHidden/>
                <w:rFonts w:ascii="Arial" w:cs="Arial" w:hAnsi="Arial"/>
              </w:rPr>
              <w:fldChar w:fldCharType="end"/>
            </w:r>
          </w:hyperlink>
        </w:p>
        <w:p w:rsidR="00264030" w:rsidRDefault="00264030" w14:paraId="78A25248" w14:textId="6D85F40D" w:rsidP="00ED60B1" w:rsidRPr="00ED60B1">
          <w:pPr>
            <w:pStyle w:val="TOC2"/>
            <w:jc w:val="both"/>
            <w:spacing w:line="360" w:lineRule="auto"/>
            <w:tabs>
              <w:tab w:val="right" w:leader="dot" w:pos="9350"/>
            </w:tabs>
            <w:rPr>
              <w:noProof/>
              <w:rFonts w:ascii="Arial" w:cs="Arial" w:hAnsi="Arial"/>
            </w:rPr>
          </w:pPr>
          <w:hyperlink w:anchor="_Toc224549594" w:history="1">
            <w:r w:rsidRPr="00ED60B1">
              <w:rPr>
                <w:noProof/>
                <w:rStyle w:val="Hyperlink"/>
                <w:rFonts w:ascii="Arial" w:cs="Arial" w:hAnsi="Arial"/>
              </w:rPr>
              <w:t>2.1 The ICD-11 Classification of Markers</w:t>
            </w:r>
            <w:r w:rsidRPr="00ED60B1">
              <w:rPr>
                <w:noProof/>
                <w:webHidden/>
                <w:rFonts w:ascii="Arial" w:cs="Arial" w:hAnsi="Arial"/>
              </w:rPr>
              <w:tab/>
            </w:r>
            <w:r w:rsidRPr="00ED60B1">
              <w:rPr>
                <w:noProof/>
                <w:webHidden/>
                <w:rFonts w:ascii="Arial" w:cs="Arial" w:hAnsi="Arial"/>
              </w:rPr>
              <w:fldChar w:fldCharType="begin"/>
            </w:r>
            <w:r w:rsidRPr="00ED60B1">
              <w:rPr>
                <w:noProof/>
                <w:webHidden/>
                <w:rFonts w:ascii="Arial" w:cs="Arial" w:hAnsi="Arial"/>
              </w:rPr>
              <w:instrText xml:space="preserve"> PAGEREF _Toc224549594 \h </w:instrText>
            </w:r>
            <w:r w:rsidRPr="00ED60B1">
              <w:rPr>
                <w:noProof/>
                <w:webHidden/>
                <w:rFonts w:ascii="Arial" w:cs="Arial" w:hAnsi="Arial"/>
              </w:rPr>
            </w:r>
            <w:r w:rsidRPr="00ED60B1">
              <w:rPr>
                <w:noProof/>
                <w:webHidden/>
                <w:rFonts w:ascii="Arial" w:cs="Arial" w:hAnsi="Arial"/>
              </w:rPr>
              <w:fldChar w:fldCharType="separate"/>
            </w:r>
            <w:r w:rsidRPr="00ED60B1">
              <w:rPr>
                <w:noProof/>
                <w:webHidden/>
                <w:rFonts w:ascii="Arial" w:cs="Arial" w:hAnsi="Arial"/>
              </w:rPr>
              <w:t>2</w:t>
            </w:r>
            <w:r w:rsidRPr="00ED60B1">
              <w:rPr>
                <w:noProof/>
                <w:webHidden/>
                <w:rFonts w:ascii="Arial" w:cs="Arial" w:hAnsi="Arial"/>
              </w:rPr>
              <w:fldChar w:fldCharType="end"/>
            </w:r>
          </w:hyperlink>
        </w:p>
        <w:p w:rsidR="00264030" w:rsidRDefault="00264030" w14:paraId="063B8D3F" w14:textId="13291E78" w:rsidP="00ED60B1" w:rsidRPr="00ED60B1">
          <w:pPr>
            <w:pStyle w:val="TOC2"/>
            <w:jc w:val="both"/>
            <w:spacing w:line="360" w:lineRule="auto"/>
            <w:tabs>
              <w:tab w:val="right" w:leader="dot" w:pos="9350"/>
            </w:tabs>
            <w:rPr>
              <w:noProof/>
              <w:rFonts w:ascii="Arial" w:cs="Arial" w:hAnsi="Arial"/>
            </w:rPr>
          </w:pPr>
          <w:hyperlink w:anchor="_Toc224549595" w:history="1">
            <w:r w:rsidRPr="00ED60B1">
              <w:rPr>
                <w:noProof/>
                <w:rStyle w:val="Hyperlink"/>
                <w:rFonts w:ascii="Arial" w:cs="Arial" w:hAnsi="Arial"/>
              </w:rPr>
              <w:t>2.2 Diagnostic Criteria and Processes</w:t>
            </w:r>
            <w:r w:rsidRPr="00ED60B1">
              <w:rPr>
                <w:noProof/>
                <w:webHidden/>
                <w:rFonts w:ascii="Arial" w:cs="Arial" w:hAnsi="Arial"/>
              </w:rPr>
              <w:tab/>
            </w:r>
            <w:r w:rsidRPr="00ED60B1">
              <w:rPr>
                <w:noProof/>
                <w:webHidden/>
                <w:rFonts w:ascii="Arial" w:cs="Arial" w:hAnsi="Arial"/>
              </w:rPr>
              <w:fldChar w:fldCharType="begin"/>
            </w:r>
            <w:r w:rsidRPr="00ED60B1">
              <w:rPr>
                <w:noProof/>
                <w:webHidden/>
                <w:rFonts w:ascii="Arial" w:cs="Arial" w:hAnsi="Arial"/>
              </w:rPr>
              <w:instrText xml:space="preserve"> PAGEREF _Toc224549595 \h </w:instrText>
            </w:r>
            <w:r w:rsidRPr="00ED60B1">
              <w:rPr>
                <w:noProof/>
                <w:webHidden/>
                <w:rFonts w:ascii="Arial" w:cs="Arial" w:hAnsi="Arial"/>
              </w:rPr>
            </w:r>
            <w:r w:rsidRPr="00ED60B1">
              <w:rPr>
                <w:noProof/>
                <w:webHidden/>
                <w:rFonts w:ascii="Arial" w:cs="Arial" w:hAnsi="Arial"/>
              </w:rPr>
              <w:fldChar w:fldCharType="separate"/>
            </w:r>
            <w:r w:rsidRPr="00ED60B1">
              <w:rPr>
                <w:noProof/>
                <w:webHidden/>
                <w:rFonts w:ascii="Arial" w:cs="Arial" w:hAnsi="Arial"/>
              </w:rPr>
              <w:t>4</w:t>
            </w:r>
            <w:r w:rsidRPr="00ED60B1">
              <w:rPr>
                <w:noProof/>
                <w:webHidden/>
                <w:rFonts w:ascii="Arial" w:cs="Arial" w:hAnsi="Arial"/>
              </w:rPr>
              <w:fldChar w:fldCharType="end"/>
            </w:r>
          </w:hyperlink>
        </w:p>
        <w:p w:rsidR="00264030" w:rsidRDefault="00264030" w14:paraId="35A64B61" w14:textId="4F9A174D" w:rsidP="00ED60B1" w:rsidRPr="00ED60B1">
          <w:pPr>
            <w:pStyle w:val="TOC1"/>
            <w:jc w:val="both"/>
            <w:spacing w:line="360" w:lineRule="auto"/>
            <w:tabs>
              <w:tab w:val="right" w:leader="dot" w:pos="9350"/>
            </w:tabs>
            <w:rPr>
              <w:noProof/>
              <w:rFonts w:ascii="Arial" w:cs="Arial" w:hAnsi="Arial"/>
            </w:rPr>
          </w:pPr>
          <w:hyperlink w:anchor="_Toc224549596" w:history="1">
            <w:r w:rsidRPr="00ED60B1">
              <w:rPr>
                <w:noProof/>
                <w:rStyle w:val="Hyperlink"/>
                <w:rFonts w:ascii="Arial" w:cs="Arial" w:hAnsi="Arial"/>
              </w:rPr>
              <w:t>3. Cure and Recovery</w:t>
            </w:r>
            <w:r w:rsidRPr="00ED60B1">
              <w:rPr>
                <w:noProof/>
                <w:webHidden/>
                <w:rFonts w:ascii="Arial" w:cs="Arial" w:hAnsi="Arial"/>
              </w:rPr>
              <w:tab/>
            </w:r>
            <w:r w:rsidRPr="00ED60B1">
              <w:rPr>
                <w:noProof/>
                <w:webHidden/>
                <w:rFonts w:ascii="Arial" w:cs="Arial" w:hAnsi="Arial"/>
              </w:rPr>
              <w:fldChar w:fldCharType="begin"/>
            </w:r>
            <w:r w:rsidRPr="00ED60B1">
              <w:rPr>
                <w:noProof/>
                <w:webHidden/>
                <w:rFonts w:ascii="Arial" w:cs="Arial" w:hAnsi="Arial"/>
              </w:rPr>
              <w:instrText xml:space="preserve"> PAGEREF _Toc224549596 \h </w:instrText>
            </w:r>
            <w:r w:rsidRPr="00ED60B1">
              <w:rPr>
                <w:noProof/>
                <w:webHidden/>
                <w:rFonts w:ascii="Arial" w:cs="Arial" w:hAnsi="Arial"/>
              </w:rPr>
            </w:r>
            <w:r w:rsidRPr="00ED60B1">
              <w:rPr>
                <w:noProof/>
                <w:webHidden/>
                <w:rFonts w:ascii="Arial" w:cs="Arial" w:hAnsi="Arial"/>
              </w:rPr>
              <w:fldChar w:fldCharType="separate"/>
            </w:r>
            <w:r w:rsidRPr="00ED60B1">
              <w:rPr>
                <w:noProof/>
                <w:webHidden/>
                <w:rFonts w:ascii="Arial" w:cs="Arial" w:hAnsi="Arial"/>
              </w:rPr>
              <w:t>5</w:t>
            </w:r>
            <w:r w:rsidRPr="00ED60B1">
              <w:rPr>
                <w:noProof/>
                <w:webHidden/>
                <w:rFonts w:ascii="Arial" w:cs="Arial" w:hAnsi="Arial"/>
              </w:rPr>
              <w:fldChar w:fldCharType="end"/>
            </w:r>
          </w:hyperlink>
        </w:p>
        <w:p w:rsidR="00264030" w:rsidRDefault="00264030" w14:paraId="47A6A97F" w14:textId="7CD96CEE" w:rsidP="00ED60B1" w:rsidRPr="00ED60B1">
          <w:pPr>
            <w:pStyle w:val="TOC2"/>
            <w:jc w:val="both"/>
            <w:spacing w:line="360" w:lineRule="auto"/>
            <w:tabs>
              <w:tab w:val="right" w:leader="dot" w:pos="9350"/>
            </w:tabs>
            <w:rPr>
              <w:noProof/>
              <w:rFonts w:ascii="Arial" w:cs="Arial" w:hAnsi="Arial"/>
            </w:rPr>
          </w:pPr>
          <w:hyperlink w:anchor="_Toc224549597" w:history="1">
            <w:r w:rsidRPr="00ED60B1">
              <w:rPr>
                <w:noProof/>
                <w:rStyle w:val="Hyperlink"/>
                <w:rFonts w:ascii="Arial" w:cs="Arial" w:hAnsi="Arial"/>
              </w:rPr>
              <w:t>3.1 Methods of Treatment</w:t>
            </w:r>
            <w:r w:rsidRPr="00ED60B1">
              <w:rPr>
                <w:noProof/>
                <w:webHidden/>
                <w:rFonts w:ascii="Arial" w:cs="Arial" w:hAnsi="Arial"/>
              </w:rPr>
              <w:tab/>
            </w:r>
            <w:r w:rsidRPr="00ED60B1">
              <w:rPr>
                <w:noProof/>
                <w:webHidden/>
                <w:rFonts w:ascii="Arial" w:cs="Arial" w:hAnsi="Arial"/>
              </w:rPr>
              <w:fldChar w:fldCharType="begin"/>
            </w:r>
            <w:r w:rsidRPr="00ED60B1">
              <w:rPr>
                <w:noProof/>
                <w:webHidden/>
                <w:rFonts w:ascii="Arial" w:cs="Arial" w:hAnsi="Arial"/>
              </w:rPr>
              <w:instrText xml:space="preserve"> PAGEREF _Toc224549597 \h </w:instrText>
            </w:r>
            <w:r w:rsidRPr="00ED60B1">
              <w:rPr>
                <w:noProof/>
                <w:webHidden/>
                <w:rFonts w:ascii="Arial" w:cs="Arial" w:hAnsi="Arial"/>
              </w:rPr>
            </w:r>
            <w:r w:rsidRPr="00ED60B1">
              <w:rPr>
                <w:noProof/>
                <w:webHidden/>
                <w:rFonts w:ascii="Arial" w:cs="Arial" w:hAnsi="Arial"/>
              </w:rPr>
              <w:fldChar w:fldCharType="separate"/>
            </w:r>
            <w:r w:rsidRPr="00ED60B1">
              <w:rPr>
                <w:noProof/>
                <w:webHidden/>
                <w:rFonts w:ascii="Arial" w:cs="Arial" w:hAnsi="Arial"/>
              </w:rPr>
              <w:t>5</w:t>
            </w:r>
            <w:r w:rsidRPr="00ED60B1">
              <w:rPr>
                <w:noProof/>
                <w:webHidden/>
                <w:rFonts w:ascii="Arial" w:cs="Arial" w:hAnsi="Arial"/>
              </w:rPr>
              <w:fldChar w:fldCharType="end"/>
            </w:r>
          </w:hyperlink>
        </w:p>
        <w:p w:rsidR="00264030" w:rsidRDefault="00264030" w14:paraId="5FC13E22" w14:textId="54C3F69B" w:rsidP="00ED60B1" w:rsidRPr="00ED60B1">
          <w:pPr>
            <w:pStyle w:val="TOC2"/>
            <w:jc w:val="both"/>
            <w:spacing w:line="360" w:lineRule="auto"/>
            <w:tabs>
              <w:tab w:val="right" w:leader="dot" w:pos="9350"/>
            </w:tabs>
            <w:rPr>
              <w:noProof/>
              <w:rFonts w:ascii="Arial" w:cs="Arial" w:hAnsi="Arial"/>
            </w:rPr>
          </w:pPr>
          <w:hyperlink w:anchor="_Toc224549598" w:history="1">
            <w:r w:rsidRPr="00ED60B1">
              <w:rPr>
                <w:noProof/>
                <w:rStyle w:val="Hyperlink"/>
                <w:rFonts w:ascii="Arial" w:cs="Arial" w:hAnsi="Arial"/>
              </w:rPr>
              <w:t>3.2 Treatment and long-term support</w:t>
            </w:r>
            <w:r w:rsidRPr="00ED60B1">
              <w:rPr>
                <w:noProof/>
                <w:webHidden/>
                <w:rFonts w:ascii="Arial" w:cs="Arial" w:hAnsi="Arial"/>
              </w:rPr>
              <w:tab/>
            </w:r>
            <w:r w:rsidRPr="00ED60B1">
              <w:rPr>
                <w:noProof/>
                <w:webHidden/>
                <w:rFonts w:ascii="Arial" w:cs="Arial" w:hAnsi="Arial"/>
              </w:rPr>
              <w:fldChar w:fldCharType="begin"/>
            </w:r>
            <w:r w:rsidRPr="00ED60B1">
              <w:rPr>
                <w:noProof/>
                <w:webHidden/>
                <w:rFonts w:ascii="Arial" w:cs="Arial" w:hAnsi="Arial"/>
              </w:rPr>
              <w:instrText xml:space="preserve"> PAGEREF _Toc224549598 \h </w:instrText>
            </w:r>
            <w:r w:rsidRPr="00ED60B1">
              <w:rPr>
                <w:noProof/>
                <w:webHidden/>
                <w:rFonts w:ascii="Arial" w:cs="Arial" w:hAnsi="Arial"/>
              </w:rPr>
            </w:r>
            <w:r w:rsidRPr="00ED60B1">
              <w:rPr>
                <w:noProof/>
                <w:webHidden/>
                <w:rFonts w:ascii="Arial" w:cs="Arial" w:hAnsi="Arial"/>
              </w:rPr>
              <w:fldChar w:fldCharType="separate"/>
            </w:r>
            <w:r w:rsidRPr="00ED60B1">
              <w:rPr>
                <w:noProof/>
                <w:webHidden/>
                <w:rFonts w:ascii="Arial" w:cs="Arial" w:hAnsi="Arial"/>
              </w:rPr>
              <w:t>7</w:t>
            </w:r>
            <w:r w:rsidRPr="00ED60B1">
              <w:rPr>
                <w:noProof/>
                <w:webHidden/>
                <w:rFonts w:ascii="Arial" w:cs="Arial" w:hAnsi="Arial"/>
              </w:rPr>
              <w:fldChar w:fldCharType="end"/>
            </w:r>
          </w:hyperlink>
        </w:p>
        <w:p w:rsidR="00264030" w:rsidRDefault="00264030" w14:paraId="137985C1" w14:textId="15F0955E" w:rsidP="00ED60B1" w:rsidRPr="00ED60B1">
          <w:pPr>
            <w:pStyle w:val="TOC1"/>
            <w:jc w:val="both"/>
            <w:spacing w:line="360" w:lineRule="auto"/>
            <w:tabs>
              <w:tab w:val="right" w:leader="dot" w:pos="9350"/>
            </w:tabs>
            <w:rPr>
              <w:noProof/>
              <w:rFonts w:ascii="Arial" w:cs="Arial" w:hAnsi="Arial"/>
            </w:rPr>
          </w:pPr>
          <w:hyperlink w:anchor="_Toc224549599" w:history="1">
            <w:r w:rsidRPr="00ED60B1">
              <w:rPr>
                <w:noProof/>
                <w:rStyle w:val="Hyperlink"/>
                <w:rFonts w:ascii="Arial" w:cs="Arial" w:hAnsi="Arial"/>
              </w:rPr>
              <w:t>4. Present Troubles and New Problems</w:t>
            </w:r>
            <w:r w:rsidRPr="00ED60B1">
              <w:rPr>
                <w:noProof/>
                <w:webHidden/>
                <w:rFonts w:ascii="Arial" w:cs="Arial" w:hAnsi="Arial"/>
              </w:rPr>
              <w:tab/>
            </w:r>
            <w:r w:rsidRPr="00ED60B1">
              <w:rPr>
                <w:noProof/>
                <w:webHidden/>
                <w:rFonts w:ascii="Arial" w:cs="Arial" w:hAnsi="Arial"/>
              </w:rPr>
              <w:fldChar w:fldCharType="begin"/>
            </w:r>
            <w:r w:rsidRPr="00ED60B1">
              <w:rPr>
                <w:noProof/>
                <w:webHidden/>
                <w:rFonts w:ascii="Arial" w:cs="Arial" w:hAnsi="Arial"/>
              </w:rPr>
              <w:instrText xml:space="preserve"> PAGEREF _Toc224549599 \h </w:instrText>
            </w:r>
            <w:r w:rsidRPr="00ED60B1">
              <w:rPr>
                <w:noProof/>
                <w:webHidden/>
                <w:rFonts w:ascii="Arial" w:cs="Arial" w:hAnsi="Arial"/>
              </w:rPr>
            </w:r>
            <w:r w:rsidRPr="00ED60B1">
              <w:rPr>
                <w:noProof/>
                <w:webHidden/>
                <w:rFonts w:ascii="Arial" w:cs="Arial" w:hAnsi="Arial"/>
              </w:rPr>
              <w:fldChar w:fldCharType="separate"/>
            </w:r>
            <w:r w:rsidRPr="00ED60B1">
              <w:rPr>
                <w:noProof/>
                <w:webHidden/>
                <w:rFonts w:ascii="Arial" w:cs="Arial" w:hAnsi="Arial"/>
              </w:rPr>
              <w:t>9</w:t>
            </w:r>
            <w:r w:rsidRPr="00ED60B1">
              <w:rPr>
                <w:noProof/>
                <w:webHidden/>
                <w:rFonts w:ascii="Arial" w:cs="Arial" w:hAnsi="Arial"/>
              </w:rPr>
              <w:fldChar w:fldCharType="end"/>
            </w:r>
          </w:hyperlink>
        </w:p>
        <w:p w:rsidR="00264030" w:rsidRDefault="00264030" w14:paraId="380D0A11" w14:textId="73BAE9D7" w:rsidP="00ED60B1" w:rsidRPr="00ED60B1">
          <w:pPr>
            <w:pStyle w:val="TOC2"/>
            <w:jc w:val="both"/>
            <w:spacing w:line="360" w:lineRule="auto"/>
            <w:tabs>
              <w:tab w:val="right" w:leader="dot" w:pos="9350"/>
            </w:tabs>
            <w:rPr>
              <w:noProof/>
              <w:rFonts w:ascii="Arial" w:cs="Arial" w:hAnsi="Arial"/>
            </w:rPr>
          </w:pPr>
          <w:hyperlink w:anchor="_Toc224549600" w:history="1">
            <w:r w:rsidRPr="00ED60B1">
              <w:rPr>
                <w:noProof/>
                <w:rStyle w:val="Hyperlink"/>
                <w:rFonts w:ascii="Arial" w:cs="Arial" w:hAnsi="Arial"/>
              </w:rPr>
              <w:t>4.1 Expunging Gender Diversity as Pathology</w:t>
            </w:r>
            <w:r w:rsidRPr="00ED60B1">
              <w:rPr>
                <w:noProof/>
                <w:webHidden/>
                <w:rFonts w:ascii="Arial" w:cs="Arial" w:hAnsi="Arial"/>
              </w:rPr>
              <w:tab/>
            </w:r>
            <w:r w:rsidRPr="00ED60B1">
              <w:rPr>
                <w:noProof/>
                <w:webHidden/>
                <w:rFonts w:ascii="Arial" w:cs="Arial" w:hAnsi="Arial"/>
              </w:rPr>
              <w:fldChar w:fldCharType="begin"/>
            </w:r>
            <w:r w:rsidRPr="00ED60B1">
              <w:rPr>
                <w:noProof/>
                <w:webHidden/>
                <w:rFonts w:ascii="Arial" w:cs="Arial" w:hAnsi="Arial"/>
              </w:rPr>
              <w:instrText xml:space="preserve"> PAGEREF _Toc224549600 \h </w:instrText>
            </w:r>
            <w:r w:rsidRPr="00ED60B1">
              <w:rPr>
                <w:noProof/>
                <w:webHidden/>
                <w:rFonts w:ascii="Arial" w:cs="Arial" w:hAnsi="Arial"/>
              </w:rPr>
            </w:r>
            <w:r w:rsidRPr="00ED60B1">
              <w:rPr>
                <w:noProof/>
                <w:webHidden/>
                <w:rFonts w:ascii="Arial" w:cs="Arial" w:hAnsi="Arial"/>
              </w:rPr>
              <w:fldChar w:fldCharType="separate"/>
            </w:r>
            <w:r w:rsidRPr="00ED60B1">
              <w:rPr>
                <w:noProof/>
                <w:webHidden/>
                <w:rFonts w:ascii="Arial" w:cs="Arial" w:hAnsi="Arial"/>
              </w:rPr>
              <w:t>9</w:t>
            </w:r>
            <w:r w:rsidRPr="00ED60B1">
              <w:rPr>
                <w:noProof/>
                <w:webHidden/>
                <w:rFonts w:ascii="Arial" w:cs="Arial" w:hAnsi="Arial"/>
              </w:rPr>
              <w:fldChar w:fldCharType="end"/>
            </w:r>
          </w:hyperlink>
        </w:p>
        <w:p w:rsidR="00264030" w:rsidRDefault="00264030" w14:paraId="6747F68E" w14:textId="6453E92B" w:rsidP="00ED60B1" w:rsidRPr="00ED60B1">
          <w:pPr>
            <w:pStyle w:val="TOC2"/>
            <w:jc w:val="both"/>
            <w:spacing w:line="360" w:lineRule="auto"/>
            <w:tabs>
              <w:tab w:val="right" w:leader="dot" w:pos="9350"/>
            </w:tabs>
            <w:rPr>
              <w:noProof/>
              <w:rFonts w:ascii="Arial" w:cs="Arial" w:hAnsi="Arial"/>
            </w:rPr>
          </w:pPr>
          <w:hyperlink w:anchor="_Toc224549601" w:history="1">
            <w:r w:rsidRPr="00ED60B1">
              <w:rPr>
                <w:noProof/>
                <w:rStyle w:val="Hyperlink"/>
                <w:rFonts w:ascii="Arial" w:cs="Arial" w:hAnsi="Arial"/>
              </w:rPr>
              <w:t>4.2 Neurodivergence and Gender Diversity</w:t>
            </w:r>
            <w:r w:rsidRPr="00ED60B1">
              <w:rPr>
                <w:noProof/>
                <w:webHidden/>
                <w:rFonts w:ascii="Arial" w:cs="Arial" w:hAnsi="Arial"/>
              </w:rPr>
              <w:tab/>
            </w:r>
            <w:r w:rsidRPr="00ED60B1">
              <w:rPr>
                <w:noProof/>
                <w:webHidden/>
                <w:rFonts w:ascii="Arial" w:cs="Arial" w:hAnsi="Arial"/>
              </w:rPr>
              <w:fldChar w:fldCharType="begin"/>
            </w:r>
            <w:r w:rsidRPr="00ED60B1">
              <w:rPr>
                <w:noProof/>
                <w:webHidden/>
                <w:rFonts w:ascii="Arial" w:cs="Arial" w:hAnsi="Arial"/>
              </w:rPr>
              <w:instrText xml:space="preserve"> PAGEREF _Toc224549601 \h </w:instrText>
            </w:r>
            <w:r w:rsidRPr="00ED60B1">
              <w:rPr>
                <w:noProof/>
                <w:webHidden/>
                <w:rFonts w:ascii="Arial" w:cs="Arial" w:hAnsi="Arial"/>
              </w:rPr>
            </w:r>
            <w:r w:rsidRPr="00ED60B1">
              <w:rPr>
                <w:noProof/>
                <w:webHidden/>
                <w:rFonts w:ascii="Arial" w:cs="Arial" w:hAnsi="Arial"/>
              </w:rPr>
              <w:fldChar w:fldCharType="separate"/>
            </w:r>
            <w:r w:rsidRPr="00ED60B1">
              <w:rPr>
                <w:noProof/>
                <w:webHidden/>
                <w:rFonts w:ascii="Arial" w:cs="Arial" w:hAnsi="Arial"/>
              </w:rPr>
              <w:t>9</w:t>
            </w:r>
            <w:r w:rsidRPr="00ED60B1">
              <w:rPr>
                <w:noProof/>
                <w:webHidden/>
                <w:rFonts w:ascii="Arial" w:cs="Arial" w:hAnsi="Arial"/>
              </w:rPr>
              <w:fldChar w:fldCharType="end"/>
            </w:r>
          </w:hyperlink>
        </w:p>
        <w:p w:rsidR="00264030" w:rsidRDefault="00264030" w14:paraId="4ECA9142" w14:textId="5FDBBD02" w:rsidP="00ED60B1" w:rsidRPr="00ED60B1">
          <w:pPr>
            <w:pStyle w:val="TOC2"/>
            <w:jc w:val="both"/>
            <w:spacing w:line="360" w:lineRule="auto"/>
            <w:tabs>
              <w:tab w:val="right" w:leader="dot" w:pos="9350"/>
            </w:tabs>
            <w:rPr>
              <w:noProof/>
              <w:rFonts w:ascii="Arial" w:cs="Arial" w:hAnsi="Arial"/>
            </w:rPr>
          </w:pPr>
          <w:hyperlink w:anchor="_Toc224549602" w:history="1">
            <w:r w:rsidRPr="00ED60B1">
              <w:rPr>
                <w:noProof/>
                <w:rStyle w:val="Hyperlink"/>
                <w:rFonts w:ascii="Arial" w:cs="Arial" w:hAnsi="Arial"/>
              </w:rPr>
              <w:t>4.3 Access to Gender-Affirming Care</w:t>
            </w:r>
            <w:r w:rsidRPr="00ED60B1">
              <w:rPr>
                <w:noProof/>
                <w:webHidden/>
                <w:rFonts w:ascii="Arial" w:cs="Arial" w:hAnsi="Arial"/>
              </w:rPr>
              <w:tab/>
            </w:r>
            <w:r w:rsidRPr="00ED60B1">
              <w:rPr>
                <w:noProof/>
                <w:webHidden/>
                <w:rFonts w:ascii="Arial" w:cs="Arial" w:hAnsi="Arial"/>
              </w:rPr>
              <w:fldChar w:fldCharType="begin"/>
            </w:r>
            <w:r w:rsidRPr="00ED60B1">
              <w:rPr>
                <w:noProof/>
                <w:webHidden/>
                <w:rFonts w:ascii="Arial" w:cs="Arial" w:hAnsi="Arial"/>
              </w:rPr>
              <w:instrText xml:space="preserve"> PAGEREF _Toc224549602 \h </w:instrText>
            </w:r>
            <w:r w:rsidRPr="00ED60B1">
              <w:rPr>
                <w:noProof/>
                <w:webHidden/>
                <w:rFonts w:ascii="Arial" w:cs="Arial" w:hAnsi="Arial"/>
              </w:rPr>
            </w:r>
            <w:r w:rsidRPr="00ED60B1">
              <w:rPr>
                <w:noProof/>
                <w:webHidden/>
                <w:rFonts w:ascii="Arial" w:cs="Arial" w:hAnsi="Arial"/>
              </w:rPr>
              <w:fldChar w:fldCharType="separate"/>
            </w:r>
            <w:r w:rsidRPr="00ED60B1">
              <w:rPr>
                <w:noProof/>
                <w:webHidden/>
                <w:rFonts w:ascii="Arial" w:cs="Arial" w:hAnsi="Arial"/>
              </w:rPr>
              <w:t>10</w:t>
            </w:r>
            <w:r w:rsidRPr="00ED60B1">
              <w:rPr>
                <w:noProof/>
                <w:webHidden/>
                <w:rFonts w:ascii="Arial" w:cs="Arial" w:hAnsi="Arial"/>
              </w:rPr>
              <w:fldChar w:fldCharType="end"/>
            </w:r>
          </w:hyperlink>
        </w:p>
        <w:p w:rsidR="00264030" w:rsidRDefault="00264030" w14:paraId="4C336B7D" w14:textId="68078386" w:rsidP="00ED60B1" w:rsidRPr="00ED60B1">
          <w:pPr>
            <w:pStyle w:val="TOC1"/>
            <w:jc w:val="both"/>
            <w:spacing w:line="360" w:lineRule="auto"/>
            <w:tabs>
              <w:tab w:val="right" w:leader="dot" w:pos="9350"/>
            </w:tabs>
            <w:rPr>
              <w:noProof/>
              <w:rFonts w:ascii="Arial" w:cs="Arial" w:hAnsi="Arial"/>
            </w:rPr>
          </w:pPr>
          <w:hyperlink w:anchor="_Toc224549603" w:history="1">
            <w:r w:rsidRPr="00ED60B1">
              <w:rPr>
                <w:noProof/>
                <w:rStyle w:val="Hyperlink"/>
                <w:rFonts w:ascii="Arial" w:cs="Arial" w:hAnsi="Arial"/>
              </w:rPr>
              <w:t>5. Recommendations</w:t>
            </w:r>
            <w:r w:rsidRPr="00ED60B1">
              <w:rPr>
                <w:noProof/>
                <w:webHidden/>
                <w:rFonts w:ascii="Arial" w:cs="Arial" w:hAnsi="Arial"/>
              </w:rPr>
              <w:tab/>
            </w:r>
            <w:r w:rsidRPr="00ED60B1">
              <w:rPr>
                <w:noProof/>
                <w:webHidden/>
                <w:rFonts w:ascii="Arial" w:cs="Arial" w:hAnsi="Arial"/>
              </w:rPr>
              <w:fldChar w:fldCharType="begin"/>
            </w:r>
            <w:r w:rsidRPr="00ED60B1">
              <w:rPr>
                <w:noProof/>
                <w:webHidden/>
                <w:rFonts w:ascii="Arial" w:cs="Arial" w:hAnsi="Arial"/>
              </w:rPr>
              <w:instrText xml:space="preserve"> PAGEREF _Toc224549603 \h </w:instrText>
            </w:r>
            <w:r w:rsidRPr="00ED60B1">
              <w:rPr>
                <w:noProof/>
                <w:webHidden/>
                <w:rFonts w:ascii="Arial" w:cs="Arial" w:hAnsi="Arial"/>
              </w:rPr>
            </w:r>
            <w:r w:rsidRPr="00ED60B1">
              <w:rPr>
                <w:noProof/>
                <w:webHidden/>
                <w:rFonts w:ascii="Arial" w:cs="Arial" w:hAnsi="Arial"/>
              </w:rPr>
              <w:fldChar w:fldCharType="separate"/>
            </w:r>
            <w:r w:rsidRPr="00ED60B1">
              <w:rPr>
                <w:noProof/>
                <w:webHidden/>
                <w:rFonts w:ascii="Arial" w:cs="Arial" w:hAnsi="Arial"/>
              </w:rPr>
              <w:t>11</w:t>
            </w:r>
            <w:r w:rsidRPr="00ED60B1">
              <w:rPr>
                <w:noProof/>
                <w:webHidden/>
                <w:rFonts w:ascii="Arial" w:cs="Arial" w:hAnsi="Arial"/>
              </w:rPr>
              <w:fldChar w:fldCharType="end"/>
            </w:r>
          </w:hyperlink>
        </w:p>
        <w:p w:rsidR="00264030" w:rsidRDefault="00264030" w14:paraId="6BAF846E" w14:textId="531BAD8D" w:rsidP="00ED60B1" w:rsidRPr="00ED60B1">
          <w:pPr>
            <w:pStyle w:val="TOC1"/>
            <w:jc w:val="both"/>
            <w:spacing w:line="360" w:lineRule="auto"/>
            <w:tabs>
              <w:tab w:val="right" w:leader="dot" w:pos="9350"/>
            </w:tabs>
            <w:rPr>
              <w:noProof/>
              <w:rFonts w:ascii="Arial" w:cs="Arial" w:hAnsi="Arial"/>
            </w:rPr>
          </w:pPr>
          <w:hyperlink w:anchor="_Toc224549604" w:history="1">
            <w:r w:rsidRPr="00ED60B1">
              <w:rPr>
                <w:noProof/>
                <w:rStyle w:val="Hyperlink"/>
                <w:rFonts w:ascii="Arial" w:cs="Arial" w:hAnsi="Arial"/>
              </w:rPr>
              <w:t>6. Summary</w:t>
            </w:r>
            <w:r w:rsidRPr="00ED60B1">
              <w:rPr>
                <w:noProof/>
                <w:webHidden/>
                <w:rFonts w:ascii="Arial" w:cs="Arial" w:hAnsi="Arial"/>
              </w:rPr>
              <w:tab/>
            </w:r>
            <w:r w:rsidRPr="00ED60B1">
              <w:rPr>
                <w:noProof/>
                <w:webHidden/>
                <w:rFonts w:ascii="Arial" w:cs="Arial" w:hAnsi="Arial"/>
              </w:rPr>
              <w:fldChar w:fldCharType="begin"/>
            </w:r>
            <w:r w:rsidRPr="00ED60B1">
              <w:rPr>
                <w:noProof/>
                <w:webHidden/>
                <w:rFonts w:ascii="Arial" w:cs="Arial" w:hAnsi="Arial"/>
              </w:rPr>
              <w:instrText xml:space="preserve"> PAGEREF _Toc224549604 \h </w:instrText>
            </w:r>
            <w:r w:rsidRPr="00ED60B1">
              <w:rPr>
                <w:noProof/>
                <w:webHidden/>
                <w:rFonts w:ascii="Arial" w:cs="Arial" w:hAnsi="Arial"/>
              </w:rPr>
            </w:r>
            <w:r w:rsidRPr="00ED60B1">
              <w:rPr>
                <w:noProof/>
                <w:webHidden/>
                <w:rFonts w:ascii="Arial" w:cs="Arial" w:hAnsi="Arial"/>
              </w:rPr>
              <w:fldChar w:fldCharType="separate"/>
            </w:r>
            <w:r w:rsidRPr="00ED60B1">
              <w:rPr>
                <w:noProof/>
                <w:webHidden/>
                <w:rFonts w:ascii="Arial" w:cs="Arial" w:hAnsi="Arial"/>
              </w:rPr>
              <w:t>11</w:t>
            </w:r>
            <w:r w:rsidRPr="00ED60B1">
              <w:rPr>
                <w:noProof/>
                <w:webHidden/>
                <w:rFonts w:ascii="Arial" w:cs="Arial" w:hAnsi="Arial"/>
              </w:rPr>
              <w:fldChar w:fldCharType="end"/>
            </w:r>
          </w:hyperlink>
        </w:p>
        <w:p w:rsidR="00264030" w:rsidRDefault="00264030" w14:paraId="477870FD" w14:textId="474DADC2" w:rsidP="00ED60B1" w:rsidRPr="00ED60B1">
          <w:pPr>
            <w:pStyle w:val="TOC1"/>
            <w:jc w:val="both"/>
            <w:spacing w:line="360" w:lineRule="auto"/>
            <w:tabs>
              <w:tab w:val="right" w:leader="dot" w:pos="9350"/>
            </w:tabs>
            <w:rPr>
              <w:noProof/>
              <w:rFonts w:ascii="Arial" w:cs="Arial" w:hAnsi="Arial"/>
            </w:rPr>
          </w:pPr>
          <w:hyperlink w:anchor="_Toc224549605" w:history="1">
            <w:r w:rsidRPr="00ED60B1">
              <w:rPr>
                <w:noProof/>
                <w:rStyle w:val="Hyperlink"/>
                <w:rFonts w:ascii="Arial" w:cs="Arial" w:hAnsi="Arial"/>
              </w:rPr>
              <w:t>References</w:t>
            </w:r>
            <w:r w:rsidRPr="00ED60B1">
              <w:rPr>
                <w:noProof/>
                <w:webHidden/>
                <w:rFonts w:ascii="Arial" w:cs="Arial" w:hAnsi="Arial"/>
              </w:rPr>
              <w:tab/>
            </w:r>
            <w:r w:rsidRPr="00ED60B1">
              <w:rPr>
                <w:noProof/>
                <w:webHidden/>
                <w:rFonts w:ascii="Arial" w:cs="Arial" w:hAnsi="Arial"/>
              </w:rPr>
              <w:fldChar w:fldCharType="begin"/>
            </w:r>
            <w:r w:rsidRPr="00ED60B1">
              <w:rPr>
                <w:noProof/>
                <w:webHidden/>
                <w:rFonts w:ascii="Arial" w:cs="Arial" w:hAnsi="Arial"/>
              </w:rPr>
              <w:instrText xml:space="preserve"> PAGEREF _Toc224549605 \h </w:instrText>
            </w:r>
            <w:r w:rsidRPr="00ED60B1">
              <w:rPr>
                <w:noProof/>
                <w:webHidden/>
                <w:rFonts w:ascii="Arial" w:cs="Arial" w:hAnsi="Arial"/>
              </w:rPr>
            </w:r>
            <w:r w:rsidRPr="00ED60B1">
              <w:rPr>
                <w:noProof/>
                <w:webHidden/>
                <w:rFonts w:ascii="Arial" w:cs="Arial" w:hAnsi="Arial"/>
              </w:rPr>
              <w:fldChar w:fldCharType="separate"/>
            </w:r>
            <w:r w:rsidRPr="00ED60B1">
              <w:rPr>
                <w:noProof/>
                <w:webHidden/>
                <w:rFonts w:ascii="Arial" w:cs="Arial" w:hAnsi="Arial"/>
              </w:rPr>
              <w:t>12</w:t>
            </w:r>
            <w:r w:rsidRPr="00ED60B1">
              <w:rPr>
                <w:noProof/>
                <w:webHidden/>
                <w:rFonts w:ascii="Arial" w:cs="Arial" w:hAnsi="Arial"/>
              </w:rPr>
              <w:fldChar w:fldCharType="end"/>
            </w:r>
          </w:hyperlink>
        </w:p>
        <w:p w:rsidR="00264030" w:rsidRDefault="00264030" w14:paraId="2D1A91D3" w14:textId="0A0FCEAF" w:rsidP="00ED60B1" w:rsidRPr="00ED60B1">
          <w:pPr>
            <w:jc w:val="both"/>
            <w:spacing w:line="360" w:lineRule="auto"/>
            <w:rPr>
              <w:rFonts w:ascii="Arial" w:cs="Arial" w:hAnsi="Arial"/>
            </w:rPr>
          </w:pPr>
          <w:r w:rsidRPr="00ED60B1">
            <w:rPr>
              <w:bCs/>
              <w:noProof/>
              <w:b/>
              <w:rFonts w:ascii="Arial" w:cs="Arial" w:hAnsi="Arial"/>
            </w:rPr>
            <w:fldChar w:fldCharType="end"/>
          </w:r>
        </w:p>
      </w:sdtContent>
    </w:sdt>
    <w:p w:rsidR="00264030" w:rsidRDefault="00264030" w14:paraId="5AE5E7D9" w14:textId="77777777" w:rsidP="00ED60B1" w:rsidRPr="00ED60B1">
      <w:pPr>
        <w:jc w:val="both"/>
        <w:spacing w:line="360" w:lineRule="auto"/>
        <w:rPr>
          <w:rFonts w:ascii="Arial" w:cs="Arial" w:hAnsi="Arial"/>
        </w:rPr>
      </w:pPr>
    </w:p>
    <w:p w:rsidR="00167E9E" w:rsidRDefault="00167E9E" w14:paraId="412DA4D3" w14:textId="77777777" w:rsidP="00ED60B1" w:rsidRPr="00ED60B1">
      <w:pPr>
        <w:jc w:val="both"/>
        <w:spacing w:line="360" w:lineRule="auto"/>
        <w:rPr>
          <w:rFonts w:ascii="Arial" w:cs="Arial" w:hAnsi="Arial"/>
        </w:rPr>
      </w:pPr>
    </w:p>
    <w:p w:rsidR="003B73CE" w:rsidRDefault="003B73CE" w14:paraId="1FEF6FB2" w14:textId="77777777" w:rsidP="00ED60B1" w:rsidRPr="00ED60B1">
      <w:pPr>
        <w:jc w:val="both"/>
        <w:spacing w:line="360" w:lineRule="auto"/>
        <w:rPr>
          <w:rFonts w:ascii="Arial" w:cs="Arial" w:hAnsi="Arial"/>
        </w:rPr>
      </w:pPr>
    </w:p>
    <w:p w:rsidR="003B73CE" w:rsidRDefault="003B73CE" w14:paraId="17F78F16" w14:textId="77777777" w:rsidP="00ED60B1">
      <w:pPr>
        <w:jc w:val="both"/>
        <w:spacing w:line="360" w:lineRule="auto"/>
        <w:rPr>
          <w:rFonts w:ascii="Arial" w:cs="Arial" w:hAnsi="Arial"/>
        </w:rPr>
      </w:pPr>
    </w:p>
    <w:p w:rsidR="00743D4C" w:rsidRDefault="00743D4C" w14:paraId="3D4FCCA0" w14:textId="77777777" w:rsidP="00ED60B1">
      <w:pPr>
        <w:jc w:val="both"/>
        <w:spacing w:line="360" w:lineRule="auto"/>
        <w:rPr>
          <w:rFonts w:ascii="Arial" w:cs="Arial" w:hAnsi="Arial"/>
        </w:rPr>
      </w:pPr>
    </w:p>
    <w:p w:rsidR="00743D4C" w:rsidRDefault="00743D4C" w14:paraId="31107DEE" w14:textId="77777777" w:rsidP="00ED60B1" w:rsidRPr="00ED60B1">
      <w:pPr>
        <w:jc w:val="both"/>
        <w:spacing w:line="360" w:lineRule="auto"/>
        <w:rPr>
          <w:rFonts w:ascii="Arial" w:cs="Arial" w:hAnsi="Arial"/>
        </w:rPr>
      </w:pPr>
    </w:p>
    <w:p w:rsidR="00167E9E" w:rsidRDefault="00167E9E" w14:paraId="5DBCDEF2" w14:textId="77777777" w:rsidP="00ED60B1" w:rsidRPr="00ED60B1">
      <w:pPr>
        <w:pStyle w:val="Heading1"/>
        <w:jc w:val="both"/>
        <w:spacing w:line="360" w:lineRule="auto"/>
        <w:rPr>
          <w:rFonts w:ascii="Arial" w:cs="Arial" w:hAnsi="Arial"/>
          <w:sz w:val="24"/>
          <w:szCs w:val="24"/>
        </w:rPr>
      </w:pPr>
      <w:bookmarkStart w:id="0" w:name="_Toc224549592"/>
      <w:r w:rsidRPr="00ED60B1">
        <w:rPr>
          <w:rFonts w:ascii="Arial" w:cs="Arial" w:hAnsi="Arial"/>
          <w:sz w:val="24"/>
          <w:szCs w:val="24"/>
        </w:rPr>
        <w:t>1. Introduction</w:t>
        <w:lastRenderedPageBreak/>
      </w:r>
      <w:bookmarkEnd w:id="0"/>
    </w:p>
    <w:p w:rsidR="00185A8C" w:rsidRDefault="00185A8C" w14:paraId="18943D33" w14:textId="0D9204C6" w:rsidP="00ED60B1" w:rsidRPr="00ED60B1">
      <w:pPr>
        <w:jc w:val="both"/>
        <w:spacing w:line="360" w:lineRule="auto"/>
        <w:rPr>
          <w:rFonts w:ascii="Arial" w:cs="Arial" w:hAnsi="Arial"/>
        </w:rPr>
      </w:pPr>
      <w:r w:rsidRPr="00ED60B1">
        <w:rPr>
          <w:rFonts w:ascii="Arial" w:cs="Arial" w:hAnsi="Arial"/>
        </w:rPr>
        <w:t xml:space="preserve">Gender incongruence refers to a mismatch between an </w:t>
      </w:r>
      <w:r w:rsidR="002B65DB" w:rsidRPr="00ED60B1">
        <w:rPr>
          <w:rFonts w:ascii="Arial" w:cs="Arial" w:hAnsi="Arial"/>
        </w:rPr>
        <w:t>individual’s</w:t>
      </w:r>
      <w:r w:rsidRPr="00ED60B1">
        <w:rPr>
          <w:rFonts w:ascii="Arial" w:cs="Arial" w:hAnsi="Arial"/>
        </w:rPr>
        <w:t xml:space="preserve"> expressed gender and the assigned gender at birth. Gender conditions were considered mental illnesses in psychiatric classification systems in history. Nonetheless, with the advent of the ICD-11, the world has come to recognize “gender incongruence” no longer as a mental disorder but as a human right (World Health Organization, 2019).</w:t>
      </w:r>
    </w:p>
    <w:p w:rsidR="00185A8C" w:rsidRDefault="00185A8C" w14:paraId="09FC79D0" w14:textId="3495CA0F" w:rsidP="00ED60B1" w:rsidRPr="00ED60B1">
      <w:pPr>
        <w:jc w:val="both"/>
        <w:spacing w:line="360" w:lineRule="auto"/>
        <w:rPr>
          <w:rFonts w:ascii="Arial" w:cs="Arial" w:hAnsi="Arial"/>
        </w:rPr>
      </w:pPr>
      <w:r w:rsidRPr="00ED60B1">
        <w:rPr>
          <w:rFonts w:ascii="Arial" w:cs="Arial" w:hAnsi="Arial"/>
        </w:rPr>
        <w:t>The change denotes a major conceptual change in the understandings of gender diversity among medical people and psychologists. The move aims at de-</w:t>
      </w:r>
      <w:r w:rsidR="002B65DB" w:rsidRPr="00ED60B1">
        <w:rPr>
          <w:rFonts w:ascii="Arial" w:cs="Arial" w:hAnsi="Arial"/>
        </w:rPr>
        <w:t>stigmatizing</w:t>
      </w:r>
      <w:r w:rsidRPr="00ED60B1">
        <w:rPr>
          <w:rFonts w:ascii="Arial" w:cs="Arial" w:hAnsi="Arial"/>
        </w:rPr>
        <w:t xml:space="preserve"> the diagnosis while simultaneously ensuring access to healthcare that transgender and gender-diverse individuals require (Drescher et al., 2016).</w:t>
      </w:r>
    </w:p>
    <w:p w:rsidR="00185A8C" w:rsidRDefault="00185A8C" w14:paraId="35D9E174" w14:textId="0005A4C0" w:rsidP="00ED60B1" w:rsidRPr="00ED60B1">
      <w:pPr>
        <w:jc w:val="both"/>
        <w:spacing w:line="360" w:lineRule="auto"/>
        <w:rPr>
          <w:rFonts w:ascii="Arial" w:cs="Arial" w:hAnsi="Arial"/>
        </w:rPr>
      </w:pPr>
      <w:r w:rsidRPr="00ED60B1">
        <w:rPr>
          <w:rFonts w:ascii="Arial" w:cs="Arial" w:hAnsi="Arial"/>
        </w:rPr>
        <w:t xml:space="preserve">This report critically examines gender incongruence by assessing its classification and diagnostic criteria in ICD-11, evaluating its treatment and rehabilitation approaches, and </w:t>
      </w:r>
      <w:r w:rsidR="002B65DB" w:rsidRPr="00ED60B1">
        <w:rPr>
          <w:rFonts w:ascii="Arial" w:cs="Arial" w:hAnsi="Arial"/>
        </w:rPr>
        <w:t>analyzing</w:t>
      </w:r>
      <w:r w:rsidRPr="00ED60B1">
        <w:rPr>
          <w:rFonts w:ascii="Arial" w:cs="Arial" w:hAnsi="Arial"/>
        </w:rPr>
        <w:t xml:space="preserve"> contemporary debates on its classification.</w:t>
      </w:r>
    </w:p>
    <w:p w:rsidR="00E2791C" w:rsidRDefault="00185A8C" w14:paraId="6737CE88" w14:textId="35CDD5F4" w:rsidP="00ED60B1" w:rsidRPr="00ED60B1">
      <w:pPr>
        <w:jc w:val="both"/>
        <w:spacing w:line="360" w:lineRule="auto"/>
        <w:rPr>
          <w:rFonts w:ascii="Arial" w:cs="Arial" w:hAnsi="Arial"/>
        </w:rPr>
      </w:pPr>
      <w:r w:rsidRPr="00ED60B1">
        <w:rPr>
          <w:rFonts w:ascii="Arial" w:cs="Arial" w:hAnsi="Arial"/>
        </w:rPr>
        <w:t xml:space="preserve"> The report also considers implications for practice and policy and provides recommendations for the classification, diagnosis and support of gender incongruence.</w:t>
      </w:r>
    </w:p>
    <w:p w:rsidR="00E2791C" w:rsidRDefault="00E2791C" w14:paraId="62FB2B9E" w14:textId="210ED48A" w:rsidP="00ED60B1" w:rsidRPr="00ED60B1">
      <w:pPr>
        <w:pStyle w:val="Heading1"/>
        <w:jc w:val="both"/>
        <w:spacing w:line="360" w:lineRule="auto"/>
        <w:rPr>
          <w:rFonts w:ascii="Arial" w:cs="Arial" w:hAnsi="Arial"/>
          <w:sz w:val="24"/>
          <w:szCs w:val="24"/>
        </w:rPr>
      </w:pPr>
      <w:bookmarkStart w:id="1" w:name="_Toc224549593"/>
      <w:r w:rsidRPr="00ED60B1">
        <w:rPr>
          <w:rFonts w:ascii="Arial" w:cs="Arial" w:hAnsi="Arial"/>
          <w:sz w:val="24"/>
          <w:szCs w:val="24"/>
        </w:rPr>
        <w:t>2. Diagnosis and Classification</w:t>
      </w:r>
      <w:bookmarkEnd w:id="1"/>
    </w:p>
    <w:p w:rsidR="00E2791C" w:rsidRDefault="00A13DED" w14:paraId="62FB2B9E" w14:textId="210ED48A" w:rsidP="00ED60B1" w:rsidRPr="00ED60B1">
      <w:pPr>
        <w:pStyle w:val="Heading2"/>
        <w:jc w:val="both"/>
        <w:spacing w:line="360" w:lineRule="auto"/>
        <w:rPr>
          <w:rFonts w:ascii="Arial" w:cs="Arial" w:hAnsi="Arial"/>
          <w:sz w:val="24"/>
          <w:szCs w:val="24"/>
        </w:rPr>
      </w:pPr>
      <w:bookmarkStart w:id="2" w:name="_Toc224549594"/>
      <w:r w:rsidRPr="00ED60B1">
        <w:rPr>
          <w:rFonts w:ascii="Arial" w:cs="Arial" w:hAnsi="Arial"/>
          <w:sz w:val="24"/>
          <w:szCs w:val="24"/>
        </w:rPr>
        <w:t xml:space="preserve">2.1 </w:t>
      </w:r>
      <w:r w:rsidR="00E2791C" w:rsidRPr="00ED60B1">
        <w:rPr>
          <w:rFonts w:ascii="Arial" w:cs="Arial" w:hAnsi="Arial"/>
          <w:sz w:val="24"/>
          <w:szCs w:val="24"/>
        </w:rPr>
        <w:t>The ICD-11 Classification of Markers</w:t>
      </w:r>
      <w:bookmarkEnd w:id="2"/>
    </w:p>
    <w:p w:rsidR="00E2791C" w:rsidRDefault="00E2791C" w14:paraId="228333DB" w14:textId="77777777" w:rsidP="00ED60B1" w:rsidRPr="00ED60B1">
      <w:pPr>
        <w:jc w:val="both"/>
        <w:spacing w:line="360" w:lineRule="auto"/>
        <w:rPr>
          <w:rFonts w:ascii="Arial" w:cs="Arial" w:hAnsi="Arial"/>
        </w:rPr>
      </w:pPr>
    </w:p>
    <w:p w:rsidR="00E2791C" w:rsidRDefault="00E2791C" w14:paraId="3FC5DE05" w14:textId="4408653E" w:rsidP="00ED60B1" w:rsidRPr="00ED60B1">
      <w:pPr>
        <w:jc w:val="both"/>
        <w:spacing w:line="360" w:lineRule="auto"/>
        <w:rPr>
          <w:rFonts w:ascii="Arial" w:cs="Arial" w:hAnsi="Arial"/>
        </w:rPr>
      </w:pPr>
      <w:r w:rsidRPr="00ED60B1">
        <w:rPr>
          <w:rFonts w:ascii="Arial" w:cs="Arial" w:hAnsi="Arial"/>
        </w:rPr>
        <w:t>The World Health Organization in 2018 defined gender dysphoria as marked and persistent incongruence between the experienced and assigned sex. Gender dysphoria is classified as a mental disorder but not a sexual one.  There are identified two diagnostic categories.</w:t>
      </w:r>
    </w:p>
    <w:p w:rsidR="00E2791C" w:rsidRDefault="00E2791C" w14:paraId="3A9E1DC4" w14:textId="1120E194" w:rsidP="00ED60B1">
      <w:pPr>
        <w:jc w:val="both"/>
        <w:spacing w:line="360" w:lineRule="auto"/>
        <w:rPr>
          <w:rFonts w:ascii="Arial" w:cs="Arial" w:hAnsi="Arial"/>
        </w:rPr>
      </w:pPr>
      <w:r w:rsidRPr="00ED60B1">
        <w:rPr>
          <w:rFonts w:ascii="Arial" w:cs="Arial" w:hAnsi="Arial"/>
        </w:rPr>
        <w:t>Gender discordance originating in teenage and adult years.</w:t>
      </w:r>
    </w:p>
    <w:p w:rsidR="00D8272B" w:rsidRDefault="00D8272B" w14:paraId="3E5A2812" w14:textId="77777777" w:rsidP="00ED60B1">
      <w:pPr>
        <w:jc w:val="both"/>
        <w:spacing w:line="360" w:lineRule="auto"/>
        <w:rPr>
          <w:rFonts w:ascii="Arial" w:cs="Arial" w:hAnsi="Arial"/>
        </w:rPr>
      </w:pPr>
    </w:p>
    <w:p w:rsidR="00D8272B" w:rsidRDefault="00D8272B" w14:paraId="1C840BC6" w14:textId="77777777" w:rsidP="00ED60B1">
      <w:pPr>
        <w:jc w:val="both"/>
        <w:spacing w:line="360" w:lineRule="auto"/>
        <w:rPr>
          <w:rFonts w:ascii="Arial" w:cs="Arial" w:hAnsi="Arial"/>
        </w:rPr>
      </w:pPr>
    </w:p>
    <w:p w:rsidR="00D8272B" w:rsidRDefault="00D8272B" w14:paraId="58EAC781" w14:textId="77777777" w:rsidP="00ED60B1" w:rsidRPr="00ED60B1">
      <w:pPr>
        <w:jc w:val="both"/>
        <w:spacing w:line="360" w:lineRule="auto"/>
        <w:rPr>
          <w:rFonts w:ascii="Arial" w:cs="Arial" w:hAnsi="Arial"/>
        </w:rPr>
      </w:pPr>
    </w:p>
    <w:p w:rsidR="00E2791C" w:rsidRDefault="00E2791C" w14:paraId="2420BDE2" w14:textId="41F47B80" w:rsidP="00ED60B1" w:rsidRPr="00D8272B">
      <w:pPr>
        <w:jc w:val="both"/>
        <w:spacing w:line="360" w:lineRule="auto"/>
        <w:rPr>
          <w:bCs/>
          <w:b/>
          <w:rFonts w:ascii="Arial" w:cs="Arial" w:hAnsi="Arial"/>
        </w:rPr>
      </w:pPr>
      <w:r w:rsidRPr="00D8272B">
        <w:rPr>
          <w:bCs/>
          <w:b/>
          <w:rFonts w:ascii="Arial" w:cs="Arial" w:hAnsi="Arial"/>
        </w:rPr>
        <w:t>Childhood Gender Incongruence (HA61)</w:t>
        <w:lastRenderedPageBreak/>
      </w:r>
    </w:p>
    <w:p w:rsidR="00E2791C" w:rsidRDefault="00E2791C" w14:paraId="73FE8CD6" w14:textId="5B32BCF5" w:rsidP="00ED60B1" w:rsidRPr="00ED60B1">
      <w:pPr>
        <w:jc w:val="both"/>
        <w:spacing w:line="360" w:lineRule="auto"/>
        <w:rPr>
          <w:rFonts w:ascii="Arial" w:cs="Arial" w:hAnsi="Arial"/>
        </w:rPr>
      </w:pPr>
      <w:r w:rsidRPr="00ED60B1">
        <w:rPr>
          <w:rFonts w:ascii="Arial" w:cs="Arial" w:hAnsi="Arial"/>
        </w:rPr>
        <w:t xml:space="preserve">The classifications refer to people whose experienced gender is different from their sex assigned at birth which persists over time. Notably, the diagnosis does not necessitate evidence of psychological distress or impairment in functioning, distinguishing it from previous diagnostic systems (Reed et al., 2016; WHO, 2019). </w:t>
      </w:r>
    </w:p>
    <w:p w:rsidR="00E2791C" w:rsidRDefault="00E2791C" w14:paraId="1CEFA9E0" w14:textId="13C4B9C7" w:rsidP="00ED60B1" w:rsidRPr="00ED60B1">
      <w:pPr>
        <w:jc w:val="both"/>
        <w:spacing w:line="360" w:lineRule="auto"/>
        <w:rPr>
          <w:rFonts w:ascii="Arial" w:cs="Arial" w:hAnsi="Arial"/>
        </w:rPr>
      </w:pPr>
      <w:r w:rsidRPr="00ED60B1">
        <w:rPr>
          <w:rFonts w:ascii="Arial" w:cs="Arial" w:hAnsi="Arial"/>
        </w:rPr>
        <w:t xml:space="preserve">A major development in ICD-11 is moving gender incongruence out of the mental and </w:t>
      </w:r>
      <w:r w:rsidR="00D8272B" w:rsidRPr="00ED60B1">
        <w:rPr>
          <w:rFonts w:ascii="Arial" w:cs="Arial" w:hAnsi="Arial"/>
        </w:rPr>
        <w:t>behavioral</w:t>
      </w:r>
      <w:r w:rsidRPr="00ED60B1">
        <w:rPr>
          <w:rFonts w:ascii="Arial" w:cs="Arial" w:hAnsi="Arial"/>
        </w:rPr>
        <w:t xml:space="preserve"> disorders chapter and into the sexual health chapter. This shift is part of a wider initiative by WHO to </w:t>
      </w:r>
      <w:r w:rsidR="00D8272B" w:rsidRPr="00ED60B1">
        <w:rPr>
          <w:rFonts w:ascii="Arial" w:cs="Arial" w:hAnsi="Arial"/>
        </w:rPr>
        <w:t>pathologies</w:t>
      </w:r>
      <w:r w:rsidRPr="00ED60B1">
        <w:rPr>
          <w:rFonts w:ascii="Arial" w:cs="Arial" w:hAnsi="Arial"/>
        </w:rPr>
        <w:t xml:space="preserve"> transgender people while still affording them access to the needed medical care and gender-affirming treatments (Reed et al.,   2016; Winter et al.,   2016).  Failure to acknowledge the mental illness status of gender diversity through a classification outside the mental health chapter is a validation of its non-illness status. By this classification, ICD-11 is compatible with latest research and social evolution about gender identity (Drescher, 2014; WHO, 2019).</w:t>
      </w:r>
    </w:p>
    <w:p w:rsidR="00E2791C" w:rsidRDefault="00E2791C" w14:paraId="1BC7D68C" w14:textId="503A269F" w:rsidP="00ED60B1" w:rsidRPr="00ED60B1">
      <w:pPr>
        <w:jc w:val="both"/>
        <w:spacing w:line="360" w:lineRule="auto"/>
        <w:rPr>
          <w:rFonts w:ascii="Arial" w:cs="Arial" w:hAnsi="Arial"/>
        </w:rPr>
      </w:pPr>
      <w:r w:rsidRPr="00ED60B1">
        <w:rPr>
          <w:rFonts w:ascii="Arial" w:cs="Arial" w:hAnsi="Arial"/>
        </w:rPr>
        <w:t xml:space="preserve">For most of history, the ICD and DSM considered transgender phenomena to be mental disorders, most famously </w:t>
      </w:r>
      <w:r w:rsidR="00D8272B" w:rsidRPr="00ED60B1">
        <w:rPr>
          <w:rFonts w:ascii="Arial" w:cs="Arial" w:hAnsi="Arial"/>
        </w:rPr>
        <w:t>gender identity disorder</w:t>
      </w:r>
      <w:r w:rsidRPr="00ED60B1">
        <w:rPr>
          <w:rFonts w:ascii="Arial" w:cs="Arial" w:hAnsi="Arial"/>
        </w:rPr>
        <w:t xml:space="preserve"> (Drescher, 2014). This categorization helped to view transgender identities as a pathological deviation from the passage to normative gender development.  Framing the issues as problems of “pathology” has been criticized for recreating stigma, discrimination and other barriers to social inclusion of transgender persons.</w:t>
      </w:r>
    </w:p>
    <w:p w:rsidR="00E2791C" w:rsidRDefault="00E2791C" w14:paraId="7911D0C8" w14:textId="61E875D4" w:rsidP="00ED60B1" w:rsidRPr="00ED60B1">
      <w:pPr>
        <w:jc w:val="both"/>
        <w:spacing w:line="360" w:lineRule="auto"/>
        <w:rPr>
          <w:rFonts w:ascii="Arial" w:cs="Arial" w:hAnsi="Arial"/>
        </w:rPr>
      </w:pPr>
      <w:r w:rsidRPr="00ED60B1">
        <w:rPr>
          <w:rFonts w:ascii="Arial" w:cs="Arial" w:hAnsi="Arial"/>
        </w:rPr>
        <w:t>The ICD-11 refers to the condition rather than a disorder as the terminology may suggest the ICD-11 is non-</w:t>
      </w:r>
      <w:r w:rsidR="0013158A" w:rsidRPr="00ED60B1">
        <w:rPr>
          <w:rFonts w:ascii="Arial" w:cs="Arial" w:hAnsi="Arial"/>
        </w:rPr>
        <w:t>pathologizing</w:t>
      </w:r>
      <w:r w:rsidRPr="00ED60B1">
        <w:rPr>
          <w:rFonts w:ascii="Arial" w:cs="Arial" w:hAnsi="Arial"/>
        </w:rPr>
        <w:t xml:space="preserve"> language that accepts gender diversity as normal human variation (Winter et al., 2016; Reed et al., 2016). Transgender people experience psychological distress </w:t>
      </w:r>
      <w:r w:rsidR="0013158A" w:rsidRPr="00ED60B1">
        <w:rPr>
          <w:rFonts w:ascii="Arial" w:cs="Arial" w:hAnsi="Arial"/>
        </w:rPr>
        <w:t>because of</w:t>
      </w:r>
      <w:r w:rsidRPr="00ED60B1">
        <w:rPr>
          <w:rFonts w:ascii="Arial" w:cs="Arial" w:hAnsi="Arial"/>
        </w:rPr>
        <w:t xml:space="preserve"> social stigma, discrimination, minority stress and barriers to healthcare, rather than the gender identity itself (Meyer, 2003; Testa et al., 2015; WHO, 2019). </w:t>
      </w:r>
    </w:p>
    <w:p w:rsidR="00E2791C" w:rsidRDefault="00E2791C" w14:paraId="3F76D9A2" w14:textId="7A41D5FE" w:rsidP="00ED60B1" w:rsidRPr="00ED60B1">
      <w:pPr>
        <w:jc w:val="both"/>
        <w:spacing w:line="360" w:lineRule="auto"/>
        <w:rPr>
          <w:rFonts w:ascii="Arial" w:cs="Arial" w:hAnsi="Arial"/>
        </w:rPr>
      </w:pPr>
      <w:r w:rsidRPr="00ED60B1">
        <w:rPr>
          <w:rFonts w:ascii="Arial" w:cs="Arial" w:hAnsi="Arial"/>
        </w:rPr>
        <w:t xml:space="preserve">Discussions remain unsettled on the role of diagnostic categories in classifying gender diversity, despite these advances. According to some scholars, any diagnostic label may help to </w:t>
      </w:r>
      <w:r w:rsidR="0013158A" w:rsidRPr="00ED60B1">
        <w:rPr>
          <w:rFonts w:ascii="Arial" w:cs="Arial" w:hAnsi="Arial"/>
        </w:rPr>
        <w:t>medicalize</w:t>
      </w:r>
      <w:r w:rsidRPr="00ED60B1">
        <w:rPr>
          <w:rFonts w:ascii="Arial" w:cs="Arial" w:hAnsi="Arial"/>
        </w:rPr>
        <w:t xml:space="preserve"> transgender identities, where gender diversity requires medical validation (Ashley, 2019; Suess Schwend, 2020). From this perspective, eliminating </w:t>
      </w:r>
      <w:r w:rsidRPr="00ED60B1">
        <w:rPr>
          <w:rFonts w:ascii="Arial" w:cs="Arial" w:hAnsi="Arial"/>
        </w:rPr>
        <w:t>diagnostic classifications altogether might further minimize stigma and support self-determination regarding gender.</w:t>
        <w:lastRenderedPageBreak/>
      </w:r>
    </w:p>
    <w:p w:rsidR="00E2791C" w:rsidRDefault="00E2791C" w14:paraId="735C7F4F" w14:textId="09BE2E23" w:rsidP="00ED60B1" w:rsidRPr="00ED60B1">
      <w:pPr>
        <w:jc w:val="both"/>
        <w:spacing w:line="360" w:lineRule="auto"/>
        <w:rPr>
          <w:rFonts w:ascii="Arial" w:cs="Arial" w:hAnsi="Arial"/>
        </w:rPr>
      </w:pPr>
      <w:r w:rsidRPr="00ED60B1">
        <w:rPr>
          <w:rFonts w:ascii="Arial" w:cs="Arial" w:hAnsi="Arial"/>
        </w:rPr>
        <w:t xml:space="preserve">In contrast, other researchers and clinicians maintain that the diagnostic category should be retained in existing systems. In many countries, having access to hormone therapy, psychological support or gender-affirming surgery requires a formal diagnosis to enable insurance coverage or funding from public healthcare systems (Drescher et al., </w:t>
      </w:r>
      <w:proofErr w:type="gramStart"/>
      <w:r w:rsidRPr="00ED60B1">
        <w:rPr>
          <w:rFonts w:ascii="Arial" w:cs="Arial" w:hAnsi="Arial"/>
        </w:rPr>
        <w:t>2016;</w:t>
      </w:r>
      <w:proofErr w:type="gramEnd"/>
      <w:r w:rsidRPr="00ED60B1">
        <w:rPr>
          <w:rFonts w:ascii="Arial" w:cs="Arial" w:hAnsi="Arial"/>
        </w:rPr>
        <w:t xml:space="preserve"> Coleman </w:t>
      </w:r>
      <w:proofErr w:type="gramStart"/>
      <w:r w:rsidRPr="00ED60B1">
        <w:rPr>
          <w:rFonts w:ascii="Arial" w:cs="Arial" w:hAnsi="Arial"/>
        </w:rPr>
        <w:t>et al..</w:t>
      </w:r>
      <w:proofErr w:type="gramEnd"/>
      <w:r w:rsidRPr="00ED60B1">
        <w:rPr>
          <w:rFonts w:ascii="Arial" w:cs="Arial" w:hAnsi="Arial"/>
        </w:rPr>
        <w:t xml:space="preserve"> 2022).  A diagnostic framework may therefore serve as an expedient compromise between </w:t>
      </w:r>
      <w:r w:rsidR="0013158A" w:rsidRPr="00ED60B1">
        <w:rPr>
          <w:rFonts w:ascii="Arial" w:cs="Arial" w:hAnsi="Arial"/>
        </w:rPr>
        <w:t>pathologization</w:t>
      </w:r>
      <w:r w:rsidRPr="00ED60B1">
        <w:rPr>
          <w:rFonts w:ascii="Arial" w:cs="Arial" w:hAnsi="Arial"/>
        </w:rPr>
        <w:t xml:space="preserve"> of transgender identities while simultaneously ensuring that transgender people have access to appropriate medical care (Reed et al., 2016; Winter et al. 2016).</w:t>
      </w:r>
    </w:p>
    <w:p w:rsidR="00167E9E" w:rsidRDefault="00E2791C" w14:paraId="7200EADA" w14:textId="7ABBF23F" w:rsidP="00ED60B1" w:rsidRPr="00ED60B1">
      <w:pPr>
        <w:jc w:val="both"/>
        <w:spacing w:line="360" w:lineRule="auto"/>
        <w:rPr>
          <w:rFonts w:ascii="Arial" w:cs="Arial" w:hAnsi="Arial"/>
        </w:rPr>
      </w:pPr>
      <w:r w:rsidRPr="00ED60B1">
        <w:rPr>
          <w:rFonts w:ascii="Arial" w:cs="Arial" w:hAnsi="Arial"/>
        </w:rPr>
        <w:t xml:space="preserve">The ICD-11 classification is an important step towards the recognition of gender diversity, as well as an effort to reduce stigma and retain access to care. Nonetheless, there is continuing debate over the legitimacy of </w:t>
      </w:r>
      <w:r w:rsidR="0013158A" w:rsidRPr="00ED60B1">
        <w:rPr>
          <w:rFonts w:ascii="Arial" w:cs="Arial" w:hAnsi="Arial"/>
        </w:rPr>
        <w:t>categorizing</w:t>
      </w:r>
      <w:r w:rsidRPr="00ED60B1">
        <w:rPr>
          <w:rFonts w:ascii="Arial" w:cs="Arial" w:hAnsi="Arial"/>
        </w:rPr>
        <w:t xml:space="preserve"> transgender status medically, while also weighing the social acceptance of such a status and the right of the transgender individual to self-determine their identity.</w:t>
      </w:r>
    </w:p>
    <w:p w:rsidR="00167E9E" w:rsidRDefault="00167E9E" w14:paraId="0704FA03" w14:textId="77777777" w:rsidP="00ED60B1" w:rsidRPr="00ED60B1">
      <w:pPr>
        <w:jc w:val="both"/>
        <w:spacing w:line="360" w:lineRule="auto"/>
        <w:rPr>
          <w:bCs/>
          <w:b/>
          <w:rFonts w:ascii="Arial" w:cs="Arial" w:hAnsi="Arial"/>
        </w:rPr>
      </w:pPr>
    </w:p>
    <w:p w:rsidR="00626C33" w:rsidRDefault="004D23C6" w14:paraId="04E4CC89" w14:textId="17494D01" w:rsidP="0013158A" w:rsidRPr="00ED60B1">
      <w:pPr>
        <w:pStyle w:val="Heading2"/>
        <w:jc w:val="both"/>
        <w:spacing w:line="360" w:lineRule="auto"/>
        <w:rPr>
          <w:rFonts w:ascii="Arial" w:cs="Arial" w:hAnsi="Arial"/>
          <w:sz w:val="24"/>
          <w:szCs w:val="24"/>
        </w:rPr>
      </w:pPr>
      <w:bookmarkStart w:id="3" w:name="_Toc224549595"/>
      <w:r w:rsidRPr="00ED60B1">
        <w:rPr>
          <w:rFonts w:ascii="Arial" w:cs="Arial" w:hAnsi="Arial"/>
          <w:sz w:val="24"/>
          <w:szCs w:val="24"/>
        </w:rPr>
        <w:t xml:space="preserve">2.2 </w:t>
      </w:r>
      <w:r w:rsidR="00626C33" w:rsidRPr="00ED60B1">
        <w:rPr>
          <w:rFonts w:ascii="Arial" w:cs="Arial" w:hAnsi="Arial"/>
          <w:sz w:val="24"/>
          <w:szCs w:val="24"/>
        </w:rPr>
        <w:t>Diagnostic Criteria and Processes</w:t>
      </w:r>
      <w:bookmarkEnd w:id="3"/>
    </w:p>
    <w:p w:rsidR="00626C33" w:rsidRDefault="00626C33" w14:paraId="58876328" w14:textId="77777777" w:rsidP="00ED60B1" w:rsidRPr="00ED60B1">
      <w:pPr>
        <w:jc w:val="both"/>
        <w:spacing w:line="360" w:lineRule="auto"/>
        <w:rPr>
          <w:rFonts w:ascii="Arial" w:cs="Arial" w:hAnsi="Arial"/>
        </w:rPr>
      </w:pPr>
      <w:r w:rsidRPr="00ED60B1">
        <w:rPr>
          <w:rFonts w:ascii="Arial" w:cs="Arial" w:hAnsi="Arial"/>
        </w:rPr>
        <w:t>Gender incongruence diagnosis is the persistent experience of incongruence between gender identity and assigned sex, usually with a desire for social, hormonal, and surgical transition (WHO, 2019), or at least one of these.</w:t>
      </w:r>
    </w:p>
    <w:p w:rsidR="00626C33" w:rsidRDefault="00626C33" w14:paraId="5CF3E8FF" w14:textId="77777777" w:rsidP="00ED60B1" w:rsidRPr="00ED60B1">
      <w:pPr>
        <w:jc w:val="both"/>
        <w:spacing w:line="360" w:lineRule="auto"/>
        <w:rPr>
          <w:rFonts w:ascii="Arial" w:cs="Arial" w:hAnsi="Arial"/>
        </w:rPr>
      </w:pPr>
    </w:p>
    <w:p w:rsidR="00626C33" w:rsidRDefault="00626C33" w14:paraId="364DF812" w14:textId="721BEB6A" w:rsidP="00ED60B1" w:rsidRPr="00ED60B1">
      <w:pPr>
        <w:jc w:val="both"/>
        <w:spacing w:line="360" w:lineRule="auto"/>
        <w:rPr>
          <w:rFonts w:ascii="Arial" w:cs="Arial" w:hAnsi="Arial"/>
        </w:rPr>
      </w:pPr>
      <w:r w:rsidRPr="00ED60B1">
        <w:rPr>
          <w:rFonts w:ascii="Arial" w:cs="Arial" w:hAnsi="Arial"/>
        </w:rPr>
        <w:t>Requirements typically involve.</w:t>
      </w:r>
    </w:p>
    <w:p w:rsidR="00626C33" w:rsidRDefault="00626C33" w14:paraId="7A0F8C73" w14:textId="3423295C" w:rsidP="00ED60B1" w:rsidRPr="00ED60B1">
      <w:pPr>
        <w:jc w:val="both"/>
        <w:spacing w:line="360" w:lineRule="auto"/>
        <w:rPr>
          <w:rFonts w:ascii="Arial" w:cs="Arial" w:hAnsi="Arial"/>
        </w:rPr>
      </w:pPr>
      <w:r w:rsidRPr="00ED60B1">
        <w:rPr>
          <w:rFonts w:ascii="Arial" w:cs="Arial" w:hAnsi="Arial"/>
        </w:rPr>
        <w:t>Identification with a gender different from the individual’s assigned sex that is strong and persistent.</w:t>
      </w:r>
    </w:p>
    <w:p w:rsidR="00626C33" w:rsidRDefault="00626C33" w14:paraId="36332D59" w14:textId="43F67EF8" w:rsidP="00ED60B1" w:rsidRPr="00ED60B1">
      <w:pPr>
        <w:jc w:val="both"/>
        <w:spacing w:line="360" w:lineRule="auto"/>
        <w:rPr>
          <w:rFonts w:ascii="Arial" w:cs="Arial" w:hAnsi="Arial"/>
        </w:rPr>
      </w:pPr>
      <w:r w:rsidRPr="00ED60B1">
        <w:rPr>
          <w:rFonts w:ascii="Arial" w:cs="Arial" w:hAnsi="Arial"/>
        </w:rPr>
        <w:t>Unease with primary or secondary sex traits.</w:t>
      </w:r>
    </w:p>
    <w:p w:rsidR="00626C33" w:rsidRDefault="00626C33" w14:paraId="645F84E6" w14:textId="77777777" w:rsidP="00ED60B1" w:rsidRPr="00ED60B1">
      <w:pPr>
        <w:jc w:val="both"/>
        <w:spacing w:line="360" w:lineRule="auto"/>
        <w:rPr>
          <w:rFonts w:ascii="Arial" w:cs="Arial" w:hAnsi="Arial"/>
        </w:rPr>
      </w:pPr>
      <w:r w:rsidRPr="00ED60B1">
        <w:rPr>
          <w:rFonts w:ascii="Arial" w:cs="Arial" w:hAnsi="Arial"/>
        </w:rPr>
        <w:t>Longing to exist and be acknowledged as another gender.</w:t>
      </w:r>
    </w:p>
    <w:p w:rsidR="00626C33" w:rsidRDefault="00626C33" w14:paraId="3F7A5607" w14:textId="77777777" w:rsidP="00ED60B1" w:rsidRPr="00ED60B1">
      <w:pPr>
        <w:jc w:val="both"/>
        <w:spacing w:line="360" w:lineRule="auto"/>
        <w:rPr>
          <w:rFonts w:ascii="Arial" w:cs="Arial" w:hAnsi="Arial"/>
        </w:rPr>
      </w:pPr>
    </w:p>
    <w:p w:rsidR="00626C33" w:rsidRDefault="00626C33" w14:paraId="527B6DE7" w14:textId="6271D40C" w:rsidP="00ED60B1" w:rsidRPr="00ED60B1">
      <w:pPr>
        <w:jc w:val="both"/>
        <w:spacing w:line="360" w:lineRule="auto"/>
        <w:rPr>
          <w:rFonts w:ascii="Arial" w:cs="Arial" w:hAnsi="Arial"/>
        </w:rPr>
      </w:pPr>
      <w:r w:rsidRPr="00ED60B1">
        <w:rPr>
          <w:rFonts w:ascii="Arial" w:cs="Arial" w:hAnsi="Arial"/>
        </w:rPr>
        <w:t>The wish to change the body through medical procedures to fit gender identity (Coleman et al., 2022).</w:t>
        <w:lastRenderedPageBreak/>
      </w:r>
    </w:p>
    <w:p w:rsidR="00626C33" w:rsidRDefault="00626C33" w14:paraId="3BAD5D13" w14:textId="43E0B60A" w:rsidP="00ED60B1" w:rsidRPr="00ED60B1">
      <w:pPr>
        <w:jc w:val="both"/>
        <w:spacing w:line="360" w:lineRule="auto"/>
        <w:rPr>
          <w:rFonts w:ascii="Arial" w:cs="Arial" w:hAnsi="Arial"/>
        </w:rPr>
      </w:pPr>
      <w:r w:rsidRPr="00ED60B1">
        <w:rPr>
          <w:rFonts w:ascii="Arial" w:cs="Arial" w:hAnsi="Arial"/>
        </w:rPr>
        <w:t>ICD-11 does not require the presence of psychological distress for diagnosis, distinguishing it from previous psychiatric classifications. This method accepts distress is caused by social stigma, discrimination or impediments to gender affirming care (Drescher, 2014).</w:t>
      </w:r>
    </w:p>
    <w:p w:rsidR="00626C33" w:rsidRDefault="00626C33" w14:paraId="7C9D8165" w14:textId="1EB463C5" w:rsidP="00ED60B1" w:rsidRPr="00ED60B1">
      <w:pPr>
        <w:jc w:val="both"/>
        <w:spacing w:line="360" w:lineRule="auto"/>
        <w:rPr>
          <w:rFonts w:ascii="Arial" w:cs="Arial" w:hAnsi="Arial"/>
        </w:rPr>
      </w:pPr>
      <w:r w:rsidRPr="00ED60B1">
        <w:rPr>
          <w:rFonts w:ascii="Arial" w:cs="Arial" w:hAnsi="Arial"/>
        </w:rPr>
        <w:t>Often, mental health professionals, endocrinologists, and gender identity clinics are included in the diagnostic process. The standards of care of the World Professional Association for Transgender Health (WPATH) seek to replace psychiatric gatekeeping with informed consent and shared decision-making (Coleman et al., 2022).</w:t>
      </w:r>
    </w:p>
    <w:p w:rsidR="00167E9E" w:rsidRDefault="0013158A" w14:paraId="19E7AEC1" w14:textId="63AAE6A2" w:rsidP="00ED60B1" w:rsidRPr="00ED60B1">
      <w:pPr>
        <w:jc w:val="both"/>
        <w:spacing w:line="360" w:lineRule="auto"/>
        <w:rPr>
          <w:rFonts w:ascii="Arial" w:cs="Arial" w:hAnsi="Arial"/>
        </w:rPr>
      </w:pPr>
      <w:r w:rsidRPr="00ED60B1">
        <w:rPr>
          <w:rFonts w:ascii="Arial" w:cs="Arial" w:hAnsi="Arial"/>
        </w:rPr>
        <w:t>Yet</w:t>
      </w:r>
      <w:r w:rsidR="00626C33" w:rsidRPr="00ED60B1">
        <w:rPr>
          <w:rFonts w:ascii="Arial" w:cs="Arial" w:hAnsi="Arial"/>
        </w:rPr>
        <w:t xml:space="preserve"> an issue exists related to the access and equity of diagnostic tests. Long waiting times for clinics, especially in the public healthcare system, can delay treatment and result in mental distress among transgender individuals (Pearce et al., 2020) (manuscript).</w:t>
      </w:r>
    </w:p>
    <w:p w:rsidR="007E13F1" w:rsidRDefault="007E13F1" w14:paraId="358AD6E8" w14:textId="70E0C798" w:rsidP="00ED60B1" w:rsidRPr="00ED60B1">
      <w:pPr>
        <w:pStyle w:val="Heading1"/>
        <w:jc w:val="both"/>
        <w:spacing w:line="360" w:lineRule="auto"/>
        <w:rPr>
          <w:rFonts w:ascii="Arial" w:cs="Arial" w:hAnsi="Arial"/>
          <w:sz w:val="24"/>
          <w:szCs w:val="24"/>
        </w:rPr>
      </w:pPr>
      <w:bookmarkStart w:id="4" w:name="_Toc224549596"/>
      <w:r w:rsidRPr="00ED60B1">
        <w:rPr>
          <w:rFonts w:ascii="Arial" w:cs="Arial" w:hAnsi="Arial"/>
          <w:sz w:val="24"/>
          <w:szCs w:val="24"/>
        </w:rPr>
        <w:t>3. Cure and Recovery</w:t>
      </w:r>
      <w:bookmarkEnd w:id="4"/>
    </w:p>
    <w:p w:rsidR="007E13F1" w:rsidRDefault="00DF2122" w14:paraId="406A6797" w14:textId="2E5EB3A3" w:rsidP="0013158A" w:rsidRPr="00ED60B1">
      <w:pPr>
        <w:pStyle w:val="Heading2"/>
        <w:jc w:val="both"/>
        <w:spacing w:line="360" w:lineRule="auto"/>
        <w:rPr>
          <w:rFonts w:ascii="Arial" w:cs="Arial" w:hAnsi="Arial"/>
          <w:sz w:val="24"/>
          <w:szCs w:val="24"/>
        </w:rPr>
      </w:pPr>
      <w:bookmarkStart w:id="5" w:name="_Toc224549597"/>
      <w:r w:rsidRPr="00ED60B1">
        <w:rPr>
          <w:rFonts w:ascii="Arial" w:cs="Arial" w:hAnsi="Arial"/>
          <w:sz w:val="24"/>
          <w:szCs w:val="24"/>
        </w:rPr>
        <w:t xml:space="preserve">3.1 </w:t>
      </w:r>
      <w:r w:rsidR="007E13F1" w:rsidRPr="00ED60B1">
        <w:rPr>
          <w:rFonts w:ascii="Arial" w:cs="Arial" w:hAnsi="Arial"/>
          <w:sz w:val="24"/>
          <w:szCs w:val="24"/>
        </w:rPr>
        <w:t>Methods of Treatment</w:t>
      </w:r>
      <w:bookmarkEnd w:id="5"/>
    </w:p>
    <w:p w:rsidR="007E13F1" w:rsidRDefault="007E13F1" w14:paraId="34E7F8E8" w14:textId="68C16E28" w:rsidP="00ED60B1" w:rsidRPr="00ED60B1">
      <w:pPr>
        <w:jc w:val="both"/>
        <w:spacing w:line="360" w:lineRule="auto"/>
        <w:rPr>
          <w:rFonts w:ascii="Arial" w:cs="Arial" w:hAnsi="Arial"/>
        </w:rPr>
      </w:pPr>
      <w:r w:rsidRPr="00ED60B1">
        <w:rPr>
          <w:rFonts w:ascii="Arial" w:cs="Arial" w:hAnsi="Arial"/>
        </w:rPr>
        <w:t xml:space="preserve">Gender incongruence is typically treated via gender-affirming interventions, which are efforts aimed at aligning one’s physical characteristics and social presentation with their gender. Gender-affirming care is considered the gold standard for supporting transgender people and improving their mental well-being (Coleman et al., 2022; WHO, 2019). </w:t>
      </w:r>
      <w:r w:rsidR="0013158A" w:rsidRPr="00ED60B1">
        <w:rPr>
          <w:rFonts w:ascii="Arial" w:cs="Arial" w:hAnsi="Arial"/>
        </w:rPr>
        <w:t>This intervention</w:t>
      </w:r>
      <w:r w:rsidRPr="00ED60B1">
        <w:rPr>
          <w:rFonts w:ascii="Arial" w:cs="Arial" w:hAnsi="Arial"/>
        </w:rPr>
        <w:t xml:space="preserve"> may </w:t>
      </w:r>
      <w:r w:rsidR="0013158A" w:rsidRPr="00ED60B1">
        <w:rPr>
          <w:rFonts w:ascii="Arial" w:cs="Arial" w:hAnsi="Arial"/>
        </w:rPr>
        <w:t>psychologically</w:t>
      </w:r>
      <w:r w:rsidRPr="00ED60B1">
        <w:rPr>
          <w:rFonts w:ascii="Arial" w:cs="Arial" w:hAnsi="Arial"/>
        </w:rPr>
        <w:t xml:space="preserve"> </w:t>
      </w:r>
      <w:proofErr w:type="gramStart"/>
      <w:r w:rsidRPr="00ED60B1">
        <w:rPr>
          <w:rFonts w:ascii="Arial" w:cs="Arial" w:hAnsi="Arial"/>
        </w:rPr>
        <w:t>support,</w:t>
      </w:r>
      <w:proofErr w:type="gramEnd"/>
      <w:r w:rsidRPr="00ED60B1">
        <w:rPr>
          <w:rFonts w:ascii="Arial" w:cs="Arial" w:hAnsi="Arial"/>
        </w:rPr>
        <w:t xml:space="preserve"> hormone therapy, surgical procedures and social transition as per their need and requirement. </w:t>
      </w:r>
    </w:p>
    <w:p w:rsidR="007E13F1" w:rsidRDefault="007E13F1" w14:paraId="60AF9912" w14:textId="0ABAACC2" w:rsidP="00ED60B1" w:rsidRPr="00ED60B1">
      <w:pPr>
        <w:jc w:val="both"/>
        <w:spacing w:line="360" w:lineRule="auto"/>
        <w:rPr>
          <w:rFonts w:ascii="Arial" w:cs="Arial" w:hAnsi="Arial"/>
        </w:rPr>
      </w:pPr>
      <w:r w:rsidRPr="00ED60B1">
        <w:rPr>
          <w:rFonts w:ascii="Arial" w:cs="Arial" w:hAnsi="Arial"/>
        </w:rPr>
        <w:t xml:space="preserve">Psychological support assists individuals in exploring their gender identity and coping with the social, emotional and psychological challenges of gender transition (American Psychological Association, 2021), according to the American Psychological Association. Counselling may be provided by mental health professionals for issues such as gender dysphoria, minority stress, stigma, and family and social problems (Budge, Adelson and Howard, 2013). It is significant that today's standards of care meant to ameliorate the individual’s ability to cope with gender dysphoria and assist with the </w:t>
      </w:r>
      <w:r w:rsidR="0013158A" w:rsidRPr="00ED60B1">
        <w:rPr>
          <w:rFonts w:ascii="Arial" w:cs="Arial" w:hAnsi="Arial"/>
        </w:rPr>
        <w:t>wellbeing</w:t>
      </w:r>
      <w:r w:rsidRPr="00ED60B1">
        <w:rPr>
          <w:rFonts w:ascii="Arial" w:cs="Arial" w:hAnsi="Arial"/>
        </w:rPr>
        <w:t xml:space="preserve"> and </w:t>
      </w:r>
      <w:r w:rsidRPr="00ED60B1">
        <w:rPr>
          <w:rFonts w:ascii="Arial" w:cs="Arial" w:hAnsi="Arial"/>
        </w:rPr>
        <w:t>resilience of the individual going through the transition (American Psychology Association, 2021; Coleman et al., 2022). According to Singh and Dickey (2017), affirmative therapy attempts to affirm a person’s gender identity and help them make choices about transition socially, personally and medically.</w:t>
        <w:lastRenderedPageBreak/>
      </w:r>
    </w:p>
    <w:p w:rsidR="007E13F1" w:rsidRDefault="007E13F1" w14:paraId="75CFFBB7" w14:textId="36825642" w:rsidP="00ED60B1" w:rsidRPr="00ED60B1">
      <w:pPr>
        <w:jc w:val="both"/>
        <w:spacing w:line="360" w:lineRule="auto"/>
        <w:rPr>
          <w:rFonts w:ascii="Arial" w:cs="Arial" w:hAnsi="Arial"/>
        </w:rPr>
      </w:pPr>
      <w:r w:rsidRPr="00ED60B1">
        <w:rPr>
          <w:rFonts w:ascii="Arial" w:cs="Arial" w:hAnsi="Arial"/>
        </w:rPr>
        <w:t>One of the most common medical treatments offered to transgender people is hormone therapy. Gender affirming hormone therapy also called GAHT is a use of estrogen, testosterone, or hormone blockers to develop secondary sex characteristics (Hembree et al., 2017). Estrogen and anti-androgens may help transgender women develop breasts, lessen body hair and change fat distribution. For transgender men, testosterone therapy typically results in lower volume, muscle mass gain and facial hair growth (Hembree et al., 2017; Coleman et al., 2022).</w:t>
      </w:r>
    </w:p>
    <w:p w:rsidR="007E13F1" w:rsidRDefault="007E13F1" w14:paraId="4800F6C6" w14:textId="4133FC44" w:rsidP="00ED60B1" w:rsidRPr="00ED60B1">
      <w:pPr>
        <w:jc w:val="both"/>
        <w:spacing w:line="360" w:lineRule="auto"/>
        <w:rPr>
          <w:rFonts w:ascii="Arial" w:cs="Arial" w:hAnsi="Arial"/>
        </w:rPr>
      </w:pPr>
      <w:r w:rsidRPr="00ED60B1">
        <w:rPr>
          <w:rFonts w:ascii="Arial" w:cs="Arial" w:hAnsi="Arial"/>
        </w:rPr>
        <w:t xml:space="preserve">Growing evidence shows that hormone therapy can improve psychological wellbeing, body satisfaction and quality of life for transgender people. Research evidence demonstrates that the availability of hormones is linked with reduced gender dysphoria, depression and anxiety (Murad et al 2010; White </w:t>
      </w:r>
      <w:proofErr w:type="spellStart"/>
      <w:r w:rsidRPr="00ED60B1">
        <w:rPr>
          <w:rFonts w:ascii="Arial" w:cs="Arial" w:hAnsi="Arial"/>
        </w:rPr>
        <w:t>Hughto</w:t>
      </w:r>
      <w:proofErr w:type="spellEnd"/>
      <w:r w:rsidRPr="00ED60B1">
        <w:rPr>
          <w:rFonts w:ascii="Arial" w:cs="Arial" w:hAnsi="Arial"/>
        </w:rPr>
        <w:t xml:space="preserve"> and Reisner 2016). Baker, Wilson and Sharma, 2021 states that longitudinal studies have found that transgender adults report better mental health and greater life satisfaction with gender-affirming hormone treatment. </w:t>
      </w:r>
    </w:p>
    <w:p w:rsidR="007E13F1" w:rsidRDefault="007E13F1" w14:paraId="10977B4E" w14:textId="56527B19" w:rsidP="00ED60B1" w:rsidRPr="00ED60B1">
      <w:pPr>
        <w:jc w:val="both"/>
        <w:spacing w:line="360" w:lineRule="auto"/>
        <w:rPr>
          <w:rFonts w:ascii="Arial" w:cs="Arial" w:hAnsi="Arial"/>
        </w:rPr>
      </w:pPr>
      <w:r w:rsidRPr="00ED60B1">
        <w:rPr>
          <w:rFonts w:ascii="Arial" w:cs="Arial" w:hAnsi="Arial"/>
        </w:rPr>
        <w:t xml:space="preserve">Some people may require surgical interventions as a part of their gender-affirming care. Such procedures may consist of chest reconstruction, genital surgery (also known as gender confirming or affirmation surgery), facial </w:t>
      </w:r>
      <w:r w:rsidR="0013158A" w:rsidRPr="00ED60B1">
        <w:rPr>
          <w:rFonts w:ascii="Arial" w:cs="Arial" w:hAnsi="Arial"/>
        </w:rPr>
        <w:t>feminization</w:t>
      </w:r>
      <w:r w:rsidRPr="00ED60B1">
        <w:rPr>
          <w:rFonts w:ascii="Arial" w:cs="Arial" w:hAnsi="Arial"/>
        </w:rPr>
        <w:t xml:space="preserve"> or </w:t>
      </w:r>
      <w:r w:rsidR="0013158A" w:rsidRPr="00ED60B1">
        <w:rPr>
          <w:rFonts w:ascii="Arial" w:cs="Arial" w:hAnsi="Arial"/>
        </w:rPr>
        <w:t>masculinization</w:t>
      </w:r>
      <w:r w:rsidRPr="00ED60B1">
        <w:rPr>
          <w:rFonts w:ascii="Arial" w:cs="Arial" w:hAnsi="Arial"/>
        </w:rPr>
        <w:t xml:space="preserve"> and body contouring including liposuction (Coleman et al., 2022). The objective of such surgeries is to lessen the discordance between physical features and gender identity, resulting in a good reduction in gender dysphoria (</w:t>
      </w:r>
      <w:proofErr w:type="spellStart"/>
      <w:r w:rsidRPr="00ED60B1">
        <w:rPr>
          <w:rFonts w:ascii="Arial" w:cs="Arial" w:hAnsi="Arial"/>
        </w:rPr>
        <w:t>Dhejne</w:t>
      </w:r>
      <w:proofErr w:type="spellEnd"/>
      <w:r w:rsidRPr="00ED60B1">
        <w:rPr>
          <w:rFonts w:ascii="Arial" w:cs="Arial" w:hAnsi="Arial"/>
        </w:rPr>
        <w:t xml:space="preserve"> et al., 2016).</w:t>
      </w:r>
    </w:p>
    <w:p w:rsidR="007E13F1" w:rsidRDefault="007E13F1" w14:paraId="1E620C98" w14:textId="77777777" w:rsidP="00ED60B1" w:rsidRPr="00ED60B1">
      <w:pPr>
        <w:jc w:val="both"/>
        <w:spacing w:line="360" w:lineRule="auto"/>
        <w:rPr>
          <w:rFonts w:ascii="Arial" w:cs="Arial" w:hAnsi="Arial"/>
        </w:rPr>
      </w:pPr>
      <w:r w:rsidRPr="00ED60B1">
        <w:rPr>
          <w:rFonts w:ascii="Arial" w:cs="Arial" w:hAnsi="Arial"/>
        </w:rPr>
        <w:t>Studies have shown that gender-affirming surgeries improve body image, psychological wellbeing and social functioning (Murad et al., 2010; Bustos et al., 2021). Nonetheless, there are significant disparities across countries in the accessibility to surgical procedures. These are often due to lack of financial resources, health policies, and availability of specialized providers (Winter et al., 2016).</w:t>
      </w:r>
    </w:p>
    <w:p w:rsidR="007E13F1" w:rsidRDefault="007E13F1" w14:paraId="3289F1F8" w14:textId="77777777" w:rsidP="00ED60B1" w:rsidRPr="00ED60B1">
      <w:pPr>
        <w:jc w:val="both"/>
        <w:spacing w:line="360" w:lineRule="auto"/>
        <w:rPr>
          <w:rFonts w:ascii="Arial" w:cs="Arial" w:hAnsi="Arial"/>
        </w:rPr>
      </w:pPr>
    </w:p>
    <w:p w:rsidR="007E13F1" w:rsidRDefault="007E13F1" w14:paraId="3C7C18D5" w14:textId="354956E8" w:rsidP="00ED60B1" w:rsidRPr="00ED60B1">
      <w:pPr>
        <w:jc w:val="both"/>
        <w:spacing w:line="360" w:lineRule="auto"/>
        <w:rPr>
          <w:rFonts w:ascii="Arial" w:cs="Arial" w:hAnsi="Arial"/>
        </w:rPr>
      </w:pPr>
      <w:r w:rsidRPr="00ED60B1">
        <w:rPr>
          <w:rFonts w:ascii="Arial" w:cs="Arial" w:hAnsi="Arial"/>
        </w:rPr>
        <w:t>Moreover, it is also important to note that not all transgender people want or need medical treatment. Numerous individuals engage in social transition. This may include choosing a different name, changing pronouns, modifying clothing or appearance, or changing other social roles (American Psychological Association, 2021). Social transition may improve psychological wellbeing and decrease distress associated with gender incongruence (see Olson et al., 2016).</w:t>
      </w:r>
    </w:p>
    <w:p w:rsidR="00167E9E" w:rsidRDefault="007E13F1" w14:paraId="5B81B04B" w14:textId="61511FC7" w:rsidP="00ED60B1" w:rsidRPr="00ED60B1">
      <w:pPr>
        <w:jc w:val="both"/>
        <w:spacing w:line="360" w:lineRule="auto"/>
        <w:rPr>
          <w:rFonts w:ascii="Arial" w:cs="Arial" w:hAnsi="Arial"/>
        </w:rPr>
      </w:pPr>
      <w:r w:rsidRPr="00ED60B1">
        <w:rPr>
          <w:rFonts w:ascii="Arial" w:cs="Arial" w:hAnsi="Arial"/>
        </w:rPr>
        <w:t>The treatment strategies for gender incongruence are becoming more client-</w:t>
      </w:r>
      <w:r w:rsidR="0013158A" w:rsidRPr="00ED60B1">
        <w:rPr>
          <w:rFonts w:ascii="Arial" w:cs="Arial" w:hAnsi="Arial"/>
        </w:rPr>
        <w:t>centered</w:t>
      </w:r>
      <w:r w:rsidRPr="00ED60B1">
        <w:rPr>
          <w:rFonts w:ascii="Arial" w:cs="Arial" w:hAnsi="Arial"/>
        </w:rPr>
        <w:t xml:space="preserve"> and </w:t>
      </w:r>
      <w:r w:rsidR="0013158A" w:rsidRPr="00ED60B1">
        <w:rPr>
          <w:rFonts w:ascii="Arial" w:cs="Arial" w:hAnsi="Arial"/>
        </w:rPr>
        <w:t>individualized</w:t>
      </w:r>
      <w:r w:rsidRPr="00ED60B1">
        <w:rPr>
          <w:rFonts w:ascii="Arial" w:cs="Arial" w:hAnsi="Arial"/>
        </w:rPr>
        <w:t>, focusing on autonomy, informed consent and gender diversity (Coleman et al., 2022).</w:t>
      </w:r>
    </w:p>
    <w:p w:rsidR="00BD0FC6" w:rsidRDefault="00BD0FC6" w14:paraId="06BB781B" w14:textId="77777777" w:rsidP="00ED60B1" w:rsidRPr="00ED60B1">
      <w:pPr>
        <w:jc w:val="both"/>
        <w:spacing w:line="360" w:lineRule="auto"/>
        <w:rPr>
          <w:rFonts w:ascii="Arial" w:cs="Arial" w:hAnsi="Arial"/>
        </w:rPr>
      </w:pPr>
    </w:p>
    <w:p w:rsidR="00E978E0" w:rsidRDefault="00E978E0" w14:paraId="0A766F47" w14:textId="77777777" w:rsidP="00ED60B1" w:rsidRPr="00ED60B1">
      <w:pPr>
        <w:jc w:val="both"/>
        <w:spacing w:line="360" w:lineRule="auto"/>
        <w:rPr>
          <w:rFonts w:ascii="Arial" w:cs="Arial" w:hAnsi="Arial"/>
        </w:rPr>
      </w:pPr>
    </w:p>
    <w:p w:rsidR="00E978E0" w:rsidRDefault="00A9517F" w14:paraId="7C97BE32" w14:textId="7076DB53" w:rsidP="00ED60B1" w:rsidRPr="00ED60B1">
      <w:pPr>
        <w:pStyle w:val="Heading2"/>
        <w:jc w:val="both"/>
        <w:spacing w:line="360" w:lineRule="auto"/>
        <w:rPr>
          <w:rFonts w:ascii="Arial" w:cs="Arial" w:hAnsi="Arial"/>
          <w:sz w:val="24"/>
          <w:szCs w:val="24"/>
        </w:rPr>
      </w:pPr>
      <w:bookmarkStart w:id="6" w:name="_Toc224549598"/>
      <w:r w:rsidRPr="00ED60B1">
        <w:rPr>
          <w:rFonts w:ascii="Arial" w:cs="Arial" w:hAnsi="Arial"/>
          <w:sz w:val="24"/>
          <w:szCs w:val="24"/>
        </w:rPr>
        <w:t>3</w:t>
      </w:r>
      <w:r w:rsidR="009E304B" w:rsidRPr="00ED60B1">
        <w:rPr>
          <w:rFonts w:ascii="Arial" w:cs="Arial" w:hAnsi="Arial"/>
          <w:sz w:val="24"/>
          <w:szCs w:val="24"/>
        </w:rPr>
        <w:t xml:space="preserve">.2 </w:t>
      </w:r>
      <w:r w:rsidR="00E978E0" w:rsidRPr="00ED60B1">
        <w:rPr>
          <w:rFonts w:ascii="Arial" w:cs="Arial" w:hAnsi="Arial"/>
          <w:sz w:val="24"/>
          <w:szCs w:val="24"/>
        </w:rPr>
        <w:t xml:space="preserve">Treatment and </w:t>
      </w:r>
      <w:r w:rsidRPr="00ED60B1">
        <w:rPr>
          <w:rFonts w:ascii="Arial" w:cs="Arial" w:hAnsi="Arial"/>
          <w:sz w:val="24"/>
          <w:szCs w:val="24"/>
        </w:rPr>
        <w:t>long-term</w:t>
      </w:r>
      <w:r w:rsidR="00E978E0" w:rsidRPr="00ED60B1">
        <w:rPr>
          <w:rFonts w:ascii="Arial" w:cs="Arial" w:hAnsi="Arial"/>
          <w:sz w:val="24"/>
          <w:szCs w:val="24"/>
        </w:rPr>
        <w:t xml:space="preserve"> support</w:t>
      </w:r>
      <w:bookmarkEnd w:id="6"/>
    </w:p>
    <w:p w:rsidR="00E978E0" w:rsidRDefault="00E978E0" w14:paraId="64688856" w14:textId="77777777" w:rsidP="00ED60B1" w:rsidRPr="00ED60B1">
      <w:pPr>
        <w:jc w:val="both"/>
        <w:spacing w:line="360" w:lineRule="auto"/>
        <w:rPr>
          <w:rFonts w:ascii="Arial" w:cs="Arial" w:hAnsi="Arial"/>
        </w:rPr>
      </w:pPr>
    </w:p>
    <w:p w:rsidR="00E978E0" w:rsidRDefault="00E978E0" w14:paraId="23E7DC2F" w14:textId="636FA769" w:rsidP="00ED60B1" w:rsidRPr="00ED60B1">
      <w:pPr>
        <w:jc w:val="both"/>
        <w:spacing w:line="360" w:lineRule="auto"/>
        <w:rPr>
          <w:rFonts w:ascii="Arial" w:cs="Arial" w:hAnsi="Arial"/>
        </w:rPr>
      </w:pPr>
      <w:r w:rsidRPr="00ED60B1">
        <w:rPr>
          <w:rFonts w:ascii="Arial" w:cs="Arial" w:hAnsi="Arial"/>
        </w:rPr>
        <w:t>Rehabilitation pertaining to gender incongruence aims to protect mental health and facilitate the social integration of people with gender incongruence and to ensure access to ongoing health services. Rehabilitation is not just about getting better physically but also aiding transgender people in being able to adjust to the social environment post-gender transition (Winter et al., 2016).</w:t>
      </w:r>
    </w:p>
    <w:p w:rsidR="00E978E0" w:rsidRDefault="00E978E0" w14:paraId="66636211" w14:textId="003CED30" w:rsidP="00ED60B1" w:rsidRPr="00ED60B1">
      <w:pPr>
        <w:jc w:val="both"/>
        <w:spacing w:line="360" w:lineRule="auto"/>
        <w:rPr>
          <w:rFonts w:ascii="Arial" w:cs="Arial" w:hAnsi="Arial"/>
        </w:rPr>
      </w:pPr>
      <w:r w:rsidRPr="00ED60B1">
        <w:rPr>
          <w:rFonts w:ascii="Arial" w:cs="Arial" w:hAnsi="Arial"/>
        </w:rPr>
        <w:t>Services may include support.</w:t>
      </w:r>
    </w:p>
    <w:p w:rsidR="00E978E0" w:rsidRDefault="00E978E0" w14:paraId="1E9AD80B" w14:textId="3C640063" w:rsidP="00ED60B1" w:rsidRPr="00ED60B1">
      <w:pPr>
        <w:jc w:val="both"/>
        <w:spacing w:line="360" w:lineRule="auto"/>
        <w:rPr>
          <w:rFonts w:ascii="Arial" w:cs="Arial" w:hAnsi="Arial"/>
        </w:rPr>
      </w:pPr>
      <w:r w:rsidRPr="00ED60B1">
        <w:rPr>
          <w:rFonts w:ascii="Arial" w:cs="Arial" w:hAnsi="Arial"/>
        </w:rPr>
        <w:t>Counselling for mental health.</w:t>
      </w:r>
    </w:p>
    <w:p w:rsidR="00E978E0" w:rsidRDefault="00E978E0" w14:paraId="14CA1BC6" w14:textId="4D766061" w:rsidP="00ED60B1" w:rsidRPr="00ED60B1">
      <w:pPr>
        <w:jc w:val="both"/>
        <w:spacing w:line="360" w:lineRule="auto"/>
        <w:rPr>
          <w:rFonts w:ascii="Arial" w:cs="Arial" w:hAnsi="Arial"/>
        </w:rPr>
      </w:pPr>
      <w:r w:rsidRPr="00ED60B1">
        <w:rPr>
          <w:rFonts w:ascii="Arial" w:cs="Arial" w:hAnsi="Arial"/>
        </w:rPr>
        <w:t>Groups of support.</w:t>
      </w:r>
    </w:p>
    <w:p w:rsidR="00E978E0" w:rsidRDefault="00E978E0" w14:paraId="735E24C0" w14:textId="01DCA57C" w:rsidP="00ED60B1" w:rsidRPr="00ED60B1">
      <w:pPr>
        <w:jc w:val="both"/>
        <w:spacing w:line="360" w:lineRule="auto"/>
        <w:rPr>
          <w:rFonts w:ascii="Arial" w:cs="Arial" w:hAnsi="Arial"/>
        </w:rPr>
      </w:pPr>
      <w:r w:rsidRPr="00ED60B1">
        <w:rPr>
          <w:rFonts w:ascii="Arial" w:cs="Arial" w:hAnsi="Arial"/>
        </w:rPr>
        <w:t>Help with identity documentation.</w:t>
      </w:r>
    </w:p>
    <w:p w:rsidR="00E978E0" w:rsidRDefault="00E978E0" w14:paraId="7DB4C5A5" w14:textId="5AEAEEEB" w:rsidP="00ED60B1" w:rsidRPr="00ED60B1">
      <w:pPr>
        <w:jc w:val="both"/>
        <w:spacing w:line="360" w:lineRule="auto"/>
        <w:rPr>
          <w:rFonts w:ascii="Arial" w:cs="Arial" w:hAnsi="Arial"/>
        </w:rPr>
      </w:pPr>
      <w:r w:rsidRPr="00ED60B1">
        <w:rPr>
          <w:rFonts w:ascii="Arial" w:cs="Arial" w:hAnsi="Arial"/>
        </w:rPr>
        <w:t xml:space="preserve">Support services for </w:t>
      </w:r>
      <w:r w:rsidR="0013158A" w:rsidRPr="00ED60B1">
        <w:rPr>
          <w:rFonts w:ascii="Arial" w:cs="Arial" w:hAnsi="Arial"/>
        </w:rPr>
        <w:t>society</w:t>
      </w:r>
      <w:r w:rsidR="00264030" w:rsidRPr="00ED60B1">
        <w:rPr>
          <w:rFonts w:ascii="Arial" w:cs="Arial" w:hAnsi="Arial"/>
        </w:rPr>
        <w:t>.</w:t>
      </w:r>
    </w:p>
    <w:p w:rsidR="00E978E0" w:rsidRDefault="00E978E0" w14:paraId="1B0F3A5D" w14:textId="77777777" w:rsidP="00ED60B1" w:rsidRPr="00ED60B1">
      <w:pPr>
        <w:jc w:val="both"/>
        <w:spacing w:line="360" w:lineRule="auto"/>
        <w:rPr>
          <w:rFonts w:ascii="Arial" w:cs="Arial" w:hAnsi="Arial"/>
        </w:rPr>
      </w:pPr>
    </w:p>
    <w:p w:rsidR="00E978E0" w:rsidRDefault="00E978E0" w14:paraId="2B52164A" w14:textId="08C5400C" w:rsidP="00ED60B1" w:rsidRPr="00ED60B1">
      <w:pPr>
        <w:jc w:val="both"/>
        <w:spacing w:line="360" w:lineRule="auto"/>
        <w:rPr>
          <w:rFonts w:ascii="Arial" w:cs="Arial" w:hAnsi="Arial"/>
        </w:rPr>
      </w:pPr>
      <w:r w:rsidRPr="00ED60B1">
        <w:rPr>
          <w:rFonts w:ascii="Arial" w:cs="Arial" w:hAnsi="Arial"/>
        </w:rPr>
        <w:t>Mentally supportive care is important in long-term care. Transgender individuals often experience higher rates of depression, anxiety and suicidal ideation due to stigma, discrimination and minority stress (Meyer, 2003) that are not due to their gender identity itself (Testa et al., 2015). Access to supportive counselling and gender-affirming mental health care can significantly reduce these risks and improve resilience (Budge, Adelson and Howard, 2013).</w:t>
        <w:lastRenderedPageBreak/>
      </w:r>
    </w:p>
    <w:p w:rsidR="00E978E0" w:rsidRDefault="00E978E0" w14:paraId="04BC6875" w14:textId="1236B01B" w:rsidP="00ED60B1" w:rsidRPr="00ED60B1">
      <w:pPr>
        <w:jc w:val="both"/>
        <w:spacing w:line="360" w:lineRule="auto"/>
        <w:rPr>
          <w:rFonts w:ascii="Arial" w:cs="Arial" w:hAnsi="Arial"/>
        </w:rPr>
      </w:pPr>
      <w:r w:rsidRPr="00ED60B1">
        <w:rPr>
          <w:rFonts w:ascii="Arial" w:cs="Arial" w:hAnsi="Arial"/>
        </w:rPr>
        <w:t>Mutual aid groups are also important in rehabilitation, giving a sense of community, shared experiences, and emotional support (Puckett et al., 2019). Involvement in transgender support networks can decrease feelings of isolation and enhance psychological wellbeing (Testa et al., 2015).</w:t>
      </w:r>
    </w:p>
    <w:p w:rsidR="00E978E0" w:rsidRDefault="00E978E0" w14:paraId="59D68F2A" w14:textId="570EB891" w:rsidP="00ED60B1" w:rsidRPr="00ED60B1">
      <w:pPr>
        <w:jc w:val="both"/>
        <w:spacing w:line="360" w:lineRule="auto"/>
        <w:rPr>
          <w:rFonts w:ascii="Arial" w:cs="Arial" w:hAnsi="Arial"/>
        </w:rPr>
      </w:pPr>
      <w:r w:rsidRPr="00ED60B1">
        <w:rPr>
          <w:rFonts w:ascii="Arial" w:cs="Arial" w:hAnsi="Arial"/>
        </w:rPr>
        <w:t xml:space="preserve">Those seeking to modify identity documents, such as passports, national ID cards, or birth certificates, need legal support services to reflect their affirmed gender. Recognition by law of one’s gender identity is strongly linked to enhanced social inclusion or acceptance, less discrimination as well as improved mental health (Winter et al., 2016; </w:t>
      </w:r>
      <w:proofErr w:type="spellStart"/>
      <w:r w:rsidRPr="00ED60B1">
        <w:rPr>
          <w:rFonts w:ascii="Arial" w:cs="Arial" w:hAnsi="Arial"/>
        </w:rPr>
        <w:t>Scheim</w:t>
      </w:r>
      <w:proofErr w:type="spellEnd"/>
      <w:r w:rsidRPr="00ED60B1">
        <w:rPr>
          <w:rFonts w:ascii="Arial" w:cs="Arial" w:hAnsi="Arial"/>
        </w:rPr>
        <w:t xml:space="preserve"> et al., 2020).</w:t>
      </w:r>
    </w:p>
    <w:p w:rsidR="00E978E0" w:rsidRDefault="00E978E0" w14:paraId="6EB3D8E7" w14:textId="5E18BE19" w:rsidP="00ED60B1" w:rsidRPr="00ED60B1">
      <w:pPr>
        <w:jc w:val="both"/>
        <w:spacing w:line="360" w:lineRule="auto"/>
        <w:rPr>
          <w:rFonts w:ascii="Arial" w:cs="Arial" w:hAnsi="Arial"/>
        </w:rPr>
      </w:pPr>
      <w:r w:rsidRPr="00ED60B1">
        <w:rPr>
          <w:rFonts w:ascii="Arial" w:cs="Arial" w:hAnsi="Arial"/>
        </w:rPr>
        <w:t xml:space="preserve">There is growing recognition of the importance of gender-affirming </w:t>
      </w:r>
      <w:r w:rsidR="0013158A" w:rsidRPr="00ED60B1">
        <w:rPr>
          <w:rFonts w:ascii="Arial" w:cs="Arial" w:hAnsi="Arial"/>
        </w:rPr>
        <w:t>healthcare</w:t>
      </w:r>
      <w:r w:rsidRPr="00ED60B1">
        <w:rPr>
          <w:rFonts w:ascii="Arial" w:cs="Arial" w:hAnsi="Arial"/>
        </w:rPr>
        <w:t xml:space="preserve"> but many transgenders face several barriers to access. Barriers include discrimination in health care, lack of trained providers, cost and legal limitations of treatment (Pearce et al, 2020; Safer and </w:t>
      </w:r>
      <w:proofErr w:type="spellStart"/>
      <w:r w:rsidRPr="00ED60B1">
        <w:rPr>
          <w:rFonts w:ascii="Arial" w:cs="Arial" w:hAnsi="Arial"/>
        </w:rPr>
        <w:t>Tangpricha</w:t>
      </w:r>
      <w:proofErr w:type="spellEnd"/>
      <w:r w:rsidRPr="00ED60B1">
        <w:rPr>
          <w:rFonts w:ascii="Arial" w:cs="Arial" w:hAnsi="Arial"/>
        </w:rPr>
        <w:t>, 2019). In many parts of the world, transgender people must travel far or endure long waitlists for specialized medical services (Winter et al, 2016).</w:t>
      </w:r>
    </w:p>
    <w:p w:rsidR="00E978E0" w:rsidRDefault="00E978E0" w14:paraId="0494F90D" w14:textId="77777777" w:rsidP="00ED60B1" w:rsidRPr="00ED60B1">
      <w:pPr>
        <w:jc w:val="both"/>
        <w:spacing w:line="360" w:lineRule="auto"/>
        <w:rPr>
          <w:rFonts w:ascii="Arial" w:cs="Arial" w:hAnsi="Arial"/>
        </w:rPr>
      </w:pPr>
      <w:r w:rsidRPr="00ED60B1">
        <w:rPr>
          <w:rFonts w:ascii="Arial" w:cs="Arial" w:hAnsi="Arial"/>
        </w:rPr>
        <w:t>In addition, stigma and structures of inequality can inhibit the capacity of new mothers to secure jobs, homes and access health care, affecting long-term wellbeing (James et al, 2016). To address these barriers, there is a need for more structural, legal and policy changes, including enhanced training for healthcare providers, anti-discrimination protections and the availability of gender-affirming services (Coleman et al., 2022; Pearce et al., 2020).</w:t>
      </w:r>
    </w:p>
    <w:p w:rsidR="00E978E0" w:rsidRDefault="00E978E0" w14:paraId="6223272F" w14:textId="77777777" w:rsidP="00ED60B1" w:rsidRPr="00ED60B1">
      <w:pPr>
        <w:jc w:val="both"/>
        <w:spacing w:line="360" w:lineRule="auto"/>
        <w:rPr>
          <w:rFonts w:ascii="Arial" w:cs="Arial" w:hAnsi="Arial"/>
        </w:rPr>
      </w:pPr>
    </w:p>
    <w:p w:rsidR="00BD0FC6" w:rsidRDefault="00E978E0" w14:paraId="22E09942" w14:textId="79A33081" w:rsidP="00ED60B1" w:rsidRPr="00ED60B1">
      <w:pPr>
        <w:jc w:val="both"/>
        <w:spacing w:line="360" w:lineRule="auto"/>
        <w:rPr>
          <w:rFonts w:ascii="Arial" w:cs="Arial" w:hAnsi="Arial"/>
        </w:rPr>
      </w:pPr>
      <w:r w:rsidRPr="00ED60B1">
        <w:rPr>
          <w:rFonts w:ascii="Arial" w:cs="Arial" w:hAnsi="Arial"/>
        </w:rPr>
        <w:t>To sum up, to offer effective rehabilitation to a person suffering from gender incongruence, patients need more than medical care. Comprehensive psychosocial support and health care services support dignity, personal autonomy, and social participation.</w:t>
        <w:lastRenderedPageBreak/>
      </w:r>
    </w:p>
    <w:p w:rsidR="00A9517F" w:rsidRDefault="00A9517F" w14:paraId="29EDEF58" w14:textId="77777777" w:rsidP="00ED60B1" w:rsidRPr="00ED60B1">
      <w:pPr>
        <w:jc w:val="both"/>
        <w:spacing w:line="360" w:lineRule="auto"/>
        <w:rPr>
          <w:rFonts w:ascii="Arial" w:cs="Arial" w:hAnsi="Arial"/>
        </w:rPr>
      </w:pPr>
    </w:p>
    <w:p w:rsidR="00C511BA" w:rsidRDefault="00C511BA" w14:paraId="4DB46419" w14:textId="77777777" w:rsidP="00ED60B1" w:rsidRPr="00ED60B1">
      <w:pPr>
        <w:pStyle w:val="Heading1"/>
        <w:jc w:val="both"/>
        <w:spacing w:line="360" w:lineRule="auto"/>
        <w:rPr>
          <w:rFonts w:ascii="Arial" w:cs="Arial" w:hAnsi="Arial"/>
          <w:sz w:val="24"/>
          <w:szCs w:val="24"/>
        </w:rPr>
      </w:pPr>
      <w:bookmarkStart w:id="7" w:name="_Toc224549599"/>
      <w:r w:rsidRPr="00ED60B1">
        <w:rPr>
          <w:rFonts w:ascii="Arial" w:cs="Arial" w:hAnsi="Arial"/>
          <w:sz w:val="24"/>
          <w:szCs w:val="24"/>
        </w:rPr>
        <w:t>4. Present Troubles and New Problems</w:t>
      </w:r>
      <w:bookmarkEnd w:id="7"/>
    </w:p>
    <w:p w:rsidR="00C511BA" w:rsidRDefault="002C758D" w14:paraId="348E3C47" w14:textId="7641BAA4" w:rsidP="0013158A" w:rsidRPr="00ED60B1">
      <w:pPr>
        <w:pStyle w:val="Heading2"/>
        <w:jc w:val="both"/>
        <w:spacing w:line="360" w:lineRule="auto"/>
        <w:rPr>
          <w:rFonts w:ascii="Arial" w:cs="Arial" w:hAnsi="Arial"/>
          <w:sz w:val="24"/>
          <w:szCs w:val="24"/>
        </w:rPr>
      </w:pPr>
      <w:bookmarkStart w:id="8" w:name="_Toc224549600"/>
      <w:r w:rsidRPr="00ED60B1">
        <w:rPr>
          <w:rFonts w:ascii="Arial" w:cs="Arial" w:hAnsi="Arial"/>
          <w:sz w:val="24"/>
          <w:szCs w:val="24"/>
        </w:rPr>
        <w:t xml:space="preserve">4.1 </w:t>
      </w:r>
      <w:r w:rsidR="00C511BA" w:rsidRPr="00ED60B1">
        <w:rPr>
          <w:rFonts w:ascii="Arial" w:cs="Arial" w:hAnsi="Arial"/>
          <w:sz w:val="24"/>
          <w:szCs w:val="24"/>
        </w:rPr>
        <w:t>Expunging Gender Diversity as Pathology</w:t>
      </w:r>
      <w:bookmarkEnd w:id="8"/>
    </w:p>
    <w:p w:rsidR="00C511BA" w:rsidRDefault="00C511BA" w14:paraId="75DEE3EE" w14:textId="52A2258E" w:rsidP="00ED60B1" w:rsidRPr="00ED60B1">
      <w:pPr>
        <w:jc w:val="both"/>
        <w:spacing w:line="360" w:lineRule="auto"/>
        <w:rPr>
          <w:rFonts w:ascii="Arial" w:cs="Arial" w:hAnsi="Arial"/>
        </w:rPr>
      </w:pPr>
      <w:r w:rsidRPr="00ED60B1">
        <w:rPr>
          <w:rFonts w:ascii="Arial" w:cs="Arial" w:hAnsi="Arial"/>
        </w:rPr>
        <w:t xml:space="preserve">One of the main controversies surrounding gender incongruence involves the </w:t>
      </w:r>
      <w:r w:rsidR="002C758D" w:rsidRPr="00ED60B1">
        <w:rPr>
          <w:rFonts w:ascii="Arial" w:cs="Arial" w:hAnsi="Arial"/>
        </w:rPr>
        <w:t>medicalization</w:t>
      </w:r>
      <w:r w:rsidRPr="00ED60B1">
        <w:rPr>
          <w:rFonts w:ascii="Arial" w:cs="Arial" w:hAnsi="Arial"/>
        </w:rPr>
        <w:t xml:space="preserve"> of transgender identities. According to supporters, taking gender incongruence out of the mental disorder category is an important step toward reducing stigma and discrimination (Drescher et al., 2016).</w:t>
      </w:r>
    </w:p>
    <w:p w:rsidR="00C511BA" w:rsidRDefault="00C511BA" w14:paraId="2B092F8B" w14:textId="31879BB8" w:rsidP="00ED60B1" w:rsidRPr="00ED60B1">
      <w:pPr>
        <w:jc w:val="both"/>
        <w:spacing w:line="360" w:lineRule="auto"/>
        <w:rPr>
          <w:rFonts w:ascii="Arial" w:cs="Arial" w:hAnsi="Arial"/>
        </w:rPr>
      </w:pPr>
      <w:r w:rsidRPr="00ED60B1">
        <w:rPr>
          <w:rFonts w:ascii="Arial" w:cs="Arial" w:hAnsi="Arial"/>
        </w:rPr>
        <w:t>The reclassification in ICD-11 has been received positively by human rights and LGBTQ+ groups. This paper recognizes gender diversity as a part of human diversity, not a mental illness (Winter et al., 2016).</w:t>
      </w:r>
    </w:p>
    <w:p w:rsidR="00A9517F" w:rsidRDefault="00C511BA" w14:paraId="359FB55E" w14:textId="0985DF76" w:rsidP="00ED60B1" w:rsidRPr="00ED60B1">
      <w:pPr>
        <w:jc w:val="both"/>
        <w:spacing w:line="360" w:lineRule="auto"/>
        <w:rPr>
          <w:rFonts w:ascii="Arial" w:cs="Arial" w:hAnsi="Arial"/>
        </w:rPr>
      </w:pPr>
      <w:r w:rsidRPr="00ED60B1">
        <w:rPr>
          <w:rFonts w:ascii="Arial" w:cs="Arial" w:hAnsi="Arial"/>
        </w:rPr>
        <w:t xml:space="preserve">Alternatively, some scholars argue that a medical diagnosis may reinforce the notion that transit, transgender identities need medical or clinical affirmation (Ashley, 2019). The challenge of balancing </w:t>
      </w:r>
      <w:r w:rsidR="002B6A89" w:rsidRPr="00ED60B1">
        <w:rPr>
          <w:rFonts w:ascii="Arial" w:cs="Arial" w:hAnsi="Arial"/>
        </w:rPr>
        <w:t>pathologization</w:t>
      </w:r>
      <w:r w:rsidRPr="00ED60B1">
        <w:rPr>
          <w:rFonts w:ascii="Arial" w:cs="Arial" w:hAnsi="Arial"/>
        </w:rPr>
        <w:t xml:space="preserve"> and access to medical services is </w:t>
      </w:r>
      <w:r w:rsidR="002B6A89" w:rsidRPr="00ED60B1">
        <w:rPr>
          <w:rFonts w:ascii="Arial" w:cs="Arial" w:hAnsi="Arial"/>
        </w:rPr>
        <w:t>policy related</w:t>
      </w:r>
      <w:r w:rsidRPr="00ED60B1">
        <w:rPr>
          <w:rFonts w:ascii="Arial" w:cs="Arial" w:hAnsi="Arial"/>
        </w:rPr>
        <w:t>.</w:t>
      </w:r>
    </w:p>
    <w:p w:rsidR="002B6A89" w:rsidRDefault="002B6A89" w14:paraId="290FAB66" w14:textId="77777777" w:rsidP="00ED60B1" w:rsidRPr="00ED60B1">
      <w:pPr>
        <w:jc w:val="both"/>
        <w:spacing w:line="360" w:lineRule="auto"/>
        <w:rPr>
          <w:rFonts w:ascii="Arial" w:cs="Arial" w:hAnsi="Arial"/>
        </w:rPr>
      </w:pPr>
    </w:p>
    <w:p w:rsidR="001167E0" w:rsidRDefault="00467C3E" w14:paraId="3AC95BE4" w14:textId="2C9781B3" w:rsidP="00ED60B1" w:rsidRPr="00ED60B1">
      <w:pPr>
        <w:pStyle w:val="Heading2"/>
        <w:jc w:val="both"/>
        <w:spacing w:line="360" w:lineRule="auto"/>
        <w:rPr>
          <w:rFonts w:ascii="Arial" w:cs="Arial" w:hAnsi="Arial"/>
          <w:sz w:val="24"/>
          <w:szCs w:val="24"/>
        </w:rPr>
      </w:pPr>
      <w:bookmarkStart w:id="9" w:name="_Toc224549601"/>
      <w:r w:rsidRPr="00ED60B1">
        <w:rPr>
          <w:rFonts w:ascii="Arial" w:cs="Arial" w:hAnsi="Arial"/>
          <w:sz w:val="24"/>
          <w:szCs w:val="24"/>
        </w:rPr>
        <w:t xml:space="preserve">4.2 </w:t>
      </w:r>
      <w:r w:rsidR="001167E0" w:rsidRPr="00ED60B1">
        <w:rPr>
          <w:rFonts w:ascii="Arial" w:cs="Arial" w:hAnsi="Arial"/>
          <w:sz w:val="24"/>
          <w:szCs w:val="24"/>
        </w:rPr>
        <w:t>Neurodivergence and Gender Diversity</w:t>
      </w:r>
      <w:bookmarkEnd w:id="9"/>
    </w:p>
    <w:p w:rsidR="001167E0" w:rsidRDefault="001167E0" w14:paraId="59D708A7" w14:textId="77777777" w:rsidP="00ED60B1" w:rsidRPr="00ED60B1">
      <w:pPr>
        <w:jc w:val="both"/>
        <w:spacing w:line="360" w:lineRule="auto"/>
        <w:rPr>
          <w:rFonts w:ascii="Arial" w:cs="Arial" w:hAnsi="Arial"/>
        </w:rPr>
      </w:pPr>
    </w:p>
    <w:p w:rsidR="001167E0" w:rsidRDefault="001167E0" w14:paraId="5A5E6F35" w14:textId="5FBE21E7" w:rsidP="00ED60B1" w:rsidRPr="00ED60B1">
      <w:pPr>
        <w:jc w:val="both"/>
        <w:spacing w:line="360" w:lineRule="auto"/>
        <w:rPr>
          <w:rFonts w:ascii="Arial" w:cs="Arial" w:hAnsi="Arial"/>
        </w:rPr>
      </w:pPr>
      <w:r w:rsidRPr="00ED60B1">
        <w:rPr>
          <w:rFonts w:ascii="Arial" w:cs="Arial" w:hAnsi="Arial"/>
        </w:rPr>
        <w:t>According to certain reports, gender diversity and neurodivergence may be linked (Strang et al., 2018), especially autism spectrum condition. Research suggests that people with autism may have gender dysphoria more often than the general population.</w:t>
      </w:r>
    </w:p>
    <w:p w:rsidR="001167E0" w:rsidRDefault="001167E0" w14:paraId="362643BD" w14:textId="1C2796DA" w:rsidP="00ED60B1" w:rsidRPr="00ED60B1">
      <w:pPr>
        <w:jc w:val="both"/>
        <w:spacing w:line="360" w:lineRule="auto"/>
        <w:rPr>
          <w:rFonts w:ascii="Arial" w:cs="Arial" w:hAnsi="Arial"/>
        </w:rPr>
      </w:pPr>
      <w:r w:rsidRPr="00ED60B1">
        <w:rPr>
          <w:rFonts w:ascii="Arial" w:cs="Arial" w:hAnsi="Arial"/>
        </w:rPr>
        <w:t xml:space="preserve">The clinical and academic community has been debating the relation. Some clinicians believe that it is imperative to get an assessment before helping neurodivergent people explore their gender identity (Strang et al., 2018). It has been suggested by some that gender diversity among autistic people is not evidence of confusion or a weakness of will (Ashley, 2020). </w:t>
      </w:r>
    </w:p>
    <w:p w:rsidR="001167E0" w:rsidRDefault="001167E0" w14:paraId="750176AF" w14:textId="169488E6" w:rsidP="00ED60B1" w:rsidRPr="00ED60B1">
      <w:pPr>
        <w:jc w:val="both"/>
        <w:spacing w:line="360" w:lineRule="auto"/>
        <w:rPr>
          <w:rFonts w:ascii="Arial" w:cs="Arial" w:hAnsi="Arial"/>
        </w:rPr>
      </w:pPr>
      <w:r w:rsidRPr="00ED60B1">
        <w:rPr>
          <w:rFonts w:ascii="Arial" w:cs="Arial" w:hAnsi="Arial"/>
        </w:rPr>
        <w:t xml:space="preserve">The intersection of neurodiversity and gender identity highlights the need for inclusive and </w:t>
        <w:lastRenderedPageBreak/>
      </w:r>
      <w:r w:rsidR="000A4604" w:rsidRPr="00ED60B1">
        <w:rPr>
          <w:rFonts w:ascii="Arial" w:cs="Arial" w:hAnsi="Arial"/>
        </w:rPr>
        <w:t>individualized</w:t>
      </w:r>
      <w:r w:rsidRPr="00ED60B1">
        <w:rPr>
          <w:rFonts w:ascii="Arial" w:cs="Arial" w:hAnsi="Arial"/>
        </w:rPr>
        <w:t xml:space="preserve"> care approaches that respect both gender identity and neurodivergent experiences.</w:t>
      </w:r>
    </w:p>
    <w:p w:rsidR="001167E0" w:rsidRDefault="001167E0" w14:paraId="543318C0" w14:textId="77777777" w:rsidP="00ED60B1" w:rsidRPr="00ED60B1">
      <w:pPr>
        <w:jc w:val="both"/>
        <w:spacing w:line="360" w:lineRule="auto"/>
        <w:rPr>
          <w:rFonts w:ascii="Arial" w:cs="Arial" w:hAnsi="Arial"/>
        </w:rPr>
      </w:pPr>
    </w:p>
    <w:p w:rsidR="001167E0" w:rsidRDefault="00E93FDA" w14:paraId="47495D49" w14:textId="453C67C1" w:rsidP="00ED60B1" w:rsidRPr="00ED60B1">
      <w:pPr>
        <w:pStyle w:val="Heading2"/>
        <w:jc w:val="both"/>
        <w:spacing w:line="360" w:lineRule="auto"/>
        <w:rPr>
          <w:rFonts w:ascii="Arial" w:cs="Arial" w:hAnsi="Arial"/>
          <w:sz w:val="24"/>
          <w:szCs w:val="24"/>
        </w:rPr>
      </w:pPr>
      <w:bookmarkStart w:id="10" w:name="_Toc224549602"/>
      <w:r w:rsidRPr="00ED60B1">
        <w:rPr>
          <w:rFonts w:ascii="Arial" w:cs="Arial" w:hAnsi="Arial"/>
          <w:sz w:val="24"/>
          <w:szCs w:val="24"/>
        </w:rPr>
        <w:t xml:space="preserve">4.3 </w:t>
      </w:r>
      <w:r w:rsidR="001167E0" w:rsidRPr="00ED60B1">
        <w:rPr>
          <w:rFonts w:ascii="Arial" w:cs="Arial" w:hAnsi="Arial"/>
          <w:sz w:val="24"/>
          <w:szCs w:val="24"/>
        </w:rPr>
        <w:t>Access to Gender-Affirming Care</w:t>
      </w:r>
      <w:bookmarkEnd w:id="10"/>
    </w:p>
    <w:p w:rsidR="001167E0" w:rsidRDefault="001167E0" w14:paraId="648C83B2" w14:textId="77777777" w:rsidP="00ED60B1" w:rsidRPr="00ED60B1">
      <w:pPr>
        <w:jc w:val="both"/>
        <w:spacing w:line="360" w:lineRule="auto"/>
        <w:rPr>
          <w:rFonts w:ascii="Arial" w:cs="Arial" w:hAnsi="Arial"/>
        </w:rPr>
      </w:pPr>
    </w:p>
    <w:p w:rsidR="001167E0" w:rsidRDefault="001167E0" w14:paraId="4726B8F6" w14:textId="35D2ED4E" w:rsidP="00ED60B1" w:rsidRPr="00ED60B1">
      <w:pPr>
        <w:jc w:val="both"/>
        <w:spacing w:line="360" w:lineRule="auto"/>
        <w:rPr>
          <w:rFonts w:ascii="Arial" w:cs="Arial" w:hAnsi="Arial"/>
        </w:rPr>
      </w:pPr>
      <w:r w:rsidRPr="00ED60B1">
        <w:rPr>
          <w:rFonts w:ascii="Arial" w:cs="Arial" w:hAnsi="Arial"/>
        </w:rPr>
        <w:t>Access to healthcare remains a major issue within modern-day debates. Transgender individuals in many countries experience lengthy waitlists, a lack of specialist services and shortfalls in policy for medical interventions (Pearce et al., 2020).</w:t>
      </w:r>
    </w:p>
    <w:p w:rsidR="001167E0" w:rsidRDefault="001167E0" w14:paraId="1692CCB1" w14:textId="72B313E3" w:rsidP="00ED60B1" w:rsidRPr="00ED60B1">
      <w:pPr>
        <w:jc w:val="both"/>
        <w:spacing w:line="360" w:lineRule="auto"/>
        <w:rPr>
          <w:rFonts w:ascii="Arial" w:cs="Arial" w:hAnsi="Arial"/>
        </w:rPr>
      </w:pPr>
      <w:r w:rsidRPr="00ED60B1">
        <w:rPr>
          <w:rFonts w:ascii="Arial" w:cs="Arial" w:hAnsi="Arial"/>
        </w:rPr>
        <w:t xml:space="preserve">Certain critics believe that our present healthcare models are based on medical gatekeeping and we </w:t>
      </w:r>
      <w:r w:rsidR="0013158A" w:rsidRPr="00ED60B1">
        <w:rPr>
          <w:rFonts w:ascii="Arial" w:cs="Arial" w:hAnsi="Arial"/>
        </w:rPr>
        <w:t>must</w:t>
      </w:r>
      <w:r w:rsidRPr="00ED60B1">
        <w:rPr>
          <w:rFonts w:ascii="Arial" w:cs="Arial" w:hAnsi="Arial"/>
        </w:rPr>
        <w:t xml:space="preserve"> undergo extensive psychological evaluation before getting treatment. Conversely, the informed consent model adopts an emphasis on patient </w:t>
      </w:r>
      <w:r w:rsidR="000A4604" w:rsidRPr="00ED60B1">
        <w:rPr>
          <w:rFonts w:ascii="Arial" w:cs="Arial" w:hAnsi="Arial"/>
        </w:rPr>
        <w:t>autonomy and</w:t>
      </w:r>
      <w:r w:rsidRPr="00ED60B1">
        <w:rPr>
          <w:rFonts w:ascii="Arial" w:cs="Arial" w:hAnsi="Arial"/>
        </w:rPr>
        <w:t xml:space="preserve"> has gained traction in several healthcare systems (Coleman et al., 2022).</w:t>
      </w:r>
    </w:p>
    <w:p w:rsidR="002B6A89" w:rsidRDefault="001167E0" w14:paraId="04DD416B" w14:textId="18C351BC" w:rsidP="00ED60B1" w:rsidRPr="00ED60B1">
      <w:pPr>
        <w:jc w:val="both"/>
        <w:spacing w:line="360" w:lineRule="auto"/>
        <w:rPr>
          <w:rFonts w:ascii="Arial" w:cs="Arial" w:hAnsi="Arial"/>
        </w:rPr>
      </w:pPr>
      <w:r w:rsidRPr="00ED60B1">
        <w:rPr>
          <w:rFonts w:ascii="Arial" w:cs="Arial" w:hAnsi="Arial"/>
        </w:rPr>
        <w:t>The outcome of the debates can greatly influence the health care policy which must safeguard the patients and ensure timely access.</w:t>
      </w:r>
    </w:p>
    <w:p w:rsidR="000A4604" w:rsidRDefault="000A4604" w14:paraId="4E7BA083" w14:textId="77777777" w:rsidP="00ED60B1" w:rsidRPr="00ED60B1">
      <w:pPr>
        <w:jc w:val="both"/>
        <w:spacing w:line="360" w:lineRule="auto"/>
        <w:rPr>
          <w:rFonts w:ascii="Arial" w:cs="Arial" w:hAnsi="Arial"/>
        </w:rPr>
      </w:pPr>
    </w:p>
    <w:p w:rsidR="000A4604" w:rsidRDefault="009007E3" w14:paraId="0D4B31E7" w14:textId="60A149F5" w:rsidP="00ED60B1" w:rsidRPr="00ED60B1">
      <w:pPr>
        <w:pStyle w:val="Heading1"/>
        <w:jc w:val="both"/>
        <w:spacing w:line="360" w:lineRule="auto"/>
        <w:rPr>
          <w:rFonts w:ascii="Arial" w:cs="Arial" w:hAnsi="Arial"/>
          <w:sz w:val="24"/>
          <w:szCs w:val="24"/>
        </w:rPr>
      </w:pPr>
      <w:bookmarkStart w:id="11" w:name="_Toc224549603"/>
      <w:r w:rsidRPr="00ED60B1">
        <w:rPr>
          <w:rFonts w:ascii="Arial" w:cs="Arial" w:hAnsi="Arial"/>
          <w:sz w:val="24"/>
          <w:szCs w:val="24"/>
        </w:rPr>
        <w:t>5. Recommendations</w:t>
      </w:r>
      <w:bookmarkEnd w:id="11"/>
    </w:p>
    <w:p w:rsidR="000A4604" w:rsidRDefault="002C758D" w14:paraId="12A1B306" w14:textId="6320F726" w:rsidP="00ED60B1" w:rsidRPr="00ED60B1">
      <w:pPr>
        <w:jc w:val="both"/>
        <w:spacing w:line="360" w:lineRule="auto"/>
        <w:rPr>
          <w:rFonts w:ascii="Arial" w:cs="Arial" w:hAnsi="Arial"/>
        </w:rPr>
      </w:pPr>
      <w:r w:rsidRPr="00ED60B1">
        <w:rPr>
          <w:rFonts w:ascii="Arial" w:cs="Arial" w:hAnsi="Arial"/>
        </w:rPr>
        <w:t>Considering</w:t>
      </w:r>
      <w:r w:rsidR="000A4604" w:rsidRPr="00ED60B1">
        <w:rPr>
          <w:rFonts w:ascii="Arial" w:cs="Arial" w:hAnsi="Arial"/>
        </w:rPr>
        <w:t xml:space="preserve"> the critical assessment provided, a few recommendations may be made for </w:t>
      </w:r>
      <w:r w:rsidR="0013158A" w:rsidRPr="00ED60B1">
        <w:rPr>
          <w:rFonts w:ascii="Arial" w:cs="Arial" w:hAnsi="Arial"/>
        </w:rPr>
        <w:t>classification</w:t>
      </w:r>
      <w:r w:rsidR="000A4604" w:rsidRPr="00ED60B1">
        <w:rPr>
          <w:rFonts w:ascii="Arial" w:cs="Arial" w:hAnsi="Arial"/>
        </w:rPr>
        <w:t>, diagnosis, treatment and the support of people with gender incongruence.</w:t>
      </w:r>
    </w:p>
    <w:p w:rsidR="000A4604" w:rsidRDefault="000A4604" w14:paraId="034DBA2E" w14:textId="3D6CFE44" w:rsidP="00ED60B1" w:rsidRPr="00ED60B1">
      <w:pPr>
        <w:jc w:val="both"/>
        <w:spacing w:line="360" w:lineRule="auto"/>
        <w:rPr>
          <w:rFonts w:ascii="Arial" w:cs="Arial" w:hAnsi="Arial"/>
        </w:rPr>
      </w:pPr>
      <w:r w:rsidRPr="00ED60B1">
        <w:rPr>
          <w:rFonts w:ascii="Arial" w:cs="Arial" w:hAnsi="Arial"/>
        </w:rPr>
        <w:t xml:space="preserve">Healthcare systems should enhance measures to reduce gender diversity stigma. The reclassification by ICD-11 is a positive step but continued public education and professional training will be necessary to change </w:t>
      </w:r>
      <w:proofErr w:type="spellStart"/>
      <w:r w:rsidRPr="00ED60B1">
        <w:rPr>
          <w:rFonts w:ascii="Arial" w:cs="Arial" w:hAnsi="Arial"/>
        </w:rPr>
        <w:t>behaviour</w:t>
      </w:r>
      <w:proofErr w:type="spellEnd"/>
      <w:r w:rsidRPr="00ED60B1">
        <w:rPr>
          <w:rFonts w:ascii="Arial" w:cs="Arial" w:hAnsi="Arial"/>
        </w:rPr>
        <w:t xml:space="preserve"> in that sector.</w:t>
      </w:r>
    </w:p>
    <w:p w:rsidR="000A4604" w:rsidRDefault="000A4604" w14:paraId="57EC32F4" w14:textId="77777777" w:rsidP="00ED60B1" w:rsidRPr="00ED60B1">
      <w:pPr>
        <w:jc w:val="both"/>
        <w:spacing w:line="360" w:lineRule="auto"/>
        <w:rPr>
          <w:rFonts w:ascii="Arial" w:cs="Arial" w:hAnsi="Arial"/>
        </w:rPr>
      </w:pPr>
      <w:r w:rsidRPr="00ED60B1">
        <w:rPr>
          <w:rFonts w:ascii="Arial" w:cs="Arial" w:hAnsi="Arial"/>
        </w:rPr>
        <w:t>The next one is the diagnostic processes should be patient-</w:t>
      </w:r>
      <w:proofErr w:type="spellStart"/>
      <w:r w:rsidRPr="00ED60B1">
        <w:rPr>
          <w:rFonts w:ascii="Arial" w:cs="Arial" w:hAnsi="Arial"/>
        </w:rPr>
        <w:t>centred</w:t>
      </w:r>
      <w:proofErr w:type="spellEnd"/>
      <w:r w:rsidRPr="00ED60B1">
        <w:rPr>
          <w:rFonts w:ascii="Arial" w:cs="Arial" w:hAnsi="Arial"/>
        </w:rPr>
        <w:t xml:space="preserve"> and informed consent first. Making access to care less restrictive while respecting preferences.</w:t>
      </w:r>
    </w:p>
    <w:p w:rsidR="000A4604" w:rsidRDefault="000A4604" w14:paraId="1B6B95FC" w14:textId="77777777" w:rsidP="00ED60B1" w:rsidRPr="00ED60B1">
      <w:pPr>
        <w:jc w:val="both"/>
        <w:spacing w:line="360" w:lineRule="auto"/>
        <w:rPr>
          <w:rFonts w:ascii="Arial" w:cs="Arial" w:hAnsi="Arial"/>
        </w:rPr>
      </w:pPr>
    </w:p>
    <w:p w:rsidR="000A4604" w:rsidRDefault="000A4604" w14:paraId="19A2AE90" w14:textId="0AD4BC39" w:rsidP="00ED60B1" w:rsidRPr="00ED60B1">
      <w:pPr>
        <w:jc w:val="both"/>
        <w:spacing w:line="360" w:lineRule="auto"/>
        <w:rPr>
          <w:rFonts w:ascii="Arial" w:cs="Arial" w:hAnsi="Arial"/>
        </w:rPr>
      </w:pPr>
      <w:r w:rsidRPr="00ED60B1">
        <w:rPr>
          <w:rFonts w:ascii="Arial" w:cs="Arial" w:hAnsi="Arial"/>
        </w:rPr>
        <w:t xml:space="preserve">Healthcare professionals should be trained in gender-affirming care as part of gender identity services which governments and healthcare providers should invest in. Increasing the range of these services would help reduce </w:t>
        <w:lastRenderedPageBreak/>
      </w:r>
      <w:r w:rsidR="00206CD5" w:rsidRPr="00ED60B1">
        <w:rPr>
          <w:rFonts w:ascii="Arial" w:cs="Arial" w:hAnsi="Arial"/>
        </w:rPr>
        <w:t>waiting</w:t>
      </w:r>
      <w:r w:rsidRPr="00ED60B1">
        <w:rPr>
          <w:rFonts w:ascii="Arial" w:cs="Arial" w:hAnsi="Arial"/>
        </w:rPr>
        <w:t xml:space="preserve"> times and improve accessibility.</w:t>
      </w:r>
    </w:p>
    <w:p w:rsidR="000A4604" w:rsidRDefault="000A4604" w14:paraId="19DB05BF" w14:textId="0FA3125D" w:rsidP="00ED60B1" w:rsidRPr="00ED60B1">
      <w:pPr>
        <w:jc w:val="both"/>
        <w:spacing w:line="360" w:lineRule="auto"/>
        <w:rPr>
          <w:rFonts w:ascii="Arial" w:cs="Arial" w:hAnsi="Arial"/>
        </w:rPr>
      </w:pPr>
      <w:r w:rsidRPr="00ED60B1">
        <w:rPr>
          <w:rFonts w:ascii="Arial" w:cs="Arial" w:hAnsi="Arial"/>
        </w:rPr>
        <w:t>Fourth, it is recommended for future research to look at the relationship between gender diversity and neurodivergence in clinical settings.</w:t>
      </w:r>
    </w:p>
    <w:p w:rsidR="001674A7" w:rsidRDefault="000A4604" w14:paraId="6A73D79F" w14:textId="0449EC0F" w:rsidP="00ED60B1" w:rsidRPr="00ED60B1">
      <w:pPr>
        <w:jc w:val="both"/>
        <w:spacing w:line="360" w:lineRule="auto"/>
        <w:rPr>
          <w:rFonts w:ascii="Arial" w:cs="Arial" w:hAnsi="Arial"/>
        </w:rPr>
      </w:pPr>
      <w:r w:rsidRPr="00ED60B1">
        <w:rPr>
          <w:rFonts w:ascii="Arial" w:cs="Arial" w:hAnsi="Arial"/>
        </w:rPr>
        <w:t xml:space="preserve">Finally, lawmakers must enhance legal safeguards while improving social support systems for transgenders. To </w:t>
      </w:r>
      <w:r w:rsidR="00206CD5" w:rsidRPr="00ED60B1">
        <w:rPr>
          <w:rFonts w:ascii="Arial" w:cs="Arial" w:hAnsi="Arial"/>
        </w:rPr>
        <w:t>improve</w:t>
      </w:r>
      <w:r w:rsidRPr="00ED60B1">
        <w:rPr>
          <w:rFonts w:ascii="Arial" w:cs="Arial" w:hAnsi="Arial"/>
        </w:rPr>
        <w:t xml:space="preserve"> wellbeing and inclusion in society, discrimination in work, education and health must be addressed.</w:t>
      </w:r>
    </w:p>
    <w:p w:rsidR="0068425A" w:rsidRDefault="0068425A" w14:paraId="039F1A1E" w14:textId="77777777" w:rsidP="00ED60B1" w:rsidRPr="00ED60B1">
      <w:pPr>
        <w:jc w:val="both"/>
        <w:spacing w:line="360" w:lineRule="auto"/>
        <w:rPr>
          <w:rFonts w:ascii="Arial" w:cs="Arial" w:hAnsi="Arial"/>
        </w:rPr>
      </w:pPr>
    </w:p>
    <w:p w:rsidR="002C2B27" w:rsidRDefault="002C2B27" w14:paraId="543BE896" w14:textId="02B64560" w:rsidP="0013158A" w:rsidRPr="00ED60B1">
      <w:pPr>
        <w:pStyle w:val="Heading1"/>
        <w:jc w:val="both"/>
        <w:spacing w:line="360" w:lineRule="auto"/>
        <w:rPr>
          <w:rFonts w:ascii="Arial" w:cs="Arial" w:hAnsi="Arial"/>
          <w:sz w:val="24"/>
          <w:szCs w:val="24"/>
        </w:rPr>
      </w:pPr>
      <w:bookmarkStart w:id="12" w:name="_Toc224549604"/>
      <w:r w:rsidRPr="00ED60B1">
        <w:rPr>
          <w:rFonts w:ascii="Arial" w:cs="Arial" w:hAnsi="Arial"/>
          <w:sz w:val="24"/>
          <w:szCs w:val="24"/>
        </w:rPr>
        <w:t>6. Summary</w:t>
      </w:r>
      <w:bookmarkEnd w:id="12"/>
    </w:p>
    <w:p w:rsidR="002C2B27" w:rsidRDefault="002C2B27" w14:paraId="2E8F4E53" w14:textId="25901BD0" w:rsidP="00ED60B1" w:rsidRPr="00ED60B1">
      <w:pPr>
        <w:jc w:val="both"/>
        <w:spacing w:line="360" w:lineRule="auto"/>
        <w:rPr>
          <w:rFonts w:ascii="Arial" w:cs="Arial" w:hAnsi="Arial"/>
        </w:rPr>
      </w:pPr>
      <w:r w:rsidRPr="00ED60B1">
        <w:rPr>
          <w:rFonts w:ascii="Arial" w:cs="Arial" w:hAnsi="Arial"/>
        </w:rPr>
        <w:t>The area of gender incongruence is undergoing significant change in modern mental health classifications. The ICD-11 reclassification of gender incongruence reflects a move towards understanding gender diversity as a fact of life rather than a mental health problem.</w:t>
      </w:r>
    </w:p>
    <w:p w:rsidR="002C2B27" w:rsidRDefault="002C2B27" w14:paraId="3D02D69B" w14:textId="14C912C9" w:rsidP="00ED60B1" w:rsidRPr="00ED60B1">
      <w:pPr>
        <w:jc w:val="both"/>
        <w:spacing w:line="360" w:lineRule="auto"/>
        <w:rPr>
          <w:rFonts w:ascii="Arial" w:cs="Arial" w:hAnsi="Arial"/>
        </w:rPr>
      </w:pPr>
      <w:r w:rsidRPr="00ED60B1">
        <w:rPr>
          <w:rFonts w:ascii="Arial" w:cs="Arial" w:hAnsi="Arial"/>
        </w:rPr>
        <w:t xml:space="preserve">This report has critically examined the classification and diagnosis of gender incongruence, explored current treatment and rehabilitation approaches and </w:t>
      </w:r>
      <w:r w:rsidR="0013158A" w:rsidRPr="00ED60B1">
        <w:rPr>
          <w:rFonts w:ascii="Arial" w:cs="Arial" w:hAnsi="Arial"/>
        </w:rPr>
        <w:t>analyzed</w:t>
      </w:r>
      <w:r w:rsidRPr="00ED60B1">
        <w:rPr>
          <w:rFonts w:ascii="Arial" w:cs="Arial" w:hAnsi="Arial"/>
        </w:rPr>
        <w:t xml:space="preserve"> current debates regarding </w:t>
      </w:r>
      <w:r w:rsidR="0013158A" w:rsidRPr="00ED60B1">
        <w:rPr>
          <w:rFonts w:ascii="Arial" w:cs="Arial" w:hAnsi="Arial"/>
        </w:rPr>
        <w:t>medicalization</w:t>
      </w:r>
      <w:r w:rsidRPr="00ED60B1">
        <w:rPr>
          <w:rFonts w:ascii="Arial" w:cs="Arial" w:hAnsi="Arial"/>
        </w:rPr>
        <w:t xml:space="preserve">, neurodiversity and access to care. Transgender Communities Impacted by Barriers to Care and Social </w:t>
      </w:r>
      <w:proofErr w:type="spellStart"/>
      <w:r w:rsidRPr="00ED60B1">
        <w:rPr>
          <w:rFonts w:ascii="Arial" w:cs="Arial" w:hAnsi="Arial"/>
        </w:rPr>
        <w:t>StigmaDespite</w:t>
      </w:r>
      <w:proofErr w:type="spellEnd"/>
      <w:r w:rsidRPr="00ED60B1">
        <w:rPr>
          <w:rFonts w:ascii="Arial" w:cs="Arial" w:hAnsi="Arial"/>
        </w:rPr>
        <w:t xml:space="preserve"> positive outcomes, gender-affirming treatments are not universal.</w:t>
      </w:r>
    </w:p>
    <w:p w:rsidR="002C2B27" w:rsidRDefault="002C2B27" w14:paraId="7CBC7DB2" w14:textId="7BFA04FC" w:rsidP="00ED60B1" w:rsidRPr="00ED60B1">
      <w:pPr>
        <w:jc w:val="both"/>
        <w:spacing w:line="360" w:lineRule="auto"/>
        <w:rPr>
          <w:rFonts w:ascii="Arial" w:cs="Arial" w:hAnsi="Arial"/>
        </w:rPr>
      </w:pPr>
      <w:r w:rsidRPr="00ED60B1">
        <w:rPr>
          <w:rFonts w:ascii="Arial" w:cs="Arial" w:hAnsi="Arial"/>
        </w:rPr>
        <w:t xml:space="preserve">To overcome these challenges, healthcare professionals, researchers and policymakers should keep making efforts. What are the benefits of supporting transgender and gender-diverse people’s health? </w:t>
      </w:r>
    </w:p>
    <w:p w:rsidR="0068425A" w:rsidRDefault="002C2B27" w14:paraId="2FDE5FD4" w14:textId="662F115E" w:rsidP="00ED60B1" w:rsidRPr="00ED60B1">
      <w:pPr>
        <w:jc w:val="both"/>
        <w:spacing w:line="360" w:lineRule="auto"/>
        <w:rPr>
          <w:rFonts w:ascii="Arial" w:cs="Arial" w:hAnsi="Arial"/>
        </w:rPr>
      </w:pPr>
      <w:r w:rsidRPr="00ED60B1">
        <w:rPr>
          <w:rFonts w:ascii="Arial" w:cs="Arial" w:hAnsi="Arial"/>
        </w:rPr>
        <w:t>Supporting transgender and gender-diverse people’s health helps access equitable and appropriate health services and facilitates their acceptance in society.</w:t>
      </w:r>
    </w:p>
    <w:p w:rsidR="0003383C" w:rsidRDefault="0003383C" w14:paraId="6D26D9FF" w14:textId="77777777" w:rsidP="00ED60B1" w:rsidRPr="00ED60B1">
      <w:pPr>
        <w:jc w:val="both"/>
        <w:spacing w:line="360" w:lineRule="auto"/>
        <w:rPr>
          <w:rFonts w:ascii="Arial" w:cs="Arial" w:hAnsi="Arial"/>
        </w:rPr>
      </w:pPr>
    </w:p>
    <w:p w:rsidR="0003383C" w:rsidRDefault="0003383C" w14:paraId="5C0E907B" w14:textId="77777777" w:rsidP="00ED60B1" w:rsidRPr="00ED60B1">
      <w:pPr>
        <w:jc w:val="both"/>
        <w:spacing w:line="360" w:lineRule="auto"/>
        <w:rPr>
          <w:rFonts w:ascii="Arial" w:cs="Arial" w:hAnsi="Arial"/>
        </w:rPr>
      </w:pPr>
    </w:p>
    <w:p w:rsidR="0003383C" w:rsidRDefault="0003383C" w14:paraId="174CFF86" w14:textId="77777777" w:rsidP="0013158A" w:rsidRPr="00ED60B1">
      <w:pPr>
        <w:jc w:val="center"/>
        <w:spacing w:line="360" w:lineRule="auto"/>
        <w:rPr>
          <w:rFonts w:ascii="Arial" w:cs="Arial" w:hAnsi="Arial"/>
        </w:rPr>
      </w:pPr>
    </w:p>
    <w:p w:rsidR="0003383C" w:rsidRDefault="00E369CB" w14:paraId="39CCDEE9" w14:textId="2524ABC1" w:rsidP="0013158A" w:rsidRPr="00ED60B1">
      <w:pPr>
        <w:pStyle w:val="Heading1"/>
        <w:jc w:val="center"/>
        <w:spacing w:line="360" w:lineRule="auto"/>
        <w:rPr>
          <w:rFonts w:ascii="Arial" w:cs="Arial" w:hAnsi="Arial"/>
          <w:sz w:val="24"/>
          <w:szCs w:val="24"/>
        </w:rPr>
      </w:pPr>
      <w:bookmarkStart w:id="13" w:name="_Toc224549605"/>
      <w:r w:rsidRPr="00ED60B1">
        <w:rPr>
          <w:rFonts w:ascii="Arial" w:cs="Arial" w:hAnsi="Arial"/>
          <w:sz w:val="24"/>
          <w:szCs w:val="24"/>
        </w:rPr>
        <w:t>References</w:t>
        <w:lastRenderedPageBreak/>
      </w:r>
      <w:bookmarkEnd w:id="13"/>
    </w:p>
    <w:p w:rsidR="004B629A" w:rsidRDefault="004B629A" w14:paraId="43896E4C" w14:textId="77777777" w:rsidP="00ED60B1" w:rsidRPr="00ED60B1">
      <w:pPr>
        <w:jc w:val="both"/>
        <w:spacing w:line="360" w:lineRule="auto"/>
        <w:rPr>
          <w:rFonts w:ascii="Arial" w:cs="Arial" w:hAnsi="Arial"/>
        </w:rPr>
      </w:pPr>
    </w:p>
    <w:p w:rsidR="009E2BB1" w:rsidRDefault="009E2BB1" w14:paraId="3D4E4675" w14:textId="77777777" w:rsidP="00ED60B1" w:rsidRPr="009E2BB1">
      <w:pPr>
        <w:jc w:val="both"/>
        <w:spacing w:line="360" w:lineRule="auto"/>
        <w:rPr>
          <w:rFonts w:ascii="Arial" w:cs="Arial" w:hAnsi="Arial"/>
        </w:rPr>
      </w:pPr>
      <w:r w:rsidRPr="009E2BB1">
        <w:rPr>
          <w:rFonts w:ascii="Arial" w:cs="Arial" w:hAnsi="Arial"/>
        </w:rPr>
        <w:t xml:space="preserve">American Psychological Association (2021) </w:t>
      </w:r>
      <w:r w:rsidRPr="009E2BB1">
        <w:rPr>
          <w:iCs/>
          <w:i/>
          <w:rFonts w:ascii="Arial" w:cs="Arial" w:hAnsi="Arial"/>
        </w:rPr>
        <w:t>Guidelines for psychological practice with transgender and gender nonconforming people</w:t>
      </w:r>
      <w:r w:rsidRPr="009E2BB1">
        <w:rPr>
          <w:rFonts w:ascii="Arial" w:cs="Arial" w:hAnsi="Arial"/>
        </w:rPr>
        <w:t>. Washington, DC: American Psychological Association.</w:t>
      </w:r>
    </w:p>
    <w:p w:rsidR="009E2BB1" w:rsidRDefault="009E2BB1" w14:paraId="7EF1C7DF" w14:textId="77777777" w:rsidP="00ED60B1" w:rsidRPr="009E2BB1">
      <w:pPr>
        <w:jc w:val="both"/>
        <w:spacing w:line="360" w:lineRule="auto"/>
        <w:rPr>
          <w:rFonts w:ascii="Arial" w:cs="Arial" w:hAnsi="Arial"/>
        </w:rPr>
      </w:pPr>
      <w:r w:rsidRPr="009E2BB1">
        <w:rPr>
          <w:rFonts w:ascii="Arial" w:cs="Arial" w:hAnsi="Arial"/>
        </w:rPr>
        <w:t xml:space="preserve">Ashley, F. (2019) ‘Gatekeeping hormone replacement therapy for transgender patients is </w:t>
      </w:r>
      <w:proofErr w:type="spellStart"/>
      <w:r w:rsidRPr="009E2BB1">
        <w:rPr>
          <w:rFonts w:ascii="Arial" w:cs="Arial" w:hAnsi="Arial"/>
        </w:rPr>
        <w:t>dehumanising</w:t>
      </w:r>
      <w:proofErr w:type="spellEnd"/>
      <w:r w:rsidRPr="009E2BB1">
        <w:rPr>
          <w:rFonts w:ascii="Arial" w:cs="Arial" w:hAnsi="Arial"/>
        </w:rPr>
        <w:t xml:space="preserve">’, </w:t>
      </w:r>
      <w:r w:rsidRPr="009E2BB1">
        <w:rPr>
          <w:iCs/>
          <w:i/>
          <w:rFonts w:ascii="Arial" w:cs="Arial" w:hAnsi="Arial"/>
        </w:rPr>
        <w:t>Journal of Medical Ethics</w:t>
      </w:r>
      <w:r w:rsidRPr="009E2BB1">
        <w:rPr>
          <w:rFonts w:ascii="Arial" w:cs="Arial" w:hAnsi="Arial"/>
        </w:rPr>
        <w:t>, 45(7), pp. 480–482.</w:t>
      </w:r>
    </w:p>
    <w:p w:rsidR="009E2BB1" w:rsidRDefault="009E2BB1" w14:paraId="1C8DC042" w14:textId="77777777" w:rsidP="00ED60B1" w:rsidRPr="009E2BB1">
      <w:pPr>
        <w:jc w:val="both"/>
        <w:spacing w:line="360" w:lineRule="auto"/>
        <w:rPr>
          <w:rFonts w:ascii="Arial" w:cs="Arial" w:hAnsi="Arial"/>
        </w:rPr>
      </w:pPr>
      <w:r w:rsidRPr="009E2BB1">
        <w:rPr>
          <w:rFonts w:ascii="Arial" w:cs="Arial" w:hAnsi="Arial"/>
        </w:rPr>
        <w:t xml:space="preserve">Ashley, F. (2020) ‘Autism and transgender identity: Implications for clinical practice’, </w:t>
      </w:r>
      <w:r w:rsidRPr="009E2BB1">
        <w:rPr>
          <w:iCs/>
          <w:i/>
          <w:rFonts w:ascii="Arial" w:cs="Arial" w:hAnsi="Arial"/>
        </w:rPr>
        <w:t>Bioethics</w:t>
      </w:r>
      <w:r w:rsidRPr="009E2BB1">
        <w:rPr>
          <w:rFonts w:ascii="Arial" w:cs="Arial" w:hAnsi="Arial"/>
        </w:rPr>
        <w:t>, 34(4), pp. 361–368.</w:t>
      </w:r>
    </w:p>
    <w:p w:rsidR="009E2BB1" w:rsidRDefault="009E2BB1" w14:paraId="05155C67" w14:textId="77777777" w:rsidP="00ED60B1" w:rsidRPr="009E2BB1">
      <w:pPr>
        <w:jc w:val="both"/>
        <w:spacing w:line="360" w:lineRule="auto"/>
        <w:rPr>
          <w:rFonts w:ascii="Arial" w:cs="Arial" w:hAnsi="Arial"/>
        </w:rPr>
      </w:pPr>
      <w:r w:rsidRPr="009E2BB1">
        <w:rPr>
          <w:rFonts w:ascii="Arial" w:cs="Arial" w:hAnsi="Arial"/>
        </w:rPr>
        <w:t xml:space="preserve">Baker, K.E., Wilson, L.M. and Sharma, R. (2021) ‘Hormone therapy, mental health, and quality of life among transgender individuals’, </w:t>
      </w:r>
      <w:r w:rsidRPr="009E2BB1">
        <w:rPr>
          <w:iCs/>
          <w:i/>
          <w:rFonts w:ascii="Arial" w:cs="Arial" w:hAnsi="Arial"/>
        </w:rPr>
        <w:t>Endocrine Practice</w:t>
      </w:r>
      <w:r w:rsidRPr="009E2BB1">
        <w:rPr>
          <w:rFonts w:ascii="Arial" w:cs="Arial" w:hAnsi="Arial"/>
        </w:rPr>
        <w:t>, 27(6), pp. 558–566.</w:t>
      </w:r>
    </w:p>
    <w:p w:rsidR="009E2BB1" w:rsidRDefault="009E2BB1" w14:paraId="1F868647" w14:textId="77777777" w:rsidP="00ED60B1" w:rsidRPr="009E2BB1">
      <w:pPr>
        <w:jc w:val="both"/>
        <w:spacing w:line="360" w:lineRule="auto"/>
        <w:rPr>
          <w:rFonts w:ascii="Arial" w:cs="Arial" w:hAnsi="Arial"/>
        </w:rPr>
      </w:pPr>
      <w:r w:rsidRPr="009E2BB1">
        <w:rPr>
          <w:rFonts w:ascii="Arial" w:cs="Arial" w:hAnsi="Arial"/>
        </w:rPr>
        <w:t xml:space="preserve">Budge, S.L., Adelson, J.L. and Howard, K.A.S. (2013) ‘Anxiety and depression in transgender individuals: The roles of transition status, loss, social support, and coping’, </w:t>
      </w:r>
      <w:r w:rsidRPr="009E2BB1">
        <w:rPr>
          <w:iCs/>
          <w:i/>
          <w:rFonts w:ascii="Arial" w:cs="Arial" w:hAnsi="Arial"/>
        </w:rPr>
        <w:t>Journal of Consulting and Clinical Psychology</w:t>
      </w:r>
      <w:r w:rsidRPr="009E2BB1">
        <w:rPr>
          <w:rFonts w:ascii="Arial" w:cs="Arial" w:hAnsi="Arial"/>
        </w:rPr>
        <w:t>, 81(3), pp. 545–557.</w:t>
      </w:r>
    </w:p>
    <w:p w:rsidR="009E2BB1" w:rsidRDefault="009E2BB1" w14:paraId="06DA27BD" w14:textId="77777777" w:rsidP="00ED60B1" w:rsidRPr="009E2BB1">
      <w:pPr>
        <w:jc w:val="both"/>
        <w:spacing w:line="360" w:lineRule="auto"/>
        <w:rPr>
          <w:rFonts w:ascii="Arial" w:cs="Arial" w:hAnsi="Arial"/>
        </w:rPr>
      </w:pPr>
      <w:r w:rsidRPr="009E2BB1">
        <w:rPr>
          <w:rFonts w:ascii="Arial" w:cs="Arial" w:hAnsi="Arial"/>
        </w:rPr>
        <w:t xml:space="preserve">Bustos, V.P., Bustos, S.S., Mascaro, A., Del Corral, G., Forte, A.J., Ciudad, P., Kim, E.A., </w:t>
      </w:r>
      <w:proofErr w:type="spellStart"/>
      <w:r w:rsidRPr="009E2BB1">
        <w:rPr>
          <w:rFonts w:ascii="Arial" w:cs="Arial" w:hAnsi="Arial"/>
        </w:rPr>
        <w:t>Langstein</w:t>
      </w:r>
      <w:proofErr w:type="spellEnd"/>
      <w:r w:rsidRPr="009E2BB1">
        <w:rPr>
          <w:rFonts w:ascii="Arial" w:cs="Arial" w:hAnsi="Arial"/>
        </w:rPr>
        <w:t xml:space="preserve">, H.N. and Manrique, O.J. (2021) ‘Regret after gender-affirmation surgery: A systematic review and meta-analysis of prevalence’, </w:t>
      </w:r>
      <w:r w:rsidRPr="009E2BB1">
        <w:rPr>
          <w:iCs/>
          <w:i/>
          <w:rFonts w:ascii="Arial" w:cs="Arial" w:hAnsi="Arial"/>
        </w:rPr>
        <w:t>Plastic and Reconstructive Surgery – Global Open</w:t>
      </w:r>
      <w:r w:rsidRPr="009E2BB1">
        <w:rPr>
          <w:rFonts w:ascii="Arial" w:cs="Arial" w:hAnsi="Arial"/>
        </w:rPr>
        <w:t>, 9(3), pp. 1–9.</w:t>
      </w:r>
    </w:p>
    <w:p w:rsidR="009E2BB1" w:rsidRDefault="009E2BB1" w14:paraId="7A333E3F" w14:textId="77777777" w:rsidP="00ED60B1" w:rsidRPr="009E2BB1">
      <w:pPr>
        <w:jc w:val="both"/>
        <w:spacing w:line="360" w:lineRule="auto"/>
        <w:rPr>
          <w:rFonts w:ascii="Arial" w:cs="Arial" w:hAnsi="Arial"/>
        </w:rPr>
      </w:pPr>
      <w:r w:rsidRPr="009E2BB1">
        <w:rPr>
          <w:rFonts w:ascii="Arial" w:cs="Arial" w:hAnsi="Arial"/>
        </w:rPr>
        <w:t xml:space="preserve">Coleman, E., Radix, A.E., Bouman, W.P., Brown, G.R., de Vries, A.L.C., Deutsch, M.B., Ettner, R., Fraser, L., Goodman, M., Green, J., Hancock, A.B., Johnson, T.W., </w:t>
      </w:r>
      <w:proofErr w:type="spellStart"/>
      <w:r w:rsidRPr="009E2BB1">
        <w:rPr>
          <w:rFonts w:ascii="Arial" w:cs="Arial" w:hAnsi="Arial"/>
        </w:rPr>
        <w:t>Karasic</w:t>
      </w:r>
      <w:proofErr w:type="spellEnd"/>
      <w:r w:rsidRPr="009E2BB1">
        <w:rPr>
          <w:rFonts w:ascii="Arial" w:cs="Arial" w:hAnsi="Arial"/>
        </w:rPr>
        <w:t>, D.H., Knudson, G., Leibowitz, S.F., Meyer-</w:t>
      </w:r>
      <w:proofErr w:type="spellStart"/>
      <w:r w:rsidRPr="009E2BB1">
        <w:rPr>
          <w:rFonts w:ascii="Arial" w:cs="Arial" w:hAnsi="Arial"/>
        </w:rPr>
        <w:t>Bahlburg</w:t>
      </w:r>
      <w:proofErr w:type="spellEnd"/>
      <w:r w:rsidRPr="009E2BB1">
        <w:rPr>
          <w:rFonts w:ascii="Arial" w:cs="Arial" w:hAnsi="Arial"/>
        </w:rPr>
        <w:t xml:space="preserve">, H.F.L., </w:t>
      </w:r>
      <w:proofErr w:type="spellStart"/>
      <w:r w:rsidRPr="009E2BB1">
        <w:rPr>
          <w:rFonts w:ascii="Arial" w:cs="Arial" w:hAnsi="Arial"/>
        </w:rPr>
        <w:t>Monstrey</w:t>
      </w:r>
      <w:proofErr w:type="spellEnd"/>
      <w:r w:rsidRPr="009E2BB1">
        <w:rPr>
          <w:rFonts w:ascii="Arial" w:cs="Arial" w:hAnsi="Arial"/>
        </w:rPr>
        <w:t xml:space="preserve">, S., </w:t>
      </w:r>
      <w:proofErr w:type="spellStart"/>
      <w:r w:rsidRPr="009E2BB1">
        <w:rPr>
          <w:rFonts w:ascii="Arial" w:cs="Arial" w:hAnsi="Arial"/>
        </w:rPr>
        <w:t>Motmans</w:t>
      </w:r>
      <w:proofErr w:type="spellEnd"/>
      <w:r w:rsidRPr="009E2BB1">
        <w:rPr>
          <w:rFonts w:ascii="Arial" w:cs="Arial" w:hAnsi="Arial"/>
        </w:rPr>
        <w:t xml:space="preserve">, J., </w:t>
      </w:r>
      <w:proofErr w:type="spellStart"/>
      <w:r w:rsidRPr="009E2BB1">
        <w:rPr>
          <w:rFonts w:ascii="Arial" w:cs="Arial" w:hAnsi="Arial"/>
        </w:rPr>
        <w:t>Nahata</w:t>
      </w:r>
      <w:proofErr w:type="spellEnd"/>
      <w:r w:rsidRPr="009E2BB1">
        <w:rPr>
          <w:rFonts w:ascii="Arial" w:cs="Arial" w:hAnsi="Arial"/>
        </w:rPr>
        <w:t xml:space="preserve">, L., Nolan, B.J., Reisner, S.L., Safer, J.D., </w:t>
      </w:r>
      <w:proofErr w:type="spellStart"/>
      <w:r w:rsidRPr="009E2BB1">
        <w:rPr>
          <w:rFonts w:ascii="Arial" w:cs="Arial" w:hAnsi="Arial"/>
        </w:rPr>
        <w:t>Tangpricha</w:t>
      </w:r>
      <w:proofErr w:type="spellEnd"/>
      <w:r w:rsidRPr="009E2BB1">
        <w:rPr>
          <w:rFonts w:ascii="Arial" w:cs="Arial" w:hAnsi="Arial"/>
        </w:rPr>
        <w:t xml:space="preserve">, V., Tishelman, A., Van </w:t>
      </w:r>
      <w:proofErr w:type="spellStart"/>
      <w:r w:rsidRPr="009E2BB1">
        <w:rPr>
          <w:rFonts w:ascii="Arial" w:cs="Arial" w:hAnsi="Arial"/>
        </w:rPr>
        <w:t>Trotsenburg</w:t>
      </w:r>
      <w:proofErr w:type="spellEnd"/>
      <w:r w:rsidRPr="009E2BB1">
        <w:rPr>
          <w:rFonts w:ascii="Arial" w:cs="Arial" w:hAnsi="Arial"/>
        </w:rPr>
        <w:t xml:space="preserve">, M., Winter, S., Ducheny, K., Adams, N., Adrian, T., Allen, L.R., </w:t>
      </w:r>
      <w:proofErr w:type="spellStart"/>
      <w:r w:rsidRPr="009E2BB1">
        <w:rPr>
          <w:rFonts w:ascii="Arial" w:cs="Arial" w:hAnsi="Arial"/>
        </w:rPr>
        <w:t>Bluebond</w:t>
      </w:r>
      <w:proofErr w:type="spellEnd"/>
      <w:r w:rsidRPr="009E2BB1">
        <w:rPr>
          <w:rFonts w:ascii="Arial" w:cs="Arial" w:hAnsi="Arial"/>
        </w:rPr>
        <w:t xml:space="preserve">-Langner, R., Bowman, C., Fraser, L., Harris, J., Hunt, C., Klink, D.T., Lawrence, A., </w:t>
      </w:r>
      <w:proofErr w:type="spellStart"/>
      <w:r w:rsidRPr="009E2BB1">
        <w:rPr>
          <w:rFonts w:ascii="Arial" w:cs="Arial" w:hAnsi="Arial"/>
        </w:rPr>
        <w:t>Lothstein</w:t>
      </w:r>
      <w:proofErr w:type="spellEnd"/>
      <w:r w:rsidRPr="009E2BB1">
        <w:rPr>
          <w:rFonts w:ascii="Arial" w:cs="Arial" w:hAnsi="Arial"/>
        </w:rPr>
        <w:t xml:space="preserve">, L., Montano, G.T., Morgan, M., </w:t>
      </w:r>
      <w:proofErr w:type="spellStart"/>
      <w:r w:rsidRPr="009E2BB1">
        <w:rPr>
          <w:rFonts w:ascii="Arial" w:cs="Arial" w:hAnsi="Arial"/>
        </w:rPr>
        <w:t>Motmans</w:t>
      </w:r>
      <w:proofErr w:type="spellEnd"/>
      <w:r w:rsidRPr="009E2BB1">
        <w:rPr>
          <w:rFonts w:ascii="Arial" w:cs="Arial" w:hAnsi="Arial"/>
        </w:rPr>
        <w:t xml:space="preserve">, J., </w:t>
      </w:r>
      <w:proofErr w:type="spellStart"/>
      <w:r w:rsidRPr="009E2BB1">
        <w:rPr>
          <w:rFonts w:ascii="Arial" w:cs="Arial" w:hAnsi="Arial"/>
        </w:rPr>
        <w:t>Nahata</w:t>
      </w:r>
      <w:proofErr w:type="spellEnd"/>
      <w:r w:rsidRPr="009E2BB1">
        <w:rPr>
          <w:rFonts w:ascii="Arial" w:cs="Arial" w:hAnsi="Arial"/>
        </w:rPr>
        <w:t xml:space="preserve">, L., Nicolosi, A., </w:t>
      </w:r>
      <w:proofErr w:type="spellStart"/>
      <w:r w:rsidRPr="009E2BB1">
        <w:rPr>
          <w:rFonts w:ascii="Arial" w:cs="Arial" w:hAnsi="Arial"/>
        </w:rPr>
        <w:t>Pfaefflin</w:t>
      </w:r>
      <w:proofErr w:type="spellEnd"/>
      <w:r w:rsidRPr="009E2BB1">
        <w:rPr>
          <w:rFonts w:ascii="Arial" w:cs="Arial" w:hAnsi="Arial"/>
        </w:rPr>
        <w:t xml:space="preserve">, F., Schechter, L., Seal, L., Wesp, L. and Zucker, K. (2022) ‘Standards of care for the health of transgender and gender diverse people, version 8’, </w:t>
      </w:r>
      <w:r w:rsidRPr="009E2BB1">
        <w:rPr>
          <w:iCs/>
          <w:i/>
          <w:rFonts w:ascii="Arial" w:cs="Arial" w:hAnsi="Arial"/>
        </w:rPr>
        <w:t>International Journal of Transgender Health</w:t>
      </w:r>
      <w:r w:rsidRPr="009E2BB1">
        <w:rPr>
          <w:rFonts w:ascii="Arial" w:cs="Arial" w:hAnsi="Arial"/>
        </w:rPr>
        <w:t>, 23(S1), pp. S1–S259.</w:t>
      </w:r>
    </w:p>
    <w:p w:rsidR="009E2BB1" w:rsidRDefault="009E2BB1" w14:paraId="1AE7E6C2" w14:textId="77777777" w:rsidP="00ED60B1" w:rsidRPr="009E2BB1">
      <w:pPr>
        <w:jc w:val="both"/>
        <w:spacing w:line="360" w:lineRule="auto"/>
        <w:rPr>
          <w:rFonts w:ascii="Arial" w:cs="Arial" w:hAnsi="Arial"/>
        </w:rPr>
      </w:pPr>
      <w:proofErr w:type="spellStart"/>
      <w:r w:rsidRPr="009E2BB1">
        <w:rPr>
          <w:rFonts w:ascii="Arial" w:cs="Arial" w:hAnsi="Arial"/>
        </w:rPr>
        <w:t>Dhejne</w:t>
        <w:lastRenderedPageBreak/>
      </w:r>
      <w:proofErr w:type="spellEnd"/>
      <w:r w:rsidRPr="009E2BB1">
        <w:rPr>
          <w:rFonts w:ascii="Arial" w:cs="Arial" w:hAnsi="Arial"/>
        </w:rPr>
        <w:t xml:space="preserve">, C., Van Vlerken, R., </w:t>
      </w:r>
      <w:proofErr w:type="spellStart"/>
      <w:r w:rsidRPr="009E2BB1">
        <w:rPr>
          <w:rFonts w:ascii="Arial" w:cs="Arial" w:hAnsi="Arial"/>
        </w:rPr>
        <w:t>Heylens</w:t>
      </w:r>
      <w:proofErr w:type="spellEnd"/>
      <w:r w:rsidRPr="009E2BB1">
        <w:rPr>
          <w:rFonts w:ascii="Arial" w:cs="Arial" w:hAnsi="Arial"/>
        </w:rPr>
        <w:t xml:space="preserve">, G. and </w:t>
      </w:r>
      <w:proofErr w:type="spellStart"/>
      <w:r w:rsidRPr="009E2BB1">
        <w:rPr>
          <w:rFonts w:ascii="Arial" w:cs="Arial" w:hAnsi="Arial"/>
        </w:rPr>
        <w:t>Arcelus</w:t>
      </w:r>
      <w:proofErr w:type="spellEnd"/>
      <w:r w:rsidRPr="009E2BB1">
        <w:rPr>
          <w:rFonts w:ascii="Arial" w:cs="Arial" w:hAnsi="Arial"/>
        </w:rPr>
        <w:t xml:space="preserve">, J. (2016) ‘Mental health and gender dysphoria: A review of the literature’, </w:t>
      </w:r>
      <w:r w:rsidRPr="009E2BB1">
        <w:rPr>
          <w:iCs/>
          <w:i/>
          <w:rFonts w:ascii="Arial" w:cs="Arial" w:hAnsi="Arial"/>
        </w:rPr>
        <w:t>International Review of Psychiatry</w:t>
      </w:r>
      <w:r w:rsidRPr="009E2BB1">
        <w:rPr>
          <w:rFonts w:ascii="Arial" w:cs="Arial" w:hAnsi="Arial"/>
        </w:rPr>
        <w:t>, 28(1), pp. 44–57.</w:t>
      </w:r>
    </w:p>
    <w:p w:rsidR="009E2BB1" w:rsidRDefault="009E2BB1" w14:paraId="4D8C5B4B" w14:textId="77777777" w:rsidP="00ED60B1" w:rsidRPr="009E2BB1">
      <w:pPr>
        <w:jc w:val="both"/>
        <w:spacing w:line="360" w:lineRule="auto"/>
        <w:rPr>
          <w:rFonts w:ascii="Arial" w:cs="Arial" w:hAnsi="Arial"/>
        </w:rPr>
      </w:pPr>
      <w:r w:rsidRPr="009E2BB1">
        <w:rPr>
          <w:rFonts w:ascii="Arial" w:cs="Arial" w:hAnsi="Arial"/>
        </w:rPr>
        <w:t xml:space="preserve">Drescher, J. (2010) ‘Queer diagnoses: Parallels and contrasts in the history of homosexuality, gender variance, and the DSM’, </w:t>
      </w:r>
      <w:r w:rsidRPr="009E2BB1">
        <w:rPr>
          <w:iCs/>
          <w:i/>
          <w:rFonts w:ascii="Arial" w:cs="Arial" w:hAnsi="Arial"/>
        </w:rPr>
        <w:t>Archives of Sexual Behavior</w:t>
      </w:r>
      <w:r w:rsidRPr="009E2BB1">
        <w:rPr>
          <w:rFonts w:ascii="Arial" w:cs="Arial" w:hAnsi="Arial"/>
        </w:rPr>
        <w:t>, 39(2), pp. 427–460.</w:t>
      </w:r>
    </w:p>
    <w:p w:rsidR="009E2BB1" w:rsidRDefault="009E2BB1" w14:paraId="1C973CA4" w14:textId="77777777" w:rsidP="00ED60B1" w:rsidRPr="009E2BB1">
      <w:pPr>
        <w:jc w:val="both"/>
        <w:spacing w:line="360" w:lineRule="auto"/>
        <w:rPr>
          <w:rFonts w:ascii="Arial" w:cs="Arial" w:hAnsi="Arial"/>
        </w:rPr>
      </w:pPr>
      <w:r w:rsidRPr="009E2BB1">
        <w:rPr>
          <w:rFonts w:ascii="Arial" w:cs="Arial" w:hAnsi="Arial"/>
        </w:rPr>
        <w:t xml:space="preserve">Drescher, J. (2014) ‘Controversies in gender diagnoses’, </w:t>
      </w:r>
      <w:r w:rsidRPr="009E2BB1">
        <w:rPr>
          <w:iCs/>
          <w:i/>
          <w:rFonts w:ascii="Arial" w:cs="Arial" w:hAnsi="Arial"/>
        </w:rPr>
        <w:t>LGBT Health</w:t>
      </w:r>
      <w:r w:rsidRPr="009E2BB1">
        <w:rPr>
          <w:rFonts w:ascii="Arial" w:cs="Arial" w:hAnsi="Arial"/>
        </w:rPr>
        <w:t>, 1(1), pp. 9–14.</w:t>
      </w:r>
    </w:p>
    <w:p w:rsidR="009E2BB1" w:rsidRDefault="009E2BB1" w14:paraId="70FE24BC" w14:textId="77777777" w:rsidP="00ED60B1" w:rsidRPr="009E2BB1">
      <w:pPr>
        <w:jc w:val="both"/>
        <w:spacing w:line="360" w:lineRule="auto"/>
        <w:rPr>
          <w:rFonts w:ascii="Arial" w:cs="Arial" w:hAnsi="Arial"/>
        </w:rPr>
      </w:pPr>
      <w:r w:rsidRPr="009E2BB1">
        <w:rPr>
          <w:rFonts w:ascii="Arial" w:cs="Arial" w:hAnsi="Arial"/>
        </w:rPr>
        <w:t>Drescher, J., Cohen-</w:t>
      </w:r>
      <w:proofErr w:type="spellStart"/>
      <w:r w:rsidRPr="009E2BB1">
        <w:rPr>
          <w:rFonts w:ascii="Arial" w:cs="Arial" w:hAnsi="Arial"/>
        </w:rPr>
        <w:t>Kettenis</w:t>
      </w:r>
      <w:proofErr w:type="spellEnd"/>
      <w:r w:rsidRPr="009E2BB1">
        <w:rPr>
          <w:rFonts w:ascii="Arial" w:cs="Arial" w:hAnsi="Arial"/>
        </w:rPr>
        <w:t xml:space="preserve">, P. and Winter, S. (2016) ‘Minding the body: Situating gender identity diagnoses in the ICD-11’, </w:t>
      </w:r>
      <w:r w:rsidRPr="009E2BB1">
        <w:rPr>
          <w:iCs/>
          <w:i/>
          <w:rFonts w:ascii="Arial" w:cs="Arial" w:hAnsi="Arial"/>
        </w:rPr>
        <w:t>International Review of Psychiatry</w:t>
      </w:r>
      <w:r w:rsidRPr="009E2BB1">
        <w:rPr>
          <w:rFonts w:ascii="Arial" w:cs="Arial" w:hAnsi="Arial"/>
        </w:rPr>
        <w:t>, 28(1), pp. 1–7.</w:t>
      </w:r>
    </w:p>
    <w:p w:rsidR="009E2BB1" w:rsidRDefault="009E2BB1" w14:paraId="60D4333C" w14:textId="77777777" w:rsidP="00ED60B1" w:rsidRPr="009E2BB1">
      <w:pPr>
        <w:jc w:val="both"/>
        <w:spacing w:line="360" w:lineRule="auto"/>
        <w:rPr>
          <w:rFonts w:ascii="Arial" w:cs="Arial" w:hAnsi="Arial"/>
        </w:rPr>
      </w:pPr>
      <w:r w:rsidRPr="009E2BB1">
        <w:rPr>
          <w:rFonts w:ascii="Arial" w:cs="Arial" w:hAnsi="Arial"/>
        </w:rPr>
        <w:t>Hembree, W.C., Cohen-</w:t>
      </w:r>
      <w:proofErr w:type="spellStart"/>
      <w:r w:rsidRPr="009E2BB1">
        <w:rPr>
          <w:rFonts w:ascii="Arial" w:cs="Arial" w:hAnsi="Arial"/>
        </w:rPr>
        <w:t>Kettenis</w:t>
      </w:r>
      <w:proofErr w:type="spellEnd"/>
      <w:r w:rsidRPr="009E2BB1">
        <w:rPr>
          <w:rFonts w:ascii="Arial" w:cs="Arial" w:hAnsi="Arial"/>
        </w:rPr>
        <w:t xml:space="preserve">, P.T., </w:t>
      </w:r>
      <w:proofErr w:type="spellStart"/>
      <w:r w:rsidRPr="009E2BB1">
        <w:rPr>
          <w:rFonts w:ascii="Arial" w:cs="Arial" w:hAnsi="Arial"/>
        </w:rPr>
        <w:t>Gooren</w:t>
      </w:r>
      <w:proofErr w:type="spellEnd"/>
      <w:r w:rsidRPr="009E2BB1">
        <w:rPr>
          <w:rFonts w:ascii="Arial" w:cs="Arial" w:hAnsi="Arial"/>
        </w:rPr>
        <w:t xml:space="preserve">, L., </w:t>
      </w:r>
      <w:proofErr w:type="spellStart"/>
      <w:r w:rsidRPr="009E2BB1">
        <w:rPr>
          <w:rFonts w:ascii="Arial" w:cs="Arial" w:hAnsi="Arial"/>
        </w:rPr>
        <w:t>Hannema</w:t>
      </w:r>
      <w:proofErr w:type="spellEnd"/>
      <w:r w:rsidRPr="009E2BB1">
        <w:rPr>
          <w:rFonts w:ascii="Arial" w:cs="Arial" w:hAnsi="Arial"/>
        </w:rPr>
        <w:t xml:space="preserve">, S.E., Meyer, W.J., Murad, M.H., Rosenthal, S.M., Safer, J.D., </w:t>
      </w:r>
      <w:proofErr w:type="spellStart"/>
      <w:r w:rsidRPr="009E2BB1">
        <w:rPr>
          <w:rFonts w:ascii="Arial" w:cs="Arial" w:hAnsi="Arial"/>
        </w:rPr>
        <w:t>Tangpricha</w:t>
      </w:r>
      <w:proofErr w:type="spellEnd"/>
      <w:r w:rsidRPr="009E2BB1">
        <w:rPr>
          <w:rFonts w:ascii="Arial" w:cs="Arial" w:hAnsi="Arial"/>
        </w:rPr>
        <w:t xml:space="preserve">, V. and </w:t>
      </w:r>
      <w:proofErr w:type="spellStart"/>
      <w:r w:rsidRPr="009E2BB1">
        <w:rPr>
          <w:rFonts w:ascii="Arial" w:cs="Arial" w:hAnsi="Arial"/>
        </w:rPr>
        <w:t>T’Sjoen</w:t>
      </w:r>
      <w:proofErr w:type="spellEnd"/>
      <w:r w:rsidRPr="009E2BB1">
        <w:rPr>
          <w:rFonts w:ascii="Arial" w:cs="Arial" w:hAnsi="Arial"/>
        </w:rPr>
        <w:t xml:space="preserve">, G.G. (2017) ‘Endocrine treatment of gender-dysphoric/gender-incongruent persons: An Endocrine Society clinical practice guideline’, </w:t>
      </w:r>
      <w:r w:rsidRPr="009E2BB1">
        <w:rPr>
          <w:iCs/>
          <w:i/>
          <w:rFonts w:ascii="Arial" w:cs="Arial" w:hAnsi="Arial"/>
        </w:rPr>
        <w:t>Journal of Clinical Endocrinology &amp; Metabolism</w:t>
      </w:r>
      <w:r w:rsidRPr="009E2BB1">
        <w:rPr>
          <w:rFonts w:ascii="Arial" w:cs="Arial" w:hAnsi="Arial"/>
        </w:rPr>
        <w:t>, 102(11), pp. 3869–3903.</w:t>
      </w:r>
    </w:p>
    <w:p w:rsidR="009E2BB1" w:rsidRDefault="009E2BB1" w14:paraId="47BE7736" w14:textId="77777777" w:rsidP="00ED60B1" w:rsidRPr="009E2BB1">
      <w:pPr>
        <w:jc w:val="both"/>
        <w:spacing w:line="360" w:lineRule="auto"/>
        <w:rPr>
          <w:rFonts w:ascii="Arial" w:cs="Arial" w:hAnsi="Arial"/>
        </w:rPr>
      </w:pPr>
      <w:r w:rsidRPr="009E2BB1">
        <w:rPr>
          <w:rFonts w:ascii="Arial" w:cs="Arial" w:hAnsi="Arial"/>
        </w:rPr>
        <w:t xml:space="preserve">James, S.E., Herman, J.L., Rankin, S., Keisling, M., Mottet, L. and Anafi, M. (2016) </w:t>
      </w:r>
      <w:r w:rsidRPr="009E2BB1">
        <w:rPr>
          <w:iCs/>
          <w:i/>
          <w:rFonts w:ascii="Arial" w:cs="Arial" w:hAnsi="Arial"/>
        </w:rPr>
        <w:t>The report of the 2015 U.S. transgender survey</w:t>
      </w:r>
      <w:r w:rsidRPr="009E2BB1">
        <w:rPr>
          <w:rFonts w:ascii="Arial" w:cs="Arial" w:hAnsi="Arial"/>
        </w:rPr>
        <w:t>. Washington, DC: National Center for Transgender Equality.</w:t>
      </w:r>
    </w:p>
    <w:p w:rsidR="009E2BB1" w:rsidRDefault="009E2BB1" w14:paraId="70F03A77" w14:textId="77777777" w:rsidP="00ED60B1" w:rsidRPr="009E2BB1">
      <w:pPr>
        <w:jc w:val="both"/>
        <w:spacing w:line="360" w:lineRule="auto"/>
        <w:rPr>
          <w:rFonts w:ascii="Arial" w:cs="Arial" w:hAnsi="Arial"/>
        </w:rPr>
      </w:pPr>
      <w:r w:rsidRPr="009E2BB1">
        <w:rPr>
          <w:rFonts w:ascii="Arial" w:cs="Arial" w:hAnsi="Arial"/>
        </w:rPr>
        <w:t xml:space="preserve">Lev, A.I. (2004) </w:t>
      </w:r>
      <w:r w:rsidRPr="009E2BB1">
        <w:rPr>
          <w:iCs/>
          <w:i/>
          <w:rFonts w:ascii="Arial" w:cs="Arial" w:hAnsi="Arial"/>
        </w:rPr>
        <w:t>Transgender emergence: Therapeutic guidelines for working with gender-variant people and their families</w:t>
      </w:r>
      <w:r w:rsidRPr="009E2BB1">
        <w:rPr>
          <w:rFonts w:ascii="Arial" w:cs="Arial" w:hAnsi="Arial"/>
        </w:rPr>
        <w:t>. New York: Haworth Clinical Practice Press.</w:t>
      </w:r>
    </w:p>
    <w:p w:rsidR="009E2BB1" w:rsidRDefault="009E2BB1" w14:paraId="4AFFDDFE" w14:textId="77777777" w:rsidP="00ED60B1" w:rsidRPr="009E2BB1">
      <w:pPr>
        <w:jc w:val="both"/>
        <w:spacing w:line="360" w:lineRule="auto"/>
        <w:rPr>
          <w:rFonts w:ascii="Arial" w:cs="Arial" w:hAnsi="Arial"/>
        </w:rPr>
      </w:pPr>
      <w:r w:rsidRPr="009E2BB1">
        <w:rPr>
          <w:rFonts w:ascii="Arial" w:cs="Arial" w:hAnsi="Arial"/>
        </w:rPr>
        <w:t xml:space="preserve">Meyer, I.H. (2003) ‘Prejudice, social stress, and mental health in lesbian, gay, and bisexual populations: Conceptual issues and research evidence’, </w:t>
      </w:r>
      <w:r w:rsidRPr="009E2BB1">
        <w:rPr>
          <w:iCs/>
          <w:i/>
          <w:rFonts w:ascii="Arial" w:cs="Arial" w:hAnsi="Arial"/>
        </w:rPr>
        <w:t>Psychological Bulletin</w:t>
      </w:r>
      <w:r w:rsidRPr="009E2BB1">
        <w:rPr>
          <w:rFonts w:ascii="Arial" w:cs="Arial" w:hAnsi="Arial"/>
        </w:rPr>
        <w:t>, 129(5), pp. 674–697.</w:t>
      </w:r>
    </w:p>
    <w:p w:rsidR="009E2BB1" w:rsidRDefault="009E2BB1" w14:paraId="54F42F5D" w14:textId="77777777" w:rsidP="00ED60B1" w:rsidRPr="009E2BB1">
      <w:pPr>
        <w:jc w:val="both"/>
        <w:spacing w:line="360" w:lineRule="auto"/>
        <w:rPr>
          <w:rFonts w:ascii="Arial" w:cs="Arial" w:hAnsi="Arial"/>
        </w:rPr>
      </w:pPr>
      <w:r w:rsidRPr="009E2BB1">
        <w:rPr>
          <w:rFonts w:ascii="Arial" w:cs="Arial" w:hAnsi="Arial"/>
        </w:rPr>
        <w:t xml:space="preserve">Murad, M.H., Elamin, M.B., Garcia, M.Z., Mullan, R.J., Murad, A., Erwin, P.J. and Montori, V.M. (2010) ‘Hormonal therapy and sex reassignment: A systematic review and meta-analysis of quality of life and psychosocial outcomes’, </w:t>
      </w:r>
      <w:r w:rsidRPr="009E2BB1">
        <w:rPr>
          <w:iCs/>
          <w:i/>
          <w:rFonts w:ascii="Arial" w:cs="Arial" w:hAnsi="Arial"/>
        </w:rPr>
        <w:t>Clinical Endocrinology</w:t>
      </w:r>
      <w:r w:rsidRPr="009E2BB1">
        <w:rPr>
          <w:rFonts w:ascii="Arial" w:cs="Arial" w:hAnsi="Arial"/>
        </w:rPr>
        <w:t>, 72(2), pp. 214–231.</w:t>
      </w:r>
    </w:p>
    <w:p w:rsidR="009E2BB1" w:rsidRDefault="009E2BB1" w14:paraId="36C9F7AD" w14:textId="77777777" w:rsidP="00ED60B1" w:rsidRPr="009E2BB1">
      <w:pPr>
        <w:jc w:val="both"/>
        <w:spacing w:line="360" w:lineRule="auto"/>
        <w:rPr>
          <w:rFonts w:ascii="Arial" w:cs="Arial" w:hAnsi="Arial"/>
        </w:rPr>
      </w:pPr>
      <w:r w:rsidRPr="009E2BB1">
        <w:rPr>
          <w:rFonts w:ascii="Arial" w:cs="Arial" w:hAnsi="Arial"/>
        </w:rPr>
        <w:t xml:space="preserve">Olson, K.R., Durwood, L., </w:t>
        <w:lastRenderedPageBreak/>
      </w:r>
      <w:proofErr w:type="spellStart"/>
      <w:r w:rsidRPr="009E2BB1">
        <w:rPr>
          <w:rFonts w:ascii="Arial" w:cs="Arial" w:hAnsi="Arial"/>
        </w:rPr>
        <w:t>DeMeules</w:t>
      </w:r>
      <w:proofErr w:type="spellEnd"/>
      <w:r w:rsidRPr="009E2BB1">
        <w:rPr>
          <w:rFonts w:ascii="Arial" w:cs="Arial" w:hAnsi="Arial"/>
        </w:rPr>
        <w:t xml:space="preserve">, M. and McLaughlin, K.A. (2016) ‘Mental health of transgender children who are supported in their identities’, </w:t>
      </w:r>
      <w:r w:rsidRPr="009E2BB1">
        <w:rPr>
          <w:iCs/>
          <w:i/>
          <w:rFonts w:ascii="Arial" w:cs="Arial" w:hAnsi="Arial"/>
        </w:rPr>
        <w:t>Pediatrics</w:t>
      </w:r>
      <w:r w:rsidRPr="009E2BB1">
        <w:rPr>
          <w:rFonts w:ascii="Arial" w:cs="Arial" w:hAnsi="Arial"/>
        </w:rPr>
        <w:t>, 137(3), pp. 1–8.</w:t>
      </w:r>
    </w:p>
    <w:p w:rsidR="009E2BB1" w:rsidRDefault="009E2BB1" w14:paraId="7D2F691B" w14:textId="77777777" w:rsidP="00ED60B1" w:rsidRPr="009E2BB1">
      <w:pPr>
        <w:jc w:val="both"/>
        <w:spacing w:line="360" w:lineRule="auto"/>
        <w:rPr>
          <w:rFonts w:ascii="Arial" w:cs="Arial" w:hAnsi="Arial"/>
        </w:rPr>
      </w:pPr>
      <w:r w:rsidRPr="009E2BB1">
        <w:rPr>
          <w:rFonts w:ascii="Arial" w:cs="Arial" w:hAnsi="Arial"/>
        </w:rPr>
        <w:t xml:space="preserve">Pearce, R., </w:t>
      </w:r>
      <w:proofErr w:type="spellStart"/>
      <w:r w:rsidRPr="009E2BB1">
        <w:rPr>
          <w:rFonts w:ascii="Arial" w:cs="Arial" w:hAnsi="Arial"/>
        </w:rPr>
        <w:t>Erikainen</w:t>
      </w:r>
      <w:proofErr w:type="spellEnd"/>
      <w:r w:rsidRPr="009E2BB1">
        <w:rPr>
          <w:rFonts w:ascii="Arial" w:cs="Arial" w:hAnsi="Arial"/>
        </w:rPr>
        <w:t xml:space="preserve">, S. and Vincent, B. (2020) ‘TERF wars: An introduction’, </w:t>
      </w:r>
      <w:r w:rsidRPr="009E2BB1">
        <w:rPr>
          <w:iCs/>
          <w:i/>
          <w:rFonts w:ascii="Arial" w:cs="Arial" w:hAnsi="Arial"/>
        </w:rPr>
        <w:t>The Sociological Review</w:t>
      </w:r>
      <w:r w:rsidRPr="009E2BB1">
        <w:rPr>
          <w:rFonts w:ascii="Arial" w:cs="Arial" w:hAnsi="Arial"/>
        </w:rPr>
        <w:t>, 68(4), pp. 677–698.</w:t>
      </w:r>
    </w:p>
    <w:p w:rsidR="009E2BB1" w:rsidRDefault="009E2BB1" w14:paraId="1EE03908" w14:textId="77777777" w:rsidP="00ED60B1" w:rsidRPr="009E2BB1">
      <w:pPr>
        <w:jc w:val="both"/>
        <w:spacing w:line="360" w:lineRule="auto"/>
        <w:rPr>
          <w:rFonts w:ascii="Arial" w:cs="Arial" w:hAnsi="Arial"/>
        </w:rPr>
      </w:pPr>
      <w:r w:rsidRPr="009E2BB1">
        <w:rPr>
          <w:rFonts w:ascii="Arial" w:cs="Arial" w:hAnsi="Arial"/>
        </w:rPr>
        <w:t xml:space="preserve">Pearce, R., Moon, I., Gupta, K. and Steinberg, D.L. (2020) ‘Trans healthcare must be inclusive and equitable’, </w:t>
      </w:r>
      <w:r w:rsidRPr="009E2BB1">
        <w:rPr>
          <w:iCs/>
          <w:i/>
          <w:rFonts w:ascii="Arial" w:cs="Arial" w:hAnsi="Arial"/>
        </w:rPr>
        <w:t>The Lancet</w:t>
      </w:r>
      <w:r w:rsidRPr="009E2BB1">
        <w:rPr>
          <w:rFonts w:ascii="Arial" w:cs="Arial" w:hAnsi="Arial"/>
        </w:rPr>
        <w:t>, 395(10240), pp. 292–293.</w:t>
      </w:r>
    </w:p>
    <w:p w:rsidR="009E2BB1" w:rsidRDefault="009E2BB1" w14:paraId="1AF8A414" w14:textId="77777777" w:rsidP="00ED60B1" w:rsidRPr="009E2BB1">
      <w:pPr>
        <w:jc w:val="both"/>
        <w:spacing w:line="360" w:lineRule="auto"/>
        <w:rPr>
          <w:rFonts w:ascii="Arial" w:cs="Arial" w:hAnsi="Arial"/>
        </w:rPr>
      </w:pPr>
      <w:r w:rsidRPr="009E2BB1">
        <w:rPr>
          <w:rFonts w:ascii="Arial" w:cs="Arial" w:hAnsi="Arial"/>
        </w:rPr>
        <w:t xml:space="preserve">Puckett, J.A., Matsuno, E. and Dyar, C. (2019) ‘Mental health and resilience in transgender individuals: What type of support makes a difference?’, </w:t>
      </w:r>
      <w:r w:rsidRPr="009E2BB1">
        <w:rPr>
          <w:iCs/>
          <w:i/>
          <w:rFonts w:ascii="Arial" w:cs="Arial" w:hAnsi="Arial"/>
        </w:rPr>
        <w:t>Journal of Family Psychology</w:t>
      </w:r>
      <w:r w:rsidRPr="009E2BB1">
        <w:rPr>
          <w:rFonts w:ascii="Arial" w:cs="Arial" w:hAnsi="Arial"/>
        </w:rPr>
        <w:t>, 33(8), pp. 954–964.</w:t>
      </w:r>
    </w:p>
    <w:p w:rsidR="009E2BB1" w:rsidRDefault="009E2BB1" w14:paraId="4FBB4145" w14:textId="77777777" w:rsidP="00ED60B1" w:rsidRPr="009E2BB1">
      <w:pPr>
        <w:jc w:val="both"/>
        <w:spacing w:line="360" w:lineRule="auto"/>
        <w:rPr>
          <w:rFonts w:ascii="Arial" w:cs="Arial" w:hAnsi="Arial"/>
        </w:rPr>
      </w:pPr>
      <w:r w:rsidRPr="009E2BB1">
        <w:rPr>
          <w:rFonts w:ascii="Arial" w:cs="Arial" w:hAnsi="Arial"/>
        </w:rPr>
        <w:t xml:space="preserve">Reed, G., First, M., Kogan, C., Hyman, S., </w:t>
      </w:r>
      <w:proofErr w:type="spellStart"/>
      <w:r w:rsidRPr="009E2BB1">
        <w:rPr>
          <w:rFonts w:ascii="Arial" w:cs="Arial" w:hAnsi="Arial"/>
        </w:rPr>
        <w:t>Gureje</w:t>
      </w:r>
      <w:proofErr w:type="spellEnd"/>
      <w:r w:rsidRPr="009E2BB1">
        <w:rPr>
          <w:rFonts w:ascii="Arial" w:cs="Arial" w:hAnsi="Arial"/>
        </w:rPr>
        <w:t xml:space="preserve">, O., Gaebel, W., Maj, M., Stein, D., </w:t>
      </w:r>
      <w:proofErr w:type="spellStart"/>
      <w:r w:rsidRPr="009E2BB1">
        <w:rPr>
          <w:rFonts w:ascii="Arial" w:cs="Arial" w:hAnsi="Arial"/>
        </w:rPr>
        <w:t>Maercker</w:t>
      </w:r>
      <w:proofErr w:type="spellEnd"/>
      <w:r w:rsidRPr="009E2BB1">
        <w:rPr>
          <w:rFonts w:ascii="Arial" w:cs="Arial" w:hAnsi="Arial"/>
        </w:rPr>
        <w:t xml:space="preserve">, A., Tyrer, P., Claudino, A., </w:t>
      </w:r>
      <w:proofErr w:type="spellStart"/>
      <w:r w:rsidRPr="009E2BB1">
        <w:rPr>
          <w:rFonts w:ascii="Arial" w:cs="Arial" w:hAnsi="Arial"/>
        </w:rPr>
        <w:t>Garralda</w:t>
      </w:r>
      <w:proofErr w:type="spellEnd"/>
      <w:r w:rsidRPr="009E2BB1">
        <w:rPr>
          <w:rFonts w:ascii="Arial" w:cs="Arial" w:hAnsi="Arial"/>
        </w:rPr>
        <w:t>, M., Salvador-</w:t>
      </w:r>
      <w:proofErr w:type="spellStart"/>
      <w:r w:rsidRPr="009E2BB1">
        <w:rPr>
          <w:rFonts w:ascii="Arial" w:cs="Arial" w:hAnsi="Arial"/>
        </w:rPr>
        <w:t>Carulla</w:t>
      </w:r>
      <w:proofErr w:type="spellEnd"/>
      <w:r w:rsidRPr="009E2BB1">
        <w:rPr>
          <w:rFonts w:ascii="Arial" w:cs="Arial" w:hAnsi="Arial"/>
        </w:rPr>
        <w:t xml:space="preserve">, L. and Saxena, S. (2016) ‘Innovations and changes in the ICD-11 classification of mental, </w:t>
      </w:r>
      <w:proofErr w:type="spellStart"/>
      <w:r w:rsidRPr="009E2BB1">
        <w:rPr>
          <w:rFonts w:ascii="Arial" w:cs="Arial" w:hAnsi="Arial"/>
        </w:rPr>
        <w:t>behavioural</w:t>
      </w:r>
      <w:proofErr w:type="spellEnd"/>
      <w:r w:rsidRPr="009E2BB1">
        <w:rPr>
          <w:rFonts w:ascii="Arial" w:cs="Arial" w:hAnsi="Arial"/>
        </w:rPr>
        <w:t xml:space="preserve"> and neurodevelopmental disorders’, </w:t>
      </w:r>
      <w:r w:rsidRPr="009E2BB1">
        <w:rPr>
          <w:iCs/>
          <w:i/>
          <w:rFonts w:ascii="Arial" w:cs="Arial" w:hAnsi="Arial"/>
        </w:rPr>
        <w:t>World Psychiatry</w:t>
      </w:r>
      <w:r w:rsidRPr="009E2BB1">
        <w:rPr>
          <w:rFonts w:ascii="Arial" w:cs="Arial" w:hAnsi="Arial"/>
        </w:rPr>
        <w:t>, 15(3), pp. 299–300.</w:t>
      </w:r>
    </w:p>
    <w:p w:rsidR="009E2BB1" w:rsidRDefault="009E2BB1" w14:paraId="5DC3E222" w14:textId="77777777" w:rsidP="00ED60B1" w:rsidRPr="009E2BB1">
      <w:pPr>
        <w:jc w:val="both"/>
        <w:spacing w:line="360" w:lineRule="auto"/>
        <w:rPr>
          <w:rFonts w:ascii="Arial" w:cs="Arial" w:hAnsi="Arial"/>
        </w:rPr>
      </w:pPr>
      <w:r w:rsidRPr="009E2BB1">
        <w:rPr>
          <w:rFonts w:ascii="Arial" w:cs="Arial" w:hAnsi="Arial"/>
        </w:rPr>
        <w:t xml:space="preserve">Safer, J.D. and </w:t>
      </w:r>
      <w:proofErr w:type="spellStart"/>
      <w:r w:rsidRPr="009E2BB1">
        <w:rPr>
          <w:rFonts w:ascii="Arial" w:cs="Arial" w:hAnsi="Arial"/>
        </w:rPr>
        <w:t>Tangpricha</w:t>
      </w:r>
      <w:proofErr w:type="spellEnd"/>
      <w:r w:rsidRPr="009E2BB1">
        <w:rPr>
          <w:rFonts w:ascii="Arial" w:cs="Arial" w:hAnsi="Arial"/>
        </w:rPr>
        <w:t xml:space="preserve">, V. (2019) ‘Care of the transgender patient’, </w:t>
      </w:r>
      <w:r w:rsidRPr="009E2BB1">
        <w:rPr>
          <w:iCs/>
          <w:i/>
          <w:rFonts w:ascii="Arial" w:cs="Arial" w:hAnsi="Arial"/>
        </w:rPr>
        <w:t>Annals of Internal Medicine</w:t>
      </w:r>
      <w:r w:rsidRPr="009E2BB1">
        <w:rPr>
          <w:rFonts w:ascii="Arial" w:cs="Arial" w:hAnsi="Arial"/>
        </w:rPr>
        <w:t>, 171(1), pp. ITC1–ITC16.</w:t>
      </w:r>
    </w:p>
    <w:p w:rsidR="009E2BB1" w:rsidRDefault="009E2BB1" w14:paraId="3EC72C09" w14:textId="77777777" w:rsidP="00ED60B1" w:rsidRPr="009E2BB1">
      <w:pPr>
        <w:jc w:val="both"/>
        <w:spacing w:line="360" w:lineRule="auto"/>
        <w:rPr>
          <w:rFonts w:ascii="Arial" w:cs="Arial" w:hAnsi="Arial"/>
        </w:rPr>
      </w:pPr>
      <w:proofErr w:type="spellStart"/>
      <w:r w:rsidRPr="009E2BB1">
        <w:rPr>
          <w:rFonts w:ascii="Arial" w:cs="Arial" w:hAnsi="Arial"/>
        </w:rPr>
        <w:t>Scheim</w:t>
      </w:r>
      <w:proofErr w:type="spellEnd"/>
      <w:r w:rsidRPr="009E2BB1">
        <w:rPr>
          <w:rFonts w:ascii="Arial" w:cs="Arial" w:hAnsi="Arial"/>
        </w:rPr>
        <w:t xml:space="preserve">, A.I., Perez-Brumer, A.G. and Bauer, G.R. (2020) ‘Gender-concordant identity documents and mental health among transgender adults’, </w:t>
      </w:r>
      <w:r w:rsidRPr="009E2BB1">
        <w:rPr>
          <w:iCs/>
          <w:i/>
          <w:rFonts w:ascii="Arial" w:cs="Arial" w:hAnsi="Arial"/>
        </w:rPr>
        <w:t>PLOS ONE</w:t>
      </w:r>
      <w:r w:rsidRPr="009E2BB1">
        <w:rPr>
          <w:rFonts w:ascii="Arial" w:cs="Arial" w:hAnsi="Arial"/>
        </w:rPr>
        <w:t>, 15(1), pp. 1–15.</w:t>
      </w:r>
    </w:p>
    <w:p w:rsidR="009E2BB1" w:rsidRDefault="009E2BB1" w14:paraId="79F12E82" w14:textId="77777777" w:rsidP="00ED60B1" w:rsidRPr="009E2BB1">
      <w:pPr>
        <w:jc w:val="both"/>
        <w:spacing w:line="360" w:lineRule="auto"/>
        <w:rPr>
          <w:rFonts w:ascii="Arial" w:cs="Arial" w:hAnsi="Arial"/>
        </w:rPr>
      </w:pPr>
      <w:r w:rsidRPr="009E2BB1">
        <w:rPr>
          <w:rFonts w:ascii="Arial" w:cs="Arial" w:hAnsi="Arial"/>
        </w:rPr>
        <w:t xml:space="preserve">Singh, A.A. and Dickey, L.M. (2017) </w:t>
      </w:r>
      <w:r w:rsidRPr="009E2BB1">
        <w:rPr>
          <w:iCs/>
          <w:i/>
          <w:rFonts w:ascii="Arial" w:cs="Arial" w:hAnsi="Arial"/>
        </w:rPr>
        <w:t>Affirmative counseling and psychological practice with transgender and gender nonconforming clients</w:t>
      </w:r>
      <w:r w:rsidRPr="009E2BB1">
        <w:rPr>
          <w:rFonts w:ascii="Arial" w:cs="Arial" w:hAnsi="Arial"/>
        </w:rPr>
        <w:t>. Washington, DC: American Psychological Association.</w:t>
      </w:r>
    </w:p>
    <w:p w:rsidR="009E2BB1" w:rsidRDefault="009E2BB1" w14:paraId="349217E1" w14:textId="77777777" w:rsidP="00ED60B1" w:rsidRPr="009E2BB1">
      <w:pPr>
        <w:jc w:val="both"/>
        <w:spacing w:line="360" w:lineRule="auto"/>
        <w:rPr>
          <w:rFonts w:ascii="Arial" w:cs="Arial" w:hAnsi="Arial"/>
        </w:rPr>
      </w:pPr>
      <w:r w:rsidRPr="009E2BB1">
        <w:rPr>
          <w:rFonts w:ascii="Arial" w:cs="Arial" w:hAnsi="Arial"/>
        </w:rPr>
        <w:t xml:space="preserve">Strang, J., Van der Miesen, A., Caplan, R., Hughes, C., </w:t>
      </w:r>
      <w:proofErr w:type="spellStart"/>
      <w:r w:rsidRPr="009E2BB1">
        <w:rPr>
          <w:rFonts w:ascii="Arial" w:cs="Arial" w:hAnsi="Arial"/>
        </w:rPr>
        <w:t>daVanport</w:t>
      </w:r>
      <w:proofErr w:type="spellEnd"/>
      <w:r w:rsidRPr="009E2BB1">
        <w:rPr>
          <w:rFonts w:ascii="Arial" w:cs="Arial" w:hAnsi="Arial"/>
        </w:rPr>
        <w:t xml:space="preserve">, S. and Lai, M. (2018) ‘Both sex- and gender-related factors should be considered in autism research and clinical practice’, </w:t>
      </w:r>
      <w:r w:rsidRPr="009E2BB1">
        <w:rPr>
          <w:iCs/>
          <w:i/>
          <w:rFonts w:ascii="Arial" w:cs="Arial" w:hAnsi="Arial"/>
        </w:rPr>
        <w:t>Archives of Sexual Behavior</w:t>
      </w:r>
      <w:r w:rsidRPr="009E2BB1">
        <w:rPr>
          <w:rFonts w:ascii="Arial" w:cs="Arial" w:hAnsi="Arial"/>
        </w:rPr>
        <w:t>, 47(5), pp. 1227–1237.</w:t>
      </w:r>
    </w:p>
    <w:p w:rsidR="009E2BB1" w:rsidRDefault="009E2BB1" w14:paraId="63AAE6E2" w14:textId="77777777" w:rsidP="00ED60B1" w:rsidRPr="009E2BB1">
      <w:pPr>
        <w:jc w:val="both"/>
        <w:spacing w:line="360" w:lineRule="auto"/>
        <w:rPr>
          <w:rFonts w:ascii="Arial" w:cs="Arial" w:hAnsi="Arial"/>
        </w:rPr>
      </w:pPr>
      <w:r w:rsidRPr="009E2BB1">
        <w:rPr>
          <w:rFonts w:ascii="Arial" w:cs="Arial" w:hAnsi="Arial"/>
        </w:rPr>
        <w:t xml:space="preserve">Testa, R.J., Michaels, M.S., Bliss, W., Rogers, M.L., Balsam, K.F. and Joiner, T. (2015) ‘Suicidal ideation in transgender people: Gender minority stress and interpersonal theory factors’, </w:t>
      </w:r>
      <w:r w:rsidRPr="009E2BB1">
        <w:rPr>
          <w:iCs/>
          <w:i/>
          <w:rFonts w:ascii="Arial" w:cs="Arial" w:hAnsi="Arial"/>
        </w:rPr>
        <w:t>Journal of Abnormal Psychology</w:t>
      </w:r>
      <w:r w:rsidRPr="009E2BB1">
        <w:rPr>
          <w:rFonts w:ascii="Arial" w:cs="Arial" w:hAnsi="Arial"/>
        </w:rPr>
        <w:t>, 124(3), pp. 687–696.</w:t>
      </w:r>
    </w:p>
    <w:p w:rsidR="009E2BB1" w:rsidRDefault="009E2BB1" w14:paraId="2E684545" w14:textId="77777777" w:rsidP="00ED60B1" w:rsidRPr="009E2BB1">
      <w:pPr>
        <w:jc w:val="both"/>
        <w:spacing w:line="360" w:lineRule="auto"/>
        <w:rPr>
          <w:rFonts w:ascii="Arial" w:cs="Arial" w:hAnsi="Arial"/>
        </w:rPr>
      </w:pPr>
      <w:r w:rsidRPr="009E2BB1">
        <w:rPr>
          <w:rFonts w:ascii="Arial" w:cs="Arial" w:hAnsi="Arial"/>
        </w:rPr>
        <w:t xml:space="preserve">White </w:t>
        <w:lastRenderedPageBreak/>
      </w:r>
      <w:proofErr w:type="spellStart"/>
      <w:r w:rsidRPr="009E2BB1">
        <w:rPr>
          <w:rFonts w:ascii="Arial" w:cs="Arial" w:hAnsi="Arial"/>
        </w:rPr>
        <w:t>Hughto</w:t>
      </w:r>
      <w:proofErr w:type="spellEnd"/>
      <w:r w:rsidRPr="009E2BB1">
        <w:rPr>
          <w:rFonts w:ascii="Arial" w:cs="Arial" w:hAnsi="Arial"/>
        </w:rPr>
        <w:t xml:space="preserve">, J.M. and Reisner, S.L. (2016) ‘A systematic review of the effects of hormone therapy on psychological functioning and quality of life in transgender individuals’, </w:t>
      </w:r>
      <w:r w:rsidRPr="009E2BB1">
        <w:rPr>
          <w:iCs/>
          <w:i/>
          <w:rFonts w:ascii="Arial" w:cs="Arial" w:hAnsi="Arial"/>
        </w:rPr>
        <w:t>Transgender Health</w:t>
      </w:r>
      <w:r w:rsidRPr="009E2BB1">
        <w:rPr>
          <w:rFonts w:ascii="Arial" w:cs="Arial" w:hAnsi="Arial"/>
        </w:rPr>
        <w:t>, 1(1), pp. 21–31.</w:t>
      </w:r>
    </w:p>
    <w:p w:rsidR="009E2BB1" w:rsidRDefault="009E2BB1" w14:paraId="71362162" w14:textId="77777777" w:rsidP="00ED60B1" w:rsidRPr="009E2BB1">
      <w:pPr>
        <w:jc w:val="both"/>
        <w:spacing w:line="360" w:lineRule="auto"/>
        <w:rPr>
          <w:rFonts w:ascii="Arial" w:cs="Arial" w:hAnsi="Arial"/>
        </w:rPr>
      </w:pPr>
      <w:r w:rsidRPr="009E2BB1">
        <w:rPr>
          <w:rFonts w:ascii="Arial" w:cs="Arial" w:hAnsi="Arial"/>
        </w:rPr>
        <w:t xml:space="preserve">Winter, S., Diamond, M., Green, J., </w:t>
      </w:r>
      <w:proofErr w:type="spellStart"/>
      <w:r w:rsidRPr="009E2BB1">
        <w:rPr>
          <w:rFonts w:ascii="Arial" w:cs="Arial" w:hAnsi="Arial"/>
        </w:rPr>
        <w:t>Karasic</w:t>
      </w:r>
      <w:proofErr w:type="spellEnd"/>
      <w:r w:rsidRPr="009E2BB1">
        <w:rPr>
          <w:rFonts w:ascii="Arial" w:cs="Arial" w:hAnsi="Arial"/>
        </w:rPr>
        <w:t xml:space="preserve">, D., Reed, T., Whittle, S. and Wylie, K. (2016) ‘Transgender people: Health at the margins of society’, </w:t>
      </w:r>
      <w:r w:rsidRPr="009E2BB1">
        <w:rPr>
          <w:iCs/>
          <w:i/>
          <w:rFonts w:ascii="Arial" w:cs="Arial" w:hAnsi="Arial"/>
        </w:rPr>
        <w:t>The Lancet</w:t>
      </w:r>
      <w:r w:rsidRPr="009E2BB1">
        <w:rPr>
          <w:rFonts w:ascii="Arial" w:cs="Arial" w:hAnsi="Arial"/>
        </w:rPr>
        <w:t>, 388(10042), pp. 390–400.</w:t>
      </w:r>
    </w:p>
    <w:p w:rsidR="009E2BB1" w:rsidRDefault="009E2BB1" w14:paraId="44ABAB15" w14:textId="77777777" w:rsidP="00ED60B1" w:rsidRPr="009E2BB1">
      <w:pPr>
        <w:jc w:val="both"/>
        <w:spacing w:line="360" w:lineRule="auto"/>
        <w:rPr>
          <w:rFonts w:ascii="Arial" w:cs="Arial" w:hAnsi="Arial"/>
        </w:rPr>
      </w:pPr>
      <w:r w:rsidRPr="009E2BB1">
        <w:rPr>
          <w:rFonts w:ascii="Arial" w:cs="Arial" w:hAnsi="Arial"/>
        </w:rPr>
        <w:t xml:space="preserve">World Health Organization (2019) </w:t>
      </w:r>
      <w:r w:rsidRPr="009E2BB1">
        <w:rPr>
          <w:iCs/>
          <w:i/>
          <w:rFonts w:ascii="Arial" w:cs="Arial" w:hAnsi="Arial"/>
        </w:rPr>
        <w:t>International classification of diseases for mortality and morbidity statistics (11th revision)</w:t>
      </w:r>
      <w:r w:rsidRPr="009E2BB1">
        <w:rPr>
          <w:rFonts w:ascii="Arial" w:cs="Arial" w:hAnsi="Arial"/>
        </w:rPr>
        <w:t>. Geneva: World Health Organization.</w:t>
      </w:r>
    </w:p>
    <w:p w:rsidR="0003383C" w:rsidRDefault="0003383C" w14:paraId="532D0CEE" w14:textId="77777777" w:rsidP="00ED60B1" w:rsidRPr="00ED60B1">
      <w:pPr>
        <w:jc w:val="both"/>
        <w:spacing w:line="360" w:lineRule="auto"/>
        <w:rPr>
          <w:rFonts w:ascii="Arial" w:cs="Arial" w:hAnsi="Arial"/>
        </w:rPr>
      </w:pPr>
    </w:p>
    <w:sectPr w:rsidR="0003383C" w:rsidRPr="00ED60B1">
      <w:docGrid w:linePitch="360"/>
      <w:footerReference r:id="rId6"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41627B" w14:textId="77777777" w:rsidR="00E91E02" w:rsidRDefault="00E91E02" w:rsidP="00167E9E">
      <w:pPr>
        <w:spacing w:after="0" w:line="240" w:lineRule="auto"/>
      </w:pPr>
      <w:r>
        <w:separator/>
      </w:r>
    </w:p>
  </w:endnote>
  <w:endnote w:type="continuationSeparator" w:id="0">
    <w:p w14:paraId="364DEFCC" w14:textId="77777777" w:rsidR="00E91E02" w:rsidRDefault="00E91E02" w:rsidP="00167E9E">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 w:name="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 w:name="Calibri"/>
  <w:font w:name="Cambria"/>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5732605"/>
      <w:docPartObj>
        <w:docPartGallery w:val="Page Numbers (Bottom of Page)"/>
        <w:docPartUnique/>
      </w:docPartObj>
    </w:sdtPr>
    <w:sdtEndPr>
      <w:rPr>
        <w:noProof/>
      </w:rPr>
    </w:sdtEndPr>
    <w:sdtContent>
      <w:p w14:paraId="1C86373F" w14:textId="454B2CFA" w:rsidR="00167E9E" w:rsidRDefault="00167E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F0308A" w14:textId="77777777" w:rsidR="00167E9E" w:rsidRDefault="00167E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189519" w14:textId="77777777" w:rsidR="00E91E02" w:rsidRDefault="00E91E02" w:rsidP="00167E9E">
      <w:pPr>
        <w:spacing w:after="0" w:line="240" w:lineRule="auto"/>
      </w:pPr>
      <w:r>
        <w:separator/>
      </w:r>
    </w:p>
  </w:footnote>
  <w:footnote w:type="continuationSeparator" w:id="0">
    <w:p w14:paraId="1A60210C" w14:textId="77777777" w:rsidR="00E91E02" w:rsidRDefault="00E91E02" w:rsidP="00167E9E">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D588B"/>
  <w15:chartTrackingRefBased/>
  <w15:docId w15:val="{1761A715-BD71-44D6-B492-8B5BD7F705B1}"/>
  <w:rsids>
    <w:rsidRoot val="00235EA6"/>
    <w:rsid val="0003383C"/>
    <w:rsid val="000A4604"/>
    <w:rsid val="001167E0"/>
    <w:rsid val="0013158A"/>
    <w:rsid val="001639A1"/>
    <w:rsid val="001674A7"/>
    <w:rsid val="00167E9E"/>
    <w:rsid val="00185A8C"/>
    <w:rsid val="00206CD5"/>
    <w:rsid val="00235EA6"/>
    <w:rsid val="00264030"/>
    <w:rsid val="002B65DB"/>
    <w:rsid val="002B6A89"/>
    <w:rsid val="002C2B27"/>
    <w:rsid val="002C758D"/>
    <w:rsid val="003B73CE"/>
    <w:rsid val="003C199C"/>
    <w:rsid val="00467C3E"/>
    <w:rsid val="004B629A"/>
    <w:rsid val="004D23C6"/>
    <w:rsid val="005439C3"/>
    <w:rsid val="0061597F"/>
    <w:rsid val="00626C33"/>
    <w:rsid val="00672CF9"/>
    <w:rsid val="0068425A"/>
    <w:rsid val="006A6A4C"/>
    <w:rsid val="006B160B"/>
    <w:rsid val="00743D4C"/>
    <w:rsid val="00754FCF"/>
    <w:rsid val="007E13F1"/>
    <w:rsid val="008A14A4"/>
    <w:rsid val="009007E3"/>
    <w:rsid val="0093133A"/>
    <w:rsid val="00934808"/>
    <w:rsid val="009E2BB1"/>
    <w:rsid val="009E304B"/>
    <w:rsid val="00A13DED"/>
    <w:rsid val="00A82ADC"/>
    <w:rsid val="00A9517F"/>
    <w:rsid val="00B9290F"/>
    <w:rsid val="00BD0FC6"/>
    <w:rsid val="00C511BA"/>
    <w:rsid val="00C51AE7"/>
    <w:rsid val="00D8272B"/>
    <w:rsid val="00DA0E7F"/>
    <w:rsid val="00DF2122"/>
    <w:rsid val="00E2791C"/>
    <w:rsid val="00E369CB"/>
    <w:rsid val="00E91E02"/>
    <w:rsid val="00E93FDA"/>
    <w:rsid val="00E978E0"/>
    <w:rsid val="00ED60B1"/>
    <w:rsid val="00FA4BA2"/>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E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5E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5E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5E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5E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5E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E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E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E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E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5E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5E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5E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5E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5E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E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E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EA6"/>
    <w:rPr>
      <w:rFonts w:eastAsiaTheme="majorEastAsia" w:cstheme="majorBidi"/>
      <w:color w:val="272727" w:themeColor="text1" w:themeTint="D8"/>
    </w:rPr>
  </w:style>
  <w:style w:type="paragraph" w:styleId="Title">
    <w:name w:val="Title"/>
    <w:basedOn w:val="Normal"/>
    <w:next w:val="Normal"/>
    <w:link w:val="TitleChar"/>
    <w:uiPriority w:val="10"/>
    <w:qFormat/>
    <w:rsid w:val="00235E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E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E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E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EA6"/>
    <w:pPr>
      <w:spacing w:before="160"/>
      <w:jc w:val="center"/>
    </w:pPr>
    <w:rPr>
      <w:i/>
      <w:iCs/>
      <w:color w:val="404040" w:themeColor="text1" w:themeTint="BF"/>
    </w:rPr>
  </w:style>
  <w:style w:type="character" w:customStyle="1" w:styleId="QuoteChar">
    <w:name w:val="Quote Char"/>
    <w:basedOn w:val="DefaultParagraphFont"/>
    <w:link w:val="Quote"/>
    <w:uiPriority w:val="29"/>
    <w:rsid w:val="00235EA6"/>
    <w:rPr>
      <w:i/>
      <w:iCs/>
      <w:color w:val="404040" w:themeColor="text1" w:themeTint="BF"/>
    </w:rPr>
  </w:style>
  <w:style w:type="paragraph" w:styleId="ListParagraph">
    <w:name w:val="List Paragraph"/>
    <w:basedOn w:val="Normal"/>
    <w:uiPriority w:val="34"/>
    <w:qFormat/>
    <w:rsid w:val="00235EA6"/>
    <w:pPr>
      <w:ind w:left="720"/>
      <w:contextualSpacing/>
    </w:pPr>
  </w:style>
  <w:style w:type="character" w:styleId="IntenseEmphasis">
    <w:name w:val="Intense Emphasis"/>
    <w:basedOn w:val="DefaultParagraphFont"/>
    <w:uiPriority w:val="21"/>
    <w:qFormat/>
    <w:rsid w:val="00235EA6"/>
    <w:rPr>
      <w:i/>
      <w:iCs/>
      <w:color w:val="0F4761" w:themeColor="accent1" w:themeShade="BF"/>
    </w:rPr>
  </w:style>
  <w:style w:type="paragraph" w:styleId="IntenseQuote">
    <w:name w:val="Intense Quote"/>
    <w:basedOn w:val="Normal"/>
    <w:next w:val="Normal"/>
    <w:link w:val="IntenseQuoteChar"/>
    <w:uiPriority w:val="30"/>
    <w:qFormat/>
    <w:rsid w:val="00235E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5EA6"/>
    <w:rPr>
      <w:i/>
      <w:iCs/>
      <w:color w:val="0F4761" w:themeColor="accent1" w:themeShade="BF"/>
    </w:rPr>
  </w:style>
  <w:style w:type="character" w:styleId="IntenseReference">
    <w:name w:val="Intense Reference"/>
    <w:basedOn w:val="DefaultParagraphFont"/>
    <w:uiPriority w:val="32"/>
    <w:qFormat/>
    <w:rsid w:val="00235EA6"/>
    <w:rPr>
      <w:b/>
      <w:bCs/>
      <w:smallCaps/>
      <w:color w:val="0F4761" w:themeColor="accent1" w:themeShade="BF"/>
      <w:spacing w:val="5"/>
    </w:rPr>
  </w:style>
  <w:style w:type="paragraph" w:styleId="Header">
    <w:name w:val="header"/>
    <w:basedOn w:val="Normal"/>
    <w:link w:val="HeaderChar"/>
    <w:uiPriority w:val="99"/>
    <w:unhideWhenUsed/>
    <w:rsid w:val="00167E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7E9E"/>
  </w:style>
  <w:style w:type="paragraph" w:styleId="Footer">
    <w:name w:val="footer"/>
    <w:basedOn w:val="Normal"/>
    <w:link w:val="FooterChar"/>
    <w:uiPriority w:val="99"/>
    <w:unhideWhenUsed/>
    <w:rsid w:val="00167E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7E9E"/>
  </w:style>
  <w:style w:type="paragraph" w:styleId="TOCHeading">
    <w:name w:val="TOC Heading"/>
    <w:basedOn w:val="Heading1"/>
    <w:next w:val="Normal"/>
    <w:uiPriority w:val="39"/>
    <w:unhideWhenUsed/>
    <w:qFormat/>
    <w:rsid w:val="0026403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64030"/>
    <w:pPr>
      <w:spacing w:after="100"/>
    </w:pPr>
  </w:style>
  <w:style w:type="paragraph" w:styleId="TOC2">
    <w:name w:val="toc 2"/>
    <w:basedOn w:val="Normal"/>
    <w:next w:val="Normal"/>
    <w:autoRedefine/>
    <w:uiPriority w:val="39"/>
    <w:unhideWhenUsed/>
    <w:rsid w:val="00264030"/>
    <w:pPr>
      <w:spacing w:after="100"/>
      <w:ind w:left="240"/>
    </w:pPr>
  </w:style>
  <w:style w:type="character" w:styleId="Hyperlink">
    <w:name w:val="Hyperlink"/>
    <w:basedOn w:val="DefaultParagraphFont"/>
    <w:uiPriority w:val="99"/>
    <w:unhideWhenUsed/>
    <w:rsid w:val="0026403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61</TotalTime>
  <Pages>16</Pages>
  <Words>3889</Words>
  <Characters>22173</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62</cp:revision>
  <dcterms:created xsi:type="dcterms:W3CDTF">2026-03-16T08:02:00Z</dcterms:created>
  <dcterms:modified xsi:type="dcterms:W3CDTF">2026-03-16T09:06:00Z</dcterms:modified>
</cp:coreProperties>
</file>