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21142" w14:textId="33253959" w:rsidR="00B7755B" w:rsidRDefault="00441525" w:rsidP="00441525">
      <w:pPr>
        <w:rPr>
          <w:rFonts w:ascii="Arial" w:hAnsi="Arial" w:cs="Arial"/>
          <w:b/>
          <w:bCs/>
          <w:sz w:val="24"/>
          <w:szCs w:val="24"/>
          <w:u w:val="single"/>
        </w:rPr>
      </w:pPr>
      <w:r>
        <w:rPr>
          <w:rFonts w:ascii="Arial" w:hAnsi="Arial" w:cs="Arial"/>
          <w:b/>
          <w:bCs/>
          <w:sz w:val="24"/>
          <w:szCs w:val="24"/>
          <w:u w:val="single"/>
        </w:rPr>
        <w:t xml:space="preserve">Academic Assignment – 2124950 </w:t>
      </w:r>
    </w:p>
    <w:p w14:paraId="3615EC37" w14:textId="0213CE81" w:rsidR="00441525" w:rsidRDefault="00441525" w:rsidP="00441525">
      <w:pPr>
        <w:rPr>
          <w:rFonts w:ascii="Arial" w:hAnsi="Arial" w:cs="Arial"/>
          <w:b/>
          <w:bCs/>
          <w:sz w:val="24"/>
          <w:szCs w:val="24"/>
          <w:u w:val="single"/>
        </w:rPr>
      </w:pPr>
    </w:p>
    <w:p w14:paraId="621C9CD8" w14:textId="17E16079" w:rsidR="00441525" w:rsidRDefault="00441525" w:rsidP="00441525">
      <w:pPr>
        <w:rPr>
          <w:rFonts w:ascii="Arial" w:hAnsi="Arial" w:cs="Arial"/>
          <w:b/>
          <w:bCs/>
          <w:sz w:val="24"/>
          <w:szCs w:val="24"/>
          <w:u w:val="single"/>
        </w:rPr>
      </w:pPr>
      <w:r>
        <w:rPr>
          <w:rFonts w:ascii="Arial" w:hAnsi="Arial" w:cs="Arial"/>
          <w:b/>
          <w:bCs/>
          <w:sz w:val="24"/>
          <w:szCs w:val="24"/>
          <w:u w:val="single"/>
        </w:rPr>
        <w:t>Essay one:</w:t>
      </w:r>
    </w:p>
    <w:p w14:paraId="29099E54" w14:textId="4FEBE9C8" w:rsidR="00441525" w:rsidRPr="00441525" w:rsidRDefault="00441525" w:rsidP="00441525">
      <w:pPr>
        <w:spacing w:line="360" w:lineRule="auto"/>
        <w:jc w:val="both"/>
        <w:rPr>
          <w:rFonts w:ascii="Arial" w:hAnsi="Arial" w:cs="Arial"/>
          <w:sz w:val="24"/>
          <w:szCs w:val="24"/>
          <w:u w:val="single"/>
        </w:rPr>
      </w:pPr>
      <w:r w:rsidRPr="00441525">
        <w:rPr>
          <w:rFonts w:ascii="Arial" w:hAnsi="Arial" w:cs="Arial"/>
          <w:sz w:val="24"/>
          <w:szCs w:val="24"/>
          <w:u w:val="single"/>
        </w:rPr>
        <w:t>How effective is Crime Prevention Through Environmental Design (CPTED) as a means of reducing crime? Your answer must be based on academic research, but you may refer to relevant case studies.</w:t>
      </w:r>
    </w:p>
    <w:p w14:paraId="50674F30" w14:textId="5669D3CE" w:rsidR="00441525" w:rsidRPr="00441525" w:rsidRDefault="00441525" w:rsidP="00441525">
      <w:pPr>
        <w:spacing w:line="360" w:lineRule="auto"/>
        <w:jc w:val="both"/>
        <w:rPr>
          <w:rFonts w:ascii="Arial" w:hAnsi="Arial" w:cs="Arial"/>
          <w:sz w:val="24"/>
          <w:szCs w:val="24"/>
        </w:rPr>
      </w:pPr>
      <w:r w:rsidRPr="00441525">
        <w:rPr>
          <w:rFonts w:ascii="Arial" w:hAnsi="Arial" w:cs="Arial"/>
          <w:sz w:val="24"/>
          <w:szCs w:val="24"/>
        </w:rPr>
        <w:t xml:space="preserve">During the 1970’s and 1980’s, a multi-faceted concept was designed to reduce crime in residential and business areas which had referenced pre-existing theories relating to criminology, </w:t>
      </w:r>
      <w:r w:rsidR="00DE4B6C" w:rsidRPr="00441525">
        <w:rPr>
          <w:rFonts w:ascii="Arial" w:hAnsi="Arial" w:cs="Arial"/>
          <w:sz w:val="24"/>
          <w:szCs w:val="24"/>
        </w:rPr>
        <w:t>psychology,</w:t>
      </w:r>
      <w:r w:rsidRPr="00441525">
        <w:rPr>
          <w:rFonts w:ascii="Arial" w:hAnsi="Arial" w:cs="Arial"/>
          <w:sz w:val="24"/>
          <w:szCs w:val="24"/>
        </w:rPr>
        <w:t xml:space="preserve"> and urban design. The incorporated principles include natural surveillance, territorial reinforcement, natural access control and maintenance and management. The focus is predominantly on the development of new buildings. However, it is applicable to apply some of the principles to existing buildings to improve security. This concept, Crime Prevention Through Environmental Design (CPTED), was derived to provide a safe environment for both its owner and users by changing the environment to reduce crime opportunities (Safe Now, 2023). </w:t>
      </w:r>
    </w:p>
    <w:p w14:paraId="2655C2B3" w14:textId="77777777" w:rsidR="00441525" w:rsidRPr="00441525" w:rsidRDefault="00441525" w:rsidP="00441525">
      <w:pPr>
        <w:spacing w:line="360" w:lineRule="auto"/>
        <w:jc w:val="both"/>
        <w:rPr>
          <w:rFonts w:ascii="Arial" w:hAnsi="Arial" w:cs="Arial"/>
          <w:sz w:val="24"/>
          <w:szCs w:val="24"/>
        </w:rPr>
      </w:pPr>
      <w:r w:rsidRPr="00441525">
        <w:rPr>
          <w:rFonts w:ascii="Arial" w:hAnsi="Arial" w:cs="Arial"/>
          <w:sz w:val="24"/>
          <w:szCs w:val="24"/>
        </w:rPr>
        <w:t>Armitage has defined CPTED as:</w:t>
      </w:r>
    </w:p>
    <w:p w14:paraId="431B13D6" w14:textId="7AE3A3BA" w:rsidR="00441525" w:rsidRPr="00441525" w:rsidRDefault="00441525" w:rsidP="00441525">
      <w:pPr>
        <w:spacing w:line="360" w:lineRule="auto"/>
        <w:jc w:val="both"/>
        <w:rPr>
          <w:rFonts w:ascii="Arial" w:hAnsi="Arial" w:cs="Arial"/>
          <w:sz w:val="24"/>
          <w:szCs w:val="24"/>
        </w:rPr>
      </w:pPr>
      <w:r w:rsidRPr="00441525">
        <w:rPr>
          <w:rFonts w:ascii="Arial" w:hAnsi="Arial" w:cs="Arial"/>
          <w:sz w:val="24"/>
          <w:szCs w:val="24"/>
        </w:rPr>
        <w:t xml:space="preserve">The design, </w:t>
      </w:r>
      <w:r w:rsidR="005A26C0" w:rsidRPr="00441525">
        <w:rPr>
          <w:rFonts w:ascii="Arial" w:hAnsi="Arial" w:cs="Arial"/>
          <w:sz w:val="24"/>
          <w:szCs w:val="24"/>
        </w:rPr>
        <w:t>manipulation,</w:t>
      </w:r>
      <w:r w:rsidRPr="00441525">
        <w:rPr>
          <w:rFonts w:ascii="Arial" w:hAnsi="Arial" w:cs="Arial"/>
          <w:sz w:val="24"/>
          <w:szCs w:val="24"/>
        </w:rPr>
        <w:t xml:space="preserve"> and management of the built environment to reduce crime and the fear of crime and to enhance sustainability through the process and application of measures at the micro, </w:t>
      </w:r>
      <w:proofErr w:type="spellStart"/>
      <w:r w:rsidRPr="00441525">
        <w:rPr>
          <w:rFonts w:ascii="Arial" w:hAnsi="Arial" w:cs="Arial"/>
          <w:sz w:val="24"/>
          <w:szCs w:val="24"/>
        </w:rPr>
        <w:t>meso</w:t>
      </w:r>
      <w:proofErr w:type="spellEnd"/>
      <w:r w:rsidRPr="00441525">
        <w:rPr>
          <w:rFonts w:ascii="Arial" w:hAnsi="Arial" w:cs="Arial"/>
          <w:sz w:val="24"/>
          <w:szCs w:val="24"/>
        </w:rPr>
        <w:t xml:space="preserve"> and macro level.</w:t>
      </w:r>
    </w:p>
    <w:p w14:paraId="00D4C52C" w14:textId="77777777" w:rsidR="00441525" w:rsidRPr="00441525" w:rsidRDefault="00441525" w:rsidP="00441525">
      <w:pPr>
        <w:spacing w:line="360" w:lineRule="auto"/>
        <w:jc w:val="right"/>
        <w:rPr>
          <w:rFonts w:ascii="Arial" w:hAnsi="Arial" w:cs="Arial"/>
          <w:sz w:val="24"/>
          <w:szCs w:val="24"/>
        </w:rPr>
      </w:pPr>
      <w:r w:rsidRPr="00441525">
        <w:rPr>
          <w:rFonts w:ascii="Arial" w:hAnsi="Arial" w:cs="Arial"/>
          <w:sz w:val="24"/>
          <w:szCs w:val="24"/>
        </w:rPr>
        <w:tab/>
      </w:r>
      <w:r w:rsidRPr="00441525">
        <w:rPr>
          <w:rFonts w:ascii="Arial" w:hAnsi="Arial" w:cs="Arial"/>
          <w:sz w:val="24"/>
          <w:szCs w:val="24"/>
        </w:rPr>
        <w:tab/>
      </w:r>
      <w:r w:rsidRPr="00441525">
        <w:rPr>
          <w:rFonts w:ascii="Arial" w:hAnsi="Arial" w:cs="Arial"/>
          <w:sz w:val="24"/>
          <w:szCs w:val="24"/>
        </w:rPr>
        <w:tab/>
      </w:r>
      <w:r w:rsidRPr="00441525">
        <w:rPr>
          <w:rFonts w:ascii="Arial" w:hAnsi="Arial" w:cs="Arial"/>
          <w:sz w:val="24"/>
          <w:szCs w:val="24"/>
        </w:rPr>
        <w:tab/>
        <w:t>(Armitage, 2013, pp.23)</w:t>
      </w:r>
    </w:p>
    <w:p w14:paraId="7D9CE6F2" w14:textId="77777777" w:rsidR="00441525" w:rsidRPr="00441525" w:rsidRDefault="00441525" w:rsidP="00441525">
      <w:pPr>
        <w:spacing w:line="360" w:lineRule="auto"/>
        <w:jc w:val="both"/>
        <w:rPr>
          <w:rFonts w:ascii="Arial" w:hAnsi="Arial" w:cs="Arial"/>
          <w:sz w:val="24"/>
          <w:szCs w:val="24"/>
        </w:rPr>
      </w:pPr>
      <w:r w:rsidRPr="00441525">
        <w:rPr>
          <w:rFonts w:ascii="Arial" w:hAnsi="Arial" w:cs="Arial"/>
          <w:sz w:val="24"/>
          <w:szCs w:val="24"/>
        </w:rPr>
        <w:t xml:space="preserve">Although Armitage has previously defined this concept, it has later been deemed to lack clarity and scope which consequently could hinder the credibility and measurement (Armitage, 2018). The definition suggests that CPTED is successful in all cases, but this is not possible. Spatial clustering of incidents relating to their environment have been researched to show determinants of crime, including places such as drinking establishments, drug treatment centres and other facilities which are deemed less desirable (Groff, 2017; Banerjee et al., 2008). Considering this, the original four principles have since been amended to six principles. These include activity support, image and maintenance, target hardening, surveillance, access control and territoriality (Montoya et al., 2016). Due to the open interpretation of CPTED, there is a requirement for research into the concept to test its effectiveness </w:t>
      </w:r>
      <w:r w:rsidRPr="00441525">
        <w:rPr>
          <w:rFonts w:ascii="Arial" w:hAnsi="Arial" w:cs="Arial"/>
          <w:sz w:val="24"/>
          <w:szCs w:val="24"/>
        </w:rPr>
        <w:lastRenderedPageBreak/>
        <w:t>and develop it. Currently there are issues regarding existing research being specific to residential areas with housing design. Also, since the concept was created the types of crimes committed are changing, along with patterns of offending and improvements with security products which consequently affect offenders modus operandi (Armitage, 2018).</w:t>
      </w:r>
    </w:p>
    <w:p w14:paraId="0754DA70" w14:textId="5CD24806" w:rsidR="00441525" w:rsidRPr="00441525" w:rsidRDefault="00441525" w:rsidP="00441525">
      <w:pPr>
        <w:spacing w:line="360" w:lineRule="auto"/>
        <w:jc w:val="both"/>
        <w:rPr>
          <w:rFonts w:ascii="Arial" w:hAnsi="Arial" w:cs="Arial"/>
          <w:sz w:val="24"/>
          <w:szCs w:val="24"/>
        </w:rPr>
      </w:pPr>
      <w:r w:rsidRPr="00441525">
        <w:rPr>
          <w:rFonts w:ascii="Arial" w:hAnsi="Arial" w:cs="Arial"/>
          <w:sz w:val="24"/>
          <w:szCs w:val="24"/>
        </w:rPr>
        <w:t xml:space="preserve">Research conducted by Casteel and Peek-Asa (2000) evaluated the effectiveness of CPTED in relation to robberies. Where business applicated multiple components, it was found that this resulted in a greater reduction in robberies. Although these components were those that either had no cost or a low cost to the business such as reducing the amount of money in tills, installing alarms </w:t>
      </w:r>
      <w:r w:rsidR="00287427" w:rsidRPr="00441525">
        <w:rPr>
          <w:rFonts w:ascii="Arial" w:hAnsi="Arial" w:cs="Arial"/>
          <w:sz w:val="24"/>
          <w:szCs w:val="24"/>
        </w:rPr>
        <w:t>systems,</w:t>
      </w:r>
      <w:r w:rsidRPr="00441525">
        <w:rPr>
          <w:rFonts w:ascii="Arial" w:hAnsi="Arial" w:cs="Arial"/>
          <w:sz w:val="24"/>
          <w:szCs w:val="24"/>
        </w:rPr>
        <w:t xml:space="preserve"> and having an additional staff member for later hours. Alternatively, stores which were managed by an alarm system backed with police presence had a 40% uplift in apprehension of offenders on scene. Regardless, subsequent robberies were more frequent on stores that had previously been victim where they had been ‘successful’ by the offender. This was even the case despite different prevention measures being applied. With this crime, it is difficult to conclude if the interventions are effective because of the lack of controlling the factors associating with the risk of robberies. Although there are associated difficulties, the effective measures could be classed as target hardening as mentioned by Montoya et al (2017), as they are additional measures implemented after the stores were built. </w:t>
      </w:r>
    </w:p>
    <w:p w14:paraId="5D4CB7C1" w14:textId="77777777" w:rsidR="00441525" w:rsidRPr="00441525" w:rsidRDefault="00441525" w:rsidP="00441525">
      <w:pPr>
        <w:spacing w:line="360" w:lineRule="auto"/>
        <w:jc w:val="both"/>
        <w:rPr>
          <w:rFonts w:ascii="Arial" w:hAnsi="Arial" w:cs="Arial"/>
          <w:sz w:val="24"/>
          <w:szCs w:val="24"/>
        </w:rPr>
      </w:pPr>
      <w:r w:rsidRPr="00441525">
        <w:rPr>
          <w:rFonts w:ascii="Arial" w:hAnsi="Arial" w:cs="Arial"/>
          <w:sz w:val="24"/>
          <w:szCs w:val="24"/>
        </w:rPr>
        <w:t>With regards to residential developments, standards are set by schemes including the UK’s Secured by Design Award, whereby it is ensured that the principles of CPTED are applied (</w:t>
      </w:r>
      <w:proofErr w:type="spellStart"/>
      <w:r w:rsidRPr="00441525">
        <w:rPr>
          <w:rFonts w:ascii="Arial" w:hAnsi="Arial" w:cs="Arial"/>
          <w:sz w:val="24"/>
          <w:szCs w:val="24"/>
        </w:rPr>
        <w:t>Vollard</w:t>
      </w:r>
      <w:proofErr w:type="spellEnd"/>
      <w:r w:rsidRPr="00441525">
        <w:rPr>
          <w:rFonts w:ascii="Arial" w:hAnsi="Arial" w:cs="Arial"/>
          <w:sz w:val="24"/>
          <w:szCs w:val="24"/>
        </w:rPr>
        <w:t xml:space="preserve"> and Ours, 2011). The element of surveillance relates to both formal and informal use of the space whereby suspicious behaviour can be observed, or the offender perceives the ability to be observed. This links with the natural access control which can be limited by the construction of premises and access by through roads. Implementation of cul-de-sacs whereby there are no through roads or alternative pathway exits can increase the defensible space of the occupants, enhancing their sense of control. This method of manipulating the environment in most cases has been effective whereby there is only one entrance and exit, compared to the cul-de-sac having alternative pedestrian exits or through roads (Johnson and Bowers, 2010). There is conflicting research regarding surveillance and physical security on properties, as Armitage et al (2010) suggests that properties which </w:t>
      </w:r>
      <w:r w:rsidRPr="00441525">
        <w:rPr>
          <w:rFonts w:ascii="Arial" w:hAnsi="Arial" w:cs="Arial"/>
          <w:sz w:val="24"/>
          <w:szCs w:val="24"/>
        </w:rPr>
        <w:lastRenderedPageBreak/>
        <w:t>incorporate heightened levels of security experience reduced levels of victimisation, therefore there is still the likelihood of being a victim of crime is not prevented completely. Although the risk of burglary reduces with security measures, this is not in correlation with the number of devices a property may have. Also, the extra prevention measures a property installs becomes an attractor to the offender due to the thought that there are valuable items within (</w:t>
      </w:r>
      <w:proofErr w:type="spellStart"/>
      <w:r w:rsidRPr="00441525">
        <w:rPr>
          <w:rFonts w:ascii="Arial" w:hAnsi="Arial" w:cs="Arial"/>
          <w:sz w:val="24"/>
          <w:szCs w:val="24"/>
        </w:rPr>
        <w:t>Tseloni</w:t>
      </w:r>
      <w:proofErr w:type="spellEnd"/>
      <w:r w:rsidRPr="00441525">
        <w:rPr>
          <w:rFonts w:ascii="Arial" w:hAnsi="Arial" w:cs="Arial"/>
          <w:sz w:val="24"/>
          <w:szCs w:val="24"/>
        </w:rPr>
        <w:t xml:space="preserve"> et al., 2014). The success of CPTED is determined by the key organisations that implement the concept. Despite standards being set for new developments, a study into a sample of crime prevention design advisors showed limited knowledge of CPTED as only 10% referenced management and maintenance and physical security in their planned developments (Armitage and Joyce, 2017).    </w:t>
      </w:r>
    </w:p>
    <w:p w14:paraId="4D6F4673" w14:textId="1A293FDC" w:rsidR="00441525" w:rsidRDefault="00441525" w:rsidP="00441525">
      <w:pPr>
        <w:spacing w:line="360" w:lineRule="auto"/>
        <w:jc w:val="both"/>
        <w:rPr>
          <w:rFonts w:ascii="Arial" w:hAnsi="Arial" w:cs="Arial"/>
          <w:sz w:val="24"/>
          <w:szCs w:val="24"/>
        </w:rPr>
      </w:pPr>
      <w:r w:rsidRPr="00441525">
        <w:rPr>
          <w:rFonts w:ascii="Arial" w:hAnsi="Arial" w:cs="Arial"/>
          <w:sz w:val="24"/>
          <w:szCs w:val="24"/>
        </w:rPr>
        <w:t xml:space="preserve">Overall, the term CPTED does have beneficial factors referencing the desire to prevent crime. However, there are clear areas of development due to the age of the concept and the loss of application in new residential developments by the crime prevention design advisors as a concept. Because of the confused understanding of the concept and incomplete application, the true extent of the success rate is not actually known. A better understanding with clear elements for the concept to be applied is required to manage the concept with the significant cuts to police and local authority budgets, deregulation of planning systems and reduced training budgets (Armitage, 2018).       </w:t>
      </w:r>
    </w:p>
    <w:p w14:paraId="3B838C60" w14:textId="3E049062" w:rsidR="00441525" w:rsidRDefault="00441525" w:rsidP="00441525">
      <w:pPr>
        <w:rPr>
          <w:rFonts w:ascii="Arial" w:hAnsi="Arial" w:cs="Arial"/>
          <w:b/>
          <w:bCs/>
          <w:sz w:val="24"/>
          <w:szCs w:val="24"/>
        </w:rPr>
      </w:pPr>
      <w:r>
        <w:rPr>
          <w:rFonts w:ascii="Arial" w:hAnsi="Arial" w:cs="Arial"/>
          <w:b/>
          <w:bCs/>
          <w:sz w:val="24"/>
          <w:szCs w:val="24"/>
        </w:rPr>
        <w:t xml:space="preserve">Word count: 912 </w:t>
      </w:r>
    </w:p>
    <w:p w14:paraId="5023D638" w14:textId="09DDFB4A" w:rsidR="00441525" w:rsidRDefault="00441525" w:rsidP="00441525">
      <w:pPr>
        <w:rPr>
          <w:rFonts w:ascii="Arial" w:hAnsi="Arial" w:cs="Arial"/>
          <w:b/>
          <w:bCs/>
          <w:sz w:val="24"/>
          <w:szCs w:val="24"/>
        </w:rPr>
      </w:pPr>
    </w:p>
    <w:p w14:paraId="23FDEA4D" w14:textId="5F124A16" w:rsidR="00441525" w:rsidRDefault="00441525" w:rsidP="00441525">
      <w:pPr>
        <w:rPr>
          <w:rFonts w:ascii="Arial" w:hAnsi="Arial" w:cs="Arial"/>
          <w:b/>
          <w:bCs/>
          <w:sz w:val="24"/>
          <w:szCs w:val="24"/>
        </w:rPr>
      </w:pPr>
    </w:p>
    <w:p w14:paraId="5BB11E15" w14:textId="34DC01A4" w:rsidR="00441525" w:rsidRDefault="00441525" w:rsidP="00441525">
      <w:pPr>
        <w:rPr>
          <w:rFonts w:ascii="Arial" w:hAnsi="Arial" w:cs="Arial"/>
          <w:b/>
          <w:bCs/>
          <w:sz w:val="24"/>
          <w:szCs w:val="24"/>
        </w:rPr>
      </w:pPr>
    </w:p>
    <w:p w14:paraId="7737CDA3" w14:textId="32D8D6FC" w:rsidR="00441525" w:rsidRDefault="00441525" w:rsidP="00441525">
      <w:pPr>
        <w:rPr>
          <w:rFonts w:ascii="Arial" w:hAnsi="Arial" w:cs="Arial"/>
          <w:b/>
          <w:bCs/>
          <w:sz w:val="24"/>
          <w:szCs w:val="24"/>
        </w:rPr>
      </w:pPr>
    </w:p>
    <w:p w14:paraId="43BC4342" w14:textId="286D2048" w:rsidR="00441525" w:rsidRDefault="00441525" w:rsidP="00441525">
      <w:pPr>
        <w:rPr>
          <w:rFonts w:ascii="Arial" w:hAnsi="Arial" w:cs="Arial"/>
          <w:b/>
          <w:bCs/>
          <w:sz w:val="24"/>
          <w:szCs w:val="24"/>
        </w:rPr>
      </w:pPr>
    </w:p>
    <w:p w14:paraId="7D7C33CF" w14:textId="20DC7B3F" w:rsidR="00441525" w:rsidRDefault="00441525" w:rsidP="00441525">
      <w:pPr>
        <w:rPr>
          <w:rFonts w:ascii="Arial" w:hAnsi="Arial" w:cs="Arial"/>
          <w:b/>
          <w:bCs/>
          <w:sz w:val="24"/>
          <w:szCs w:val="24"/>
        </w:rPr>
      </w:pPr>
    </w:p>
    <w:p w14:paraId="4570DADB" w14:textId="1588DB87" w:rsidR="00441525" w:rsidRDefault="00441525" w:rsidP="00441525">
      <w:pPr>
        <w:rPr>
          <w:rFonts w:ascii="Arial" w:hAnsi="Arial" w:cs="Arial"/>
          <w:b/>
          <w:bCs/>
          <w:sz w:val="24"/>
          <w:szCs w:val="24"/>
        </w:rPr>
      </w:pPr>
    </w:p>
    <w:p w14:paraId="3E5A86F6" w14:textId="31F858B2" w:rsidR="00441525" w:rsidRDefault="00441525" w:rsidP="00441525">
      <w:pPr>
        <w:rPr>
          <w:rFonts w:ascii="Arial" w:hAnsi="Arial" w:cs="Arial"/>
          <w:b/>
          <w:bCs/>
          <w:sz w:val="24"/>
          <w:szCs w:val="24"/>
        </w:rPr>
      </w:pPr>
    </w:p>
    <w:p w14:paraId="1F6F6987" w14:textId="103010C0" w:rsidR="00441525" w:rsidRDefault="00441525" w:rsidP="00441525">
      <w:pPr>
        <w:rPr>
          <w:rFonts w:ascii="Arial" w:hAnsi="Arial" w:cs="Arial"/>
          <w:b/>
          <w:bCs/>
          <w:sz w:val="24"/>
          <w:szCs w:val="24"/>
        </w:rPr>
      </w:pPr>
    </w:p>
    <w:p w14:paraId="1EFF4BC7" w14:textId="430AC358" w:rsidR="00441525" w:rsidRDefault="00441525" w:rsidP="00441525">
      <w:pPr>
        <w:rPr>
          <w:rFonts w:ascii="Arial" w:hAnsi="Arial" w:cs="Arial"/>
          <w:b/>
          <w:bCs/>
          <w:sz w:val="24"/>
          <w:szCs w:val="24"/>
        </w:rPr>
      </w:pPr>
    </w:p>
    <w:p w14:paraId="0EF4EDB3" w14:textId="654FA0A0" w:rsidR="00441525" w:rsidRDefault="00441525" w:rsidP="00441525">
      <w:pPr>
        <w:rPr>
          <w:rFonts w:ascii="Arial" w:hAnsi="Arial" w:cs="Arial"/>
          <w:b/>
          <w:bCs/>
          <w:sz w:val="24"/>
          <w:szCs w:val="24"/>
        </w:rPr>
      </w:pPr>
    </w:p>
    <w:p w14:paraId="3AD20799" w14:textId="77777777" w:rsidR="00441525" w:rsidRPr="00441525" w:rsidRDefault="00441525" w:rsidP="00441525">
      <w:pPr>
        <w:rPr>
          <w:rFonts w:ascii="Arial" w:hAnsi="Arial" w:cs="Arial"/>
          <w:b/>
          <w:bCs/>
          <w:sz w:val="24"/>
          <w:szCs w:val="24"/>
        </w:rPr>
      </w:pPr>
    </w:p>
    <w:p w14:paraId="1BD9D7F1" w14:textId="52057194" w:rsidR="00441525" w:rsidRPr="00441525" w:rsidRDefault="00441525" w:rsidP="00441525">
      <w:pPr>
        <w:rPr>
          <w:rFonts w:ascii="Arial" w:hAnsi="Arial" w:cs="Arial"/>
          <w:b/>
          <w:bCs/>
          <w:sz w:val="24"/>
          <w:szCs w:val="24"/>
          <w:u w:val="single"/>
        </w:rPr>
      </w:pPr>
      <w:r w:rsidRPr="00441525">
        <w:rPr>
          <w:rFonts w:ascii="Arial" w:hAnsi="Arial" w:cs="Arial"/>
          <w:b/>
          <w:bCs/>
          <w:sz w:val="24"/>
          <w:szCs w:val="24"/>
          <w:u w:val="single"/>
        </w:rPr>
        <w:lastRenderedPageBreak/>
        <w:t>Essay two:</w:t>
      </w:r>
    </w:p>
    <w:p w14:paraId="35E319B3" w14:textId="1F1B2AF7" w:rsidR="00441525" w:rsidRDefault="00441525" w:rsidP="00441525">
      <w:pPr>
        <w:rPr>
          <w:rFonts w:ascii="Arial" w:hAnsi="Arial" w:cs="Arial"/>
          <w:sz w:val="24"/>
          <w:szCs w:val="24"/>
          <w:u w:val="single"/>
        </w:rPr>
      </w:pPr>
      <w:r>
        <w:rPr>
          <w:rFonts w:ascii="Arial" w:hAnsi="Arial" w:cs="Arial"/>
          <w:b/>
          <w:bCs/>
          <w:sz w:val="24"/>
          <w:szCs w:val="24"/>
          <w:u w:val="single"/>
        </w:rPr>
        <w:t xml:space="preserve">Response policing </w:t>
      </w:r>
      <w:r>
        <w:rPr>
          <w:rFonts w:ascii="Arial" w:hAnsi="Arial" w:cs="Arial"/>
          <w:sz w:val="24"/>
          <w:szCs w:val="24"/>
          <w:u w:val="single"/>
        </w:rPr>
        <w:t>– why is it important to manage trauma and mental wellbeing in policing?</w:t>
      </w:r>
    </w:p>
    <w:p w14:paraId="16E71C8E" w14:textId="77777777" w:rsidR="00441525" w:rsidRPr="00441525" w:rsidRDefault="00441525" w:rsidP="00441525">
      <w:pPr>
        <w:spacing w:line="360" w:lineRule="auto"/>
        <w:jc w:val="both"/>
        <w:rPr>
          <w:rFonts w:ascii="Arial" w:hAnsi="Arial" w:cs="Arial"/>
          <w:sz w:val="24"/>
          <w:szCs w:val="24"/>
        </w:rPr>
      </w:pPr>
      <w:r w:rsidRPr="00441525">
        <w:rPr>
          <w:rFonts w:ascii="Arial" w:hAnsi="Arial" w:cs="Arial"/>
          <w:sz w:val="24"/>
          <w:szCs w:val="24"/>
        </w:rPr>
        <w:t xml:space="preserve">Trauma relates to events and situations which are deemed distressing, frightening or even stressful which individuals experience and can occur at any time (Mind, 2020). Exposure frequency to traumatic events through policing is greater than those experienced by the public, due to the nature of the role. This has resulted in policing being considered one of the most stressful occupations, thus impacting both physical and mental health. Despite this, it is commonly referred to as an occupational hazard due to the inability to prevent trauma exposure (Tuckey and Scott, 2013). Trauma is one source of stress within policing, however other elements contribute too. These include changes to roles, resourcing implications, organisational structure, and timing pressures (Bakker and </w:t>
      </w:r>
      <w:proofErr w:type="spellStart"/>
      <w:r w:rsidRPr="00441525">
        <w:rPr>
          <w:rFonts w:ascii="Arial" w:hAnsi="Arial" w:cs="Arial"/>
          <w:sz w:val="24"/>
          <w:szCs w:val="24"/>
        </w:rPr>
        <w:t>Heuven</w:t>
      </w:r>
      <w:proofErr w:type="spellEnd"/>
      <w:r w:rsidRPr="00441525">
        <w:rPr>
          <w:rFonts w:ascii="Arial" w:hAnsi="Arial" w:cs="Arial"/>
          <w:sz w:val="24"/>
          <w:szCs w:val="24"/>
        </w:rPr>
        <w:t>, 2006).</w:t>
      </w:r>
    </w:p>
    <w:p w14:paraId="3B3F3C7E" w14:textId="7003C975" w:rsidR="00441525" w:rsidRPr="00441525" w:rsidRDefault="00441525" w:rsidP="00441525">
      <w:pPr>
        <w:spacing w:line="360" w:lineRule="auto"/>
        <w:jc w:val="both"/>
        <w:rPr>
          <w:rFonts w:ascii="Arial" w:hAnsi="Arial" w:cs="Arial"/>
          <w:sz w:val="24"/>
          <w:szCs w:val="24"/>
        </w:rPr>
      </w:pPr>
      <w:r w:rsidRPr="00441525">
        <w:rPr>
          <w:rFonts w:ascii="Arial" w:hAnsi="Arial" w:cs="Arial"/>
          <w:sz w:val="24"/>
          <w:szCs w:val="24"/>
        </w:rPr>
        <w:t xml:space="preserve">Exposure to both stress and trauma have negative impacts on physical and psychological health and wellbeing. Common physical issues manifested by heightened levels of stress includes heart disease, digestive </w:t>
      </w:r>
      <w:r w:rsidR="00E64181" w:rsidRPr="00441525">
        <w:rPr>
          <w:rFonts w:ascii="Arial" w:hAnsi="Arial" w:cs="Arial"/>
          <w:sz w:val="24"/>
          <w:szCs w:val="24"/>
        </w:rPr>
        <w:t>disorders,</w:t>
      </w:r>
      <w:r w:rsidRPr="00441525">
        <w:rPr>
          <w:rFonts w:ascii="Arial" w:hAnsi="Arial" w:cs="Arial"/>
          <w:sz w:val="24"/>
          <w:szCs w:val="24"/>
        </w:rPr>
        <w:t xml:space="preserve"> and diabetes. These conditions are clearer to recognise in comparison to psychological ill-health (McDaniel et al., 2020). Psychological impacts of stressors through policing are often anxiety, depression, and post-traumatic stress disorder (PTSD) (Gershon et al., 2009). Psychological ill-health effects are common due to the emotional labour whilst dealing with calls and are also commonly experienced by call handlers who take potentially distressing and intense calls. Although, most policing roles can experience this differently as emotional labour is not limited to one area of policing (Pierce and Lilly, 2012). This is due to officers having to regulate their own feelings and emotions to help manage those of the people and situation they are dealing with which incorporates surface and deep acting (</w:t>
      </w:r>
      <w:proofErr w:type="spellStart"/>
      <w:r w:rsidRPr="00441525">
        <w:rPr>
          <w:rFonts w:ascii="Arial" w:hAnsi="Arial" w:cs="Arial"/>
          <w:sz w:val="24"/>
          <w:szCs w:val="24"/>
        </w:rPr>
        <w:t>Grandey</w:t>
      </w:r>
      <w:proofErr w:type="spellEnd"/>
      <w:r w:rsidRPr="00441525">
        <w:rPr>
          <w:rFonts w:ascii="Arial" w:hAnsi="Arial" w:cs="Arial"/>
          <w:sz w:val="24"/>
          <w:szCs w:val="24"/>
        </w:rPr>
        <w:t xml:space="preserve">, 2000). Consequently, policing victims of trauma leads to officers from experiencing secondary trauma. This occurs through the emotional connection with the individual traumatised whereby their symptoms are transferred to another person, in this case the officer attending or the call handler (Foley and Massey, 2021). Specifically with response policing and public protection units, it is likely that the potential for secondary trauma exposure is greater than experiencing primary trauma. The impacts from experiencing secondary trauma can also remain with officers once they change departments and even after they retire by </w:t>
      </w:r>
      <w:r w:rsidRPr="00441525">
        <w:rPr>
          <w:rFonts w:ascii="Arial" w:hAnsi="Arial" w:cs="Arial"/>
          <w:sz w:val="24"/>
          <w:szCs w:val="24"/>
        </w:rPr>
        <w:lastRenderedPageBreak/>
        <w:t xml:space="preserve">fatigue and psychological distress (Ahern et al. 2017). Whereas primary trauma may be more frequent with road policing officers when attending collisions, especially if there is a fatality. </w:t>
      </w:r>
    </w:p>
    <w:p w14:paraId="04007D80" w14:textId="77777777" w:rsidR="00441525" w:rsidRPr="00441525" w:rsidRDefault="00441525" w:rsidP="00441525">
      <w:pPr>
        <w:spacing w:line="360" w:lineRule="auto"/>
        <w:jc w:val="both"/>
        <w:rPr>
          <w:rFonts w:ascii="Arial" w:hAnsi="Arial" w:cs="Arial"/>
          <w:sz w:val="24"/>
          <w:szCs w:val="24"/>
        </w:rPr>
      </w:pPr>
      <w:r w:rsidRPr="00441525">
        <w:rPr>
          <w:rFonts w:ascii="Arial" w:hAnsi="Arial" w:cs="Arial"/>
          <w:sz w:val="24"/>
          <w:szCs w:val="24"/>
        </w:rPr>
        <w:t>The impacts of trauma and well-being affect both the individual and the organisation. Figures reported from the Police Federation (2022) have shown a 57% increase in staff absences through mental ill-health issues in the financial year of 2022 in comparison to the previous year, with 13,263 absentees. This level of sickness has a negative knock-on effect to those working due to having to manage the workloads of those absent in addition to increased demand and managing pressure passed onto the police from the struggling public health and social services system (McDaniel et al., 2020). Even with the worryingly high increase in absentees, the number of officers who have experienced mental ill-health due to stress and trauma is much greater. From data obtained in 2016, 80% of respondents were affected which led to difficulties in manging their well-being within a twelve-month period. Of this percentage, nine out of ten respondents claimed that policing and the working environment negatively contributed to their issues and over half of the respondents consequently took at least one day in sick absence (</w:t>
      </w:r>
      <w:proofErr w:type="spellStart"/>
      <w:r w:rsidRPr="00441525">
        <w:rPr>
          <w:rFonts w:ascii="Arial" w:hAnsi="Arial" w:cs="Arial"/>
          <w:sz w:val="24"/>
          <w:szCs w:val="24"/>
        </w:rPr>
        <w:t>Houdmount</w:t>
      </w:r>
      <w:proofErr w:type="spellEnd"/>
      <w:r w:rsidRPr="00441525">
        <w:rPr>
          <w:rFonts w:ascii="Arial" w:hAnsi="Arial" w:cs="Arial"/>
          <w:sz w:val="24"/>
          <w:szCs w:val="24"/>
        </w:rPr>
        <w:t xml:space="preserve"> and Elliot-Davies, 2016).</w:t>
      </w:r>
    </w:p>
    <w:p w14:paraId="21DB552B" w14:textId="77777777" w:rsidR="00441525" w:rsidRPr="00441525" w:rsidRDefault="00441525" w:rsidP="00441525">
      <w:pPr>
        <w:spacing w:line="360" w:lineRule="auto"/>
        <w:jc w:val="both"/>
        <w:rPr>
          <w:rFonts w:ascii="Arial" w:hAnsi="Arial" w:cs="Arial"/>
          <w:sz w:val="24"/>
          <w:szCs w:val="24"/>
        </w:rPr>
      </w:pPr>
      <w:r w:rsidRPr="00441525">
        <w:rPr>
          <w:rFonts w:ascii="Arial" w:hAnsi="Arial" w:cs="Arial"/>
          <w:sz w:val="24"/>
          <w:szCs w:val="24"/>
        </w:rPr>
        <w:t>Management of trauma must be specific to the individual due to the differentiating impacts it has. Generally, police forces provide trauma resilience sessions yearly to officers as a method to ‘retrain’ the brain. The integration of different coping strategies encourages officers to recognise stress indicators and to improve their strategies of coping (Patterson et al., 2014). This type of intervention must be thoroughly considered and adapted to prevent officers associating the intervention as mundane or a ‘tick box exercise’, especially as the issues associated with trauma have the potential to exacerbate due to inadequate organisation response (</w:t>
      </w:r>
      <w:proofErr w:type="spellStart"/>
      <w:r w:rsidRPr="00441525">
        <w:rPr>
          <w:rFonts w:ascii="Arial" w:hAnsi="Arial" w:cs="Arial"/>
          <w:sz w:val="24"/>
          <w:szCs w:val="24"/>
        </w:rPr>
        <w:t>Stinchcomb</w:t>
      </w:r>
      <w:proofErr w:type="spellEnd"/>
      <w:r w:rsidRPr="00441525">
        <w:rPr>
          <w:rFonts w:ascii="Arial" w:hAnsi="Arial" w:cs="Arial"/>
          <w:sz w:val="24"/>
          <w:szCs w:val="24"/>
        </w:rPr>
        <w:t>, 2004). Despite organisations having the legal responsibility to ensure the wellbeing and health of their workers (Health and Safety Executive, 2009). This is especially prevalent, as in some cases failure to cope with trauma and stress can lead to heightened levels of suicidal intentions and suicide, especially as multiple exposures to trauma increase PTSD risk and symptoms have the potential to later reactivate even if the individuals’ symptoms are considered in remission (</w:t>
      </w:r>
      <w:proofErr w:type="spellStart"/>
      <w:r w:rsidRPr="00441525">
        <w:rPr>
          <w:rFonts w:ascii="Arial" w:hAnsi="Arial" w:cs="Arial"/>
          <w:sz w:val="24"/>
          <w:szCs w:val="24"/>
        </w:rPr>
        <w:t>Violanti</w:t>
      </w:r>
      <w:proofErr w:type="spellEnd"/>
      <w:r w:rsidRPr="00441525">
        <w:rPr>
          <w:rFonts w:ascii="Arial" w:hAnsi="Arial" w:cs="Arial"/>
          <w:sz w:val="24"/>
          <w:szCs w:val="24"/>
        </w:rPr>
        <w:t xml:space="preserve"> et al., 2007; Randall and Buys, 2013). </w:t>
      </w:r>
    </w:p>
    <w:p w14:paraId="704C0CE9" w14:textId="50E23310" w:rsidR="00441525" w:rsidRDefault="00441525" w:rsidP="00441525">
      <w:pPr>
        <w:spacing w:line="360" w:lineRule="auto"/>
        <w:jc w:val="both"/>
        <w:rPr>
          <w:rFonts w:ascii="Arial" w:hAnsi="Arial" w:cs="Arial"/>
          <w:sz w:val="24"/>
          <w:szCs w:val="24"/>
        </w:rPr>
      </w:pPr>
      <w:r w:rsidRPr="00441525">
        <w:rPr>
          <w:rFonts w:ascii="Arial" w:hAnsi="Arial" w:cs="Arial"/>
          <w:sz w:val="24"/>
          <w:szCs w:val="24"/>
        </w:rPr>
        <w:lastRenderedPageBreak/>
        <w:t>Although it is not possible to remove the source of trauma from policing, the secondary and tertiary effects of trauma must be managed. There are clear detrimental effects on mental wellbeing from officers who have responded to surveys. However, the true extent of the issue is not entirely known because of the low response rates. This is an area that must be continually revisited to understand the impacts on the workforce. Adequate measures of enhancing the workforce ability to cope with situations and stressors must be adopted to reduce the impacts previously discussed. Additionally, support networks but be available constantly whether provided by the force or of an external agency. Nonetheless, this interest in wellbeing and trauma impacts must be of genuine concern for the workforce though rather than the current interest due to funding cuts and increasing demand through picking up the pieces of other public health services. Therefore, appropriately frequent surveys must be provided to the workforce to measure physical and psychological wellbeing along with organisational factors to understand the feelings of the workforce and to provide appropriate support mechanisms.</w:t>
      </w:r>
    </w:p>
    <w:p w14:paraId="21F3B06F" w14:textId="7C137736" w:rsidR="00441525" w:rsidRPr="00441525" w:rsidRDefault="00441525" w:rsidP="00441525">
      <w:pPr>
        <w:spacing w:line="360" w:lineRule="auto"/>
        <w:jc w:val="both"/>
        <w:rPr>
          <w:rFonts w:ascii="Arial" w:hAnsi="Arial" w:cs="Arial"/>
          <w:b/>
          <w:bCs/>
          <w:sz w:val="24"/>
          <w:szCs w:val="24"/>
        </w:rPr>
      </w:pPr>
      <w:r w:rsidRPr="00441525">
        <w:rPr>
          <w:rFonts w:ascii="Arial" w:hAnsi="Arial" w:cs="Arial"/>
          <w:b/>
          <w:bCs/>
          <w:sz w:val="24"/>
          <w:szCs w:val="24"/>
        </w:rPr>
        <w:t xml:space="preserve">Word count: 927 </w:t>
      </w:r>
    </w:p>
    <w:p w14:paraId="28659CF7" w14:textId="77777777" w:rsidR="00441525" w:rsidRDefault="00441525" w:rsidP="00441525">
      <w:pPr>
        <w:rPr>
          <w:rFonts w:ascii="Arial" w:hAnsi="Arial" w:cs="Arial"/>
          <w:b/>
          <w:bCs/>
          <w:sz w:val="24"/>
          <w:szCs w:val="24"/>
          <w:u w:val="single"/>
        </w:rPr>
      </w:pPr>
    </w:p>
    <w:p w14:paraId="7DF6D1C6" w14:textId="77777777" w:rsidR="00441525" w:rsidRDefault="00441525" w:rsidP="00441525">
      <w:pPr>
        <w:rPr>
          <w:rFonts w:ascii="Arial" w:hAnsi="Arial" w:cs="Arial"/>
          <w:b/>
          <w:bCs/>
          <w:sz w:val="24"/>
          <w:szCs w:val="24"/>
          <w:u w:val="single"/>
        </w:rPr>
      </w:pPr>
    </w:p>
    <w:p w14:paraId="5E765068" w14:textId="77777777" w:rsidR="00441525" w:rsidRDefault="00441525" w:rsidP="00441525">
      <w:pPr>
        <w:rPr>
          <w:rFonts w:ascii="Arial" w:hAnsi="Arial" w:cs="Arial"/>
          <w:b/>
          <w:bCs/>
          <w:sz w:val="24"/>
          <w:szCs w:val="24"/>
          <w:u w:val="single"/>
        </w:rPr>
      </w:pPr>
    </w:p>
    <w:p w14:paraId="65CA3BA4" w14:textId="77777777" w:rsidR="00441525" w:rsidRDefault="00441525" w:rsidP="00441525">
      <w:pPr>
        <w:rPr>
          <w:rFonts w:ascii="Arial" w:hAnsi="Arial" w:cs="Arial"/>
          <w:b/>
          <w:bCs/>
          <w:sz w:val="24"/>
          <w:szCs w:val="24"/>
          <w:u w:val="single"/>
        </w:rPr>
      </w:pPr>
    </w:p>
    <w:p w14:paraId="448B42EC" w14:textId="77777777" w:rsidR="00441525" w:rsidRDefault="00441525" w:rsidP="00441525">
      <w:pPr>
        <w:rPr>
          <w:rFonts w:ascii="Arial" w:hAnsi="Arial" w:cs="Arial"/>
          <w:b/>
          <w:bCs/>
          <w:sz w:val="24"/>
          <w:szCs w:val="24"/>
          <w:u w:val="single"/>
        </w:rPr>
      </w:pPr>
    </w:p>
    <w:p w14:paraId="02C4E75F" w14:textId="77777777" w:rsidR="00441525" w:rsidRDefault="00441525" w:rsidP="00441525">
      <w:pPr>
        <w:rPr>
          <w:rFonts w:ascii="Arial" w:hAnsi="Arial" w:cs="Arial"/>
          <w:b/>
          <w:bCs/>
          <w:sz w:val="24"/>
          <w:szCs w:val="24"/>
          <w:u w:val="single"/>
        </w:rPr>
      </w:pPr>
    </w:p>
    <w:p w14:paraId="57F5E972" w14:textId="77777777" w:rsidR="00441525" w:rsidRDefault="00441525" w:rsidP="00441525">
      <w:pPr>
        <w:rPr>
          <w:rFonts w:ascii="Arial" w:hAnsi="Arial" w:cs="Arial"/>
          <w:b/>
          <w:bCs/>
          <w:sz w:val="24"/>
          <w:szCs w:val="24"/>
          <w:u w:val="single"/>
        </w:rPr>
      </w:pPr>
    </w:p>
    <w:p w14:paraId="5B66A953" w14:textId="77777777" w:rsidR="00441525" w:rsidRDefault="00441525" w:rsidP="00441525">
      <w:pPr>
        <w:rPr>
          <w:rFonts w:ascii="Arial" w:hAnsi="Arial" w:cs="Arial"/>
          <w:b/>
          <w:bCs/>
          <w:sz w:val="24"/>
          <w:szCs w:val="24"/>
          <w:u w:val="single"/>
        </w:rPr>
      </w:pPr>
    </w:p>
    <w:p w14:paraId="5DB7087B" w14:textId="77777777" w:rsidR="00441525" w:rsidRDefault="00441525" w:rsidP="00441525">
      <w:pPr>
        <w:rPr>
          <w:rFonts w:ascii="Arial" w:hAnsi="Arial" w:cs="Arial"/>
          <w:b/>
          <w:bCs/>
          <w:sz w:val="24"/>
          <w:szCs w:val="24"/>
          <w:u w:val="single"/>
        </w:rPr>
      </w:pPr>
    </w:p>
    <w:p w14:paraId="4B0A10FA" w14:textId="77777777" w:rsidR="00441525" w:rsidRDefault="00441525" w:rsidP="00441525">
      <w:pPr>
        <w:rPr>
          <w:rFonts w:ascii="Arial" w:hAnsi="Arial" w:cs="Arial"/>
          <w:b/>
          <w:bCs/>
          <w:sz w:val="24"/>
          <w:szCs w:val="24"/>
          <w:u w:val="single"/>
        </w:rPr>
      </w:pPr>
    </w:p>
    <w:p w14:paraId="3CB068D1" w14:textId="77777777" w:rsidR="00441525" w:rsidRDefault="00441525" w:rsidP="00441525">
      <w:pPr>
        <w:rPr>
          <w:rFonts w:ascii="Arial" w:hAnsi="Arial" w:cs="Arial"/>
          <w:b/>
          <w:bCs/>
          <w:sz w:val="24"/>
          <w:szCs w:val="24"/>
          <w:u w:val="single"/>
        </w:rPr>
      </w:pPr>
    </w:p>
    <w:p w14:paraId="0479D106" w14:textId="77777777" w:rsidR="00441525" w:rsidRDefault="00441525" w:rsidP="00441525">
      <w:pPr>
        <w:rPr>
          <w:rFonts w:ascii="Arial" w:hAnsi="Arial" w:cs="Arial"/>
          <w:b/>
          <w:bCs/>
          <w:sz w:val="24"/>
          <w:szCs w:val="24"/>
          <w:u w:val="single"/>
        </w:rPr>
      </w:pPr>
    </w:p>
    <w:p w14:paraId="5770B92C" w14:textId="77777777" w:rsidR="00441525" w:rsidRDefault="00441525" w:rsidP="00441525">
      <w:pPr>
        <w:rPr>
          <w:rFonts w:ascii="Arial" w:hAnsi="Arial" w:cs="Arial"/>
          <w:b/>
          <w:bCs/>
          <w:sz w:val="24"/>
          <w:szCs w:val="24"/>
          <w:u w:val="single"/>
        </w:rPr>
      </w:pPr>
    </w:p>
    <w:p w14:paraId="3F826B80" w14:textId="77777777" w:rsidR="00441525" w:rsidRDefault="00441525" w:rsidP="00441525">
      <w:pPr>
        <w:rPr>
          <w:rFonts w:ascii="Arial" w:hAnsi="Arial" w:cs="Arial"/>
          <w:b/>
          <w:bCs/>
          <w:sz w:val="24"/>
          <w:szCs w:val="24"/>
          <w:u w:val="single"/>
        </w:rPr>
      </w:pPr>
    </w:p>
    <w:p w14:paraId="31017569" w14:textId="77777777" w:rsidR="00441525" w:rsidRDefault="00441525" w:rsidP="00441525">
      <w:pPr>
        <w:rPr>
          <w:rFonts w:ascii="Arial" w:hAnsi="Arial" w:cs="Arial"/>
          <w:b/>
          <w:bCs/>
          <w:sz w:val="24"/>
          <w:szCs w:val="24"/>
          <w:u w:val="single"/>
        </w:rPr>
      </w:pPr>
    </w:p>
    <w:p w14:paraId="5A5921CE" w14:textId="0962DE93" w:rsidR="00441525" w:rsidRPr="00441525" w:rsidRDefault="00441525" w:rsidP="00441525">
      <w:pPr>
        <w:rPr>
          <w:rFonts w:ascii="Arial" w:hAnsi="Arial" w:cs="Arial"/>
          <w:b/>
          <w:bCs/>
          <w:sz w:val="24"/>
          <w:szCs w:val="24"/>
          <w:u w:val="single"/>
        </w:rPr>
      </w:pPr>
      <w:r w:rsidRPr="00441525">
        <w:rPr>
          <w:rFonts w:ascii="Arial" w:hAnsi="Arial" w:cs="Arial"/>
          <w:b/>
          <w:bCs/>
          <w:sz w:val="24"/>
          <w:szCs w:val="24"/>
          <w:u w:val="single"/>
        </w:rPr>
        <w:lastRenderedPageBreak/>
        <w:t>Essay three:</w:t>
      </w:r>
    </w:p>
    <w:p w14:paraId="7B8CFC30" w14:textId="186B0DFD" w:rsidR="00441525" w:rsidRDefault="00441525" w:rsidP="00441525">
      <w:pPr>
        <w:spacing w:line="360" w:lineRule="auto"/>
        <w:jc w:val="both"/>
        <w:rPr>
          <w:rFonts w:ascii="Arial" w:hAnsi="Arial" w:cs="Arial"/>
          <w:sz w:val="24"/>
          <w:szCs w:val="24"/>
          <w:u w:val="single"/>
        </w:rPr>
      </w:pPr>
      <w:r w:rsidRPr="00441525">
        <w:rPr>
          <w:rFonts w:ascii="Arial" w:hAnsi="Arial" w:cs="Arial"/>
          <w:sz w:val="24"/>
          <w:szCs w:val="24"/>
          <w:u w:val="single"/>
        </w:rPr>
        <w:t>Why is it necessary to challenge the negative aspects of organisational culture within policing? Your answer must be based on academic research rather than personal experience</w:t>
      </w:r>
      <w:r>
        <w:rPr>
          <w:rFonts w:ascii="Arial" w:hAnsi="Arial" w:cs="Arial"/>
          <w:sz w:val="24"/>
          <w:szCs w:val="24"/>
          <w:u w:val="single"/>
        </w:rPr>
        <w:t>.</w:t>
      </w:r>
    </w:p>
    <w:p w14:paraId="68FF80B1" w14:textId="77777777" w:rsidR="00441525" w:rsidRPr="00441525" w:rsidRDefault="00441525" w:rsidP="00441525">
      <w:pPr>
        <w:spacing w:line="360" w:lineRule="auto"/>
        <w:jc w:val="both"/>
        <w:rPr>
          <w:rFonts w:ascii="Arial" w:hAnsi="Arial" w:cs="Arial"/>
          <w:sz w:val="24"/>
          <w:szCs w:val="24"/>
        </w:rPr>
      </w:pPr>
      <w:r w:rsidRPr="00441525">
        <w:rPr>
          <w:rFonts w:ascii="Arial" w:hAnsi="Arial" w:cs="Arial"/>
          <w:sz w:val="24"/>
          <w:szCs w:val="24"/>
        </w:rPr>
        <w:t xml:space="preserve">The concept of organisational culture is a broad topic of which there are multiple definitions, although all with similar encompassing factors. Charman (2017) describes the concept as providing a sense of identity, which is embraced by the workforce towards organisational commitment. This differs within the policing context where dated definitions refer to the layering of occupational norms and values which operate under the policing hierarchical structure (Chan, 1997). Whereas more recently, policing culture is considered as the acceptance of practices that emerge within groups of officers in line with their understanding about standards of conduct and the policing mission (Bacon, 2014). The organisational culture portrayed by the police can have both positive and negative connotations with both its own workforce and the public in which it serves. </w:t>
      </w:r>
    </w:p>
    <w:p w14:paraId="2CF905FB" w14:textId="77777777" w:rsidR="00441525" w:rsidRPr="00441525" w:rsidRDefault="00441525" w:rsidP="00441525">
      <w:pPr>
        <w:spacing w:line="360" w:lineRule="auto"/>
        <w:jc w:val="both"/>
        <w:rPr>
          <w:rFonts w:ascii="Arial" w:hAnsi="Arial" w:cs="Arial"/>
          <w:sz w:val="24"/>
          <w:szCs w:val="24"/>
        </w:rPr>
      </w:pPr>
      <w:r w:rsidRPr="00441525">
        <w:rPr>
          <w:rFonts w:ascii="Arial" w:hAnsi="Arial" w:cs="Arial"/>
          <w:sz w:val="24"/>
          <w:szCs w:val="24"/>
        </w:rPr>
        <w:t xml:space="preserve">Policing organisational culture can be adapted to improve the productivity of its workforce, relieve tension, and contribute towards strategic change. However, where change is required, this is often a vocal point initially rather than cultural changes which may be vocalised as the main issue (Johnson et al., 2008). As a socially constructed reality, the associated beliefs, and values commonly manifest within themselves through the officers within the working environment and due to the many levels within the police, these can differentiate throughout the police service as a whole (Charman, 2017). Therefore, police officers who have been in the role for a number of years are likely to have different beliefs compared to those of new recruits. The effect on organisational culture between serving officers and new recruits has been researched by Beck and Wilson (1997). The acceptance and belief in organisational goals and the craving to undertake the role for the organisation whilst remaining in the organisation reduces with the time that an officer remains in the role. There are also further concerns as the negative attitudes from serving officers impacts the development of those joining the job, whilst also impacting their socialisation and identity. This is likely to be one of the influential factors with retention rates as the average attrition rate for new recruits within the United Kingdom is currently 9.1% (Police Oracle, 2022). </w:t>
      </w:r>
    </w:p>
    <w:p w14:paraId="68673570" w14:textId="77777777" w:rsidR="00441525" w:rsidRPr="00441525" w:rsidRDefault="00441525" w:rsidP="00441525">
      <w:pPr>
        <w:spacing w:line="360" w:lineRule="auto"/>
        <w:jc w:val="both"/>
        <w:rPr>
          <w:rFonts w:ascii="Arial" w:hAnsi="Arial" w:cs="Arial"/>
          <w:sz w:val="24"/>
          <w:szCs w:val="24"/>
        </w:rPr>
      </w:pPr>
      <w:r w:rsidRPr="00441525">
        <w:rPr>
          <w:rFonts w:ascii="Arial" w:hAnsi="Arial" w:cs="Arial"/>
          <w:sz w:val="24"/>
          <w:szCs w:val="24"/>
        </w:rPr>
        <w:lastRenderedPageBreak/>
        <w:t>The cultures shown within the 1960’s of policing was referred to as the “Golden Age” due to heightened levels of trust between the public and the officers serving. This was the case due to focus being upon service delivery as opposed to law enforcement (</w:t>
      </w:r>
      <w:proofErr w:type="spellStart"/>
      <w:r w:rsidRPr="00441525">
        <w:rPr>
          <w:rFonts w:ascii="Arial" w:hAnsi="Arial" w:cs="Arial"/>
          <w:sz w:val="24"/>
          <w:szCs w:val="24"/>
        </w:rPr>
        <w:t>Cockroft</w:t>
      </w:r>
      <w:proofErr w:type="spellEnd"/>
      <w:r w:rsidRPr="00441525">
        <w:rPr>
          <w:rFonts w:ascii="Arial" w:hAnsi="Arial" w:cs="Arial"/>
          <w:sz w:val="24"/>
          <w:szCs w:val="24"/>
        </w:rPr>
        <w:t xml:space="preserve">, 2020). However, the types of crimes being committed, and the diversity of the population is ever changing. Therefore, the culture has evolved and will continue to. With the role the officer undertakes also influencing the culture adopted, there is the requirement for understanding that this impacts the behaviours displayed which are also present when dealing with the public. Although this will also perpetuate behaviours of excessive force, sexual harassment, discrimination and misuse of power (Brough et al., 2016). This cannot be referred to as a “police personality” though when officers share perceptions through exposure of similar incidents because it will not root out dangerous organisational culture (Skolnick, 2011).   </w:t>
      </w:r>
    </w:p>
    <w:p w14:paraId="5A79FFEC" w14:textId="77777777" w:rsidR="00441525" w:rsidRPr="00441525" w:rsidRDefault="00441525" w:rsidP="00441525">
      <w:pPr>
        <w:spacing w:line="360" w:lineRule="auto"/>
        <w:jc w:val="both"/>
        <w:rPr>
          <w:rFonts w:ascii="Arial" w:hAnsi="Arial" w:cs="Arial"/>
          <w:sz w:val="24"/>
          <w:szCs w:val="24"/>
        </w:rPr>
      </w:pPr>
      <w:r w:rsidRPr="00441525">
        <w:rPr>
          <w:rFonts w:ascii="Arial" w:hAnsi="Arial" w:cs="Arial"/>
          <w:sz w:val="24"/>
          <w:szCs w:val="24"/>
        </w:rPr>
        <w:t xml:space="preserve">A generalised ideal culture in policing is the application of the “Code of Ethics”, consisting of nine principles which were devised to be the ethical behaviours always portrayed by officers, regardless of the situation they are placed. A key principle is that of integrity, whereby one must act honestly and not abusing their position (College of Policing, 2014). However, this is not always abided by and in some cases can become highly publicised in the media. For example, there have been identified subcultures within forces of institutional racism, misogyny and homophobia. These behaviours have been discussed by Baroness Casey (2023) referencing the internal culture within the Metropolitan Police Service after the murder of Sarah Everard by a serving Metropolitan constable. Additionally, it is also reported that there is an associated culture of softening denial relating to these subcultures. This is a recurring concern especially when the police manage their own complaints. It has been shown that the public have high levels of dissatisfaction in the police handling complaints due to the lack of impartiality (Schulenberg et al., 2017). </w:t>
      </w:r>
    </w:p>
    <w:p w14:paraId="155BF2B4" w14:textId="77777777" w:rsidR="00441525" w:rsidRPr="00441525" w:rsidRDefault="00441525" w:rsidP="00441525">
      <w:pPr>
        <w:spacing w:line="360" w:lineRule="auto"/>
        <w:jc w:val="both"/>
        <w:rPr>
          <w:rFonts w:ascii="Arial" w:hAnsi="Arial" w:cs="Arial"/>
          <w:sz w:val="24"/>
          <w:szCs w:val="24"/>
        </w:rPr>
      </w:pPr>
      <w:r w:rsidRPr="00441525">
        <w:rPr>
          <w:rFonts w:ascii="Arial" w:hAnsi="Arial" w:cs="Arial"/>
          <w:sz w:val="24"/>
          <w:szCs w:val="24"/>
        </w:rPr>
        <w:t>Through negative cultures comes the lack of faith in policing from the public. Of the respondents to a recent crime survey, it showed that 40% believe that the police are not doing a “good job” (YouGov, 2023). A requirement to improving public confidence in relation to organisational culture is the use of external agencies when dealing with issues and complaints. This is due to existing systems being independent to the police which are lacking transparency and show a sense of loyalty to officers (</w:t>
      </w:r>
      <w:proofErr w:type="spellStart"/>
      <w:r w:rsidRPr="00441525">
        <w:rPr>
          <w:rFonts w:ascii="Arial" w:hAnsi="Arial" w:cs="Arial"/>
          <w:sz w:val="24"/>
          <w:szCs w:val="24"/>
        </w:rPr>
        <w:t>Westmarland</w:t>
      </w:r>
      <w:proofErr w:type="spellEnd"/>
      <w:r w:rsidRPr="00441525">
        <w:rPr>
          <w:rFonts w:ascii="Arial" w:hAnsi="Arial" w:cs="Arial"/>
          <w:sz w:val="24"/>
          <w:szCs w:val="24"/>
        </w:rPr>
        <w:t xml:space="preserve"> and Rowe, 2018). There have been changes proposed through the Policing and Crime </w:t>
      </w:r>
      <w:r w:rsidRPr="00441525">
        <w:rPr>
          <w:rFonts w:ascii="Arial" w:hAnsi="Arial" w:cs="Arial"/>
          <w:sz w:val="24"/>
          <w:szCs w:val="24"/>
        </w:rPr>
        <w:lastRenderedPageBreak/>
        <w:t>Act 2017, promoting integrity within policing through a reformed complaints and discipline process identifying area of learning for those officers who are faced with complaints (</w:t>
      </w:r>
      <w:proofErr w:type="spellStart"/>
      <w:r w:rsidRPr="00441525">
        <w:rPr>
          <w:rFonts w:ascii="Arial" w:hAnsi="Arial" w:cs="Arial"/>
          <w:sz w:val="24"/>
          <w:szCs w:val="24"/>
        </w:rPr>
        <w:t>Torrible</w:t>
      </w:r>
      <w:proofErr w:type="spellEnd"/>
      <w:r w:rsidRPr="00441525">
        <w:rPr>
          <w:rFonts w:ascii="Arial" w:hAnsi="Arial" w:cs="Arial"/>
          <w:sz w:val="24"/>
          <w:szCs w:val="24"/>
        </w:rPr>
        <w:t xml:space="preserve">, 2021). </w:t>
      </w:r>
    </w:p>
    <w:p w14:paraId="5E0465E5" w14:textId="0254655F" w:rsidR="00441525" w:rsidRDefault="00441525" w:rsidP="00441525">
      <w:pPr>
        <w:spacing w:line="360" w:lineRule="auto"/>
        <w:jc w:val="both"/>
        <w:rPr>
          <w:rFonts w:ascii="Arial" w:hAnsi="Arial" w:cs="Arial"/>
          <w:sz w:val="24"/>
          <w:szCs w:val="24"/>
        </w:rPr>
      </w:pPr>
      <w:r w:rsidRPr="00441525">
        <w:rPr>
          <w:rFonts w:ascii="Arial" w:hAnsi="Arial" w:cs="Arial"/>
          <w:sz w:val="24"/>
          <w:szCs w:val="24"/>
        </w:rPr>
        <w:t xml:space="preserve">Negative policing cultures ultimately lower public confidence which has consequential knock-on effects with communities, including the lack of reporting and reduced engagement. Therefore, forces must seek to understand the culture in which their workforce possesses despite the multiple layers which may exist. This process must start by understanding the feelings of those working within the force and what they feel would make working practices better. Additionally, those being recruited must fit within the culture in which the police wish to portray although this may be difficult to assess within the application process.  </w:t>
      </w:r>
    </w:p>
    <w:p w14:paraId="7AC1ABB3" w14:textId="6F778313" w:rsidR="00441525" w:rsidRPr="00441525" w:rsidRDefault="00441525" w:rsidP="00441525">
      <w:pPr>
        <w:spacing w:line="360" w:lineRule="auto"/>
        <w:jc w:val="both"/>
        <w:rPr>
          <w:rFonts w:ascii="Arial" w:hAnsi="Arial" w:cs="Arial"/>
          <w:b/>
          <w:bCs/>
          <w:sz w:val="24"/>
          <w:szCs w:val="24"/>
        </w:rPr>
      </w:pPr>
      <w:r>
        <w:rPr>
          <w:rFonts w:ascii="Arial" w:hAnsi="Arial" w:cs="Arial"/>
          <w:b/>
          <w:bCs/>
          <w:sz w:val="24"/>
          <w:szCs w:val="24"/>
        </w:rPr>
        <w:t>Word count: 900</w:t>
      </w:r>
    </w:p>
    <w:p w14:paraId="461CFE6C" w14:textId="77777777" w:rsidR="00441525" w:rsidRDefault="00441525" w:rsidP="00441525">
      <w:pPr>
        <w:rPr>
          <w:rFonts w:ascii="Arial" w:hAnsi="Arial" w:cs="Arial"/>
          <w:b/>
          <w:bCs/>
          <w:sz w:val="24"/>
          <w:szCs w:val="24"/>
          <w:u w:val="single"/>
        </w:rPr>
      </w:pPr>
    </w:p>
    <w:p w14:paraId="3A947991" w14:textId="77777777" w:rsidR="00441525" w:rsidRDefault="00441525" w:rsidP="00441525">
      <w:pPr>
        <w:rPr>
          <w:rFonts w:ascii="Arial" w:hAnsi="Arial" w:cs="Arial"/>
          <w:b/>
          <w:bCs/>
          <w:sz w:val="24"/>
          <w:szCs w:val="24"/>
          <w:u w:val="single"/>
        </w:rPr>
      </w:pPr>
    </w:p>
    <w:p w14:paraId="79995541" w14:textId="77777777" w:rsidR="00441525" w:rsidRDefault="00441525" w:rsidP="00441525">
      <w:pPr>
        <w:rPr>
          <w:rFonts w:ascii="Arial" w:hAnsi="Arial" w:cs="Arial"/>
          <w:b/>
          <w:bCs/>
          <w:sz w:val="24"/>
          <w:szCs w:val="24"/>
          <w:u w:val="single"/>
        </w:rPr>
      </w:pPr>
    </w:p>
    <w:p w14:paraId="696B17A3" w14:textId="77777777" w:rsidR="00441525" w:rsidRDefault="00441525" w:rsidP="00441525">
      <w:pPr>
        <w:rPr>
          <w:rFonts w:ascii="Arial" w:hAnsi="Arial" w:cs="Arial"/>
          <w:b/>
          <w:bCs/>
          <w:sz w:val="24"/>
          <w:szCs w:val="24"/>
          <w:u w:val="single"/>
        </w:rPr>
      </w:pPr>
    </w:p>
    <w:p w14:paraId="02A331AE" w14:textId="77777777" w:rsidR="00441525" w:rsidRDefault="00441525" w:rsidP="00441525">
      <w:pPr>
        <w:rPr>
          <w:rFonts w:ascii="Arial" w:hAnsi="Arial" w:cs="Arial"/>
          <w:b/>
          <w:bCs/>
          <w:sz w:val="24"/>
          <w:szCs w:val="24"/>
          <w:u w:val="single"/>
        </w:rPr>
      </w:pPr>
    </w:p>
    <w:p w14:paraId="536315F8" w14:textId="77777777" w:rsidR="00441525" w:rsidRDefault="00441525" w:rsidP="00441525">
      <w:pPr>
        <w:rPr>
          <w:rFonts w:ascii="Arial" w:hAnsi="Arial" w:cs="Arial"/>
          <w:b/>
          <w:bCs/>
          <w:sz w:val="24"/>
          <w:szCs w:val="24"/>
          <w:u w:val="single"/>
        </w:rPr>
      </w:pPr>
    </w:p>
    <w:p w14:paraId="32F1F84F" w14:textId="77777777" w:rsidR="00441525" w:rsidRDefault="00441525" w:rsidP="00441525">
      <w:pPr>
        <w:rPr>
          <w:rFonts w:ascii="Arial" w:hAnsi="Arial" w:cs="Arial"/>
          <w:b/>
          <w:bCs/>
          <w:sz w:val="24"/>
          <w:szCs w:val="24"/>
          <w:u w:val="single"/>
        </w:rPr>
      </w:pPr>
    </w:p>
    <w:p w14:paraId="4661C96E" w14:textId="77777777" w:rsidR="00441525" w:rsidRDefault="00441525" w:rsidP="00441525">
      <w:pPr>
        <w:rPr>
          <w:rFonts w:ascii="Arial" w:hAnsi="Arial" w:cs="Arial"/>
          <w:b/>
          <w:bCs/>
          <w:sz w:val="24"/>
          <w:szCs w:val="24"/>
          <w:u w:val="single"/>
        </w:rPr>
      </w:pPr>
    </w:p>
    <w:p w14:paraId="3A248194" w14:textId="77777777" w:rsidR="00441525" w:rsidRDefault="00441525" w:rsidP="00441525">
      <w:pPr>
        <w:rPr>
          <w:rFonts w:ascii="Arial" w:hAnsi="Arial" w:cs="Arial"/>
          <w:b/>
          <w:bCs/>
          <w:sz w:val="24"/>
          <w:szCs w:val="24"/>
          <w:u w:val="single"/>
        </w:rPr>
      </w:pPr>
    </w:p>
    <w:p w14:paraId="7FEE0116" w14:textId="77777777" w:rsidR="00441525" w:rsidRDefault="00441525" w:rsidP="00441525">
      <w:pPr>
        <w:rPr>
          <w:rFonts w:ascii="Arial" w:hAnsi="Arial" w:cs="Arial"/>
          <w:b/>
          <w:bCs/>
          <w:sz w:val="24"/>
          <w:szCs w:val="24"/>
          <w:u w:val="single"/>
        </w:rPr>
      </w:pPr>
    </w:p>
    <w:p w14:paraId="3FF296CB" w14:textId="77777777" w:rsidR="00441525" w:rsidRDefault="00441525" w:rsidP="00441525">
      <w:pPr>
        <w:rPr>
          <w:rFonts w:ascii="Arial" w:hAnsi="Arial" w:cs="Arial"/>
          <w:b/>
          <w:bCs/>
          <w:sz w:val="24"/>
          <w:szCs w:val="24"/>
          <w:u w:val="single"/>
        </w:rPr>
      </w:pPr>
    </w:p>
    <w:p w14:paraId="201DEE58" w14:textId="77777777" w:rsidR="00441525" w:rsidRDefault="00441525" w:rsidP="00441525">
      <w:pPr>
        <w:rPr>
          <w:rFonts w:ascii="Arial" w:hAnsi="Arial" w:cs="Arial"/>
          <w:b/>
          <w:bCs/>
          <w:sz w:val="24"/>
          <w:szCs w:val="24"/>
          <w:u w:val="single"/>
        </w:rPr>
      </w:pPr>
    </w:p>
    <w:p w14:paraId="3169AE2D" w14:textId="77777777" w:rsidR="00441525" w:rsidRDefault="00441525" w:rsidP="00441525">
      <w:pPr>
        <w:rPr>
          <w:rFonts w:ascii="Arial" w:hAnsi="Arial" w:cs="Arial"/>
          <w:b/>
          <w:bCs/>
          <w:sz w:val="24"/>
          <w:szCs w:val="24"/>
          <w:u w:val="single"/>
        </w:rPr>
      </w:pPr>
    </w:p>
    <w:p w14:paraId="7C5A42CE" w14:textId="77777777" w:rsidR="00441525" w:rsidRDefault="00441525" w:rsidP="00441525">
      <w:pPr>
        <w:rPr>
          <w:rFonts w:ascii="Arial" w:hAnsi="Arial" w:cs="Arial"/>
          <w:b/>
          <w:bCs/>
          <w:sz w:val="24"/>
          <w:szCs w:val="24"/>
          <w:u w:val="single"/>
        </w:rPr>
      </w:pPr>
    </w:p>
    <w:p w14:paraId="00F2437C" w14:textId="77777777" w:rsidR="00441525" w:rsidRDefault="00441525" w:rsidP="00441525">
      <w:pPr>
        <w:rPr>
          <w:rFonts w:ascii="Arial" w:hAnsi="Arial" w:cs="Arial"/>
          <w:b/>
          <w:bCs/>
          <w:sz w:val="24"/>
          <w:szCs w:val="24"/>
          <w:u w:val="single"/>
        </w:rPr>
      </w:pPr>
    </w:p>
    <w:p w14:paraId="302C513E" w14:textId="77777777" w:rsidR="00441525" w:rsidRDefault="00441525" w:rsidP="00441525">
      <w:pPr>
        <w:rPr>
          <w:rFonts w:ascii="Arial" w:hAnsi="Arial" w:cs="Arial"/>
          <w:b/>
          <w:bCs/>
          <w:sz w:val="24"/>
          <w:szCs w:val="24"/>
          <w:u w:val="single"/>
        </w:rPr>
      </w:pPr>
    </w:p>
    <w:p w14:paraId="342AB910" w14:textId="77777777" w:rsidR="00441525" w:rsidRDefault="00441525" w:rsidP="00441525">
      <w:pPr>
        <w:rPr>
          <w:rFonts w:ascii="Arial" w:hAnsi="Arial" w:cs="Arial"/>
          <w:b/>
          <w:bCs/>
          <w:sz w:val="24"/>
          <w:szCs w:val="24"/>
          <w:u w:val="single"/>
        </w:rPr>
      </w:pPr>
    </w:p>
    <w:p w14:paraId="38FF09CA" w14:textId="77777777" w:rsidR="00441525" w:rsidRDefault="00441525" w:rsidP="00441525">
      <w:pPr>
        <w:rPr>
          <w:rFonts w:ascii="Arial" w:hAnsi="Arial" w:cs="Arial"/>
          <w:b/>
          <w:bCs/>
          <w:sz w:val="24"/>
          <w:szCs w:val="24"/>
          <w:u w:val="single"/>
        </w:rPr>
      </w:pPr>
    </w:p>
    <w:p w14:paraId="68D016F8" w14:textId="660A6CDB" w:rsidR="00441525" w:rsidRPr="00441525" w:rsidRDefault="00441525" w:rsidP="00441525">
      <w:pPr>
        <w:rPr>
          <w:rFonts w:ascii="Arial" w:hAnsi="Arial" w:cs="Arial"/>
          <w:b/>
          <w:bCs/>
          <w:sz w:val="24"/>
          <w:szCs w:val="24"/>
          <w:u w:val="single"/>
        </w:rPr>
      </w:pPr>
      <w:r w:rsidRPr="00441525">
        <w:rPr>
          <w:rFonts w:ascii="Arial" w:hAnsi="Arial" w:cs="Arial"/>
          <w:b/>
          <w:bCs/>
          <w:sz w:val="24"/>
          <w:szCs w:val="24"/>
          <w:u w:val="single"/>
        </w:rPr>
        <w:lastRenderedPageBreak/>
        <w:t>Essay four:</w:t>
      </w:r>
    </w:p>
    <w:p w14:paraId="2F81E9E0" w14:textId="77777777" w:rsidR="00441525" w:rsidRPr="00441525" w:rsidRDefault="00441525" w:rsidP="00441525">
      <w:pPr>
        <w:spacing w:line="360" w:lineRule="auto"/>
        <w:jc w:val="both"/>
        <w:rPr>
          <w:rFonts w:ascii="Arial" w:hAnsi="Arial" w:cs="Arial"/>
          <w:sz w:val="24"/>
          <w:szCs w:val="24"/>
          <w:u w:val="single"/>
        </w:rPr>
      </w:pPr>
      <w:r w:rsidRPr="00441525">
        <w:rPr>
          <w:rFonts w:ascii="Arial" w:hAnsi="Arial" w:cs="Arial"/>
          <w:sz w:val="24"/>
          <w:szCs w:val="24"/>
          <w:u w:val="single"/>
        </w:rPr>
        <w:t xml:space="preserve">How effective is MAPPA as a means of protecting vulnerable people from harm? </w:t>
      </w:r>
    </w:p>
    <w:p w14:paraId="315F18D4" w14:textId="5B4C1C98" w:rsidR="00441525" w:rsidRDefault="00441525" w:rsidP="00441525">
      <w:pPr>
        <w:spacing w:line="360" w:lineRule="auto"/>
        <w:jc w:val="both"/>
        <w:rPr>
          <w:rFonts w:ascii="Arial" w:hAnsi="Arial" w:cs="Arial"/>
          <w:sz w:val="24"/>
          <w:szCs w:val="24"/>
          <w:u w:val="single"/>
        </w:rPr>
      </w:pPr>
      <w:r w:rsidRPr="00441525">
        <w:rPr>
          <w:rFonts w:ascii="Arial" w:hAnsi="Arial" w:cs="Arial"/>
          <w:sz w:val="24"/>
          <w:szCs w:val="24"/>
          <w:u w:val="single"/>
        </w:rPr>
        <w:t>Your answer must be based on academic research, but you may make reference to relevant case studies.</w:t>
      </w:r>
    </w:p>
    <w:p w14:paraId="1474ECDD" w14:textId="77777777" w:rsidR="00441525" w:rsidRPr="00441525" w:rsidRDefault="00441525" w:rsidP="00441525">
      <w:pPr>
        <w:spacing w:line="360" w:lineRule="auto"/>
        <w:jc w:val="both"/>
        <w:rPr>
          <w:rFonts w:ascii="Arial" w:hAnsi="Arial" w:cs="Arial"/>
          <w:sz w:val="24"/>
          <w:szCs w:val="24"/>
        </w:rPr>
      </w:pPr>
      <w:r w:rsidRPr="00441525">
        <w:rPr>
          <w:rFonts w:ascii="Arial" w:hAnsi="Arial" w:cs="Arial"/>
          <w:sz w:val="24"/>
          <w:szCs w:val="24"/>
        </w:rPr>
        <w:t xml:space="preserve">Due to the risk being posed to the public over time changing along with perceptions, a robust measure is required to protect the public from the most violent offenders. It has previously been thought that the concept of risk was unknown. However, it is now much more predictable (Sutherland and Baker, 2009). As the element of risk cannot be removed from society, its management is being assessed through ‘MAPPA’ (Multi-Agency Public Protection Arrangements). Prior to these arrangements, the Probation Service took responsibility of supervising those released from prison since the 1960’s. This is still partly the case; however, the Police and prison service are key contributors. Their shared purpose is to work concurrently to manage the dangers by individuals who present a high risk of harm. Also, this can consist of individuals who may draw heightened attention levels from the media and public (Merrington and Stanley, 2007). </w:t>
      </w:r>
    </w:p>
    <w:p w14:paraId="64AF9A59" w14:textId="77777777" w:rsidR="00441525" w:rsidRPr="00441525" w:rsidRDefault="00441525" w:rsidP="00441525">
      <w:pPr>
        <w:spacing w:line="360" w:lineRule="auto"/>
        <w:jc w:val="both"/>
        <w:rPr>
          <w:rFonts w:ascii="Arial" w:hAnsi="Arial" w:cs="Arial"/>
          <w:sz w:val="24"/>
          <w:szCs w:val="24"/>
        </w:rPr>
      </w:pPr>
      <w:r w:rsidRPr="00441525">
        <w:rPr>
          <w:rFonts w:ascii="Arial" w:hAnsi="Arial" w:cs="Arial"/>
          <w:sz w:val="24"/>
          <w:szCs w:val="24"/>
        </w:rPr>
        <w:t xml:space="preserve">MAPPA were established in 2001, influenced by the 9/11 attacks to recategorize those who propose a real risk to society. Thus, the type of offenders who are discussed include religious extremists, terrorists, sexual and violent offenders and any other person who pose serious harm towards the public (Clark and McGhee, 2008). Devised through the Criminal Justice and Court Services Act 2000, MAPPA create risk management plans based on the three categories of risk level through the collection of personal information, in line with data protection and the European Convention on Human Rights (ECHR). To manage risk, measures are placed on offenders including surveillance, monitoring and control, compulsory treatment, and restriction to prioritise the safety of the community, victims, and vulnerable people. It is often seen as a community protection model. These measures are placed over the rights of the offender through licensing conditions, tagging systems, registers, and incarceration (Connelly and Williamson, 2000). </w:t>
      </w:r>
    </w:p>
    <w:p w14:paraId="3FC12DC9" w14:textId="77777777" w:rsidR="00441525" w:rsidRPr="00441525" w:rsidRDefault="00441525" w:rsidP="00441525">
      <w:pPr>
        <w:spacing w:line="360" w:lineRule="auto"/>
        <w:jc w:val="both"/>
        <w:rPr>
          <w:rFonts w:ascii="Arial" w:hAnsi="Arial" w:cs="Arial"/>
          <w:sz w:val="24"/>
          <w:szCs w:val="24"/>
        </w:rPr>
      </w:pPr>
      <w:r w:rsidRPr="00441525">
        <w:rPr>
          <w:rFonts w:ascii="Arial" w:hAnsi="Arial" w:cs="Arial"/>
          <w:sz w:val="24"/>
          <w:szCs w:val="24"/>
        </w:rPr>
        <w:t xml:space="preserve">Despite the collection and distribution of information by statutory agencies, there are expressed issues with health-related services for obtaining information. This is due to conflicts arising with patient confidentiality, although the requirement for information being based on the need for public safety (Kemshall et al., 2005). It is suggested that </w:t>
      </w:r>
      <w:r w:rsidRPr="00441525">
        <w:rPr>
          <w:rFonts w:ascii="Arial" w:hAnsi="Arial" w:cs="Arial"/>
          <w:sz w:val="24"/>
          <w:szCs w:val="24"/>
        </w:rPr>
        <w:lastRenderedPageBreak/>
        <w:t xml:space="preserve">this may be due to differing culture between those working in criminal justice and health care. In some cases, health care deems the duty to cooperate does not equate to sharing information (Royal College of Psychiatrists, 2004). </w:t>
      </w:r>
    </w:p>
    <w:p w14:paraId="71064F9C" w14:textId="77777777" w:rsidR="00441525" w:rsidRPr="00441525" w:rsidRDefault="00441525" w:rsidP="00441525">
      <w:pPr>
        <w:spacing w:line="360" w:lineRule="auto"/>
        <w:jc w:val="both"/>
        <w:rPr>
          <w:rFonts w:ascii="Arial" w:hAnsi="Arial" w:cs="Arial"/>
          <w:sz w:val="24"/>
          <w:szCs w:val="24"/>
        </w:rPr>
      </w:pPr>
      <w:r w:rsidRPr="00441525">
        <w:rPr>
          <w:rFonts w:ascii="Arial" w:hAnsi="Arial" w:cs="Arial"/>
          <w:sz w:val="24"/>
          <w:szCs w:val="24"/>
        </w:rPr>
        <w:t xml:space="preserve">Where MAPPA are not completed or applied with accuracy, the outcomes can be fatal and put the public, especially vulnerable people at the greatest threat of harm. There are high profile cases where this has occurred including Leroy Campbell who was known for serious sexual offending with victims often being lone women. After his release from prison although receiving a life imprisonment sentence with a five-year tariff, Campbell proceeded to tell his probation worker that he was concerned that he would reoffend. A few weeks later, Campbell went on to rape and murder a female in her own home and attempted to murder an elderly woman and set her house alight. Clear mistakes were identified through an independent report highlighting that Campbell’s risk level was lowered to 1 which is the least severe. This error was caused through the failure of revising pre-release documents from prison and relevant paperwork and record keeping, causing the risk level not to be enhanced to either level two or three which was expected upon release which would have left to him being more closely monitored (Her Majesty Inspectorate of Probation (HMI Probation) 2018). </w:t>
      </w:r>
    </w:p>
    <w:p w14:paraId="1A28FA7A" w14:textId="77777777" w:rsidR="00441525" w:rsidRPr="00441525" w:rsidRDefault="00441525" w:rsidP="00441525">
      <w:pPr>
        <w:spacing w:line="360" w:lineRule="auto"/>
        <w:jc w:val="both"/>
        <w:rPr>
          <w:rFonts w:ascii="Arial" w:hAnsi="Arial" w:cs="Arial"/>
          <w:sz w:val="24"/>
          <w:szCs w:val="24"/>
        </w:rPr>
      </w:pPr>
      <w:r w:rsidRPr="00441525">
        <w:rPr>
          <w:rFonts w:ascii="Arial" w:hAnsi="Arial" w:cs="Arial"/>
          <w:sz w:val="24"/>
          <w:szCs w:val="24"/>
        </w:rPr>
        <w:t xml:space="preserve">Those who are deemed vulnerable are at the greatest risk of harm as they are unable to protect themselves from harm or exploitation due to their situation or circumstance (College of Policing, 2021). Children are some of the most vulnerable potential victims in society who require the most protection. Concerns regarding the MAPPA concept were highlighted after the murders of Jessica Chapman and Holly Wells by school caretaker Ian Huntley in 2003. Although Huntley had not been found guilty, he had been interviewed on suspicion of sexual offences. This information was never shared with the Local Education Authority or the school in which he was hired. Consequently, an enquiry was completed by </w:t>
      </w:r>
      <w:proofErr w:type="spellStart"/>
      <w:r w:rsidRPr="00441525">
        <w:rPr>
          <w:rFonts w:ascii="Arial" w:hAnsi="Arial" w:cs="Arial"/>
          <w:sz w:val="24"/>
          <w:szCs w:val="24"/>
        </w:rPr>
        <w:t>Bichard</w:t>
      </w:r>
      <w:proofErr w:type="spellEnd"/>
      <w:r w:rsidRPr="00441525">
        <w:rPr>
          <w:rFonts w:ascii="Arial" w:hAnsi="Arial" w:cs="Arial"/>
          <w:sz w:val="24"/>
          <w:szCs w:val="24"/>
        </w:rPr>
        <w:t xml:space="preserve"> (2004) identifying 31 recommendations and thorough vetting. This has allowed for enhanced disclosures with individuals seeking employment with children or positions that include access. Children are ultimately protected as the information requested includes all allegations, intelligence, and convictions. Perceptions of the police providing intelligence has been questioned due to the accuracy of information. However, the police apply intelligence grading to all information, thus agencies will be aware of the perceived accuracy (Clark and McGhee, 2008).</w:t>
      </w:r>
    </w:p>
    <w:p w14:paraId="11F1D9F3" w14:textId="27DF767C" w:rsidR="00441525" w:rsidRDefault="00441525" w:rsidP="00441525">
      <w:pPr>
        <w:spacing w:line="360" w:lineRule="auto"/>
        <w:jc w:val="both"/>
        <w:rPr>
          <w:rFonts w:ascii="Arial" w:hAnsi="Arial" w:cs="Arial"/>
          <w:sz w:val="24"/>
          <w:szCs w:val="24"/>
        </w:rPr>
      </w:pPr>
      <w:r w:rsidRPr="00441525">
        <w:rPr>
          <w:rFonts w:ascii="Arial" w:hAnsi="Arial" w:cs="Arial"/>
          <w:sz w:val="24"/>
          <w:szCs w:val="24"/>
        </w:rPr>
        <w:lastRenderedPageBreak/>
        <w:t>Overall, the risk offenders pose will never be eliminated and in limited cases the most serious offences can be committed by those unknown to services. Public safety will also be at the core of MAPPA; however, the likelihood of the public being made aware of these violent offenders is not always guaranteed. Third party disclosures can only be made in appropriate circumstances due to ECHR and the potential knock-on effects upon the offender being known in the community (Wood and Kemshall, 2007). Although there will always be the element of risk and community tension, individuals managed through MAPPA reoffend at less than half compared to national averages at 12.2%. Additionally, there are recent inspections conducted into MAPPA objectives which have highlighted recommendations which are being achieved within suitable time scales. These processes are allowing for a more robust protection system for the public making offenders to be greater managed through comprehensive training, improved organisation cohesion and multiple quality assurance audits (HM Prison and Probation Service, 2022).</w:t>
      </w:r>
    </w:p>
    <w:p w14:paraId="42D14219" w14:textId="42E265C2" w:rsidR="00441525" w:rsidRDefault="00441525" w:rsidP="00441525">
      <w:pPr>
        <w:spacing w:line="360" w:lineRule="auto"/>
        <w:jc w:val="both"/>
        <w:rPr>
          <w:rFonts w:ascii="Arial" w:hAnsi="Arial" w:cs="Arial"/>
          <w:b/>
          <w:bCs/>
          <w:sz w:val="24"/>
          <w:szCs w:val="24"/>
        </w:rPr>
      </w:pPr>
      <w:r w:rsidRPr="00441525">
        <w:rPr>
          <w:rFonts w:ascii="Arial" w:hAnsi="Arial" w:cs="Arial"/>
          <w:b/>
          <w:bCs/>
          <w:sz w:val="24"/>
          <w:szCs w:val="24"/>
        </w:rPr>
        <w:t>Word count: 929</w:t>
      </w:r>
    </w:p>
    <w:p w14:paraId="0266A5C9" w14:textId="36F2CF7C" w:rsidR="00441525" w:rsidRDefault="00441525" w:rsidP="00441525">
      <w:pPr>
        <w:spacing w:line="360" w:lineRule="auto"/>
        <w:jc w:val="both"/>
        <w:rPr>
          <w:rFonts w:ascii="Arial" w:hAnsi="Arial" w:cs="Arial"/>
          <w:b/>
          <w:bCs/>
          <w:sz w:val="24"/>
          <w:szCs w:val="24"/>
        </w:rPr>
      </w:pPr>
    </w:p>
    <w:p w14:paraId="1C0E9C1F" w14:textId="77881418" w:rsidR="00441525" w:rsidRDefault="00441525" w:rsidP="00441525">
      <w:pPr>
        <w:spacing w:line="360" w:lineRule="auto"/>
        <w:jc w:val="both"/>
        <w:rPr>
          <w:rFonts w:ascii="Arial" w:hAnsi="Arial" w:cs="Arial"/>
          <w:b/>
          <w:bCs/>
          <w:sz w:val="24"/>
          <w:szCs w:val="24"/>
        </w:rPr>
      </w:pPr>
    </w:p>
    <w:p w14:paraId="3A77DDD2" w14:textId="238599EE" w:rsidR="00441525" w:rsidRDefault="00441525" w:rsidP="00441525">
      <w:pPr>
        <w:spacing w:line="360" w:lineRule="auto"/>
        <w:jc w:val="both"/>
        <w:rPr>
          <w:rFonts w:ascii="Arial" w:hAnsi="Arial" w:cs="Arial"/>
          <w:b/>
          <w:bCs/>
          <w:sz w:val="24"/>
          <w:szCs w:val="24"/>
        </w:rPr>
      </w:pPr>
    </w:p>
    <w:p w14:paraId="576F14BA" w14:textId="5B7B1888" w:rsidR="00441525" w:rsidRDefault="00441525" w:rsidP="00441525">
      <w:pPr>
        <w:spacing w:line="360" w:lineRule="auto"/>
        <w:jc w:val="both"/>
        <w:rPr>
          <w:rFonts w:ascii="Arial" w:hAnsi="Arial" w:cs="Arial"/>
          <w:b/>
          <w:bCs/>
          <w:sz w:val="24"/>
          <w:szCs w:val="24"/>
        </w:rPr>
      </w:pPr>
    </w:p>
    <w:p w14:paraId="1C690801" w14:textId="0464C5BD" w:rsidR="00441525" w:rsidRDefault="00441525" w:rsidP="00441525">
      <w:pPr>
        <w:spacing w:line="360" w:lineRule="auto"/>
        <w:jc w:val="both"/>
        <w:rPr>
          <w:rFonts w:ascii="Arial" w:hAnsi="Arial" w:cs="Arial"/>
          <w:b/>
          <w:bCs/>
          <w:sz w:val="24"/>
          <w:szCs w:val="24"/>
        </w:rPr>
      </w:pPr>
    </w:p>
    <w:p w14:paraId="2902A00E" w14:textId="64C2FBFF" w:rsidR="00441525" w:rsidRDefault="00441525" w:rsidP="00441525">
      <w:pPr>
        <w:spacing w:line="360" w:lineRule="auto"/>
        <w:jc w:val="both"/>
        <w:rPr>
          <w:rFonts w:ascii="Arial" w:hAnsi="Arial" w:cs="Arial"/>
          <w:b/>
          <w:bCs/>
          <w:sz w:val="24"/>
          <w:szCs w:val="24"/>
        </w:rPr>
      </w:pPr>
    </w:p>
    <w:p w14:paraId="274A4758" w14:textId="679FCF69" w:rsidR="00441525" w:rsidRDefault="00441525" w:rsidP="00441525">
      <w:pPr>
        <w:spacing w:line="360" w:lineRule="auto"/>
        <w:jc w:val="both"/>
        <w:rPr>
          <w:rFonts w:ascii="Arial" w:hAnsi="Arial" w:cs="Arial"/>
          <w:b/>
          <w:bCs/>
          <w:sz w:val="24"/>
          <w:szCs w:val="24"/>
        </w:rPr>
      </w:pPr>
    </w:p>
    <w:p w14:paraId="78E4E42E" w14:textId="0012AE47" w:rsidR="00441525" w:rsidRDefault="00441525" w:rsidP="00441525">
      <w:pPr>
        <w:spacing w:line="360" w:lineRule="auto"/>
        <w:jc w:val="both"/>
        <w:rPr>
          <w:rFonts w:ascii="Arial" w:hAnsi="Arial" w:cs="Arial"/>
          <w:b/>
          <w:bCs/>
          <w:sz w:val="24"/>
          <w:szCs w:val="24"/>
        </w:rPr>
      </w:pPr>
    </w:p>
    <w:p w14:paraId="67B48D1E" w14:textId="1496A200" w:rsidR="00441525" w:rsidRDefault="00441525" w:rsidP="00441525">
      <w:pPr>
        <w:spacing w:line="360" w:lineRule="auto"/>
        <w:jc w:val="both"/>
        <w:rPr>
          <w:rFonts w:ascii="Arial" w:hAnsi="Arial" w:cs="Arial"/>
          <w:b/>
          <w:bCs/>
          <w:sz w:val="24"/>
          <w:szCs w:val="24"/>
        </w:rPr>
      </w:pPr>
    </w:p>
    <w:p w14:paraId="71D1A2E7" w14:textId="12636E02" w:rsidR="00441525" w:rsidRDefault="00441525" w:rsidP="00441525">
      <w:pPr>
        <w:spacing w:line="360" w:lineRule="auto"/>
        <w:jc w:val="both"/>
        <w:rPr>
          <w:rFonts w:ascii="Arial" w:hAnsi="Arial" w:cs="Arial"/>
          <w:b/>
          <w:bCs/>
          <w:sz w:val="24"/>
          <w:szCs w:val="24"/>
        </w:rPr>
      </w:pPr>
    </w:p>
    <w:p w14:paraId="0B800065" w14:textId="489BE8F9" w:rsidR="00441525" w:rsidRDefault="00441525" w:rsidP="00441525">
      <w:pPr>
        <w:spacing w:line="360" w:lineRule="auto"/>
        <w:jc w:val="both"/>
        <w:rPr>
          <w:rFonts w:ascii="Arial" w:hAnsi="Arial" w:cs="Arial"/>
          <w:b/>
          <w:bCs/>
          <w:sz w:val="24"/>
          <w:szCs w:val="24"/>
        </w:rPr>
      </w:pPr>
    </w:p>
    <w:p w14:paraId="204580D6" w14:textId="256C4632" w:rsidR="00441525" w:rsidRDefault="00441525" w:rsidP="00441525">
      <w:pPr>
        <w:spacing w:line="360" w:lineRule="auto"/>
        <w:jc w:val="both"/>
        <w:rPr>
          <w:rFonts w:ascii="Arial" w:hAnsi="Arial" w:cs="Arial"/>
          <w:b/>
          <w:bCs/>
          <w:sz w:val="24"/>
          <w:szCs w:val="24"/>
        </w:rPr>
      </w:pPr>
    </w:p>
    <w:p w14:paraId="39ADDD7A" w14:textId="5E165F05" w:rsidR="00441525" w:rsidRDefault="00441525" w:rsidP="00441525">
      <w:pPr>
        <w:spacing w:line="360" w:lineRule="auto"/>
        <w:jc w:val="both"/>
        <w:rPr>
          <w:rFonts w:ascii="Arial" w:hAnsi="Arial" w:cs="Arial"/>
          <w:b/>
          <w:bCs/>
          <w:sz w:val="24"/>
          <w:szCs w:val="24"/>
        </w:rPr>
      </w:pPr>
    </w:p>
    <w:p w14:paraId="1B482A85" w14:textId="2F129F6C" w:rsidR="00441525" w:rsidRDefault="00441525" w:rsidP="00441525">
      <w:pPr>
        <w:spacing w:line="360" w:lineRule="auto"/>
        <w:jc w:val="both"/>
        <w:rPr>
          <w:rFonts w:ascii="Arial" w:hAnsi="Arial" w:cs="Arial"/>
          <w:b/>
          <w:bCs/>
          <w:sz w:val="24"/>
          <w:szCs w:val="24"/>
          <w:u w:val="single"/>
        </w:rPr>
      </w:pPr>
      <w:r>
        <w:rPr>
          <w:rFonts w:ascii="Arial" w:hAnsi="Arial" w:cs="Arial"/>
          <w:b/>
          <w:bCs/>
          <w:sz w:val="24"/>
          <w:szCs w:val="24"/>
          <w:u w:val="single"/>
        </w:rPr>
        <w:lastRenderedPageBreak/>
        <w:t>Reference List</w:t>
      </w:r>
    </w:p>
    <w:p w14:paraId="28EA1467"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Ahern, E.C, Sadler, L. H., Lamb, M. E., and </w:t>
      </w:r>
      <w:proofErr w:type="spellStart"/>
      <w:r w:rsidRPr="00DE4B6C">
        <w:rPr>
          <w:rFonts w:ascii="Arial" w:hAnsi="Arial" w:cs="Arial"/>
          <w:sz w:val="24"/>
          <w:szCs w:val="24"/>
        </w:rPr>
        <w:t>Gariglietti</w:t>
      </w:r>
      <w:proofErr w:type="spellEnd"/>
      <w:r w:rsidRPr="00DE4B6C">
        <w:rPr>
          <w:rFonts w:ascii="Arial" w:hAnsi="Arial" w:cs="Arial"/>
          <w:sz w:val="24"/>
          <w:szCs w:val="24"/>
        </w:rPr>
        <w:t xml:space="preserve">, G. M. (2017). Wellbeing of Professionals Working with Suspected Victims of Child Sexual Exploitation: Wellbeing of Professionals Working with CSE Victims. </w:t>
      </w:r>
      <w:r w:rsidRPr="00DE4B6C">
        <w:rPr>
          <w:rFonts w:ascii="Arial" w:hAnsi="Arial" w:cs="Arial"/>
          <w:i/>
          <w:iCs/>
          <w:sz w:val="24"/>
          <w:szCs w:val="24"/>
        </w:rPr>
        <w:t>Child Abuse Review</w:t>
      </w:r>
      <w:r w:rsidRPr="00DE4B6C">
        <w:rPr>
          <w:rFonts w:ascii="Arial" w:hAnsi="Arial" w:cs="Arial"/>
          <w:sz w:val="24"/>
          <w:szCs w:val="24"/>
        </w:rPr>
        <w:t xml:space="preserve"> (Chichester, England : 1992), 26(2), 130–140</w:t>
      </w:r>
    </w:p>
    <w:p w14:paraId="371D7907"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Armitage, R. (2013) </w:t>
      </w:r>
      <w:r w:rsidRPr="00DE4B6C">
        <w:rPr>
          <w:rFonts w:ascii="Arial" w:hAnsi="Arial" w:cs="Arial"/>
          <w:i/>
          <w:iCs/>
          <w:sz w:val="24"/>
          <w:szCs w:val="24"/>
        </w:rPr>
        <w:t>Crime Prevention through Housing Design: Policy and Practice.</w:t>
      </w:r>
      <w:r w:rsidRPr="00DE4B6C">
        <w:rPr>
          <w:rFonts w:ascii="Arial" w:hAnsi="Arial" w:cs="Arial"/>
          <w:sz w:val="24"/>
          <w:szCs w:val="24"/>
        </w:rPr>
        <w:t xml:space="preserve"> Basingstoke: Palgrave Macmillan. </w:t>
      </w:r>
    </w:p>
    <w:p w14:paraId="00B8D192" w14:textId="77777777" w:rsidR="00DE4B6C" w:rsidRPr="00DE4B6C" w:rsidRDefault="00DE4B6C" w:rsidP="00DE4B6C">
      <w:pPr>
        <w:numPr>
          <w:ilvl w:val="0"/>
          <w:numId w:val="1"/>
        </w:numPr>
        <w:spacing w:line="360" w:lineRule="auto"/>
        <w:jc w:val="both"/>
        <w:rPr>
          <w:rFonts w:ascii="Arial" w:hAnsi="Arial" w:cs="Arial"/>
          <w:sz w:val="24"/>
          <w:szCs w:val="24"/>
          <w:u w:val="single"/>
        </w:rPr>
      </w:pPr>
      <w:r w:rsidRPr="00DE4B6C">
        <w:rPr>
          <w:rFonts w:ascii="Arial" w:hAnsi="Arial" w:cs="Arial"/>
          <w:sz w:val="24"/>
          <w:szCs w:val="24"/>
        </w:rPr>
        <w:t>Armitage, R. (2018) Burglars’ take on crime prevention through environmental design (CPTED): reconsidering the relevance from an offender perspective. </w:t>
      </w:r>
      <w:r w:rsidRPr="00DE4B6C">
        <w:rPr>
          <w:rFonts w:ascii="Arial" w:hAnsi="Arial" w:cs="Arial"/>
          <w:i/>
          <w:iCs/>
          <w:sz w:val="24"/>
          <w:szCs w:val="24"/>
        </w:rPr>
        <w:t>Security journal</w:t>
      </w:r>
      <w:r w:rsidRPr="00DE4B6C">
        <w:rPr>
          <w:rFonts w:ascii="Arial" w:hAnsi="Arial" w:cs="Arial"/>
          <w:sz w:val="24"/>
          <w:szCs w:val="24"/>
        </w:rPr>
        <w:t>. 31 (1), 285–304. doi:10.1057/s41284-017-0101-6.</w:t>
      </w:r>
    </w:p>
    <w:p w14:paraId="4D4C8137" w14:textId="77777777" w:rsidR="00DE4B6C" w:rsidRPr="00DE4B6C" w:rsidRDefault="00DE4B6C" w:rsidP="00DE4B6C">
      <w:pPr>
        <w:numPr>
          <w:ilvl w:val="0"/>
          <w:numId w:val="1"/>
        </w:numPr>
        <w:spacing w:line="360" w:lineRule="auto"/>
        <w:jc w:val="both"/>
        <w:rPr>
          <w:rFonts w:ascii="Arial" w:hAnsi="Arial" w:cs="Arial"/>
          <w:sz w:val="24"/>
          <w:szCs w:val="24"/>
          <w:u w:val="single"/>
        </w:rPr>
      </w:pPr>
      <w:r w:rsidRPr="00DE4B6C">
        <w:rPr>
          <w:rFonts w:ascii="Arial" w:hAnsi="Arial" w:cs="Arial"/>
          <w:sz w:val="24"/>
          <w:szCs w:val="24"/>
        </w:rPr>
        <w:t xml:space="preserve">Armitage, R and Joyce, C. (2017) “Why My House?”: Exploring the Influence of Residential Housing Design on Burglar Decision-Making. In </w:t>
      </w:r>
      <w:r w:rsidRPr="00DE4B6C">
        <w:rPr>
          <w:rFonts w:ascii="Arial" w:hAnsi="Arial" w:cs="Arial"/>
          <w:i/>
          <w:iCs/>
          <w:sz w:val="24"/>
          <w:szCs w:val="24"/>
        </w:rPr>
        <w:t xml:space="preserve">Re-building Crime Prevention Through Environmental Design (CPTED), </w:t>
      </w:r>
      <w:r w:rsidRPr="00DE4B6C">
        <w:rPr>
          <w:rFonts w:ascii="Arial" w:hAnsi="Arial" w:cs="Arial"/>
          <w:sz w:val="24"/>
          <w:szCs w:val="24"/>
        </w:rPr>
        <w:t xml:space="preserve">ed. R. Armitage, and P. Ekblom. Oxfordshire: Taylor and Francis. </w:t>
      </w:r>
    </w:p>
    <w:p w14:paraId="0B05F726" w14:textId="77777777" w:rsidR="00DE4B6C" w:rsidRPr="00DE4B6C" w:rsidRDefault="00DE4B6C" w:rsidP="00DE4B6C">
      <w:pPr>
        <w:numPr>
          <w:ilvl w:val="0"/>
          <w:numId w:val="1"/>
        </w:numPr>
        <w:spacing w:line="360" w:lineRule="auto"/>
        <w:jc w:val="both"/>
        <w:rPr>
          <w:rFonts w:ascii="Arial" w:hAnsi="Arial" w:cs="Arial"/>
          <w:sz w:val="24"/>
          <w:szCs w:val="24"/>
          <w:u w:val="single"/>
        </w:rPr>
      </w:pPr>
      <w:r w:rsidRPr="00DE4B6C">
        <w:rPr>
          <w:rFonts w:ascii="Arial" w:hAnsi="Arial" w:cs="Arial"/>
          <w:sz w:val="24"/>
          <w:szCs w:val="24"/>
        </w:rPr>
        <w:t xml:space="preserve">Armitage, R., </w:t>
      </w:r>
      <w:proofErr w:type="spellStart"/>
      <w:r w:rsidRPr="00DE4B6C">
        <w:rPr>
          <w:rFonts w:ascii="Arial" w:hAnsi="Arial" w:cs="Arial"/>
          <w:sz w:val="24"/>
          <w:szCs w:val="24"/>
        </w:rPr>
        <w:t>Monchuk</w:t>
      </w:r>
      <w:proofErr w:type="spellEnd"/>
      <w:r w:rsidRPr="00DE4B6C">
        <w:rPr>
          <w:rFonts w:ascii="Arial" w:hAnsi="Arial" w:cs="Arial"/>
          <w:sz w:val="24"/>
          <w:szCs w:val="24"/>
        </w:rPr>
        <w:t xml:space="preserve">, M. and Rogerson, M. (2010) it Looks Good, But What is it Like to Live There? Assessing the Impact of Award Winning Design on Crime. </w:t>
      </w:r>
      <w:r w:rsidRPr="00DE4B6C">
        <w:rPr>
          <w:rFonts w:ascii="Arial" w:hAnsi="Arial" w:cs="Arial"/>
          <w:i/>
          <w:iCs/>
          <w:sz w:val="24"/>
          <w:szCs w:val="24"/>
        </w:rPr>
        <w:t>Special Volume of European Journal on Criminal Policy and Research</w:t>
      </w:r>
      <w:r w:rsidRPr="00DE4B6C">
        <w:rPr>
          <w:rFonts w:ascii="Arial" w:hAnsi="Arial" w:cs="Arial"/>
          <w:sz w:val="24"/>
          <w:szCs w:val="24"/>
        </w:rPr>
        <w:t xml:space="preserve"> 17 (1) 29-54. </w:t>
      </w:r>
    </w:p>
    <w:p w14:paraId="7EE7156A"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Bacon, M. (2014) ‘Police culture and the new policing context’, in J. Brown (ed) </w:t>
      </w:r>
      <w:r w:rsidRPr="00DE4B6C">
        <w:rPr>
          <w:rFonts w:ascii="Arial" w:hAnsi="Arial" w:cs="Arial"/>
          <w:i/>
          <w:iCs/>
          <w:sz w:val="24"/>
          <w:szCs w:val="24"/>
        </w:rPr>
        <w:t>The Future of Policing</w:t>
      </w:r>
      <w:r w:rsidRPr="00DE4B6C">
        <w:rPr>
          <w:rFonts w:ascii="Arial" w:hAnsi="Arial" w:cs="Arial"/>
          <w:sz w:val="24"/>
          <w:szCs w:val="24"/>
        </w:rPr>
        <w:t xml:space="preserve">, London: Routledge. </w:t>
      </w:r>
    </w:p>
    <w:p w14:paraId="022D6E96"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Bakker, A.B. and </w:t>
      </w:r>
      <w:proofErr w:type="spellStart"/>
      <w:r w:rsidRPr="00DE4B6C">
        <w:rPr>
          <w:rFonts w:ascii="Arial" w:hAnsi="Arial" w:cs="Arial"/>
          <w:sz w:val="24"/>
          <w:szCs w:val="24"/>
        </w:rPr>
        <w:t>Heuven</w:t>
      </w:r>
      <w:proofErr w:type="spellEnd"/>
      <w:r w:rsidRPr="00DE4B6C">
        <w:rPr>
          <w:rFonts w:ascii="Arial" w:hAnsi="Arial" w:cs="Arial"/>
          <w:sz w:val="24"/>
          <w:szCs w:val="24"/>
        </w:rPr>
        <w:t>, E. (2006). Emotional dissonance, burnout, and in-role performance amongst nurses and police officers</w:t>
      </w:r>
      <w:r w:rsidRPr="00DE4B6C">
        <w:rPr>
          <w:rFonts w:ascii="Arial" w:hAnsi="Arial" w:cs="Arial"/>
          <w:i/>
          <w:iCs/>
          <w:sz w:val="24"/>
          <w:szCs w:val="24"/>
        </w:rPr>
        <w:t>. International Journal of Stress Management</w:t>
      </w:r>
      <w:r w:rsidRPr="00DE4B6C">
        <w:rPr>
          <w:rFonts w:ascii="Arial" w:hAnsi="Arial" w:cs="Arial"/>
          <w:sz w:val="24"/>
          <w:szCs w:val="24"/>
        </w:rPr>
        <w:t>, 13(4), 423–440.</w:t>
      </w:r>
    </w:p>
    <w:p w14:paraId="23F81356"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Banerjee, A., </w:t>
      </w:r>
      <w:proofErr w:type="spellStart"/>
      <w:r w:rsidRPr="00DE4B6C">
        <w:rPr>
          <w:rFonts w:ascii="Arial" w:hAnsi="Arial" w:cs="Arial"/>
          <w:sz w:val="24"/>
          <w:szCs w:val="24"/>
        </w:rPr>
        <w:t>LaScala</w:t>
      </w:r>
      <w:proofErr w:type="spellEnd"/>
      <w:r w:rsidRPr="00DE4B6C">
        <w:rPr>
          <w:rFonts w:ascii="Arial" w:hAnsi="Arial" w:cs="Arial"/>
          <w:sz w:val="24"/>
          <w:szCs w:val="24"/>
        </w:rPr>
        <w:t xml:space="preserve">, E., Gruenewald, P.J., </w:t>
      </w:r>
      <w:proofErr w:type="spellStart"/>
      <w:r w:rsidRPr="00DE4B6C">
        <w:rPr>
          <w:rFonts w:ascii="Arial" w:hAnsi="Arial" w:cs="Arial"/>
          <w:sz w:val="24"/>
          <w:szCs w:val="24"/>
        </w:rPr>
        <w:t>Freisthler</w:t>
      </w:r>
      <w:proofErr w:type="spellEnd"/>
      <w:r w:rsidRPr="00DE4B6C">
        <w:rPr>
          <w:rFonts w:ascii="Arial" w:hAnsi="Arial" w:cs="Arial"/>
          <w:sz w:val="24"/>
          <w:szCs w:val="24"/>
        </w:rPr>
        <w:t xml:space="preserve">, B., </w:t>
      </w:r>
      <w:proofErr w:type="spellStart"/>
      <w:r w:rsidRPr="00DE4B6C">
        <w:rPr>
          <w:rFonts w:ascii="Arial" w:hAnsi="Arial" w:cs="Arial"/>
          <w:sz w:val="24"/>
          <w:szCs w:val="24"/>
        </w:rPr>
        <w:t>Treno</w:t>
      </w:r>
      <w:proofErr w:type="spellEnd"/>
      <w:r w:rsidRPr="00DE4B6C">
        <w:rPr>
          <w:rFonts w:ascii="Arial" w:hAnsi="Arial" w:cs="Arial"/>
          <w:sz w:val="24"/>
          <w:szCs w:val="24"/>
        </w:rPr>
        <w:t xml:space="preserve">, A. and Remer, L.G. (2008). In </w:t>
      </w:r>
      <w:r w:rsidRPr="00DE4B6C">
        <w:rPr>
          <w:rFonts w:ascii="Arial" w:hAnsi="Arial" w:cs="Arial"/>
          <w:i/>
          <w:iCs/>
          <w:sz w:val="24"/>
          <w:szCs w:val="24"/>
        </w:rPr>
        <w:t>Social disorganization, alcohol, and drug markets and violence</w:t>
      </w:r>
      <w:r w:rsidRPr="00DE4B6C">
        <w:rPr>
          <w:rFonts w:ascii="Arial" w:hAnsi="Arial" w:cs="Arial"/>
          <w:sz w:val="24"/>
          <w:szCs w:val="24"/>
        </w:rPr>
        <w:t>. Springer.</w:t>
      </w:r>
    </w:p>
    <w:p w14:paraId="7F0A8F7A"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Baroness Casey (2023) </w:t>
      </w:r>
      <w:r w:rsidRPr="00DE4B6C">
        <w:rPr>
          <w:rFonts w:ascii="Arial" w:hAnsi="Arial" w:cs="Arial"/>
          <w:i/>
          <w:iCs/>
          <w:sz w:val="24"/>
          <w:szCs w:val="24"/>
        </w:rPr>
        <w:t>Final Report: An independent review into the standards of behaviour and internal culture of the Metropolitan Police Service</w:t>
      </w:r>
      <w:r w:rsidRPr="00DE4B6C">
        <w:rPr>
          <w:rFonts w:ascii="Arial" w:hAnsi="Arial" w:cs="Arial"/>
          <w:sz w:val="24"/>
          <w:szCs w:val="24"/>
        </w:rPr>
        <w:t xml:space="preserve">. Available at: </w:t>
      </w:r>
      <w:hyperlink r:id="rId5" w:history="1">
        <w:r w:rsidRPr="00DE4B6C">
          <w:rPr>
            <w:rStyle w:val="Hyperlink"/>
            <w:rFonts w:ascii="Arial" w:hAnsi="Arial" w:cs="Arial"/>
            <w:sz w:val="24"/>
            <w:szCs w:val="24"/>
          </w:rPr>
          <w:t>https://www.met.police.uk/SysSiteAssets/media/downloads/met/about-</w:t>
        </w:r>
        <w:r w:rsidRPr="00DE4B6C">
          <w:rPr>
            <w:rStyle w:val="Hyperlink"/>
            <w:rFonts w:ascii="Arial" w:hAnsi="Arial" w:cs="Arial"/>
            <w:sz w:val="24"/>
            <w:szCs w:val="24"/>
          </w:rPr>
          <w:lastRenderedPageBreak/>
          <w:t>us/baroness-casey-review/update-march-2023/baroness-casey-review-march-2023a.pdf</w:t>
        </w:r>
      </w:hyperlink>
      <w:r w:rsidRPr="00DE4B6C">
        <w:rPr>
          <w:rFonts w:ascii="Arial" w:hAnsi="Arial" w:cs="Arial"/>
          <w:sz w:val="24"/>
          <w:szCs w:val="24"/>
        </w:rPr>
        <w:t xml:space="preserve"> (Last accessed: 1</w:t>
      </w:r>
      <w:r w:rsidRPr="00DE4B6C">
        <w:rPr>
          <w:rFonts w:ascii="Arial" w:hAnsi="Arial" w:cs="Arial"/>
          <w:sz w:val="24"/>
          <w:szCs w:val="24"/>
          <w:vertAlign w:val="superscript"/>
        </w:rPr>
        <w:t>st</w:t>
      </w:r>
      <w:r w:rsidRPr="00DE4B6C">
        <w:rPr>
          <w:rFonts w:ascii="Arial" w:hAnsi="Arial" w:cs="Arial"/>
          <w:sz w:val="24"/>
          <w:szCs w:val="24"/>
        </w:rPr>
        <w:t xml:space="preserve"> September 2023)</w:t>
      </w:r>
    </w:p>
    <w:p w14:paraId="532F25DE"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Beck, K. and Wilson, C. (1997) Police Officers’ Views on Cultivating Organizational Commitment: Implications for Police Managers. </w:t>
      </w:r>
      <w:r w:rsidRPr="00DE4B6C">
        <w:rPr>
          <w:rFonts w:ascii="Arial" w:hAnsi="Arial" w:cs="Arial"/>
          <w:i/>
          <w:iCs/>
          <w:sz w:val="24"/>
          <w:szCs w:val="24"/>
        </w:rPr>
        <w:t>Policing: An International Journal of Police Strategies and Management, 20</w:t>
      </w:r>
      <w:r w:rsidRPr="00DE4B6C">
        <w:rPr>
          <w:rFonts w:ascii="Arial" w:hAnsi="Arial" w:cs="Arial"/>
          <w:sz w:val="24"/>
          <w:szCs w:val="24"/>
        </w:rPr>
        <w:t xml:space="preserve">, 175-195. </w:t>
      </w:r>
    </w:p>
    <w:p w14:paraId="52CC9AE0" w14:textId="77777777" w:rsidR="00DE4B6C" w:rsidRPr="00DE4B6C" w:rsidRDefault="00DE4B6C" w:rsidP="00DE4B6C">
      <w:pPr>
        <w:numPr>
          <w:ilvl w:val="0"/>
          <w:numId w:val="1"/>
        </w:numPr>
        <w:spacing w:line="360" w:lineRule="auto"/>
        <w:jc w:val="both"/>
        <w:rPr>
          <w:rFonts w:ascii="Arial" w:hAnsi="Arial" w:cs="Arial"/>
          <w:sz w:val="24"/>
          <w:szCs w:val="24"/>
        </w:rPr>
      </w:pPr>
      <w:proofErr w:type="spellStart"/>
      <w:r w:rsidRPr="00DE4B6C">
        <w:rPr>
          <w:rFonts w:ascii="Arial" w:hAnsi="Arial" w:cs="Arial"/>
          <w:sz w:val="24"/>
          <w:szCs w:val="24"/>
        </w:rPr>
        <w:t>Bichard</w:t>
      </w:r>
      <w:proofErr w:type="spellEnd"/>
      <w:r w:rsidRPr="00DE4B6C">
        <w:rPr>
          <w:rFonts w:ascii="Arial" w:hAnsi="Arial" w:cs="Arial"/>
          <w:sz w:val="24"/>
          <w:szCs w:val="24"/>
        </w:rPr>
        <w:t xml:space="preserve">, Sir Michael (2004) </w:t>
      </w:r>
      <w:r w:rsidRPr="00DE4B6C">
        <w:rPr>
          <w:rFonts w:ascii="Arial" w:hAnsi="Arial" w:cs="Arial"/>
          <w:i/>
          <w:iCs/>
          <w:sz w:val="24"/>
          <w:szCs w:val="24"/>
        </w:rPr>
        <w:t xml:space="preserve">The </w:t>
      </w:r>
      <w:proofErr w:type="spellStart"/>
      <w:r w:rsidRPr="00DE4B6C">
        <w:rPr>
          <w:rFonts w:ascii="Arial" w:hAnsi="Arial" w:cs="Arial"/>
          <w:i/>
          <w:iCs/>
          <w:sz w:val="24"/>
          <w:szCs w:val="24"/>
        </w:rPr>
        <w:t>Bichard</w:t>
      </w:r>
      <w:proofErr w:type="spellEnd"/>
      <w:r w:rsidRPr="00DE4B6C">
        <w:rPr>
          <w:rFonts w:ascii="Arial" w:hAnsi="Arial" w:cs="Arial"/>
          <w:i/>
          <w:iCs/>
          <w:sz w:val="24"/>
          <w:szCs w:val="24"/>
        </w:rPr>
        <w:t xml:space="preserve"> Inquiry Report</w:t>
      </w:r>
      <w:r w:rsidRPr="00DE4B6C">
        <w:rPr>
          <w:rFonts w:ascii="Arial" w:hAnsi="Arial" w:cs="Arial"/>
          <w:sz w:val="24"/>
          <w:szCs w:val="24"/>
        </w:rPr>
        <w:t xml:space="preserve">, London: The Stationery Office. </w:t>
      </w:r>
    </w:p>
    <w:p w14:paraId="0E5E6C6E"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Brough, P., Brown, J. and Biggs, A. (2016) </w:t>
      </w:r>
      <w:r w:rsidRPr="00DE4B6C">
        <w:rPr>
          <w:rFonts w:ascii="Arial" w:hAnsi="Arial" w:cs="Arial"/>
          <w:i/>
          <w:iCs/>
          <w:sz w:val="24"/>
          <w:szCs w:val="24"/>
        </w:rPr>
        <w:t>Improving Criminal Justice Workplaces: Translating Theory and Research Into Evidenced-Based Practice</w:t>
      </w:r>
      <w:r w:rsidRPr="00DE4B6C">
        <w:rPr>
          <w:rFonts w:ascii="Arial" w:hAnsi="Arial" w:cs="Arial"/>
          <w:sz w:val="24"/>
          <w:szCs w:val="24"/>
        </w:rPr>
        <w:t>. London: Routledge.</w:t>
      </w:r>
    </w:p>
    <w:p w14:paraId="57725E66"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Chan, J. (1997) </w:t>
      </w:r>
      <w:r w:rsidRPr="00DE4B6C">
        <w:rPr>
          <w:rFonts w:ascii="Arial" w:hAnsi="Arial" w:cs="Arial"/>
          <w:i/>
          <w:iCs/>
          <w:sz w:val="24"/>
          <w:szCs w:val="24"/>
        </w:rPr>
        <w:t>Changing Police Culture: Policing in a Multicultural Society</w:t>
      </w:r>
      <w:r w:rsidRPr="00DE4B6C">
        <w:rPr>
          <w:rFonts w:ascii="Arial" w:hAnsi="Arial" w:cs="Arial"/>
          <w:sz w:val="24"/>
          <w:szCs w:val="24"/>
        </w:rPr>
        <w:t>, Cambridge: Cambridge University Press.</w:t>
      </w:r>
    </w:p>
    <w:p w14:paraId="599C4FDC"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Charman, S. (2017) </w:t>
      </w:r>
      <w:r w:rsidRPr="00DE4B6C">
        <w:rPr>
          <w:rFonts w:ascii="Arial" w:hAnsi="Arial" w:cs="Arial"/>
          <w:i/>
          <w:iCs/>
          <w:sz w:val="24"/>
          <w:szCs w:val="24"/>
        </w:rPr>
        <w:t xml:space="preserve">Police Socialisation, Identity and Culture Becoming Blue. </w:t>
      </w:r>
      <w:r w:rsidRPr="00DE4B6C">
        <w:rPr>
          <w:rFonts w:ascii="Arial" w:hAnsi="Arial" w:cs="Arial"/>
          <w:sz w:val="24"/>
          <w:szCs w:val="24"/>
        </w:rPr>
        <w:t>1</w:t>
      </w:r>
      <w:r w:rsidRPr="00DE4B6C">
        <w:rPr>
          <w:rFonts w:ascii="Arial" w:hAnsi="Arial" w:cs="Arial"/>
          <w:sz w:val="24"/>
          <w:szCs w:val="24"/>
          <w:vertAlign w:val="superscript"/>
        </w:rPr>
        <w:t>st</w:t>
      </w:r>
      <w:r w:rsidRPr="00DE4B6C">
        <w:rPr>
          <w:rFonts w:ascii="Arial" w:hAnsi="Arial" w:cs="Arial"/>
          <w:sz w:val="24"/>
          <w:szCs w:val="24"/>
        </w:rPr>
        <w:t xml:space="preserve"> ed. 2017. Cham: Springer International Publishing. </w:t>
      </w:r>
    </w:p>
    <w:p w14:paraId="5CB09ED6"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Clark, C.L. and McGhee, J. (eds) (2008) </w:t>
      </w:r>
      <w:r w:rsidRPr="00DE4B6C">
        <w:rPr>
          <w:rFonts w:ascii="Arial" w:hAnsi="Arial" w:cs="Arial"/>
          <w:i/>
          <w:iCs/>
          <w:sz w:val="24"/>
          <w:szCs w:val="24"/>
        </w:rPr>
        <w:t>Private and confidential? handling personal information in the social and health services.</w:t>
      </w:r>
      <w:r w:rsidRPr="00DE4B6C">
        <w:rPr>
          <w:rFonts w:ascii="Arial" w:hAnsi="Arial" w:cs="Arial"/>
          <w:sz w:val="24"/>
          <w:szCs w:val="24"/>
        </w:rPr>
        <w:t xml:space="preserve"> Bristol, UK: Policy Press.</w:t>
      </w:r>
    </w:p>
    <w:p w14:paraId="7ECA5181" w14:textId="77777777" w:rsidR="00DE4B6C" w:rsidRPr="00DE4B6C" w:rsidRDefault="00DE4B6C" w:rsidP="00DE4B6C">
      <w:pPr>
        <w:numPr>
          <w:ilvl w:val="0"/>
          <w:numId w:val="1"/>
        </w:numPr>
        <w:spacing w:line="360" w:lineRule="auto"/>
        <w:jc w:val="both"/>
        <w:rPr>
          <w:rFonts w:ascii="Arial" w:hAnsi="Arial" w:cs="Arial"/>
          <w:sz w:val="24"/>
          <w:szCs w:val="24"/>
        </w:rPr>
      </w:pPr>
      <w:proofErr w:type="spellStart"/>
      <w:r w:rsidRPr="00DE4B6C">
        <w:rPr>
          <w:rFonts w:ascii="Arial" w:hAnsi="Arial" w:cs="Arial"/>
          <w:sz w:val="24"/>
          <w:szCs w:val="24"/>
        </w:rPr>
        <w:t>Cockroft</w:t>
      </w:r>
      <w:proofErr w:type="spellEnd"/>
      <w:r w:rsidRPr="00DE4B6C">
        <w:rPr>
          <w:rFonts w:ascii="Arial" w:hAnsi="Arial" w:cs="Arial"/>
          <w:sz w:val="24"/>
          <w:szCs w:val="24"/>
        </w:rPr>
        <w:t xml:space="preserve">, T. (2020) </w:t>
      </w:r>
      <w:r w:rsidRPr="00DE4B6C">
        <w:rPr>
          <w:rFonts w:ascii="Arial" w:hAnsi="Arial" w:cs="Arial"/>
          <w:i/>
          <w:iCs/>
          <w:sz w:val="24"/>
          <w:szCs w:val="24"/>
        </w:rPr>
        <w:t xml:space="preserve">Police occupational culture: research and practice. </w:t>
      </w:r>
      <w:r w:rsidRPr="00DE4B6C">
        <w:rPr>
          <w:rFonts w:ascii="Arial" w:hAnsi="Arial" w:cs="Arial"/>
          <w:sz w:val="24"/>
          <w:szCs w:val="24"/>
        </w:rPr>
        <w:t xml:space="preserve">Bristol: Policy Press </w:t>
      </w:r>
    </w:p>
    <w:p w14:paraId="32A5B2EE"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College of Policing (2014) </w:t>
      </w:r>
      <w:r w:rsidRPr="00DE4B6C">
        <w:rPr>
          <w:rFonts w:ascii="Arial" w:hAnsi="Arial" w:cs="Arial"/>
          <w:i/>
          <w:iCs/>
          <w:sz w:val="24"/>
          <w:szCs w:val="24"/>
        </w:rPr>
        <w:t xml:space="preserve">Code of Ethics. </w:t>
      </w:r>
      <w:r w:rsidRPr="00DE4B6C">
        <w:rPr>
          <w:rFonts w:ascii="Arial" w:hAnsi="Arial" w:cs="Arial"/>
          <w:sz w:val="24"/>
          <w:szCs w:val="24"/>
        </w:rPr>
        <w:t xml:space="preserve">Available at: </w:t>
      </w:r>
      <w:hyperlink r:id="rId6" w:history="1">
        <w:r w:rsidRPr="00DE4B6C">
          <w:rPr>
            <w:rStyle w:val="Hyperlink"/>
            <w:rFonts w:ascii="Arial" w:hAnsi="Arial" w:cs="Arial"/>
            <w:sz w:val="24"/>
            <w:szCs w:val="24"/>
          </w:rPr>
          <w:t>https://assets.college.police.uk/s3fs-public/2021-02/code_of_ethics.pdf</w:t>
        </w:r>
      </w:hyperlink>
      <w:r w:rsidRPr="00DE4B6C">
        <w:rPr>
          <w:rFonts w:ascii="Arial" w:hAnsi="Arial" w:cs="Arial"/>
          <w:sz w:val="24"/>
          <w:szCs w:val="24"/>
        </w:rPr>
        <w:t xml:space="preserve"> (Last accessed: 1</w:t>
      </w:r>
      <w:r w:rsidRPr="00DE4B6C">
        <w:rPr>
          <w:rFonts w:ascii="Arial" w:hAnsi="Arial" w:cs="Arial"/>
          <w:sz w:val="24"/>
          <w:szCs w:val="24"/>
          <w:vertAlign w:val="superscript"/>
        </w:rPr>
        <w:t>st</w:t>
      </w:r>
      <w:r w:rsidRPr="00DE4B6C">
        <w:rPr>
          <w:rFonts w:ascii="Arial" w:hAnsi="Arial" w:cs="Arial"/>
          <w:sz w:val="24"/>
          <w:szCs w:val="24"/>
        </w:rPr>
        <w:t xml:space="preserve"> September 2023)</w:t>
      </w:r>
    </w:p>
    <w:p w14:paraId="19CE320D"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College of Policing (2021) </w:t>
      </w:r>
      <w:r w:rsidRPr="00DE4B6C">
        <w:rPr>
          <w:rFonts w:ascii="Arial" w:hAnsi="Arial" w:cs="Arial"/>
          <w:i/>
          <w:iCs/>
          <w:sz w:val="24"/>
          <w:szCs w:val="24"/>
        </w:rPr>
        <w:t xml:space="preserve">Introduction to vulnerability – related risk. </w:t>
      </w:r>
      <w:r w:rsidRPr="00DE4B6C">
        <w:rPr>
          <w:rFonts w:ascii="Arial" w:hAnsi="Arial" w:cs="Arial"/>
          <w:sz w:val="24"/>
          <w:szCs w:val="24"/>
        </w:rPr>
        <w:t xml:space="preserve">Available at: </w:t>
      </w:r>
      <w:hyperlink r:id="rId7" w:history="1">
        <w:r w:rsidRPr="00DE4B6C">
          <w:rPr>
            <w:rStyle w:val="Hyperlink"/>
            <w:rFonts w:ascii="Arial" w:hAnsi="Arial" w:cs="Arial"/>
            <w:sz w:val="24"/>
            <w:szCs w:val="24"/>
          </w:rPr>
          <w:t>https://www.college.police.uk/guidance/vulnerability-related-risks/introduction-vulnerability-related-risk#:~:text=We%20have%20adopted%20the%20THRIVE,others%20from%20harm%20or%20exploitation</w:t>
        </w:r>
      </w:hyperlink>
      <w:r w:rsidRPr="00DE4B6C">
        <w:rPr>
          <w:rFonts w:ascii="Arial" w:hAnsi="Arial" w:cs="Arial"/>
          <w:sz w:val="24"/>
          <w:szCs w:val="24"/>
        </w:rPr>
        <w:t>. (Accessed: 4</w:t>
      </w:r>
      <w:r w:rsidRPr="00DE4B6C">
        <w:rPr>
          <w:rFonts w:ascii="Arial" w:hAnsi="Arial" w:cs="Arial"/>
          <w:sz w:val="24"/>
          <w:szCs w:val="24"/>
          <w:vertAlign w:val="superscript"/>
        </w:rPr>
        <w:t>th</w:t>
      </w:r>
      <w:r w:rsidRPr="00DE4B6C">
        <w:rPr>
          <w:rFonts w:ascii="Arial" w:hAnsi="Arial" w:cs="Arial"/>
          <w:sz w:val="24"/>
          <w:szCs w:val="24"/>
        </w:rPr>
        <w:t xml:space="preserve"> September 2023). </w:t>
      </w:r>
    </w:p>
    <w:p w14:paraId="1662CB2E"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Connelly, C. and Williamson, S. (2000) </w:t>
      </w:r>
      <w:r w:rsidRPr="00DE4B6C">
        <w:rPr>
          <w:rFonts w:ascii="Arial" w:hAnsi="Arial" w:cs="Arial"/>
          <w:i/>
          <w:iCs/>
          <w:sz w:val="24"/>
          <w:szCs w:val="24"/>
        </w:rPr>
        <w:t xml:space="preserve">Review of the Research Literature on Serious Violent and Sexual Offenders, Crime and Criminal Justice. </w:t>
      </w:r>
      <w:r w:rsidRPr="00DE4B6C">
        <w:rPr>
          <w:rFonts w:ascii="Arial" w:hAnsi="Arial" w:cs="Arial"/>
          <w:sz w:val="24"/>
          <w:szCs w:val="24"/>
        </w:rPr>
        <w:t xml:space="preserve">Research Findings No.46, Edinburgh: Scottish Executive Central Research Unit. </w:t>
      </w:r>
    </w:p>
    <w:p w14:paraId="67196EDD"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lastRenderedPageBreak/>
        <w:t>Foley, J. and Massey, K.L.D. (2021) ‘The “cost” of caring in policing: From burnout to PTSD in police officers in England and Wales’, </w:t>
      </w:r>
      <w:r w:rsidRPr="00DE4B6C">
        <w:rPr>
          <w:rFonts w:ascii="Arial" w:hAnsi="Arial" w:cs="Arial"/>
          <w:i/>
          <w:iCs/>
          <w:sz w:val="24"/>
          <w:szCs w:val="24"/>
        </w:rPr>
        <w:t>Police journal (Chichester)</w:t>
      </w:r>
      <w:r w:rsidRPr="00DE4B6C">
        <w:rPr>
          <w:rFonts w:ascii="Arial" w:hAnsi="Arial" w:cs="Arial"/>
          <w:sz w:val="24"/>
          <w:szCs w:val="24"/>
        </w:rPr>
        <w:t>, 94(3), pp. 298–315.</w:t>
      </w:r>
    </w:p>
    <w:p w14:paraId="55BEF53E"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Gershon, R., </w:t>
      </w:r>
      <w:proofErr w:type="spellStart"/>
      <w:r w:rsidRPr="00DE4B6C">
        <w:rPr>
          <w:rFonts w:ascii="Arial" w:hAnsi="Arial" w:cs="Arial"/>
          <w:sz w:val="24"/>
          <w:szCs w:val="24"/>
        </w:rPr>
        <w:t>Barocas</w:t>
      </w:r>
      <w:proofErr w:type="spellEnd"/>
      <w:r w:rsidRPr="00DE4B6C">
        <w:rPr>
          <w:rFonts w:ascii="Arial" w:hAnsi="Arial" w:cs="Arial"/>
          <w:sz w:val="24"/>
          <w:szCs w:val="24"/>
        </w:rPr>
        <w:t xml:space="preserve">, B., Canton, A., Li, X. and </w:t>
      </w:r>
      <w:proofErr w:type="spellStart"/>
      <w:r w:rsidRPr="00DE4B6C">
        <w:rPr>
          <w:rFonts w:ascii="Arial" w:hAnsi="Arial" w:cs="Arial"/>
          <w:sz w:val="24"/>
          <w:szCs w:val="24"/>
        </w:rPr>
        <w:t>Vlahov</w:t>
      </w:r>
      <w:proofErr w:type="spellEnd"/>
      <w:r w:rsidRPr="00DE4B6C">
        <w:rPr>
          <w:rFonts w:ascii="Arial" w:hAnsi="Arial" w:cs="Arial"/>
          <w:sz w:val="24"/>
          <w:szCs w:val="24"/>
        </w:rPr>
        <w:t xml:space="preserve">, D. (2009). Mental, physical, and </w:t>
      </w:r>
      <w:proofErr w:type="spellStart"/>
      <w:r w:rsidRPr="00DE4B6C">
        <w:rPr>
          <w:rFonts w:ascii="Arial" w:hAnsi="Arial" w:cs="Arial"/>
          <w:sz w:val="24"/>
          <w:szCs w:val="24"/>
        </w:rPr>
        <w:t>behavioral</w:t>
      </w:r>
      <w:proofErr w:type="spellEnd"/>
      <w:r w:rsidRPr="00DE4B6C">
        <w:rPr>
          <w:rFonts w:ascii="Arial" w:hAnsi="Arial" w:cs="Arial"/>
          <w:sz w:val="24"/>
          <w:szCs w:val="24"/>
        </w:rPr>
        <w:t xml:space="preserve"> outcomes associated with perceived work stress in police officers. </w:t>
      </w:r>
      <w:r w:rsidRPr="00DE4B6C">
        <w:rPr>
          <w:rFonts w:ascii="Arial" w:hAnsi="Arial" w:cs="Arial"/>
          <w:i/>
          <w:iCs/>
          <w:sz w:val="24"/>
          <w:szCs w:val="24"/>
        </w:rPr>
        <w:t xml:space="preserve">Criminal Justice and </w:t>
      </w:r>
      <w:proofErr w:type="spellStart"/>
      <w:r w:rsidRPr="00DE4B6C">
        <w:rPr>
          <w:rFonts w:ascii="Arial" w:hAnsi="Arial" w:cs="Arial"/>
          <w:i/>
          <w:iCs/>
          <w:sz w:val="24"/>
          <w:szCs w:val="24"/>
        </w:rPr>
        <w:t>Behavior</w:t>
      </w:r>
      <w:proofErr w:type="spellEnd"/>
      <w:r w:rsidRPr="00DE4B6C">
        <w:rPr>
          <w:rFonts w:ascii="Arial" w:hAnsi="Arial" w:cs="Arial"/>
          <w:sz w:val="24"/>
          <w:szCs w:val="24"/>
        </w:rPr>
        <w:t>, 36(3), 275–289.</w:t>
      </w:r>
    </w:p>
    <w:p w14:paraId="19D32703" w14:textId="77777777" w:rsidR="00DE4B6C" w:rsidRPr="00DE4B6C" w:rsidRDefault="00DE4B6C" w:rsidP="00DE4B6C">
      <w:pPr>
        <w:numPr>
          <w:ilvl w:val="0"/>
          <w:numId w:val="1"/>
        </w:numPr>
        <w:spacing w:line="360" w:lineRule="auto"/>
        <w:jc w:val="both"/>
        <w:rPr>
          <w:rFonts w:ascii="Arial" w:hAnsi="Arial" w:cs="Arial"/>
          <w:sz w:val="24"/>
          <w:szCs w:val="24"/>
        </w:rPr>
      </w:pPr>
      <w:proofErr w:type="spellStart"/>
      <w:r w:rsidRPr="00DE4B6C">
        <w:rPr>
          <w:rFonts w:ascii="Arial" w:hAnsi="Arial" w:cs="Arial"/>
          <w:sz w:val="24"/>
          <w:szCs w:val="24"/>
        </w:rPr>
        <w:t>Grandey</w:t>
      </w:r>
      <w:proofErr w:type="spellEnd"/>
      <w:r w:rsidRPr="00DE4B6C">
        <w:rPr>
          <w:rFonts w:ascii="Arial" w:hAnsi="Arial" w:cs="Arial"/>
          <w:sz w:val="24"/>
          <w:szCs w:val="24"/>
        </w:rPr>
        <w:t xml:space="preserve">, A.A. (2000). Emotion regulation in the workplace: A new way to conceptualize emotional </w:t>
      </w:r>
      <w:proofErr w:type="spellStart"/>
      <w:r w:rsidRPr="00DE4B6C">
        <w:rPr>
          <w:rFonts w:ascii="Arial" w:hAnsi="Arial" w:cs="Arial"/>
          <w:sz w:val="24"/>
          <w:szCs w:val="24"/>
        </w:rPr>
        <w:t>labor</w:t>
      </w:r>
      <w:proofErr w:type="spellEnd"/>
      <w:r w:rsidRPr="00DE4B6C">
        <w:rPr>
          <w:rFonts w:ascii="Arial" w:hAnsi="Arial" w:cs="Arial"/>
          <w:sz w:val="24"/>
          <w:szCs w:val="24"/>
        </w:rPr>
        <w:t xml:space="preserve">. </w:t>
      </w:r>
      <w:r w:rsidRPr="00DE4B6C">
        <w:rPr>
          <w:rFonts w:ascii="Arial" w:hAnsi="Arial" w:cs="Arial"/>
          <w:i/>
          <w:iCs/>
          <w:sz w:val="24"/>
          <w:szCs w:val="24"/>
        </w:rPr>
        <w:t>Journal of Occupational Health Psychology</w:t>
      </w:r>
      <w:r w:rsidRPr="00DE4B6C">
        <w:rPr>
          <w:rFonts w:ascii="Arial" w:hAnsi="Arial" w:cs="Arial"/>
          <w:sz w:val="24"/>
          <w:szCs w:val="24"/>
        </w:rPr>
        <w:t>, 5(1), 95–110.</w:t>
      </w:r>
    </w:p>
    <w:p w14:paraId="548C6F9C"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Groff, E.R. (2017) Measuring the Influence of the Built Environment on Crime at Street Segments. </w:t>
      </w:r>
      <w:r w:rsidRPr="00DE4B6C">
        <w:rPr>
          <w:rFonts w:ascii="Arial" w:hAnsi="Arial" w:cs="Arial"/>
          <w:i/>
          <w:iCs/>
          <w:sz w:val="24"/>
          <w:szCs w:val="24"/>
        </w:rPr>
        <w:t>Jerusalem Review of Legal Studies, 15(1)</w:t>
      </w:r>
      <w:r w:rsidRPr="00DE4B6C">
        <w:rPr>
          <w:rFonts w:ascii="Arial" w:hAnsi="Arial" w:cs="Arial"/>
          <w:sz w:val="24"/>
          <w:szCs w:val="24"/>
        </w:rPr>
        <w:t xml:space="preserve">, 44-54. </w:t>
      </w:r>
    </w:p>
    <w:p w14:paraId="2AA2A57D" w14:textId="5FCA33D9"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Health and Safety Executive (2009) </w:t>
      </w:r>
      <w:r w:rsidRPr="00DE4B6C">
        <w:rPr>
          <w:rFonts w:ascii="Arial" w:hAnsi="Arial" w:cs="Arial"/>
          <w:i/>
          <w:iCs/>
          <w:sz w:val="24"/>
          <w:szCs w:val="24"/>
        </w:rPr>
        <w:t>Health and Safety Law: What you need to know</w:t>
      </w:r>
      <w:r w:rsidRPr="00DE4B6C">
        <w:rPr>
          <w:rFonts w:ascii="Arial" w:hAnsi="Arial" w:cs="Arial"/>
          <w:sz w:val="24"/>
          <w:szCs w:val="24"/>
        </w:rPr>
        <w:t>. Available at</w:t>
      </w:r>
      <w:r>
        <w:rPr>
          <w:rFonts w:ascii="Arial" w:hAnsi="Arial" w:cs="Arial"/>
          <w:sz w:val="24"/>
          <w:szCs w:val="24"/>
        </w:rPr>
        <w:t>:</w:t>
      </w:r>
      <w:r w:rsidRPr="00DE4B6C">
        <w:rPr>
          <w:rFonts w:ascii="Arial" w:hAnsi="Arial" w:cs="Arial"/>
          <w:sz w:val="24"/>
          <w:szCs w:val="24"/>
        </w:rPr>
        <w:t xml:space="preserve"> </w:t>
      </w:r>
      <w:hyperlink r:id="rId8" w:history="1">
        <w:r w:rsidRPr="004155B0">
          <w:rPr>
            <w:rStyle w:val="Hyperlink"/>
            <w:rFonts w:ascii="Arial" w:hAnsi="Arial" w:cs="Arial"/>
            <w:sz w:val="24"/>
            <w:szCs w:val="24"/>
          </w:rPr>
          <w:t>https://www.hse.gov.uk/pubns/law.pdf</w:t>
        </w:r>
      </w:hyperlink>
      <w:r>
        <w:rPr>
          <w:rFonts w:ascii="Arial" w:hAnsi="Arial" w:cs="Arial"/>
          <w:sz w:val="24"/>
          <w:szCs w:val="24"/>
        </w:rPr>
        <w:t xml:space="preserve"> </w:t>
      </w:r>
      <w:r w:rsidRPr="00DE4B6C">
        <w:rPr>
          <w:rFonts w:ascii="Arial" w:hAnsi="Arial" w:cs="Arial"/>
          <w:sz w:val="24"/>
          <w:szCs w:val="24"/>
        </w:rPr>
        <w:t>(Last Accessed; 21</w:t>
      </w:r>
      <w:r w:rsidRPr="00DE4B6C">
        <w:rPr>
          <w:rFonts w:ascii="Arial" w:hAnsi="Arial" w:cs="Arial"/>
          <w:sz w:val="24"/>
          <w:szCs w:val="24"/>
          <w:vertAlign w:val="superscript"/>
        </w:rPr>
        <w:t>st</w:t>
      </w:r>
      <w:r w:rsidRPr="00DE4B6C">
        <w:rPr>
          <w:rFonts w:ascii="Arial" w:hAnsi="Arial" w:cs="Arial"/>
          <w:sz w:val="24"/>
          <w:szCs w:val="24"/>
        </w:rPr>
        <w:t xml:space="preserve"> August 2023)</w:t>
      </w:r>
    </w:p>
    <w:p w14:paraId="3CB382E1"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HM Prison and Probation Service (2022) </w:t>
      </w:r>
      <w:r w:rsidRPr="00DE4B6C">
        <w:rPr>
          <w:rFonts w:ascii="Arial" w:hAnsi="Arial" w:cs="Arial"/>
          <w:i/>
          <w:iCs/>
          <w:sz w:val="24"/>
          <w:szCs w:val="24"/>
        </w:rPr>
        <w:t xml:space="preserve">A Response to: Twenty years on, is MAPPA achieving its objectives? A joint thematic inspection of Multi-Agency Public Protection Arrangements. </w:t>
      </w:r>
      <w:r w:rsidRPr="00DE4B6C">
        <w:rPr>
          <w:rFonts w:ascii="Arial" w:hAnsi="Arial" w:cs="Arial"/>
          <w:sz w:val="24"/>
          <w:szCs w:val="24"/>
        </w:rPr>
        <w:t xml:space="preserve">Available at: </w:t>
      </w:r>
      <w:hyperlink r:id="rId9" w:history="1">
        <w:r w:rsidRPr="00DE4B6C">
          <w:rPr>
            <w:rStyle w:val="Hyperlink"/>
            <w:rFonts w:ascii="Arial" w:hAnsi="Arial" w:cs="Arial"/>
            <w:sz w:val="24"/>
            <w:szCs w:val="24"/>
          </w:rPr>
          <w:t>https://assets.publishing.service.gov.uk/government/uploads/system/uploads/attachment_data/file/1178194/A_joint_thematic_inspection_of_Multi-Agency_Public_Protection_Arrangements_-_Action_Plan_-_12_Month_and_Final_Review_August_2023.pdf</w:t>
        </w:r>
      </w:hyperlink>
      <w:r w:rsidRPr="00DE4B6C">
        <w:rPr>
          <w:rFonts w:ascii="Arial" w:hAnsi="Arial" w:cs="Arial"/>
          <w:sz w:val="24"/>
          <w:szCs w:val="24"/>
        </w:rPr>
        <w:t xml:space="preserve"> (Last Accessed: 3</w:t>
      </w:r>
      <w:r w:rsidRPr="00DE4B6C">
        <w:rPr>
          <w:rFonts w:ascii="Arial" w:hAnsi="Arial" w:cs="Arial"/>
          <w:sz w:val="24"/>
          <w:szCs w:val="24"/>
          <w:vertAlign w:val="superscript"/>
        </w:rPr>
        <w:t>rd</w:t>
      </w:r>
      <w:r w:rsidRPr="00DE4B6C">
        <w:rPr>
          <w:rFonts w:ascii="Arial" w:hAnsi="Arial" w:cs="Arial"/>
          <w:sz w:val="24"/>
          <w:szCs w:val="24"/>
        </w:rPr>
        <w:t xml:space="preserve"> September 2023)</w:t>
      </w:r>
    </w:p>
    <w:p w14:paraId="4DB0BCBE" w14:textId="77777777" w:rsidR="00DE4B6C" w:rsidRPr="00DE4B6C" w:rsidRDefault="00DE4B6C" w:rsidP="00DE4B6C">
      <w:pPr>
        <w:numPr>
          <w:ilvl w:val="0"/>
          <w:numId w:val="1"/>
        </w:numPr>
        <w:spacing w:line="360" w:lineRule="auto"/>
        <w:jc w:val="both"/>
        <w:rPr>
          <w:rFonts w:ascii="Arial" w:hAnsi="Arial" w:cs="Arial"/>
          <w:i/>
          <w:iCs/>
          <w:sz w:val="24"/>
          <w:szCs w:val="24"/>
        </w:rPr>
      </w:pPr>
      <w:proofErr w:type="spellStart"/>
      <w:r w:rsidRPr="00DE4B6C">
        <w:rPr>
          <w:rFonts w:ascii="Arial" w:hAnsi="Arial" w:cs="Arial"/>
          <w:sz w:val="24"/>
          <w:szCs w:val="24"/>
        </w:rPr>
        <w:t>Houdmont</w:t>
      </w:r>
      <w:proofErr w:type="spellEnd"/>
      <w:r w:rsidRPr="00DE4B6C">
        <w:rPr>
          <w:rFonts w:ascii="Arial" w:hAnsi="Arial" w:cs="Arial"/>
          <w:sz w:val="24"/>
          <w:szCs w:val="24"/>
        </w:rPr>
        <w:t xml:space="preserve">, J. and Elliott-Davies, M. (2016). </w:t>
      </w:r>
      <w:r w:rsidRPr="00DE4B6C">
        <w:rPr>
          <w:rFonts w:ascii="Arial" w:hAnsi="Arial" w:cs="Arial"/>
          <w:i/>
          <w:iCs/>
          <w:sz w:val="24"/>
          <w:szCs w:val="24"/>
        </w:rPr>
        <w:t>Police Federation of England and Wales 2016 Officer Demand, Capacity, and Welfare Survey: Initial Report – Descriptive Results.</w:t>
      </w:r>
    </w:p>
    <w:p w14:paraId="1045980C" w14:textId="77777777" w:rsidR="00DE4B6C" w:rsidRPr="00DE4B6C" w:rsidRDefault="00DE4B6C" w:rsidP="00DE4B6C">
      <w:pPr>
        <w:numPr>
          <w:ilvl w:val="0"/>
          <w:numId w:val="1"/>
        </w:numPr>
        <w:spacing w:line="360" w:lineRule="auto"/>
        <w:jc w:val="both"/>
        <w:rPr>
          <w:rFonts w:ascii="Arial" w:hAnsi="Arial" w:cs="Arial"/>
          <w:i/>
          <w:iCs/>
          <w:sz w:val="24"/>
          <w:szCs w:val="24"/>
        </w:rPr>
      </w:pPr>
      <w:r w:rsidRPr="00DE4B6C">
        <w:rPr>
          <w:rFonts w:ascii="Arial" w:hAnsi="Arial" w:cs="Arial"/>
          <w:sz w:val="24"/>
          <w:szCs w:val="24"/>
        </w:rPr>
        <w:t xml:space="preserve">Johnson, G., Scholes, K. and Whittington, R. (2008) </w:t>
      </w:r>
      <w:r w:rsidRPr="00DE4B6C">
        <w:rPr>
          <w:rFonts w:ascii="Arial" w:hAnsi="Arial" w:cs="Arial"/>
          <w:i/>
          <w:iCs/>
          <w:sz w:val="24"/>
          <w:szCs w:val="24"/>
        </w:rPr>
        <w:t xml:space="preserve">Exploring Corporate Strategy </w:t>
      </w:r>
      <w:r w:rsidRPr="00DE4B6C">
        <w:rPr>
          <w:rFonts w:ascii="Arial" w:hAnsi="Arial" w:cs="Arial"/>
          <w:sz w:val="24"/>
          <w:szCs w:val="24"/>
        </w:rPr>
        <w:t>(8</w:t>
      </w:r>
      <w:r w:rsidRPr="00DE4B6C">
        <w:rPr>
          <w:rFonts w:ascii="Arial" w:hAnsi="Arial" w:cs="Arial"/>
          <w:sz w:val="24"/>
          <w:szCs w:val="24"/>
          <w:vertAlign w:val="superscript"/>
        </w:rPr>
        <w:t>th</w:t>
      </w:r>
      <w:r w:rsidRPr="00DE4B6C">
        <w:rPr>
          <w:rFonts w:ascii="Arial" w:hAnsi="Arial" w:cs="Arial"/>
          <w:sz w:val="24"/>
          <w:szCs w:val="24"/>
        </w:rPr>
        <w:t xml:space="preserve"> ed.). Harlow: Pearson Education. </w:t>
      </w:r>
    </w:p>
    <w:p w14:paraId="58E6C1B9"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Johnson, S. and Bowers, K.J. (2010) Permeability and Burglary Risk: Are Cul-de-Sacs Safer? </w:t>
      </w:r>
      <w:r w:rsidRPr="00DE4B6C">
        <w:rPr>
          <w:rFonts w:ascii="Arial" w:hAnsi="Arial" w:cs="Arial"/>
          <w:i/>
          <w:iCs/>
          <w:sz w:val="24"/>
          <w:szCs w:val="24"/>
        </w:rPr>
        <w:t>Quantitative Journal of Criminology 26</w:t>
      </w:r>
      <w:r w:rsidRPr="00DE4B6C">
        <w:rPr>
          <w:rFonts w:ascii="Arial" w:hAnsi="Arial" w:cs="Arial"/>
          <w:sz w:val="24"/>
          <w:szCs w:val="24"/>
        </w:rPr>
        <w:t xml:space="preserve"> (1): 89–111.</w:t>
      </w:r>
    </w:p>
    <w:p w14:paraId="27A2CD58"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lastRenderedPageBreak/>
        <w:t xml:space="preserve">Kemshall, H., Wood, J., Mackenzie, G., Bailey, R. and Yates, J. (2005) </w:t>
      </w:r>
      <w:r w:rsidRPr="00DE4B6C">
        <w:rPr>
          <w:rFonts w:ascii="Arial" w:hAnsi="Arial" w:cs="Arial"/>
          <w:i/>
          <w:iCs/>
          <w:sz w:val="24"/>
          <w:szCs w:val="24"/>
        </w:rPr>
        <w:t>Strengthening Multi-Agency Public Protection Arrangements (MAPPA).</w:t>
      </w:r>
      <w:r w:rsidRPr="00DE4B6C">
        <w:rPr>
          <w:rFonts w:ascii="Arial" w:hAnsi="Arial" w:cs="Arial"/>
          <w:sz w:val="24"/>
          <w:szCs w:val="24"/>
        </w:rPr>
        <w:t xml:space="preserve"> London: Home Office. </w:t>
      </w:r>
    </w:p>
    <w:p w14:paraId="2BAC7B77" w14:textId="77777777" w:rsidR="00DE4B6C" w:rsidRPr="00DE4B6C" w:rsidRDefault="00DE4B6C" w:rsidP="00DE4B6C">
      <w:pPr>
        <w:numPr>
          <w:ilvl w:val="0"/>
          <w:numId w:val="1"/>
        </w:numPr>
        <w:spacing w:line="360" w:lineRule="auto"/>
        <w:jc w:val="both"/>
        <w:rPr>
          <w:rFonts w:ascii="Arial" w:hAnsi="Arial" w:cs="Arial"/>
          <w:i/>
          <w:iCs/>
          <w:sz w:val="24"/>
          <w:szCs w:val="24"/>
        </w:rPr>
      </w:pPr>
      <w:r w:rsidRPr="00DE4B6C">
        <w:rPr>
          <w:rFonts w:ascii="Arial" w:hAnsi="Arial" w:cs="Arial"/>
          <w:sz w:val="24"/>
          <w:szCs w:val="24"/>
        </w:rPr>
        <w:t>McDaniel, J.L.M., Moss, K. and Pease, K. (2020) </w:t>
      </w:r>
      <w:r w:rsidRPr="00DE4B6C">
        <w:rPr>
          <w:rFonts w:ascii="Arial" w:hAnsi="Arial" w:cs="Arial"/>
          <w:i/>
          <w:iCs/>
          <w:sz w:val="24"/>
          <w:szCs w:val="24"/>
        </w:rPr>
        <w:t>Policing and mental health: theory, policy and practice</w:t>
      </w:r>
      <w:r w:rsidRPr="00DE4B6C">
        <w:rPr>
          <w:rFonts w:ascii="Arial" w:hAnsi="Arial" w:cs="Arial"/>
          <w:sz w:val="24"/>
          <w:szCs w:val="24"/>
        </w:rPr>
        <w:t>. Edited by J.L.M. McDaniel, K. Moss, and K. (Kenneth) Pease. Abingdon, Oxon ;: Routledge.</w:t>
      </w:r>
    </w:p>
    <w:p w14:paraId="13095D8C" w14:textId="77777777" w:rsidR="00DE4B6C" w:rsidRPr="00DE4B6C" w:rsidRDefault="00DE4B6C" w:rsidP="00DE4B6C">
      <w:pPr>
        <w:numPr>
          <w:ilvl w:val="0"/>
          <w:numId w:val="1"/>
        </w:numPr>
        <w:spacing w:line="360" w:lineRule="auto"/>
        <w:jc w:val="both"/>
        <w:rPr>
          <w:rFonts w:ascii="Arial" w:hAnsi="Arial" w:cs="Arial"/>
          <w:i/>
          <w:iCs/>
          <w:sz w:val="24"/>
          <w:szCs w:val="24"/>
        </w:rPr>
      </w:pPr>
      <w:r w:rsidRPr="00DE4B6C">
        <w:rPr>
          <w:rFonts w:ascii="Arial" w:hAnsi="Arial" w:cs="Arial"/>
          <w:sz w:val="24"/>
          <w:szCs w:val="24"/>
        </w:rPr>
        <w:t xml:space="preserve">Merrington, S. and Stanley, S. (2007) ‘Effectiveness: Who Counts What?’, in L. </w:t>
      </w:r>
      <w:proofErr w:type="spellStart"/>
      <w:r w:rsidRPr="00DE4B6C">
        <w:rPr>
          <w:rFonts w:ascii="Arial" w:hAnsi="Arial" w:cs="Arial"/>
          <w:sz w:val="24"/>
          <w:szCs w:val="24"/>
        </w:rPr>
        <w:t>Gelsthorpe</w:t>
      </w:r>
      <w:proofErr w:type="spellEnd"/>
      <w:r w:rsidRPr="00DE4B6C">
        <w:rPr>
          <w:rFonts w:ascii="Arial" w:hAnsi="Arial" w:cs="Arial"/>
          <w:sz w:val="24"/>
          <w:szCs w:val="24"/>
        </w:rPr>
        <w:t xml:space="preserve"> and R. Morgan (eds) </w:t>
      </w:r>
      <w:r w:rsidRPr="00DE4B6C">
        <w:rPr>
          <w:rFonts w:ascii="Arial" w:hAnsi="Arial" w:cs="Arial"/>
          <w:i/>
          <w:iCs/>
          <w:sz w:val="24"/>
          <w:szCs w:val="24"/>
        </w:rPr>
        <w:t xml:space="preserve">Handbook of Probation. </w:t>
      </w:r>
      <w:proofErr w:type="spellStart"/>
      <w:r w:rsidRPr="00DE4B6C">
        <w:rPr>
          <w:rFonts w:ascii="Arial" w:hAnsi="Arial" w:cs="Arial"/>
          <w:sz w:val="24"/>
          <w:szCs w:val="24"/>
        </w:rPr>
        <w:t>Collumpton</w:t>
      </w:r>
      <w:proofErr w:type="spellEnd"/>
      <w:r w:rsidRPr="00DE4B6C">
        <w:rPr>
          <w:rFonts w:ascii="Arial" w:hAnsi="Arial" w:cs="Arial"/>
          <w:sz w:val="24"/>
          <w:szCs w:val="24"/>
        </w:rPr>
        <w:t xml:space="preserve">: Willan Publishing. </w:t>
      </w:r>
    </w:p>
    <w:p w14:paraId="69568B1D" w14:textId="144757C9"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Mind (2020) </w:t>
      </w:r>
      <w:r w:rsidRPr="00DE4B6C">
        <w:rPr>
          <w:rFonts w:ascii="Arial" w:hAnsi="Arial" w:cs="Arial"/>
          <w:i/>
          <w:iCs/>
          <w:sz w:val="24"/>
          <w:szCs w:val="24"/>
        </w:rPr>
        <w:t xml:space="preserve">Trauma. </w:t>
      </w:r>
      <w:r w:rsidRPr="00DE4B6C">
        <w:rPr>
          <w:rFonts w:ascii="Arial" w:hAnsi="Arial" w:cs="Arial"/>
          <w:sz w:val="24"/>
          <w:szCs w:val="24"/>
        </w:rPr>
        <w:t xml:space="preserve">Available at: </w:t>
      </w:r>
      <w:hyperlink r:id="rId10" w:history="1">
        <w:r w:rsidRPr="004155B0">
          <w:rPr>
            <w:rStyle w:val="Hyperlink"/>
            <w:rFonts w:ascii="Arial" w:hAnsi="Arial" w:cs="Arial"/>
            <w:sz w:val="24"/>
            <w:szCs w:val="24"/>
          </w:rPr>
          <w:t>https://www.mind.org.uk/information-support/types-of-mental-health-problems/trauma/about-trauma/</w:t>
        </w:r>
      </w:hyperlink>
      <w:r>
        <w:rPr>
          <w:rFonts w:ascii="Arial" w:hAnsi="Arial" w:cs="Arial"/>
          <w:sz w:val="24"/>
          <w:szCs w:val="24"/>
        </w:rPr>
        <w:t xml:space="preserve"> </w:t>
      </w:r>
      <w:r w:rsidRPr="00DE4B6C">
        <w:rPr>
          <w:rFonts w:ascii="Arial" w:hAnsi="Arial" w:cs="Arial"/>
          <w:sz w:val="24"/>
          <w:szCs w:val="24"/>
        </w:rPr>
        <w:t xml:space="preserve"> </w:t>
      </w:r>
      <w:r w:rsidRPr="00DE4B6C">
        <w:rPr>
          <w:rFonts w:ascii="Arial" w:hAnsi="Arial" w:cs="Arial"/>
          <w:sz w:val="24"/>
          <w:szCs w:val="24"/>
        </w:rPr>
        <w:t>(Last Accessed: 14</w:t>
      </w:r>
      <w:r w:rsidRPr="00DE4B6C">
        <w:rPr>
          <w:rFonts w:ascii="Arial" w:hAnsi="Arial" w:cs="Arial"/>
          <w:sz w:val="24"/>
          <w:szCs w:val="24"/>
          <w:vertAlign w:val="superscript"/>
        </w:rPr>
        <w:t>th</w:t>
      </w:r>
      <w:r w:rsidRPr="00DE4B6C">
        <w:rPr>
          <w:rFonts w:ascii="Arial" w:hAnsi="Arial" w:cs="Arial"/>
          <w:sz w:val="24"/>
          <w:szCs w:val="24"/>
        </w:rPr>
        <w:t xml:space="preserve"> August 2023)</w:t>
      </w:r>
    </w:p>
    <w:p w14:paraId="3823CDC6"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Montoya, L., Junger, M. and </w:t>
      </w:r>
      <w:proofErr w:type="spellStart"/>
      <w:r w:rsidRPr="00DE4B6C">
        <w:rPr>
          <w:rFonts w:ascii="Arial" w:hAnsi="Arial" w:cs="Arial"/>
          <w:sz w:val="24"/>
          <w:szCs w:val="24"/>
        </w:rPr>
        <w:t>Ongen</w:t>
      </w:r>
      <w:proofErr w:type="spellEnd"/>
      <w:r w:rsidRPr="00DE4B6C">
        <w:rPr>
          <w:rFonts w:ascii="Arial" w:hAnsi="Arial" w:cs="Arial"/>
          <w:sz w:val="24"/>
          <w:szCs w:val="24"/>
        </w:rPr>
        <w:t xml:space="preserve">, Y. (2016) The Relation Between Residential Property and its Surroundings and Day- and Night-Time Residential Burglary. </w:t>
      </w:r>
      <w:r w:rsidRPr="00DE4B6C">
        <w:rPr>
          <w:rFonts w:ascii="Arial" w:hAnsi="Arial" w:cs="Arial"/>
          <w:i/>
          <w:iCs/>
          <w:sz w:val="24"/>
          <w:szCs w:val="24"/>
        </w:rPr>
        <w:t xml:space="preserve">Environment and </w:t>
      </w:r>
      <w:proofErr w:type="spellStart"/>
      <w:r w:rsidRPr="00DE4B6C">
        <w:rPr>
          <w:rFonts w:ascii="Arial" w:hAnsi="Arial" w:cs="Arial"/>
          <w:i/>
          <w:iCs/>
          <w:sz w:val="24"/>
          <w:szCs w:val="24"/>
        </w:rPr>
        <w:t>Behavior</w:t>
      </w:r>
      <w:proofErr w:type="spellEnd"/>
      <w:r w:rsidRPr="00DE4B6C">
        <w:rPr>
          <w:rFonts w:ascii="Arial" w:hAnsi="Arial" w:cs="Arial"/>
          <w:i/>
          <w:iCs/>
          <w:sz w:val="24"/>
          <w:szCs w:val="24"/>
        </w:rPr>
        <w:t xml:space="preserve"> 48:</w:t>
      </w:r>
      <w:r w:rsidRPr="00DE4B6C">
        <w:rPr>
          <w:rFonts w:ascii="Arial" w:hAnsi="Arial" w:cs="Arial"/>
          <w:sz w:val="24"/>
          <w:szCs w:val="24"/>
        </w:rPr>
        <w:t xml:space="preserve"> 515–549.</w:t>
      </w:r>
    </w:p>
    <w:p w14:paraId="5099F088"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Patterson, G.T., Chung, I.W. and Swan, P.W. (2014). Stress management interventions for police officers and recruits: A meta-analysis. </w:t>
      </w:r>
      <w:r w:rsidRPr="00DE4B6C">
        <w:rPr>
          <w:rFonts w:ascii="Arial" w:hAnsi="Arial" w:cs="Arial"/>
          <w:i/>
          <w:iCs/>
          <w:sz w:val="24"/>
          <w:szCs w:val="24"/>
        </w:rPr>
        <w:t>Journal of Experimental Criminology</w:t>
      </w:r>
      <w:r w:rsidRPr="00DE4B6C">
        <w:rPr>
          <w:rFonts w:ascii="Arial" w:hAnsi="Arial" w:cs="Arial"/>
          <w:sz w:val="24"/>
          <w:szCs w:val="24"/>
        </w:rPr>
        <w:t>, 10,487–513.</w:t>
      </w:r>
    </w:p>
    <w:p w14:paraId="3CAD75D0"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Pierce, H. and Lilly, M.M. (2012). Duty related trauma exposure in 911 telecommunicators: Considering the risk for posttraumatic stress. </w:t>
      </w:r>
      <w:r w:rsidRPr="00DE4B6C">
        <w:rPr>
          <w:rFonts w:ascii="Arial" w:hAnsi="Arial" w:cs="Arial"/>
          <w:i/>
          <w:iCs/>
          <w:sz w:val="24"/>
          <w:szCs w:val="24"/>
        </w:rPr>
        <w:t>Journal of Traumatic Stress</w:t>
      </w:r>
      <w:r w:rsidRPr="00DE4B6C">
        <w:rPr>
          <w:rFonts w:ascii="Arial" w:hAnsi="Arial" w:cs="Arial"/>
          <w:sz w:val="24"/>
          <w:szCs w:val="24"/>
        </w:rPr>
        <w:t>, 25(2), 211–215</w:t>
      </w:r>
    </w:p>
    <w:p w14:paraId="658D6F52" w14:textId="69101154"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Police Federation (2022) </w:t>
      </w:r>
      <w:r w:rsidRPr="00DE4B6C">
        <w:rPr>
          <w:rFonts w:ascii="Arial" w:hAnsi="Arial" w:cs="Arial"/>
          <w:i/>
          <w:iCs/>
          <w:sz w:val="24"/>
          <w:szCs w:val="24"/>
        </w:rPr>
        <w:t xml:space="preserve">Mental health-related absences soar to record highs. </w:t>
      </w:r>
      <w:r w:rsidRPr="00DE4B6C">
        <w:rPr>
          <w:rFonts w:ascii="Arial" w:hAnsi="Arial" w:cs="Arial"/>
          <w:sz w:val="24"/>
          <w:szCs w:val="24"/>
        </w:rPr>
        <w:t xml:space="preserve">Available at: </w:t>
      </w:r>
      <w:hyperlink r:id="rId11" w:history="1">
        <w:r w:rsidRPr="004155B0">
          <w:rPr>
            <w:rStyle w:val="Hyperlink"/>
            <w:rFonts w:ascii="Arial" w:hAnsi="Arial" w:cs="Arial"/>
            <w:sz w:val="24"/>
            <w:szCs w:val="24"/>
          </w:rPr>
          <w:t>https://www.polfed.org/news/latest-news/2022/mental-health-related-absences-soar-to-record-highs/#:~:text=Record%20numbers%20of%20police%20officers,with%208%2C450%20the%20year%20before</w:t>
        </w:r>
      </w:hyperlink>
      <w:r w:rsidRPr="00DE4B6C">
        <w:rPr>
          <w:rFonts w:ascii="Arial" w:hAnsi="Arial" w:cs="Arial"/>
          <w:sz w:val="24"/>
          <w:szCs w:val="24"/>
        </w:rPr>
        <w:t>.</w:t>
      </w:r>
      <w:r>
        <w:rPr>
          <w:rFonts w:ascii="Arial" w:hAnsi="Arial" w:cs="Arial"/>
          <w:sz w:val="24"/>
          <w:szCs w:val="24"/>
        </w:rPr>
        <w:t xml:space="preserve"> </w:t>
      </w:r>
      <w:r w:rsidRPr="00DE4B6C">
        <w:rPr>
          <w:rFonts w:ascii="Arial" w:hAnsi="Arial" w:cs="Arial"/>
          <w:sz w:val="24"/>
          <w:szCs w:val="24"/>
        </w:rPr>
        <w:t>(Last accessed: 17</w:t>
      </w:r>
      <w:r w:rsidRPr="00DE4B6C">
        <w:rPr>
          <w:rFonts w:ascii="Arial" w:hAnsi="Arial" w:cs="Arial"/>
          <w:sz w:val="24"/>
          <w:szCs w:val="24"/>
          <w:vertAlign w:val="superscript"/>
        </w:rPr>
        <w:t>th</w:t>
      </w:r>
      <w:r w:rsidRPr="00DE4B6C">
        <w:rPr>
          <w:rFonts w:ascii="Arial" w:hAnsi="Arial" w:cs="Arial"/>
          <w:sz w:val="24"/>
          <w:szCs w:val="24"/>
        </w:rPr>
        <w:t xml:space="preserve"> August 2023)</w:t>
      </w:r>
    </w:p>
    <w:p w14:paraId="7DF496EB" w14:textId="46F0F1E4" w:rsidR="00DE4B6C" w:rsidRPr="00DE4B6C" w:rsidRDefault="00DE4B6C" w:rsidP="00DE4B6C">
      <w:pPr>
        <w:numPr>
          <w:ilvl w:val="0"/>
          <w:numId w:val="1"/>
        </w:numPr>
        <w:spacing w:line="360" w:lineRule="auto"/>
        <w:rPr>
          <w:rFonts w:ascii="Arial" w:hAnsi="Arial" w:cs="Arial"/>
          <w:sz w:val="24"/>
          <w:szCs w:val="24"/>
        </w:rPr>
      </w:pPr>
      <w:r w:rsidRPr="00DE4B6C">
        <w:rPr>
          <w:rFonts w:ascii="Arial" w:hAnsi="Arial" w:cs="Arial"/>
          <w:sz w:val="24"/>
          <w:szCs w:val="24"/>
        </w:rPr>
        <w:t xml:space="preserve">Police Oracle (2022) </w:t>
      </w:r>
      <w:r w:rsidRPr="00DE4B6C">
        <w:rPr>
          <w:rFonts w:ascii="Arial" w:hAnsi="Arial" w:cs="Arial"/>
          <w:i/>
          <w:iCs/>
          <w:sz w:val="24"/>
          <w:szCs w:val="24"/>
        </w:rPr>
        <w:t>More than 2,500 Uplift recruits have quit before completing probation</w:t>
      </w:r>
      <w:r w:rsidRPr="00DE4B6C">
        <w:rPr>
          <w:rFonts w:ascii="Arial" w:hAnsi="Arial" w:cs="Arial"/>
          <w:sz w:val="24"/>
          <w:szCs w:val="24"/>
        </w:rPr>
        <w:t>.</w:t>
      </w:r>
      <w:r>
        <w:rPr>
          <w:rFonts w:ascii="Arial" w:hAnsi="Arial" w:cs="Arial"/>
          <w:sz w:val="24"/>
          <w:szCs w:val="24"/>
        </w:rPr>
        <w:t xml:space="preserve"> </w:t>
      </w:r>
      <w:r w:rsidRPr="00DE4B6C">
        <w:rPr>
          <w:rFonts w:ascii="Arial" w:hAnsi="Arial" w:cs="Arial"/>
          <w:sz w:val="24"/>
          <w:szCs w:val="24"/>
        </w:rPr>
        <w:t xml:space="preserve">Available at: </w:t>
      </w:r>
      <w:hyperlink r:id="rId12" w:history="1">
        <w:r w:rsidRPr="00DE4B6C">
          <w:rPr>
            <w:rStyle w:val="Hyperlink"/>
            <w:rFonts w:ascii="Arial" w:hAnsi="Arial" w:cs="Arial"/>
            <w:sz w:val="24"/>
            <w:szCs w:val="24"/>
          </w:rPr>
          <w:t>https://www.policeoracle.com/news/HR_personnel_and_staff_development/20</w:t>
        </w:r>
        <w:r w:rsidRPr="00DE4B6C">
          <w:rPr>
            <w:rStyle w:val="Hyperlink"/>
            <w:rFonts w:ascii="Arial" w:hAnsi="Arial" w:cs="Arial"/>
            <w:sz w:val="24"/>
            <w:szCs w:val="24"/>
          </w:rPr>
          <w:lastRenderedPageBreak/>
          <w:t>22/Mar/14/more-than-2-500-uplift-recruits-have-quit-before-completing-probation_108735.html</w:t>
        </w:r>
      </w:hyperlink>
      <w:r w:rsidRPr="00DE4B6C">
        <w:rPr>
          <w:rFonts w:ascii="Arial" w:hAnsi="Arial" w:cs="Arial"/>
          <w:sz w:val="24"/>
          <w:szCs w:val="24"/>
        </w:rPr>
        <w:t xml:space="preserve"> (Last accessed: 1</w:t>
      </w:r>
      <w:r w:rsidRPr="00DE4B6C">
        <w:rPr>
          <w:rFonts w:ascii="Arial" w:hAnsi="Arial" w:cs="Arial"/>
          <w:sz w:val="24"/>
          <w:szCs w:val="24"/>
          <w:vertAlign w:val="superscript"/>
        </w:rPr>
        <w:t>st</w:t>
      </w:r>
      <w:r w:rsidRPr="00DE4B6C">
        <w:rPr>
          <w:rFonts w:ascii="Arial" w:hAnsi="Arial" w:cs="Arial"/>
          <w:sz w:val="24"/>
          <w:szCs w:val="24"/>
        </w:rPr>
        <w:t xml:space="preserve"> September 2023)</w:t>
      </w:r>
    </w:p>
    <w:p w14:paraId="2B4EB86C"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Randall, C. and Buys, N. (2013). Managing occupational stress injury in police services: A literature review. </w:t>
      </w:r>
      <w:r w:rsidRPr="00DE4B6C">
        <w:rPr>
          <w:rFonts w:ascii="Arial" w:hAnsi="Arial" w:cs="Arial"/>
          <w:i/>
          <w:iCs/>
          <w:sz w:val="24"/>
          <w:szCs w:val="24"/>
        </w:rPr>
        <w:t>International Public Health Journal</w:t>
      </w:r>
      <w:r w:rsidRPr="00DE4B6C">
        <w:rPr>
          <w:rFonts w:ascii="Arial" w:hAnsi="Arial" w:cs="Arial"/>
          <w:sz w:val="24"/>
          <w:szCs w:val="24"/>
        </w:rPr>
        <w:t>, 5(4), 413–425.</w:t>
      </w:r>
    </w:p>
    <w:p w14:paraId="0605D53D"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Royal College of Psychiatrists (2004) </w:t>
      </w:r>
      <w:r w:rsidRPr="00DE4B6C">
        <w:rPr>
          <w:rFonts w:ascii="Arial" w:hAnsi="Arial" w:cs="Arial"/>
          <w:i/>
          <w:iCs/>
          <w:sz w:val="24"/>
          <w:szCs w:val="24"/>
        </w:rPr>
        <w:t>Psychiatrists and Multi-Agency Public Protection Arrangements.</w:t>
      </w:r>
    </w:p>
    <w:p w14:paraId="28D23C02" w14:textId="11E5938F"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Safe Now (2023) </w:t>
      </w:r>
      <w:r w:rsidRPr="00DE4B6C">
        <w:rPr>
          <w:rFonts w:ascii="Arial" w:hAnsi="Arial" w:cs="Arial"/>
          <w:i/>
          <w:iCs/>
          <w:sz w:val="24"/>
          <w:szCs w:val="24"/>
        </w:rPr>
        <w:t>Crime Prevention Through Environmental Design (Be Safe)</w:t>
      </w:r>
      <w:r w:rsidRPr="00DE4B6C">
        <w:rPr>
          <w:rFonts w:ascii="Arial" w:hAnsi="Arial" w:cs="Arial"/>
          <w:sz w:val="24"/>
          <w:szCs w:val="24"/>
        </w:rPr>
        <w:t xml:space="preserve">. Available at: </w:t>
      </w:r>
      <w:hyperlink r:id="rId13" w:history="1">
        <w:r w:rsidRPr="004155B0">
          <w:rPr>
            <w:rStyle w:val="Hyperlink"/>
            <w:rFonts w:ascii="Arial" w:hAnsi="Arial" w:cs="Arial"/>
            <w:sz w:val="24"/>
            <w:szCs w:val="24"/>
          </w:rPr>
          <w:t>https://safenow.org/crime-prevention-through-environmental-design/?utm_content=cmp-true</w:t>
        </w:r>
      </w:hyperlink>
      <w:r>
        <w:rPr>
          <w:rFonts w:ascii="Arial" w:hAnsi="Arial" w:cs="Arial"/>
          <w:sz w:val="24"/>
          <w:szCs w:val="24"/>
        </w:rPr>
        <w:t xml:space="preserve"> </w:t>
      </w:r>
      <w:r w:rsidRPr="00DE4B6C">
        <w:rPr>
          <w:rFonts w:ascii="Arial" w:hAnsi="Arial" w:cs="Arial"/>
          <w:sz w:val="24"/>
          <w:szCs w:val="24"/>
        </w:rPr>
        <w:t xml:space="preserve"> </w:t>
      </w:r>
      <w:r w:rsidRPr="00DE4B6C">
        <w:rPr>
          <w:rFonts w:ascii="Arial" w:hAnsi="Arial" w:cs="Arial"/>
          <w:sz w:val="24"/>
          <w:szCs w:val="24"/>
        </w:rPr>
        <w:t>(Last accessed: 23</w:t>
      </w:r>
      <w:r w:rsidRPr="00DE4B6C">
        <w:rPr>
          <w:rFonts w:ascii="Arial" w:hAnsi="Arial" w:cs="Arial"/>
          <w:sz w:val="24"/>
          <w:szCs w:val="24"/>
          <w:vertAlign w:val="superscript"/>
        </w:rPr>
        <w:t>rd</w:t>
      </w:r>
      <w:r w:rsidRPr="00DE4B6C">
        <w:rPr>
          <w:rFonts w:ascii="Arial" w:hAnsi="Arial" w:cs="Arial"/>
          <w:sz w:val="24"/>
          <w:szCs w:val="24"/>
        </w:rPr>
        <w:t xml:space="preserve"> August 2023)</w:t>
      </w:r>
    </w:p>
    <w:p w14:paraId="2454F112"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Schulenberg, J.L. </w:t>
      </w:r>
      <w:r w:rsidRPr="00DE4B6C">
        <w:rPr>
          <w:rFonts w:ascii="Arial" w:hAnsi="Arial" w:cs="Arial"/>
          <w:i/>
          <w:iCs/>
          <w:sz w:val="24"/>
          <w:szCs w:val="24"/>
        </w:rPr>
        <w:t>et al.</w:t>
      </w:r>
      <w:r w:rsidRPr="00DE4B6C">
        <w:rPr>
          <w:rFonts w:ascii="Arial" w:hAnsi="Arial" w:cs="Arial"/>
          <w:sz w:val="24"/>
          <w:szCs w:val="24"/>
        </w:rPr>
        <w:t> (2017) ‘An application of procedural justice to stakeholder perspectives: examining police legitimacy and public trust in police complaints systems’, </w:t>
      </w:r>
      <w:r w:rsidRPr="00DE4B6C">
        <w:rPr>
          <w:rFonts w:ascii="Arial" w:hAnsi="Arial" w:cs="Arial"/>
          <w:i/>
          <w:iCs/>
          <w:sz w:val="24"/>
          <w:szCs w:val="24"/>
        </w:rPr>
        <w:t>Policing &amp; society</w:t>
      </w:r>
      <w:r w:rsidRPr="00DE4B6C">
        <w:rPr>
          <w:rFonts w:ascii="Arial" w:hAnsi="Arial" w:cs="Arial"/>
          <w:sz w:val="24"/>
          <w:szCs w:val="24"/>
        </w:rPr>
        <w:t>, 27(7).</w:t>
      </w:r>
    </w:p>
    <w:p w14:paraId="69B0F8EF"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Skolnick, J. (2011) </w:t>
      </w:r>
      <w:r w:rsidRPr="00DE4B6C">
        <w:rPr>
          <w:rFonts w:ascii="Arial" w:hAnsi="Arial" w:cs="Arial"/>
          <w:i/>
          <w:iCs/>
          <w:sz w:val="24"/>
          <w:szCs w:val="24"/>
        </w:rPr>
        <w:t xml:space="preserve">Justice Without Trial: Law Enforcement in Democratic Society. </w:t>
      </w:r>
      <w:r w:rsidRPr="00DE4B6C">
        <w:rPr>
          <w:rFonts w:ascii="Arial" w:hAnsi="Arial" w:cs="Arial"/>
          <w:sz w:val="24"/>
          <w:szCs w:val="24"/>
        </w:rPr>
        <w:t>New Orleans, LA: Quid Pro Books.</w:t>
      </w:r>
    </w:p>
    <w:p w14:paraId="454AC7E9" w14:textId="77777777" w:rsidR="00DE4B6C" w:rsidRPr="00DE4B6C" w:rsidRDefault="00DE4B6C" w:rsidP="00DE4B6C">
      <w:pPr>
        <w:numPr>
          <w:ilvl w:val="0"/>
          <w:numId w:val="1"/>
        </w:numPr>
        <w:spacing w:line="360" w:lineRule="auto"/>
        <w:jc w:val="both"/>
        <w:rPr>
          <w:rFonts w:ascii="Arial" w:hAnsi="Arial" w:cs="Arial"/>
          <w:sz w:val="24"/>
          <w:szCs w:val="24"/>
        </w:rPr>
      </w:pPr>
      <w:proofErr w:type="spellStart"/>
      <w:r w:rsidRPr="00DE4B6C">
        <w:rPr>
          <w:rFonts w:ascii="Arial" w:hAnsi="Arial" w:cs="Arial"/>
          <w:sz w:val="24"/>
          <w:szCs w:val="24"/>
        </w:rPr>
        <w:t>Stinchcomb</w:t>
      </w:r>
      <w:proofErr w:type="spellEnd"/>
      <w:r w:rsidRPr="00DE4B6C">
        <w:rPr>
          <w:rFonts w:ascii="Arial" w:hAnsi="Arial" w:cs="Arial"/>
          <w:sz w:val="24"/>
          <w:szCs w:val="24"/>
        </w:rPr>
        <w:t xml:space="preserve">, J.B. (2004) Searching for stress in all the wrong places: Combating chronic organizational stressors in policing. </w:t>
      </w:r>
      <w:r w:rsidRPr="00DE4B6C">
        <w:rPr>
          <w:rFonts w:ascii="Arial" w:hAnsi="Arial" w:cs="Arial"/>
          <w:i/>
          <w:iCs/>
          <w:sz w:val="24"/>
          <w:szCs w:val="24"/>
        </w:rPr>
        <w:t>Police Practice and Research: An International Journal,</w:t>
      </w:r>
      <w:r w:rsidRPr="00DE4B6C">
        <w:rPr>
          <w:rFonts w:ascii="Arial" w:hAnsi="Arial" w:cs="Arial"/>
          <w:sz w:val="24"/>
          <w:szCs w:val="24"/>
        </w:rPr>
        <w:t xml:space="preserve"> 5(3), 259–277.</w:t>
      </w:r>
    </w:p>
    <w:p w14:paraId="60E3FC60"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Sutherland, A. and Baker, K. (2009) </w:t>
      </w:r>
      <w:r w:rsidRPr="00DE4B6C">
        <w:rPr>
          <w:rFonts w:ascii="Arial" w:hAnsi="Arial" w:cs="Arial"/>
          <w:i/>
          <w:iCs/>
          <w:sz w:val="24"/>
          <w:szCs w:val="24"/>
        </w:rPr>
        <w:t>Multi-Agency Public Protection Arrangements and Youth Justice</w:t>
      </w:r>
      <w:r w:rsidRPr="00DE4B6C">
        <w:rPr>
          <w:rFonts w:ascii="Arial" w:hAnsi="Arial" w:cs="Arial"/>
          <w:sz w:val="24"/>
          <w:szCs w:val="24"/>
        </w:rPr>
        <w:t>. Bristol: Policy Press.</w:t>
      </w:r>
    </w:p>
    <w:p w14:paraId="2555DAB3" w14:textId="77777777" w:rsidR="00DE4B6C" w:rsidRPr="00DE4B6C" w:rsidRDefault="00DE4B6C" w:rsidP="00DE4B6C">
      <w:pPr>
        <w:numPr>
          <w:ilvl w:val="0"/>
          <w:numId w:val="1"/>
        </w:numPr>
        <w:spacing w:line="360" w:lineRule="auto"/>
        <w:jc w:val="both"/>
        <w:rPr>
          <w:rFonts w:ascii="Arial" w:hAnsi="Arial" w:cs="Arial"/>
          <w:sz w:val="24"/>
          <w:szCs w:val="24"/>
        </w:rPr>
      </w:pPr>
      <w:proofErr w:type="spellStart"/>
      <w:r w:rsidRPr="00DE4B6C">
        <w:rPr>
          <w:rFonts w:ascii="Arial" w:hAnsi="Arial" w:cs="Arial"/>
          <w:sz w:val="24"/>
          <w:szCs w:val="24"/>
        </w:rPr>
        <w:t>Torrible</w:t>
      </w:r>
      <w:proofErr w:type="spellEnd"/>
      <w:r w:rsidRPr="00DE4B6C">
        <w:rPr>
          <w:rFonts w:ascii="Arial" w:hAnsi="Arial" w:cs="Arial"/>
          <w:sz w:val="24"/>
          <w:szCs w:val="24"/>
        </w:rPr>
        <w:t xml:space="preserve">, C. (2021) ‘Police complaints and discipline: integrity, lesson learning, independence and accountability: some implications of the reforms under the Policing and Crime Act 2017’, </w:t>
      </w:r>
      <w:r w:rsidRPr="00DE4B6C">
        <w:rPr>
          <w:rFonts w:ascii="Arial" w:hAnsi="Arial" w:cs="Arial"/>
          <w:i/>
          <w:iCs/>
          <w:sz w:val="24"/>
          <w:szCs w:val="24"/>
        </w:rPr>
        <w:t xml:space="preserve">Policing &amp; Society, </w:t>
      </w:r>
      <w:r w:rsidRPr="00DE4B6C">
        <w:rPr>
          <w:rFonts w:ascii="Arial" w:hAnsi="Arial" w:cs="Arial"/>
          <w:sz w:val="24"/>
          <w:szCs w:val="24"/>
        </w:rPr>
        <w:t xml:space="preserve">31 (9). </w:t>
      </w:r>
    </w:p>
    <w:p w14:paraId="69B3C71D" w14:textId="77777777" w:rsidR="00DE4B6C" w:rsidRPr="00DE4B6C" w:rsidRDefault="00DE4B6C" w:rsidP="00DE4B6C">
      <w:pPr>
        <w:numPr>
          <w:ilvl w:val="0"/>
          <w:numId w:val="1"/>
        </w:numPr>
        <w:spacing w:line="360" w:lineRule="auto"/>
        <w:jc w:val="both"/>
        <w:rPr>
          <w:rFonts w:ascii="Arial" w:hAnsi="Arial" w:cs="Arial"/>
          <w:sz w:val="24"/>
          <w:szCs w:val="24"/>
        </w:rPr>
      </w:pPr>
      <w:proofErr w:type="spellStart"/>
      <w:r w:rsidRPr="00DE4B6C">
        <w:rPr>
          <w:rFonts w:ascii="Arial" w:hAnsi="Arial" w:cs="Arial"/>
          <w:sz w:val="24"/>
          <w:szCs w:val="24"/>
        </w:rPr>
        <w:t>Tseloni</w:t>
      </w:r>
      <w:proofErr w:type="spellEnd"/>
      <w:r w:rsidRPr="00DE4B6C">
        <w:rPr>
          <w:rFonts w:ascii="Arial" w:hAnsi="Arial" w:cs="Arial"/>
          <w:sz w:val="24"/>
          <w:szCs w:val="24"/>
        </w:rPr>
        <w:t xml:space="preserve">, A., Thompson, R., Grove, L.E., Tilley, N. and Farrell, G. (2014) The Effectiveness of Burglary Security Devices. </w:t>
      </w:r>
      <w:r w:rsidRPr="00DE4B6C">
        <w:rPr>
          <w:rFonts w:ascii="Arial" w:hAnsi="Arial" w:cs="Arial"/>
          <w:i/>
          <w:iCs/>
          <w:sz w:val="24"/>
          <w:szCs w:val="24"/>
        </w:rPr>
        <w:t>Security Journal</w:t>
      </w:r>
      <w:r w:rsidRPr="00DE4B6C">
        <w:rPr>
          <w:rFonts w:ascii="Arial" w:hAnsi="Arial" w:cs="Arial"/>
          <w:sz w:val="24"/>
          <w:szCs w:val="24"/>
        </w:rPr>
        <w:t xml:space="preserve">. </w:t>
      </w:r>
    </w:p>
    <w:p w14:paraId="30EA8551"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Tuckey, M.R. and Scott, J.E (2013) Group critical incident stress debriefing with emergency services personnel: a randomized controlled trial. </w:t>
      </w:r>
      <w:r w:rsidRPr="00DE4B6C">
        <w:rPr>
          <w:rFonts w:ascii="Arial" w:hAnsi="Arial" w:cs="Arial"/>
          <w:i/>
          <w:iCs/>
          <w:sz w:val="24"/>
          <w:szCs w:val="24"/>
        </w:rPr>
        <w:t>Anxiety, Stress, and Coping</w:t>
      </w:r>
      <w:r w:rsidRPr="00DE4B6C">
        <w:rPr>
          <w:rFonts w:ascii="Arial" w:hAnsi="Arial" w:cs="Arial"/>
          <w:sz w:val="24"/>
          <w:szCs w:val="24"/>
        </w:rPr>
        <w:t xml:space="preserve"> 27(1): 38–54.</w:t>
      </w:r>
    </w:p>
    <w:p w14:paraId="30094FD7" w14:textId="77777777" w:rsidR="00DE4B6C" w:rsidRPr="00DE4B6C" w:rsidRDefault="00DE4B6C" w:rsidP="00DE4B6C">
      <w:pPr>
        <w:numPr>
          <w:ilvl w:val="0"/>
          <w:numId w:val="1"/>
        </w:numPr>
        <w:spacing w:line="360" w:lineRule="auto"/>
        <w:jc w:val="both"/>
        <w:rPr>
          <w:rFonts w:ascii="Arial" w:hAnsi="Arial" w:cs="Arial"/>
          <w:sz w:val="24"/>
          <w:szCs w:val="24"/>
        </w:rPr>
      </w:pPr>
      <w:proofErr w:type="spellStart"/>
      <w:r w:rsidRPr="00DE4B6C">
        <w:rPr>
          <w:rFonts w:ascii="Arial" w:hAnsi="Arial" w:cs="Arial"/>
          <w:sz w:val="24"/>
          <w:szCs w:val="24"/>
        </w:rPr>
        <w:t>Violanti</w:t>
      </w:r>
      <w:proofErr w:type="spellEnd"/>
      <w:r w:rsidRPr="00DE4B6C">
        <w:rPr>
          <w:rFonts w:ascii="Arial" w:hAnsi="Arial" w:cs="Arial"/>
          <w:sz w:val="24"/>
          <w:szCs w:val="24"/>
        </w:rPr>
        <w:t xml:space="preserve">, J.M., Andrew, M., </w:t>
      </w:r>
      <w:proofErr w:type="spellStart"/>
      <w:r w:rsidRPr="00DE4B6C">
        <w:rPr>
          <w:rFonts w:ascii="Arial" w:hAnsi="Arial" w:cs="Arial"/>
          <w:sz w:val="24"/>
          <w:szCs w:val="24"/>
        </w:rPr>
        <w:t>Burchfiel</w:t>
      </w:r>
      <w:proofErr w:type="spellEnd"/>
      <w:r w:rsidRPr="00DE4B6C">
        <w:rPr>
          <w:rFonts w:ascii="Arial" w:hAnsi="Arial" w:cs="Arial"/>
          <w:sz w:val="24"/>
          <w:szCs w:val="24"/>
        </w:rPr>
        <w:t xml:space="preserve">, C.M., Hartley, T.A., Charles, L.E. and Miller, D.B. (2007). Shift work and sleep: The Buffalo police health study. </w:t>
      </w:r>
      <w:r w:rsidRPr="00DE4B6C">
        <w:rPr>
          <w:rFonts w:ascii="Arial" w:hAnsi="Arial" w:cs="Arial"/>
          <w:i/>
          <w:iCs/>
          <w:sz w:val="24"/>
          <w:szCs w:val="24"/>
        </w:rPr>
        <w:lastRenderedPageBreak/>
        <w:t xml:space="preserve">Policing: An International Journal of Police Strategies and Management, </w:t>
      </w:r>
      <w:r w:rsidRPr="00DE4B6C">
        <w:rPr>
          <w:rFonts w:ascii="Arial" w:hAnsi="Arial" w:cs="Arial"/>
          <w:sz w:val="24"/>
          <w:szCs w:val="24"/>
        </w:rPr>
        <w:t>30(2), 189–202.</w:t>
      </w:r>
    </w:p>
    <w:p w14:paraId="7048B5A8" w14:textId="77777777" w:rsidR="00DE4B6C" w:rsidRPr="00DE4B6C" w:rsidRDefault="00DE4B6C" w:rsidP="00DE4B6C">
      <w:pPr>
        <w:numPr>
          <w:ilvl w:val="0"/>
          <w:numId w:val="1"/>
        </w:numPr>
        <w:spacing w:line="360" w:lineRule="auto"/>
        <w:jc w:val="both"/>
        <w:rPr>
          <w:rFonts w:ascii="Arial" w:hAnsi="Arial" w:cs="Arial"/>
          <w:sz w:val="24"/>
          <w:szCs w:val="24"/>
        </w:rPr>
      </w:pPr>
      <w:proofErr w:type="spellStart"/>
      <w:r w:rsidRPr="00DE4B6C">
        <w:rPr>
          <w:rFonts w:ascii="Arial" w:hAnsi="Arial" w:cs="Arial"/>
          <w:sz w:val="24"/>
          <w:szCs w:val="24"/>
        </w:rPr>
        <w:t>Vollaard</w:t>
      </w:r>
      <w:proofErr w:type="spellEnd"/>
      <w:r w:rsidRPr="00DE4B6C">
        <w:rPr>
          <w:rFonts w:ascii="Arial" w:hAnsi="Arial" w:cs="Arial"/>
          <w:sz w:val="24"/>
          <w:szCs w:val="24"/>
        </w:rPr>
        <w:t xml:space="preserve">, B. and Ours, J.C. (2011) Does Regulation of Built-In Security Reduce Crime? Evidence from a Natural Experiment. </w:t>
      </w:r>
      <w:r w:rsidRPr="00DE4B6C">
        <w:rPr>
          <w:rFonts w:ascii="Arial" w:hAnsi="Arial" w:cs="Arial"/>
          <w:i/>
          <w:iCs/>
          <w:sz w:val="24"/>
          <w:szCs w:val="24"/>
        </w:rPr>
        <w:t>The Economic Journal 121</w:t>
      </w:r>
      <w:r w:rsidRPr="00DE4B6C">
        <w:rPr>
          <w:rFonts w:ascii="Arial" w:hAnsi="Arial" w:cs="Arial"/>
          <w:sz w:val="24"/>
          <w:szCs w:val="24"/>
        </w:rPr>
        <w:t xml:space="preserve"> (May): 485–504 </w:t>
      </w:r>
    </w:p>
    <w:p w14:paraId="306DE3F8" w14:textId="77777777" w:rsidR="00DE4B6C" w:rsidRPr="00DE4B6C" w:rsidRDefault="00DE4B6C" w:rsidP="00DE4B6C">
      <w:pPr>
        <w:numPr>
          <w:ilvl w:val="0"/>
          <w:numId w:val="1"/>
        </w:numPr>
        <w:spacing w:line="360" w:lineRule="auto"/>
        <w:jc w:val="both"/>
        <w:rPr>
          <w:rFonts w:ascii="Arial" w:hAnsi="Arial" w:cs="Arial"/>
          <w:sz w:val="24"/>
          <w:szCs w:val="24"/>
        </w:rPr>
      </w:pPr>
      <w:proofErr w:type="spellStart"/>
      <w:r w:rsidRPr="00DE4B6C">
        <w:rPr>
          <w:rFonts w:ascii="Arial" w:hAnsi="Arial" w:cs="Arial"/>
          <w:sz w:val="24"/>
          <w:szCs w:val="24"/>
        </w:rPr>
        <w:t>Westmarland</w:t>
      </w:r>
      <w:proofErr w:type="spellEnd"/>
      <w:r w:rsidRPr="00DE4B6C">
        <w:rPr>
          <w:rFonts w:ascii="Arial" w:hAnsi="Arial" w:cs="Arial"/>
          <w:sz w:val="24"/>
          <w:szCs w:val="24"/>
        </w:rPr>
        <w:t xml:space="preserve">, L. and Rowe, M. (2018). Police ethics and integrity: can a new code overturn the blue code? </w:t>
      </w:r>
      <w:r w:rsidRPr="00DE4B6C">
        <w:rPr>
          <w:rFonts w:ascii="Arial" w:hAnsi="Arial" w:cs="Arial"/>
          <w:i/>
          <w:iCs/>
          <w:sz w:val="24"/>
          <w:szCs w:val="24"/>
        </w:rPr>
        <w:t>Policing and society, 28</w:t>
      </w:r>
      <w:r w:rsidRPr="00DE4B6C">
        <w:rPr>
          <w:rFonts w:ascii="Arial" w:hAnsi="Arial" w:cs="Arial"/>
          <w:sz w:val="24"/>
          <w:szCs w:val="24"/>
        </w:rPr>
        <w:t xml:space="preserve"> (7), 854–870.</w:t>
      </w:r>
    </w:p>
    <w:p w14:paraId="02CF7757"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Wood, J. and Kemshall, H., with Maguire, M., Hudson, K. and Mackenzie, G. (2007) </w:t>
      </w:r>
      <w:r w:rsidRPr="00DE4B6C">
        <w:rPr>
          <w:rFonts w:ascii="Arial" w:hAnsi="Arial" w:cs="Arial"/>
          <w:i/>
          <w:iCs/>
          <w:sz w:val="24"/>
          <w:szCs w:val="24"/>
        </w:rPr>
        <w:t>The Operation and Experience of Multi-Agency Public Protection Arrangements</w:t>
      </w:r>
      <w:r w:rsidRPr="00DE4B6C">
        <w:rPr>
          <w:rFonts w:ascii="Arial" w:hAnsi="Arial" w:cs="Arial"/>
          <w:sz w:val="24"/>
          <w:szCs w:val="24"/>
        </w:rPr>
        <w:t xml:space="preserve">, London: Home Office. </w:t>
      </w:r>
    </w:p>
    <w:p w14:paraId="6C21FAB4" w14:textId="77777777" w:rsidR="00DE4B6C" w:rsidRPr="00DE4B6C" w:rsidRDefault="00DE4B6C" w:rsidP="00DE4B6C">
      <w:pPr>
        <w:numPr>
          <w:ilvl w:val="0"/>
          <w:numId w:val="1"/>
        </w:numPr>
        <w:spacing w:line="360" w:lineRule="auto"/>
        <w:jc w:val="both"/>
        <w:rPr>
          <w:rFonts w:ascii="Arial" w:hAnsi="Arial" w:cs="Arial"/>
          <w:sz w:val="24"/>
          <w:szCs w:val="24"/>
        </w:rPr>
      </w:pPr>
      <w:r w:rsidRPr="00DE4B6C">
        <w:rPr>
          <w:rFonts w:ascii="Arial" w:hAnsi="Arial" w:cs="Arial"/>
          <w:sz w:val="24"/>
          <w:szCs w:val="24"/>
        </w:rPr>
        <w:t xml:space="preserve">YouGov (2023) </w:t>
      </w:r>
      <w:r w:rsidRPr="00DE4B6C">
        <w:rPr>
          <w:rFonts w:ascii="Arial" w:hAnsi="Arial" w:cs="Arial"/>
          <w:i/>
          <w:iCs/>
          <w:sz w:val="24"/>
          <w:szCs w:val="24"/>
        </w:rPr>
        <w:t xml:space="preserve">Are the police doing a good job? </w:t>
      </w:r>
      <w:r w:rsidRPr="00DE4B6C">
        <w:rPr>
          <w:rFonts w:ascii="Arial" w:hAnsi="Arial" w:cs="Arial"/>
          <w:sz w:val="24"/>
          <w:szCs w:val="24"/>
        </w:rPr>
        <w:t xml:space="preserve">Available at: </w:t>
      </w:r>
      <w:hyperlink r:id="rId14" w:history="1">
        <w:r w:rsidRPr="00DE4B6C">
          <w:rPr>
            <w:rStyle w:val="Hyperlink"/>
            <w:rFonts w:ascii="Arial" w:hAnsi="Arial" w:cs="Arial"/>
            <w:sz w:val="24"/>
            <w:szCs w:val="24"/>
          </w:rPr>
          <w:t>https://yougov.co.uk/topics/legal/trackers/are-the-police-doing-a-good-job</w:t>
        </w:r>
      </w:hyperlink>
      <w:r w:rsidRPr="00DE4B6C">
        <w:rPr>
          <w:rFonts w:ascii="Arial" w:hAnsi="Arial" w:cs="Arial"/>
          <w:sz w:val="24"/>
          <w:szCs w:val="24"/>
        </w:rPr>
        <w:t xml:space="preserve"> (Last accessed: 2</w:t>
      </w:r>
      <w:r w:rsidRPr="00DE4B6C">
        <w:rPr>
          <w:rFonts w:ascii="Arial" w:hAnsi="Arial" w:cs="Arial"/>
          <w:sz w:val="24"/>
          <w:szCs w:val="24"/>
          <w:vertAlign w:val="superscript"/>
        </w:rPr>
        <w:t>nd</w:t>
      </w:r>
      <w:r w:rsidRPr="00DE4B6C">
        <w:rPr>
          <w:rFonts w:ascii="Arial" w:hAnsi="Arial" w:cs="Arial"/>
          <w:sz w:val="24"/>
          <w:szCs w:val="24"/>
        </w:rPr>
        <w:t xml:space="preserve"> September 2023)</w:t>
      </w:r>
    </w:p>
    <w:p w14:paraId="787AAC73" w14:textId="77777777" w:rsidR="00441525" w:rsidRPr="00DE4B6C" w:rsidRDefault="00441525" w:rsidP="00441525">
      <w:pPr>
        <w:spacing w:line="360" w:lineRule="auto"/>
        <w:jc w:val="both"/>
        <w:rPr>
          <w:rFonts w:ascii="Arial" w:hAnsi="Arial" w:cs="Arial"/>
          <w:sz w:val="24"/>
          <w:szCs w:val="24"/>
        </w:rPr>
      </w:pPr>
    </w:p>
    <w:sectPr w:rsidR="00441525" w:rsidRPr="00DE4B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B83EB9"/>
    <w:multiLevelType w:val="hybridMultilevel"/>
    <w:tmpl w:val="EC38E942"/>
    <w:lvl w:ilvl="0" w:tplc="0AC6BE0C">
      <w:start w:val="1"/>
      <w:numFmt w:val="decimal"/>
      <w:lvlText w:val="%1."/>
      <w:lvlJc w:val="left"/>
      <w:pPr>
        <w:ind w:left="720" w:hanging="360"/>
      </w:pPr>
      <w:rPr>
        <w:rFonts w:hint="default"/>
        <w:i w:val="0"/>
        <w:i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5612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525"/>
    <w:rsid w:val="00287427"/>
    <w:rsid w:val="00441525"/>
    <w:rsid w:val="004B1E9A"/>
    <w:rsid w:val="005A26C0"/>
    <w:rsid w:val="00AB41B5"/>
    <w:rsid w:val="00DE4B6C"/>
    <w:rsid w:val="00E64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1CFB0"/>
  <w15:chartTrackingRefBased/>
  <w15:docId w15:val="{532AE174-772C-42A6-B9D1-776E8417B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4B6C"/>
    <w:rPr>
      <w:color w:val="0563C1" w:themeColor="hyperlink"/>
      <w:u w:val="single"/>
    </w:rPr>
  </w:style>
  <w:style w:type="character" w:styleId="UnresolvedMention">
    <w:name w:val="Unresolved Mention"/>
    <w:basedOn w:val="DefaultParagraphFont"/>
    <w:uiPriority w:val="99"/>
    <w:semiHidden/>
    <w:unhideWhenUsed/>
    <w:rsid w:val="00DE4B6C"/>
    <w:rPr>
      <w:color w:val="605E5C"/>
      <w:shd w:val="clear" w:color="auto" w:fill="E1DFDD"/>
    </w:rPr>
  </w:style>
  <w:style w:type="character" w:styleId="FollowedHyperlink">
    <w:name w:val="FollowedHyperlink"/>
    <w:basedOn w:val="DefaultParagraphFont"/>
    <w:uiPriority w:val="99"/>
    <w:semiHidden/>
    <w:unhideWhenUsed/>
    <w:rsid w:val="00DE4B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pubns/law.pdf" TargetMode="External"/><Relationship Id="rId13" Type="http://schemas.openxmlformats.org/officeDocument/2006/relationships/hyperlink" Target="https://safenow.org/crime-prevention-through-environmental-design/?utm_content=cmp-true" TargetMode="External"/><Relationship Id="rId3" Type="http://schemas.openxmlformats.org/officeDocument/2006/relationships/settings" Target="settings.xml"/><Relationship Id="rId7" Type="http://schemas.openxmlformats.org/officeDocument/2006/relationships/hyperlink" Target="https://www.college.police.uk/guidance/vulnerability-related-risks/introduction-vulnerability-related-risk#:~:text=We%20have%20adopted%20the%20THRIVE,others%20from%20harm%20or%20exploitation" TargetMode="External"/><Relationship Id="rId12" Type="http://schemas.openxmlformats.org/officeDocument/2006/relationships/hyperlink" Target="https://www.policeoracle.com/news/HR_personnel_and_staff_development/2022/Mar/14/more-than-2-500-uplift-recruits-have-quit-before-completing-probation_108735.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assets.college.police.uk/s3fs-public/2021-02/code_of_ethics.pdf" TargetMode="External"/><Relationship Id="rId11" Type="http://schemas.openxmlformats.org/officeDocument/2006/relationships/hyperlink" Target="https://www.polfed.org/news/latest-news/2022/mental-health-related-absences-soar-to-record-highs/#:~:text=Record%20numbers%20of%20police%20officers,with%208%2C450%20the%20year%20before" TargetMode="External"/><Relationship Id="rId5" Type="http://schemas.openxmlformats.org/officeDocument/2006/relationships/hyperlink" Target="https://www.met.police.uk/SysSiteAssets/media/downloads/met/about-us/baroness-casey-review/update-march-2023/baroness-casey-review-march-2023a.pdf" TargetMode="External"/><Relationship Id="rId15" Type="http://schemas.openxmlformats.org/officeDocument/2006/relationships/fontTable" Target="fontTable.xml"/><Relationship Id="rId10" Type="http://schemas.openxmlformats.org/officeDocument/2006/relationships/hyperlink" Target="https://www.mind.org.uk/information-support/types-of-mental-health-problems/trauma/about-trauma/"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1178194/A_joint_thematic_inspection_of_Multi-Agency_Public_Protection_Arrangements_-_Action_Plan_-_12_Month_and_Final_Review_August_2023.pdf" TargetMode="External"/><Relationship Id="rId14" Type="http://schemas.openxmlformats.org/officeDocument/2006/relationships/hyperlink" Target="https://yougov.co.uk/topics/legal/trackers/are-the-police-doing-a-good-jo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18</Pages>
  <Words>5424</Words>
  <Characters>30922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Ward, Amy</dc:creator>
  <cp:keywords/>
  <dc:description/>
  <cp:lastModifiedBy>Ward, Amy</cp:lastModifiedBy>
  <cp:revision>4</cp:revision>
  <dcterms:created xsi:type="dcterms:W3CDTF">2023-09-05T14:00:00Z</dcterms:created>
  <dcterms:modified xsi:type="dcterms:W3CDTF">2023-09-05T14:42:00Z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2023-09-05T14:16:11Z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0f517dfc-3309-4560-b96c-133b2599ac31</vt:lpwstr>
  </property>
  <property fmtid="{D5CDD505-2E9C-101B-9397-08002B2CF9AE}" pid="8" name="MSIP_Label_f2acd28b-79a3-4a0f-b0ff-4b75658b1549_ContentBits">
    <vt:lpwstr>0</vt:lpwstr>
  </property>
</Properties>
</file>