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BD342" w14:textId="5BEB1A4D" w:rsidR="00B06A8D" w:rsidRPr="00BF5ED7" w:rsidRDefault="00BF5ED7" w:rsidP="00365D71">
      <w:pPr>
        <w:jc w:val="center"/>
        <w:rPr>
          <w:b/>
          <w:bCs/>
        </w:rPr>
      </w:pPr>
      <w:r w:rsidRPr="00BF5ED7">
        <w:rPr>
          <w:b/>
          <w:bCs/>
        </w:rPr>
        <w:t xml:space="preserve">NSEDA Assignment G </w:t>
      </w:r>
      <w:r w:rsidR="00195DEE" w:rsidRPr="00BF5ED7">
        <w:rPr>
          <w:b/>
          <w:bCs/>
        </w:rPr>
        <w:t>Solution Sheet</w:t>
      </w:r>
    </w:p>
    <w:p w14:paraId="248ED693" w14:textId="77777777" w:rsidR="00D53A62" w:rsidRPr="00D53A62" w:rsidRDefault="00D53A62" w:rsidP="00D53A62">
      <w:pPr>
        <w:rPr>
          <w:b/>
          <w:bCs/>
          <w:lang w:val="en-GB"/>
        </w:rPr>
      </w:pPr>
      <w:r w:rsidRPr="00D53A62">
        <w:rPr>
          <w:b/>
          <w:bCs/>
          <w:lang w:val="en-GB"/>
        </w:rPr>
        <w:t>Use of this sheet</w:t>
      </w:r>
    </w:p>
    <w:p w14:paraId="16CA87A4" w14:textId="77777777" w:rsidR="00D53A62" w:rsidRPr="00D53A62" w:rsidRDefault="00D53A62" w:rsidP="00D53A62">
      <w:pPr>
        <w:rPr>
          <w:lang w:val="en-GB"/>
        </w:rPr>
      </w:pPr>
      <w:r w:rsidRPr="00D53A62">
        <w:rPr>
          <w:lang w:val="en-GB"/>
        </w:rPr>
        <w:t>This is an indicative staff solution. Credit equivalent scientifically defensible approaches, provided assumptions are stated and calculations are internally consistent.</w:t>
      </w:r>
    </w:p>
    <w:p w14:paraId="72C267EE" w14:textId="77777777" w:rsidR="00D53A62" w:rsidRPr="00D53A62" w:rsidRDefault="00D53A62" w:rsidP="00D53A62">
      <w:pPr>
        <w:rPr>
          <w:lang w:val="en-GB"/>
        </w:rPr>
      </w:pPr>
      <w:r w:rsidRPr="00D53A62">
        <w:rPr>
          <w:lang w:val="en-GB"/>
        </w:rPr>
        <w:t>Numerical agreement with dosimetry does not need to be exact. Order-of-magnitude correctness and a well-defended reconstruction are the key assessment criteria.</w:t>
      </w:r>
    </w:p>
    <w:p w14:paraId="271A0EFF" w14:textId="77777777" w:rsidR="00D53A62" w:rsidRPr="00D53A62" w:rsidRDefault="00000000" w:rsidP="00D53A62">
      <w:pPr>
        <w:rPr>
          <w:lang w:val="en-GB"/>
        </w:rPr>
      </w:pPr>
      <w:r>
        <w:rPr>
          <w:lang w:val="en-GB"/>
        </w:rPr>
        <w:pict w14:anchorId="7A36DF8C">
          <v:rect id="_x0000_i1025" style="width:0;height:1.5pt" o:hralign="center" o:hrstd="t" o:hr="t" fillcolor="#a0a0a0" stroked="f"/>
        </w:pict>
      </w:r>
    </w:p>
    <w:p w14:paraId="2DBE1817" w14:textId="77777777" w:rsidR="00D53A62" w:rsidRPr="00D53A62" w:rsidRDefault="00D53A62" w:rsidP="00D53A62">
      <w:pPr>
        <w:rPr>
          <w:b/>
          <w:bCs/>
          <w:lang w:val="en-GB"/>
        </w:rPr>
      </w:pPr>
      <w:r w:rsidRPr="00D53A62">
        <w:rPr>
          <w:b/>
          <w:bCs/>
          <w:lang w:val="en-GB"/>
        </w:rPr>
        <w:t>Key indicative numerical answers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93"/>
        <w:gridCol w:w="2540"/>
        <w:gridCol w:w="3107"/>
      </w:tblGrid>
      <w:tr w:rsidR="00D53A62" w:rsidRPr="00D53A62" w14:paraId="7DAE2752" w14:textId="77777777">
        <w:trPr>
          <w:tblHeader/>
          <w:tblCellSpacing w:w="15" w:type="dxa"/>
        </w:trPr>
        <w:tc>
          <w:tcPr>
            <w:tcW w:w="0" w:type="auto"/>
            <w:vAlign w:val="center"/>
            <w:hideMark/>
          </w:tcPr>
          <w:p w14:paraId="70AF00D2" w14:textId="77777777" w:rsidR="00D53A62" w:rsidRPr="00D53A62" w:rsidRDefault="00D53A62" w:rsidP="00D53A62">
            <w:pPr>
              <w:rPr>
                <w:b/>
                <w:bCs/>
                <w:lang w:val="en-GB"/>
              </w:rPr>
            </w:pPr>
            <w:r w:rsidRPr="00D53A62">
              <w:rPr>
                <w:b/>
                <w:bCs/>
                <w:lang w:val="en-GB"/>
              </w:rPr>
              <w:t>Quantity</w:t>
            </w:r>
          </w:p>
        </w:tc>
        <w:tc>
          <w:tcPr>
            <w:tcW w:w="0" w:type="auto"/>
            <w:vAlign w:val="center"/>
            <w:hideMark/>
          </w:tcPr>
          <w:p w14:paraId="04BF69A9" w14:textId="77777777" w:rsidR="00D53A62" w:rsidRPr="00D53A62" w:rsidRDefault="00D53A62" w:rsidP="00D53A62">
            <w:pPr>
              <w:rPr>
                <w:b/>
                <w:bCs/>
                <w:lang w:val="en-GB"/>
              </w:rPr>
            </w:pPr>
            <w:r w:rsidRPr="00D53A62">
              <w:rPr>
                <w:b/>
                <w:bCs/>
                <w:lang w:val="en-GB"/>
              </w:rPr>
              <w:t>Indicative value</w:t>
            </w:r>
          </w:p>
        </w:tc>
        <w:tc>
          <w:tcPr>
            <w:tcW w:w="0" w:type="auto"/>
            <w:vAlign w:val="center"/>
            <w:hideMark/>
          </w:tcPr>
          <w:p w14:paraId="3E452521" w14:textId="77777777" w:rsidR="00D53A62" w:rsidRPr="00D53A62" w:rsidRDefault="00D53A62" w:rsidP="00D53A62">
            <w:pPr>
              <w:rPr>
                <w:b/>
                <w:bCs/>
                <w:lang w:val="en-GB"/>
              </w:rPr>
            </w:pPr>
            <w:r w:rsidRPr="00D53A62">
              <w:rPr>
                <w:b/>
                <w:bCs/>
                <w:lang w:val="en-GB"/>
              </w:rPr>
              <w:t>Marker note</w:t>
            </w:r>
          </w:p>
        </w:tc>
      </w:tr>
      <w:tr w:rsidR="00D53A62" w:rsidRPr="00D53A62" w14:paraId="3A823AC4" w14:textId="77777777">
        <w:trPr>
          <w:tblCellSpacing w:w="15" w:type="dxa"/>
        </w:trPr>
        <w:tc>
          <w:tcPr>
            <w:tcW w:w="0" w:type="auto"/>
            <w:vAlign w:val="center"/>
            <w:hideMark/>
          </w:tcPr>
          <w:p w14:paraId="1D2767CE" w14:textId="77777777" w:rsidR="00D53A62" w:rsidRPr="00D53A62" w:rsidRDefault="00D53A62" w:rsidP="00D53A62">
            <w:pPr>
              <w:rPr>
                <w:lang w:val="en-GB"/>
              </w:rPr>
            </w:pPr>
            <w:r w:rsidRPr="00D53A62">
              <w:rPr>
                <w:lang w:val="en-GB"/>
              </w:rPr>
              <w:t>Source activity on 9 Dec 2024</w:t>
            </w:r>
          </w:p>
        </w:tc>
        <w:tc>
          <w:tcPr>
            <w:tcW w:w="0" w:type="auto"/>
            <w:vAlign w:val="center"/>
            <w:hideMark/>
          </w:tcPr>
          <w:p w14:paraId="0BC61CC9" w14:textId="2D40B1DB" w:rsidR="00D53A62" w:rsidRPr="00D53A62" w:rsidRDefault="00D53A62" w:rsidP="00D53A62">
            <w:pPr>
              <w:rPr>
                <w:lang w:val="en-GB"/>
              </w:rPr>
            </w:pPr>
            <w:r w:rsidRPr="00D53A62">
              <w:rPr>
                <w:lang w:val="en-GB"/>
              </w:rPr>
              <w:t xml:space="preserve">≈ </w:t>
            </w:r>
            <w:r w:rsidR="00F40255">
              <w:rPr>
                <w:lang w:val="en-GB"/>
              </w:rPr>
              <w:t>5</w:t>
            </w:r>
            <w:r w:rsidRPr="00D53A62">
              <w:rPr>
                <w:lang w:val="en-GB"/>
              </w:rPr>
              <w:t xml:space="preserve"> </w:t>
            </w:r>
            <w:proofErr w:type="spellStart"/>
            <w:r w:rsidRPr="00D53A62">
              <w:rPr>
                <w:lang w:val="en-GB"/>
              </w:rPr>
              <w:t>PBq</w:t>
            </w:r>
            <w:proofErr w:type="spellEnd"/>
          </w:p>
        </w:tc>
        <w:tc>
          <w:tcPr>
            <w:tcW w:w="0" w:type="auto"/>
            <w:vAlign w:val="center"/>
            <w:hideMark/>
          </w:tcPr>
          <w:p w14:paraId="4A4B016B" w14:textId="77777777" w:rsidR="00D53A62" w:rsidRPr="00D53A62" w:rsidRDefault="00D53A62" w:rsidP="00D53A62">
            <w:pPr>
              <w:rPr>
                <w:lang w:val="en-GB"/>
              </w:rPr>
            </w:pPr>
            <w:r w:rsidRPr="00D53A62">
              <w:rPr>
                <w:lang w:val="en-GB"/>
              </w:rPr>
              <w:t>Accept reasonable rounding</w:t>
            </w:r>
          </w:p>
        </w:tc>
      </w:tr>
      <w:tr w:rsidR="00D53A62" w:rsidRPr="00D53A62" w14:paraId="789505ED" w14:textId="77777777">
        <w:trPr>
          <w:tblCellSpacing w:w="15" w:type="dxa"/>
        </w:trPr>
        <w:tc>
          <w:tcPr>
            <w:tcW w:w="0" w:type="auto"/>
            <w:vAlign w:val="center"/>
            <w:hideMark/>
          </w:tcPr>
          <w:p w14:paraId="31154353" w14:textId="77777777" w:rsidR="00D53A62" w:rsidRPr="00D53A62" w:rsidRDefault="00D53A62" w:rsidP="00D53A62">
            <w:pPr>
              <w:rPr>
                <w:lang w:val="en-GB"/>
              </w:rPr>
            </w:pPr>
            <w:r w:rsidRPr="00D53A62">
              <w:rPr>
                <w:lang w:val="en-GB"/>
              </w:rPr>
              <w:t>Unshielded dose rate at 2 m</w:t>
            </w:r>
          </w:p>
        </w:tc>
        <w:tc>
          <w:tcPr>
            <w:tcW w:w="0" w:type="auto"/>
            <w:vAlign w:val="center"/>
            <w:hideMark/>
          </w:tcPr>
          <w:p w14:paraId="17C4A3FE" w14:textId="191A8EEC" w:rsidR="00D53A62" w:rsidRPr="00D53A62" w:rsidRDefault="00D53A62" w:rsidP="00D53A62">
            <w:pPr>
              <w:rPr>
                <w:lang w:val="en-GB"/>
              </w:rPr>
            </w:pPr>
            <w:r w:rsidRPr="00D53A62">
              <w:rPr>
                <w:lang w:val="en-GB"/>
              </w:rPr>
              <w:t>≈ 42</w:t>
            </w:r>
            <w:r w:rsidR="00F40255">
              <w:rPr>
                <w:lang w:val="en-GB"/>
              </w:rPr>
              <w:t>0</w:t>
            </w:r>
            <w:r w:rsidRPr="00D53A62">
              <w:rPr>
                <w:lang w:val="en-GB"/>
              </w:rPr>
              <w:t>–45</w:t>
            </w:r>
            <w:r w:rsidR="00F40255">
              <w:rPr>
                <w:lang w:val="en-GB"/>
              </w:rPr>
              <w:t>0</w:t>
            </w:r>
            <w:r w:rsidRPr="00D53A62">
              <w:rPr>
                <w:lang w:val="en-GB"/>
              </w:rPr>
              <w:t xml:space="preserve"> Sv h</w:t>
            </w:r>
            <w:r w:rsidRPr="00D53A62">
              <w:rPr>
                <w:rFonts w:ascii="Cambria Math" w:hAnsi="Cambria Math" w:cs="Cambria Math"/>
                <w:lang w:val="en-GB"/>
              </w:rPr>
              <w:t>⁻</w:t>
            </w:r>
            <w:r w:rsidRPr="00D53A62">
              <w:rPr>
                <w:rFonts w:cs="Arial"/>
                <w:lang w:val="en-GB"/>
              </w:rPr>
              <w:t>¹</w:t>
            </w:r>
          </w:p>
        </w:tc>
        <w:tc>
          <w:tcPr>
            <w:tcW w:w="0" w:type="auto"/>
            <w:vAlign w:val="center"/>
            <w:hideMark/>
          </w:tcPr>
          <w:p w14:paraId="6DD3FCC5" w14:textId="77777777" w:rsidR="00D53A62" w:rsidRPr="00D53A62" w:rsidRDefault="00D53A62" w:rsidP="00D53A62">
            <w:pPr>
              <w:rPr>
                <w:lang w:val="en-GB"/>
              </w:rPr>
            </w:pPr>
            <w:r w:rsidRPr="00D53A62">
              <w:rPr>
                <w:lang w:val="en-GB"/>
              </w:rPr>
              <w:t>Using Γ ≈ 0.35 mSv m² GBq</w:t>
            </w:r>
            <w:r w:rsidRPr="00D53A62">
              <w:rPr>
                <w:rFonts w:ascii="Cambria Math" w:hAnsi="Cambria Math" w:cs="Cambria Math"/>
                <w:lang w:val="en-GB"/>
              </w:rPr>
              <w:t>⁻</w:t>
            </w:r>
            <w:r w:rsidRPr="00D53A62">
              <w:rPr>
                <w:rFonts w:cs="Arial"/>
                <w:lang w:val="en-GB"/>
              </w:rPr>
              <w:t>¹</w:t>
            </w:r>
            <w:r w:rsidRPr="00D53A62">
              <w:rPr>
                <w:lang w:val="en-GB"/>
              </w:rPr>
              <w:t xml:space="preserve"> h</w:t>
            </w:r>
            <w:r w:rsidRPr="00D53A62">
              <w:rPr>
                <w:rFonts w:ascii="Cambria Math" w:hAnsi="Cambria Math" w:cs="Cambria Math"/>
                <w:lang w:val="en-GB"/>
              </w:rPr>
              <w:t>⁻</w:t>
            </w:r>
            <w:r w:rsidRPr="00D53A62">
              <w:rPr>
                <w:rFonts w:cs="Arial"/>
                <w:lang w:val="en-GB"/>
              </w:rPr>
              <w:t>¹</w:t>
            </w:r>
          </w:p>
        </w:tc>
      </w:tr>
      <w:tr w:rsidR="00D53A62" w:rsidRPr="00D53A62" w14:paraId="799BE152" w14:textId="77777777">
        <w:trPr>
          <w:tblCellSpacing w:w="15" w:type="dxa"/>
        </w:trPr>
        <w:tc>
          <w:tcPr>
            <w:tcW w:w="0" w:type="auto"/>
            <w:vAlign w:val="center"/>
            <w:hideMark/>
          </w:tcPr>
          <w:p w14:paraId="081158C0" w14:textId="77777777" w:rsidR="00D53A62" w:rsidRPr="00D53A62" w:rsidRDefault="00D53A62" w:rsidP="00D53A62">
            <w:pPr>
              <w:rPr>
                <w:lang w:val="en-GB"/>
              </w:rPr>
            </w:pPr>
            <w:r w:rsidRPr="00D53A62">
              <w:rPr>
                <w:lang w:val="en-GB"/>
              </w:rPr>
              <w:t>Shielding reduction by 1.0 m water</w:t>
            </w:r>
          </w:p>
        </w:tc>
        <w:tc>
          <w:tcPr>
            <w:tcW w:w="0" w:type="auto"/>
            <w:vAlign w:val="center"/>
            <w:hideMark/>
          </w:tcPr>
          <w:p w14:paraId="1C8676C6" w14:textId="77777777" w:rsidR="00D53A62" w:rsidRPr="00D53A62" w:rsidRDefault="00D53A62" w:rsidP="00D53A62">
            <w:pPr>
              <w:rPr>
                <w:lang w:val="en-GB"/>
              </w:rPr>
            </w:pPr>
            <w:r w:rsidRPr="00D53A62">
              <w:rPr>
                <w:lang w:val="en-GB"/>
              </w:rPr>
              <w:t>≈ factor 20</w:t>
            </w:r>
          </w:p>
        </w:tc>
        <w:tc>
          <w:tcPr>
            <w:tcW w:w="0" w:type="auto"/>
            <w:vAlign w:val="center"/>
            <w:hideMark/>
          </w:tcPr>
          <w:p w14:paraId="6D87462B" w14:textId="77777777" w:rsidR="00D53A62" w:rsidRPr="00D53A62" w:rsidRDefault="00D53A62" w:rsidP="00D53A62">
            <w:pPr>
              <w:rPr>
                <w:lang w:val="en-GB"/>
              </w:rPr>
            </w:pPr>
            <w:r w:rsidRPr="00D53A62">
              <w:rPr>
                <w:lang w:val="en-GB"/>
              </w:rPr>
              <w:t>About 4.35 HVLs</w:t>
            </w:r>
          </w:p>
        </w:tc>
      </w:tr>
      <w:tr w:rsidR="00D53A62" w:rsidRPr="00D53A62" w14:paraId="41AA5C4E" w14:textId="77777777">
        <w:trPr>
          <w:tblCellSpacing w:w="15" w:type="dxa"/>
        </w:trPr>
        <w:tc>
          <w:tcPr>
            <w:tcW w:w="0" w:type="auto"/>
            <w:vAlign w:val="center"/>
            <w:hideMark/>
          </w:tcPr>
          <w:p w14:paraId="6C1FF0CF" w14:textId="77777777" w:rsidR="00D53A62" w:rsidRPr="00D53A62" w:rsidRDefault="00D53A62" w:rsidP="00D53A62">
            <w:pPr>
              <w:rPr>
                <w:lang w:val="en-GB"/>
              </w:rPr>
            </w:pPr>
            <w:r w:rsidRPr="00D53A62">
              <w:rPr>
                <w:lang w:val="en-GB"/>
              </w:rPr>
              <w:t>Shielded dose rate at 2 m</w:t>
            </w:r>
          </w:p>
        </w:tc>
        <w:tc>
          <w:tcPr>
            <w:tcW w:w="0" w:type="auto"/>
            <w:vAlign w:val="center"/>
            <w:hideMark/>
          </w:tcPr>
          <w:p w14:paraId="2066364E" w14:textId="63167963" w:rsidR="00D53A62" w:rsidRPr="00D53A62" w:rsidRDefault="00D53A62" w:rsidP="00D53A62">
            <w:pPr>
              <w:rPr>
                <w:lang w:val="en-GB"/>
              </w:rPr>
            </w:pPr>
            <w:r w:rsidRPr="00D53A62">
              <w:rPr>
                <w:lang w:val="en-GB"/>
              </w:rPr>
              <w:t>≈ 21–23 Sv h</w:t>
            </w:r>
            <w:r w:rsidRPr="00D53A62">
              <w:rPr>
                <w:rFonts w:ascii="Cambria Math" w:hAnsi="Cambria Math" w:cs="Cambria Math"/>
                <w:lang w:val="en-GB"/>
              </w:rPr>
              <w:t>⁻</w:t>
            </w:r>
            <w:r w:rsidRPr="00D53A62">
              <w:rPr>
                <w:rFonts w:cs="Arial"/>
                <w:lang w:val="en-GB"/>
              </w:rPr>
              <w:t>¹</w:t>
            </w:r>
          </w:p>
        </w:tc>
        <w:tc>
          <w:tcPr>
            <w:tcW w:w="0" w:type="auto"/>
            <w:vAlign w:val="center"/>
            <w:hideMark/>
          </w:tcPr>
          <w:p w14:paraId="0C3E009E" w14:textId="77777777" w:rsidR="00D53A62" w:rsidRPr="00D53A62" w:rsidRDefault="00D53A62" w:rsidP="00D53A62">
            <w:pPr>
              <w:rPr>
                <w:lang w:val="en-GB"/>
              </w:rPr>
            </w:pPr>
            <w:r w:rsidRPr="00D53A62">
              <w:rPr>
                <w:lang w:val="en-GB"/>
              </w:rPr>
              <w:t>Consistent with EPD peak</w:t>
            </w:r>
          </w:p>
        </w:tc>
      </w:tr>
      <w:tr w:rsidR="00D53A62" w:rsidRPr="00D53A62" w14:paraId="41143410" w14:textId="77777777">
        <w:trPr>
          <w:tblCellSpacing w:w="15" w:type="dxa"/>
        </w:trPr>
        <w:tc>
          <w:tcPr>
            <w:tcW w:w="0" w:type="auto"/>
            <w:vAlign w:val="center"/>
            <w:hideMark/>
          </w:tcPr>
          <w:p w14:paraId="3FA3EAF0" w14:textId="77777777" w:rsidR="00D53A62" w:rsidRPr="00D53A62" w:rsidRDefault="00D53A62" w:rsidP="00D53A62">
            <w:pPr>
              <w:rPr>
                <w:lang w:val="en-GB"/>
              </w:rPr>
            </w:pPr>
            <w:r w:rsidRPr="00D53A62">
              <w:rPr>
                <w:lang w:val="en-GB"/>
              </w:rPr>
              <w:t>Effective dose for 45–75 s</w:t>
            </w:r>
          </w:p>
        </w:tc>
        <w:tc>
          <w:tcPr>
            <w:tcW w:w="0" w:type="auto"/>
            <w:vAlign w:val="center"/>
            <w:hideMark/>
          </w:tcPr>
          <w:p w14:paraId="0E78C16C" w14:textId="3EE2D9D5" w:rsidR="00D53A62" w:rsidRPr="00D53A62" w:rsidRDefault="00D53A62" w:rsidP="00D53A62">
            <w:pPr>
              <w:rPr>
                <w:lang w:val="en-GB"/>
              </w:rPr>
            </w:pPr>
            <w:r w:rsidRPr="00D53A62">
              <w:rPr>
                <w:lang w:val="en-GB"/>
              </w:rPr>
              <w:t>≈ 26</w:t>
            </w:r>
            <w:r w:rsidR="00F40255">
              <w:rPr>
                <w:lang w:val="en-GB"/>
              </w:rPr>
              <w:t>0</w:t>
            </w:r>
            <w:r w:rsidRPr="00D53A62">
              <w:rPr>
                <w:lang w:val="en-GB"/>
              </w:rPr>
              <w:t>–47</w:t>
            </w:r>
            <w:r w:rsidR="00F40255">
              <w:rPr>
                <w:lang w:val="en-GB"/>
              </w:rPr>
              <w:t>0</w:t>
            </w:r>
            <w:r w:rsidRPr="00D53A62">
              <w:rPr>
                <w:lang w:val="en-GB"/>
              </w:rPr>
              <w:t xml:space="preserve"> mSv</w:t>
            </w:r>
          </w:p>
        </w:tc>
        <w:tc>
          <w:tcPr>
            <w:tcW w:w="0" w:type="auto"/>
            <w:vAlign w:val="center"/>
            <w:hideMark/>
          </w:tcPr>
          <w:p w14:paraId="49A1039B" w14:textId="77777777" w:rsidR="00D53A62" w:rsidRPr="00D53A62" w:rsidRDefault="00D53A62" w:rsidP="00D53A62">
            <w:pPr>
              <w:rPr>
                <w:lang w:val="en-GB"/>
              </w:rPr>
            </w:pPr>
            <w:r w:rsidRPr="00D53A62">
              <w:rPr>
                <w:lang w:val="en-GB"/>
              </w:rPr>
              <w:t>Central estimate around 35–40 mSv</w:t>
            </w:r>
          </w:p>
        </w:tc>
      </w:tr>
      <w:tr w:rsidR="00D53A62" w:rsidRPr="00D53A62" w14:paraId="7BABEFA1" w14:textId="77777777">
        <w:trPr>
          <w:tblCellSpacing w:w="15" w:type="dxa"/>
        </w:trPr>
        <w:tc>
          <w:tcPr>
            <w:tcW w:w="0" w:type="auto"/>
            <w:vAlign w:val="center"/>
            <w:hideMark/>
          </w:tcPr>
          <w:p w14:paraId="3F1E3316" w14:textId="77777777" w:rsidR="00D53A62" w:rsidRPr="00D53A62" w:rsidRDefault="00D53A62" w:rsidP="00D53A62">
            <w:pPr>
              <w:rPr>
                <w:lang w:val="en-GB"/>
              </w:rPr>
            </w:pPr>
            <w:r w:rsidRPr="00D53A62">
              <w:rPr>
                <w:lang w:val="en-GB"/>
              </w:rPr>
              <w:t>Recorded dosimetry</w:t>
            </w:r>
          </w:p>
        </w:tc>
        <w:tc>
          <w:tcPr>
            <w:tcW w:w="0" w:type="auto"/>
            <w:vAlign w:val="center"/>
            <w:hideMark/>
          </w:tcPr>
          <w:p w14:paraId="049AB4B4" w14:textId="5E41C689" w:rsidR="00D53A62" w:rsidRPr="00D53A62" w:rsidRDefault="00D53A62" w:rsidP="00D53A62">
            <w:pPr>
              <w:rPr>
                <w:lang w:val="en-GB"/>
              </w:rPr>
            </w:pPr>
            <w:r w:rsidRPr="00D53A62">
              <w:rPr>
                <w:lang w:val="en-GB"/>
              </w:rPr>
              <w:t>EPD 31</w:t>
            </w:r>
            <w:r w:rsidR="00F40255">
              <w:rPr>
                <w:lang w:val="en-GB"/>
              </w:rPr>
              <w:t>0</w:t>
            </w:r>
            <w:r w:rsidRPr="00D53A62">
              <w:rPr>
                <w:lang w:val="en-GB"/>
              </w:rPr>
              <w:t xml:space="preserve"> mSv; TLD 38</w:t>
            </w:r>
            <w:r w:rsidR="00F40255">
              <w:rPr>
                <w:lang w:val="en-GB"/>
              </w:rPr>
              <w:t>0</w:t>
            </w:r>
            <w:r w:rsidRPr="00D53A62">
              <w:rPr>
                <w:lang w:val="en-GB"/>
              </w:rPr>
              <w:t xml:space="preserve"> mSv</w:t>
            </w:r>
          </w:p>
        </w:tc>
        <w:tc>
          <w:tcPr>
            <w:tcW w:w="0" w:type="auto"/>
            <w:vAlign w:val="center"/>
            <w:hideMark/>
          </w:tcPr>
          <w:p w14:paraId="3E130B79" w14:textId="77777777" w:rsidR="00D53A62" w:rsidRPr="00D53A62" w:rsidRDefault="00D53A62" w:rsidP="00D53A62">
            <w:pPr>
              <w:rPr>
                <w:lang w:val="en-GB"/>
              </w:rPr>
            </w:pPr>
            <w:r w:rsidRPr="00D53A62">
              <w:rPr>
                <w:lang w:val="en-GB"/>
              </w:rPr>
              <w:t>Broadly consistent</w:t>
            </w:r>
          </w:p>
        </w:tc>
      </w:tr>
    </w:tbl>
    <w:p w14:paraId="0E14E90E" w14:textId="77777777" w:rsidR="00D53A62" w:rsidRPr="00D53A62" w:rsidRDefault="00000000" w:rsidP="00D53A62">
      <w:pPr>
        <w:rPr>
          <w:lang w:val="en-GB"/>
        </w:rPr>
      </w:pPr>
      <w:r>
        <w:rPr>
          <w:lang w:val="en-GB"/>
        </w:rPr>
        <w:pict w14:anchorId="262AF8BE">
          <v:rect id="_x0000_i1026" style="width:0;height:1.5pt" o:hralign="center" o:hrstd="t" o:hr="t" fillcolor="#a0a0a0" stroked="f"/>
        </w:pict>
      </w:r>
    </w:p>
    <w:p w14:paraId="533D7169" w14:textId="77777777" w:rsidR="00D53A62" w:rsidRPr="00D53A62" w:rsidRDefault="00D53A62" w:rsidP="00D53A62">
      <w:pPr>
        <w:rPr>
          <w:b/>
          <w:bCs/>
          <w:lang w:val="en-GB"/>
        </w:rPr>
      </w:pPr>
      <w:r w:rsidRPr="00D53A62">
        <w:rPr>
          <w:b/>
          <w:bCs/>
          <w:lang w:val="en-GB"/>
        </w:rPr>
        <w:t>1. Framing expected from a good report</w:t>
      </w:r>
    </w:p>
    <w:p w14:paraId="7734B33D" w14:textId="77777777" w:rsidR="00D53A62" w:rsidRPr="00D53A62" w:rsidRDefault="00D53A62" w:rsidP="00D53A62">
      <w:pPr>
        <w:rPr>
          <w:lang w:val="en-GB"/>
        </w:rPr>
      </w:pPr>
      <w:r w:rsidRPr="00D53A62">
        <w:rPr>
          <w:lang w:val="en-GB"/>
        </w:rPr>
        <w:t>The strongest submissions will read as a coherent scientific reconstruction rather than a sequence of short answers.</w:t>
      </w:r>
    </w:p>
    <w:p w14:paraId="3BCD3328" w14:textId="77777777" w:rsidR="00D53A62" w:rsidRPr="00D53A62" w:rsidRDefault="00D53A62" w:rsidP="00D53A62">
      <w:pPr>
        <w:rPr>
          <w:lang w:val="en-GB"/>
        </w:rPr>
      </w:pPr>
      <w:r w:rsidRPr="00D53A62">
        <w:rPr>
          <w:lang w:val="en-GB"/>
        </w:rPr>
        <w:t>Students should justify:</w:t>
      </w:r>
    </w:p>
    <w:p w14:paraId="4A305315" w14:textId="77777777" w:rsidR="00D53A62" w:rsidRPr="00D53A62" w:rsidRDefault="00D53A62" w:rsidP="00D53A62">
      <w:pPr>
        <w:numPr>
          <w:ilvl w:val="0"/>
          <w:numId w:val="12"/>
        </w:numPr>
        <w:rPr>
          <w:lang w:val="en-GB"/>
        </w:rPr>
      </w:pPr>
      <w:r w:rsidRPr="00D53A62">
        <w:rPr>
          <w:lang w:val="en-GB"/>
        </w:rPr>
        <w:t xml:space="preserve">decay correction of source activity </w:t>
      </w:r>
    </w:p>
    <w:p w14:paraId="3AF02665" w14:textId="77777777" w:rsidR="00D53A62" w:rsidRPr="00D53A62" w:rsidRDefault="00D53A62" w:rsidP="00D53A62">
      <w:pPr>
        <w:numPr>
          <w:ilvl w:val="0"/>
          <w:numId w:val="12"/>
        </w:numPr>
        <w:rPr>
          <w:lang w:val="en-GB"/>
        </w:rPr>
      </w:pPr>
      <w:r w:rsidRPr="00D53A62">
        <w:rPr>
          <w:lang w:val="en-GB"/>
        </w:rPr>
        <w:t xml:space="preserve">use of a tabulated gamma constant </w:t>
      </w:r>
    </w:p>
    <w:p w14:paraId="29FDBB66" w14:textId="77777777" w:rsidR="00D53A62" w:rsidRPr="00D53A62" w:rsidRDefault="00D53A62" w:rsidP="00D53A62">
      <w:pPr>
        <w:numPr>
          <w:ilvl w:val="0"/>
          <w:numId w:val="12"/>
        </w:numPr>
        <w:rPr>
          <w:lang w:val="en-GB"/>
        </w:rPr>
      </w:pPr>
      <w:r w:rsidRPr="00D53A62">
        <w:rPr>
          <w:lang w:val="en-GB"/>
        </w:rPr>
        <w:t xml:space="preserve">inverse-square scaling </w:t>
      </w:r>
    </w:p>
    <w:p w14:paraId="060AEF35" w14:textId="77777777" w:rsidR="00D53A62" w:rsidRPr="00D53A62" w:rsidRDefault="00D53A62" w:rsidP="00D53A62">
      <w:pPr>
        <w:numPr>
          <w:ilvl w:val="0"/>
          <w:numId w:val="12"/>
        </w:numPr>
        <w:rPr>
          <w:lang w:val="en-GB"/>
        </w:rPr>
      </w:pPr>
      <w:r w:rsidRPr="00D53A62">
        <w:rPr>
          <w:lang w:val="en-GB"/>
        </w:rPr>
        <w:t xml:space="preserve">attenuation using the half-value layer of water </w:t>
      </w:r>
    </w:p>
    <w:p w14:paraId="6C876BBD" w14:textId="77777777" w:rsidR="00D53A62" w:rsidRPr="00D53A62" w:rsidRDefault="00D53A62" w:rsidP="00D53A62">
      <w:pPr>
        <w:numPr>
          <w:ilvl w:val="0"/>
          <w:numId w:val="12"/>
        </w:numPr>
        <w:rPr>
          <w:lang w:val="en-GB"/>
        </w:rPr>
      </w:pPr>
      <w:r w:rsidRPr="00D53A62">
        <w:rPr>
          <w:lang w:val="en-GB"/>
        </w:rPr>
        <w:lastRenderedPageBreak/>
        <w:t xml:space="preserve">the strengths and limitations of the point-source approximation </w:t>
      </w:r>
    </w:p>
    <w:p w14:paraId="223D274D" w14:textId="77777777" w:rsidR="00D53A62" w:rsidRPr="00D53A62" w:rsidRDefault="00D53A62" w:rsidP="00D53A62">
      <w:pPr>
        <w:rPr>
          <w:lang w:val="en-GB"/>
        </w:rPr>
      </w:pPr>
      <w:r w:rsidRPr="00D53A62">
        <w:rPr>
          <w:lang w:val="en-GB"/>
        </w:rPr>
        <w:t xml:space="preserve">Better answers will also explain why </w:t>
      </w:r>
      <w:r w:rsidRPr="00D53A62">
        <w:rPr>
          <w:b/>
          <w:bCs/>
          <w:lang w:val="en-GB"/>
        </w:rPr>
        <w:t>maze entrances</w:t>
      </w:r>
      <w:r w:rsidRPr="00D53A62">
        <w:rPr>
          <w:lang w:val="en-GB"/>
        </w:rPr>
        <w:t xml:space="preserve"> are used in irradiator facilities: to prevent direct line-of-sight streaming of radiation while permitting practical personnel access.</w:t>
      </w:r>
    </w:p>
    <w:p w14:paraId="1F196F58" w14:textId="77777777" w:rsidR="00D53A62" w:rsidRPr="00D53A62" w:rsidRDefault="00D53A62" w:rsidP="00D53A62">
      <w:pPr>
        <w:rPr>
          <w:lang w:val="en-GB"/>
        </w:rPr>
      </w:pPr>
      <w:r w:rsidRPr="00D53A62">
        <w:rPr>
          <w:lang w:val="en-GB"/>
        </w:rPr>
        <w:t xml:space="preserve">A good report should recognise that the field is still an approximation, because the true geometry involves an extended source rack, partial water shielding, room scatter, and body movement during the exposure interval. </w:t>
      </w:r>
    </w:p>
    <w:p w14:paraId="2DD1498D" w14:textId="77777777" w:rsidR="00D53A62" w:rsidRPr="00D53A62" w:rsidRDefault="00000000" w:rsidP="00D53A62">
      <w:pPr>
        <w:rPr>
          <w:lang w:val="en-GB"/>
        </w:rPr>
      </w:pPr>
      <w:r>
        <w:rPr>
          <w:lang w:val="en-GB"/>
        </w:rPr>
        <w:pict w14:anchorId="599566AA">
          <v:rect id="_x0000_i1027" style="width:0;height:1.5pt" o:hralign="center" o:hrstd="t" o:hr="t" fillcolor="#a0a0a0" stroked="f"/>
        </w:pict>
      </w:r>
    </w:p>
    <w:p w14:paraId="50FF841B" w14:textId="77777777" w:rsidR="00D53A62" w:rsidRPr="00D53A62" w:rsidRDefault="00D53A62" w:rsidP="00D53A62">
      <w:pPr>
        <w:rPr>
          <w:b/>
          <w:bCs/>
          <w:lang w:val="en-GB"/>
        </w:rPr>
      </w:pPr>
      <w:r w:rsidRPr="00D53A62">
        <w:rPr>
          <w:b/>
          <w:bCs/>
          <w:lang w:val="en-GB"/>
        </w:rPr>
        <w:t>2. Worked scientific solution</w:t>
      </w:r>
    </w:p>
    <w:p w14:paraId="757BF07F" w14:textId="77777777" w:rsidR="00D53A62" w:rsidRPr="00D53A62" w:rsidRDefault="00D53A62" w:rsidP="00D53A62">
      <w:pPr>
        <w:rPr>
          <w:b/>
          <w:bCs/>
          <w:lang w:val="en-GB"/>
        </w:rPr>
      </w:pPr>
      <w:r w:rsidRPr="00D53A62">
        <w:rPr>
          <w:b/>
          <w:bCs/>
          <w:lang w:val="en-GB"/>
        </w:rPr>
        <w:t>2.1 Suitability of cobalt-60 and why high activity is needed</w:t>
      </w:r>
    </w:p>
    <w:p w14:paraId="2EC63F89" w14:textId="77777777" w:rsidR="00D53A62" w:rsidRPr="00D53A62" w:rsidRDefault="00D53A62" w:rsidP="00D53A62">
      <w:pPr>
        <w:rPr>
          <w:lang w:val="en-GB"/>
        </w:rPr>
      </w:pPr>
      <w:r w:rsidRPr="00D53A62">
        <w:rPr>
          <w:lang w:val="en-GB"/>
        </w:rPr>
        <w:t>Cobalt-60 is suitable for industrial sterilisation because it emits two penetrating gamma rays of approximately 1.17 MeV and 1.33 MeV, making it effective for delivering sterilising doses to packaged medical products and similar materials. It is available in robust sealed-source pencil form and has a half-life of about 5.27 years, which is long enough for practical industrial use while still providing a very intense radiation field.</w:t>
      </w:r>
    </w:p>
    <w:p w14:paraId="068026F1" w14:textId="77777777" w:rsidR="00D53A62" w:rsidRPr="00D53A62" w:rsidRDefault="00D53A62" w:rsidP="00D53A62">
      <w:pPr>
        <w:rPr>
          <w:lang w:val="en-GB"/>
        </w:rPr>
      </w:pPr>
      <w:r w:rsidRPr="00D53A62">
        <w:rPr>
          <w:lang w:val="en-GB"/>
        </w:rPr>
        <w:t xml:space="preserve">Very high activities are required because sterilisation is a </w:t>
      </w:r>
      <w:r w:rsidRPr="00D53A62">
        <w:rPr>
          <w:b/>
          <w:bCs/>
          <w:lang w:val="en-GB"/>
        </w:rPr>
        <w:t>high-dose process</w:t>
      </w:r>
      <w:r w:rsidRPr="00D53A62">
        <w:rPr>
          <w:lang w:val="en-GB"/>
        </w:rPr>
        <w:t xml:space="preserve">. The objective is not merely imaging or detection, but delivery of large absorbed doses throughout the product load within commercially viable processing times. This requires a very intense gamma field and therefore </w:t>
      </w:r>
      <w:proofErr w:type="spellStart"/>
      <w:r w:rsidRPr="00D53A62">
        <w:rPr>
          <w:lang w:val="en-GB"/>
        </w:rPr>
        <w:t>PBq</w:t>
      </w:r>
      <w:proofErr w:type="spellEnd"/>
      <w:r w:rsidRPr="00D53A62">
        <w:rPr>
          <w:lang w:val="en-GB"/>
        </w:rPr>
        <w:t xml:space="preserve">-scale source inventories. </w:t>
      </w:r>
    </w:p>
    <w:p w14:paraId="7D62998E" w14:textId="77777777" w:rsidR="00D53A62" w:rsidRPr="00D53A62" w:rsidRDefault="00000000" w:rsidP="00D53A62">
      <w:pPr>
        <w:rPr>
          <w:lang w:val="en-GB"/>
        </w:rPr>
      </w:pPr>
      <w:r>
        <w:rPr>
          <w:lang w:val="en-GB"/>
        </w:rPr>
        <w:pict w14:anchorId="53907933">
          <v:rect id="_x0000_i1028" style="width:0;height:1.5pt" o:hralign="center" o:hrstd="t" o:hr="t" fillcolor="#a0a0a0" stroked="f"/>
        </w:pict>
      </w:r>
    </w:p>
    <w:p w14:paraId="4AA9CAA8" w14:textId="77777777" w:rsidR="00D53A62" w:rsidRPr="00D53A62" w:rsidRDefault="00D53A62" w:rsidP="00D53A62">
      <w:pPr>
        <w:rPr>
          <w:b/>
          <w:bCs/>
          <w:lang w:val="en-GB"/>
        </w:rPr>
      </w:pPr>
      <w:r w:rsidRPr="00D53A62">
        <w:rPr>
          <w:b/>
          <w:bCs/>
          <w:lang w:val="en-GB"/>
        </w:rPr>
        <w:t>2.2 Decay-corrected activity on the incident date</w:t>
      </w:r>
    </w:p>
    <w:p w14:paraId="6ED0626D" w14:textId="77777777" w:rsidR="00D53A62" w:rsidRPr="00D53A62" w:rsidRDefault="00D53A62" w:rsidP="00D53A62">
      <w:pPr>
        <w:rPr>
          <w:lang w:val="en-GB"/>
        </w:rPr>
      </w:pPr>
      <w:r w:rsidRPr="00D53A62">
        <w:rPr>
          <w:lang w:val="en-GB"/>
        </w:rPr>
        <w:t>Given:</w:t>
      </w:r>
    </w:p>
    <w:p w14:paraId="4B5CCFCE" w14:textId="37710ED8" w:rsidR="00D53A62" w:rsidRPr="00D53A62" w:rsidRDefault="00D53A62" w:rsidP="00D53A62">
      <w:pPr>
        <w:numPr>
          <w:ilvl w:val="0"/>
          <w:numId w:val="13"/>
        </w:numPr>
        <w:rPr>
          <w:lang w:val="en-GB"/>
        </w:rPr>
      </w:pPr>
      <w:r w:rsidRPr="00D53A62">
        <w:rPr>
          <w:lang w:val="en-GB"/>
        </w:rPr>
        <w:t>Initial activity = 12</w:t>
      </w:r>
      <w:r w:rsidR="00F40255">
        <w:rPr>
          <w:lang w:val="en-GB"/>
        </w:rPr>
        <w:t>.</w:t>
      </w:r>
      <w:r w:rsidRPr="00D53A62">
        <w:rPr>
          <w:lang w:val="en-GB"/>
        </w:rPr>
        <w:t xml:space="preserve">0 </w:t>
      </w:r>
      <w:proofErr w:type="spellStart"/>
      <w:r w:rsidRPr="00D53A62">
        <w:rPr>
          <w:lang w:val="en-GB"/>
        </w:rPr>
        <w:t>PBq</w:t>
      </w:r>
      <w:proofErr w:type="spellEnd"/>
      <w:r w:rsidRPr="00D53A62">
        <w:rPr>
          <w:lang w:val="en-GB"/>
        </w:rPr>
        <w:t xml:space="preserve"> on 15 February 2018 </w:t>
      </w:r>
    </w:p>
    <w:p w14:paraId="429CF45E" w14:textId="77777777" w:rsidR="00D53A62" w:rsidRPr="00D53A62" w:rsidRDefault="00D53A62" w:rsidP="00D53A62">
      <w:pPr>
        <w:numPr>
          <w:ilvl w:val="0"/>
          <w:numId w:val="13"/>
        </w:numPr>
        <w:rPr>
          <w:lang w:val="en-GB"/>
        </w:rPr>
      </w:pPr>
      <w:r w:rsidRPr="00D53A62">
        <w:rPr>
          <w:lang w:val="en-GB"/>
        </w:rPr>
        <w:t xml:space="preserve">Incident date = 9 December 2024 </w:t>
      </w:r>
    </w:p>
    <w:p w14:paraId="1A578E85" w14:textId="77777777" w:rsidR="00D53A62" w:rsidRPr="00D53A62" w:rsidRDefault="00D53A62" w:rsidP="00D53A62">
      <w:pPr>
        <w:numPr>
          <w:ilvl w:val="0"/>
          <w:numId w:val="13"/>
        </w:numPr>
        <w:rPr>
          <w:lang w:val="en-GB"/>
        </w:rPr>
      </w:pPr>
      <w:r w:rsidRPr="00D53A62">
        <w:rPr>
          <w:lang w:val="en-GB"/>
        </w:rPr>
        <w:t xml:space="preserve">Half-life of Co-60 ≈ 5.27 years </w:t>
      </w:r>
    </w:p>
    <w:p w14:paraId="2C034C06" w14:textId="77777777" w:rsidR="00D53A62" w:rsidRPr="00D53A62" w:rsidRDefault="00D53A62" w:rsidP="00D53A62">
      <w:pPr>
        <w:rPr>
          <w:lang w:val="en-GB"/>
        </w:rPr>
      </w:pPr>
      <w:r w:rsidRPr="00D53A62">
        <w:rPr>
          <w:lang w:val="en-GB"/>
        </w:rPr>
        <w:t>Elapsed time is approximately 6.82 years.</w:t>
      </w:r>
    </w:p>
    <w:p w14:paraId="15885581" w14:textId="77777777" w:rsidR="00D53A62" w:rsidRPr="00D53A62" w:rsidRDefault="00D53A62" w:rsidP="00D53A62">
      <w:pPr>
        <w:rPr>
          <w:lang w:val="en-GB"/>
        </w:rPr>
      </w:pPr>
      <w:r w:rsidRPr="00D53A62">
        <w:rPr>
          <w:lang w:val="en-GB"/>
        </w:rPr>
        <w:t>Use:</w:t>
      </w:r>
    </w:p>
    <w:p w14:paraId="2A44E8BE" w14:textId="667610CC" w:rsidR="00D53A62" w:rsidRPr="00D53A62" w:rsidRDefault="00D53A62" w:rsidP="00D53A62">
      <w:pPr>
        <w:rPr>
          <w:lang w:val="en-GB"/>
        </w:rPr>
      </w:pPr>
      <m:oMathPara>
        <m:oMath>
          <m:r>
            <w:rPr>
              <w:rFonts w:ascii="Cambria Math" w:hAnsi="Cambria Math"/>
              <w:lang w:val="en-GB"/>
            </w:rPr>
            <m:t>A=</m:t>
          </m:r>
          <m:sSub>
            <m:sSubPr>
              <m:ctrlPr>
                <w:rPr>
                  <w:rFonts w:ascii="Cambria Math" w:hAnsi="Cambria Math"/>
                  <w:lang w:val="en-GB"/>
                </w:rPr>
              </m:ctrlPr>
            </m:sSubPr>
            <m:e>
              <m:r>
                <w:rPr>
                  <w:rFonts w:ascii="Cambria Math" w:hAnsi="Cambria Math"/>
                  <w:lang w:val="en-GB"/>
                </w:rPr>
                <m:t>A</m:t>
              </m:r>
            </m:e>
            <m:sub>
              <m:r>
                <w:rPr>
                  <w:rFonts w:ascii="Cambria Math" w:hAnsi="Cambria Math"/>
                  <w:lang w:val="en-GB"/>
                </w:rPr>
                <m:t>0</m:t>
              </m:r>
            </m:sub>
          </m:sSub>
          <m:r>
            <m:rPr>
              <m:nor/>
            </m:rPr>
            <w:rPr>
              <w:lang w:val="en-GB"/>
            </w:rPr>
            <m:t> </m:t>
          </m:r>
          <m:sSup>
            <m:sSupPr>
              <m:ctrlPr>
                <w:rPr>
                  <w:rFonts w:ascii="Cambria Math" w:hAnsi="Cambria Math"/>
                  <w:lang w:val="en-GB"/>
                </w:rPr>
              </m:ctrlPr>
            </m:sSupPr>
            <m:e>
              <m:r>
                <w:rPr>
                  <w:rFonts w:ascii="Cambria Math" w:hAnsi="Cambria Math"/>
                  <w:lang w:val="en-GB"/>
                </w:rPr>
                <m:t>2</m:t>
              </m:r>
            </m:e>
            <m:sup>
              <m:r>
                <w:rPr>
                  <w:rFonts w:ascii="Cambria Math" w:hAnsi="Cambria Math"/>
                  <w:lang w:val="en-GB"/>
                </w:rPr>
                <m:t>-t</m:t>
              </m:r>
              <m:r>
                <m:rPr>
                  <m:sty m:val="p"/>
                </m:rPr>
                <w:rPr>
                  <w:rFonts w:ascii="Cambria Math" w:hAnsi="Cambria Math"/>
                  <w:lang w:val="en-GB"/>
                </w:rPr>
                <m:t>/</m:t>
              </m:r>
              <m:sSub>
                <m:sSubPr>
                  <m:ctrlPr>
                    <w:rPr>
                      <w:rFonts w:ascii="Cambria Math" w:hAnsi="Cambria Math"/>
                      <w:lang w:val="en-GB"/>
                    </w:rPr>
                  </m:ctrlPr>
                </m:sSubPr>
                <m:e>
                  <m:r>
                    <w:rPr>
                      <w:rFonts w:ascii="Cambria Math" w:hAnsi="Cambria Math"/>
                      <w:lang w:val="en-GB"/>
                    </w:rPr>
                    <m:t>T</m:t>
                  </m:r>
                </m:e>
                <m:sub>
                  <m:r>
                    <w:rPr>
                      <w:rFonts w:ascii="Cambria Math" w:hAnsi="Cambria Math"/>
                      <w:lang w:val="en-GB"/>
                    </w:rPr>
                    <m:t>1</m:t>
                  </m:r>
                  <m:r>
                    <m:rPr>
                      <m:sty m:val="p"/>
                    </m:rPr>
                    <w:rPr>
                      <w:rFonts w:ascii="Cambria Math" w:hAnsi="Cambria Math"/>
                      <w:lang w:val="en-GB"/>
                    </w:rPr>
                    <m:t>/</m:t>
                  </m:r>
                  <m:r>
                    <w:rPr>
                      <w:rFonts w:ascii="Cambria Math" w:hAnsi="Cambria Math"/>
                      <w:lang w:val="en-GB"/>
                    </w:rPr>
                    <m:t>2</m:t>
                  </m:r>
                </m:sub>
              </m:sSub>
            </m:sup>
          </m:sSup>
          <m:r>
            <m:rPr>
              <m:sty m:val="p"/>
            </m:rPr>
            <w:rPr>
              <w:lang w:val="en-GB"/>
            </w:rPr>
            <w:br/>
          </m:r>
        </m:oMath>
        <m:oMath>
          <m:r>
            <w:rPr>
              <w:rFonts w:ascii="Cambria Math" w:hAnsi="Cambria Math"/>
              <w:lang w:val="en-GB"/>
            </w:rPr>
            <m:t>A=12</m:t>
          </m:r>
          <m:r>
            <w:rPr>
              <w:rFonts w:ascii="Cambria Math" w:hAnsi="Cambria Math"/>
              <w:lang w:val="en-GB"/>
            </w:rPr>
            <m:t>.</m:t>
          </m:r>
          <m:r>
            <w:rPr>
              <w:rFonts w:ascii="Cambria Math" w:hAnsi="Cambria Math"/>
              <w:lang w:val="en-GB"/>
            </w:rPr>
            <m:t>0×</m:t>
          </m:r>
          <m:sSup>
            <m:sSupPr>
              <m:ctrlPr>
                <w:rPr>
                  <w:rFonts w:ascii="Cambria Math" w:hAnsi="Cambria Math"/>
                  <w:lang w:val="en-GB"/>
                </w:rPr>
              </m:ctrlPr>
            </m:sSupPr>
            <m:e>
              <m:r>
                <w:rPr>
                  <w:rFonts w:ascii="Cambria Math" w:hAnsi="Cambria Math"/>
                  <w:lang w:val="en-GB"/>
                </w:rPr>
                <m:t>2</m:t>
              </m:r>
            </m:e>
            <m:sup>
              <m:r>
                <w:rPr>
                  <w:rFonts w:ascii="Cambria Math" w:hAnsi="Cambria Math"/>
                  <w:lang w:val="en-GB"/>
                </w:rPr>
                <m:t>-6.82</m:t>
              </m:r>
              <m:r>
                <m:rPr>
                  <m:sty m:val="p"/>
                </m:rPr>
                <w:rPr>
                  <w:rFonts w:ascii="Cambria Math" w:hAnsi="Cambria Math"/>
                  <w:lang w:val="en-GB"/>
                </w:rPr>
                <m:t>/</m:t>
              </m:r>
              <m:r>
                <w:rPr>
                  <w:rFonts w:ascii="Cambria Math" w:hAnsi="Cambria Math"/>
                  <w:lang w:val="en-GB"/>
                </w:rPr>
                <m:t>5.27</m:t>
              </m:r>
            </m:sup>
          </m:sSup>
          <m:r>
            <m:rPr>
              <m:sty m:val="p"/>
            </m:rPr>
            <w:rPr>
              <w:lang w:val="en-GB"/>
            </w:rPr>
            <w:br/>
          </m:r>
        </m:oMath>
        <m:oMath>
          <m:r>
            <w:rPr>
              <w:rFonts w:ascii="Cambria Math" w:hAnsi="Cambria Math"/>
              <w:lang w:val="en-GB"/>
            </w:rPr>
            <m:t>A≈12.0×0.408≈4.9</m:t>
          </m:r>
          <m:r>
            <m:rPr>
              <m:nor/>
            </m:rPr>
            <w:rPr>
              <w:lang w:val="en-GB"/>
            </w:rPr>
            <m:t xml:space="preserve"> PBq</m:t>
          </m:r>
          <m:r>
            <m:rPr>
              <m:sty m:val="p"/>
            </m:rPr>
            <w:rPr>
              <w:lang w:val="en-GB"/>
            </w:rPr>
            <w:br/>
          </m:r>
        </m:oMath>
      </m:oMathPara>
    </w:p>
    <w:p w14:paraId="30A18150" w14:textId="4DD48226" w:rsidR="00D53A62" w:rsidRPr="00D53A62" w:rsidRDefault="00A8052F" w:rsidP="00D53A62">
      <w:pPr>
        <w:rPr>
          <w:lang w:val="en-GB"/>
        </w:rPr>
      </w:pPr>
      <w:r w:rsidRPr="00D53A62">
        <w:rPr>
          <w:lang w:val="en-GB"/>
        </w:rPr>
        <w:t>So,</w:t>
      </w:r>
      <w:r w:rsidR="00D53A62" w:rsidRPr="00D53A62">
        <w:rPr>
          <w:lang w:val="en-GB"/>
        </w:rPr>
        <w:t xml:space="preserve"> the activity on 9 December 2024 is approximately:</w:t>
      </w:r>
    </w:p>
    <w:p w14:paraId="3EEAAE0F" w14:textId="34384085" w:rsidR="00D53A62" w:rsidRPr="00D53A62" w:rsidRDefault="00D53A62" w:rsidP="00D53A62">
      <w:pPr>
        <w:rPr>
          <w:lang w:val="en-GB"/>
        </w:rPr>
      </w:pPr>
      <m:oMathPara>
        <m:oMath>
          <m:r>
            <w:rPr>
              <w:rFonts w:ascii="Cambria Math" w:hAnsi="Cambria Math"/>
              <w:lang w:val="en-GB"/>
            </w:rPr>
            <w:lastRenderedPageBreak/>
            <m:t>A≈4.9</m:t>
          </m:r>
          <m:r>
            <m:rPr>
              <m:nor/>
            </m:rPr>
            <w:rPr>
              <w:lang w:val="en-GB"/>
            </w:rPr>
            <m:t xml:space="preserve"> PBq</m:t>
          </m:r>
          <m:r>
            <m:rPr>
              <m:sty m:val="p"/>
            </m:rPr>
            <w:rPr>
              <w:lang w:val="en-GB"/>
            </w:rPr>
            <w:br/>
          </m:r>
        </m:oMath>
      </m:oMathPara>
    </w:p>
    <w:p w14:paraId="4C2440AD" w14:textId="2EDA3D65" w:rsidR="00D53A62" w:rsidRPr="00D53A62" w:rsidRDefault="00D53A62" w:rsidP="00D53A62">
      <w:pPr>
        <w:rPr>
          <w:lang w:val="en-GB"/>
        </w:rPr>
      </w:pPr>
      <w:r w:rsidRPr="00D53A62">
        <w:rPr>
          <w:lang w:val="en-GB"/>
        </w:rPr>
        <w:t xml:space="preserve">Accept approximately </w:t>
      </w:r>
      <w:r w:rsidR="00BE2053">
        <w:rPr>
          <w:b/>
          <w:bCs/>
          <w:lang w:val="en-GB"/>
        </w:rPr>
        <w:t>5</w:t>
      </w:r>
      <w:r w:rsidRPr="00D53A62">
        <w:rPr>
          <w:b/>
          <w:bCs/>
          <w:lang w:val="en-GB"/>
        </w:rPr>
        <w:t xml:space="preserve"> </w:t>
      </w:r>
      <w:proofErr w:type="spellStart"/>
      <w:r w:rsidRPr="00D53A62">
        <w:rPr>
          <w:b/>
          <w:bCs/>
          <w:lang w:val="en-GB"/>
        </w:rPr>
        <w:t>PBq</w:t>
      </w:r>
      <w:proofErr w:type="spellEnd"/>
      <w:r w:rsidRPr="00D53A62">
        <w:rPr>
          <w:lang w:val="en-GB"/>
        </w:rPr>
        <w:t xml:space="preserve"> depending on rounding.</w:t>
      </w:r>
    </w:p>
    <w:p w14:paraId="25D214C6" w14:textId="77777777" w:rsidR="00D53A62" w:rsidRPr="00D53A62" w:rsidRDefault="00D53A62" w:rsidP="00D53A62">
      <w:pPr>
        <w:rPr>
          <w:lang w:val="en-GB"/>
        </w:rPr>
      </w:pPr>
      <w:r w:rsidRPr="00D53A62">
        <w:rPr>
          <w:lang w:val="en-GB"/>
        </w:rPr>
        <w:t>For gamma constant calculations:</w:t>
      </w:r>
    </w:p>
    <w:p w14:paraId="0773C74D" w14:textId="332748EA" w:rsidR="00D53A62" w:rsidRPr="00D53A62" w:rsidRDefault="00BE2053" w:rsidP="00D53A62">
      <w:pPr>
        <w:rPr>
          <w:lang w:val="en-GB"/>
        </w:rPr>
      </w:pPr>
      <m:oMathPara>
        <m:oMath>
          <m:r>
            <w:rPr>
              <w:rFonts w:ascii="Cambria Math" w:hAnsi="Cambria Math"/>
              <w:lang w:val="en-GB"/>
            </w:rPr>
            <m:t>4.9  PBq=4.9×</m:t>
          </m:r>
          <m:sSup>
            <m:sSupPr>
              <m:ctrlPr>
                <w:rPr>
                  <w:rFonts w:ascii="Cambria Math" w:hAnsi="Cambria Math"/>
                  <w:lang w:val="en-GB"/>
                </w:rPr>
              </m:ctrlPr>
            </m:sSupPr>
            <m:e>
              <m:r>
                <m:rPr>
                  <m:sty m:val="p"/>
                </m:rPr>
                <w:rPr>
                  <w:rFonts w:ascii="Cambria Math" w:hAnsi="Cambria Math"/>
                  <w:lang w:val="en-GB"/>
                </w:rPr>
                <m:t>10</m:t>
              </m:r>
            </m:e>
            <m:sup>
              <m:r>
                <w:rPr>
                  <w:rFonts w:ascii="Cambria Math" w:hAnsi="Cambria Math"/>
                  <w:lang w:val="en-GB"/>
                </w:rPr>
                <m:t>6</m:t>
              </m:r>
            </m:sup>
          </m:sSup>
          <m:r>
            <w:rPr>
              <w:rFonts w:ascii="Cambria Math" w:hAnsi="Cambria Math"/>
              <w:lang w:val="en-GB"/>
            </w:rPr>
            <m:t xml:space="preserve"> GBq</m:t>
          </m:r>
          <m:r>
            <m:rPr>
              <m:sty m:val="p"/>
            </m:rPr>
            <w:rPr>
              <w:rFonts w:ascii="Cambria Math" w:hAnsi="Cambria Math"/>
              <w:lang w:val="en-GB"/>
            </w:rPr>
            <w:br/>
          </m:r>
        </m:oMath>
      </m:oMathPara>
    </w:p>
    <w:p w14:paraId="7FB18081" w14:textId="77777777" w:rsidR="00D53A62" w:rsidRPr="00D53A62" w:rsidRDefault="00000000" w:rsidP="00D53A62">
      <w:pPr>
        <w:rPr>
          <w:lang w:val="en-GB"/>
        </w:rPr>
      </w:pPr>
      <w:r>
        <w:rPr>
          <w:lang w:val="en-GB"/>
        </w:rPr>
        <w:pict w14:anchorId="68867384">
          <v:rect id="_x0000_i1029" style="width:0;height:1.5pt" o:hralign="center" o:hrstd="t" o:hr="t" fillcolor="#a0a0a0" stroked="f"/>
        </w:pict>
      </w:r>
    </w:p>
    <w:p w14:paraId="579BC328" w14:textId="77777777" w:rsidR="00D53A62" w:rsidRPr="00D53A62" w:rsidRDefault="00D53A62" w:rsidP="00D53A62">
      <w:pPr>
        <w:rPr>
          <w:b/>
          <w:bCs/>
          <w:lang w:val="en-GB"/>
        </w:rPr>
      </w:pPr>
      <w:r w:rsidRPr="00D53A62">
        <w:rPr>
          <w:b/>
          <w:bCs/>
          <w:lang w:val="en-GB"/>
        </w:rPr>
        <w:t>2.3 Unshielded dose rate at 2 m</w:t>
      </w:r>
    </w:p>
    <w:p w14:paraId="0D9ABDC3" w14:textId="77777777" w:rsidR="00D53A62" w:rsidRPr="00D53A62" w:rsidRDefault="00D53A62" w:rsidP="00D53A62">
      <w:pPr>
        <w:rPr>
          <w:lang w:val="en-GB"/>
        </w:rPr>
      </w:pPr>
      <w:r w:rsidRPr="00D53A62">
        <w:rPr>
          <w:lang w:val="en-GB"/>
        </w:rPr>
        <w:t>Using the gamma constant method:</w:t>
      </w:r>
    </w:p>
    <w:p w14:paraId="046E885B" w14:textId="440E2CEE" w:rsidR="00D53A62" w:rsidRPr="00D53A62" w:rsidRDefault="00000000" w:rsidP="00D53A62">
      <w:pPr>
        <w:rPr>
          <w:lang w:val="en-GB"/>
        </w:rPr>
      </w:pPr>
      <m:oMathPara>
        <m:oMath>
          <m:acc>
            <m:accPr>
              <m:chr m:val="̇"/>
              <m:ctrlPr>
                <w:rPr>
                  <w:rFonts w:ascii="Cambria Math" w:hAnsi="Cambria Math"/>
                  <w:lang w:val="en-GB"/>
                </w:rPr>
              </m:ctrlPr>
            </m:accPr>
            <m:e>
              <m:r>
                <w:rPr>
                  <w:rFonts w:ascii="Cambria Math" w:hAnsi="Cambria Math"/>
                  <w:lang w:val="en-GB"/>
                </w:rPr>
                <m:t>D</m:t>
              </m:r>
            </m:e>
          </m:acc>
          <m:r>
            <w:rPr>
              <w:rFonts w:ascii="Cambria Math" w:hAnsi="Cambria Math"/>
              <w:lang w:val="en-GB"/>
            </w:rPr>
            <m:t>=</m:t>
          </m:r>
          <m:r>
            <m:rPr>
              <m:sty m:val="p"/>
            </m:rPr>
            <w:rPr>
              <w:rFonts w:ascii="Cambria Math" w:hAnsi="Cambria Math"/>
              <w:lang w:val="en-GB"/>
            </w:rPr>
            <m:t>Γ</m:t>
          </m:r>
          <m:f>
            <m:fPr>
              <m:ctrlPr>
                <w:rPr>
                  <w:rFonts w:ascii="Cambria Math" w:hAnsi="Cambria Math"/>
                  <w:lang w:val="en-GB"/>
                </w:rPr>
              </m:ctrlPr>
            </m:fPr>
            <m:num>
              <m:r>
                <w:rPr>
                  <w:rFonts w:ascii="Cambria Math" w:hAnsi="Cambria Math"/>
                  <w:lang w:val="en-GB"/>
                </w:rPr>
                <m:t>A</m:t>
              </m:r>
            </m:num>
            <m:den>
              <m:sSup>
                <m:sSupPr>
                  <m:ctrlPr>
                    <w:rPr>
                      <w:rFonts w:ascii="Cambria Math" w:hAnsi="Cambria Math"/>
                      <w:lang w:val="en-GB"/>
                    </w:rPr>
                  </m:ctrlPr>
                </m:sSupPr>
                <m:e>
                  <m:r>
                    <w:rPr>
                      <w:rFonts w:ascii="Cambria Math" w:hAnsi="Cambria Math"/>
                      <w:lang w:val="en-GB"/>
                    </w:rPr>
                    <m:t>r</m:t>
                  </m:r>
                </m:e>
                <m:sup>
                  <m:r>
                    <w:rPr>
                      <w:rFonts w:ascii="Cambria Math" w:hAnsi="Cambria Math"/>
                      <w:lang w:val="en-GB"/>
                    </w:rPr>
                    <m:t>2</m:t>
                  </m:r>
                </m:sup>
              </m:sSup>
            </m:den>
          </m:f>
          <m:r>
            <m:rPr>
              <m:sty m:val="p"/>
            </m:rPr>
            <w:rPr>
              <w:lang w:val="en-GB"/>
            </w:rPr>
            <w:br/>
          </m:r>
        </m:oMath>
      </m:oMathPara>
    </w:p>
    <w:p w14:paraId="1F71CC79" w14:textId="77777777" w:rsidR="00D53A62" w:rsidRPr="00D53A62" w:rsidRDefault="00D53A62" w:rsidP="00D53A62">
      <w:pPr>
        <w:rPr>
          <w:lang w:val="en-GB"/>
        </w:rPr>
      </w:pPr>
      <w:r w:rsidRPr="00D53A62">
        <w:rPr>
          <w:lang w:val="en-GB"/>
        </w:rPr>
        <w:t>Take for Co-60:</w:t>
      </w:r>
    </w:p>
    <w:p w14:paraId="6BBE0762" w14:textId="344140F1" w:rsidR="00D53A62" w:rsidRPr="00D53A62" w:rsidRDefault="00D53A62" w:rsidP="00D53A62">
      <w:pPr>
        <w:rPr>
          <w:lang w:val="en-GB"/>
        </w:rPr>
      </w:pPr>
      <m:oMathPara>
        <m:oMath>
          <m:r>
            <m:rPr>
              <m:sty m:val="p"/>
            </m:rPr>
            <w:rPr>
              <w:rFonts w:ascii="Cambria Math" w:hAnsi="Cambria Math"/>
              <w:lang w:val="en-GB"/>
            </w:rPr>
            <m:t>Γ</m:t>
          </m:r>
          <m:r>
            <w:rPr>
              <w:rFonts w:ascii="Cambria Math" w:hAnsi="Cambria Math"/>
              <w:lang w:val="en-GB"/>
            </w:rPr>
            <m:t>≈0.35</m:t>
          </m:r>
          <m:sSup>
            <m:sSupPr>
              <m:ctrlPr>
                <w:rPr>
                  <w:rFonts w:ascii="Cambria Math" w:hAnsi="Cambria Math"/>
                  <w:lang w:val="en-GB"/>
                </w:rPr>
              </m:ctrlPr>
            </m:sSupPr>
            <m:e>
              <m:r>
                <m:rPr>
                  <m:nor/>
                </m:rPr>
                <w:rPr>
                  <w:lang w:val="en-GB"/>
                </w:rPr>
                <m:t xml:space="preserve"> mSv m</m:t>
              </m:r>
            </m:e>
            <m:sup>
              <m:r>
                <w:rPr>
                  <w:rFonts w:ascii="Cambria Math" w:hAnsi="Cambria Math"/>
                  <w:lang w:val="en-GB"/>
                </w:rPr>
                <m:t>2</m:t>
              </m:r>
            </m:sup>
          </m:sSup>
          <m:sSup>
            <m:sSupPr>
              <m:ctrlPr>
                <w:rPr>
                  <w:rFonts w:ascii="Cambria Math" w:hAnsi="Cambria Math"/>
                  <w:lang w:val="en-GB"/>
                </w:rPr>
              </m:ctrlPr>
            </m:sSupPr>
            <m:e>
              <m:r>
                <m:rPr>
                  <m:nor/>
                </m:rPr>
                <w:rPr>
                  <w:lang w:val="en-GB"/>
                </w:rPr>
                <m:t xml:space="preserve"> GBq</m:t>
              </m:r>
            </m:e>
            <m:sup>
              <m:r>
                <w:rPr>
                  <w:rFonts w:ascii="Cambria Math" w:hAnsi="Cambria Math"/>
                  <w:lang w:val="en-GB"/>
                </w:rPr>
                <m:t>-1</m:t>
              </m:r>
            </m:sup>
          </m:sSup>
          <m:sSup>
            <m:sSupPr>
              <m:ctrlPr>
                <w:rPr>
                  <w:rFonts w:ascii="Cambria Math" w:hAnsi="Cambria Math"/>
                  <w:lang w:val="en-GB"/>
                </w:rPr>
              </m:ctrlPr>
            </m:sSupPr>
            <m:e>
              <m:r>
                <m:rPr>
                  <m:nor/>
                </m:rPr>
                <w:rPr>
                  <w:lang w:val="en-GB"/>
                </w:rPr>
                <m:t xml:space="preserve"> h</m:t>
              </m:r>
            </m:e>
            <m:sup>
              <m:r>
                <w:rPr>
                  <w:rFonts w:ascii="Cambria Math" w:hAnsi="Cambria Math"/>
                  <w:lang w:val="en-GB"/>
                </w:rPr>
                <m:t>-1</m:t>
              </m:r>
            </m:sup>
          </m:sSup>
          <m:r>
            <m:rPr>
              <m:sty m:val="p"/>
            </m:rPr>
            <w:rPr>
              <w:lang w:val="en-GB"/>
            </w:rPr>
            <w:br/>
          </m:r>
        </m:oMath>
      </m:oMathPara>
    </w:p>
    <w:p w14:paraId="742E3B1A" w14:textId="77777777" w:rsidR="00D53A62" w:rsidRPr="00D53A62" w:rsidRDefault="00D53A62" w:rsidP="00D53A62">
      <w:pPr>
        <w:rPr>
          <w:lang w:val="en-GB"/>
        </w:rPr>
      </w:pPr>
      <w:r w:rsidRPr="00D53A62">
        <w:rPr>
          <w:lang w:val="en-GB"/>
        </w:rPr>
        <w:t>Then at 2.0 m:</w:t>
      </w:r>
    </w:p>
    <w:p w14:paraId="2C9E4211" w14:textId="1886A8B9" w:rsidR="00D53A62" w:rsidRPr="00D53A62" w:rsidRDefault="00000000" w:rsidP="00D53A62">
      <w:pPr>
        <w:rPr>
          <w:lang w:val="en-GB"/>
        </w:rPr>
      </w:pPr>
      <m:oMathPara>
        <m:oMath>
          <m:acc>
            <m:accPr>
              <m:chr m:val="̇"/>
              <m:ctrlPr>
                <w:rPr>
                  <w:rFonts w:ascii="Cambria Math" w:hAnsi="Cambria Math"/>
                  <w:lang w:val="en-GB"/>
                </w:rPr>
              </m:ctrlPr>
            </m:accPr>
            <m:e>
              <m:r>
                <w:rPr>
                  <w:rFonts w:ascii="Cambria Math" w:hAnsi="Cambria Math"/>
                  <w:lang w:val="en-GB"/>
                </w:rPr>
                <m:t>D</m:t>
              </m:r>
            </m:e>
          </m:acc>
          <m:r>
            <w:rPr>
              <w:rFonts w:ascii="Cambria Math" w:hAnsi="Cambria Math"/>
              <w:lang w:val="en-GB"/>
            </w:rPr>
            <m:t>=0.35×</m:t>
          </m:r>
          <m:f>
            <m:fPr>
              <m:ctrlPr>
                <w:rPr>
                  <w:rFonts w:ascii="Cambria Math" w:hAnsi="Cambria Math"/>
                  <w:lang w:val="en-GB"/>
                </w:rPr>
              </m:ctrlPr>
            </m:fPr>
            <m:num>
              <m:r>
                <w:rPr>
                  <w:rFonts w:ascii="Cambria Math" w:hAnsi="Cambria Math"/>
                  <w:lang w:val="en-GB"/>
                </w:rPr>
                <m:t>4.9×</m:t>
              </m:r>
              <m:sSup>
                <m:sSupPr>
                  <m:ctrlPr>
                    <w:rPr>
                      <w:rFonts w:ascii="Cambria Math" w:hAnsi="Cambria Math"/>
                      <w:lang w:val="en-GB"/>
                    </w:rPr>
                  </m:ctrlPr>
                </m:sSupPr>
                <m:e>
                  <m:r>
                    <w:rPr>
                      <w:rFonts w:ascii="Cambria Math" w:hAnsi="Cambria Math"/>
                      <w:lang w:val="en-GB"/>
                    </w:rPr>
                    <m:t>10</m:t>
                  </m:r>
                </m:e>
                <m:sup>
                  <m:r>
                    <w:rPr>
                      <w:rFonts w:ascii="Cambria Math" w:hAnsi="Cambria Math"/>
                      <w:lang w:val="en-GB"/>
                    </w:rPr>
                    <m:t>6</m:t>
                  </m:r>
                </m:sup>
              </m:sSup>
            </m:num>
            <m:den>
              <m:sSup>
                <m:sSupPr>
                  <m:ctrlPr>
                    <w:rPr>
                      <w:rFonts w:ascii="Cambria Math" w:hAnsi="Cambria Math"/>
                      <w:lang w:val="en-GB"/>
                    </w:rPr>
                  </m:ctrlPr>
                </m:sSupPr>
                <m:e>
                  <m:r>
                    <w:rPr>
                      <w:rFonts w:ascii="Cambria Math" w:hAnsi="Cambria Math"/>
                      <w:lang w:val="en-GB"/>
                    </w:rPr>
                    <m:t>2</m:t>
                  </m:r>
                </m:e>
                <m:sup>
                  <m:r>
                    <w:rPr>
                      <w:rFonts w:ascii="Cambria Math" w:hAnsi="Cambria Math"/>
                      <w:lang w:val="en-GB"/>
                    </w:rPr>
                    <m:t>2</m:t>
                  </m:r>
                </m:sup>
              </m:sSup>
            </m:den>
          </m:f>
          <m:r>
            <m:rPr>
              <m:sty m:val="p"/>
            </m:rPr>
            <w:rPr>
              <w:lang w:val="en-GB"/>
            </w:rPr>
            <w:br/>
          </m:r>
        </m:oMath>
        <m:oMath>
          <m:acc>
            <m:accPr>
              <m:chr m:val="̇"/>
              <m:ctrlPr>
                <w:rPr>
                  <w:rFonts w:ascii="Cambria Math" w:hAnsi="Cambria Math"/>
                  <w:lang w:val="en-GB"/>
                </w:rPr>
              </m:ctrlPr>
            </m:accPr>
            <m:e>
              <m:r>
                <w:rPr>
                  <w:rFonts w:ascii="Cambria Math" w:hAnsi="Cambria Math"/>
                  <w:lang w:val="en-GB"/>
                </w:rPr>
                <m:t>D</m:t>
              </m:r>
            </m:e>
          </m:acc>
          <m:r>
            <w:rPr>
              <w:rFonts w:ascii="Cambria Math" w:hAnsi="Cambria Math"/>
              <w:lang w:val="en-GB"/>
            </w:rPr>
            <m:t>=0.35×</m:t>
          </m:r>
          <m:f>
            <m:fPr>
              <m:ctrlPr>
                <w:rPr>
                  <w:rFonts w:ascii="Cambria Math" w:hAnsi="Cambria Math"/>
                  <w:lang w:val="en-GB"/>
                </w:rPr>
              </m:ctrlPr>
            </m:fPr>
            <m:num>
              <m:r>
                <w:rPr>
                  <w:rFonts w:ascii="Cambria Math" w:hAnsi="Cambria Math"/>
                  <w:lang w:val="en-GB"/>
                </w:rPr>
                <m:t>4.9×</m:t>
              </m:r>
              <m:sSup>
                <m:sSupPr>
                  <m:ctrlPr>
                    <w:rPr>
                      <w:rFonts w:ascii="Cambria Math" w:hAnsi="Cambria Math"/>
                      <w:lang w:val="en-GB"/>
                    </w:rPr>
                  </m:ctrlPr>
                </m:sSupPr>
                <m:e>
                  <m:r>
                    <w:rPr>
                      <w:rFonts w:ascii="Cambria Math" w:hAnsi="Cambria Math"/>
                      <w:lang w:val="en-GB"/>
                    </w:rPr>
                    <m:t>10</m:t>
                  </m:r>
                </m:e>
                <m:sup>
                  <m:r>
                    <w:rPr>
                      <w:rFonts w:ascii="Cambria Math" w:hAnsi="Cambria Math"/>
                      <w:lang w:val="en-GB"/>
                    </w:rPr>
                    <m:t>6</m:t>
                  </m:r>
                </m:sup>
              </m:sSup>
            </m:num>
            <m:den>
              <m:r>
                <w:rPr>
                  <w:rFonts w:ascii="Cambria Math" w:hAnsi="Cambria Math"/>
                  <w:lang w:val="en-GB"/>
                </w:rPr>
                <m:t>4</m:t>
              </m:r>
            </m:den>
          </m:f>
          <m:r>
            <w:rPr>
              <w:rFonts w:ascii="Cambria Math" w:hAnsi="Cambria Math"/>
              <w:lang w:val="en-GB"/>
            </w:rPr>
            <m:t>≈4.3×</m:t>
          </m:r>
          <m:sSup>
            <m:sSupPr>
              <m:ctrlPr>
                <w:rPr>
                  <w:rFonts w:ascii="Cambria Math" w:hAnsi="Cambria Math"/>
                  <w:lang w:val="en-GB"/>
                </w:rPr>
              </m:ctrlPr>
            </m:sSupPr>
            <m:e>
              <m:r>
                <w:rPr>
                  <w:rFonts w:ascii="Cambria Math" w:hAnsi="Cambria Math"/>
                  <w:lang w:val="en-GB"/>
                </w:rPr>
                <m:t>10</m:t>
              </m:r>
            </m:e>
            <m:sup>
              <m:r>
                <w:rPr>
                  <w:rFonts w:ascii="Cambria Math" w:hAnsi="Cambria Math"/>
                  <w:lang w:val="en-GB"/>
                </w:rPr>
                <m:t>5</m:t>
              </m:r>
            </m:sup>
          </m:sSup>
          <m:sSup>
            <m:sSupPr>
              <m:ctrlPr>
                <w:rPr>
                  <w:rFonts w:ascii="Cambria Math" w:hAnsi="Cambria Math"/>
                  <w:lang w:val="en-GB"/>
                </w:rPr>
              </m:ctrlPr>
            </m:sSupPr>
            <m:e>
              <m:r>
                <m:rPr>
                  <m:nor/>
                </m:rPr>
                <w:rPr>
                  <w:lang w:val="en-GB"/>
                </w:rPr>
                <m:t xml:space="preserve"> mSv h</m:t>
              </m:r>
            </m:e>
            <m:sup>
              <m:r>
                <w:rPr>
                  <w:rFonts w:ascii="Cambria Math" w:hAnsi="Cambria Math"/>
                  <w:lang w:val="en-GB"/>
                </w:rPr>
                <m:t>-1</m:t>
              </m:r>
            </m:sup>
          </m:sSup>
          <m:r>
            <m:rPr>
              <m:sty m:val="p"/>
            </m:rPr>
            <w:rPr>
              <w:lang w:val="en-GB"/>
            </w:rPr>
            <w:br/>
          </m:r>
        </m:oMath>
        <m:oMath>
          <m:acc>
            <m:accPr>
              <m:chr m:val="̇"/>
              <m:ctrlPr>
                <w:rPr>
                  <w:rFonts w:ascii="Cambria Math" w:hAnsi="Cambria Math"/>
                  <w:lang w:val="en-GB"/>
                </w:rPr>
              </m:ctrlPr>
            </m:accPr>
            <m:e>
              <m:r>
                <w:rPr>
                  <w:rFonts w:ascii="Cambria Math" w:hAnsi="Cambria Math"/>
                  <w:lang w:val="en-GB"/>
                </w:rPr>
                <m:t>D</m:t>
              </m:r>
            </m:e>
          </m:acc>
          <m:r>
            <w:rPr>
              <w:rFonts w:ascii="Cambria Math" w:hAnsi="Cambria Math"/>
              <w:lang w:val="en-GB"/>
            </w:rPr>
            <m:t>≈43</m:t>
          </m:r>
          <m:sSup>
            <m:sSupPr>
              <m:ctrlPr>
                <w:rPr>
                  <w:rFonts w:ascii="Cambria Math" w:hAnsi="Cambria Math"/>
                  <w:lang w:val="en-GB"/>
                </w:rPr>
              </m:ctrlPr>
            </m:sSupPr>
            <m:e>
              <m:r>
                <m:rPr>
                  <m:nor/>
                </m:rPr>
                <w:rPr>
                  <w:rFonts w:ascii="Cambria Math"/>
                  <w:lang w:val="en-GB"/>
                </w:rPr>
                <m:t xml:space="preserve">0 </m:t>
              </m:r>
              <m:r>
                <m:rPr>
                  <m:nor/>
                </m:rPr>
                <w:rPr>
                  <w:lang w:val="en-GB"/>
                </w:rPr>
                <m:t>Sv h</m:t>
              </m:r>
            </m:e>
            <m:sup>
              <m:r>
                <w:rPr>
                  <w:rFonts w:ascii="Cambria Math" w:hAnsi="Cambria Math"/>
                  <w:lang w:val="en-GB"/>
                </w:rPr>
                <m:t>-1</m:t>
              </m:r>
            </m:sup>
          </m:sSup>
          <m:r>
            <m:rPr>
              <m:sty m:val="p"/>
            </m:rPr>
            <w:rPr>
              <w:lang w:val="en-GB"/>
            </w:rPr>
            <w:br/>
          </m:r>
        </m:oMath>
      </m:oMathPara>
    </w:p>
    <w:p w14:paraId="4E595620" w14:textId="5D078B2F" w:rsidR="00D53A62" w:rsidRPr="00D53A62" w:rsidRDefault="00D53A62" w:rsidP="00D53A62">
      <w:pPr>
        <w:rPr>
          <w:lang w:val="en-GB"/>
        </w:rPr>
      </w:pPr>
      <w:r w:rsidRPr="00D53A62">
        <w:rPr>
          <w:lang w:val="en-GB"/>
        </w:rPr>
        <w:t>So</w:t>
      </w:r>
      <w:r w:rsidR="004179F1">
        <w:rPr>
          <w:lang w:val="en-GB"/>
        </w:rPr>
        <w:t>,</w:t>
      </w:r>
      <w:r w:rsidRPr="00D53A62">
        <w:rPr>
          <w:lang w:val="en-GB"/>
        </w:rPr>
        <w:t xml:space="preserve"> the </w:t>
      </w:r>
      <w:r w:rsidRPr="00D53A62">
        <w:rPr>
          <w:b/>
          <w:bCs/>
          <w:lang w:val="en-GB"/>
        </w:rPr>
        <w:t>unshielded dose rate at 2 m</w:t>
      </w:r>
      <w:r w:rsidRPr="00D53A62">
        <w:rPr>
          <w:lang w:val="en-GB"/>
        </w:rPr>
        <w:t xml:space="preserve"> is approximately:</w:t>
      </w:r>
    </w:p>
    <w:p w14:paraId="5449DC32" w14:textId="32E20585" w:rsidR="00D53A62" w:rsidRPr="00D53A62" w:rsidRDefault="00000000" w:rsidP="00D53A62">
      <w:pPr>
        <w:rPr>
          <w:lang w:val="en-GB"/>
        </w:rPr>
      </w:pPr>
      <m:oMathPara>
        <m:oMath>
          <m:borderBox>
            <m:borderBoxPr>
              <m:ctrlPr>
                <w:rPr>
                  <w:rFonts w:ascii="Cambria Math" w:hAnsi="Cambria Math"/>
                  <w:lang w:val="en-GB"/>
                </w:rPr>
              </m:ctrlPr>
            </m:borderBoxPr>
            <m:e>
              <m:r>
                <w:rPr>
                  <w:rFonts w:ascii="Cambria Math" w:hAnsi="Cambria Math"/>
                  <w:lang w:val="en-GB"/>
                </w:rPr>
                <m:t>420</m:t>
              </m:r>
              <m:r>
                <m:rPr>
                  <m:nor/>
                </m:rPr>
                <w:rPr>
                  <w:lang w:val="en-GB"/>
                </w:rPr>
                <m:t>–</m:t>
              </m:r>
              <m:r>
                <w:rPr>
                  <w:rFonts w:ascii="Cambria Math" w:hAnsi="Cambria Math"/>
                  <w:lang w:val="en-GB"/>
                </w:rPr>
                <m:t>45</m:t>
              </m:r>
              <m:sSup>
                <m:sSupPr>
                  <m:ctrlPr>
                    <w:rPr>
                      <w:rFonts w:ascii="Cambria Math" w:hAnsi="Cambria Math"/>
                      <w:lang w:val="en-GB"/>
                    </w:rPr>
                  </m:ctrlPr>
                </m:sSupPr>
                <m:e>
                  <m:r>
                    <m:rPr>
                      <m:nor/>
                    </m:rPr>
                    <w:rPr>
                      <w:rFonts w:ascii="Cambria Math"/>
                      <w:lang w:val="en-GB"/>
                    </w:rPr>
                    <m:t>0</m:t>
                  </m:r>
                  <m:r>
                    <m:rPr>
                      <m:nor/>
                    </m:rPr>
                    <w:rPr>
                      <w:lang w:val="en-GB"/>
                    </w:rPr>
                    <m:t xml:space="preserve"> Sv h</m:t>
                  </m:r>
                </m:e>
                <m:sup>
                  <m:r>
                    <w:rPr>
                      <w:rFonts w:ascii="Cambria Math" w:hAnsi="Cambria Math"/>
                      <w:lang w:val="en-GB"/>
                    </w:rPr>
                    <m:t>-1</m:t>
                  </m:r>
                </m:sup>
              </m:sSup>
            </m:e>
          </m:borderBox>
          <m:r>
            <m:rPr>
              <m:sty m:val="p"/>
            </m:rPr>
            <w:rPr>
              <w:lang w:val="en-GB"/>
            </w:rPr>
            <w:br/>
          </m:r>
        </m:oMath>
      </m:oMathPara>
    </w:p>
    <w:p w14:paraId="30914A73" w14:textId="77777777" w:rsidR="00D53A62" w:rsidRPr="00D53A62" w:rsidRDefault="00D53A62" w:rsidP="00D53A62">
      <w:pPr>
        <w:rPr>
          <w:lang w:val="en-GB"/>
        </w:rPr>
      </w:pPr>
      <w:r w:rsidRPr="00D53A62">
        <w:rPr>
          <w:lang w:val="en-GB"/>
        </w:rPr>
        <w:t xml:space="preserve">A good answer should comment that this point-source model is a simplification. The real source is an extended rack, and a more detailed estimate would require source geometry, attenuation and possibly Monte Carlo or segmented-source treatment. For a hand calculation, however, the point-source approximation is acceptable. </w:t>
      </w:r>
    </w:p>
    <w:p w14:paraId="50E1E0EA" w14:textId="77777777" w:rsidR="00D53A62" w:rsidRPr="00D53A62" w:rsidRDefault="00000000" w:rsidP="00D53A62">
      <w:pPr>
        <w:rPr>
          <w:lang w:val="en-GB"/>
        </w:rPr>
      </w:pPr>
      <w:r>
        <w:rPr>
          <w:lang w:val="en-GB"/>
        </w:rPr>
        <w:pict w14:anchorId="090A6E91">
          <v:rect id="_x0000_i1030" style="width:0;height:1.5pt" o:hralign="center" o:hrstd="t" o:hr="t" fillcolor="#a0a0a0" stroked="f"/>
        </w:pict>
      </w:r>
    </w:p>
    <w:p w14:paraId="047E4143" w14:textId="77777777" w:rsidR="00D53A62" w:rsidRPr="00D53A62" w:rsidRDefault="00D53A62" w:rsidP="00D53A62">
      <w:pPr>
        <w:rPr>
          <w:b/>
          <w:bCs/>
          <w:lang w:val="en-GB"/>
        </w:rPr>
      </w:pPr>
      <w:r w:rsidRPr="00D53A62">
        <w:rPr>
          <w:b/>
          <w:bCs/>
          <w:lang w:val="en-GB"/>
        </w:rPr>
        <w:t>2.4 Why a maze entrance is used</w:t>
      </w:r>
    </w:p>
    <w:p w14:paraId="7A9A490E" w14:textId="77777777" w:rsidR="00D53A62" w:rsidRPr="00D53A62" w:rsidRDefault="00D53A62" w:rsidP="00D53A62">
      <w:pPr>
        <w:rPr>
          <w:lang w:val="en-GB"/>
        </w:rPr>
      </w:pPr>
      <w:r w:rsidRPr="00D53A62">
        <w:rPr>
          <w:lang w:val="en-GB"/>
        </w:rPr>
        <w:lastRenderedPageBreak/>
        <w:t xml:space="preserve">A maze entrance is used so that personnel access can be provided </w:t>
      </w:r>
      <w:r w:rsidRPr="00D53A62">
        <w:rPr>
          <w:b/>
          <w:bCs/>
          <w:lang w:val="en-GB"/>
        </w:rPr>
        <w:t>without a direct line of sight</w:t>
      </w:r>
      <w:r w:rsidRPr="00D53A62">
        <w:rPr>
          <w:lang w:val="en-GB"/>
        </w:rPr>
        <w:t xml:space="preserve"> from the high-radiation chamber to the outer door. Each bend in the maze greatly reduces radiation streaming by forcing transmitted radiation to rely mainly on scatter rather than direct penetration. This allows heavy shielding performance to be achieved without requiring a massively shielded straight-through access door.</w:t>
      </w:r>
    </w:p>
    <w:p w14:paraId="0BF19440" w14:textId="77777777" w:rsidR="00D53A62" w:rsidRPr="00D53A62" w:rsidRDefault="00D53A62" w:rsidP="00D53A62">
      <w:pPr>
        <w:rPr>
          <w:lang w:val="en-GB"/>
        </w:rPr>
      </w:pPr>
      <w:r w:rsidRPr="00D53A62">
        <w:rPr>
          <w:lang w:val="en-GB"/>
        </w:rPr>
        <w:t xml:space="preserve">A strong answer may also note that the maze supplements, rather than replaces, the principal shielding systems and interlocks. </w:t>
      </w:r>
    </w:p>
    <w:p w14:paraId="4DD11FF5" w14:textId="77777777" w:rsidR="00D53A62" w:rsidRPr="00D53A62" w:rsidRDefault="00000000" w:rsidP="00D53A62">
      <w:pPr>
        <w:rPr>
          <w:lang w:val="en-GB"/>
        </w:rPr>
      </w:pPr>
      <w:r>
        <w:rPr>
          <w:lang w:val="en-GB"/>
        </w:rPr>
        <w:pict w14:anchorId="70405B75">
          <v:rect id="_x0000_i1031" style="width:0;height:1.5pt" o:hralign="center" o:hrstd="t" o:hr="t" fillcolor="#a0a0a0" stroked="f"/>
        </w:pict>
      </w:r>
    </w:p>
    <w:p w14:paraId="6AC3E97F" w14:textId="77777777" w:rsidR="00D53A62" w:rsidRPr="00D53A62" w:rsidRDefault="00D53A62" w:rsidP="00D53A62">
      <w:pPr>
        <w:rPr>
          <w:b/>
          <w:bCs/>
          <w:lang w:val="en-GB"/>
        </w:rPr>
      </w:pPr>
      <w:r w:rsidRPr="00D53A62">
        <w:rPr>
          <w:b/>
          <w:bCs/>
          <w:lang w:val="en-GB"/>
        </w:rPr>
        <w:t>2.5 Dose rate at 2 m accounting for 1.0 m water shielding</w:t>
      </w:r>
    </w:p>
    <w:p w14:paraId="78E191C3" w14:textId="77777777" w:rsidR="00D53A62" w:rsidRPr="00D53A62" w:rsidRDefault="00D53A62" w:rsidP="00D53A62">
      <w:pPr>
        <w:rPr>
          <w:lang w:val="en-GB"/>
        </w:rPr>
      </w:pPr>
      <w:r w:rsidRPr="00D53A62">
        <w:rPr>
          <w:lang w:val="en-GB"/>
        </w:rPr>
        <w:t xml:space="preserve">The dossier states that for most of the exposure there was approximately 1.0 m of intervening water between the source and the technician, and that the half-value layer (HVL) in water for Co-60 gamma radiation may be taken as 0.23 m. </w:t>
      </w:r>
    </w:p>
    <w:p w14:paraId="00A1E3E0" w14:textId="77777777" w:rsidR="00D53A62" w:rsidRPr="00D53A62" w:rsidRDefault="00D53A62" w:rsidP="00D53A62">
      <w:pPr>
        <w:rPr>
          <w:lang w:val="en-GB"/>
        </w:rPr>
      </w:pPr>
      <w:r w:rsidRPr="00D53A62">
        <w:rPr>
          <w:lang w:val="en-GB"/>
        </w:rPr>
        <w:t>Number of HVLs:</w:t>
      </w:r>
    </w:p>
    <w:p w14:paraId="5DAFA991" w14:textId="6091A457" w:rsidR="00D53A62" w:rsidRPr="00D53A62" w:rsidRDefault="00D53A62" w:rsidP="00D53A62">
      <w:pPr>
        <w:rPr>
          <w:lang w:val="en-GB"/>
        </w:rPr>
      </w:pPr>
      <m:oMathPara>
        <m:oMath>
          <m:r>
            <w:rPr>
              <w:rFonts w:ascii="Cambria Math" w:hAnsi="Cambria Math"/>
              <w:lang w:val="en-GB"/>
            </w:rPr>
            <m:t>n=</m:t>
          </m:r>
          <m:f>
            <m:fPr>
              <m:ctrlPr>
                <w:rPr>
                  <w:rFonts w:ascii="Cambria Math" w:hAnsi="Cambria Math"/>
                  <w:lang w:val="en-GB"/>
                </w:rPr>
              </m:ctrlPr>
            </m:fPr>
            <m:num>
              <m:r>
                <w:rPr>
                  <w:rFonts w:ascii="Cambria Math" w:hAnsi="Cambria Math"/>
                  <w:lang w:val="en-GB"/>
                </w:rPr>
                <m:t>1.0</m:t>
              </m:r>
            </m:num>
            <m:den>
              <m:r>
                <w:rPr>
                  <w:rFonts w:ascii="Cambria Math" w:hAnsi="Cambria Math"/>
                  <w:lang w:val="en-GB"/>
                </w:rPr>
                <m:t>0.23</m:t>
              </m:r>
            </m:den>
          </m:f>
          <m:r>
            <w:rPr>
              <w:rFonts w:ascii="Cambria Math" w:hAnsi="Cambria Math"/>
              <w:lang w:val="en-GB"/>
            </w:rPr>
            <m:t>≈4.35</m:t>
          </m:r>
          <m:r>
            <m:rPr>
              <m:sty m:val="p"/>
            </m:rPr>
            <w:rPr>
              <w:lang w:val="en-GB"/>
            </w:rPr>
            <w:br/>
          </m:r>
        </m:oMath>
      </m:oMathPara>
    </w:p>
    <w:p w14:paraId="37090B6D" w14:textId="77777777" w:rsidR="00D53A62" w:rsidRPr="00D53A62" w:rsidRDefault="00D53A62" w:rsidP="00D53A62">
      <w:pPr>
        <w:rPr>
          <w:lang w:val="en-GB"/>
        </w:rPr>
      </w:pPr>
      <w:r w:rsidRPr="00D53A62">
        <w:rPr>
          <w:lang w:val="en-GB"/>
        </w:rPr>
        <w:t>Attenuation factor:</w:t>
      </w:r>
    </w:p>
    <w:p w14:paraId="71081B2D" w14:textId="4648B7D8" w:rsidR="00D53A62" w:rsidRPr="00D53A62" w:rsidRDefault="00D53A62" w:rsidP="00D53A62">
      <w:pPr>
        <w:rPr>
          <w:lang w:val="en-GB"/>
        </w:rPr>
      </w:pPr>
      <m:oMathPara>
        <m:oMath>
          <m:r>
            <m:rPr>
              <m:nor/>
            </m:rPr>
            <w:rPr>
              <w:lang w:val="en-GB"/>
            </w:rPr>
            <m:t>Reduction factor</m:t>
          </m:r>
          <m:r>
            <w:rPr>
              <w:rFonts w:ascii="Cambria Math" w:hAnsi="Cambria Math"/>
              <w:lang w:val="en-GB"/>
            </w:rPr>
            <m:t>=</m:t>
          </m:r>
          <m:sSup>
            <m:sSupPr>
              <m:ctrlPr>
                <w:rPr>
                  <w:rFonts w:ascii="Cambria Math" w:hAnsi="Cambria Math"/>
                  <w:lang w:val="en-GB"/>
                </w:rPr>
              </m:ctrlPr>
            </m:sSupPr>
            <m:e>
              <m:r>
                <w:rPr>
                  <w:rFonts w:ascii="Cambria Math" w:hAnsi="Cambria Math"/>
                  <w:lang w:val="en-GB"/>
                </w:rPr>
                <m:t>2</m:t>
              </m:r>
            </m:e>
            <m:sup>
              <m:r>
                <w:rPr>
                  <w:rFonts w:ascii="Cambria Math" w:hAnsi="Cambria Math"/>
                  <w:lang w:val="en-GB"/>
                </w:rPr>
                <m:t>4.35</m:t>
              </m:r>
            </m:sup>
          </m:sSup>
          <m:r>
            <w:rPr>
              <w:rFonts w:ascii="Cambria Math" w:hAnsi="Cambria Math"/>
              <w:lang w:val="en-GB"/>
            </w:rPr>
            <m:t>≈20.4</m:t>
          </m:r>
          <m:r>
            <m:rPr>
              <m:sty m:val="p"/>
            </m:rPr>
            <w:rPr>
              <w:lang w:val="en-GB"/>
            </w:rPr>
            <w:br/>
          </m:r>
        </m:oMath>
      </m:oMathPara>
    </w:p>
    <w:p w14:paraId="5F079198" w14:textId="77777777" w:rsidR="00D53A62" w:rsidRPr="00D53A62" w:rsidRDefault="00D53A62" w:rsidP="00D53A62">
      <w:pPr>
        <w:rPr>
          <w:lang w:val="en-GB"/>
        </w:rPr>
      </w:pPr>
      <w:r w:rsidRPr="00D53A62">
        <w:rPr>
          <w:lang w:val="en-GB"/>
        </w:rPr>
        <w:t>So the transmitted fraction is approximately:</w:t>
      </w:r>
    </w:p>
    <w:p w14:paraId="406964FC" w14:textId="5CBD6371" w:rsidR="00D53A62" w:rsidRPr="00D53A62" w:rsidRDefault="00000000" w:rsidP="00D53A62">
      <w:pPr>
        <w:rPr>
          <w:lang w:val="en-GB"/>
        </w:rPr>
      </w:pPr>
      <m:oMathPara>
        <m:oMath>
          <m:f>
            <m:fPr>
              <m:ctrlPr>
                <w:rPr>
                  <w:rFonts w:ascii="Cambria Math" w:hAnsi="Cambria Math"/>
                  <w:lang w:val="en-GB"/>
                </w:rPr>
              </m:ctrlPr>
            </m:fPr>
            <m:num>
              <m:r>
                <w:rPr>
                  <w:rFonts w:ascii="Cambria Math" w:hAnsi="Cambria Math"/>
                  <w:lang w:val="en-GB"/>
                </w:rPr>
                <m:t>1</m:t>
              </m:r>
            </m:num>
            <m:den>
              <m:r>
                <w:rPr>
                  <w:rFonts w:ascii="Cambria Math" w:hAnsi="Cambria Math"/>
                  <w:lang w:val="en-GB"/>
                </w:rPr>
                <m:t>20.4</m:t>
              </m:r>
            </m:den>
          </m:f>
          <m:r>
            <w:rPr>
              <w:rFonts w:ascii="Cambria Math" w:hAnsi="Cambria Math"/>
              <w:lang w:val="en-GB"/>
            </w:rPr>
            <m:t>≈0.049</m:t>
          </m:r>
          <m:r>
            <m:rPr>
              <m:sty m:val="p"/>
            </m:rPr>
            <w:rPr>
              <w:lang w:val="en-GB"/>
            </w:rPr>
            <w:br/>
          </m:r>
        </m:oMath>
      </m:oMathPara>
    </w:p>
    <w:p w14:paraId="2653FF8D" w14:textId="77777777" w:rsidR="00D53A62" w:rsidRPr="00D53A62" w:rsidRDefault="00D53A62" w:rsidP="00D53A62">
      <w:pPr>
        <w:rPr>
          <w:lang w:val="en-GB"/>
        </w:rPr>
      </w:pPr>
      <w:r w:rsidRPr="00D53A62">
        <w:rPr>
          <w:lang w:val="en-GB"/>
        </w:rPr>
        <w:t>Hence the shielded dose rate is:</w:t>
      </w:r>
    </w:p>
    <w:p w14:paraId="7F7F7C31" w14:textId="7343E206" w:rsidR="00D53A62" w:rsidRPr="00D53A62" w:rsidRDefault="00000000" w:rsidP="00D53A62">
      <w:pPr>
        <w:rPr>
          <w:lang w:val="en-GB"/>
        </w:rPr>
      </w:pPr>
      <m:oMathPara>
        <m:oMath>
          <m:sSub>
            <m:sSubPr>
              <m:ctrlPr>
                <w:rPr>
                  <w:rFonts w:ascii="Cambria Math" w:hAnsi="Cambria Math"/>
                  <w:lang w:val="en-GB"/>
                </w:rPr>
              </m:ctrlPr>
            </m:sSubPr>
            <m:e>
              <m:acc>
                <m:accPr>
                  <m:chr m:val="̇"/>
                  <m:ctrlPr>
                    <w:rPr>
                      <w:rFonts w:ascii="Cambria Math" w:hAnsi="Cambria Math"/>
                      <w:lang w:val="en-GB"/>
                    </w:rPr>
                  </m:ctrlPr>
                </m:accPr>
                <m:e>
                  <m:r>
                    <w:rPr>
                      <w:rFonts w:ascii="Cambria Math" w:hAnsi="Cambria Math"/>
                      <w:lang w:val="en-GB"/>
                    </w:rPr>
                    <m:t>D</m:t>
                  </m:r>
                </m:e>
              </m:acc>
            </m:e>
            <m:sub>
              <m:r>
                <m:rPr>
                  <m:nor/>
                </m:rPr>
                <w:rPr>
                  <w:lang w:val="en-GB"/>
                </w:rPr>
                <m:t>shielded</m:t>
              </m:r>
            </m:sub>
          </m:sSub>
          <m:r>
            <w:rPr>
              <w:rFonts w:ascii="Cambria Math" w:hAnsi="Cambria Math"/>
              <w:lang w:val="en-GB"/>
            </w:rPr>
            <m:t>≈</m:t>
          </m:r>
          <m:f>
            <m:fPr>
              <m:ctrlPr>
                <w:rPr>
                  <w:rFonts w:ascii="Cambria Math" w:hAnsi="Cambria Math"/>
                  <w:lang w:val="en-GB"/>
                </w:rPr>
              </m:ctrlPr>
            </m:fPr>
            <m:num>
              <m:r>
                <w:rPr>
                  <w:rFonts w:ascii="Cambria Math" w:hAnsi="Cambria Math"/>
                  <w:lang w:val="en-GB"/>
                </w:rPr>
                <m:t>430</m:t>
              </m:r>
            </m:num>
            <m:den>
              <m:r>
                <w:rPr>
                  <w:rFonts w:ascii="Cambria Math" w:hAnsi="Cambria Math"/>
                  <w:lang w:val="en-GB"/>
                </w:rPr>
                <m:t>20.4</m:t>
              </m:r>
            </m:den>
          </m:f>
          <m:r>
            <w:rPr>
              <w:rFonts w:ascii="Cambria Math" w:hAnsi="Cambria Math"/>
              <w:lang w:val="en-GB"/>
            </w:rPr>
            <m:t>≈21</m:t>
          </m:r>
          <m:sSup>
            <m:sSupPr>
              <m:ctrlPr>
                <w:rPr>
                  <w:rFonts w:ascii="Cambria Math" w:hAnsi="Cambria Math"/>
                  <w:lang w:val="en-GB"/>
                </w:rPr>
              </m:ctrlPr>
            </m:sSupPr>
            <m:e>
              <m:r>
                <m:rPr>
                  <m:nor/>
                </m:rPr>
                <w:rPr>
                  <w:lang w:val="en-GB"/>
                </w:rPr>
                <m:t xml:space="preserve"> Sv h</m:t>
              </m:r>
            </m:e>
            <m:sup>
              <m:r>
                <w:rPr>
                  <w:rFonts w:ascii="Cambria Math" w:hAnsi="Cambria Math"/>
                  <w:lang w:val="en-GB"/>
                </w:rPr>
                <m:t>-1</m:t>
              </m:r>
            </m:sup>
          </m:sSup>
          <m:r>
            <m:rPr>
              <m:sty m:val="p"/>
            </m:rPr>
            <w:rPr>
              <w:lang w:val="en-GB"/>
            </w:rPr>
            <w:br/>
          </m:r>
        </m:oMath>
      </m:oMathPara>
    </w:p>
    <w:p w14:paraId="58CC57F0" w14:textId="1E6F4DCA" w:rsidR="00D53A62" w:rsidRPr="00D53A62" w:rsidRDefault="00864911" w:rsidP="00D53A62">
      <w:pPr>
        <w:rPr>
          <w:lang w:val="en-GB"/>
        </w:rPr>
      </w:pPr>
      <w:r w:rsidRPr="00D53A62">
        <w:rPr>
          <w:lang w:val="en-GB"/>
        </w:rPr>
        <w:t>So,</w:t>
      </w:r>
      <w:r w:rsidR="00D53A62" w:rsidRPr="00D53A62">
        <w:rPr>
          <w:lang w:val="en-GB"/>
        </w:rPr>
        <w:t xml:space="preserve"> a reasonable hand-calculated shielded dose rate is:</w:t>
      </w:r>
    </w:p>
    <w:p w14:paraId="32568102" w14:textId="39F7126C" w:rsidR="00D53A62" w:rsidRPr="00D53A62" w:rsidRDefault="00000000" w:rsidP="00D53A62">
      <w:pPr>
        <w:rPr>
          <w:lang w:val="en-GB"/>
        </w:rPr>
      </w:pPr>
      <m:oMathPara>
        <m:oMath>
          <m:borderBox>
            <m:borderBoxPr>
              <m:ctrlPr>
                <w:rPr>
                  <w:rFonts w:ascii="Cambria Math" w:hAnsi="Cambria Math"/>
                  <w:lang w:val="en-GB"/>
                </w:rPr>
              </m:ctrlPr>
            </m:borderBoxPr>
            <m:e>
              <m:r>
                <w:rPr>
                  <w:rFonts w:ascii="Cambria Math" w:hAnsi="Cambria Math"/>
                  <w:lang w:val="en-GB"/>
                </w:rPr>
                <m:t>21</m:t>
              </m:r>
              <m:r>
                <m:rPr>
                  <m:nor/>
                </m:rPr>
                <w:rPr>
                  <w:lang w:val="en-GB"/>
                </w:rPr>
                <m:t>–</m:t>
              </m:r>
              <m:r>
                <w:rPr>
                  <w:rFonts w:ascii="Cambria Math" w:hAnsi="Cambria Math"/>
                  <w:lang w:val="en-GB"/>
                </w:rPr>
                <m:t>23</m:t>
              </m:r>
              <m:sSup>
                <m:sSupPr>
                  <m:ctrlPr>
                    <w:rPr>
                      <w:rFonts w:ascii="Cambria Math" w:hAnsi="Cambria Math"/>
                      <w:lang w:val="en-GB"/>
                    </w:rPr>
                  </m:ctrlPr>
                </m:sSupPr>
                <m:e>
                  <m:r>
                    <m:rPr>
                      <m:nor/>
                    </m:rPr>
                    <w:rPr>
                      <w:lang w:val="en-GB"/>
                    </w:rPr>
                    <m:t xml:space="preserve"> Sv h</m:t>
                  </m:r>
                </m:e>
                <m:sup>
                  <m:r>
                    <w:rPr>
                      <w:rFonts w:ascii="Cambria Math" w:hAnsi="Cambria Math"/>
                      <w:lang w:val="en-GB"/>
                    </w:rPr>
                    <m:t>-1</m:t>
                  </m:r>
                </m:sup>
              </m:sSup>
            </m:e>
          </m:borderBox>
          <m:r>
            <m:rPr>
              <m:sty m:val="p"/>
            </m:rPr>
            <w:rPr>
              <w:lang w:val="en-GB"/>
            </w:rPr>
            <w:br/>
          </m:r>
        </m:oMath>
      </m:oMathPara>
    </w:p>
    <w:p w14:paraId="3B9FF601" w14:textId="568A7A1F" w:rsidR="00D53A62" w:rsidRPr="00D53A62" w:rsidRDefault="00D53A62" w:rsidP="00D53A62">
      <w:pPr>
        <w:rPr>
          <w:lang w:val="en-GB"/>
        </w:rPr>
      </w:pPr>
      <w:r w:rsidRPr="00D53A62">
        <w:rPr>
          <w:lang w:val="en-GB"/>
        </w:rPr>
        <w:t xml:space="preserve">This is in good agreement with the recorded </w:t>
      </w:r>
      <w:r w:rsidRPr="00D53A62">
        <w:rPr>
          <w:b/>
          <w:bCs/>
          <w:lang w:val="en-GB"/>
        </w:rPr>
        <w:t>EPD peak dose rate of 24 Sv h</w:t>
      </w:r>
      <w:r w:rsidRPr="00D53A62">
        <w:rPr>
          <w:rFonts w:ascii="Cambria Math" w:hAnsi="Cambria Math" w:cs="Cambria Math"/>
          <w:b/>
          <w:bCs/>
          <w:lang w:val="en-GB"/>
        </w:rPr>
        <w:t>⁻</w:t>
      </w:r>
      <w:r w:rsidRPr="00D53A62">
        <w:rPr>
          <w:rFonts w:cs="Arial"/>
          <w:b/>
          <w:bCs/>
          <w:lang w:val="en-GB"/>
        </w:rPr>
        <w:t>¹</w:t>
      </w:r>
      <w:r w:rsidRPr="00D53A62">
        <w:rPr>
          <w:lang w:val="en-GB"/>
        </w:rPr>
        <w:t xml:space="preserve">, which strongly supports the validity of the reconstruction. </w:t>
      </w:r>
    </w:p>
    <w:p w14:paraId="02AD5AC2" w14:textId="77777777" w:rsidR="00D53A62" w:rsidRPr="00D53A62" w:rsidRDefault="00000000" w:rsidP="00D53A62">
      <w:pPr>
        <w:rPr>
          <w:lang w:val="en-GB"/>
        </w:rPr>
      </w:pPr>
      <w:r>
        <w:rPr>
          <w:lang w:val="en-GB"/>
        </w:rPr>
        <w:pict w14:anchorId="70018CD7">
          <v:rect id="_x0000_i1032" style="width:0;height:1.5pt" o:hralign="center" o:hrstd="t" o:hr="t" fillcolor="#a0a0a0" stroked="f"/>
        </w:pict>
      </w:r>
    </w:p>
    <w:p w14:paraId="4F7F8883" w14:textId="77777777" w:rsidR="00D53A62" w:rsidRPr="00D53A62" w:rsidRDefault="00D53A62" w:rsidP="00D53A62">
      <w:pPr>
        <w:rPr>
          <w:b/>
          <w:bCs/>
          <w:lang w:val="en-GB"/>
        </w:rPr>
      </w:pPr>
      <w:r w:rsidRPr="00D53A62">
        <w:rPr>
          <w:b/>
          <w:bCs/>
          <w:lang w:val="en-GB"/>
        </w:rPr>
        <w:lastRenderedPageBreak/>
        <w:t>2.6 Estimated effective dose</w:t>
      </w:r>
    </w:p>
    <w:p w14:paraId="6AA4E0BB" w14:textId="77777777" w:rsidR="00D53A62" w:rsidRPr="00D53A62" w:rsidRDefault="00D53A62" w:rsidP="00D53A62">
      <w:pPr>
        <w:rPr>
          <w:lang w:val="en-GB"/>
        </w:rPr>
      </w:pPr>
      <w:r w:rsidRPr="00D53A62">
        <w:rPr>
          <w:lang w:val="en-GB"/>
        </w:rPr>
        <w:t xml:space="preserve">The RPA reconstruction states that the technician remained inside for approximately 45–75 s, at approximately 2.0 m from the effective source position, with approximately 1.0 m water shielding for most of the exposure. </w:t>
      </w:r>
    </w:p>
    <w:p w14:paraId="524E604A" w14:textId="57B66E66" w:rsidR="00D53A62" w:rsidRPr="00D53A62" w:rsidRDefault="00D53A62" w:rsidP="00D53A62">
      <w:pPr>
        <w:rPr>
          <w:lang w:val="en-GB"/>
        </w:rPr>
      </w:pPr>
      <w:r w:rsidRPr="00D53A62">
        <w:rPr>
          <w:lang w:val="en-GB"/>
        </w:rPr>
        <w:t>Using the shielded dose rate of about 21 Sv h</w:t>
      </w:r>
      <w:r w:rsidRPr="00D53A62">
        <w:rPr>
          <w:rFonts w:ascii="Cambria Math" w:hAnsi="Cambria Math" w:cs="Cambria Math"/>
          <w:lang w:val="en-GB"/>
        </w:rPr>
        <w:t>⁻</w:t>
      </w:r>
      <w:r w:rsidRPr="00D53A62">
        <w:rPr>
          <w:rFonts w:cs="Arial"/>
          <w:lang w:val="en-GB"/>
        </w:rPr>
        <w:t>¹</w:t>
      </w:r>
      <w:r w:rsidRPr="00D53A62">
        <w:rPr>
          <w:lang w:val="en-GB"/>
        </w:rPr>
        <w:t>:</w:t>
      </w:r>
    </w:p>
    <w:p w14:paraId="23D0E87A" w14:textId="77777777" w:rsidR="00D53A62" w:rsidRPr="00D53A62" w:rsidRDefault="00D53A62" w:rsidP="00D53A62">
      <w:pPr>
        <w:rPr>
          <w:lang w:val="en-GB"/>
        </w:rPr>
      </w:pPr>
      <w:r w:rsidRPr="00D53A62">
        <w:rPr>
          <w:lang w:val="en-GB"/>
        </w:rPr>
        <w:t>For 45 s:</w:t>
      </w:r>
    </w:p>
    <w:p w14:paraId="207351E3" w14:textId="28BCEEDF" w:rsidR="00D53A62" w:rsidRPr="00D53A62" w:rsidRDefault="00D53A62" w:rsidP="00D53A62">
      <w:pPr>
        <w:rPr>
          <w:lang w:val="en-GB"/>
        </w:rPr>
      </w:pPr>
      <m:oMathPara>
        <m:oMath>
          <m:r>
            <w:rPr>
              <w:rFonts w:ascii="Cambria Math" w:hAnsi="Cambria Math"/>
              <w:lang w:val="en-GB"/>
            </w:rPr>
            <m:t>D=21×</m:t>
          </m:r>
          <m:f>
            <m:fPr>
              <m:ctrlPr>
                <w:rPr>
                  <w:rFonts w:ascii="Cambria Math" w:hAnsi="Cambria Math"/>
                  <w:lang w:val="en-GB"/>
                </w:rPr>
              </m:ctrlPr>
            </m:fPr>
            <m:num>
              <m:r>
                <w:rPr>
                  <w:rFonts w:ascii="Cambria Math" w:hAnsi="Cambria Math"/>
                  <w:lang w:val="en-GB"/>
                </w:rPr>
                <m:t>45</m:t>
              </m:r>
            </m:num>
            <m:den>
              <m:r>
                <w:rPr>
                  <w:rFonts w:ascii="Cambria Math" w:hAnsi="Cambria Math"/>
                  <w:lang w:val="en-GB"/>
                </w:rPr>
                <m:t>3600</m:t>
              </m:r>
            </m:den>
          </m:f>
          <m:r>
            <w:rPr>
              <w:rFonts w:ascii="Cambria Math" w:hAnsi="Cambria Math"/>
              <w:lang w:val="en-GB"/>
            </w:rPr>
            <m:t>≈0.26</m:t>
          </m:r>
          <m:r>
            <m:rPr>
              <m:nor/>
            </m:rPr>
            <w:rPr>
              <w:lang w:val="en-GB"/>
            </w:rPr>
            <m:t xml:space="preserve"> Sv</m:t>
          </m:r>
          <m:r>
            <w:rPr>
              <w:rFonts w:ascii="Cambria Math" w:hAnsi="Cambria Math"/>
              <w:lang w:val="en-GB"/>
            </w:rPr>
            <m:t>=260</m:t>
          </m:r>
          <m:r>
            <m:rPr>
              <m:nor/>
            </m:rPr>
            <w:rPr>
              <w:lang w:val="en-GB"/>
            </w:rPr>
            <m:t xml:space="preserve"> mSv</m:t>
          </m:r>
          <m:r>
            <m:rPr>
              <m:sty m:val="p"/>
            </m:rPr>
            <w:rPr>
              <w:lang w:val="en-GB"/>
            </w:rPr>
            <w:br/>
          </m:r>
        </m:oMath>
      </m:oMathPara>
    </w:p>
    <w:p w14:paraId="03192279" w14:textId="77777777" w:rsidR="00D53A62" w:rsidRPr="00D53A62" w:rsidRDefault="00D53A62" w:rsidP="00D53A62">
      <w:pPr>
        <w:rPr>
          <w:lang w:val="en-GB"/>
        </w:rPr>
      </w:pPr>
      <w:r w:rsidRPr="00D53A62">
        <w:rPr>
          <w:lang w:val="en-GB"/>
        </w:rPr>
        <w:t>For 75 s:</w:t>
      </w:r>
    </w:p>
    <w:p w14:paraId="764C277D" w14:textId="7324B6F4" w:rsidR="00D53A62" w:rsidRPr="00D53A62" w:rsidRDefault="00D53A62" w:rsidP="00D53A62">
      <w:pPr>
        <w:rPr>
          <w:lang w:val="en-GB"/>
        </w:rPr>
      </w:pPr>
      <m:oMathPara>
        <m:oMath>
          <m:r>
            <w:rPr>
              <w:rFonts w:ascii="Cambria Math" w:hAnsi="Cambria Math"/>
              <w:lang w:val="en-GB"/>
            </w:rPr>
            <m:t>D=21×</m:t>
          </m:r>
          <m:f>
            <m:fPr>
              <m:ctrlPr>
                <w:rPr>
                  <w:rFonts w:ascii="Cambria Math" w:hAnsi="Cambria Math"/>
                  <w:lang w:val="en-GB"/>
                </w:rPr>
              </m:ctrlPr>
            </m:fPr>
            <m:num>
              <m:r>
                <w:rPr>
                  <w:rFonts w:ascii="Cambria Math" w:hAnsi="Cambria Math"/>
                  <w:lang w:val="en-GB"/>
                </w:rPr>
                <m:t>75</m:t>
              </m:r>
            </m:num>
            <m:den>
              <m:r>
                <w:rPr>
                  <w:rFonts w:ascii="Cambria Math" w:hAnsi="Cambria Math"/>
                  <w:lang w:val="en-GB"/>
                </w:rPr>
                <m:t>3600</m:t>
              </m:r>
            </m:den>
          </m:f>
          <m:r>
            <w:rPr>
              <w:rFonts w:ascii="Cambria Math" w:hAnsi="Cambria Math"/>
              <w:lang w:val="en-GB"/>
            </w:rPr>
            <m:t>≈0.44</m:t>
          </m:r>
          <m:r>
            <m:rPr>
              <m:nor/>
            </m:rPr>
            <w:rPr>
              <w:lang w:val="en-GB"/>
            </w:rPr>
            <m:t xml:space="preserve"> Sv</m:t>
          </m:r>
          <m:r>
            <w:rPr>
              <w:rFonts w:ascii="Cambria Math" w:hAnsi="Cambria Math"/>
              <w:lang w:val="en-GB"/>
            </w:rPr>
            <m:t>=440</m:t>
          </m:r>
          <m:r>
            <m:rPr>
              <m:nor/>
            </m:rPr>
            <w:rPr>
              <w:lang w:val="en-GB"/>
            </w:rPr>
            <m:t xml:space="preserve"> mSv</m:t>
          </m:r>
          <m:r>
            <m:rPr>
              <m:sty m:val="p"/>
            </m:rPr>
            <w:rPr>
              <w:lang w:val="en-GB"/>
            </w:rPr>
            <w:br/>
          </m:r>
        </m:oMath>
      </m:oMathPara>
    </w:p>
    <w:p w14:paraId="6293D4B5" w14:textId="63E791A7" w:rsidR="00D53A62" w:rsidRPr="00D53A62" w:rsidRDefault="00D53A62" w:rsidP="00D53A62">
      <w:pPr>
        <w:rPr>
          <w:lang w:val="en-GB"/>
        </w:rPr>
      </w:pPr>
      <w:r w:rsidRPr="00D53A62">
        <w:rPr>
          <w:lang w:val="en-GB"/>
        </w:rPr>
        <w:t>So</w:t>
      </w:r>
      <w:r w:rsidR="00374F61">
        <w:rPr>
          <w:lang w:val="en-GB"/>
        </w:rPr>
        <w:t>,</w:t>
      </w:r>
      <w:r w:rsidRPr="00D53A62">
        <w:rPr>
          <w:lang w:val="en-GB"/>
        </w:rPr>
        <w:t xml:space="preserve"> a reasonable dose band is:</w:t>
      </w:r>
    </w:p>
    <w:p w14:paraId="5C53FCB1" w14:textId="031BFDE3" w:rsidR="00D53A62" w:rsidRPr="00D53A62" w:rsidRDefault="00000000" w:rsidP="00D53A62">
      <w:pPr>
        <w:rPr>
          <w:lang w:val="en-GB"/>
        </w:rPr>
      </w:pPr>
      <m:oMathPara>
        <m:oMath>
          <m:borderBox>
            <m:borderBoxPr>
              <m:ctrlPr>
                <w:rPr>
                  <w:rFonts w:ascii="Cambria Math" w:hAnsi="Cambria Math"/>
                  <w:lang w:val="en-GB"/>
                </w:rPr>
              </m:ctrlPr>
            </m:borderBoxPr>
            <m:e>
              <m:r>
                <w:rPr>
                  <w:rFonts w:ascii="Cambria Math" w:hAnsi="Cambria Math"/>
                  <w:lang w:val="en-GB"/>
                </w:rPr>
                <m:t>260</m:t>
              </m:r>
              <m:r>
                <m:rPr>
                  <m:nor/>
                </m:rPr>
                <w:rPr>
                  <w:lang w:val="en-GB"/>
                </w:rPr>
                <m:t>–</m:t>
              </m:r>
              <m:r>
                <w:rPr>
                  <w:rFonts w:ascii="Cambria Math" w:hAnsi="Cambria Math"/>
                  <w:lang w:val="en-GB"/>
                </w:rPr>
                <m:t>470</m:t>
              </m:r>
              <m:r>
                <m:rPr>
                  <m:nor/>
                </m:rPr>
                <w:rPr>
                  <w:lang w:val="en-GB"/>
                </w:rPr>
                <m:t xml:space="preserve"> mSv</m:t>
              </m:r>
            </m:e>
          </m:borderBox>
          <m:r>
            <m:rPr>
              <m:sty m:val="p"/>
            </m:rPr>
            <w:rPr>
              <w:lang w:val="en-GB"/>
            </w:rPr>
            <w:br/>
          </m:r>
        </m:oMath>
      </m:oMathPara>
    </w:p>
    <w:p w14:paraId="1D120372" w14:textId="77777777" w:rsidR="00D53A62" w:rsidRPr="00D53A62" w:rsidRDefault="00D53A62" w:rsidP="00D53A62">
      <w:pPr>
        <w:rPr>
          <w:lang w:val="en-GB"/>
        </w:rPr>
      </w:pPr>
      <w:r w:rsidRPr="00D53A62">
        <w:rPr>
          <w:lang w:val="en-GB"/>
        </w:rPr>
        <w:t>A representative central estimate, using for example 60 s exposure, is:</w:t>
      </w:r>
    </w:p>
    <w:p w14:paraId="571AEA87" w14:textId="5B6FFEAD" w:rsidR="00D53A62" w:rsidRPr="00D53A62" w:rsidRDefault="00D53A62" w:rsidP="00D53A62">
      <w:pPr>
        <w:rPr>
          <w:lang w:val="en-GB"/>
        </w:rPr>
      </w:pPr>
      <m:oMathPara>
        <m:oMath>
          <m:r>
            <w:rPr>
              <w:rFonts w:ascii="Cambria Math" w:hAnsi="Cambria Math"/>
              <w:lang w:val="en-GB"/>
            </w:rPr>
            <m:t>D=21×</m:t>
          </m:r>
          <m:f>
            <m:fPr>
              <m:ctrlPr>
                <w:rPr>
                  <w:rFonts w:ascii="Cambria Math" w:hAnsi="Cambria Math"/>
                  <w:lang w:val="en-GB"/>
                </w:rPr>
              </m:ctrlPr>
            </m:fPr>
            <m:num>
              <m:r>
                <w:rPr>
                  <w:rFonts w:ascii="Cambria Math" w:hAnsi="Cambria Math"/>
                  <w:lang w:val="en-GB"/>
                </w:rPr>
                <m:t>60</m:t>
              </m:r>
            </m:num>
            <m:den>
              <m:r>
                <w:rPr>
                  <w:rFonts w:ascii="Cambria Math" w:hAnsi="Cambria Math"/>
                  <w:lang w:val="en-GB"/>
                </w:rPr>
                <m:t>3600</m:t>
              </m:r>
            </m:den>
          </m:f>
          <m:r>
            <w:rPr>
              <w:rFonts w:ascii="Cambria Math" w:hAnsi="Cambria Math"/>
              <w:lang w:val="en-GB"/>
            </w:rPr>
            <m:t>≈350</m:t>
          </m:r>
          <m:r>
            <m:rPr>
              <m:nor/>
            </m:rPr>
            <w:rPr>
              <w:lang w:val="en-GB"/>
            </w:rPr>
            <m:t xml:space="preserve"> mSv</m:t>
          </m:r>
          <m:r>
            <m:rPr>
              <m:sty m:val="p"/>
            </m:rPr>
            <w:rPr>
              <w:lang w:val="en-GB"/>
            </w:rPr>
            <w:br/>
          </m:r>
        </m:oMath>
      </m:oMathPara>
    </w:p>
    <w:p w14:paraId="3EA42D23" w14:textId="0D46FADE" w:rsidR="00D53A62" w:rsidRPr="00D53A62" w:rsidRDefault="00DF07FF" w:rsidP="00D53A62">
      <w:pPr>
        <w:rPr>
          <w:lang w:val="en-GB"/>
        </w:rPr>
      </w:pPr>
      <w:r w:rsidRPr="00D53A62">
        <w:rPr>
          <w:lang w:val="en-GB"/>
        </w:rPr>
        <w:t>So,</w:t>
      </w:r>
      <w:r w:rsidR="00D53A62" w:rsidRPr="00D53A62">
        <w:rPr>
          <w:lang w:val="en-GB"/>
        </w:rPr>
        <w:t xml:space="preserve"> a useful central value is approximately:</w:t>
      </w:r>
    </w:p>
    <w:p w14:paraId="3B64675D" w14:textId="347D3477" w:rsidR="00D53A62" w:rsidRPr="00D53A62" w:rsidRDefault="00000000" w:rsidP="00D53A62">
      <w:pPr>
        <w:rPr>
          <w:lang w:val="en-GB"/>
        </w:rPr>
      </w:pPr>
      <m:oMathPara>
        <m:oMath>
          <m:borderBox>
            <m:borderBoxPr>
              <m:ctrlPr>
                <w:rPr>
                  <w:rFonts w:ascii="Cambria Math" w:hAnsi="Cambria Math"/>
                  <w:lang w:val="en-GB"/>
                </w:rPr>
              </m:ctrlPr>
            </m:borderBoxPr>
            <m:e>
              <m:r>
                <w:rPr>
                  <w:rFonts w:ascii="Cambria Math" w:hAnsi="Cambria Math"/>
                  <w:lang w:val="en-GB"/>
                </w:rPr>
                <m:t>350</m:t>
              </m:r>
              <m:r>
                <m:rPr>
                  <m:nor/>
                </m:rPr>
                <w:rPr>
                  <w:lang w:val="en-GB"/>
                </w:rPr>
                <m:t>–</m:t>
              </m:r>
              <m:r>
                <w:rPr>
                  <w:rFonts w:ascii="Cambria Math" w:hAnsi="Cambria Math"/>
                  <w:lang w:val="en-GB"/>
                </w:rPr>
                <m:t>380</m:t>
              </m:r>
              <m:r>
                <m:rPr>
                  <m:nor/>
                </m:rPr>
                <w:rPr>
                  <w:lang w:val="en-GB"/>
                </w:rPr>
                <m:t xml:space="preserve"> mSv</m:t>
              </m:r>
            </m:e>
          </m:borderBox>
          <m:r>
            <m:rPr>
              <m:sty m:val="p"/>
            </m:rPr>
            <w:rPr>
              <w:lang w:val="en-GB"/>
            </w:rPr>
            <w:br/>
          </m:r>
        </m:oMath>
      </m:oMathPara>
    </w:p>
    <w:p w14:paraId="15DE37D9" w14:textId="77777777" w:rsidR="00D53A62" w:rsidRPr="00D53A62" w:rsidRDefault="00000000" w:rsidP="00D53A62">
      <w:pPr>
        <w:rPr>
          <w:lang w:val="en-GB"/>
        </w:rPr>
      </w:pPr>
      <w:r>
        <w:rPr>
          <w:lang w:val="en-GB"/>
        </w:rPr>
        <w:pict w14:anchorId="0684FF55">
          <v:rect id="_x0000_i1033" style="width:0;height:1.5pt" o:hralign="center" o:hrstd="t" o:hr="t" fillcolor="#a0a0a0" stroked="f"/>
        </w:pict>
      </w:r>
    </w:p>
    <w:p w14:paraId="09114A3D" w14:textId="77777777" w:rsidR="00D53A62" w:rsidRPr="00D53A62" w:rsidRDefault="00D53A62" w:rsidP="00D53A62">
      <w:pPr>
        <w:rPr>
          <w:b/>
          <w:bCs/>
          <w:lang w:val="en-GB"/>
        </w:rPr>
      </w:pPr>
      <w:r w:rsidRPr="00D53A62">
        <w:rPr>
          <w:b/>
          <w:bCs/>
          <w:lang w:val="en-GB"/>
        </w:rPr>
        <w:t>3. Comparison with dosimetry</w:t>
      </w:r>
    </w:p>
    <w:p w14:paraId="7759C7CB" w14:textId="77777777" w:rsidR="00D53A62" w:rsidRPr="00D53A62" w:rsidRDefault="00D53A62" w:rsidP="00D53A62">
      <w:pPr>
        <w:rPr>
          <w:lang w:val="en-GB"/>
        </w:rPr>
      </w:pPr>
      <w:r w:rsidRPr="00D53A62">
        <w:rPr>
          <w:lang w:val="en-GB"/>
        </w:rPr>
        <w:t>Recorded dosimetry:</w:t>
      </w:r>
    </w:p>
    <w:p w14:paraId="4A52BB72" w14:textId="425286EE" w:rsidR="00D53A62" w:rsidRPr="00D53A62" w:rsidRDefault="00D53A62" w:rsidP="00D53A62">
      <w:pPr>
        <w:numPr>
          <w:ilvl w:val="0"/>
          <w:numId w:val="14"/>
        </w:numPr>
        <w:rPr>
          <w:lang w:val="en-GB"/>
        </w:rPr>
      </w:pPr>
      <w:r w:rsidRPr="00D53A62">
        <w:rPr>
          <w:lang w:val="en-GB"/>
        </w:rPr>
        <w:t>EPD dose = 31</w:t>
      </w:r>
      <w:r w:rsidR="00D271B3">
        <w:rPr>
          <w:lang w:val="en-GB"/>
        </w:rPr>
        <w:t>0</w:t>
      </w:r>
      <w:r w:rsidRPr="00D53A62">
        <w:rPr>
          <w:lang w:val="en-GB"/>
        </w:rPr>
        <w:t xml:space="preserve"> mSv </w:t>
      </w:r>
    </w:p>
    <w:p w14:paraId="62EDD243" w14:textId="730F4029" w:rsidR="00D53A62" w:rsidRPr="00D53A62" w:rsidRDefault="00D53A62" w:rsidP="00D53A62">
      <w:pPr>
        <w:numPr>
          <w:ilvl w:val="0"/>
          <w:numId w:val="14"/>
        </w:numPr>
        <w:rPr>
          <w:lang w:val="en-GB"/>
        </w:rPr>
      </w:pPr>
      <w:r w:rsidRPr="00D53A62">
        <w:rPr>
          <w:lang w:val="en-GB"/>
        </w:rPr>
        <w:t>EPD peak dose rate = 24 Sv h</w:t>
      </w:r>
      <w:r w:rsidRPr="00D53A62">
        <w:rPr>
          <w:rFonts w:ascii="Cambria Math" w:hAnsi="Cambria Math" w:cs="Cambria Math"/>
          <w:lang w:val="en-GB"/>
        </w:rPr>
        <w:t>⁻</w:t>
      </w:r>
      <w:r w:rsidRPr="00D53A62">
        <w:rPr>
          <w:rFonts w:cs="Arial"/>
          <w:lang w:val="en-GB"/>
        </w:rPr>
        <w:t>¹</w:t>
      </w:r>
      <w:r w:rsidRPr="00D53A62">
        <w:rPr>
          <w:lang w:val="en-GB"/>
        </w:rPr>
        <w:t xml:space="preserve"> </w:t>
      </w:r>
    </w:p>
    <w:p w14:paraId="58A849FA" w14:textId="2B1D4DB9" w:rsidR="00D53A62" w:rsidRPr="00D53A62" w:rsidRDefault="00D53A62" w:rsidP="00D53A62">
      <w:pPr>
        <w:numPr>
          <w:ilvl w:val="0"/>
          <w:numId w:val="14"/>
        </w:numPr>
        <w:rPr>
          <w:lang w:val="en-GB"/>
        </w:rPr>
      </w:pPr>
      <w:r w:rsidRPr="00D53A62">
        <w:rPr>
          <w:lang w:val="en-GB"/>
        </w:rPr>
        <w:t>TLD dose = 38</w:t>
      </w:r>
      <w:r w:rsidR="00D271B3">
        <w:rPr>
          <w:lang w:val="en-GB"/>
        </w:rPr>
        <w:t>0</w:t>
      </w:r>
      <w:r w:rsidRPr="00D53A62">
        <w:rPr>
          <w:lang w:val="en-GB"/>
        </w:rPr>
        <w:t xml:space="preserve"> mSv </w:t>
      </w:r>
    </w:p>
    <w:p w14:paraId="4B2ADC67" w14:textId="6C8BEC5C" w:rsidR="00D53A62" w:rsidRPr="00D53A62" w:rsidRDefault="00D53A62" w:rsidP="00D53A62">
      <w:pPr>
        <w:rPr>
          <w:lang w:val="en-GB"/>
        </w:rPr>
      </w:pPr>
      <w:r w:rsidRPr="00D53A62">
        <w:rPr>
          <w:lang w:val="en-GB"/>
        </w:rPr>
        <w:t>The hand-calculated total dose of approximately 26</w:t>
      </w:r>
      <w:r w:rsidR="00827AB4">
        <w:rPr>
          <w:lang w:val="en-GB"/>
        </w:rPr>
        <w:t>0</w:t>
      </w:r>
      <w:r w:rsidRPr="00D53A62">
        <w:rPr>
          <w:lang w:val="en-GB"/>
        </w:rPr>
        <w:t>–47</w:t>
      </w:r>
      <w:r w:rsidR="00827AB4">
        <w:rPr>
          <w:lang w:val="en-GB"/>
        </w:rPr>
        <w:t>0</w:t>
      </w:r>
      <w:r w:rsidRPr="00D53A62">
        <w:rPr>
          <w:lang w:val="en-GB"/>
        </w:rPr>
        <w:t xml:space="preserve"> mSv is broadly consistent with the recorded dosimetry. The central estimate of around 35</w:t>
      </w:r>
      <w:r w:rsidR="00827AB4">
        <w:rPr>
          <w:lang w:val="en-GB"/>
        </w:rPr>
        <w:t>0</w:t>
      </w:r>
      <w:r w:rsidRPr="00D53A62">
        <w:rPr>
          <w:lang w:val="en-GB"/>
        </w:rPr>
        <w:t xml:space="preserve"> mSv lies between the EPD </w:t>
      </w:r>
      <w:r w:rsidRPr="00D53A62">
        <w:rPr>
          <w:lang w:val="en-GB"/>
        </w:rPr>
        <w:lastRenderedPageBreak/>
        <w:t>and TLD readings, which is exactly what would be expected for a simplified reconstruction.</w:t>
      </w:r>
    </w:p>
    <w:p w14:paraId="46563A6D" w14:textId="0D9B67B8" w:rsidR="00D53A62" w:rsidRPr="00D53A62" w:rsidRDefault="00D53A62" w:rsidP="00D53A62">
      <w:pPr>
        <w:rPr>
          <w:lang w:val="en-GB"/>
        </w:rPr>
      </w:pPr>
      <w:r w:rsidRPr="00D53A62">
        <w:rPr>
          <w:lang w:val="en-GB"/>
        </w:rPr>
        <w:t>The close agreement between the calculated shielded dose rate (~21–23 Sv h</w:t>
      </w:r>
      <w:r w:rsidRPr="00D53A62">
        <w:rPr>
          <w:rFonts w:ascii="Cambria Math" w:hAnsi="Cambria Math" w:cs="Cambria Math"/>
          <w:lang w:val="en-GB"/>
        </w:rPr>
        <w:t>⁻</w:t>
      </w:r>
      <w:r w:rsidRPr="00D53A62">
        <w:rPr>
          <w:rFonts w:cs="Arial"/>
          <w:lang w:val="en-GB"/>
        </w:rPr>
        <w:t>¹</w:t>
      </w:r>
      <w:r w:rsidRPr="00D53A62">
        <w:rPr>
          <w:lang w:val="en-GB"/>
        </w:rPr>
        <w:t>) and the recorded EPD peak dose rate (24 Sv h</w:t>
      </w:r>
      <w:r w:rsidRPr="00D53A62">
        <w:rPr>
          <w:rFonts w:ascii="Cambria Math" w:hAnsi="Cambria Math" w:cs="Cambria Math"/>
          <w:lang w:val="en-GB"/>
        </w:rPr>
        <w:t>⁻</w:t>
      </w:r>
      <w:r w:rsidRPr="00D53A62">
        <w:rPr>
          <w:rFonts w:cs="Arial"/>
          <w:lang w:val="en-GB"/>
        </w:rPr>
        <w:t>¹</w:t>
      </w:r>
      <w:r w:rsidRPr="00D53A62">
        <w:rPr>
          <w:lang w:val="en-GB"/>
        </w:rPr>
        <w:t>) is a particularly strong validation point.</w:t>
      </w:r>
    </w:p>
    <w:p w14:paraId="750C4DB9" w14:textId="77777777" w:rsidR="00D53A62" w:rsidRPr="00D53A62" w:rsidRDefault="00D53A62" w:rsidP="00D53A62">
      <w:pPr>
        <w:rPr>
          <w:lang w:val="en-GB"/>
        </w:rPr>
      </w:pPr>
      <w:r w:rsidRPr="00D53A62">
        <w:rPr>
          <w:lang w:val="en-GB"/>
        </w:rPr>
        <w:t>Differences between calculated and measured values can plausibly arise from:</w:t>
      </w:r>
    </w:p>
    <w:p w14:paraId="740EA226" w14:textId="77777777" w:rsidR="00D53A62" w:rsidRPr="00D53A62" w:rsidRDefault="00D53A62" w:rsidP="00D53A62">
      <w:pPr>
        <w:numPr>
          <w:ilvl w:val="0"/>
          <w:numId w:val="15"/>
        </w:numPr>
        <w:rPr>
          <w:lang w:val="en-GB"/>
        </w:rPr>
      </w:pPr>
      <w:r w:rsidRPr="00D53A62">
        <w:rPr>
          <w:lang w:val="en-GB"/>
        </w:rPr>
        <w:t xml:space="preserve">uncertainty in the actual time inside the chamber </w:t>
      </w:r>
    </w:p>
    <w:p w14:paraId="706F7407" w14:textId="77777777" w:rsidR="00D53A62" w:rsidRPr="00D53A62" w:rsidRDefault="00D53A62" w:rsidP="00D53A62">
      <w:pPr>
        <w:numPr>
          <w:ilvl w:val="0"/>
          <w:numId w:val="15"/>
        </w:numPr>
        <w:rPr>
          <w:lang w:val="en-GB"/>
        </w:rPr>
      </w:pPr>
      <w:r w:rsidRPr="00D53A62">
        <w:rPr>
          <w:lang w:val="en-GB"/>
        </w:rPr>
        <w:t xml:space="preserve">variation in torso distance from the source rack </w:t>
      </w:r>
    </w:p>
    <w:p w14:paraId="7EC323DB" w14:textId="77777777" w:rsidR="00D53A62" w:rsidRPr="00D53A62" w:rsidRDefault="00D53A62" w:rsidP="00D53A62">
      <w:pPr>
        <w:numPr>
          <w:ilvl w:val="0"/>
          <w:numId w:val="15"/>
        </w:numPr>
        <w:rPr>
          <w:lang w:val="en-GB"/>
        </w:rPr>
      </w:pPr>
      <w:r w:rsidRPr="00D53A62">
        <w:rPr>
          <w:lang w:val="en-GB"/>
        </w:rPr>
        <w:t xml:space="preserve">differences between chest-mounted EPD and waist-mounted TLD </w:t>
      </w:r>
    </w:p>
    <w:p w14:paraId="1F437761" w14:textId="77777777" w:rsidR="00D53A62" w:rsidRPr="00D53A62" w:rsidRDefault="00D53A62" w:rsidP="00D53A62">
      <w:pPr>
        <w:numPr>
          <w:ilvl w:val="0"/>
          <w:numId w:val="15"/>
        </w:numPr>
        <w:rPr>
          <w:lang w:val="en-GB"/>
        </w:rPr>
      </w:pPr>
      <w:r w:rsidRPr="00D53A62">
        <w:rPr>
          <w:lang w:val="en-GB"/>
        </w:rPr>
        <w:t xml:space="preserve">movement during the exposure </w:t>
      </w:r>
    </w:p>
    <w:p w14:paraId="7A479096" w14:textId="77777777" w:rsidR="00D53A62" w:rsidRPr="00D53A62" w:rsidRDefault="00D53A62" w:rsidP="00D53A62">
      <w:pPr>
        <w:numPr>
          <w:ilvl w:val="0"/>
          <w:numId w:val="15"/>
        </w:numPr>
        <w:rPr>
          <w:lang w:val="en-GB"/>
        </w:rPr>
      </w:pPr>
      <w:r w:rsidRPr="00D53A62">
        <w:rPr>
          <w:lang w:val="en-GB"/>
        </w:rPr>
        <w:t xml:space="preserve">the fact that the water thickness and geometry were not perfectly constant </w:t>
      </w:r>
    </w:p>
    <w:p w14:paraId="2682CE38" w14:textId="77777777" w:rsidR="00D53A62" w:rsidRPr="00D53A62" w:rsidRDefault="00D53A62" w:rsidP="00D53A62">
      <w:pPr>
        <w:numPr>
          <w:ilvl w:val="0"/>
          <w:numId w:val="15"/>
        </w:numPr>
        <w:rPr>
          <w:lang w:val="en-GB"/>
        </w:rPr>
      </w:pPr>
      <w:r w:rsidRPr="00D53A62">
        <w:rPr>
          <w:lang w:val="en-GB"/>
        </w:rPr>
        <w:t xml:space="preserve">scatter from the surrounding chamber and pool structures </w:t>
      </w:r>
    </w:p>
    <w:p w14:paraId="032DFA69" w14:textId="77777777" w:rsidR="00D53A62" w:rsidRPr="00D53A62" w:rsidRDefault="00D53A62" w:rsidP="00D53A62">
      <w:pPr>
        <w:rPr>
          <w:lang w:val="en-GB"/>
        </w:rPr>
      </w:pPr>
      <w:r w:rsidRPr="00D53A62">
        <w:rPr>
          <w:lang w:val="en-GB"/>
        </w:rPr>
        <w:t>The best answers will explain the discrepancy qualitatively rather than forcing exact numerical agreement.</w:t>
      </w:r>
    </w:p>
    <w:p w14:paraId="15EC4D3D" w14:textId="77777777" w:rsidR="00D53A62" w:rsidRPr="00D53A62" w:rsidRDefault="00000000" w:rsidP="00D53A62">
      <w:pPr>
        <w:rPr>
          <w:lang w:val="en-GB"/>
        </w:rPr>
      </w:pPr>
      <w:r>
        <w:rPr>
          <w:lang w:val="en-GB"/>
        </w:rPr>
        <w:pict w14:anchorId="374410A8">
          <v:rect id="_x0000_i1034" style="width:0;height:1.5pt" o:hralign="center" o:hrstd="t" o:hr="t" fillcolor="#a0a0a0" stroked="f"/>
        </w:pict>
      </w:r>
    </w:p>
    <w:p w14:paraId="255BCE64" w14:textId="77777777" w:rsidR="00D53A62" w:rsidRPr="00D53A62" w:rsidRDefault="00D53A62" w:rsidP="00D53A62">
      <w:pPr>
        <w:rPr>
          <w:b/>
          <w:bCs/>
          <w:lang w:val="en-GB"/>
        </w:rPr>
      </w:pPr>
      <w:r w:rsidRPr="00D53A62">
        <w:rPr>
          <w:b/>
          <w:bCs/>
          <w:lang w:val="en-GB"/>
        </w:rPr>
        <w:t>4. Health implications</w:t>
      </w:r>
    </w:p>
    <w:p w14:paraId="4E09A9C5" w14:textId="37CE35B6" w:rsidR="00D53A62" w:rsidRPr="00D53A62" w:rsidRDefault="00D53A62" w:rsidP="00D53A62">
      <w:pPr>
        <w:rPr>
          <w:lang w:val="en-GB"/>
        </w:rPr>
      </w:pPr>
      <w:r w:rsidRPr="00D53A62">
        <w:rPr>
          <w:lang w:val="en-GB"/>
        </w:rPr>
        <w:t>At a whole-body effective dose of order 30</w:t>
      </w:r>
      <w:r w:rsidR="00D271B3">
        <w:rPr>
          <w:lang w:val="en-GB"/>
        </w:rPr>
        <w:t>0</w:t>
      </w:r>
      <w:r w:rsidRPr="00D53A62">
        <w:rPr>
          <w:lang w:val="en-GB"/>
        </w:rPr>
        <w:t>–40</w:t>
      </w:r>
      <w:r w:rsidR="00D271B3">
        <w:rPr>
          <w:lang w:val="en-GB"/>
        </w:rPr>
        <w:t>0</w:t>
      </w:r>
      <w:r w:rsidRPr="00D53A62">
        <w:rPr>
          <w:lang w:val="en-GB"/>
        </w:rPr>
        <w:t xml:space="preserve"> mSv:</w:t>
      </w:r>
    </w:p>
    <w:p w14:paraId="63C2C36E" w14:textId="2387D34F" w:rsidR="00D53A62" w:rsidRDefault="00D53A62" w:rsidP="00A003BE">
      <w:pPr>
        <w:ind w:left="720"/>
        <w:rPr>
          <w:lang w:val="en-GB"/>
        </w:rPr>
      </w:pPr>
      <w:r w:rsidRPr="00D53A62">
        <w:rPr>
          <w:lang w:val="en-GB"/>
        </w:rPr>
        <w:t xml:space="preserve"> whole-body effects would not normally be expected </w:t>
      </w:r>
    </w:p>
    <w:p w14:paraId="03062F9B" w14:textId="4FCD5EEE" w:rsidR="00D271B3" w:rsidRPr="00D53A62" w:rsidRDefault="00A003BE" w:rsidP="00D21EF9">
      <w:pPr>
        <w:numPr>
          <w:ilvl w:val="0"/>
          <w:numId w:val="16"/>
        </w:numPr>
        <w:rPr>
          <w:lang w:val="en-GB"/>
        </w:rPr>
      </w:pPr>
      <w:r>
        <w:rPr>
          <w:lang w:val="en-GB"/>
        </w:rPr>
        <w:t xml:space="preserve">Some blood changes probably detectable </w:t>
      </w:r>
    </w:p>
    <w:p w14:paraId="41D03D22" w14:textId="7CFF5F60" w:rsidR="00D53A62" w:rsidRPr="00D53A62" w:rsidRDefault="00D53A62" w:rsidP="00D53A62">
      <w:pPr>
        <w:numPr>
          <w:ilvl w:val="0"/>
          <w:numId w:val="16"/>
        </w:numPr>
        <w:rPr>
          <w:lang w:val="en-GB"/>
        </w:rPr>
      </w:pPr>
      <w:r w:rsidRPr="00D53A62">
        <w:rPr>
          <w:lang w:val="en-GB"/>
        </w:rPr>
        <w:t xml:space="preserve">the principal radiological consequence is an increased stochastic risk </w:t>
      </w:r>
      <w:r w:rsidR="00597AA7">
        <w:rPr>
          <w:lang w:val="en-GB"/>
        </w:rPr>
        <w:t>and maybe higher probability of cataract</w:t>
      </w:r>
      <w:r w:rsidR="004A18BF">
        <w:rPr>
          <w:lang w:val="en-GB"/>
        </w:rPr>
        <w:t>s</w:t>
      </w:r>
    </w:p>
    <w:p w14:paraId="6CC629F3" w14:textId="77777777" w:rsidR="00D53A62" w:rsidRPr="00D53A62" w:rsidRDefault="00D53A62" w:rsidP="00D53A62">
      <w:pPr>
        <w:numPr>
          <w:ilvl w:val="0"/>
          <w:numId w:val="16"/>
        </w:numPr>
        <w:rPr>
          <w:lang w:val="en-GB"/>
        </w:rPr>
      </w:pPr>
      <w:r w:rsidRPr="00D53A62">
        <w:rPr>
          <w:lang w:val="en-GB"/>
        </w:rPr>
        <w:t xml:space="preserve">the exposure is significant in occupational radiological protection terms and clearly warrants formal dose investigation and follow-up </w:t>
      </w:r>
    </w:p>
    <w:p w14:paraId="09443F00" w14:textId="1E74B322" w:rsidR="00D53A62" w:rsidRPr="00D53A62" w:rsidRDefault="00D53A62" w:rsidP="00D53A62">
      <w:pPr>
        <w:rPr>
          <w:lang w:val="en-GB"/>
        </w:rPr>
      </w:pPr>
      <w:r w:rsidRPr="00D53A62">
        <w:rPr>
          <w:lang w:val="en-GB"/>
        </w:rPr>
        <w:t>The reported nausea and faintness are unlikely to be caused directly by radiation at this dose level and are more plausibly related to anxiety, stress, or the circumstances of the event. Better answers will state this cautiously rather than dismissively.</w:t>
      </w:r>
      <w:r w:rsidR="004A18BF">
        <w:rPr>
          <w:lang w:val="en-GB"/>
        </w:rPr>
        <w:t xml:space="preserve"> </w:t>
      </w:r>
      <w:r w:rsidR="00872F87">
        <w:rPr>
          <w:lang w:val="en-GB"/>
        </w:rPr>
        <w:t xml:space="preserve">Candidates can discuss the stochastic risk increase at about 10 % per Sv so </w:t>
      </w:r>
      <w:r w:rsidR="00350426">
        <w:rPr>
          <w:lang w:val="en-GB"/>
        </w:rPr>
        <w:t xml:space="preserve">a ~4 % increase in cancer risk from this exposure. </w:t>
      </w:r>
    </w:p>
    <w:p w14:paraId="1A318FE2" w14:textId="77777777" w:rsidR="00D53A62" w:rsidRPr="00D53A62" w:rsidRDefault="00D53A62" w:rsidP="00D53A62">
      <w:pPr>
        <w:rPr>
          <w:lang w:val="en-GB"/>
        </w:rPr>
      </w:pPr>
      <w:r w:rsidRPr="00D53A62">
        <w:rPr>
          <w:lang w:val="en-GB"/>
        </w:rPr>
        <w:t>Students should avoid claiming acute radiation syndrome or deterministic injury from a dose in this range.</w:t>
      </w:r>
    </w:p>
    <w:p w14:paraId="7A69A35F" w14:textId="77777777" w:rsidR="00D53A62" w:rsidRPr="00D53A62" w:rsidRDefault="00000000" w:rsidP="00D53A62">
      <w:pPr>
        <w:rPr>
          <w:lang w:val="en-GB"/>
        </w:rPr>
      </w:pPr>
      <w:r>
        <w:rPr>
          <w:lang w:val="en-GB"/>
        </w:rPr>
        <w:pict w14:anchorId="493FE063">
          <v:rect id="_x0000_i1035" style="width:0;height:1.5pt" o:hralign="center" o:hrstd="t" o:hr="t" fillcolor="#a0a0a0" stroked="f"/>
        </w:pict>
      </w:r>
    </w:p>
    <w:p w14:paraId="41AD5E49" w14:textId="77777777" w:rsidR="00D53A62" w:rsidRPr="00D53A62" w:rsidRDefault="00D53A62" w:rsidP="00D53A62">
      <w:pPr>
        <w:rPr>
          <w:b/>
          <w:bCs/>
          <w:lang w:val="en-GB"/>
        </w:rPr>
      </w:pPr>
      <w:r w:rsidRPr="00D53A62">
        <w:rPr>
          <w:b/>
          <w:bCs/>
          <w:lang w:val="en-GB"/>
        </w:rPr>
        <w:lastRenderedPageBreak/>
        <w:t>5. IRR17 compliance issues likely to be discussed</w:t>
      </w:r>
    </w:p>
    <w:p w14:paraId="3306EA37" w14:textId="77777777" w:rsidR="00D53A62" w:rsidRPr="00D53A62" w:rsidRDefault="00D53A62" w:rsidP="00D53A62">
      <w:pPr>
        <w:rPr>
          <w:lang w:val="en-GB"/>
        </w:rPr>
      </w:pPr>
      <w:r w:rsidRPr="00D53A62">
        <w:rPr>
          <w:lang w:val="en-GB"/>
        </w:rPr>
        <w:t>Likely issues include:</w:t>
      </w:r>
    </w:p>
    <w:p w14:paraId="2B5415B3" w14:textId="77777777" w:rsidR="00D53A62" w:rsidRPr="00D53A62" w:rsidRDefault="00D53A62" w:rsidP="00D53A62">
      <w:pPr>
        <w:numPr>
          <w:ilvl w:val="0"/>
          <w:numId w:val="17"/>
        </w:numPr>
        <w:rPr>
          <w:lang w:val="en-GB"/>
        </w:rPr>
      </w:pPr>
      <w:r w:rsidRPr="00D53A62">
        <w:rPr>
          <w:lang w:val="en-GB"/>
        </w:rPr>
        <w:t xml:space="preserve">failure to ensure that the source rack was fully returned to a safe shielded position before permitting access </w:t>
      </w:r>
    </w:p>
    <w:p w14:paraId="53D14613" w14:textId="77777777" w:rsidR="00D53A62" w:rsidRPr="00D53A62" w:rsidRDefault="00D53A62" w:rsidP="00D53A62">
      <w:pPr>
        <w:numPr>
          <w:ilvl w:val="0"/>
          <w:numId w:val="17"/>
        </w:numPr>
        <w:rPr>
          <w:lang w:val="en-GB"/>
        </w:rPr>
      </w:pPr>
      <w:r w:rsidRPr="00D53A62">
        <w:rPr>
          <w:lang w:val="en-GB"/>
        </w:rPr>
        <w:t xml:space="preserve">reliance on a control indication that proved incorrect </w:t>
      </w:r>
    </w:p>
    <w:p w14:paraId="1E7A1CC6" w14:textId="77777777" w:rsidR="00D53A62" w:rsidRPr="00D53A62" w:rsidRDefault="00D53A62" w:rsidP="00D53A62">
      <w:pPr>
        <w:numPr>
          <w:ilvl w:val="0"/>
          <w:numId w:val="17"/>
        </w:numPr>
        <w:rPr>
          <w:lang w:val="en-GB"/>
        </w:rPr>
      </w:pPr>
      <w:r w:rsidRPr="00D53A62">
        <w:rPr>
          <w:lang w:val="en-GB"/>
        </w:rPr>
        <w:t xml:space="preserve">inadequate response to the illuminated “danger of death” warning signs </w:t>
      </w:r>
    </w:p>
    <w:p w14:paraId="4DAE918D" w14:textId="77777777" w:rsidR="00D53A62" w:rsidRPr="00D53A62" w:rsidRDefault="00D53A62" w:rsidP="00D53A62">
      <w:pPr>
        <w:numPr>
          <w:ilvl w:val="0"/>
          <w:numId w:val="17"/>
        </w:numPr>
        <w:rPr>
          <w:lang w:val="en-GB"/>
        </w:rPr>
      </w:pPr>
      <w:r w:rsidRPr="00D53A62">
        <w:rPr>
          <w:lang w:val="en-GB"/>
        </w:rPr>
        <w:t xml:space="preserve">weaknesses in maintenance, defect reporting, and fault escalation relating to source-hoist position indication </w:t>
      </w:r>
    </w:p>
    <w:p w14:paraId="3D129BD9" w14:textId="759495F4" w:rsidR="00D53A62" w:rsidRPr="00D53A62" w:rsidRDefault="00D53A62" w:rsidP="00D53A62">
      <w:pPr>
        <w:numPr>
          <w:ilvl w:val="0"/>
          <w:numId w:val="17"/>
        </w:numPr>
        <w:rPr>
          <w:lang w:val="en-GB"/>
        </w:rPr>
      </w:pPr>
      <w:r w:rsidRPr="00D53A62">
        <w:rPr>
          <w:lang w:val="en-GB"/>
        </w:rPr>
        <w:t xml:space="preserve">failure to restrict exposure so far as reasonably practicable once uncertainty existed over the true source position </w:t>
      </w:r>
      <w:r w:rsidR="00E2771B">
        <w:rPr>
          <w:lang w:val="en-GB"/>
        </w:rPr>
        <w:t>[Reg 9]</w:t>
      </w:r>
      <w:r w:rsidR="00FE7282">
        <w:rPr>
          <w:lang w:val="en-GB"/>
        </w:rPr>
        <w:t xml:space="preserve"> and exceeding dose limits [Reg 12]</w:t>
      </w:r>
    </w:p>
    <w:p w14:paraId="0DF1B491" w14:textId="77777777" w:rsidR="00D53A62" w:rsidRPr="00D53A62" w:rsidRDefault="00D53A62" w:rsidP="00D53A62">
      <w:pPr>
        <w:numPr>
          <w:ilvl w:val="0"/>
          <w:numId w:val="17"/>
        </w:numPr>
        <w:rPr>
          <w:lang w:val="en-GB"/>
        </w:rPr>
      </w:pPr>
      <w:r w:rsidRPr="00D53A62">
        <w:rPr>
          <w:lang w:val="en-GB"/>
        </w:rPr>
        <w:t xml:space="preserve">the need for formal dose investigation and statutory reporting following the overexposure </w:t>
      </w:r>
    </w:p>
    <w:p w14:paraId="0CA8E543" w14:textId="77777777" w:rsidR="00D53A62" w:rsidRPr="00D53A62" w:rsidRDefault="00D53A62" w:rsidP="00D53A62">
      <w:pPr>
        <w:rPr>
          <w:lang w:val="en-GB"/>
        </w:rPr>
      </w:pPr>
      <w:r w:rsidRPr="00D53A62">
        <w:rPr>
          <w:lang w:val="en-GB"/>
        </w:rPr>
        <w:t>The strongest answers will apply the principles of IRR17 to the facts of the incident rather than quoting regulations at length.</w:t>
      </w:r>
    </w:p>
    <w:p w14:paraId="466FF2DD" w14:textId="77777777" w:rsidR="00D53A62" w:rsidRPr="00D53A62" w:rsidRDefault="00000000" w:rsidP="00D53A62">
      <w:pPr>
        <w:rPr>
          <w:lang w:val="en-GB"/>
        </w:rPr>
      </w:pPr>
      <w:r>
        <w:rPr>
          <w:lang w:val="en-GB"/>
        </w:rPr>
        <w:pict w14:anchorId="32900A43">
          <v:rect id="_x0000_i1036" style="width:0;height:1.5pt" o:hralign="center" o:hrstd="t" o:hr="t" fillcolor="#a0a0a0" stroked="f"/>
        </w:pict>
      </w:r>
    </w:p>
    <w:p w14:paraId="4FC4D29D" w14:textId="77777777" w:rsidR="00D53A62" w:rsidRPr="00D53A62" w:rsidRDefault="00D53A62" w:rsidP="00D53A62">
      <w:pPr>
        <w:rPr>
          <w:b/>
          <w:bCs/>
          <w:lang w:val="en-GB"/>
        </w:rPr>
      </w:pPr>
      <w:r w:rsidRPr="00D53A62">
        <w:rPr>
          <w:b/>
          <w:bCs/>
          <w:lang w:val="en-GB"/>
        </w:rPr>
        <w:t>6. ONR SAP evaluation – indicative points</w:t>
      </w:r>
    </w:p>
    <w:p w14:paraId="4CD0B211" w14:textId="77777777" w:rsidR="00D53A62" w:rsidRPr="00D53A62" w:rsidRDefault="00D53A62" w:rsidP="00D53A62">
      <w:pPr>
        <w:rPr>
          <w:lang w:val="en-GB"/>
        </w:rPr>
      </w:pPr>
      <w:r w:rsidRPr="00D53A62">
        <w:rPr>
          <w:lang w:val="en-GB"/>
        </w:rPr>
        <w:t xml:space="preserve">Students are asked to evaluate the incident against </w:t>
      </w:r>
      <w:r w:rsidRPr="00D53A62">
        <w:rPr>
          <w:b/>
          <w:bCs/>
          <w:lang w:val="en-GB"/>
        </w:rPr>
        <w:t>EKP.5 Defence in Depth</w:t>
      </w:r>
      <w:r w:rsidRPr="00D53A62">
        <w:rPr>
          <w:lang w:val="en-GB"/>
        </w:rPr>
        <w:t xml:space="preserve"> and two other SAPs of their choice. Credit according to the quality of the argument, but likely themes include the following.</w:t>
      </w:r>
    </w:p>
    <w:p w14:paraId="7D4C18A1" w14:textId="77777777" w:rsidR="00D53A62" w:rsidRPr="00D53A62" w:rsidRDefault="00D53A62" w:rsidP="00D53A62">
      <w:pPr>
        <w:rPr>
          <w:b/>
          <w:bCs/>
          <w:lang w:val="en-GB"/>
        </w:rPr>
      </w:pPr>
      <w:r w:rsidRPr="00D53A62">
        <w:rPr>
          <w:b/>
          <w:bCs/>
          <w:lang w:val="en-GB"/>
        </w:rPr>
        <w:t>EKP.5 Defence in Depth</w:t>
      </w:r>
    </w:p>
    <w:p w14:paraId="6B59CC40" w14:textId="77777777" w:rsidR="00D53A62" w:rsidRPr="00D53A62" w:rsidRDefault="00D53A62" w:rsidP="00D53A62">
      <w:pPr>
        <w:rPr>
          <w:lang w:val="en-GB"/>
        </w:rPr>
      </w:pPr>
      <w:r w:rsidRPr="00D53A62">
        <w:rPr>
          <w:lang w:val="en-GB"/>
        </w:rPr>
        <w:t>Multiple protective layers failed or were bypassed:</w:t>
      </w:r>
    </w:p>
    <w:p w14:paraId="6EFDA583" w14:textId="77777777" w:rsidR="00D53A62" w:rsidRPr="00D53A62" w:rsidRDefault="00D53A62" w:rsidP="00D53A62">
      <w:pPr>
        <w:numPr>
          <w:ilvl w:val="0"/>
          <w:numId w:val="18"/>
        </w:numPr>
        <w:rPr>
          <w:lang w:val="en-GB"/>
        </w:rPr>
      </w:pPr>
      <w:r w:rsidRPr="00D53A62">
        <w:rPr>
          <w:lang w:val="en-GB"/>
        </w:rPr>
        <w:t xml:space="preserve">the hoist mechanism failed to return the source fully to the normal shielded depth </w:t>
      </w:r>
    </w:p>
    <w:p w14:paraId="13C392F2" w14:textId="77777777" w:rsidR="00D53A62" w:rsidRPr="00D53A62" w:rsidRDefault="00D53A62" w:rsidP="00D53A62">
      <w:pPr>
        <w:numPr>
          <w:ilvl w:val="0"/>
          <w:numId w:val="18"/>
        </w:numPr>
        <w:rPr>
          <w:lang w:val="en-GB"/>
        </w:rPr>
      </w:pPr>
      <w:r w:rsidRPr="00D53A62">
        <w:rPr>
          <w:lang w:val="en-GB"/>
        </w:rPr>
        <w:t xml:space="preserve">the control system incorrectly indicated a safe parked condition </w:t>
      </w:r>
    </w:p>
    <w:p w14:paraId="50E9073C" w14:textId="77777777" w:rsidR="00D53A62" w:rsidRPr="00D53A62" w:rsidRDefault="00D53A62" w:rsidP="00D53A62">
      <w:pPr>
        <w:numPr>
          <w:ilvl w:val="0"/>
          <w:numId w:val="18"/>
        </w:numPr>
        <w:rPr>
          <w:lang w:val="en-GB"/>
        </w:rPr>
      </w:pPr>
      <w:r w:rsidRPr="00D53A62">
        <w:rPr>
          <w:lang w:val="en-GB"/>
        </w:rPr>
        <w:t xml:space="preserve">the illuminated gamma warning signs remained lit but were initially disregarded </w:t>
      </w:r>
    </w:p>
    <w:p w14:paraId="16C760EA" w14:textId="77777777" w:rsidR="00D53A62" w:rsidRPr="00D53A62" w:rsidRDefault="00D53A62" w:rsidP="00D53A62">
      <w:pPr>
        <w:numPr>
          <w:ilvl w:val="0"/>
          <w:numId w:val="18"/>
        </w:numPr>
        <w:rPr>
          <w:lang w:val="en-GB"/>
        </w:rPr>
      </w:pPr>
      <w:r w:rsidRPr="00D53A62">
        <w:rPr>
          <w:lang w:val="en-GB"/>
        </w:rPr>
        <w:t xml:space="preserve">entry into the irradiation chamber proceeded on the basis of a misleading low reading at the maze entrance </w:t>
      </w:r>
    </w:p>
    <w:p w14:paraId="79DDBBDC" w14:textId="77777777" w:rsidR="00D53A62" w:rsidRPr="00D53A62" w:rsidRDefault="00D53A62" w:rsidP="00D53A62">
      <w:pPr>
        <w:rPr>
          <w:lang w:val="en-GB"/>
        </w:rPr>
      </w:pPr>
      <w:r w:rsidRPr="00D53A62">
        <w:rPr>
          <w:lang w:val="en-GB"/>
        </w:rPr>
        <w:t>A strong answer will recognise that defence in depth requires independent and mutually reinforcing barriers, not dependence on a single indication.</w:t>
      </w:r>
    </w:p>
    <w:p w14:paraId="4A7CD25E" w14:textId="34204FA5" w:rsidR="00D53A62" w:rsidRPr="00D53A62" w:rsidRDefault="00D53A62" w:rsidP="00D53A62">
      <w:pPr>
        <w:rPr>
          <w:b/>
          <w:bCs/>
          <w:lang w:val="en-GB"/>
        </w:rPr>
      </w:pPr>
      <w:r w:rsidRPr="00D53A62">
        <w:rPr>
          <w:b/>
          <w:bCs/>
          <w:lang w:val="en-GB"/>
        </w:rPr>
        <w:t>Engineering safety / source position control</w:t>
      </w:r>
      <w:r w:rsidR="004E75E0">
        <w:rPr>
          <w:b/>
          <w:bCs/>
          <w:lang w:val="en-GB"/>
        </w:rPr>
        <w:t xml:space="preserve"> ESS.8</w:t>
      </w:r>
    </w:p>
    <w:p w14:paraId="319F4C45" w14:textId="77777777" w:rsidR="00D53A62" w:rsidRPr="00D53A62" w:rsidRDefault="00D53A62" w:rsidP="00D53A62">
      <w:pPr>
        <w:rPr>
          <w:lang w:val="en-GB"/>
        </w:rPr>
      </w:pPr>
      <w:r w:rsidRPr="00D53A62">
        <w:rPr>
          <w:lang w:val="en-GB"/>
        </w:rPr>
        <w:lastRenderedPageBreak/>
        <w:t>A good answer may state that source position should be reliably and unambiguously known, especially in a facility capable of delivering fatal doses in short periods. A system in which the source remains partially raised while still being declared safe is a serious engineering weakness.</w:t>
      </w:r>
    </w:p>
    <w:p w14:paraId="473DD107" w14:textId="52255646" w:rsidR="00D53A62" w:rsidRPr="00D53A62" w:rsidRDefault="00D53A62" w:rsidP="00D53A62">
      <w:pPr>
        <w:rPr>
          <w:b/>
          <w:bCs/>
          <w:lang w:val="en-GB"/>
        </w:rPr>
      </w:pPr>
      <w:r w:rsidRPr="00D53A62">
        <w:rPr>
          <w:b/>
          <w:bCs/>
          <w:lang w:val="en-GB"/>
        </w:rPr>
        <w:t>Human factors / procedures</w:t>
      </w:r>
      <w:r w:rsidR="00931DAB">
        <w:rPr>
          <w:b/>
          <w:bCs/>
          <w:lang w:val="en-GB"/>
        </w:rPr>
        <w:t xml:space="preserve"> E</w:t>
      </w:r>
      <w:r w:rsidR="004E75E0">
        <w:rPr>
          <w:b/>
          <w:bCs/>
          <w:lang w:val="en-GB"/>
        </w:rPr>
        <w:t>HF.10</w:t>
      </w:r>
    </w:p>
    <w:p w14:paraId="2988CAD8" w14:textId="77777777" w:rsidR="00D53A62" w:rsidRPr="00D53A62" w:rsidRDefault="00D53A62" w:rsidP="00D53A62">
      <w:pPr>
        <w:rPr>
          <w:lang w:val="en-GB"/>
        </w:rPr>
      </w:pPr>
      <w:r w:rsidRPr="00D53A62">
        <w:rPr>
          <w:lang w:val="en-GB"/>
        </w:rPr>
        <w:t>The event also demonstrates unsafe interpretation of evidence. The low dose rate at the maze entrance was incorrectly taken as proof of a safe state, even though the active “danger of death” signs and the known shielding geometry should have prompted caution and escalation.</w:t>
      </w:r>
    </w:p>
    <w:p w14:paraId="7FDA7703" w14:textId="77777777" w:rsidR="00D53A62" w:rsidRPr="00D53A62" w:rsidRDefault="00000000" w:rsidP="00D53A62">
      <w:pPr>
        <w:rPr>
          <w:lang w:val="en-GB"/>
        </w:rPr>
      </w:pPr>
      <w:r>
        <w:rPr>
          <w:lang w:val="en-GB"/>
        </w:rPr>
        <w:pict w14:anchorId="5AE66D14">
          <v:rect id="_x0000_i1037" style="width:0;height:1.5pt" o:hralign="center" o:hrstd="t" o:hr="t" fillcolor="#a0a0a0" stroked="f"/>
        </w:pict>
      </w:r>
    </w:p>
    <w:p w14:paraId="7B14B748" w14:textId="77777777" w:rsidR="00D53A62" w:rsidRPr="00D53A62" w:rsidRDefault="00D53A62" w:rsidP="00D53A62">
      <w:pPr>
        <w:rPr>
          <w:b/>
          <w:bCs/>
          <w:lang w:val="en-GB"/>
        </w:rPr>
      </w:pPr>
      <w:r w:rsidRPr="00D53A62">
        <w:rPr>
          <w:b/>
          <w:bCs/>
          <w:lang w:val="en-GB"/>
        </w:rPr>
        <w:t>7. Proportionate ALARP improvements</w:t>
      </w:r>
    </w:p>
    <w:p w14:paraId="64C83579" w14:textId="77777777" w:rsidR="00D53A62" w:rsidRPr="00D53A62" w:rsidRDefault="00D53A62" w:rsidP="00D53A62">
      <w:pPr>
        <w:rPr>
          <w:lang w:val="en-GB"/>
        </w:rPr>
      </w:pPr>
      <w:r w:rsidRPr="00D53A62">
        <w:rPr>
          <w:lang w:val="en-GB"/>
        </w:rPr>
        <w:t>Credit any proportionate, risk-reducing improvements that are justified on practical ALARP grounds. Indicative points include:</w:t>
      </w:r>
    </w:p>
    <w:p w14:paraId="6FB84795" w14:textId="1EB44992" w:rsidR="00D53A62" w:rsidRPr="00D53A62" w:rsidRDefault="00D53A62" w:rsidP="00D53A62">
      <w:pPr>
        <w:numPr>
          <w:ilvl w:val="0"/>
          <w:numId w:val="19"/>
        </w:numPr>
        <w:rPr>
          <w:lang w:val="en-GB"/>
        </w:rPr>
      </w:pPr>
      <w:r w:rsidRPr="00D53A62">
        <w:rPr>
          <w:lang w:val="en-GB"/>
        </w:rPr>
        <w:t xml:space="preserve">improve source position sensing with redundant and diverse confirmation methods </w:t>
      </w:r>
      <w:r w:rsidR="004E75E0">
        <w:rPr>
          <w:lang w:val="en-GB"/>
        </w:rPr>
        <w:t>-</w:t>
      </w:r>
    </w:p>
    <w:p w14:paraId="0B9F1D29" w14:textId="77777777" w:rsidR="00D53A62" w:rsidRPr="00D53A62" w:rsidRDefault="00D53A62" w:rsidP="00D53A62">
      <w:pPr>
        <w:numPr>
          <w:ilvl w:val="0"/>
          <w:numId w:val="19"/>
        </w:numPr>
        <w:rPr>
          <w:lang w:val="en-GB"/>
        </w:rPr>
      </w:pPr>
      <w:r w:rsidRPr="00D53A62">
        <w:rPr>
          <w:lang w:val="en-GB"/>
        </w:rPr>
        <w:t xml:space="preserve">strengthen maintenance and fault escalation arrangements for hoist and position-indication systems </w:t>
      </w:r>
    </w:p>
    <w:p w14:paraId="722E7573" w14:textId="77777777" w:rsidR="00D53A62" w:rsidRPr="00D53A62" w:rsidRDefault="00D53A62" w:rsidP="00D53A62">
      <w:pPr>
        <w:numPr>
          <w:ilvl w:val="0"/>
          <w:numId w:val="19"/>
        </w:numPr>
        <w:rPr>
          <w:lang w:val="en-GB"/>
        </w:rPr>
      </w:pPr>
      <w:r w:rsidRPr="00D53A62">
        <w:rPr>
          <w:lang w:val="en-GB"/>
        </w:rPr>
        <w:t xml:space="preserve">require positive radiological confirmation of safe source storage before any access is authorised </w:t>
      </w:r>
    </w:p>
    <w:p w14:paraId="7B5CA885" w14:textId="77777777" w:rsidR="00D53A62" w:rsidRPr="00D53A62" w:rsidRDefault="00D53A62" w:rsidP="00D53A62">
      <w:pPr>
        <w:numPr>
          <w:ilvl w:val="0"/>
          <w:numId w:val="19"/>
        </w:numPr>
        <w:rPr>
          <w:lang w:val="en-GB"/>
        </w:rPr>
      </w:pPr>
      <w:r w:rsidRPr="00D53A62">
        <w:rPr>
          <w:lang w:val="en-GB"/>
        </w:rPr>
        <w:t xml:space="preserve">improve training on the interpretation of maze entrance measurements and partially shielded source conditions </w:t>
      </w:r>
    </w:p>
    <w:p w14:paraId="2CB9FE50" w14:textId="6E52960A" w:rsidR="00D53A62" w:rsidRPr="00D53A62" w:rsidRDefault="00D53A62" w:rsidP="00D53A62">
      <w:pPr>
        <w:numPr>
          <w:ilvl w:val="0"/>
          <w:numId w:val="19"/>
        </w:numPr>
        <w:rPr>
          <w:lang w:val="en-GB"/>
        </w:rPr>
      </w:pPr>
      <w:r w:rsidRPr="00D53A62">
        <w:rPr>
          <w:lang w:val="en-GB"/>
        </w:rPr>
        <w:t xml:space="preserve">reinforce procedural requirements that active danger signs must trigger immediate stop and investigation </w:t>
      </w:r>
      <w:r w:rsidR="00206832">
        <w:rPr>
          <w:lang w:val="en-GB"/>
        </w:rPr>
        <w:t xml:space="preserve">-should  </w:t>
      </w:r>
      <w:r w:rsidR="00206832">
        <w:rPr>
          <w:lang w:val="en-GB"/>
        </w:rPr>
        <w:t>hard wir</w:t>
      </w:r>
      <w:r w:rsidR="00206832">
        <w:rPr>
          <w:lang w:val="en-GB"/>
        </w:rPr>
        <w:t xml:space="preserve">e </w:t>
      </w:r>
      <w:r w:rsidR="00206832">
        <w:rPr>
          <w:lang w:val="en-GB"/>
        </w:rPr>
        <w:t>the gamma detector to the door interlock.</w:t>
      </w:r>
    </w:p>
    <w:p w14:paraId="765E109C" w14:textId="77777777" w:rsidR="00D53A62" w:rsidRPr="00D53A62" w:rsidRDefault="00D53A62" w:rsidP="00D53A62">
      <w:pPr>
        <w:numPr>
          <w:ilvl w:val="0"/>
          <w:numId w:val="19"/>
        </w:numPr>
        <w:rPr>
          <w:lang w:val="en-GB"/>
        </w:rPr>
      </w:pPr>
      <w:r w:rsidRPr="00D53A62">
        <w:rPr>
          <w:lang w:val="en-GB"/>
        </w:rPr>
        <w:t xml:space="preserve">review EPD alarm settings, response procedures, and abnormal-condition drills </w:t>
      </w:r>
    </w:p>
    <w:p w14:paraId="11B030CD" w14:textId="77777777" w:rsidR="00D53A62" w:rsidRPr="00D53A62" w:rsidRDefault="00D53A62" w:rsidP="00D53A62">
      <w:pPr>
        <w:numPr>
          <w:ilvl w:val="0"/>
          <w:numId w:val="19"/>
        </w:numPr>
        <w:rPr>
          <w:lang w:val="en-GB"/>
        </w:rPr>
      </w:pPr>
      <w:r w:rsidRPr="00D53A62">
        <w:rPr>
          <w:lang w:val="en-GB"/>
        </w:rPr>
        <w:t xml:space="preserve">ensure that low readings outside the maze are not treated as sufficient evidence of a safe state inside the chamber </w:t>
      </w:r>
    </w:p>
    <w:p w14:paraId="2F4CF354" w14:textId="77777777" w:rsidR="00D53A62" w:rsidRPr="00D53A62" w:rsidRDefault="00D53A62" w:rsidP="00D53A62">
      <w:pPr>
        <w:rPr>
          <w:lang w:val="en-GB"/>
        </w:rPr>
      </w:pPr>
      <w:r w:rsidRPr="00D53A62">
        <w:rPr>
          <w:lang w:val="en-GB"/>
        </w:rPr>
        <w:t>Any proposed improvement should be linked clearly to meaningful reduction in risk for proportionate engineering or administrative effort.</w:t>
      </w:r>
    </w:p>
    <w:p w14:paraId="361FA29A" w14:textId="77777777" w:rsidR="00D53A62" w:rsidRPr="00D53A62" w:rsidRDefault="00000000" w:rsidP="00D53A62">
      <w:pPr>
        <w:rPr>
          <w:lang w:val="en-GB"/>
        </w:rPr>
      </w:pPr>
      <w:r>
        <w:rPr>
          <w:lang w:val="en-GB"/>
        </w:rPr>
        <w:pict w14:anchorId="54F36FB5">
          <v:rect id="_x0000_i1038" style="width:0;height:1.5pt" o:hralign="center" o:hrstd="t" o:hr="t" fillcolor="#a0a0a0" stroked="f"/>
        </w:pict>
      </w:r>
    </w:p>
    <w:p w14:paraId="76ADB38D" w14:textId="77777777" w:rsidR="00D53A62" w:rsidRPr="00D53A62" w:rsidRDefault="00D53A62" w:rsidP="00D53A62">
      <w:pPr>
        <w:rPr>
          <w:b/>
          <w:bCs/>
          <w:lang w:val="en-GB"/>
        </w:rPr>
      </w:pPr>
      <w:r w:rsidRPr="00D53A62">
        <w:rPr>
          <w:b/>
          <w:bCs/>
          <w:lang w:val="en-GB"/>
        </w:rPr>
        <w:t>8. Marker guidance on common errors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38"/>
        <w:gridCol w:w="4402"/>
      </w:tblGrid>
      <w:tr w:rsidR="00D53A62" w:rsidRPr="00D53A62" w14:paraId="07D593C9" w14:textId="77777777">
        <w:trPr>
          <w:tblHeader/>
          <w:tblCellSpacing w:w="15" w:type="dxa"/>
        </w:trPr>
        <w:tc>
          <w:tcPr>
            <w:tcW w:w="0" w:type="auto"/>
            <w:vAlign w:val="center"/>
            <w:hideMark/>
          </w:tcPr>
          <w:p w14:paraId="00CE1E9D" w14:textId="77777777" w:rsidR="00D53A62" w:rsidRPr="00D53A62" w:rsidRDefault="00D53A62" w:rsidP="00D53A62">
            <w:pPr>
              <w:rPr>
                <w:b/>
                <w:bCs/>
                <w:lang w:val="en-GB"/>
              </w:rPr>
            </w:pPr>
            <w:r w:rsidRPr="00D53A62">
              <w:rPr>
                <w:b/>
                <w:bCs/>
                <w:lang w:val="en-GB"/>
              </w:rPr>
              <w:lastRenderedPageBreak/>
              <w:t>Common issue</w:t>
            </w:r>
          </w:p>
        </w:tc>
        <w:tc>
          <w:tcPr>
            <w:tcW w:w="0" w:type="auto"/>
            <w:vAlign w:val="center"/>
            <w:hideMark/>
          </w:tcPr>
          <w:p w14:paraId="7E792035" w14:textId="77777777" w:rsidR="00D53A62" w:rsidRPr="00D53A62" w:rsidRDefault="00D53A62" w:rsidP="00D53A62">
            <w:pPr>
              <w:rPr>
                <w:b/>
                <w:bCs/>
                <w:lang w:val="en-GB"/>
              </w:rPr>
            </w:pPr>
            <w:r w:rsidRPr="00D53A62">
              <w:rPr>
                <w:b/>
                <w:bCs/>
                <w:lang w:val="en-GB"/>
              </w:rPr>
              <w:t>How to treat it</w:t>
            </w:r>
          </w:p>
        </w:tc>
      </w:tr>
      <w:tr w:rsidR="00D53A62" w:rsidRPr="00D53A62" w14:paraId="7304E455" w14:textId="77777777">
        <w:trPr>
          <w:tblCellSpacing w:w="15" w:type="dxa"/>
        </w:trPr>
        <w:tc>
          <w:tcPr>
            <w:tcW w:w="0" w:type="auto"/>
            <w:vAlign w:val="center"/>
            <w:hideMark/>
          </w:tcPr>
          <w:p w14:paraId="27932EB5" w14:textId="77777777" w:rsidR="00D53A62" w:rsidRPr="00D53A62" w:rsidRDefault="00D53A62" w:rsidP="00D53A62">
            <w:pPr>
              <w:rPr>
                <w:lang w:val="en-GB"/>
              </w:rPr>
            </w:pPr>
            <w:r w:rsidRPr="00D53A62">
              <w:rPr>
                <w:lang w:val="en-GB"/>
              </w:rPr>
              <w:t xml:space="preserve">Failure to convert </w:t>
            </w:r>
            <w:proofErr w:type="spellStart"/>
            <w:r w:rsidRPr="00D53A62">
              <w:rPr>
                <w:lang w:val="en-GB"/>
              </w:rPr>
              <w:t>PBq</w:t>
            </w:r>
            <w:proofErr w:type="spellEnd"/>
            <w:r w:rsidRPr="00D53A62">
              <w:rPr>
                <w:lang w:val="en-GB"/>
              </w:rPr>
              <w:t xml:space="preserve"> correctly</w:t>
            </w:r>
          </w:p>
        </w:tc>
        <w:tc>
          <w:tcPr>
            <w:tcW w:w="0" w:type="auto"/>
            <w:vAlign w:val="center"/>
            <w:hideMark/>
          </w:tcPr>
          <w:p w14:paraId="5473A16E" w14:textId="77777777" w:rsidR="00D53A62" w:rsidRPr="00D53A62" w:rsidRDefault="00D53A62" w:rsidP="00D53A62">
            <w:pPr>
              <w:rPr>
                <w:lang w:val="en-GB"/>
              </w:rPr>
            </w:pPr>
            <w:r w:rsidRPr="00D53A62">
              <w:rPr>
                <w:lang w:val="en-GB"/>
              </w:rPr>
              <w:t>Penalise units and numerical accuracy, but credit method where possible</w:t>
            </w:r>
          </w:p>
        </w:tc>
      </w:tr>
      <w:tr w:rsidR="00D53A62" w:rsidRPr="00D53A62" w14:paraId="38ADD10D" w14:textId="77777777">
        <w:trPr>
          <w:tblCellSpacing w:w="15" w:type="dxa"/>
        </w:trPr>
        <w:tc>
          <w:tcPr>
            <w:tcW w:w="0" w:type="auto"/>
            <w:vAlign w:val="center"/>
            <w:hideMark/>
          </w:tcPr>
          <w:p w14:paraId="1DB875E2" w14:textId="77777777" w:rsidR="00D53A62" w:rsidRPr="00D53A62" w:rsidRDefault="00D53A62" w:rsidP="00D53A62">
            <w:pPr>
              <w:rPr>
                <w:lang w:val="en-GB"/>
              </w:rPr>
            </w:pPr>
            <w:r w:rsidRPr="00D53A62">
              <w:rPr>
                <w:lang w:val="en-GB"/>
              </w:rPr>
              <w:t>Incorrect use of HVL attenuation</w:t>
            </w:r>
          </w:p>
        </w:tc>
        <w:tc>
          <w:tcPr>
            <w:tcW w:w="0" w:type="auto"/>
            <w:vAlign w:val="center"/>
            <w:hideMark/>
          </w:tcPr>
          <w:p w14:paraId="488F333F" w14:textId="77777777" w:rsidR="00D53A62" w:rsidRPr="00D53A62" w:rsidRDefault="00D53A62" w:rsidP="00D53A62">
            <w:pPr>
              <w:rPr>
                <w:lang w:val="en-GB"/>
              </w:rPr>
            </w:pPr>
            <w:r w:rsidRPr="00D53A62">
              <w:rPr>
                <w:lang w:val="en-GB"/>
              </w:rPr>
              <w:t>Credit structure if the student uses a scientifically defensible attenuation approach</w:t>
            </w:r>
          </w:p>
        </w:tc>
      </w:tr>
      <w:tr w:rsidR="00D53A62" w:rsidRPr="00D53A62" w14:paraId="340AD269" w14:textId="77777777">
        <w:trPr>
          <w:tblCellSpacing w:w="15" w:type="dxa"/>
        </w:trPr>
        <w:tc>
          <w:tcPr>
            <w:tcW w:w="0" w:type="auto"/>
            <w:vAlign w:val="center"/>
            <w:hideMark/>
          </w:tcPr>
          <w:p w14:paraId="7F39BF67" w14:textId="77777777" w:rsidR="00D53A62" w:rsidRPr="00D53A62" w:rsidRDefault="00D53A62" w:rsidP="00D53A62">
            <w:pPr>
              <w:rPr>
                <w:lang w:val="en-GB"/>
              </w:rPr>
            </w:pPr>
            <w:r w:rsidRPr="00D53A62">
              <w:rPr>
                <w:lang w:val="en-GB"/>
              </w:rPr>
              <w:t>Ignoring water shielding entirely</w:t>
            </w:r>
          </w:p>
        </w:tc>
        <w:tc>
          <w:tcPr>
            <w:tcW w:w="0" w:type="auto"/>
            <w:vAlign w:val="center"/>
            <w:hideMark/>
          </w:tcPr>
          <w:p w14:paraId="6570D0E5" w14:textId="77777777" w:rsidR="00D53A62" w:rsidRPr="00D53A62" w:rsidRDefault="00D53A62" w:rsidP="00D53A62">
            <w:pPr>
              <w:rPr>
                <w:lang w:val="en-GB"/>
              </w:rPr>
            </w:pPr>
            <w:r w:rsidRPr="00D53A62">
              <w:rPr>
                <w:lang w:val="en-GB"/>
              </w:rPr>
              <w:t>Major loss of judgement and interpretation marks</w:t>
            </w:r>
          </w:p>
        </w:tc>
      </w:tr>
      <w:tr w:rsidR="00D53A62" w:rsidRPr="00D53A62" w14:paraId="491AE205" w14:textId="77777777">
        <w:trPr>
          <w:tblCellSpacing w:w="15" w:type="dxa"/>
        </w:trPr>
        <w:tc>
          <w:tcPr>
            <w:tcW w:w="0" w:type="auto"/>
            <w:vAlign w:val="center"/>
            <w:hideMark/>
          </w:tcPr>
          <w:p w14:paraId="1E36CB3B" w14:textId="77777777" w:rsidR="00D53A62" w:rsidRPr="00D53A62" w:rsidRDefault="00D53A62" w:rsidP="00D53A62">
            <w:pPr>
              <w:rPr>
                <w:lang w:val="en-GB"/>
              </w:rPr>
            </w:pPr>
            <w:r w:rsidRPr="00D53A62">
              <w:rPr>
                <w:lang w:val="en-GB"/>
              </w:rPr>
              <w:t>Treating the maze entrance reading as contradictory to the in-chamber exposure</w:t>
            </w:r>
          </w:p>
        </w:tc>
        <w:tc>
          <w:tcPr>
            <w:tcW w:w="0" w:type="auto"/>
            <w:vAlign w:val="center"/>
            <w:hideMark/>
          </w:tcPr>
          <w:p w14:paraId="371F5C0B" w14:textId="77777777" w:rsidR="00D53A62" w:rsidRPr="00D53A62" w:rsidRDefault="00D53A62" w:rsidP="00D53A62">
            <w:pPr>
              <w:rPr>
                <w:lang w:val="en-GB"/>
              </w:rPr>
            </w:pPr>
            <w:r w:rsidRPr="00D53A62">
              <w:rPr>
                <w:lang w:val="en-GB"/>
              </w:rPr>
              <w:t>Better answers should explain why both can be true simultaneously</w:t>
            </w:r>
          </w:p>
        </w:tc>
      </w:tr>
      <w:tr w:rsidR="00D53A62" w:rsidRPr="00D53A62" w14:paraId="0547FC39" w14:textId="77777777">
        <w:trPr>
          <w:tblCellSpacing w:w="15" w:type="dxa"/>
        </w:trPr>
        <w:tc>
          <w:tcPr>
            <w:tcW w:w="0" w:type="auto"/>
            <w:vAlign w:val="center"/>
            <w:hideMark/>
          </w:tcPr>
          <w:p w14:paraId="275DB35C" w14:textId="77777777" w:rsidR="00D53A62" w:rsidRPr="00D53A62" w:rsidRDefault="00D53A62" w:rsidP="00D53A62">
            <w:pPr>
              <w:rPr>
                <w:lang w:val="en-GB"/>
              </w:rPr>
            </w:pPr>
            <w:r w:rsidRPr="00D53A62">
              <w:rPr>
                <w:lang w:val="en-GB"/>
              </w:rPr>
              <w:t>Overstating health effects</w:t>
            </w:r>
          </w:p>
        </w:tc>
        <w:tc>
          <w:tcPr>
            <w:tcW w:w="0" w:type="auto"/>
            <w:vAlign w:val="center"/>
            <w:hideMark/>
          </w:tcPr>
          <w:p w14:paraId="50B68638" w14:textId="77777777" w:rsidR="00D53A62" w:rsidRPr="00D53A62" w:rsidRDefault="00D53A62" w:rsidP="00D53A62">
            <w:pPr>
              <w:rPr>
                <w:lang w:val="en-GB"/>
              </w:rPr>
            </w:pPr>
            <w:r w:rsidRPr="00D53A62">
              <w:rPr>
                <w:lang w:val="en-GB"/>
              </w:rPr>
              <w:t>Correct firmly if students infer deterministic injury from this dose range</w:t>
            </w:r>
          </w:p>
        </w:tc>
      </w:tr>
      <w:tr w:rsidR="00D53A62" w:rsidRPr="00D53A62" w14:paraId="41A19BE9" w14:textId="77777777">
        <w:trPr>
          <w:tblCellSpacing w:w="15" w:type="dxa"/>
        </w:trPr>
        <w:tc>
          <w:tcPr>
            <w:tcW w:w="0" w:type="auto"/>
            <w:vAlign w:val="center"/>
            <w:hideMark/>
          </w:tcPr>
          <w:p w14:paraId="35A3BD12" w14:textId="77777777" w:rsidR="00D53A62" w:rsidRPr="00D53A62" w:rsidRDefault="00D53A62" w:rsidP="00D53A62">
            <w:pPr>
              <w:rPr>
                <w:lang w:val="en-GB"/>
              </w:rPr>
            </w:pPr>
            <w:r w:rsidRPr="00D53A62">
              <w:rPr>
                <w:lang w:val="en-GB"/>
              </w:rPr>
              <w:t>Treating the point-source model as exact</w:t>
            </w:r>
          </w:p>
        </w:tc>
        <w:tc>
          <w:tcPr>
            <w:tcW w:w="0" w:type="auto"/>
            <w:vAlign w:val="center"/>
            <w:hideMark/>
          </w:tcPr>
          <w:p w14:paraId="65993560" w14:textId="77777777" w:rsidR="00D53A62" w:rsidRPr="00D53A62" w:rsidRDefault="00D53A62" w:rsidP="00D53A62">
            <w:pPr>
              <w:rPr>
                <w:lang w:val="en-GB"/>
              </w:rPr>
            </w:pPr>
            <w:r w:rsidRPr="00D53A62">
              <w:rPr>
                <w:lang w:val="en-GB"/>
              </w:rPr>
              <w:t>Reward students who explicitly discuss its limitations</w:t>
            </w:r>
          </w:p>
        </w:tc>
      </w:tr>
    </w:tbl>
    <w:p w14:paraId="6FE71308" w14:textId="77777777" w:rsidR="00D53A62" w:rsidRPr="00D53A62" w:rsidRDefault="00000000" w:rsidP="00D53A62">
      <w:pPr>
        <w:rPr>
          <w:lang w:val="en-GB"/>
        </w:rPr>
      </w:pPr>
      <w:r>
        <w:rPr>
          <w:lang w:val="en-GB"/>
        </w:rPr>
        <w:pict w14:anchorId="1A114B9F">
          <v:rect id="_x0000_i1039" style="width:0;height:1.5pt" o:hralign="center" o:hrstd="t" o:hr="t" fillcolor="#a0a0a0" stroked="f"/>
        </w:pict>
      </w:r>
    </w:p>
    <w:p w14:paraId="0ED20E7F" w14:textId="77777777" w:rsidR="00D53A62" w:rsidRPr="00D53A62" w:rsidRDefault="00D53A62" w:rsidP="00D53A62">
      <w:pPr>
        <w:rPr>
          <w:b/>
          <w:bCs/>
          <w:lang w:val="en-GB"/>
        </w:rPr>
      </w:pPr>
      <w:r w:rsidRPr="00D53A62">
        <w:rPr>
          <w:b/>
          <w:bCs/>
          <w:lang w:val="en-GB"/>
        </w:rPr>
        <w:t>9. Indicative concluding judgement</w:t>
      </w:r>
    </w:p>
    <w:p w14:paraId="2B82E9E4" w14:textId="77777777" w:rsidR="00D53A62" w:rsidRPr="00D53A62" w:rsidRDefault="00D53A62" w:rsidP="00D53A62">
      <w:pPr>
        <w:rPr>
          <w:lang w:val="en-GB"/>
        </w:rPr>
      </w:pPr>
      <w:r w:rsidRPr="00D53A62">
        <w:rPr>
          <w:lang w:val="en-GB"/>
        </w:rPr>
        <w:t>A strong student conclusion would state that the incident arose from partial failure of the source-hoist return, incorrect indication of the parked condition, and unsafe reliance on low external dose-rate measurements in the presence of clear warning indicators. The technician entered while the cobalt-60 rack remained only partly shielded by water and received a significant occupational overexposure of the order of a few tens of millisievert.</w:t>
      </w:r>
    </w:p>
    <w:p w14:paraId="58539BCE" w14:textId="77777777" w:rsidR="00D53A62" w:rsidRPr="00D53A62" w:rsidRDefault="00D53A62" w:rsidP="00D53A62">
      <w:pPr>
        <w:rPr>
          <w:lang w:val="en-GB"/>
        </w:rPr>
      </w:pPr>
      <w:r w:rsidRPr="00D53A62">
        <w:rPr>
          <w:lang w:val="en-GB"/>
        </w:rPr>
        <w:t>Although deterministic whole-body injury would not be expected, the event represents a serious radiological protection failure and a clear breakdown in defence in depth, including engineering controls, procedural discipline, and interpretation of radiological warning signals.</w:t>
      </w:r>
    </w:p>
    <w:p w14:paraId="33F69BFF" w14:textId="77777777" w:rsidR="00B06A8D" w:rsidRDefault="00B06A8D" w:rsidP="00D53A62"/>
    <w:sectPr w:rsidR="00B06A8D"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A032D" w14:textId="77777777" w:rsidR="00C4791C" w:rsidRDefault="00C4791C" w:rsidP="00365D71">
      <w:pPr>
        <w:spacing w:after="0" w:line="240" w:lineRule="auto"/>
      </w:pPr>
      <w:r>
        <w:separator/>
      </w:r>
    </w:p>
  </w:endnote>
  <w:endnote w:type="continuationSeparator" w:id="0">
    <w:p w14:paraId="054CA9E2" w14:textId="77777777" w:rsidR="00C4791C" w:rsidRDefault="00C4791C" w:rsidP="00365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5753216"/>
      <w:docPartObj>
        <w:docPartGallery w:val="Page Numbers (Bottom of Page)"/>
        <w:docPartUnique/>
      </w:docPartObj>
    </w:sdtPr>
    <w:sdtContent>
      <w:p w14:paraId="297E50B3" w14:textId="339B6B73" w:rsidR="00195DEE" w:rsidRDefault="00195DEE">
        <w:pPr>
          <w:pStyle w:val="Footer"/>
          <w:jc w:val="center"/>
        </w:pPr>
        <w:r>
          <w:fldChar w:fldCharType="begin"/>
        </w:r>
        <w:r>
          <w:instrText>PAGE   \* MERGEFORMAT</w:instrText>
        </w:r>
        <w:r>
          <w:fldChar w:fldCharType="separate"/>
        </w:r>
        <w:r>
          <w:rPr>
            <w:lang w:val="en-GB"/>
          </w:rPr>
          <w:t>2</w:t>
        </w:r>
        <w:r>
          <w:fldChar w:fldCharType="end"/>
        </w:r>
      </w:p>
    </w:sdtContent>
  </w:sdt>
  <w:p w14:paraId="2596458F" w14:textId="77777777" w:rsidR="00195DEE" w:rsidRDefault="00195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B0F6D" w14:textId="77777777" w:rsidR="00C4791C" w:rsidRDefault="00C4791C" w:rsidP="00365D71">
      <w:pPr>
        <w:spacing w:after="0" w:line="240" w:lineRule="auto"/>
      </w:pPr>
      <w:r>
        <w:separator/>
      </w:r>
    </w:p>
  </w:footnote>
  <w:footnote w:type="continuationSeparator" w:id="0">
    <w:p w14:paraId="510B88F0" w14:textId="77777777" w:rsidR="00C4791C" w:rsidRDefault="00C4791C" w:rsidP="00365D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133BD7" w14:textId="1E2B96DB" w:rsidR="00365D71" w:rsidRPr="00365D71" w:rsidRDefault="00365D71" w:rsidP="00365D71">
    <w:pPr>
      <w:pStyle w:val="Header"/>
      <w:jc w:val="center"/>
      <w:rPr>
        <w:lang w:val="en-GB"/>
      </w:rPr>
    </w:pPr>
    <w:r>
      <w:rPr>
        <w:lang w:val="en-GB"/>
      </w:rP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7FD73E5"/>
    <w:multiLevelType w:val="multilevel"/>
    <w:tmpl w:val="D8722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956901"/>
    <w:multiLevelType w:val="hybridMultilevel"/>
    <w:tmpl w:val="3DA0B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536CAA"/>
    <w:multiLevelType w:val="multilevel"/>
    <w:tmpl w:val="17383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9C531B"/>
    <w:multiLevelType w:val="hybridMultilevel"/>
    <w:tmpl w:val="8D02F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E63D3A"/>
    <w:multiLevelType w:val="multilevel"/>
    <w:tmpl w:val="4336F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C35822"/>
    <w:multiLevelType w:val="multilevel"/>
    <w:tmpl w:val="D784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B21E2A"/>
    <w:multiLevelType w:val="multilevel"/>
    <w:tmpl w:val="DEE6A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D263AE"/>
    <w:multiLevelType w:val="multilevel"/>
    <w:tmpl w:val="8BC6D2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0630BE"/>
    <w:multiLevelType w:val="multilevel"/>
    <w:tmpl w:val="39164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2D4968"/>
    <w:multiLevelType w:val="multilevel"/>
    <w:tmpl w:val="D3C0E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2380519">
    <w:abstractNumId w:val="8"/>
  </w:num>
  <w:num w:numId="2" w16cid:durableId="1318070567">
    <w:abstractNumId w:val="6"/>
  </w:num>
  <w:num w:numId="3" w16cid:durableId="201403721">
    <w:abstractNumId w:val="5"/>
  </w:num>
  <w:num w:numId="4" w16cid:durableId="1703556113">
    <w:abstractNumId w:val="4"/>
  </w:num>
  <w:num w:numId="5" w16cid:durableId="1114133667">
    <w:abstractNumId w:val="7"/>
  </w:num>
  <w:num w:numId="6" w16cid:durableId="617835151">
    <w:abstractNumId w:val="3"/>
  </w:num>
  <w:num w:numId="7" w16cid:durableId="878007213">
    <w:abstractNumId w:val="2"/>
  </w:num>
  <w:num w:numId="8" w16cid:durableId="580414320">
    <w:abstractNumId w:val="1"/>
  </w:num>
  <w:num w:numId="9" w16cid:durableId="346829031">
    <w:abstractNumId w:val="0"/>
  </w:num>
  <w:num w:numId="10" w16cid:durableId="263927455">
    <w:abstractNumId w:val="10"/>
  </w:num>
  <w:num w:numId="11" w16cid:durableId="1294479351">
    <w:abstractNumId w:val="12"/>
  </w:num>
  <w:num w:numId="12" w16cid:durableId="1195730381">
    <w:abstractNumId w:val="9"/>
  </w:num>
  <w:num w:numId="13" w16cid:durableId="112024299">
    <w:abstractNumId w:val="14"/>
  </w:num>
  <w:num w:numId="14" w16cid:durableId="2102487683">
    <w:abstractNumId w:val="17"/>
  </w:num>
  <w:num w:numId="15" w16cid:durableId="192769170">
    <w:abstractNumId w:val="18"/>
  </w:num>
  <w:num w:numId="16" w16cid:durableId="1965695409">
    <w:abstractNumId w:val="16"/>
  </w:num>
  <w:num w:numId="17" w16cid:durableId="1764105038">
    <w:abstractNumId w:val="11"/>
  </w:num>
  <w:num w:numId="18" w16cid:durableId="859898541">
    <w:abstractNumId w:val="13"/>
  </w:num>
  <w:num w:numId="19" w16cid:durableId="7899333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137E"/>
    <w:rsid w:val="0014480F"/>
    <w:rsid w:val="0015074B"/>
    <w:rsid w:val="00157679"/>
    <w:rsid w:val="00195DEE"/>
    <w:rsid w:val="001F5973"/>
    <w:rsid w:val="0020040A"/>
    <w:rsid w:val="00206832"/>
    <w:rsid w:val="002128C1"/>
    <w:rsid w:val="002321C2"/>
    <w:rsid w:val="00283406"/>
    <w:rsid w:val="00287DF2"/>
    <w:rsid w:val="0029639D"/>
    <w:rsid w:val="002D657D"/>
    <w:rsid w:val="00326F90"/>
    <w:rsid w:val="00350426"/>
    <w:rsid w:val="00365D71"/>
    <w:rsid w:val="00374F61"/>
    <w:rsid w:val="004179F1"/>
    <w:rsid w:val="004A18BF"/>
    <w:rsid w:val="004A2DCB"/>
    <w:rsid w:val="004E23D9"/>
    <w:rsid w:val="004E26E6"/>
    <w:rsid w:val="004E75E0"/>
    <w:rsid w:val="00597AA7"/>
    <w:rsid w:val="005B5BD4"/>
    <w:rsid w:val="006B7818"/>
    <w:rsid w:val="006E156E"/>
    <w:rsid w:val="007465EB"/>
    <w:rsid w:val="00757596"/>
    <w:rsid w:val="0078027E"/>
    <w:rsid w:val="007A40C1"/>
    <w:rsid w:val="00822020"/>
    <w:rsid w:val="00827AB4"/>
    <w:rsid w:val="00860EAD"/>
    <w:rsid w:val="00864911"/>
    <w:rsid w:val="00872F87"/>
    <w:rsid w:val="008B35FC"/>
    <w:rsid w:val="009004D7"/>
    <w:rsid w:val="00931DAB"/>
    <w:rsid w:val="009753F1"/>
    <w:rsid w:val="009D7FB4"/>
    <w:rsid w:val="009E1B57"/>
    <w:rsid w:val="009E766F"/>
    <w:rsid w:val="00A003BE"/>
    <w:rsid w:val="00A3088E"/>
    <w:rsid w:val="00A8052F"/>
    <w:rsid w:val="00AA1D8D"/>
    <w:rsid w:val="00AA3477"/>
    <w:rsid w:val="00AB4F5B"/>
    <w:rsid w:val="00AF6B31"/>
    <w:rsid w:val="00B06A8D"/>
    <w:rsid w:val="00B21A9C"/>
    <w:rsid w:val="00B47730"/>
    <w:rsid w:val="00BE2053"/>
    <w:rsid w:val="00BF35FC"/>
    <w:rsid w:val="00BF5ED7"/>
    <w:rsid w:val="00C32933"/>
    <w:rsid w:val="00C4791C"/>
    <w:rsid w:val="00CA0348"/>
    <w:rsid w:val="00CB0664"/>
    <w:rsid w:val="00D21EF9"/>
    <w:rsid w:val="00D271B3"/>
    <w:rsid w:val="00D27A31"/>
    <w:rsid w:val="00D53A62"/>
    <w:rsid w:val="00D81D4A"/>
    <w:rsid w:val="00DF07FF"/>
    <w:rsid w:val="00E2771B"/>
    <w:rsid w:val="00E7260C"/>
    <w:rsid w:val="00EA0A1C"/>
    <w:rsid w:val="00F2426D"/>
    <w:rsid w:val="00F40255"/>
    <w:rsid w:val="00F440DD"/>
    <w:rsid w:val="00FA4B51"/>
    <w:rsid w:val="00FB7008"/>
    <w:rsid w:val="00FC11CC"/>
    <w:rsid w:val="00FC693F"/>
    <w:rsid w:val="00FE12FF"/>
    <w:rsid w:val="00FE7282"/>
    <w:rsid w:val="00FF7F2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016C88"/>
  <w14:defaultImageDpi w14:val="300"/>
  <w15:docId w15:val="{F5E5144E-FA36-4630-A752-CE7986696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9</Pages>
  <Words>2140</Words>
  <Characters>10189</Characters>
  <Application>Microsoft Office Word</Application>
  <DocSecurity>0</DocSecurity>
  <Lines>424</Lines>
  <Paragraphs>493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Holloway, Ian Dr (NAVY PEOPLE-NUC PHYS MGR)</cp:lastModifiedBy>
  <cp:revision>34</cp:revision>
  <dcterms:created xsi:type="dcterms:W3CDTF">2026-03-24T14:59:00Z</dcterms:created>
  <dcterms:modified xsi:type="dcterms:W3CDTF">2026-03-27T09:19:00Z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2026-03-19T15:13:46Z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fa56be28-6a4b-4293-9923-2652c25163d1</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