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13758" w14:textId="77777777" w:rsidR="00103DD3" w:rsidRPr="003C1399" w:rsidRDefault="00103DD3" w:rsidP="00103DD3">
      <w:pPr>
        <w:adjustRightInd w:val="0"/>
        <w:snapToGrid w:val="0"/>
        <w:spacing w:line="0" w:lineRule="atLeast"/>
        <w:jc w:val="both"/>
        <w:rPr>
          <w:b/>
          <w:sz w:val="26"/>
          <w:lang w:val="en-HK"/>
        </w:rPr>
      </w:pPr>
    </w:p>
    <w:p w14:paraId="6AB4D646" w14:textId="77777777" w:rsidR="00103DD3" w:rsidRPr="003C1399" w:rsidRDefault="00103DD3" w:rsidP="00103DD3">
      <w:pPr>
        <w:adjustRightInd w:val="0"/>
        <w:snapToGrid w:val="0"/>
        <w:spacing w:line="0" w:lineRule="atLeast"/>
        <w:jc w:val="center"/>
        <w:rPr>
          <w:b/>
          <w:sz w:val="26"/>
          <w:szCs w:val="26"/>
          <w:lang w:val="en-HK"/>
        </w:rPr>
      </w:pPr>
      <w:r w:rsidRPr="003C1399">
        <w:rPr>
          <w:b/>
          <w:noProof/>
          <w:sz w:val="26"/>
        </w:rPr>
        <w:drawing>
          <wp:inline distT="0" distB="0" distL="0" distR="0" wp14:anchorId="66A91E60" wp14:editId="00FF26EA">
            <wp:extent cx="2218690" cy="882650"/>
            <wp:effectExtent l="0" t="0" r="0" b="0"/>
            <wp:docPr id="5" name="圖片 5"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368D3B2F" w14:textId="77777777" w:rsidR="00103DD3" w:rsidRPr="003C1399" w:rsidRDefault="00103DD3" w:rsidP="00103DD3">
      <w:pPr>
        <w:adjustRightInd w:val="0"/>
        <w:snapToGrid w:val="0"/>
        <w:spacing w:line="0" w:lineRule="atLeast"/>
        <w:jc w:val="center"/>
        <w:rPr>
          <w:b/>
          <w:sz w:val="26"/>
          <w:szCs w:val="26"/>
          <w:lang w:val="en-HK"/>
        </w:rPr>
      </w:pPr>
    </w:p>
    <w:p w14:paraId="6324484C" w14:textId="77777777" w:rsidR="00103DD3" w:rsidRPr="003C1399" w:rsidRDefault="00103DD3" w:rsidP="00103DD3">
      <w:pPr>
        <w:adjustRightInd w:val="0"/>
        <w:snapToGrid w:val="0"/>
        <w:spacing w:line="0" w:lineRule="atLeast"/>
        <w:jc w:val="center"/>
        <w:rPr>
          <w:b/>
          <w:sz w:val="26"/>
          <w:szCs w:val="26"/>
          <w:lang w:val="en-HK"/>
        </w:rPr>
      </w:pPr>
    </w:p>
    <w:p w14:paraId="01F67DBB" w14:textId="77777777" w:rsidR="00103DD3" w:rsidRPr="00E940F0" w:rsidRDefault="00103DD3" w:rsidP="00103DD3">
      <w:pPr>
        <w:adjustRightInd w:val="0"/>
        <w:snapToGrid w:val="0"/>
        <w:spacing w:line="0" w:lineRule="atLeast"/>
        <w:jc w:val="center"/>
        <w:rPr>
          <w:b/>
          <w:sz w:val="36"/>
          <w:szCs w:val="36"/>
          <w:lang w:val="en-HK"/>
        </w:rPr>
      </w:pPr>
      <w:r w:rsidRPr="00E940F0">
        <w:rPr>
          <w:color w:val="000000"/>
          <w:sz w:val="36"/>
          <w:szCs w:val="36"/>
        </w:rPr>
        <w:t>UWTSD MBA HKBM7009</w:t>
      </w:r>
      <w:r w:rsidRPr="00E940F0">
        <w:rPr>
          <w:color w:val="000000"/>
          <w:sz w:val="36"/>
          <w:szCs w:val="36"/>
        </w:rPr>
        <w:br/>
        <w:t>(UWMBA-30013-202</w:t>
      </w:r>
      <w:r>
        <w:rPr>
          <w:color w:val="000000"/>
          <w:sz w:val="36"/>
          <w:szCs w:val="36"/>
        </w:rPr>
        <w:t>3</w:t>
      </w:r>
      <w:r w:rsidRPr="00E940F0">
        <w:rPr>
          <w:color w:val="000000"/>
          <w:sz w:val="36"/>
          <w:szCs w:val="36"/>
        </w:rPr>
        <w:t>-1-SS)</w:t>
      </w:r>
    </w:p>
    <w:p w14:paraId="6842148C" w14:textId="77777777" w:rsidR="00103DD3" w:rsidRPr="00E940F0" w:rsidRDefault="00103DD3" w:rsidP="00103DD3">
      <w:pPr>
        <w:adjustRightInd w:val="0"/>
        <w:snapToGrid w:val="0"/>
        <w:spacing w:line="0" w:lineRule="atLeast"/>
        <w:jc w:val="center"/>
        <w:rPr>
          <w:bCs/>
          <w:sz w:val="36"/>
          <w:szCs w:val="36"/>
          <w:lang w:val="en-HK"/>
        </w:rPr>
      </w:pPr>
      <w:r w:rsidRPr="00CD7E3B">
        <w:rPr>
          <w:bCs/>
          <w:sz w:val="36"/>
          <w:szCs w:val="36"/>
          <w:lang w:val="en-HK"/>
        </w:rPr>
        <w:t>HKBM7009</w:t>
      </w:r>
      <w:r>
        <w:rPr>
          <w:bCs/>
          <w:sz w:val="36"/>
          <w:szCs w:val="36"/>
          <w:lang w:val="en-HK"/>
        </w:rPr>
        <w:t xml:space="preserve"> </w:t>
      </w:r>
      <w:r w:rsidRPr="00E940F0">
        <w:rPr>
          <w:bCs/>
          <w:sz w:val="36"/>
          <w:szCs w:val="36"/>
          <w:lang w:val="en-HK"/>
        </w:rPr>
        <w:t xml:space="preserve">Global Business Challenges </w:t>
      </w:r>
    </w:p>
    <w:p w14:paraId="4A1B1FBE" w14:textId="77777777" w:rsidR="00103DD3" w:rsidRDefault="00103DD3" w:rsidP="00103DD3">
      <w:pPr>
        <w:adjustRightInd w:val="0"/>
        <w:snapToGrid w:val="0"/>
        <w:spacing w:line="0" w:lineRule="atLeast"/>
        <w:jc w:val="center"/>
        <w:rPr>
          <w:b/>
          <w:sz w:val="32"/>
          <w:szCs w:val="32"/>
          <w:lang w:val="en-HK"/>
        </w:rPr>
      </w:pPr>
    </w:p>
    <w:p w14:paraId="0D9DA78D" w14:textId="77777777" w:rsidR="00103DD3" w:rsidRDefault="00103DD3" w:rsidP="00103DD3">
      <w:pPr>
        <w:adjustRightInd w:val="0"/>
        <w:snapToGrid w:val="0"/>
        <w:spacing w:line="0" w:lineRule="atLeast"/>
        <w:jc w:val="center"/>
        <w:rPr>
          <w:b/>
          <w:sz w:val="32"/>
          <w:szCs w:val="32"/>
          <w:lang w:val="en-HK"/>
        </w:rPr>
      </w:pPr>
    </w:p>
    <w:p w14:paraId="7431726F" w14:textId="77777777" w:rsidR="00103DD3" w:rsidRDefault="00103DD3" w:rsidP="00103DD3">
      <w:pPr>
        <w:adjustRightInd w:val="0"/>
        <w:snapToGrid w:val="0"/>
        <w:spacing w:line="0" w:lineRule="atLeast"/>
        <w:jc w:val="center"/>
        <w:rPr>
          <w:b/>
          <w:sz w:val="32"/>
          <w:szCs w:val="32"/>
          <w:lang w:val="en-HK"/>
        </w:rPr>
      </w:pPr>
    </w:p>
    <w:p w14:paraId="27FFFE97" w14:textId="77777777" w:rsidR="00103DD3" w:rsidRPr="00293F31" w:rsidRDefault="00103DD3" w:rsidP="00103DD3">
      <w:pPr>
        <w:adjustRightInd w:val="0"/>
        <w:snapToGrid w:val="0"/>
        <w:spacing w:line="0" w:lineRule="atLeast"/>
        <w:jc w:val="center"/>
        <w:rPr>
          <w:b/>
          <w:sz w:val="36"/>
          <w:szCs w:val="36"/>
          <w:lang w:val="en-HK"/>
        </w:rPr>
      </w:pPr>
      <w:r w:rsidRPr="00293F31">
        <w:rPr>
          <w:b/>
          <w:sz w:val="36"/>
          <w:szCs w:val="36"/>
          <w:lang w:val="en-GB"/>
        </w:rPr>
        <w:t xml:space="preserve">An Analytical Report on the </w:t>
      </w:r>
      <w:r>
        <w:rPr>
          <w:b/>
          <w:sz w:val="36"/>
          <w:szCs w:val="36"/>
          <w:lang w:val="en-GB"/>
        </w:rPr>
        <w:t>T</w:t>
      </w:r>
      <w:r w:rsidRPr="00293F31">
        <w:rPr>
          <w:b/>
          <w:sz w:val="36"/>
          <w:szCs w:val="36"/>
          <w:lang w:val="en-GB"/>
        </w:rPr>
        <w:t>rend Movement of a Key Indicator of the Global Economy</w:t>
      </w:r>
    </w:p>
    <w:p w14:paraId="22D6C0D9" w14:textId="77777777" w:rsidR="00103DD3" w:rsidRDefault="00103DD3" w:rsidP="00103DD3">
      <w:pPr>
        <w:adjustRightInd w:val="0"/>
        <w:snapToGrid w:val="0"/>
        <w:spacing w:line="0" w:lineRule="atLeast"/>
        <w:jc w:val="center"/>
        <w:rPr>
          <w:b/>
          <w:sz w:val="32"/>
          <w:szCs w:val="32"/>
          <w:lang w:val="en-HK"/>
        </w:rPr>
      </w:pPr>
      <w:r>
        <w:rPr>
          <w:b/>
          <w:sz w:val="32"/>
          <w:szCs w:val="32"/>
          <w:lang w:val="en-HK"/>
        </w:rPr>
        <w:t xml:space="preserve"> </w:t>
      </w:r>
    </w:p>
    <w:p w14:paraId="23B0FE14" w14:textId="77777777" w:rsidR="00103DD3" w:rsidRPr="003C1399" w:rsidRDefault="00103DD3" w:rsidP="00103DD3">
      <w:pPr>
        <w:adjustRightInd w:val="0"/>
        <w:snapToGrid w:val="0"/>
        <w:spacing w:line="0" w:lineRule="atLeast"/>
        <w:jc w:val="center"/>
        <w:rPr>
          <w:b/>
          <w:sz w:val="26"/>
          <w:szCs w:val="26"/>
          <w:lang w:val="en-HK"/>
        </w:rPr>
      </w:pPr>
    </w:p>
    <w:p w14:paraId="58101669" w14:textId="77777777" w:rsidR="00103DD3" w:rsidRPr="003C1399" w:rsidRDefault="00103DD3" w:rsidP="00103DD3">
      <w:pPr>
        <w:adjustRightInd w:val="0"/>
        <w:snapToGrid w:val="0"/>
        <w:spacing w:line="0" w:lineRule="atLeast"/>
        <w:jc w:val="center"/>
        <w:rPr>
          <w:b/>
          <w:sz w:val="32"/>
          <w:szCs w:val="32"/>
          <w:lang w:val="en-HK"/>
        </w:rPr>
      </w:pPr>
      <w:r w:rsidRPr="003C1399">
        <w:rPr>
          <w:b/>
          <w:sz w:val="32"/>
          <w:szCs w:val="32"/>
          <w:lang w:val="en-HK"/>
        </w:rPr>
        <w:t xml:space="preserve"> </w:t>
      </w:r>
    </w:p>
    <w:p w14:paraId="7C38AF7B" w14:textId="77777777" w:rsidR="00103DD3" w:rsidRPr="003C1399" w:rsidRDefault="00103DD3" w:rsidP="00103DD3">
      <w:pPr>
        <w:adjustRightInd w:val="0"/>
        <w:snapToGrid w:val="0"/>
        <w:spacing w:line="0" w:lineRule="atLeast"/>
        <w:jc w:val="center"/>
        <w:rPr>
          <w:b/>
          <w:sz w:val="26"/>
          <w:lang w:val="en-HK"/>
        </w:rPr>
      </w:pPr>
    </w:p>
    <w:p w14:paraId="25B0ECC2" w14:textId="77777777" w:rsidR="00103DD3" w:rsidRPr="003C1399" w:rsidRDefault="00103DD3" w:rsidP="00103DD3">
      <w:pPr>
        <w:adjustRightInd w:val="0"/>
        <w:snapToGrid w:val="0"/>
        <w:spacing w:line="0" w:lineRule="atLeast"/>
        <w:jc w:val="both"/>
        <w:rPr>
          <w:b/>
          <w:sz w:val="26"/>
          <w:lang w:val="en-HK"/>
        </w:rPr>
      </w:pPr>
    </w:p>
    <w:p w14:paraId="0F7797AF" w14:textId="77777777" w:rsidR="00103DD3" w:rsidRPr="003C1399" w:rsidRDefault="00103DD3" w:rsidP="00103DD3">
      <w:pPr>
        <w:adjustRightInd w:val="0"/>
        <w:snapToGrid w:val="0"/>
        <w:spacing w:line="0" w:lineRule="atLeast"/>
        <w:jc w:val="both"/>
        <w:rPr>
          <w:b/>
          <w:sz w:val="26"/>
          <w:lang w:val="en-HK"/>
        </w:rPr>
      </w:pPr>
    </w:p>
    <w:p w14:paraId="7A02D9CE" w14:textId="77777777" w:rsidR="00103DD3" w:rsidRPr="003C1399" w:rsidRDefault="00103DD3" w:rsidP="00103DD3">
      <w:pPr>
        <w:adjustRightInd w:val="0"/>
        <w:snapToGrid w:val="0"/>
        <w:spacing w:line="0" w:lineRule="atLeast"/>
        <w:jc w:val="both"/>
        <w:rPr>
          <w:b/>
          <w:sz w:val="26"/>
          <w:lang w:val="en-HK"/>
        </w:rPr>
      </w:pPr>
    </w:p>
    <w:p w14:paraId="5A6AADBE" w14:textId="77777777" w:rsidR="00103DD3" w:rsidRPr="00684616" w:rsidRDefault="00103DD3" w:rsidP="00103DD3">
      <w:pPr>
        <w:adjustRightInd w:val="0"/>
        <w:snapToGrid w:val="0"/>
        <w:spacing w:line="0" w:lineRule="atLeast"/>
        <w:jc w:val="center"/>
        <w:rPr>
          <w:sz w:val="28"/>
          <w:szCs w:val="28"/>
          <w:lang w:val="en-HK"/>
        </w:rPr>
      </w:pPr>
      <w:r w:rsidRPr="003C1399">
        <w:rPr>
          <w:sz w:val="28"/>
          <w:szCs w:val="28"/>
          <w:lang w:val="en-HK"/>
        </w:rPr>
        <w:t>A</w:t>
      </w:r>
      <w:r w:rsidRPr="00684616">
        <w:rPr>
          <w:sz w:val="28"/>
          <w:szCs w:val="28"/>
          <w:lang w:val="en-HK"/>
        </w:rPr>
        <w:t>n</w:t>
      </w:r>
      <w:r w:rsidRPr="003C1399">
        <w:rPr>
          <w:sz w:val="28"/>
          <w:szCs w:val="28"/>
          <w:lang w:val="en-HK"/>
        </w:rPr>
        <w:t xml:space="preserve"> </w:t>
      </w:r>
      <w:r w:rsidRPr="00684616">
        <w:rPr>
          <w:sz w:val="28"/>
          <w:szCs w:val="28"/>
          <w:lang w:val="en-HK"/>
        </w:rPr>
        <w:t xml:space="preserve">Analytical Report </w:t>
      </w:r>
      <w:r w:rsidRPr="003C1399">
        <w:rPr>
          <w:sz w:val="28"/>
          <w:szCs w:val="28"/>
          <w:lang w:val="en-HK"/>
        </w:rPr>
        <w:t xml:space="preserve">Submitted in </w:t>
      </w:r>
      <w:r w:rsidRPr="00684616">
        <w:rPr>
          <w:sz w:val="28"/>
          <w:szCs w:val="28"/>
          <w:lang w:val="en-HK"/>
        </w:rPr>
        <w:t>Contribution to 100% Module Assessment</w:t>
      </w:r>
    </w:p>
    <w:p w14:paraId="4998403E" w14:textId="77777777" w:rsidR="00103DD3" w:rsidRPr="003C1399" w:rsidRDefault="00103DD3" w:rsidP="00103DD3">
      <w:pPr>
        <w:adjustRightInd w:val="0"/>
        <w:snapToGrid w:val="0"/>
        <w:spacing w:line="0" w:lineRule="atLeast"/>
        <w:jc w:val="center"/>
        <w:rPr>
          <w:lang w:val="en-HK"/>
        </w:rPr>
      </w:pPr>
    </w:p>
    <w:p w14:paraId="70E56BC7" w14:textId="77777777" w:rsidR="00103DD3" w:rsidRPr="003C1399" w:rsidRDefault="00103DD3" w:rsidP="00103DD3">
      <w:pPr>
        <w:adjustRightInd w:val="0"/>
        <w:snapToGrid w:val="0"/>
        <w:spacing w:line="0" w:lineRule="atLeast"/>
        <w:jc w:val="both"/>
        <w:rPr>
          <w:b/>
          <w:sz w:val="26"/>
          <w:lang w:val="en-HK"/>
        </w:rPr>
      </w:pPr>
      <w:r w:rsidRPr="003C1399">
        <w:rPr>
          <w:b/>
          <w:sz w:val="26"/>
          <w:lang w:val="en-HK"/>
        </w:rPr>
        <w:t xml:space="preserve"> </w:t>
      </w:r>
    </w:p>
    <w:p w14:paraId="2C64A8A8" w14:textId="77777777" w:rsidR="00103DD3" w:rsidRDefault="00103DD3" w:rsidP="00103DD3">
      <w:pPr>
        <w:adjustRightInd w:val="0"/>
        <w:snapToGrid w:val="0"/>
        <w:spacing w:line="0" w:lineRule="atLeast"/>
        <w:jc w:val="both"/>
        <w:rPr>
          <w:b/>
          <w:sz w:val="26"/>
          <w:lang w:val="en-HK"/>
        </w:rPr>
      </w:pPr>
    </w:p>
    <w:p w14:paraId="2CA6F625" w14:textId="77777777" w:rsidR="00103DD3" w:rsidRDefault="00103DD3" w:rsidP="00103DD3">
      <w:pPr>
        <w:adjustRightInd w:val="0"/>
        <w:snapToGrid w:val="0"/>
        <w:spacing w:line="0" w:lineRule="atLeast"/>
        <w:jc w:val="both"/>
        <w:rPr>
          <w:b/>
          <w:sz w:val="26"/>
          <w:lang w:val="en-HK"/>
        </w:rPr>
      </w:pPr>
    </w:p>
    <w:p w14:paraId="1C3DBD5D" w14:textId="77777777" w:rsidR="00103DD3" w:rsidRDefault="00103DD3" w:rsidP="00103DD3">
      <w:pPr>
        <w:adjustRightInd w:val="0"/>
        <w:snapToGrid w:val="0"/>
        <w:spacing w:line="0" w:lineRule="atLeast"/>
        <w:jc w:val="both"/>
        <w:rPr>
          <w:b/>
          <w:sz w:val="26"/>
          <w:lang w:val="en-HK"/>
        </w:rPr>
      </w:pPr>
    </w:p>
    <w:p w14:paraId="07965D0C" w14:textId="77777777" w:rsidR="00103DD3" w:rsidRDefault="00103DD3" w:rsidP="00103DD3">
      <w:pPr>
        <w:adjustRightInd w:val="0"/>
        <w:snapToGrid w:val="0"/>
        <w:spacing w:line="0" w:lineRule="atLeast"/>
        <w:jc w:val="both"/>
        <w:rPr>
          <w:b/>
          <w:sz w:val="26"/>
          <w:lang w:val="en-HK"/>
        </w:rPr>
      </w:pPr>
    </w:p>
    <w:p w14:paraId="2E7C5B0B" w14:textId="77777777" w:rsidR="00103DD3" w:rsidRPr="003C1399" w:rsidRDefault="00103DD3" w:rsidP="00103DD3">
      <w:pPr>
        <w:adjustRightInd w:val="0"/>
        <w:snapToGrid w:val="0"/>
        <w:spacing w:line="0" w:lineRule="atLeast"/>
        <w:jc w:val="both"/>
        <w:rPr>
          <w:b/>
          <w:sz w:val="26"/>
          <w:lang w:val="en-HK"/>
        </w:rPr>
      </w:pPr>
    </w:p>
    <w:p w14:paraId="73BD8BFC" w14:textId="77777777" w:rsidR="00103DD3" w:rsidRPr="003C1399" w:rsidRDefault="00103DD3" w:rsidP="00103DD3">
      <w:pPr>
        <w:adjustRightInd w:val="0"/>
        <w:snapToGrid w:val="0"/>
        <w:spacing w:line="0" w:lineRule="atLeast"/>
        <w:jc w:val="both"/>
        <w:rPr>
          <w:b/>
          <w:sz w:val="26"/>
          <w:lang w:val="en-HK"/>
        </w:rPr>
      </w:pPr>
    </w:p>
    <w:p w14:paraId="49B03E54" w14:textId="77777777" w:rsidR="00103DD3" w:rsidRPr="003C1399" w:rsidRDefault="00103DD3" w:rsidP="00103DD3">
      <w:pPr>
        <w:adjustRightInd w:val="0"/>
        <w:snapToGrid w:val="0"/>
        <w:spacing w:line="0" w:lineRule="atLeast"/>
        <w:jc w:val="both"/>
        <w:rPr>
          <w:b/>
          <w:sz w:val="26"/>
          <w:lang w:val="en-HK"/>
        </w:rPr>
      </w:pPr>
    </w:p>
    <w:tbl>
      <w:tblPr>
        <w:tblW w:w="8610" w:type="dxa"/>
        <w:tblLayout w:type="fixed"/>
        <w:tblLook w:val="04A0" w:firstRow="1" w:lastRow="0" w:firstColumn="1" w:lastColumn="0" w:noHBand="0" w:noVBand="1"/>
      </w:tblPr>
      <w:tblGrid>
        <w:gridCol w:w="2942"/>
        <w:gridCol w:w="284"/>
        <w:gridCol w:w="5384"/>
      </w:tblGrid>
      <w:tr w:rsidR="00103DD3" w:rsidRPr="003C1399" w14:paraId="65046AC0" w14:textId="77777777" w:rsidTr="00D15E05">
        <w:tc>
          <w:tcPr>
            <w:tcW w:w="2942" w:type="dxa"/>
            <w:hideMark/>
          </w:tcPr>
          <w:p w14:paraId="0953F90E" w14:textId="77777777" w:rsidR="00103DD3" w:rsidRPr="003C1399" w:rsidRDefault="00103DD3" w:rsidP="00D15E05">
            <w:pPr>
              <w:tabs>
                <w:tab w:val="left" w:pos="4606"/>
              </w:tabs>
              <w:adjustRightInd w:val="0"/>
              <w:snapToGrid w:val="0"/>
              <w:spacing w:line="360" w:lineRule="auto"/>
              <w:jc w:val="both"/>
              <w:rPr>
                <w:b/>
                <w:sz w:val="26"/>
                <w:lang w:val="en-HK"/>
              </w:rPr>
            </w:pPr>
            <w:r w:rsidRPr="003C1399">
              <w:rPr>
                <w:b/>
                <w:sz w:val="28"/>
                <w:szCs w:val="28"/>
                <w:lang w:val="en-HK"/>
              </w:rPr>
              <w:t>Student Name</w:t>
            </w:r>
          </w:p>
        </w:tc>
        <w:tc>
          <w:tcPr>
            <w:tcW w:w="284" w:type="dxa"/>
            <w:hideMark/>
          </w:tcPr>
          <w:p w14:paraId="75864E12" w14:textId="77777777" w:rsidR="00103DD3" w:rsidRPr="003C1399" w:rsidRDefault="00103DD3" w:rsidP="00D15E05">
            <w:pPr>
              <w:tabs>
                <w:tab w:val="left" w:pos="4606"/>
              </w:tabs>
              <w:adjustRightInd w:val="0"/>
              <w:snapToGrid w:val="0"/>
              <w:spacing w:line="360" w:lineRule="auto"/>
              <w:jc w:val="both"/>
              <w:rPr>
                <w:b/>
                <w:sz w:val="26"/>
                <w:lang w:val="en-HK"/>
              </w:rPr>
            </w:pPr>
            <w:r w:rsidRPr="003C1399">
              <w:rPr>
                <w:rFonts w:ascii="新細明體" w:eastAsia="新細明體" w:hAnsi="新細明體" w:cs="新細明體" w:hint="eastAsia"/>
                <w:b/>
                <w:sz w:val="28"/>
                <w:szCs w:val="28"/>
                <w:lang w:val="en-HK"/>
              </w:rPr>
              <w:t>：</w:t>
            </w:r>
          </w:p>
        </w:tc>
        <w:tc>
          <w:tcPr>
            <w:tcW w:w="5384" w:type="dxa"/>
          </w:tcPr>
          <w:p w14:paraId="3C6E0D63" w14:textId="31A8DB55" w:rsidR="00103DD3" w:rsidRPr="003C1399" w:rsidRDefault="00103DD3" w:rsidP="00D15E05">
            <w:pPr>
              <w:tabs>
                <w:tab w:val="left" w:pos="4606"/>
              </w:tabs>
              <w:adjustRightInd w:val="0"/>
              <w:snapToGrid w:val="0"/>
              <w:spacing w:line="360" w:lineRule="auto"/>
              <w:jc w:val="both"/>
              <w:rPr>
                <w:rFonts w:hint="eastAsia"/>
                <w:sz w:val="16"/>
                <w:szCs w:val="16"/>
                <w:lang w:val="en-HK"/>
              </w:rPr>
            </w:pPr>
            <w:proofErr w:type="spellStart"/>
            <w:r w:rsidRPr="00103DD3">
              <w:rPr>
                <w:rFonts w:hint="eastAsia"/>
                <w:sz w:val="26"/>
                <w:lang w:val="en-HK"/>
              </w:rPr>
              <w:t>T</w:t>
            </w:r>
            <w:r w:rsidRPr="00103DD3">
              <w:rPr>
                <w:sz w:val="26"/>
                <w:lang w:val="en-HK"/>
              </w:rPr>
              <w:t>sui</w:t>
            </w:r>
            <w:proofErr w:type="spellEnd"/>
            <w:r w:rsidRPr="00103DD3">
              <w:rPr>
                <w:sz w:val="26"/>
                <w:lang w:val="en-HK"/>
              </w:rPr>
              <w:t xml:space="preserve"> Joy Lok Heng</w:t>
            </w:r>
          </w:p>
        </w:tc>
      </w:tr>
      <w:tr w:rsidR="00103DD3" w:rsidRPr="003C1399" w14:paraId="5C318057" w14:textId="77777777" w:rsidTr="00D15E05">
        <w:tc>
          <w:tcPr>
            <w:tcW w:w="2942" w:type="dxa"/>
            <w:hideMark/>
          </w:tcPr>
          <w:p w14:paraId="75803524" w14:textId="77777777" w:rsidR="00103DD3" w:rsidRPr="003C1399" w:rsidRDefault="00103DD3" w:rsidP="00D15E05">
            <w:pPr>
              <w:tabs>
                <w:tab w:val="left" w:pos="4606"/>
              </w:tabs>
              <w:adjustRightInd w:val="0"/>
              <w:snapToGrid w:val="0"/>
              <w:spacing w:line="360" w:lineRule="auto"/>
              <w:jc w:val="both"/>
              <w:rPr>
                <w:b/>
                <w:sz w:val="26"/>
                <w:lang w:val="en-HK"/>
              </w:rPr>
            </w:pPr>
            <w:r w:rsidRPr="003C1399">
              <w:rPr>
                <w:b/>
                <w:sz w:val="28"/>
                <w:szCs w:val="28"/>
                <w:lang w:val="en-HK"/>
              </w:rPr>
              <w:t>Student ID Number</w:t>
            </w:r>
          </w:p>
        </w:tc>
        <w:tc>
          <w:tcPr>
            <w:tcW w:w="284" w:type="dxa"/>
            <w:hideMark/>
          </w:tcPr>
          <w:p w14:paraId="5283ADC6" w14:textId="77777777" w:rsidR="00103DD3" w:rsidRPr="003C1399" w:rsidRDefault="00103DD3" w:rsidP="00D15E05">
            <w:pPr>
              <w:tabs>
                <w:tab w:val="left" w:pos="4606"/>
              </w:tabs>
              <w:adjustRightInd w:val="0"/>
              <w:snapToGrid w:val="0"/>
              <w:spacing w:line="360" w:lineRule="auto"/>
              <w:jc w:val="both"/>
              <w:rPr>
                <w:b/>
                <w:sz w:val="26"/>
                <w:lang w:val="en-HK"/>
              </w:rPr>
            </w:pPr>
            <w:r w:rsidRPr="003C1399">
              <w:rPr>
                <w:rFonts w:ascii="新細明體" w:eastAsia="新細明體" w:hAnsi="新細明體" w:cs="新細明體" w:hint="eastAsia"/>
                <w:b/>
                <w:sz w:val="28"/>
                <w:szCs w:val="28"/>
                <w:lang w:val="en-HK"/>
              </w:rPr>
              <w:t>：</w:t>
            </w:r>
          </w:p>
        </w:tc>
        <w:tc>
          <w:tcPr>
            <w:tcW w:w="5384" w:type="dxa"/>
          </w:tcPr>
          <w:p w14:paraId="20AE5CF9" w14:textId="7586A926" w:rsidR="00103DD3" w:rsidRPr="003C1399" w:rsidRDefault="00103DD3" w:rsidP="00D15E05">
            <w:pPr>
              <w:tabs>
                <w:tab w:val="left" w:pos="4606"/>
              </w:tabs>
              <w:adjustRightInd w:val="0"/>
              <w:snapToGrid w:val="0"/>
              <w:spacing w:line="360" w:lineRule="auto"/>
              <w:jc w:val="both"/>
              <w:rPr>
                <w:rFonts w:hint="eastAsia"/>
                <w:sz w:val="16"/>
                <w:szCs w:val="16"/>
                <w:lang w:val="en-HK"/>
              </w:rPr>
            </w:pPr>
            <w:r w:rsidRPr="00103DD3">
              <w:rPr>
                <w:rFonts w:hint="eastAsia"/>
                <w:sz w:val="26"/>
                <w:lang w:val="en-HK"/>
              </w:rPr>
              <w:t>2</w:t>
            </w:r>
            <w:r w:rsidRPr="00103DD3">
              <w:rPr>
                <w:sz w:val="26"/>
                <w:lang w:val="en-HK"/>
              </w:rPr>
              <w:t>247752</w:t>
            </w:r>
          </w:p>
        </w:tc>
      </w:tr>
      <w:tr w:rsidR="00103DD3" w:rsidRPr="003C1399" w14:paraId="51B217A1" w14:textId="77777777" w:rsidTr="00D15E05">
        <w:tc>
          <w:tcPr>
            <w:tcW w:w="2942" w:type="dxa"/>
          </w:tcPr>
          <w:p w14:paraId="7215792C" w14:textId="77777777" w:rsidR="00103DD3" w:rsidRPr="001E2AE8" w:rsidRDefault="00103DD3" w:rsidP="00D15E05">
            <w:pPr>
              <w:tabs>
                <w:tab w:val="left" w:pos="4606"/>
              </w:tabs>
              <w:adjustRightInd w:val="0"/>
              <w:snapToGrid w:val="0"/>
              <w:spacing w:line="360" w:lineRule="auto"/>
              <w:jc w:val="both"/>
              <w:rPr>
                <w:b/>
                <w:sz w:val="28"/>
                <w:szCs w:val="28"/>
                <w:lang w:val="en-HK"/>
              </w:rPr>
            </w:pPr>
            <w:r w:rsidRPr="003C1399">
              <w:rPr>
                <w:b/>
                <w:sz w:val="28"/>
                <w:szCs w:val="28"/>
                <w:lang w:val="en-HK"/>
              </w:rPr>
              <w:t>Date of Submission</w:t>
            </w:r>
          </w:p>
        </w:tc>
        <w:tc>
          <w:tcPr>
            <w:tcW w:w="284" w:type="dxa"/>
            <w:hideMark/>
          </w:tcPr>
          <w:p w14:paraId="3CD67895" w14:textId="77777777" w:rsidR="00103DD3" w:rsidRPr="003C1399" w:rsidRDefault="00103DD3" w:rsidP="00D15E05">
            <w:pPr>
              <w:tabs>
                <w:tab w:val="left" w:pos="4606"/>
              </w:tabs>
              <w:adjustRightInd w:val="0"/>
              <w:snapToGrid w:val="0"/>
              <w:spacing w:line="360" w:lineRule="auto"/>
              <w:jc w:val="both"/>
              <w:rPr>
                <w:b/>
                <w:sz w:val="26"/>
                <w:lang w:val="en-HK"/>
              </w:rPr>
            </w:pPr>
            <w:r w:rsidRPr="003C1399">
              <w:rPr>
                <w:rFonts w:ascii="新細明體" w:eastAsia="新細明體" w:hAnsi="新細明體" w:cs="新細明體" w:hint="eastAsia"/>
                <w:b/>
                <w:sz w:val="28"/>
                <w:szCs w:val="28"/>
                <w:lang w:val="en-HK"/>
              </w:rPr>
              <w:t>：</w:t>
            </w:r>
          </w:p>
        </w:tc>
        <w:tc>
          <w:tcPr>
            <w:tcW w:w="5384" w:type="dxa"/>
            <w:hideMark/>
          </w:tcPr>
          <w:p w14:paraId="0ADCBFAD" w14:textId="77777777" w:rsidR="00103DD3" w:rsidRPr="003C1399" w:rsidRDefault="00103DD3" w:rsidP="00D15E05">
            <w:pPr>
              <w:tabs>
                <w:tab w:val="left" w:pos="4606"/>
              </w:tabs>
              <w:adjustRightInd w:val="0"/>
              <w:snapToGrid w:val="0"/>
              <w:spacing w:line="360" w:lineRule="auto"/>
              <w:jc w:val="both"/>
              <w:rPr>
                <w:sz w:val="26"/>
                <w:lang w:val="en-HK"/>
              </w:rPr>
            </w:pPr>
            <w:r>
              <w:rPr>
                <w:sz w:val="26"/>
                <w:lang w:val="en-HK"/>
              </w:rPr>
              <w:t>11</w:t>
            </w:r>
            <w:r w:rsidRPr="00E940F0">
              <w:rPr>
                <w:sz w:val="26"/>
                <w:lang w:val="en-HK"/>
              </w:rPr>
              <w:t xml:space="preserve"> </w:t>
            </w:r>
            <w:r>
              <w:rPr>
                <w:sz w:val="26"/>
                <w:lang w:val="en-HK"/>
              </w:rPr>
              <w:t>March</w:t>
            </w:r>
            <w:r w:rsidRPr="00E940F0">
              <w:rPr>
                <w:sz w:val="26"/>
                <w:lang w:val="en-HK"/>
              </w:rPr>
              <w:t xml:space="preserve"> 202</w:t>
            </w:r>
            <w:r>
              <w:rPr>
                <w:sz w:val="26"/>
                <w:lang w:val="en-HK"/>
              </w:rPr>
              <w:t>4</w:t>
            </w:r>
          </w:p>
        </w:tc>
      </w:tr>
      <w:tr w:rsidR="00103DD3" w:rsidRPr="003C1399" w14:paraId="52236775" w14:textId="77777777" w:rsidTr="00D15E05">
        <w:tc>
          <w:tcPr>
            <w:tcW w:w="2942" w:type="dxa"/>
          </w:tcPr>
          <w:p w14:paraId="384155C7" w14:textId="77777777" w:rsidR="00103DD3" w:rsidRPr="003C1399" w:rsidRDefault="00103DD3" w:rsidP="00D15E05">
            <w:pPr>
              <w:tabs>
                <w:tab w:val="left" w:pos="4606"/>
              </w:tabs>
              <w:adjustRightInd w:val="0"/>
              <w:snapToGrid w:val="0"/>
              <w:spacing w:line="360" w:lineRule="auto"/>
              <w:jc w:val="both"/>
              <w:rPr>
                <w:b/>
                <w:sz w:val="28"/>
                <w:szCs w:val="28"/>
                <w:lang w:val="en-HK"/>
              </w:rPr>
            </w:pPr>
            <w:r>
              <w:rPr>
                <w:rFonts w:hint="eastAsia"/>
                <w:b/>
                <w:sz w:val="28"/>
                <w:szCs w:val="28"/>
                <w:lang w:val="en-HK"/>
              </w:rPr>
              <w:t>L</w:t>
            </w:r>
            <w:r>
              <w:rPr>
                <w:b/>
                <w:sz w:val="28"/>
                <w:szCs w:val="28"/>
                <w:lang w:val="en-HK"/>
              </w:rPr>
              <w:t>ecturer</w:t>
            </w:r>
          </w:p>
        </w:tc>
        <w:tc>
          <w:tcPr>
            <w:tcW w:w="284" w:type="dxa"/>
          </w:tcPr>
          <w:p w14:paraId="3D848869" w14:textId="77777777" w:rsidR="00103DD3" w:rsidRPr="003C1399" w:rsidRDefault="00103DD3" w:rsidP="00D15E05">
            <w:pPr>
              <w:tabs>
                <w:tab w:val="left" w:pos="4606"/>
              </w:tabs>
              <w:adjustRightInd w:val="0"/>
              <w:snapToGrid w:val="0"/>
              <w:spacing w:line="360" w:lineRule="auto"/>
              <w:jc w:val="both"/>
              <w:rPr>
                <w:b/>
                <w:sz w:val="28"/>
                <w:szCs w:val="28"/>
                <w:lang w:val="en-HK"/>
              </w:rPr>
            </w:pPr>
            <w:r w:rsidRPr="003C1399">
              <w:rPr>
                <w:rFonts w:ascii="新細明體" w:eastAsia="新細明體" w:hAnsi="新細明體" w:cs="新細明體" w:hint="eastAsia"/>
                <w:b/>
                <w:sz w:val="28"/>
                <w:szCs w:val="28"/>
                <w:lang w:val="en-HK"/>
              </w:rPr>
              <w:t>：</w:t>
            </w:r>
          </w:p>
        </w:tc>
        <w:tc>
          <w:tcPr>
            <w:tcW w:w="5384" w:type="dxa"/>
          </w:tcPr>
          <w:p w14:paraId="20720B2C" w14:textId="77777777" w:rsidR="00103DD3" w:rsidRPr="003C1399" w:rsidRDefault="00103DD3" w:rsidP="00D15E05">
            <w:pPr>
              <w:tabs>
                <w:tab w:val="left" w:pos="4606"/>
              </w:tabs>
              <w:adjustRightInd w:val="0"/>
              <w:snapToGrid w:val="0"/>
              <w:spacing w:line="360" w:lineRule="auto"/>
              <w:jc w:val="both"/>
              <w:rPr>
                <w:sz w:val="26"/>
                <w:lang w:val="en-HK"/>
              </w:rPr>
            </w:pPr>
            <w:proofErr w:type="spellStart"/>
            <w:r w:rsidRPr="00E940F0">
              <w:rPr>
                <w:sz w:val="26"/>
                <w:lang w:val="en-HK"/>
              </w:rPr>
              <w:t>Dr.</w:t>
            </w:r>
            <w:proofErr w:type="spellEnd"/>
            <w:r w:rsidRPr="00E940F0">
              <w:rPr>
                <w:sz w:val="26"/>
                <w:lang w:val="en-HK"/>
              </w:rPr>
              <w:t xml:space="preserve"> Che Cheong Poon</w:t>
            </w:r>
          </w:p>
        </w:tc>
      </w:tr>
    </w:tbl>
    <w:p w14:paraId="3344D07E" w14:textId="77777777" w:rsidR="00103DD3" w:rsidRPr="003C1399" w:rsidRDefault="00103DD3" w:rsidP="00103DD3">
      <w:pPr>
        <w:autoSpaceDE w:val="0"/>
        <w:autoSpaceDN w:val="0"/>
        <w:adjustRightInd w:val="0"/>
        <w:snapToGrid w:val="0"/>
        <w:spacing w:line="360" w:lineRule="auto"/>
        <w:rPr>
          <w:rFonts w:ascii="TimesNewRoman,Bold" w:hAnsi="TimesNewRoman,Bold" w:cs="TimesNewRoman,Bold"/>
          <w:b/>
          <w:bCs/>
          <w:sz w:val="40"/>
          <w:szCs w:val="40"/>
          <w:lang w:val="en-HK"/>
        </w:rPr>
      </w:pPr>
    </w:p>
    <w:p w14:paraId="71FF3535" w14:textId="77777777" w:rsidR="00103DD3" w:rsidRDefault="00103DD3" w:rsidP="00103DD3">
      <w:pPr>
        <w:adjustRightInd w:val="0"/>
        <w:snapToGrid w:val="0"/>
        <w:jc w:val="center"/>
        <w:rPr>
          <w:sz w:val="20"/>
          <w:szCs w:val="20"/>
          <w:lang w:val="en-GB"/>
        </w:rPr>
      </w:pPr>
    </w:p>
    <w:p w14:paraId="3E0A64B5" w14:textId="77777777" w:rsidR="00692EA7" w:rsidRPr="00103DD3" w:rsidRDefault="00692EA7">
      <w:pPr>
        <w:snapToGrid w:val="0"/>
        <w:spacing w:line="360" w:lineRule="auto"/>
        <w:rPr>
          <w:rFonts w:ascii="TimesNewRoman,Bold" w:hAnsi="TimesNewRoman,Bold" w:cs="TimesNewRoman,Bold" w:hint="eastAsia"/>
          <w:b/>
          <w:bCs/>
          <w:sz w:val="40"/>
          <w:szCs w:val="40"/>
          <w:lang w:val="en-HK"/>
        </w:rPr>
        <w:sectPr w:rsidR="00692EA7" w:rsidRPr="00103DD3">
          <w:footerReference w:type="default" r:id="rId8"/>
          <w:pgSz w:w="11906" w:h="16838"/>
          <w:pgMar w:top="1134" w:right="1134" w:bottom="1134" w:left="1134" w:header="0" w:footer="992" w:gutter="0"/>
          <w:pgNumType w:fmt="lowerRoman" w:start="1"/>
          <w:cols w:space="720"/>
          <w:formProt w:val="0"/>
          <w:docGrid w:type="lines" w:linePitch="360"/>
        </w:sectPr>
      </w:pPr>
    </w:p>
    <w:p w14:paraId="2FC63A1D" w14:textId="77777777" w:rsidR="00692EA7" w:rsidRPr="00103DD3" w:rsidRDefault="00692EA7">
      <w:pPr>
        <w:jc w:val="both"/>
        <w:rPr>
          <w:b/>
          <w:sz w:val="20"/>
          <w:szCs w:val="20"/>
          <w:u w:val="single"/>
        </w:rPr>
      </w:pPr>
    </w:p>
    <w:p w14:paraId="62B03383" w14:textId="77777777" w:rsidR="00692EA7" w:rsidRPr="00103DD3" w:rsidRDefault="00000000">
      <w:pPr>
        <w:jc w:val="center"/>
        <w:rPr>
          <w:b/>
          <w:sz w:val="26"/>
          <w:szCs w:val="26"/>
          <w:u w:val="single"/>
        </w:rPr>
      </w:pPr>
      <w:r w:rsidRPr="00103DD3">
        <w:rPr>
          <w:color w:val="000000"/>
          <w:sz w:val="26"/>
          <w:szCs w:val="26"/>
        </w:rPr>
        <w:t xml:space="preserve">UWTSD MBA (May/Nov 2023 intakes) </w:t>
      </w:r>
      <w:r w:rsidRPr="00103DD3">
        <w:rPr>
          <w:color w:val="000000"/>
          <w:sz w:val="26"/>
          <w:szCs w:val="26"/>
        </w:rPr>
        <w:br/>
        <w:t>BMMB7009 Global Business Challenges</w:t>
      </w:r>
    </w:p>
    <w:p w14:paraId="1CB525A6" w14:textId="77777777" w:rsidR="00692EA7" w:rsidRPr="00103DD3" w:rsidRDefault="00692EA7">
      <w:pPr>
        <w:jc w:val="center"/>
        <w:rPr>
          <w:b/>
          <w:sz w:val="26"/>
          <w:szCs w:val="26"/>
          <w:u w:val="single"/>
        </w:rPr>
      </w:pPr>
    </w:p>
    <w:p w14:paraId="6C720AD9" w14:textId="77777777" w:rsidR="00692EA7" w:rsidRPr="00103DD3" w:rsidRDefault="00000000">
      <w:pPr>
        <w:rPr>
          <w:sz w:val="26"/>
          <w:szCs w:val="26"/>
        </w:rPr>
      </w:pPr>
      <w:r w:rsidRPr="00103DD3">
        <w:rPr>
          <w:sz w:val="26"/>
          <w:szCs w:val="26"/>
        </w:rPr>
        <w:t xml:space="preserve">Assignment Title: </w:t>
      </w:r>
    </w:p>
    <w:p w14:paraId="6E1713DA" w14:textId="77777777" w:rsidR="00692EA7" w:rsidRPr="00103DD3" w:rsidRDefault="00000000">
      <w:pPr>
        <w:rPr>
          <w:sz w:val="26"/>
          <w:szCs w:val="26"/>
        </w:rPr>
      </w:pPr>
      <w:r w:rsidRPr="00103DD3">
        <w:rPr>
          <w:sz w:val="26"/>
          <w:szCs w:val="26"/>
        </w:rPr>
        <w:t>An Analytical Report on the Trend Movement of a Key Indicator of the Global Economy</w:t>
      </w:r>
    </w:p>
    <w:p w14:paraId="06617721" w14:textId="77777777" w:rsidR="00692EA7" w:rsidRPr="00103DD3" w:rsidRDefault="00692EA7">
      <w:pPr>
        <w:jc w:val="both"/>
        <w:rPr>
          <w:szCs w:val="21"/>
        </w:rPr>
      </w:pPr>
    </w:p>
    <w:p w14:paraId="6423D3E0" w14:textId="7B76F544" w:rsidR="00692EA7" w:rsidRPr="00103DD3" w:rsidRDefault="00000000">
      <w:pPr>
        <w:jc w:val="both"/>
        <w:rPr>
          <w:sz w:val="32"/>
          <w:szCs w:val="32"/>
        </w:rPr>
      </w:pPr>
      <w:r w:rsidRPr="00103DD3">
        <w:rPr>
          <w:sz w:val="32"/>
          <w:szCs w:val="32"/>
        </w:rPr>
        <w:t xml:space="preserve">“I, </w:t>
      </w:r>
      <w:proofErr w:type="spellStart"/>
      <w:r w:rsidR="00103DD3">
        <w:rPr>
          <w:sz w:val="32"/>
          <w:szCs w:val="32"/>
        </w:rPr>
        <w:t>Tsui</w:t>
      </w:r>
      <w:proofErr w:type="spellEnd"/>
      <w:r w:rsidR="00103DD3">
        <w:rPr>
          <w:sz w:val="32"/>
          <w:szCs w:val="32"/>
        </w:rPr>
        <w:t xml:space="preserve"> Joy Lok </w:t>
      </w:r>
      <w:proofErr w:type="gramStart"/>
      <w:r w:rsidR="00103DD3">
        <w:rPr>
          <w:sz w:val="32"/>
          <w:szCs w:val="32"/>
        </w:rPr>
        <w:t>Heng</w:t>
      </w:r>
      <w:r w:rsidRPr="00103DD3">
        <w:rPr>
          <w:sz w:val="32"/>
          <w:szCs w:val="32"/>
        </w:rPr>
        <w:t xml:space="preserve"> ,</w:t>
      </w:r>
      <w:proofErr w:type="gramEnd"/>
      <w:r w:rsidRPr="00103DD3">
        <w:rPr>
          <w:sz w:val="32"/>
          <w:szCs w:val="32"/>
        </w:rPr>
        <w:t xml:space="preserve"> certify this work is the result of my own investigations, except where otherwise stated.  All references have been duly cited”</w:t>
      </w:r>
    </w:p>
    <w:p w14:paraId="4D841CA1" w14:textId="77777777" w:rsidR="00692EA7" w:rsidRPr="00103DD3" w:rsidRDefault="00692EA7">
      <w:pPr>
        <w:jc w:val="both"/>
      </w:pPr>
    </w:p>
    <w:p w14:paraId="604B27AD" w14:textId="77777777" w:rsidR="00692EA7" w:rsidRPr="00103DD3" w:rsidRDefault="00692EA7">
      <w:pPr>
        <w:jc w:val="both"/>
      </w:pPr>
    </w:p>
    <w:p w14:paraId="3E3DF3DC" w14:textId="77777777" w:rsidR="00692EA7" w:rsidRPr="00103DD3" w:rsidRDefault="00692EA7">
      <w:pPr>
        <w:jc w:val="both"/>
      </w:pPr>
    </w:p>
    <w:p w14:paraId="69C11ADB" w14:textId="77777777" w:rsidR="00692EA7" w:rsidRPr="00103DD3" w:rsidRDefault="00692EA7">
      <w:pPr>
        <w:jc w:val="both"/>
        <w:rPr>
          <w:b/>
        </w:rPr>
      </w:pPr>
    </w:p>
    <w:p w14:paraId="30303EE4" w14:textId="0DDC9B0C" w:rsidR="00692EA7" w:rsidRPr="00103DD3" w:rsidRDefault="00000000">
      <w:pPr>
        <w:jc w:val="both"/>
      </w:pPr>
      <w:r w:rsidRPr="00103DD3">
        <w:t xml:space="preserve">Signed: </w:t>
      </w:r>
      <w:r w:rsidR="00103DD3">
        <w:t>Joy</w:t>
      </w:r>
    </w:p>
    <w:p w14:paraId="45E989EB" w14:textId="77777777" w:rsidR="00692EA7" w:rsidRPr="00103DD3" w:rsidRDefault="00692EA7">
      <w:pPr>
        <w:rPr>
          <w:sz w:val="26"/>
        </w:rPr>
      </w:pPr>
    </w:p>
    <w:p w14:paraId="2B5CD516" w14:textId="3BF94F40" w:rsidR="00692EA7" w:rsidRPr="00103DD3" w:rsidRDefault="00000000">
      <w:pPr>
        <w:rPr>
          <w:sz w:val="26"/>
        </w:rPr>
      </w:pPr>
      <w:r w:rsidRPr="00103DD3">
        <w:rPr>
          <w:sz w:val="26"/>
        </w:rPr>
        <w:t xml:space="preserve">Date:  </w:t>
      </w:r>
      <w:r w:rsidR="00103DD3">
        <w:rPr>
          <w:sz w:val="26"/>
        </w:rPr>
        <w:t>11/3/24</w:t>
      </w:r>
    </w:p>
    <w:p w14:paraId="2367893B" w14:textId="77777777" w:rsidR="00692EA7" w:rsidRPr="00103DD3" w:rsidRDefault="00692EA7">
      <w:pPr>
        <w:spacing w:after="200" w:line="360" w:lineRule="auto"/>
        <w:jc w:val="both"/>
      </w:pPr>
    </w:p>
    <w:p w14:paraId="560866E9" w14:textId="77777777" w:rsidR="00692EA7" w:rsidRPr="00103DD3" w:rsidRDefault="00692EA7">
      <w:pPr>
        <w:spacing w:after="200" w:line="360" w:lineRule="auto"/>
        <w:jc w:val="both"/>
      </w:pPr>
    </w:p>
    <w:p w14:paraId="1B60E79E" w14:textId="77777777" w:rsidR="00692EA7" w:rsidRPr="00103DD3" w:rsidRDefault="00692EA7">
      <w:pPr>
        <w:spacing w:after="200" w:line="360" w:lineRule="auto"/>
        <w:jc w:val="both"/>
      </w:pPr>
    </w:p>
    <w:p w14:paraId="6FA24C3F" w14:textId="77777777" w:rsidR="00692EA7" w:rsidRPr="00103DD3" w:rsidRDefault="00692EA7">
      <w:pPr>
        <w:spacing w:after="200" w:line="360" w:lineRule="auto"/>
        <w:jc w:val="both"/>
      </w:pPr>
    </w:p>
    <w:p w14:paraId="40540167" w14:textId="77777777" w:rsidR="00692EA7" w:rsidRPr="00103DD3" w:rsidRDefault="00692EA7">
      <w:pPr>
        <w:spacing w:after="200" w:line="360" w:lineRule="auto"/>
        <w:jc w:val="both"/>
      </w:pPr>
    </w:p>
    <w:p w14:paraId="71C69146" w14:textId="77777777" w:rsidR="00692EA7" w:rsidRPr="00103DD3" w:rsidRDefault="00692EA7">
      <w:pPr>
        <w:spacing w:after="200" w:line="360" w:lineRule="auto"/>
        <w:jc w:val="both"/>
      </w:pPr>
    </w:p>
    <w:p w14:paraId="69C027DC" w14:textId="77777777" w:rsidR="00692EA7" w:rsidRPr="00103DD3" w:rsidRDefault="00692EA7">
      <w:pPr>
        <w:spacing w:after="200" w:line="360" w:lineRule="auto"/>
        <w:jc w:val="both"/>
      </w:pPr>
    </w:p>
    <w:p w14:paraId="0BC5FF76" w14:textId="77777777" w:rsidR="00692EA7" w:rsidRPr="00103DD3" w:rsidRDefault="00692EA7">
      <w:pPr>
        <w:spacing w:after="200" w:line="360" w:lineRule="auto"/>
        <w:jc w:val="both"/>
      </w:pPr>
    </w:p>
    <w:p w14:paraId="45E611DB" w14:textId="77777777" w:rsidR="00692EA7" w:rsidRPr="00103DD3" w:rsidRDefault="00692EA7">
      <w:pPr>
        <w:spacing w:after="200" w:line="360" w:lineRule="auto"/>
        <w:jc w:val="both"/>
      </w:pPr>
    </w:p>
    <w:p w14:paraId="2647DD0C" w14:textId="77777777" w:rsidR="00692EA7" w:rsidRPr="00103DD3" w:rsidRDefault="00692EA7">
      <w:pPr>
        <w:spacing w:after="200" w:line="360" w:lineRule="auto"/>
        <w:jc w:val="both"/>
      </w:pPr>
    </w:p>
    <w:p w14:paraId="2DF7CAB6" w14:textId="77777777" w:rsidR="00692EA7" w:rsidRPr="00103DD3" w:rsidRDefault="00692EA7">
      <w:pPr>
        <w:spacing w:after="200" w:line="360" w:lineRule="auto"/>
        <w:jc w:val="both"/>
      </w:pPr>
    </w:p>
    <w:p w14:paraId="1628682F" w14:textId="77777777" w:rsidR="00692EA7" w:rsidRPr="00103DD3" w:rsidRDefault="00692EA7">
      <w:pPr>
        <w:spacing w:after="200" w:line="360" w:lineRule="auto"/>
        <w:jc w:val="both"/>
      </w:pPr>
    </w:p>
    <w:p w14:paraId="2731922A" w14:textId="77777777" w:rsidR="00692EA7" w:rsidRPr="00103DD3" w:rsidRDefault="00692EA7">
      <w:pPr>
        <w:spacing w:after="200" w:line="360" w:lineRule="auto"/>
        <w:jc w:val="both"/>
      </w:pPr>
    </w:p>
    <w:p w14:paraId="33C12CDA" w14:textId="77777777" w:rsidR="00692EA7" w:rsidRPr="00103DD3" w:rsidRDefault="00000000">
      <w:pPr>
        <w:spacing w:after="200" w:line="360" w:lineRule="auto"/>
        <w:jc w:val="both"/>
        <w:rPr>
          <w:b/>
        </w:rPr>
      </w:pPr>
      <w:r w:rsidRPr="00103DD3">
        <w:rPr>
          <w:b/>
        </w:rPr>
        <w:lastRenderedPageBreak/>
        <w:t>Synopsis</w:t>
      </w:r>
    </w:p>
    <w:p w14:paraId="14E267A3" w14:textId="032CE08A" w:rsidR="00692EA7" w:rsidRPr="00103DD3" w:rsidRDefault="00000000">
      <w:pPr>
        <w:spacing w:after="200" w:line="360" w:lineRule="auto"/>
        <w:jc w:val="both"/>
      </w:pPr>
      <w:r w:rsidRPr="00103DD3">
        <w:t xml:space="preserve">This article reports an empirical study on the trend movement of consumer confidence index (CCI) in Hong Kong, USA, Japan, Malaysia and India with a hope to explore investment opportunities for the company to expand its global business. </w:t>
      </w:r>
      <w:r w:rsidR="00103DD3" w:rsidRPr="00103DD3">
        <w:t>Utilizing secondary research from peer-reviewed articles and credible media sources, the study finds</w:t>
      </w:r>
      <w:r w:rsidR="00103DD3" w:rsidRPr="00103DD3">
        <w:t xml:space="preserve"> that </w:t>
      </w:r>
      <w:r w:rsidRPr="00103DD3">
        <w:t xml:space="preserve">CCI for the five nations fluctuate </w:t>
      </w:r>
      <w:r w:rsidR="00103DD3" w:rsidRPr="00103DD3">
        <w:t>based</w:t>
      </w:r>
      <w:r w:rsidRPr="00103DD3">
        <w:t xml:space="preserve"> on the prevailing outlook of the economy</w:t>
      </w:r>
      <w:r w:rsidR="00103DD3" w:rsidRPr="00103DD3">
        <w:t>. H</w:t>
      </w:r>
      <w:r w:rsidRPr="00103DD3">
        <w:t xml:space="preserve">ence, the company needs to critically </w:t>
      </w:r>
      <w:r w:rsidR="00103DD3" w:rsidRPr="00103DD3">
        <w:t>analyze</w:t>
      </w:r>
      <w:r w:rsidRPr="00103DD3">
        <w:t xml:space="preserve"> it before making investment decision. </w:t>
      </w:r>
      <w:r w:rsidR="00103DD3" w:rsidRPr="00103DD3">
        <w:t>Th</w:t>
      </w:r>
      <w:r w:rsidRPr="00103DD3">
        <w:t xml:space="preserve">e comparative analysis of CCI data </w:t>
      </w:r>
      <w:r w:rsidR="00103DD3" w:rsidRPr="00103DD3">
        <w:t xml:space="preserve">suggest that </w:t>
      </w:r>
      <w:r w:rsidRPr="00103DD3">
        <w:t>USA is the most appropriate country to invest in.</w:t>
      </w:r>
    </w:p>
    <w:p w14:paraId="4CAE93C8" w14:textId="77777777" w:rsidR="00692EA7" w:rsidRPr="00103DD3" w:rsidRDefault="00692EA7">
      <w:pPr>
        <w:spacing w:after="200" w:line="360" w:lineRule="auto"/>
        <w:jc w:val="both"/>
      </w:pPr>
    </w:p>
    <w:p w14:paraId="60684901" w14:textId="77777777" w:rsidR="00692EA7" w:rsidRPr="00103DD3" w:rsidRDefault="00692EA7">
      <w:pPr>
        <w:spacing w:after="200" w:line="360" w:lineRule="auto"/>
        <w:jc w:val="both"/>
      </w:pPr>
    </w:p>
    <w:p w14:paraId="1BC5940A" w14:textId="77777777" w:rsidR="00692EA7" w:rsidRPr="00103DD3" w:rsidRDefault="00692EA7">
      <w:pPr>
        <w:spacing w:line="360" w:lineRule="auto"/>
        <w:jc w:val="both"/>
      </w:pPr>
    </w:p>
    <w:p w14:paraId="05CD13F6" w14:textId="77777777" w:rsidR="00692EA7" w:rsidRPr="00103DD3" w:rsidRDefault="00692EA7">
      <w:pPr>
        <w:spacing w:line="360" w:lineRule="auto"/>
        <w:jc w:val="both"/>
      </w:pPr>
    </w:p>
    <w:p w14:paraId="27836D0E" w14:textId="77777777" w:rsidR="00692EA7" w:rsidRPr="00103DD3" w:rsidRDefault="00692EA7">
      <w:pPr>
        <w:spacing w:line="360" w:lineRule="auto"/>
        <w:jc w:val="both"/>
      </w:pPr>
    </w:p>
    <w:p w14:paraId="77FB7DC3" w14:textId="77777777" w:rsidR="00692EA7" w:rsidRPr="00103DD3" w:rsidRDefault="00692EA7">
      <w:pPr>
        <w:spacing w:line="360" w:lineRule="auto"/>
        <w:jc w:val="both"/>
      </w:pPr>
    </w:p>
    <w:p w14:paraId="06148D37" w14:textId="77777777" w:rsidR="00692EA7" w:rsidRPr="00103DD3" w:rsidRDefault="00692EA7">
      <w:pPr>
        <w:spacing w:line="360" w:lineRule="auto"/>
        <w:jc w:val="both"/>
      </w:pPr>
    </w:p>
    <w:p w14:paraId="5D7A35B2" w14:textId="77777777" w:rsidR="00692EA7" w:rsidRPr="00103DD3" w:rsidRDefault="00692EA7">
      <w:pPr>
        <w:spacing w:line="360" w:lineRule="auto"/>
        <w:jc w:val="both"/>
      </w:pPr>
    </w:p>
    <w:p w14:paraId="346AC8C7" w14:textId="77777777" w:rsidR="00692EA7" w:rsidRPr="00103DD3" w:rsidRDefault="00692EA7">
      <w:pPr>
        <w:spacing w:line="360" w:lineRule="auto"/>
        <w:jc w:val="both"/>
      </w:pPr>
    </w:p>
    <w:p w14:paraId="7FA54F55" w14:textId="77777777" w:rsidR="00692EA7" w:rsidRPr="00103DD3" w:rsidRDefault="00692EA7">
      <w:pPr>
        <w:spacing w:line="360" w:lineRule="auto"/>
        <w:jc w:val="both"/>
      </w:pPr>
    </w:p>
    <w:p w14:paraId="03E1764E" w14:textId="77777777" w:rsidR="00692EA7" w:rsidRPr="00103DD3" w:rsidRDefault="00692EA7">
      <w:pPr>
        <w:spacing w:line="360" w:lineRule="auto"/>
        <w:jc w:val="both"/>
      </w:pPr>
    </w:p>
    <w:p w14:paraId="7B843CB7" w14:textId="77777777" w:rsidR="00692EA7" w:rsidRPr="00103DD3" w:rsidRDefault="00692EA7">
      <w:pPr>
        <w:spacing w:line="360" w:lineRule="auto"/>
        <w:jc w:val="both"/>
      </w:pPr>
    </w:p>
    <w:p w14:paraId="1B1A2308" w14:textId="77777777" w:rsidR="00692EA7" w:rsidRPr="00103DD3" w:rsidRDefault="00692EA7">
      <w:pPr>
        <w:spacing w:line="360" w:lineRule="auto"/>
        <w:jc w:val="both"/>
      </w:pPr>
    </w:p>
    <w:p w14:paraId="54BEA8C5" w14:textId="77777777" w:rsidR="00692EA7" w:rsidRPr="00103DD3" w:rsidRDefault="00692EA7">
      <w:pPr>
        <w:spacing w:line="360" w:lineRule="auto"/>
        <w:jc w:val="both"/>
      </w:pPr>
    </w:p>
    <w:p w14:paraId="315D769E" w14:textId="77777777" w:rsidR="00692EA7" w:rsidRPr="00103DD3" w:rsidRDefault="00692EA7">
      <w:pPr>
        <w:spacing w:line="360" w:lineRule="auto"/>
        <w:jc w:val="both"/>
      </w:pPr>
    </w:p>
    <w:p w14:paraId="699C5833" w14:textId="77777777" w:rsidR="00692EA7" w:rsidRPr="00103DD3" w:rsidRDefault="00692EA7">
      <w:pPr>
        <w:spacing w:line="360" w:lineRule="auto"/>
        <w:jc w:val="both"/>
      </w:pPr>
    </w:p>
    <w:p w14:paraId="2DF07D56" w14:textId="77777777" w:rsidR="00692EA7" w:rsidRPr="00103DD3" w:rsidRDefault="00692EA7">
      <w:pPr>
        <w:spacing w:line="360" w:lineRule="auto"/>
        <w:jc w:val="both"/>
      </w:pPr>
    </w:p>
    <w:p w14:paraId="7E0519CA" w14:textId="77777777" w:rsidR="00692EA7" w:rsidRPr="00103DD3" w:rsidRDefault="00692EA7">
      <w:pPr>
        <w:spacing w:line="360" w:lineRule="auto"/>
        <w:jc w:val="both"/>
      </w:pPr>
    </w:p>
    <w:p w14:paraId="24BB5A83" w14:textId="77777777" w:rsidR="00692EA7" w:rsidRPr="00103DD3" w:rsidRDefault="00692EA7">
      <w:pPr>
        <w:spacing w:line="360" w:lineRule="auto"/>
        <w:jc w:val="both"/>
      </w:pPr>
    </w:p>
    <w:p w14:paraId="428C1E72" w14:textId="77777777" w:rsidR="00692EA7" w:rsidRPr="00103DD3" w:rsidRDefault="00692EA7">
      <w:pPr>
        <w:spacing w:line="360" w:lineRule="auto"/>
        <w:jc w:val="both"/>
      </w:pPr>
    </w:p>
    <w:p w14:paraId="1478C080" w14:textId="77777777" w:rsidR="00692EA7" w:rsidRPr="00103DD3" w:rsidRDefault="00692EA7">
      <w:pPr>
        <w:spacing w:line="360" w:lineRule="auto"/>
        <w:jc w:val="both"/>
      </w:pPr>
    </w:p>
    <w:p w14:paraId="777DB41B" w14:textId="77777777" w:rsidR="00692EA7" w:rsidRPr="00103DD3" w:rsidRDefault="00000000">
      <w:pPr>
        <w:pStyle w:val="af1"/>
        <w:jc w:val="center"/>
      </w:pPr>
      <w:r w:rsidRPr="00103DD3">
        <w:lastRenderedPageBreak/>
        <w:t>Table of Contents</w:t>
      </w:r>
    </w:p>
    <w:sdt>
      <w:sdtPr>
        <w:id w:val="119731788"/>
        <w:docPartObj>
          <w:docPartGallery w:val="Table of Contents"/>
          <w:docPartUnique/>
        </w:docPartObj>
      </w:sdtPr>
      <w:sdtContent>
        <w:p w14:paraId="2C736632" w14:textId="77777777" w:rsidR="00692EA7" w:rsidRPr="00103DD3" w:rsidRDefault="00000000">
          <w:pPr>
            <w:pStyle w:val="11"/>
            <w:tabs>
              <w:tab w:val="right" w:leader="dot" w:pos="9360"/>
            </w:tabs>
          </w:pPr>
          <w:r w:rsidRPr="00103DD3">
            <w:fldChar w:fldCharType="begin"/>
          </w:r>
          <w:r w:rsidRPr="00103DD3">
            <w:rPr>
              <w:rStyle w:val="IndexLink"/>
              <w:webHidden/>
            </w:rPr>
            <w:instrText xml:space="preserve"> TOC \z \o "1-3" \u \h</w:instrText>
          </w:r>
          <w:r w:rsidRPr="00103DD3">
            <w:rPr>
              <w:rStyle w:val="IndexLink"/>
            </w:rPr>
            <w:fldChar w:fldCharType="separate"/>
          </w:r>
          <w:hyperlink w:anchor="__RefHeading___Toc4210_2927161102">
            <w:r w:rsidRPr="00103DD3">
              <w:rPr>
                <w:rStyle w:val="IndexLink"/>
                <w:webHidden/>
              </w:rPr>
              <w:t>1.0 Introduction</w:t>
            </w:r>
            <w:r w:rsidRPr="00103DD3">
              <w:rPr>
                <w:rStyle w:val="IndexLink"/>
                <w:webHidden/>
              </w:rPr>
              <w:tab/>
              <w:t>5</w:t>
            </w:r>
          </w:hyperlink>
        </w:p>
        <w:p w14:paraId="622465B4" w14:textId="77777777" w:rsidR="00692EA7" w:rsidRPr="00103DD3" w:rsidRDefault="00000000">
          <w:pPr>
            <w:pStyle w:val="11"/>
            <w:tabs>
              <w:tab w:val="right" w:leader="dot" w:pos="9360"/>
            </w:tabs>
          </w:pPr>
          <w:hyperlink w:anchor="__RefHeading___Toc4212_2927161102">
            <w:r w:rsidRPr="00103DD3">
              <w:rPr>
                <w:rStyle w:val="IndexLink"/>
                <w:webHidden/>
              </w:rPr>
              <w:t>2.0 Background</w:t>
            </w:r>
            <w:r w:rsidRPr="00103DD3">
              <w:rPr>
                <w:rStyle w:val="IndexLink"/>
                <w:webHidden/>
              </w:rPr>
              <w:tab/>
              <w:t>6</w:t>
            </w:r>
          </w:hyperlink>
        </w:p>
        <w:p w14:paraId="295E868E" w14:textId="77777777" w:rsidR="00692EA7" w:rsidRPr="00103DD3" w:rsidRDefault="00000000">
          <w:pPr>
            <w:pStyle w:val="21"/>
            <w:tabs>
              <w:tab w:val="right" w:leader="dot" w:pos="9360"/>
            </w:tabs>
          </w:pPr>
          <w:hyperlink w:anchor="__RefHeading___Toc4214_2927161102">
            <w:r w:rsidRPr="00103DD3">
              <w:rPr>
                <w:rStyle w:val="IndexLink"/>
                <w:webHidden/>
              </w:rPr>
              <w:t>2.1 Definition and sources</w:t>
            </w:r>
            <w:r w:rsidRPr="00103DD3">
              <w:rPr>
                <w:rStyle w:val="IndexLink"/>
                <w:webHidden/>
              </w:rPr>
              <w:tab/>
              <w:t>6</w:t>
            </w:r>
          </w:hyperlink>
        </w:p>
        <w:p w14:paraId="2A5CB919" w14:textId="77777777" w:rsidR="00692EA7" w:rsidRPr="00103DD3" w:rsidRDefault="00000000">
          <w:pPr>
            <w:pStyle w:val="21"/>
            <w:tabs>
              <w:tab w:val="right" w:leader="dot" w:pos="9360"/>
            </w:tabs>
          </w:pPr>
          <w:hyperlink w:anchor="__RefHeading___Toc4216_2927161102">
            <w:r w:rsidRPr="00103DD3">
              <w:rPr>
                <w:rStyle w:val="IndexLink"/>
                <w:webHidden/>
              </w:rPr>
              <w:t>2.2 Current performance of CCI In selected countries</w:t>
            </w:r>
            <w:r w:rsidRPr="00103DD3">
              <w:rPr>
                <w:rStyle w:val="IndexLink"/>
                <w:webHidden/>
              </w:rPr>
              <w:tab/>
              <w:t>7</w:t>
            </w:r>
          </w:hyperlink>
        </w:p>
        <w:p w14:paraId="4235C0CF" w14:textId="77777777" w:rsidR="00692EA7" w:rsidRPr="00103DD3" w:rsidRDefault="00000000">
          <w:pPr>
            <w:pStyle w:val="21"/>
            <w:tabs>
              <w:tab w:val="right" w:leader="dot" w:pos="9360"/>
            </w:tabs>
          </w:pPr>
          <w:hyperlink w:anchor="__RefHeading___Toc4218_2927161102">
            <w:r w:rsidRPr="00103DD3">
              <w:rPr>
                <w:rStyle w:val="IndexLink"/>
                <w:webHidden/>
              </w:rPr>
              <w:t>2.3 Dataset</w:t>
            </w:r>
            <w:r w:rsidRPr="00103DD3">
              <w:rPr>
                <w:rStyle w:val="IndexLink"/>
                <w:webHidden/>
              </w:rPr>
              <w:tab/>
              <w:t>8</w:t>
            </w:r>
          </w:hyperlink>
        </w:p>
        <w:p w14:paraId="23329F0A" w14:textId="77777777" w:rsidR="00692EA7" w:rsidRPr="00103DD3" w:rsidRDefault="00000000">
          <w:pPr>
            <w:pStyle w:val="11"/>
            <w:tabs>
              <w:tab w:val="right" w:leader="dot" w:pos="9360"/>
            </w:tabs>
          </w:pPr>
          <w:hyperlink w:anchor="__RefHeading___Toc4220_2927161102">
            <w:r w:rsidRPr="00103DD3">
              <w:rPr>
                <w:rStyle w:val="IndexLink"/>
                <w:webHidden/>
              </w:rPr>
              <w:t>3.0 Analysis and discussion</w:t>
            </w:r>
            <w:r w:rsidRPr="00103DD3">
              <w:rPr>
                <w:rStyle w:val="IndexLink"/>
                <w:webHidden/>
              </w:rPr>
              <w:tab/>
              <w:t>9</w:t>
            </w:r>
          </w:hyperlink>
        </w:p>
        <w:p w14:paraId="680C144D" w14:textId="77777777" w:rsidR="00692EA7" w:rsidRPr="00103DD3" w:rsidRDefault="00000000">
          <w:pPr>
            <w:pStyle w:val="21"/>
            <w:tabs>
              <w:tab w:val="right" w:leader="dot" w:pos="9360"/>
            </w:tabs>
          </w:pPr>
          <w:hyperlink w:anchor="__RefHeading___Toc4222_2927161102">
            <w:r w:rsidRPr="00103DD3">
              <w:rPr>
                <w:rStyle w:val="IndexLink"/>
                <w:webHidden/>
              </w:rPr>
              <w:t>3.1 Pattern of the global trend movement of CC1</w:t>
            </w:r>
            <w:r w:rsidRPr="00103DD3">
              <w:rPr>
                <w:rStyle w:val="IndexLink"/>
                <w:webHidden/>
              </w:rPr>
              <w:tab/>
              <w:t>10</w:t>
            </w:r>
          </w:hyperlink>
        </w:p>
        <w:p w14:paraId="3273CDBA" w14:textId="77777777" w:rsidR="00692EA7" w:rsidRPr="00103DD3" w:rsidRDefault="00000000">
          <w:pPr>
            <w:pStyle w:val="21"/>
            <w:tabs>
              <w:tab w:val="right" w:leader="dot" w:pos="9360"/>
            </w:tabs>
          </w:pPr>
          <w:hyperlink w:anchor="__RefHeading___Toc4224_2927161102">
            <w:r w:rsidRPr="00103DD3">
              <w:rPr>
                <w:rStyle w:val="IndexLink"/>
                <w:webHidden/>
              </w:rPr>
              <w:t>3.2 Pattern of the local trend movement</w:t>
            </w:r>
            <w:r w:rsidRPr="00103DD3">
              <w:rPr>
                <w:rStyle w:val="IndexLink"/>
                <w:webHidden/>
              </w:rPr>
              <w:tab/>
              <w:t>16</w:t>
            </w:r>
          </w:hyperlink>
        </w:p>
        <w:p w14:paraId="1FA826CC" w14:textId="77777777" w:rsidR="00692EA7" w:rsidRPr="00103DD3" w:rsidRDefault="00000000">
          <w:pPr>
            <w:pStyle w:val="21"/>
            <w:tabs>
              <w:tab w:val="right" w:leader="dot" w:pos="9360"/>
            </w:tabs>
          </w:pPr>
          <w:hyperlink w:anchor="__RefHeading___Toc4226_2927161102">
            <w:r w:rsidRPr="00103DD3">
              <w:rPr>
                <w:rStyle w:val="IndexLink"/>
                <w:webHidden/>
              </w:rPr>
              <w:t>3.3 Summary</w:t>
            </w:r>
            <w:r w:rsidRPr="00103DD3">
              <w:rPr>
                <w:rStyle w:val="IndexLink"/>
                <w:webHidden/>
              </w:rPr>
              <w:tab/>
              <w:t>21</w:t>
            </w:r>
          </w:hyperlink>
        </w:p>
        <w:p w14:paraId="10E52BDD" w14:textId="77777777" w:rsidR="00692EA7" w:rsidRPr="00103DD3" w:rsidRDefault="00000000">
          <w:pPr>
            <w:pStyle w:val="11"/>
            <w:tabs>
              <w:tab w:val="right" w:leader="dot" w:pos="9360"/>
            </w:tabs>
          </w:pPr>
          <w:hyperlink w:anchor="__RefHeading___Toc4228_2927161102">
            <w:r w:rsidRPr="00103DD3">
              <w:rPr>
                <w:rStyle w:val="IndexLink"/>
                <w:webHidden/>
              </w:rPr>
              <w:t>4.0 Conclusion and Recommendations</w:t>
            </w:r>
            <w:r w:rsidRPr="00103DD3">
              <w:rPr>
                <w:rStyle w:val="IndexLink"/>
                <w:webHidden/>
              </w:rPr>
              <w:tab/>
              <w:t>21</w:t>
            </w:r>
          </w:hyperlink>
        </w:p>
        <w:p w14:paraId="42D08943" w14:textId="77777777" w:rsidR="00692EA7" w:rsidRPr="00103DD3" w:rsidRDefault="00000000">
          <w:pPr>
            <w:pStyle w:val="21"/>
            <w:tabs>
              <w:tab w:val="right" w:leader="dot" w:pos="9360"/>
            </w:tabs>
          </w:pPr>
          <w:hyperlink w:anchor="__RefHeading___Toc4230_2927161102">
            <w:r w:rsidRPr="00103DD3">
              <w:rPr>
                <w:rStyle w:val="IndexLink"/>
                <w:webHidden/>
              </w:rPr>
              <w:t xml:space="preserve"> </w:t>
            </w:r>
            <w:r w:rsidRPr="00103DD3">
              <w:rPr>
                <w:rStyle w:val="IndexLink"/>
              </w:rPr>
              <w:t>4.1 Conclusion</w:t>
            </w:r>
            <w:r w:rsidRPr="00103DD3">
              <w:rPr>
                <w:rStyle w:val="IndexLink"/>
              </w:rPr>
              <w:tab/>
              <w:t>21</w:t>
            </w:r>
          </w:hyperlink>
        </w:p>
        <w:p w14:paraId="552EB039" w14:textId="77777777" w:rsidR="00692EA7" w:rsidRPr="00103DD3" w:rsidRDefault="00000000">
          <w:pPr>
            <w:pStyle w:val="21"/>
            <w:tabs>
              <w:tab w:val="right" w:leader="dot" w:pos="9360"/>
            </w:tabs>
          </w:pPr>
          <w:hyperlink w:anchor="__RefHeading___Toc4232_2927161102">
            <w:r w:rsidRPr="00103DD3">
              <w:rPr>
                <w:rStyle w:val="IndexLink"/>
                <w:webHidden/>
              </w:rPr>
              <w:t>4.2 Recommendation</w:t>
            </w:r>
            <w:r w:rsidRPr="00103DD3">
              <w:rPr>
                <w:rStyle w:val="IndexLink"/>
                <w:webHidden/>
              </w:rPr>
              <w:tab/>
              <w:t>22</w:t>
            </w:r>
          </w:hyperlink>
        </w:p>
        <w:p w14:paraId="7B2B4F39" w14:textId="77777777" w:rsidR="00692EA7" w:rsidRPr="00103DD3" w:rsidRDefault="00000000">
          <w:pPr>
            <w:pStyle w:val="11"/>
            <w:tabs>
              <w:tab w:val="right" w:leader="dot" w:pos="9360"/>
            </w:tabs>
          </w:pPr>
          <w:hyperlink w:anchor="__RefHeading___Toc4234_2927161102">
            <w:r w:rsidRPr="00103DD3">
              <w:rPr>
                <w:rStyle w:val="IndexLink"/>
                <w:webHidden/>
              </w:rPr>
              <w:t>References</w:t>
            </w:r>
            <w:r w:rsidRPr="00103DD3">
              <w:rPr>
                <w:rStyle w:val="IndexLink"/>
                <w:webHidden/>
              </w:rPr>
              <w:tab/>
              <w:t>23</w:t>
            </w:r>
          </w:hyperlink>
          <w:r w:rsidRPr="00103DD3">
            <w:rPr>
              <w:rStyle w:val="IndexLink"/>
            </w:rPr>
            <w:fldChar w:fldCharType="end"/>
          </w:r>
        </w:p>
      </w:sdtContent>
    </w:sdt>
    <w:p w14:paraId="478B39B7" w14:textId="77777777" w:rsidR="00692EA7" w:rsidRPr="00103DD3" w:rsidRDefault="00692EA7"/>
    <w:p w14:paraId="4331ECA2" w14:textId="77777777" w:rsidR="00692EA7" w:rsidRPr="00103DD3" w:rsidRDefault="00692EA7">
      <w:pPr>
        <w:spacing w:line="360" w:lineRule="auto"/>
        <w:jc w:val="both"/>
      </w:pPr>
    </w:p>
    <w:p w14:paraId="6D4FE3CE" w14:textId="77777777" w:rsidR="00692EA7" w:rsidRPr="00103DD3" w:rsidRDefault="00692EA7">
      <w:pPr>
        <w:spacing w:line="360" w:lineRule="auto"/>
        <w:jc w:val="both"/>
      </w:pPr>
    </w:p>
    <w:p w14:paraId="2CE357B0" w14:textId="77777777" w:rsidR="00692EA7" w:rsidRPr="00103DD3" w:rsidRDefault="00692EA7">
      <w:pPr>
        <w:spacing w:line="360" w:lineRule="auto"/>
        <w:jc w:val="both"/>
      </w:pPr>
    </w:p>
    <w:p w14:paraId="28A7CC89" w14:textId="77777777" w:rsidR="00692EA7" w:rsidRPr="00103DD3" w:rsidRDefault="00692EA7">
      <w:pPr>
        <w:spacing w:line="360" w:lineRule="auto"/>
        <w:jc w:val="both"/>
      </w:pPr>
    </w:p>
    <w:p w14:paraId="485E7631" w14:textId="77777777" w:rsidR="00692EA7" w:rsidRPr="00103DD3" w:rsidRDefault="00692EA7">
      <w:pPr>
        <w:spacing w:line="360" w:lineRule="auto"/>
        <w:jc w:val="both"/>
      </w:pPr>
    </w:p>
    <w:p w14:paraId="6AE90825" w14:textId="77777777" w:rsidR="00692EA7" w:rsidRPr="00103DD3" w:rsidRDefault="00692EA7">
      <w:pPr>
        <w:spacing w:line="360" w:lineRule="auto"/>
        <w:jc w:val="both"/>
      </w:pPr>
    </w:p>
    <w:p w14:paraId="08EA6530" w14:textId="77777777" w:rsidR="00692EA7" w:rsidRPr="00103DD3" w:rsidRDefault="00692EA7">
      <w:pPr>
        <w:spacing w:line="360" w:lineRule="auto"/>
        <w:jc w:val="both"/>
      </w:pPr>
    </w:p>
    <w:p w14:paraId="23388BBA" w14:textId="77777777" w:rsidR="00692EA7" w:rsidRPr="00103DD3" w:rsidRDefault="00692EA7">
      <w:pPr>
        <w:spacing w:line="360" w:lineRule="auto"/>
        <w:jc w:val="both"/>
      </w:pPr>
    </w:p>
    <w:p w14:paraId="4B551545" w14:textId="77777777" w:rsidR="00692EA7" w:rsidRPr="00103DD3" w:rsidRDefault="00692EA7">
      <w:pPr>
        <w:spacing w:line="360" w:lineRule="auto"/>
        <w:jc w:val="both"/>
      </w:pPr>
    </w:p>
    <w:p w14:paraId="1A1DC279" w14:textId="77777777" w:rsidR="00692EA7" w:rsidRPr="00103DD3" w:rsidRDefault="00692EA7">
      <w:pPr>
        <w:spacing w:line="360" w:lineRule="auto"/>
        <w:jc w:val="both"/>
      </w:pPr>
    </w:p>
    <w:p w14:paraId="02BA5D99" w14:textId="77777777" w:rsidR="00692EA7" w:rsidRPr="00103DD3" w:rsidRDefault="00692EA7">
      <w:pPr>
        <w:spacing w:line="360" w:lineRule="auto"/>
        <w:jc w:val="both"/>
      </w:pPr>
    </w:p>
    <w:p w14:paraId="42A56E8E" w14:textId="77777777" w:rsidR="00692EA7" w:rsidRPr="00103DD3" w:rsidRDefault="00692EA7">
      <w:pPr>
        <w:spacing w:line="360" w:lineRule="auto"/>
        <w:jc w:val="both"/>
      </w:pPr>
    </w:p>
    <w:p w14:paraId="5F8F0B5D" w14:textId="77777777" w:rsidR="00692EA7" w:rsidRPr="00103DD3" w:rsidRDefault="00692EA7">
      <w:pPr>
        <w:spacing w:line="360" w:lineRule="auto"/>
        <w:jc w:val="both"/>
      </w:pPr>
    </w:p>
    <w:p w14:paraId="0DB3CE19" w14:textId="77777777" w:rsidR="00692EA7" w:rsidRPr="00103DD3" w:rsidRDefault="00692EA7">
      <w:pPr>
        <w:spacing w:line="360" w:lineRule="auto"/>
        <w:jc w:val="both"/>
      </w:pPr>
    </w:p>
    <w:p w14:paraId="45F64A5B" w14:textId="4773B24B" w:rsidR="00692EA7" w:rsidRPr="00103DD3" w:rsidRDefault="00000000">
      <w:pPr>
        <w:pStyle w:val="1"/>
        <w:spacing w:after="160" w:line="360" w:lineRule="auto"/>
        <w:rPr>
          <w:rFonts w:ascii="Times New Roman" w:hAnsi="Times New Roman" w:cs="Times New Roman"/>
          <w:color w:val="000000" w:themeColor="text1"/>
          <w:sz w:val="32"/>
          <w:szCs w:val="32"/>
        </w:rPr>
      </w:pPr>
      <w:bookmarkStart w:id="0" w:name="__RefHeading___Toc4210_2927161102"/>
      <w:bookmarkStart w:id="1" w:name="_Toc160527038"/>
      <w:bookmarkEnd w:id="0"/>
      <w:r w:rsidRPr="00103DD3">
        <w:rPr>
          <w:rFonts w:ascii="Times New Roman" w:hAnsi="Times New Roman" w:cs="Times New Roman"/>
          <w:color w:val="000000" w:themeColor="text1"/>
          <w:sz w:val="32"/>
          <w:szCs w:val="32"/>
        </w:rPr>
        <w:lastRenderedPageBreak/>
        <w:t>1. Introduction</w:t>
      </w:r>
      <w:bookmarkEnd w:id="1"/>
    </w:p>
    <w:p w14:paraId="148F6485" w14:textId="17900A50" w:rsidR="00692EA7" w:rsidRPr="00103DD3" w:rsidRDefault="00000000">
      <w:pPr>
        <w:spacing w:after="200" w:line="360" w:lineRule="auto"/>
        <w:jc w:val="both"/>
      </w:pPr>
      <w:r w:rsidRPr="00103DD3">
        <w:t xml:space="preserve">This article reports an empirical study on the trend movement of consumer confidence Index in Hong Kong, the USA, Japan, Malaysia, and India with a hope to explore investment opportunities for the company to expand its global business.  </w:t>
      </w:r>
    </w:p>
    <w:p w14:paraId="5C100587" w14:textId="77EAF87D" w:rsidR="00692EA7" w:rsidRPr="00103DD3" w:rsidRDefault="00103DD3">
      <w:pPr>
        <w:spacing w:after="200" w:line="360" w:lineRule="auto"/>
        <w:jc w:val="both"/>
      </w:pPr>
      <w:r w:rsidRPr="00103DD3">
        <w:t>Our company</w:t>
      </w:r>
      <w:r w:rsidR="00000000" w:rsidRPr="00103DD3">
        <w:t xml:space="preserve"> faces a myriad of challenges</w:t>
      </w:r>
      <w:r w:rsidRPr="00103DD3">
        <w:t xml:space="preserve"> recently</w:t>
      </w:r>
      <w:r w:rsidR="00000000" w:rsidRPr="00103DD3">
        <w:t xml:space="preserve">. Although the company has operated in Hong Kong for over a decade and has recorded profit in the past, since 2019, the revenues have </w:t>
      </w:r>
      <w:r w:rsidRPr="00103DD3">
        <w:t>dropped</w:t>
      </w:r>
      <w:r w:rsidR="00000000" w:rsidRPr="00103DD3">
        <w:t xml:space="preserve">. The factors that have negatively impacted the company include prolonged </w:t>
      </w:r>
      <w:proofErr w:type="gramStart"/>
      <w:r w:rsidR="00000000" w:rsidRPr="00103DD3">
        <w:t>protests against</w:t>
      </w:r>
      <w:proofErr w:type="gramEnd"/>
      <w:r w:rsidR="00000000" w:rsidRPr="00103DD3">
        <w:t xml:space="preserve"> extradition laws that occurred in 2019 and 2020. The protests affected Hong Kong’s transport system, disrupting the supply chain. In addition, as people protested, businesses were disrupted, with most posting losses or reduced income, while some had to lay off their employees. Other issues include inflation and high cost of living, indicating that consumers are purchasing less. Generally, the protests and economic factors such as inflation and the high cost of living reduced the purchasing power of individuals, and by selling less, the net revenue decreased. Therefore, to ensure that the company remains profitable, it </w:t>
      </w:r>
      <w:r w:rsidRPr="00103DD3">
        <w:t>is important</w:t>
      </w:r>
      <w:r w:rsidR="00000000" w:rsidRPr="00103DD3">
        <w:t xml:space="preserve"> to consider expanding its geographic reach by expanding globally. Thus, by undertaking </w:t>
      </w:r>
      <w:r w:rsidRPr="00103DD3">
        <w:t xml:space="preserve">this </w:t>
      </w:r>
      <w:r w:rsidR="00000000" w:rsidRPr="00103DD3">
        <w:t xml:space="preserve">research, it will be easier to understand the investment opportunity presented in the global arena through the analysis of the consumer confidence index. The goal of the study is to determine the trends of CCI in the USA, Japan, Malaysia, and India in a period starting from 2000 to 2022 and select </w:t>
      </w:r>
      <w:r w:rsidRPr="00103DD3">
        <w:t>the country</w:t>
      </w:r>
      <w:r w:rsidR="00000000" w:rsidRPr="00103DD3">
        <w:t xml:space="preserve"> with the most favorable environment for investment.</w:t>
      </w:r>
    </w:p>
    <w:p w14:paraId="6DB0E342" w14:textId="2E9EFC7B" w:rsidR="00692EA7" w:rsidRPr="00103DD3" w:rsidRDefault="00000000">
      <w:pPr>
        <w:spacing w:after="200" w:line="360" w:lineRule="auto"/>
        <w:jc w:val="both"/>
      </w:pPr>
      <w:r w:rsidRPr="00103DD3">
        <w:t>The study was based on secondary research where information on CCI of different nations was obtained from peer-reviewed journals, credible economic websites, magazines, and newspapers. The study mainly relied on search engine searches, where Google searches were undertaken to find credible economy websites and magazines, while Google Scholar was used to find peer-reviewed articles. Databases such as Pro</w:t>
      </w:r>
      <w:r w:rsidR="00103DD3" w:rsidRPr="00103DD3">
        <w:t>Q</w:t>
      </w:r>
      <w:r w:rsidRPr="00103DD3">
        <w:t>uest were also used to get peer-reviewed articles. During the search, keywords and phrases such as Consumer Confidence Index, consumer sentiments, consumer purchasing power, consumer behavior, and disposable income</w:t>
      </w:r>
      <w:r w:rsidR="00103DD3" w:rsidRPr="00103DD3">
        <w:t xml:space="preserve"> </w:t>
      </w:r>
      <w:r w:rsidRPr="00103DD3">
        <w:t>were used.</w:t>
      </w:r>
    </w:p>
    <w:p w14:paraId="360B454D" w14:textId="55C24F3C" w:rsidR="00692EA7" w:rsidRPr="00103DD3" w:rsidRDefault="00000000">
      <w:pPr>
        <w:spacing w:after="200" w:line="360" w:lineRule="auto"/>
        <w:jc w:val="both"/>
      </w:pPr>
      <w:r w:rsidRPr="00103DD3">
        <w:t xml:space="preserve">The study has several sections, including research background, analysis and discussion, and conclusion and recommendations. The research background </w:t>
      </w:r>
      <w:r w:rsidR="00103DD3" w:rsidRPr="00103DD3">
        <w:t>discusses</w:t>
      </w:r>
      <w:r w:rsidRPr="00103DD3">
        <w:t xml:space="preserve"> the definition of CCI and the rationale for its economic indicator choice. It highlights the current CCI in Hong Kong, the USA, </w:t>
      </w:r>
      <w:r w:rsidRPr="00103DD3">
        <w:lastRenderedPageBreak/>
        <w:t>Japan, Malaysia, and India. Finally, it provides a database of CCI for specified nations in an extended period from 2000 to 2020. The analysis delves into a statistical analysis of the data and how they can apply to the company when expanding globally. The conclusion and recommendation explain why the USA is the most appropriate country to invest in.</w:t>
      </w:r>
    </w:p>
    <w:p w14:paraId="696E6B38" w14:textId="3C8BC9ED" w:rsidR="00692EA7" w:rsidRPr="00103DD3" w:rsidRDefault="00000000">
      <w:pPr>
        <w:pStyle w:val="1"/>
        <w:spacing w:before="0" w:after="200" w:line="360" w:lineRule="auto"/>
        <w:rPr>
          <w:rFonts w:ascii="Times New Roman" w:hAnsi="Times New Roman" w:cs="Times New Roman"/>
          <w:color w:val="000000" w:themeColor="text1"/>
          <w:sz w:val="32"/>
          <w:szCs w:val="32"/>
        </w:rPr>
      </w:pPr>
      <w:bookmarkStart w:id="2" w:name="__RefHeading___Toc4212_2927161102"/>
      <w:bookmarkStart w:id="3" w:name="_Toc160527039"/>
      <w:bookmarkEnd w:id="2"/>
      <w:r w:rsidRPr="00103DD3">
        <w:rPr>
          <w:rFonts w:ascii="Times New Roman" w:hAnsi="Times New Roman" w:cs="Times New Roman"/>
          <w:color w:val="000000" w:themeColor="text1"/>
          <w:sz w:val="32"/>
          <w:szCs w:val="32"/>
        </w:rPr>
        <w:t>2. Background</w:t>
      </w:r>
      <w:bookmarkEnd w:id="3"/>
    </w:p>
    <w:p w14:paraId="2870BA3E" w14:textId="5C993C36" w:rsidR="00103DD3" w:rsidRPr="00103DD3" w:rsidRDefault="00000000">
      <w:pPr>
        <w:pStyle w:val="2"/>
        <w:spacing w:beforeAutospacing="0" w:after="200" w:afterAutospacing="0" w:line="360" w:lineRule="auto"/>
        <w:rPr>
          <w:sz w:val="28"/>
          <w:szCs w:val="28"/>
        </w:rPr>
      </w:pPr>
      <w:bookmarkStart w:id="4" w:name="__RefHeading___Toc4214_2927161102"/>
      <w:bookmarkStart w:id="5" w:name="_Toc160527040"/>
      <w:bookmarkEnd w:id="4"/>
      <w:r w:rsidRPr="00103DD3">
        <w:rPr>
          <w:sz w:val="28"/>
          <w:szCs w:val="28"/>
        </w:rPr>
        <w:t>2.1 Definition and sources</w:t>
      </w:r>
      <w:bookmarkEnd w:id="5"/>
    </w:p>
    <w:p w14:paraId="3DC6E22F" w14:textId="67164671" w:rsidR="00692EA7" w:rsidRPr="00103DD3" w:rsidRDefault="00000000">
      <w:pPr>
        <w:spacing w:after="200" w:line="360" w:lineRule="auto"/>
        <w:jc w:val="both"/>
      </w:pPr>
      <w:r w:rsidRPr="00103DD3">
        <w:t xml:space="preserve">Consumer Confidence Index measures </w:t>
      </w:r>
      <w:r w:rsidR="00103DD3" w:rsidRPr="00103DD3">
        <w:t>consumer</w:t>
      </w:r>
      <w:r w:rsidRPr="00103DD3">
        <w:t xml:space="preserve"> confidence</w:t>
      </w:r>
      <w:r w:rsidR="00103DD3" w:rsidRPr="00103DD3">
        <w:t xml:space="preserve"> based on the degree of optimism of economy </w:t>
      </w:r>
      <w:r w:rsidRPr="00103DD3">
        <w:t>(</w:t>
      </w:r>
      <w:proofErr w:type="spellStart"/>
      <w:r w:rsidR="00103DD3" w:rsidRPr="00103DD3">
        <w:t>Karagöz</w:t>
      </w:r>
      <w:proofErr w:type="spellEnd"/>
      <w:r w:rsidR="00103DD3" w:rsidRPr="00103DD3">
        <w:t xml:space="preserve"> </w:t>
      </w:r>
      <w:r w:rsidR="00103DD3" w:rsidRPr="00103DD3">
        <w:t>and</w:t>
      </w:r>
      <w:r w:rsidR="00103DD3" w:rsidRPr="00103DD3">
        <w:t xml:space="preserve"> </w:t>
      </w:r>
      <w:proofErr w:type="spellStart"/>
      <w:r w:rsidR="00103DD3" w:rsidRPr="00103DD3">
        <w:t>Aktaş</w:t>
      </w:r>
      <w:proofErr w:type="spellEnd"/>
      <w:r w:rsidR="00103DD3" w:rsidRPr="00103DD3">
        <w:t>,</w:t>
      </w:r>
      <w:r w:rsidR="00103DD3" w:rsidRPr="00103DD3">
        <w:t xml:space="preserve"> 2015</w:t>
      </w:r>
      <w:r w:rsidRPr="00103DD3">
        <w:t xml:space="preserve">). </w:t>
      </w:r>
      <w:r w:rsidR="00103DD3" w:rsidRPr="00103DD3">
        <w:t xml:space="preserve">It serves as a predictor for future trends in the spending and saving behavior of households, drawing on consumers’ perspectives about their anticipated financial status, views on the overall economy, employment prospects and their ability to save (OECD, 2024). </w:t>
      </w:r>
      <w:r w:rsidRPr="00103DD3">
        <w:t>A CCI above 100 indicates optimism; hence, consumers are likely to spend. A CC1 below 100 means pessimism; consumers are more likely to save than spend</w:t>
      </w:r>
      <w:r w:rsidR="00103DD3" w:rsidRPr="00103DD3">
        <w:t xml:space="preserve"> (OECD, 2024).</w:t>
      </w:r>
      <w:r w:rsidRPr="00103DD3">
        <w:t xml:space="preserve"> To determine the CCI index values, the total value for each quarter of a year, or monthly was determined and subsequently divided by the number of quarters or months to get mean annual values. Hence, the value for each year was presented as a means of all values within that year.</w:t>
      </w:r>
    </w:p>
    <w:p w14:paraId="11DFE9B6" w14:textId="7A364F8C" w:rsidR="00692EA7" w:rsidRPr="00103DD3" w:rsidRDefault="00000000">
      <w:pPr>
        <w:spacing w:after="200" w:line="360" w:lineRule="auto"/>
        <w:jc w:val="both"/>
      </w:pPr>
      <w:r w:rsidRPr="00103DD3">
        <w:t>For a company that intends to attain global expansion, understanding the CCI of the target market is important when making investment decisions. It enables businesses to determine the market demand where a high CCI indicates that consumers are optimistic and tend to spend more, meaning that demand for goods and services is generally high. Thus, business firms can exploit high CCI to develop pricing strategies that reflect high consumer demand. In addition, they will be in a position of adjusting the attributes of their products and services to meet the expectations and needs of consumers (</w:t>
      </w:r>
      <w:proofErr w:type="spellStart"/>
      <w:r w:rsidR="00103DD3" w:rsidRPr="00103DD3">
        <w:t>Kucuk</w:t>
      </w:r>
      <w:proofErr w:type="spellEnd"/>
      <w:r w:rsidR="00103DD3" w:rsidRPr="00103DD3">
        <w:t>, 2005</w:t>
      </w:r>
      <w:r w:rsidRPr="00103DD3">
        <w:t xml:space="preserve">). CCI is instrumental in providing important information on consumer behavior by highlighting spending patterns and consumer risk tolerance in a particular market. CCI is applicable in determining the economic outlook of a country, where high CCI points to a stable economy while low CCI </w:t>
      </w:r>
      <w:r w:rsidR="00103DD3" w:rsidRPr="00103DD3">
        <w:t>i</w:t>
      </w:r>
      <w:r w:rsidRPr="00103DD3">
        <w:t>ndicates a struggling economy</w:t>
      </w:r>
      <w:r w:rsidR="00103DD3" w:rsidRPr="00103DD3">
        <w:t xml:space="preserve"> (Islam and Mumtaz, 2016). </w:t>
      </w:r>
      <w:r w:rsidRPr="00103DD3">
        <w:t>Therefore, business firms can utilize the information to determine the risks and opportunities presented by potential investment destinations and make informed decisions on where to invest</w:t>
      </w:r>
      <w:r w:rsidR="00103DD3" w:rsidRPr="00103DD3">
        <w:t>.</w:t>
      </w:r>
    </w:p>
    <w:p w14:paraId="5615AD47" w14:textId="58454E45" w:rsidR="00692EA7" w:rsidRPr="00103DD3" w:rsidRDefault="00000000">
      <w:pPr>
        <w:spacing w:after="200" w:line="360" w:lineRule="auto"/>
        <w:jc w:val="both"/>
      </w:pPr>
      <w:r w:rsidRPr="00103DD3">
        <w:lastRenderedPageBreak/>
        <w:t xml:space="preserve">The rationale for selecting </w:t>
      </w:r>
      <w:r w:rsidR="00103DD3" w:rsidRPr="00103DD3">
        <w:t>two</w:t>
      </w:r>
      <w:r w:rsidRPr="00103DD3">
        <w:t xml:space="preserve"> developed nations (USA and Japan) is that they have mature economies, an established market structure, and stable consumer behavior, making it easier for firms to decide whether to invest in them. On the other hand, emerging economies such as India and Malaysia have a high growth potential, and hence, studying their CCI enables businesses to have insights into the dynamic consumer behaviors, political factors, and economic fluctuation and how they could impact the investment, particularly in future</w:t>
      </w:r>
      <w:r w:rsidR="00103DD3" w:rsidRPr="00103DD3">
        <w:t>,</w:t>
      </w:r>
      <w:r w:rsidRPr="00103DD3">
        <w:t xml:space="preserve"> and hence a business will be in a position of developing effective risk management strategies.</w:t>
      </w:r>
    </w:p>
    <w:p w14:paraId="18A5658C" w14:textId="20DEA844" w:rsidR="00692EA7" w:rsidRPr="00103DD3" w:rsidRDefault="00000000">
      <w:pPr>
        <w:spacing w:after="200" w:line="360" w:lineRule="auto"/>
        <w:jc w:val="both"/>
      </w:pPr>
      <w:r w:rsidRPr="00103DD3">
        <w:t>Sources were collected from peer-reviewed articles, economic websites</w:t>
      </w:r>
      <w:r w:rsidR="00103DD3" w:rsidRPr="00103DD3">
        <w:t xml:space="preserve"> and </w:t>
      </w:r>
      <w:r w:rsidRPr="00103DD3">
        <w:t>economic magazines.</w:t>
      </w:r>
    </w:p>
    <w:p w14:paraId="1C355CCA" w14:textId="77777777" w:rsidR="00692EA7" w:rsidRPr="00103DD3" w:rsidRDefault="00000000">
      <w:pPr>
        <w:pStyle w:val="2"/>
        <w:spacing w:beforeAutospacing="0" w:after="200" w:afterAutospacing="0" w:line="360" w:lineRule="auto"/>
        <w:rPr>
          <w:sz w:val="28"/>
          <w:szCs w:val="28"/>
        </w:rPr>
      </w:pPr>
      <w:bookmarkStart w:id="6" w:name="__RefHeading___Toc4216_2927161102"/>
      <w:bookmarkStart w:id="7" w:name="_Toc160527041"/>
      <w:bookmarkEnd w:id="6"/>
      <w:r w:rsidRPr="00103DD3">
        <w:rPr>
          <w:sz w:val="28"/>
          <w:szCs w:val="28"/>
        </w:rPr>
        <w:t>2.2 Current performance of CCI In selected countries</w:t>
      </w:r>
      <w:bookmarkEnd w:id="7"/>
    </w:p>
    <w:p w14:paraId="46357C50" w14:textId="4B1A7CFC" w:rsidR="00692EA7" w:rsidRPr="00103DD3" w:rsidRDefault="00000000">
      <w:pPr>
        <w:spacing w:after="200" w:line="360" w:lineRule="auto"/>
        <w:jc w:val="both"/>
      </w:pPr>
      <w:r w:rsidRPr="00103DD3">
        <w:t>As of the end of February</w:t>
      </w:r>
      <w:r w:rsidR="00103DD3" w:rsidRPr="00103DD3">
        <w:t xml:space="preserve"> 2024</w:t>
      </w:r>
      <w:r w:rsidRPr="00103DD3">
        <w:t>, US CCI was 106.7, down from the January CCI of 110.9. The February decline of CCI occurred after consecutive gains in the preceding three months and can be attributed to the country's persistent economic uncertainty (The Conference Board 2024). However, the figure is above the CCI benchmark of 100, highlighting that consumer optimism is still high.</w:t>
      </w:r>
    </w:p>
    <w:p w14:paraId="0CEED51E" w14:textId="30A3A1F2" w:rsidR="00692EA7" w:rsidRPr="00103DD3" w:rsidRDefault="00000000">
      <w:pPr>
        <w:spacing w:after="200" w:line="360" w:lineRule="auto"/>
        <w:jc w:val="both"/>
      </w:pPr>
      <w:r w:rsidRPr="00103DD3">
        <w:t xml:space="preserve">Japan had a CCI of </w:t>
      </w:r>
      <w:r w:rsidR="00103DD3">
        <w:t>39</w:t>
      </w:r>
      <w:r w:rsidRPr="00103DD3">
        <w:t>.</w:t>
      </w:r>
      <w:r w:rsidR="00103DD3">
        <w:t>1</w:t>
      </w:r>
      <w:r w:rsidRPr="00103DD3">
        <w:t xml:space="preserve"> in </w:t>
      </w:r>
      <w:r w:rsidR="00103DD3">
        <w:t>February</w:t>
      </w:r>
      <w:r w:rsidRPr="00103DD3">
        <w:t xml:space="preserve"> 2024, an increase from the CCI of </w:t>
      </w:r>
      <w:r w:rsidR="00103DD3">
        <w:t>38</w:t>
      </w:r>
      <w:r w:rsidRPr="00103DD3">
        <w:t xml:space="preserve"> recorded in </w:t>
      </w:r>
      <w:r w:rsidR="00103DD3">
        <w:t>January</w:t>
      </w:r>
      <w:r w:rsidRPr="00103DD3">
        <w:t xml:space="preserve"> 2024. Although there is </w:t>
      </w:r>
      <w:r w:rsidR="00103DD3" w:rsidRPr="00103DD3">
        <w:t>a slight increase in</w:t>
      </w:r>
      <w:r w:rsidRPr="00103DD3">
        <w:t xml:space="preserve"> consumer optimism, the value </w:t>
      </w:r>
      <w:r w:rsidR="00103DD3">
        <w:t xml:space="preserve">well </w:t>
      </w:r>
      <w:r w:rsidRPr="00103DD3">
        <w:t xml:space="preserve">below the benchmark CCI of 100 indicates a </w:t>
      </w:r>
      <w:r w:rsidR="00103DD3">
        <w:t>very</w:t>
      </w:r>
      <w:r w:rsidRPr="00103DD3">
        <w:t xml:space="preserve"> low consumer index.</w:t>
      </w:r>
    </w:p>
    <w:p w14:paraId="4172A163" w14:textId="530CE2C1" w:rsidR="00692EA7" w:rsidRPr="00103DD3" w:rsidRDefault="00000000">
      <w:pPr>
        <w:spacing w:after="200" w:line="360" w:lineRule="auto"/>
        <w:jc w:val="both"/>
      </w:pPr>
      <w:r w:rsidRPr="00103DD3">
        <w:t>In the fourth quarter (Q4) of 2023, Malaysia's CCI was 89.4, an increase from 78.9 recorded in the third quarter (Q3) of 2023</w:t>
      </w:r>
      <w:r w:rsidR="00103DD3" w:rsidRPr="00103DD3">
        <w:t xml:space="preserve"> </w:t>
      </w:r>
      <w:r w:rsidR="00103DD3" w:rsidRPr="00103DD3">
        <w:t xml:space="preserve">(Trading Economics 2024c). </w:t>
      </w:r>
      <w:r w:rsidR="00103DD3" w:rsidRPr="00103DD3">
        <w:t>T</w:t>
      </w:r>
      <w:r w:rsidRPr="00103DD3">
        <w:t>he increase in the consumer confidence index can be attributed t</w:t>
      </w:r>
      <w:r w:rsidR="00103DD3" w:rsidRPr="00103DD3">
        <w:t xml:space="preserve">o the government’s commitment in </w:t>
      </w:r>
      <w:r w:rsidR="00103DD3" w:rsidRPr="00103DD3">
        <w:t>fostering economic and social growth through collaborations with neighboring countries</w:t>
      </w:r>
      <w:r w:rsidR="00103DD3" w:rsidRPr="00103DD3">
        <w:t xml:space="preserve"> by signing agreements between Malaysian and Chinese companies. </w:t>
      </w:r>
      <w:r w:rsidRPr="00103DD3">
        <w:t xml:space="preserve">Although the country has seen improvement in its CCI, it is generally below the 100 </w:t>
      </w:r>
      <w:proofErr w:type="gramStart"/>
      <w:r w:rsidRPr="00103DD3">
        <w:t>benchmark</w:t>
      </w:r>
      <w:proofErr w:type="gramEnd"/>
      <w:r w:rsidRPr="00103DD3">
        <w:t xml:space="preserve">, indicating that consumer confidence is moderately low. </w:t>
      </w:r>
    </w:p>
    <w:p w14:paraId="65A6235C" w14:textId="582BFD96" w:rsidR="00692EA7" w:rsidRPr="00103DD3" w:rsidRDefault="00000000">
      <w:pPr>
        <w:spacing w:after="200" w:line="360" w:lineRule="auto"/>
        <w:jc w:val="both"/>
      </w:pPr>
      <w:r w:rsidRPr="00103DD3">
        <w:t>As of November 2023, India's CCI was 92.2</w:t>
      </w:r>
      <w:r w:rsidR="00103DD3" w:rsidRPr="00103DD3">
        <w:t xml:space="preserve"> </w:t>
      </w:r>
      <w:r w:rsidR="00103DD3" w:rsidRPr="00103DD3">
        <w:t>(Trading Economics, 2024b)</w:t>
      </w:r>
      <w:r w:rsidR="00103DD3" w:rsidRPr="00103DD3">
        <w:t xml:space="preserve">. </w:t>
      </w:r>
      <w:r w:rsidRPr="00103DD3">
        <w:t>The latest rise in CCI can be attributed to economic growth, increased household income, and improved perception of employment. Although consumer optimism has grown, it is still below the CC1 benchmark of 100, highlighting that there are still some elements of pessimism in the economy.</w:t>
      </w:r>
    </w:p>
    <w:p w14:paraId="31A77CCE" w14:textId="77777777" w:rsidR="00692EA7" w:rsidRPr="00103DD3" w:rsidRDefault="00000000">
      <w:pPr>
        <w:spacing w:after="200" w:line="360" w:lineRule="auto"/>
        <w:jc w:val="both"/>
      </w:pPr>
      <w:r w:rsidRPr="00103DD3">
        <w:lastRenderedPageBreak/>
        <w:t>In the fourth quarter of 2021, Hong Kong's CCI was 70.60, an increase from 61.90 recorded in the third quarter of 2021 (Trading Economics, 2024d). The increase in CCI during that period can be attributed to the rise in stock investment and property purchases.</w:t>
      </w:r>
    </w:p>
    <w:p w14:paraId="016BB266" w14:textId="77777777" w:rsidR="00692EA7" w:rsidRPr="00103DD3" w:rsidRDefault="00000000">
      <w:pPr>
        <w:pStyle w:val="2"/>
        <w:spacing w:before="280" w:after="200" w:afterAutospacing="0" w:line="360" w:lineRule="auto"/>
        <w:rPr>
          <w:sz w:val="28"/>
          <w:szCs w:val="28"/>
        </w:rPr>
      </w:pPr>
      <w:bookmarkStart w:id="8" w:name="__RefHeading___Toc4218_2927161102"/>
      <w:bookmarkStart w:id="9" w:name="_Toc160527042"/>
      <w:bookmarkEnd w:id="8"/>
      <w:r w:rsidRPr="00103DD3">
        <w:rPr>
          <w:sz w:val="28"/>
          <w:szCs w:val="28"/>
        </w:rPr>
        <w:t>2.3 Dataset</w:t>
      </w:r>
      <w:bookmarkEnd w:id="9"/>
    </w:p>
    <w:p w14:paraId="1BA79214" w14:textId="77777777" w:rsidR="00692EA7" w:rsidRPr="00103DD3" w:rsidRDefault="00000000">
      <w:pPr>
        <w:snapToGrid w:val="0"/>
        <w:spacing w:after="200" w:line="360" w:lineRule="auto"/>
        <w:jc w:val="both"/>
        <w:rPr>
          <w:bCs/>
        </w:rPr>
      </w:pPr>
      <w:bookmarkStart w:id="10" w:name="_Hlk156035012"/>
      <w:r w:rsidRPr="00103DD3">
        <w:rPr>
          <w:bCs/>
        </w:rPr>
        <w:t xml:space="preserve">Table 1: Consumer confidence index in the selected countries: 2000 to 2022 </w:t>
      </w:r>
      <w:bookmarkEnd w:id="10"/>
    </w:p>
    <w:tbl>
      <w:tblPr>
        <w:tblW w:w="9574" w:type="dxa"/>
        <w:tblLayout w:type="fixed"/>
        <w:tblLook w:val="04A0" w:firstRow="1" w:lastRow="0" w:firstColumn="1" w:lastColumn="0" w:noHBand="0" w:noVBand="1"/>
      </w:tblPr>
      <w:tblGrid>
        <w:gridCol w:w="1392"/>
        <w:gridCol w:w="1455"/>
        <w:gridCol w:w="1500"/>
        <w:gridCol w:w="1605"/>
        <w:gridCol w:w="2121"/>
        <w:gridCol w:w="1501"/>
      </w:tblGrid>
      <w:tr w:rsidR="00692EA7" w:rsidRPr="00103DD3" w14:paraId="7BD1B9A3"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069BC464" w14:textId="77777777" w:rsidR="00692EA7" w:rsidRPr="00103DD3" w:rsidRDefault="00000000">
            <w:pPr>
              <w:snapToGrid w:val="0"/>
              <w:spacing w:line="360" w:lineRule="auto"/>
              <w:jc w:val="both"/>
              <w:rPr>
                <w:bCs/>
              </w:rPr>
            </w:pPr>
            <w:r w:rsidRPr="00103DD3">
              <w:rPr>
                <w:bCs/>
              </w:rPr>
              <w:t>Year</w:t>
            </w:r>
          </w:p>
        </w:tc>
        <w:tc>
          <w:tcPr>
            <w:tcW w:w="1455" w:type="dxa"/>
            <w:tcBorders>
              <w:top w:val="single" w:sz="4" w:space="0" w:color="000000"/>
              <w:left w:val="single" w:sz="4" w:space="0" w:color="000000"/>
              <w:bottom w:val="single" w:sz="4" w:space="0" w:color="000000"/>
              <w:right w:val="single" w:sz="4" w:space="0" w:color="000000"/>
            </w:tcBorders>
          </w:tcPr>
          <w:p w14:paraId="20C9D502" w14:textId="77777777" w:rsidR="00692EA7" w:rsidRPr="00103DD3" w:rsidRDefault="00000000">
            <w:pPr>
              <w:snapToGrid w:val="0"/>
              <w:spacing w:line="360" w:lineRule="auto"/>
              <w:jc w:val="both"/>
              <w:rPr>
                <w:bCs/>
              </w:rPr>
            </w:pPr>
            <w:r w:rsidRPr="00103DD3">
              <w:rPr>
                <w:bCs/>
              </w:rPr>
              <w:t>Hong Kong</w:t>
            </w:r>
          </w:p>
        </w:tc>
        <w:tc>
          <w:tcPr>
            <w:tcW w:w="1500" w:type="dxa"/>
            <w:tcBorders>
              <w:top w:val="single" w:sz="4" w:space="0" w:color="000000"/>
              <w:left w:val="single" w:sz="4" w:space="0" w:color="000000"/>
              <w:bottom w:val="single" w:sz="4" w:space="0" w:color="000000"/>
              <w:right w:val="single" w:sz="4" w:space="0" w:color="000000"/>
            </w:tcBorders>
          </w:tcPr>
          <w:p w14:paraId="79FD710C" w14:textId="77777777" w:rsidR="00692EA7" w:rsidRPr="00103DD3" w:rsidRDefault="00000000">
            <w:pPr>
              <w:snapToGrid w:val="0"/>
              <w:spacing w:line="360" w:lineRule="auto"/>
              <w:jc w:val="both"/>
              <w:rPr>
                <w:bCs/>
              </w:rPr>
            </w:pPr>
            <w:r w:rsidRPr="00103DD3">
              <w:rPr>
                <w:bCs/>
              </w:rPr>
              <w:t>USA</w:t>
            </w:r>
          </w:p>
        </w:tc>
        <w:tc>
          <w:tcPr>
            <w:tcW w:w="1605" w:type="dxa"/>
            <w:tcBorders>
              <w:top w:val="single" w:sz="4" w:space="0" w:color="000000"/>
              <w:left w:val="single" w:sz="4" w:space="0" w:color="000000"/>
              <w:bottom w:val="single" w:sz="4" w:space="0" w:color="000000"/>
              <w:right w:val="single" w:sz="4" w:space="0" w:color="000000"/>
            </w:tcBorders>
            <w:shd w:val="clear" w:color="auto" w:fill="auto"/>
          </w:tcPr>
          <w:p w14:paraId="0AE6CE37" w14:textId="77777777" w:rsidR="00692EA7" w:rsidRPr="00103DD3" w:rsidRDefault="00000000">
            <w:pPr>
              <w:snapToGrid w:val="0"/>
              <w:spacing w:line="360" w:lineRule="auto"/>
              <w:jc w:val="both"/>
              <w:rPr>
                <w:bCs/>
              </w:rPr>
            </w:pPr>
            <w:r w:rsidRPr="00103DD3">
              <w:rPr>
                <w:bCs/>
              </w:rPr>
              <w:t>Japan</w:t>
            </w:r>
          </w:p>
        </w:tc>
        <w:tc>
          <w:tcPr>
            <w:tcW w:w="2121" w:type="dxa"/>
            <w:tcBorders>
              <w:top w:val="single" w:sz="4" w:space="0" w:color="000000"/>
              <w:left w:val="single" w:sz="4" w:space="0" w:color="000000"/>
              <w:bottom w:val="single" w:sz="4" w:space="0" w:color="000000"/>
              <w:right w:val="single" w:sz="4" w:space="0" w:color="000000"/>
            </w:tcBorders>
            <w:shd w:val="clear" w:color="auto" w:fill="auto"/>
          </w:tcPr>
          <w:p w14:paraId="5381BE9D" w14:textId="77777777" w:rsidR="00692EA7" w:rsidRPr="00103DD3" w:rsidRDefault="00000000">
            <w:pPr>
              <w:snapToGrid w:val="0"/>
              <w:spacing w:line="360" w:lineRule="auto"/>
              <w:jc w:val="both"/>
              <w:rPr>
                <w:bCs/>
              </w:rPr>
            </w:pPr>
            <w:r w:rsidRPr="00103DD3">
              <w:rPr>
                <w:bCs/>
              </w:rPr>
              <w:t xml:space="preserve"> Malaysia</w:t>
            </w:r>
          </w:p>
        </w:tc>
        <w:tc>
          <w:tcPr>
            <w:tcW w:w="1501" w:type="dxa"/>
            <w:tcBorders>
              <w:top w:val="single" w:sz="4" w:space="0" w:color="000000"/>
              <w:left w:val="single" w:sz="4" w:space="0" w:color="000000"/>
              <w:bottom w:val="single" w:sz="4" w:space="0" w:color="000000"/>
              <w:right w:val="single" w:sz="4" w:space="0" w:color="000000"/>
            </w:tcBorders>
          </w:tcPr>
          <w:p w14:paraId="337A7470" w14:textId="77777777" w:rsidR="00692EA7" w:rsidRPr="00103DD3" w:rsidRDefault="00000000">
            <w:pPr>
              <w:snapToGrid w:val="0"/>
              <w:spacing w:line="360" w:lineRule="auto"/>
              <w:jc w:val="both"/>
              <w:rPr>
                <w:bCs/>
              </w:rPr>
            </w:pPr>
            <w:r w:rsidRPr="00103DD3">
              <w:rPr>
                <w:bCs/>
              </w:rPr>
              <w:t xml:space="preserve"> India</w:t>
            </w:r>
          </w:p>
        </w:tc>
      </w:tr>
      <w:tr w:rsidR="00692EA7" w:rsidRPr="00103DD3" w14:paraId="432D7685"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37CB90F6" w14:textId="77777777" w:rsidR="00692EA7" w:rsidRPr="00103DD3" w:rsidRDefault="00000000">
            <w:pPr>
              <w:snapToGrid w:val="0"/>
              <w:spacing w:line="360" w:lineRule="auto"/>
              <w:jc w:val="both"/>
              <w:rPr>
                <w:bCs/>
              </w:rPr>
            </w:pPr>
            <w:r w:rsidRPr="00103DD3">
              <w:rPr>
                <w:bCs/>
              </w:rPr>
              <w:t>2000</w:t>
            </w:r>
          </w:p>
        </w:tc>
        <w:tc>
          <w:tcPr>
            <w:tcW w:w="1455" w:type="dxa"/>
            <w:tcBorders>
              <w:top w:val="single" w:sz="4" w:space="0" w:color="000000"/>
              <w:left w:val="single" w:sz="4" w:space="0" w:color="000000"/>
              <w:bottom w:val="single" w:sz="4" w:space="0" w:color="000000"/>
              <w:right w:val="single" w:sz="4" w:space="0" w:color="000000"/>
            </w:tcBorders>
          </w:tcPr>
          <w:p w14:paraId="1784F2D4" w14:textId="77777777" w:rsidR="00692EA7" w:rsidRPr="00103DD3" w:rsidRDefault="00000000">
            <w:pPr>
              <w:snapToGrid w:val="0"/>
              <w:spacing w:line="360" w:lineRule="auto"/>
              <w:jc w:val="both"/>
              <w:rPr>
                <w:bCs/>
              </w:rPr>
            </w:pPr>
            <w:r w:rsidRPr="00103DD3">
              <w:rPr>
                <w:bCs/>
              </w:rPr>
              <w:t>95</w:t>
            </w:r>
          </w:p>
        </w:tc>
        <w:tc>
          <w:tcPr>
            <w:tcW w:w="1500" w:type="dxa"/>
            <w:tcBorders>
              <w:top w:val="single" w:sz="4" w:space="0" w:color="000000"/>
              <w:left w:val="single" w:sz="4" w:space="0" w:color="000000"/>
              <w:bottom w:val="single" w:sz="4" w:space="0" w:color="000000"/>
              <w:right w:val="single" w:sz="4" w:space="0" w:color="000000"/>
            </w:tcBorders>
            <w:vAlign w:val="center"/>
          </w:tcPr>
          <w:p w14:paraId="6264711A" w14:textId="77777777" w:rsidR="00692EA7" w:rsidRPr="00103DD3" w:rsidRDefault="00000000">
            <w:pPr>
              <w:snapToGrid w:val="0"/>
              <w:spacing w:line="360" w:lineRule="auto"/>
              <w:jc w:val="both"/>
              <w:rPr>
                <w:bCs/>
              </w:rPr>
            </w:pPr>
            <w:r w:rsidRPr="00103DD3">
              <w:rPr>
                <w:bCs/>
              </w:rPr>
              <w:t>139.9</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253D43A" w14:textId="77777777" w:rsidR="00692EA7" w:rsidRPr="00103DD3" w:rsidRDefault="00000000">
            <w:pPr>
              <w:snapToGrid w:val="0"/>
              <w:spacing w:line="360" w:lineRule="auto"/>
              <w:jc w:val="both"/>
              <w:rPr>
                <w:bCs/>
              </w:rPr>
            </w:pPr>
            <w:r w:rsidRPr="00103DD3">
              <w:rPr>
                <w:bCs/>
              </w:rPr>
              <w:t>100</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501907C" w14:textId="77777777" w:rsidR="00692EA7" w:rsidRPr="00103DD3" w:rsidRDefault="00000000">
            <w:pPr>
              <w:snapToGrid w:val="0"/>
              <w:spacing w:line="360" w:lineRule="auto"/>
              <w:jc w:val="both"/>
              <w:rPr>
                <w:bCs/>
              </w:rPr>
            </w:pPr>
            <w:r w:rsidRPr="00103DD3">
              <w:rPr>
                <w:bCs/>
              </w:rPr>
              <w:t>98</w:t>
            </w:r>
          </w:p>
        </w:tc>
        <w:tc>
          <w:tcPr>
            <w:tcW w:w="1501" w:type="dxa"/>
            <w:tcBorders>
              <w:top w:val="single" w:sz="4" w:space="0" w:color="000000"/>
              <w:left w:val="single" w:sz="4" w:space="0" w:color="000000"/>
              <w:bottom w:val="single" w:sz="4" w:space="0" w:color="000000"/>
              <w:right w:val="single" w:sz="4" w:space="0" w:color="000000"/>
            </w:tcBorders>
            <w:vAlign w:val="center"/>
          </w:tcPr>
          <w:p w14:paraId="4810AF9A" w14:textId="77777777" w:rsidR="00692EA7" w:rsidRPr="00103DD3" w:rsidRDefault="00000000">
            <w:pPr>
              <w:snapToGrid w:val="0"/>
              <w:spacing w:line="360" w:lineRule="auto"/>
              <w:jc w:val="both"/>
              <w:rPr>
                <w:bCs/>
              </w:rPr>
            </w:pPr>
            <w:r w:rsidRPr="00103DD3">
              <w:rPr>
                <w:bCs/>
              </w:rPr>
              <w:t>-</w:t>
            </w:r>
          </w:p>
        </w:tc>
      </w:tr>
      <w:tr w:rsidR="00692EA7" w:rsidRPr="00103DD3" w14:paraId="533F768A"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4228A269" w14:textId="77777777" w:rsidR="00692EA7" w:rsidRPr="00103DD3" w:rsidRDefault="00000000">
            <w:pPr>
              <w:snapToGrid w:val="0"/>
              <w:spacing w:line="360" w:lineRule="auto"/>
              <w:jc w:val="both"/>
              <w:rPr>
                <w:bCs/>
              </w:rPr>
            </w:pPr>
            <w:r w:rsidRPr="00103DD3">
              <w:rPr>
                <w:bCs/>
              </w:rPr>
              <w:t>2001</w:t>
            </w:r>
          </w:p>
        </w:tc>
        <w:tc>
          <w:tcPr>
            <w:tcW w:w="1455" w:type="dxa"/>
            <w:tcBorders>
              <w:top w:val="single" w:sz="4" w:space="0" w:color="000000"/>
              <w:left w:val="single" w:sz="4" w:space="0" w:color="000000"/>
              <w:bottom w:val="single" w:sz="4" w:space="0" w:color="000000"/>
              <w:right w:val="single" w:sz="4" w:space="0" w:color="000000"/>
            </w:tcBorders>
          </w:tcPr>
          <w:p w14:paraId="2BEB64AC" w14:textId="77777777" w:rsidR="00692EA7" w:rsidRPr="00103DD3" w:rsidRDefault="00000000">
            <w:pPr>
              <w:snapToGrid w:val="0"/>
              <w:spacing w:line="360" w:lineRule="auto"/>
              <w:jc w:val="both"/>
              <w:rPr>
                <w:bCs/>
              </w:rPr>
            </w:pPr>
            <w:r w:rsidRPr="00103DD3">
              <w:rPr>
                <w:bCs/>
              </w:rPr>
              <w:t>69</w:t>
            </w:r>
          </w:p>
        </w:tc>
        <w:tc>
          <w:tcPr>
            <w:tcW w:w="1500" w:type="dxa"/>
            <w:tcBorders>
              <w:top w:val="single" w:sz="4" w:space="0" w:color="000000"/>
              <w:left w:val="single" w:sz="4" w:space="0" w:color="000000"/>
              <w:bottom w:val="single" w:sz="4" w:space="0" w:color="000000"/>
              <w:right w:val="single" w:sz="4" w:space="0" w:color="000000"/>
            </w:tcBorders>
            <w:vAlign w:val="center"/>
          </w:tcPr>
          <w:p w14:paraId="0081DBC0" w14:textId="77777777" w:rsidR="00692EA7" w:rsidRPr="00103DD3" w:rsidRDefault="00000000">
            <w:pPr>
              <w:snapToGrid w:val="0"/>
              <w:spacing w:line="360" w:lineRule="auto"/>
              <w:jc w:val="both"/>
              <w:rPr>
                <w:bCs/>
              </w:rPr>
            </w:pPr>
            <w:r w:rsidRPr="00103DD3">
              <w:rPr>
                <w:bCs/>
              </w:rPr>
              <w:t>109.4</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0D8103F" w14:textId="77777777" w:rsidR="00692EA7" w:rsidRPr="00103DD3" w:rsidRDefault="00000000">
            <w:pPr>
              <w:snapToGrid w:val="0"/>
              <w:spacing w:line="360" w:lineRule="auto"/>
              <w:jc w:val="both"/>
              <w:rPr>
                <w:bCs/>
              </w:rPr>
            </w:pPr>
            <w:r w:rsidRPr="00103DD3">
              <w:rPr>
                <w:bCs/>
              </w:rPr>
              <w:t>97</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BF3FCE8" w14:textId="77777777" w:rsidR="00692EA7" w:rsidRPr="00103DD3" w:rsidRDefault="00000000">
            <w:pPr>
              <w:snapToGrid w:val="0"/>
              <w:spacing w:line="360" w:lineRule="auto"/>
              <w:jc w:val="both"/>
              <w:rPr>
                <w:bCs/>
              </w:rPr>
            </w:pPr>
            <w:r w:rsidRPr="00103DD3">
              <w:rPr>
                <w:bCs/>
              </w:rPr>
              <w:t>88</w:t>
            </w:r>
          </w:p>
        </w:tc>
        <w:tc>
          <w:tcPr>
            <w:tcW w:w="1501" w:type="dxa"/>
            <w:tcBorders>
              <w:top w:val="single" w:sz="4" w:space="0" w:color="000000"/>
              <w:left w:val="single" w:sz="4" w:space="0" w:color="000000"/>
              <w:bottom w:val="single" w:sz="4" w:space="0" w:color="000000"/>
              <w:right w:val="single" w:sz="4" w:space="0" w:color="000000"/>
            </w:tcBorders>
            <w:vAlign w:val="center"/>
          </w:tcPr>
          <w:p w14:paraId="6A3A2237" w14:textId="77777777" w:rsidR="00692EA7" w:rsidRPr="00103DD3" w:rsidRDefault="00000000">
            <w:pPr>
              <w:snapToGrid w:val="0"/>
              <w:spacing w:line="360" w:lineRule="auto"/>
              <w:jc w:val="both"/>
              <w:rPr>
                <w:bCs/>
              </w:rPr>
            </w:pPr>
            <w:r w:rsidRPr="00103DD3">
              <w:rPr>
                <w:bCs/>
              </w:rPr>
              <w:t>59.6</w:t>
            </w:r>
          </w:p>
        </w:tc>
      </w:tr>
      <w:tr w:rsidR="00692EA7" w:rsidRPr="00103DD3" w14:paraId="22ACB392"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44B36ED0" w14:textId="77777777" w:rsidR="00692EA7" w:rsidRPr="00103DD3" w:rsidRDefault="00000000">
            <w:pPr>
              <w:snapToGrid w:val="0"/>
              <w:spacing w:line="360" w:lineRule="auto"/>
              <w:jc w:val="both"/>
              <w:rPr>
                <w:bCs/>
              </w:rPr>
            </w:pPr>
            <w:r w:rsidRPr="00103DD3">
              <w:rPr>
                <w:bCs/>
              </w:rPr>
              <w:t>2002</w:t>
            </w:r>
          </w:p>
        </w:tc>
        <w:tc>
          <w:tcPr>
            <w:tcW w:w="1455" w:type="dxa"/>
            <w:tcBorders>
              <w:top w:val="single" w:sz="4" w:space="0" w:color="000000"/>
              <w:left w:val="single" w:sz="4" w:space="0" w:color="000000"/>
              <w:bottom w:val="single" w:sz="4" w:space="0" w:color="000000"/>
              <w:right w:val="single" w:sz="4" w:space="0" w:color="000000"/>
            </w:tcBorders>
          </w:tcPr>
          <w:p w14:paraId="32AF03DF" w14:textId="77777777" w:rsidR="00692EA7" w:rsidRPr="00103DD3" w:rsidRDefault="00000000">
            <w:pPr>
              <w:snapToGrid w:val="0"/>
              <w:spacing w:line="360" w:lineRule="auto"/>
              <w:jc w:val="both"/>
              <w:rPr>
                <w:bCs/>
              </w:rPr>
            </w:pPr>
            <w:r w:rsidRPr="00103DD3">
              <w:rPr>
                <w:bCs/>
              </w:rPr>
              <w:t>68</w:t>
            </w:r>
          </w:p>
        </w:tc>
        <w:tc>
          <w:tcPr>
            <w:tcW w:w="1500" w:type="dxa"/>
            <w:tcBorders>
              <w:top w:val="single" w:sz="4" w:space="0" w:color="000000"/>
              <w:left w:val="single" w:sz="4" w:space="0" w:color="000000"/>
              <w:bottom w:val="single" w:sz="4" w:space="0" w:color="000000"/>
              <w:right w:val="single" w:sz="4" w:space="0" w:color="000000"/>
            </w:tcBorders>
            <w:vAlign w:val="center"/>
          </w:tcPr>
          <w:p w14:paraId="7F344179" w14:textId="77777777" w:rsidR="00692EA7" w:rsidRPr="00103DD3" w:rsidRDefault="00000000">
            <w:pPr>
              <w:snapToGrid w:val="0"/>
              <w:spacing w:line="360" w:lineRule="auto"/>
              <w:jc w:val="both"/>
              <w:rPr>
                <w:bCs/>
              </w:rPr>
            </w:pPr>
            <w:r w:rsidRPr="00103DD3">
              <w:rPr>
                <w:bCs/>
              </w:rPr>
              <w:t>97.5</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2C0B965" w14:textId="77777777" w:rsidR="00692EA7" w:rsidRPr="00103DD3" w:rsidRDefault="00000000">
            <w:pPr>
              <w:snapToGrid w:val="0"/>
              <w:spacing w:line="360" w:lineRule="auto"/>
              <w:jc w:val="both"/>
              <w:rPr>
                <w:bCs/>
              </w:rPr>
            </w:pPr>
            <w:r w:rsidRPr="00103DD3">
              <w:rPr>
                <w:bCs/>
              </w:rPr>
              <w:t>93</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69503AE" w14:textId="77777777" w:rsidR="00692EA7" w:rsidRPr="00103DD3" w:rsidRDefault="00000000">
            <w:pPr>
              <w:snapToGrid w:val="0"/>
              <w:spacing w:line="360" w:lineRule="auto"/>
              <w:jc w:val="both"/>
              <w:rPr>
                <w:bCs/>
              </w:rPr>
            </w:pPr>
            <w:r w:rsidRPr="00103DD3">
              <w:rPr>
                <w:bCs/>
              </w:rPr>
              <w:t>84</w:t>
            </w:r>
          </w:p>
        </w:tc>
        <w:tc>
          <w:tcPr>
            <w:tcW w:w="1501" w:type="dxa"/>
            <w:tcBorders>
              <w:top w:val="single" w:sz="4" w:space="0" w:color="000000"/>
              <w:left w:val="single" w:sz="4" w:space="0" w:color="000000"/>
              <w:bottom w:val="single" w:sz="4" w:space="0" w:color="000000"/>
              <w:right w:val="single" w:sz="4" w:space="0" w:color="000000"/>
            </w:tcBorders>
            <w:vAlign w:val="center"/>
          </w:tcPr>
          <w:p w14:paraId="1DBACF3A" w14:textId="77777777" w:rsidR="00692EA7" w:rsidRPr="00103DD3" w:rsidRDefault="00000000">
            <w:pPr>
              <w:snapToGrid w:val="0"/>
              <w:spacing w:line="360" w:lineRule="auto"/>
              <w:jc w:val="both"/>
              <w:rPr>
                <w:bCs/>
              </w:rPr>
            </w:pPr>
            <w:r w:rsidRPr="00103DD3">
              <w:rPr>
                <w:bCs/>
              </w:rPr>
              <w:t>55.6</w:t>
            </w:r>
          </w:p>
        </w:tc>
      </w:tr>
      <w:tr w:rsidR="00692EA7" w:rsidRPr="00103DD3" w14:paraId="4FC37121"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5671B72A" w14:textId="77777777" w:rsidR="00692EA7" w:rsidRPr="00103DD3" w:rsidRDefault="00000000">
            <w:pPr>
              <w:snapToGrid w:val="0"/>
              <w:spacing w:line="360" w:lineRule="auto"/>
              <w:jc w:val="both"/>
              <w:rPr>
                <w:bCs/>
              </w:rPr>
            </w:pPr>
            <w:r w:rsidRPr="00103DD3">
              <w:rPr>
                <w:bCs/>
              </w:rPr>
              <w:t>2003</w:t>
            </w:r>
          </w:p>
        </w:tc>
        <w:tc>
          <w:tcPr>
            <w:tcW w:w="1455" w:type="dxa"/>
            <w:tcBorders>
              <w:top w:val="single" w:sz="4" w:space="0" w:color="000000"/>
              <w:left w:val="single" w:sz="4" w:space="0" w:color="000000"/>
              <w:bottom w:val="single" w:sz="4" w:space="0" w:color="000000"/>
              <w:right w:val="single" w:sz="4" w:space="0" w:color="000000"/>
            </w:tcBorders>
          </w:tcPr>
          <w:p w14:paraId="638C98E7" w14:textId="77777777" w:rsidR="00692EA7" w:rsidRPr="00103DD3" w:rsidRDefault="00000000">
            <w:pPr>
              <w:snapToGrid w:val="0"/>
              <w:spacing w:line="360" w:lineRule="auto"/>
              <w:jc w:val="both"/>
              <w:rPr>
                <w:bCs/>
              </w:rPr>
            </w:pPr>
            <w:r w:rsidRPr="00103DD3">
              <w:rPr>
                <w:bCs/>
              </w:rPr>
              <w:t>82</w:t>
            </w:r>
          </w:p>
        </w:tc>
        <w:tc>
          <w:tcPr>
            <w:tcW w:w="1500" w:type="dxa"/>
            <w:tcBorders>
              <w:top w:val="single" w:sz="4" w:space="0" w:color="000000"/>
              <w:left w:val="single" w:sz="4" w:space="0" w:color="000000"/>
              <w:bottom w:val="single" w:sz="4" w:space="0" w:color="000000"/>
              <w:right w:val="single" w:sz="4" w:space="0" w:color="000000"/>
            </w:tcBorders>
            <w:vAlign w:val="center"/>
          </w:tcPr>
          <w:p w14:paraId="23D2BD2C" w14:textId="77777777" w:rsidR="00692EA7" w:rsidRPr="00103DD3" w:rsidRDefault="00000000">
            <w:pPr>
              <w:snapToGrid w:val="0"/>
              <w:spacing w:line="360" w:lineRule="auto"/>
              <w:jc w:val="both"/>
              <w:rPr>
                <w:bCs/>
              </w:rPr>
            </w:pPr>
            <w:r w:rsidRPr="00103DD3">
              <w:rPr>
                <w:bCs/>
              </w:rPr>
              <w:t>78.8</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6AFFFFF" w14:textId="77777777" w:rsidR="00692EA7" w:rsidRPr="00103DD3" w:rsidRDefault="00000000">
            <w:pPr>
              <w:snapToGrid w:val="0"/>
              <w:spacing w:line="360" w:lineRule="auto"/>
              <w:jc w:val="both"/>
              <w:rPr>
                <w:bCs/>
              </w:rPr>
            </w:pPr>
            <w:r w:rsidRPr="00103DD3">
              <w:rPr>
                <w:bCs/>
              </w:rPr>
              <w:t>94</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8FCD0A0" w14:textId="77777777" w:rsidR="00692EA7" w:rsidRPr="00103DD3" w:rsidRDefault="00000000">
            <w:pPr>
              <w:snapToGrid w:val="0"/>
              <w:spacing w:line="360" w:lineRule="auto"/>
              <w:jc w:val="both"/>
              <w:rPr>
                <w:bCs/>
              </w:rPr>
            </w:pPr>
            <w:r w:rsidRPr="00103DD3">
              <w:rPr>
                <w:bCs/>
              </w:rPr>
              <w:t>92</w:t>
            </w:r>
          </w:p>
        </w:tc>
        <w:tc>
          <w:tcPr>
            <w:tcW w:w="1501" w:type="dxa"/>
            <w:tcBorders>
              <w:top w:val="single" w:sz="4" w:space="0" w:color="000000"/>
              <w:left w:val="single" w:sz="4" w:space="0" w:color="000000"/>
              <w:bottom w:val="single" w:sz="4" w:space="0" w:color="000000"/>
              <w:right w:val="single" w:sz="4" w:space="0" w:color="000000"/>
            </w:tcBorders>
            <w:vAlign w:val="center"/>
          </w:tcPr>
          <w:p w14:paraId="65DC4EAF" w14:textId="77777777" w:rsidR="00692EA7" w:rsidRPr="00103DD3" w:rsidRDefault="00000000">
            <w:pPr>
              <w:snapToGrid w:val="0"/>
              <w:spacing w:line="360" w:lineRule="auto"/>
              <w:jc w:val="both"/>
              <w:rPr>
                <w:bCs/>
              </w:rPr>
            </w:pPr>
            <w:r w:rsidRPr="00103DD3">
              <w:rPr>
                <w:bCs/>
              </w:rPr>
              <w:t>59</w:t>
            </w:r>
          </w:p>
        </w:tc>
      </w:tr>
      <w:tr w:rsidR="00692EA7" w:rsidRPr="00103DD3" w14:paraId="14CE1C2F"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17D7EBDD" w14:textId="77777777" w:rsidR="00692EA7" w:rsidRPr="00103DD3" w:rsidRDefault="00000000">
            <w:pPr>
              <w:snapToGrid w:val="0"/>
              <w:spacing w:line="360" w:lineRule="auto"/>
              <w:jc w:val="both"/>
              <w:rPr>
                <w:bCs/>
              </w:rPr>
            </w:pPr>
            <w:r w:rsidRPr="00103DD3">
              <w:rPr>
                <w:bCs/>
              </w:rPr>
              <w:t>2004</w:t>
            </w:r>
          </w:p>
        </w:tc>
        <w:tc>
          <w:tcPr>
            <w:tcW w:w="1455" w:type="dxa"/>
            <w:tcBorders>
              <w:top w:val="single" w:sz="4" w:space="0" w:color="000000"/>
              <w:left w:val="single" w:sz="4" w:space="0" w:color="000000"/>
              <w:bottom w:val="single" w:sz="4" w:space="0" w:color="000000"/>
              <w:right w:val="single" w:sz="4" w:space="0" w:color="000000"/>
            </w:tcBorders>
          </w:tcPr>
          <w:p w14:paraId="51802DD7" w14:textId="77777777" w:rsidR="00692EA7" w:rsidRPr="00103DD3" w:rsidRDefault="00000000">
            <w:pPr>
              <w:snapToGrid w:val="0"/>
              <w:spacing w:line="360" w:lineRule="auto"/>
              <w:jc w:val="both"/>
              <w:rPr>
                <w:bCs/>
              </w:rPr>
            </w:pPr>
            <w:r w:rsidRPr="00103DD3">
              <w:rPr>
                <w:bCs/>
              </w:rPr>
              <w:t>104</w:t>
            </w:r>
          </w:p>
        </w:tc>
        <w:tc>
          <w:tcPr>
            <w:tcW w:w="1500" w:type="dxa"/>
            <w:tcBorders>
              <w:top w:val="single" w:sz="4" w:space="0" w:color="000000"/>
              <w:left w:val="single" w:sz="4" w:space="0" w:color="000000"/>
              <w:bottom w:val="single" w:sz="4" w:space="0" w:color="000000"/>
              <w:right w:val="single" w:sz="4" w:space="0" w:color="000000"/>
            </w:tcBorders>
            <w:vAlign w:val="center"/>
          </w:tcPr>
          <w:p w14:paraId="3D6B5F8E" w14:textId="77777777" w:rsidR="00692EA7" w:rsidRPr="00103DD3" w:rsidRDefault="00000000">
            <w:pPr>
              <w:snapToGrid w:val="0"/>
              <w:spacing w:line="360" w:lineRule="auto"/>
              <w:jc w:val="both"/>
              <w:rPr>
                <w:bCs/>
              </w:rPr>
            </w:pPr>
            <w:r w:rsidRPr="00103DD3">
              <w:rPr>
                <w:bCs/>
              </w:rPr>
              <w:t>99.5</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B3DAB3E" w14:textId="77777777" w:rsidR="00692EA7" w:rsidRPr="00103DD3" w:rsidRDefault="00000000">
            <w:pPr>
              <w:snapToGrid w:val="0"/>
              <w:spacing w:line="360" w:lineRule="auto"/>
              <w:jc w:val="both"/>
              <w:rPr>
                <w:bCs/>
              </w:rPr>
            </w:pPr>
            <w:r w:rsidRPr="00103DD3">
              <w:rPr>
                <w:bCs/>
              </w:rPr>
              <w:t>99</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7DF4F80" w14:textId="77777777" w:rsidR="00692EA7" w:rsidRPr="00103DD3" w:rsidRDefault="00000000">
            <w:pPr>
              <w:snapToGrid w:val="0"/>
              <w:spacing w:line="360" w:lineRule="auto"/>
              <w:jc w:val="both"/>
              <w:rPr>
                <w:bCs/>
              </w:rPr>
            </w:pPr>
            <w:r w:rsidRPr="00103DD3">
              <w:rPr>
                <w:bCs/>
              </w:rPr>
              <w:t>98</w:t>
            </w:r>
          </w:p>
        </w:tc>
        <w:tc>
          <w:tcPr>
            <w:tcW w:w="1501" w:type="dxa"/>
            <w:tcBorders>
              <w:top w:val="single" w:sz="4" w:space="0" w:color="000000"/>
              <w:left w:val="single" w:sz="4" w:space="0" w:color="000000"/>
              <w:bottom w:val="single" w:sz="4" w:space="0" w:color="000000"/>
              <w:right w:val="single" w:sz="4" w:space="0" w:color="000000"/>
            </w:tcBorders>
            <w:vAlign w:val="center"/>
          </w:tcPr>
          <w:p w14:paraId="7CF9C381" w14:textId="77777777" w:rsidR="00692EA7" w:rsidRPr="00103DD3" w:rsidRDefault="00000000">
            <w:pPr>
              <w:snapToGrid w:val="0"/>
              <w:spacing w:line="360" w:lineRule="auto"/>
              <w:jc w:val="both"/>
              <w:rPr>
                <w:bCs/>
              </w:rPr>
            </w:pPr>
            <w:r w:rsidRPr="00103DD3">
              <w:rPr>
                <w:bCs/>
              </w:rPr>
              <w:t>61</w:t>
            </w:r>
          </w:p>
        </w:tc>
      </w:tr>
      <w:tr w:rsidR="00692EA7" w:rsidRPr="00103DD3" w14:paraId="420C9642"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421BF557" w14:textId="77777777" w:rsidR="00692EA7" w:rsidRPr="00103DD3" w:rsidRDefault="00000000">
            <w:pPr>
              <w:snapToGrid w:val="0"/>
              <w:spacing w:line="360" w:lineRule="auto"/>
              <w:jc w:val="both"/>
              <w:rPr>
                <w:bCs/>
              </w:rPr>
            </w:pPr>
            <w:r w:rsidRPr="00103DD3">
              <w:rPr>
                <w:bCs/>
              </w:rPr>
              <w:t>2005</w:t>
            </w:r>
          </w:p>
        </w:tc>
        <w:tc>
          <w:tcPr>
            <w:tcW w:w="1455" w:type="dxa"/>
            <w:tcBorders>
              <w:top w:val="single" w:sz="4" w:space="0" w:color="000000"/>
              <w:left w:val="single" w:sz="4" w:space="0" w:color="000000"/>
              <w:bottom w:val="single" w:sz="4" w:space="0" w:color="000000"/>
              <w:right w:val="single" w:sz="4" w:space="0" w:color="000000"/>
            </w:tcBorders>
          </w:tcPr>
          <w:p w14:paraId="459FE246" w14:textId="77777777" w:rsidR="00692EA7" w:rsidRPr="00103DD3" w:rsidRDefault="00000000">
            <w:pPr>
              <w:snapToGrid w:val="0"/>
              <w:spacing w:line="360" w:lineRule="auto"/>
              <w:jc w:val="both"/>
              <w:rPr>
                <w:bCs/>
              </w:rPr>
            </w:pPr>
            <w:r w:rsidRPr="00103DD3">
              <w:rPr>
                <w:bCs/>
              </w:rPr>
              <w:t>112</w:t>
            </w:r>
          </w:p>
        </w:tc>
        <w:tc>
          <w:tcPr>
            <w:tcW w:w="1500" w:type="dxa"/>
            <w:tcBorders>
              <w:top w:val="single" w:sz="4" w:space="0" w:color="000000"/>
              <w:left w:val="single" w:sz="4" w:space="0" w:color="000000"/>
              <w:bottom w:val="single" w:sz="4" w:space="0" w:color="000000"/>
              <w:right w:val="single" w:sz="4" w:space="0" w:color="000000"/>
            </w:tcBorders>
            <w:vAlign w:val="center"/>
          </w:tcPr>
          <w:p w14:paraId="21B85ED7" w14:textId="77777777" w:rsidR="00692EA7" w:rsidRPr="00103DD3" w:rsidRDefault="00000000">
            <w:pPr>
              <w:snapToGrid w:val="0"/>
              <w:spacing w:line="360" w:lineRule="auto"/>
              <w:jc w:val="both"/>
              <w:rPr>
                <w:bCs/>
              </w:rPr>
            </w:pPr>
            <w:r w:rsidRPr="00103DD3">
              <w:rPr>
                <w:bCs/>
              </w:rPr>
              <w:t>100.2</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91B158E" w14:textId="77777777" w:rsidR="00692EA7" w:rsidRPr="00103DD3" w:rsidRDefault="00000000">
            <w:pPr>
              <w:snapToGrid w:val="0"/>
              <w:spacing w:line="360" w:lineRule="auto"/>
              <w:jc w:val="both"/>
              <w:rPr>
                <w:bCs/>
              </w:rPr>
            </w:pPr>
            <w:r w:rsidRPr="00103DD3">
              <w:rPr>
                <w:bCs/>
              </w:rPr>
              <w:t>102</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F16ABF2" w14:textId="77777777" w:rsidR="00692EA7" w:rsidRPr="00103DD3" w:rsidRDefault="00000000">
            <w:pPr>
              <w:snapToGrid w:val="0"/>
              <w:spacing w:line="360" w:lineRule="auto"/>
              <w:jc w:val="both"/>
              <w:rPr>
                <w:bCs/>
              </w:rPr>
            </w:pPr>
            <w:r w:rsidRPr="00103DD3">
              <w:rPr>
                <w:bCs/>
              </w:rPr>
              <w:t>114</w:t>
            </w:r>
          </w:p>
        </w:tc>
        <w:tc>
          <w:tcPr>
            <w:tcW w:w="1501" w:type="dxa"/>
            <w:tcBorders>
              <w:top w:val="single" w:sz="4" w:space="0" w:color="000000"/>
              <w:left w:val="single" w:sz="4" w:space="0" w:color="000000"/>
              <w:bottom w:val="single" w:sz="4" w:space="0" w:color="000000"/>
              <w:right w:val="single" w:sz="4" w:space="0" w:color="000000"/>
            </w:tcBorders>
            <w:vAlign w:val="center"/>
          </w:tcPr>
          <w:p w14:paraId="03CF4812" w14:textId="77777777" w:rsidR="00692EA7" w:rsidRPr="00103DD3" w:rsidRDefault="00000000">
            <w:pPr>
              <w:snapToGrid w:val="0"/>
              <w:spacing w:line="360" w:lineRule="auto"/>
              <w:jc w:val="both"/>
              <w:rPr>
                <w:bCs/>
              </w:rPr>
            </w:pPr>
            <w:r w:rsidRPr="00103DD3">
              <w:rPr>
                <w:bCs/>
              </w:rPr>
              <w:t>130</w:t>
            </w:r>
          </w:p>
        </w:tc>
      </w:tr>
      <w:tr w:rsidR="00692EA7" w:rsidRPr="00103DD3" w14:paraId="122834A6"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77ED32E5" w14:textId="77777777" w:rsidR="00692EA7" w:rsidRPr="00103DD3" w:rsidRDefault="00000000">
            <w:pPr>
              <w:snapToGrid w:val="0"/>
              <w:spacing w:line="360" w:lineRule="auto"/>
              <w:jc w:val="both"/>
              <w:rPr>
                <w:bCs/>
              </w:rPr>
            </w:pPr>
            <w:r w:rsidRPr="00103DD3">
              <w:rPr>
                <w:bCs/>
              </w:rPr>
              <w:t>2006</w:t>
            </w:r>
          </w:p>
        </w:tc>
        <w:tc>
          <w:tcPr>
            <w:tcW w:w="1455" w:type="dxa"/>
            <w:tcBorders>
              <w:top w:val="single" w:sz="4" w:space="0" w:color="000000"/>
              <w:left w:val="single" w:sz="4" w:space="0" w:color="000000"/>
              <w:bottom w:val="single" w:sz="4" w:space="0" w:color="000000"/>
              <w:right w:val="single" w:sz="4" w:space="0" w:color="000000"/>
            </w:tcBorders>
          </w:tcPr>
          <w:p w14:paraId="61C681FC" w14:textId="77777777" w:rsidR="00692EA7" w:rsidRPr="00103DD3" w:rsidRDefault="00000000">
            <w:pPr>
              <w:snapToGrid w:val="0"/>
              <w:spacing w:line="360" w:lineRule="auto"/>
              <w:jc w:val="both"/>
              <w:rPr>
                <w:bCs/>
              </w:rPr>
            </w:pPr>
            <w:r w:rsidRPr="00103DD3">
              <w:rPr>
                <w:bCs/>
              </w:rPr>
              <w:t>108</w:t>
            </w:r>
          </w:p>
        </w:tc>
        <w:tc>
          <w:tcPr>
            <w:tcW w:w="1500" w:type="dxa"/>
            <w:tcBorders>
              <w:top w:val="single" w:sz="4" w:space="0" w:color="000000"/>
              <w:left w:val="single" w:sz="4" w:space="0" w:color="000000"/>
              <w:bottom w:val="single" w:sz="4" w:space="0" w:color="000000"/>
              <w:right w:val="single" w:sz="4" w:space="0" w:color="000000"/>
            </w:tcBorders>
            <w:vAlign w:val="center"/>
          </w:tcPr>
          <w:p w14:paraId="1775980F" w14:textId="77777777" w:rsidR="00692EA7" w:rsidRPr="00103DD3" w:rsidRDefault="00000000">
            <w:pPr>
              <w:snapToGrid w:val="0"/>
              <w:spacing w:line="360" w:lineRule="auto"/>
              <w:jc w:val="both"/>
              <w:rPr>
                <w:bCs/>
              </w:rPr>
            </w:pPr>
            <w:r w:rsidRPr="00103DD3">
              <w:rPr>
                <w:bCs/>
              </w:rPr>
              <w:t>105.4</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557466D" w14:textId="77777777" w:rsidR="00692EA7" w:rsidRPr="00103DD3" w:rsidRDefault="00000000">
            <w:pPr>
              <w:snapToGrid w:val="0"/>
              <w:spacing w:line="360" w:lineRule="auto"/>
              <w:jc w:val="both"/>
              <w:rPr>
                <w:bCs/>
              </w:rPr>
            </w:pPr>
            <w:r w:rsidRPr="00103DD3">
              <w:rPr>
                <w:bCs/>
              </w:rPr>
              <w:t>104</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035884E" w14:textId="77777777" w:rsidR="00692EA7" w:rsidRPr="00103DD3" w:rsidRDefault="00000000">
            <w:pPr>
              <w:snapToGrid w:val="0"/>
              <w:spacing w:line="360" w:lineRule="auto"/>
              <w:jc w:val="both"/>
              <w:rPr>
                <w:bCs/>
              </w:rPr>
            </w:pPr>
            <w:r w:rsidRPr="00103DD3">
              <w:rPr>
                <w:bCs/>
              </w:rPr>
              <w:t>104</w:t>
            </w:r>
          </w:p>
        </w:tc>
        <w:tc>
          <w:tcPr>
            <w:tcW w:w="1501" w:type="dxa"/>
            <w:tcBorders>
              <w:top w:val="single" w:sz="4" w:space="0" w:color="000000"/>
              <w:left w:val="single" w:sz="4" w:space="0" w:color="000000"/>
              <w:bottom w:val="single" w:sz="4" w:space="0" w:color="000000"/>
              <w:right w:val="single" w:sz="4" w:space="0" w:color="000000"/>
            </w:tcBorders>
            <w:vAlign w:val="center"/>
          </w:tcPr>
          <w:p w14:paraId="30BB07D5" w14:textId="77777777" w:rsidR="00692EA7" w:rsidRPr="00103DD3" w:rsidRDefault="00000000">
            <w:pPr>
              <w:snapToGrid w:val="0"/>
              <w:spacing w:line="360" w:lineRule="auto"/>
              <w:jc w:val="both"/>
              <w:rPr>
                <w:bCs/>
              </w:rPr>
            </w:pPr>
            <w:r w:rsidRPr="00103DD3">
              <w:rPr>
                <w:bCs/>
              </w:rPr>
              <w:t>135</w:t>
            </w:r>
          </w:p>
        </w:tc>
      </w:tr>
      <w:tr w:rsidR="00692EA7" w:rsidRPr="00103DD3" w14:paraId="7577765F"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2B78759C" w14:textId="77777777" w:rsidR="00692EA7" w:rsidRPr="00103DD3" w:rsidRDefault="00000000">
            <w:pPr>
              <w:snapToGrid w:val="0"/>
              <w:spacing w:line="360" w:lineRule="auto"/>
              <w:jc w:val="both"/>
              <w:rPr>
                <w:bCs/>
              </w:rPr>
            </w:pPr>
            <w:r w:rsidRPr="00103DD3">
              <w:rPr>
                <w:bCs/>
              </w:rPr>
              <w:t>2007</w:t>
            </w:r>
          </w:p>
        </w:tc>
        <w:tc>
          <w:tcPr>
            <w:tcW w:w="1455" w:type="dxa"/>
            <w:tcBorders>
              <w:top w:val="single" w:sz="4" w:space="0" w:color="000000"/>
              <w:left w:val="single" w:sz="4" w:space="0" w:color="000000"/>
              <w:bottom w:val="single" w:sz="4" w:space="0" w:color="000000"/>
              <w:right w:val="single" w:sz="4" w:space="0" w:color="000000"/>
            </w:tcBorders>
          </w:tcPr>
          <w:p w14:paraId="4744A914" w14:textId="77777777" w:rsidR="00692EA7" w:rsidRPr="00103DD3" w:rsidRDefault="00000000">
            <w:pPr>
              <w:snapToGrid w:val="0"/>
              <w:spacing w:line="360" w:lineRule="auto"/>
              <w:jc w:val="both"/>
              <w:rPr>
                <w:bCs/>
              </w:rPr>
            </w:pPr>
            <w:r w:rsidRPr="00103DD3">
              <w:rPr>
                <w:bCs/>
              </w:rPr>
              <w:t>112</w:t>
            </w:r>
          </w:p>
        </w:tc>
        <w:tc>
          <w:tcPr>
            <w:tcW w:w="1500" w:type="dxa"/>
            <w:tcBorders>
              <w:top w:val="single" w:sz="4" w:space="0" w:color="000000"/>
              <w:left w:val="single" w:sz="4" w:space="0" w:color="000000"/>
              <w:bottom w:val="single" w:sz="4" w:space="0" w:color="000000"/>
              <w:right w:val="single" w:sz="4" w:space="0" w:color="000000"/>
            </w:tcBorders>
            <w:vAlign w:val="center"/>
          </w:tcPr>
          <w:p w14:paraId="30174214" w14:textId="77777777" w:rsidR="00692EA7" w:rsidRPr="00103DD3" w:rsidRDefault="00000000">
            <w:pPr>
              <w:snapToGrid w:val="0"/>
              <w:spacing w:line="360" w:lineRule="auto"/>
              <w:jc w:val="both"/>
              <w:rPr>
                <w:bCs/>
              </w:rPr>
            </w:pPr>
            <w:r w:rsidRPr="00103DD3">
              <w:rPr>
                <w:bCs/>
              </w:rPr>
              <w:t>105</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74EBCA1" w14:textId="77777777" w:rsidR="00692EA7" w:rsidRPr="00103DD3" w:rsidRDefault="00000000">
            <w:pPr>
              <w:snapToGrid w:val="0"/>
              <w:spacing w:line="360" w:lineRule="auto"/>
              <w:jc w:val="both"/>
              <w:rPr>
                <w:bCs/>
              </w:rPr>
            </w:pPr>
            <w:r w:rsidRPr="00103DD3">
              <w:rPr>
                <w:bCs/>
              </w:rPr>
              <w:t>103</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2A72B47" w14:textId="77777777" w:rsidR="00692EA7" w:rsidRPr="00103DD3" w:rsidRDefault="00000000">
            <w:pPr>
              <w:snapToGrid w:val="0"/>
              <w:spacing w:line="360" w:lineRule="auto"/>
              <w:jc w:val="both"/>
              <w:rPr>
                <w:bCs/>
              </w:rPr>
            </w:pPr>
            <w:r w:rsidRPr="00103DD3">
              <w:rPr>
                <w:bCs/>
              </w:rPr>
              <w:t>118</w:t>
            </w:r>
          </w:p>
        </w:tc>
        <w:tc>
          <w:tcPr>
            <w:tcW w:w="1501" w:type="dxa"/>
            <w:tcBorders>
              <w:top w:val="single" w:sz="4" w:space="0" w:color="000000"/>
              <w:left w:val="single" w:sz="4" w:space="0" w:color="000000"/>
              <w:bottom w:val="single" w:sz="4" w:space="0" w:color="000000"/>
              <w:right w:val="single" w:sz="4" w:space="0" w:color="000000"/>
            </w:tcBorders>
            <w:vAlign w:val="center"/>
          </w:tcPr>
          <w:p w14:paraId="123424E1" w14:textId="77777777" w:rsidR="00692EA7" w:rsidRPr="00103DD3" w:rsidRDefault="00000000">
            <w:pPr>
              <w:snapToGrid w:val="0"/>
              <w:spacing w:line="360" w:lineRule="auto"/>
              <w:jc w:val="both"/>
              <w:rPr>
                <w:bCs/>
              </w:rPr>
            </w:pPr>
            <w:r w:rsidRPr="00103DD3">
              <w:rPr>
                <w:bCs/>
              </w:rPr>
              <w:t>97</w:t>
            </w:r>
          </w:p>
        </w:tc>
      </w:tr>
      <w:tr w:rsidR="00692EA7" w:rsidRPr="00103DD3" w14:paraId="26165F85"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030501EB" w14:textId="77777777" w:rsidR="00692EA7" w:rsidRPr="00103DD3" w:rsidRDefault="00000000">
            <w:pPr>
              <w:snapToGrid w:val="0"/>
              <w:spacing w:line="360" w:lineRule="auto"/>
              <w:jc w:val="both"/>
              <w:rPr>
                <w:bCs/>
              </w:rPr>
            </w:pPr>
            <w:r w:rsidRPr="00103DD3">
              <w:rPr>
                <w:bCs/>
              </w:rPr>
              <w:t>2008</w:t>
            </w:r>
          </w:p>
        </w:tc>
        <w:tc>
          <w:tcPr>
            <w:tcW w:w="1455" w:type="dxa"/>
            <w:tcBorders>
              <w:top w:val="single" w:sz="4" w:space="0" w:color="000000"/>
              <w:left w:val="single" w:sz="4" w:space="0" w:color="000000"/>
              <w:bottom w:val="single" w:sz="4" w:space="0" w:color="000000"/>
              <w:right w:val="single" w:sz="4" w:space="0" w:color="000000"/>
            </w:tcBorders>
          </w:tcPr>
          <w:p w14:paraId="72273AF5" w14:textId="77777777" w:rsidR="00692EA7" w:rsidRPr="00103DD3" w:rsidRDefault="00000000">
            <w:pPr>
              <w:snapToGrid w:val="0"/>
              <w:spacing w:line="360" w:lineRule="auto"/>
              <w:jc w:val="both"/>
              <w:rPr>
                <w:bCs/>
              </w:rPr>
            </w:pPr>
            <w:r w:rsidRPr="00103DD3">
              <w:rPr>
                <w:bCs/>
              </w:rPr>
              <w:t>76</w:t>
            </w:r>
          </w:p>
        </w:tc>
        <w:tc>
          <w:tcPr>
            <w:tcW w:w="1500" w:type="dxa"/>
            <w:tcBorders>
              <w:top w:val="single" w:sz="4" w:space="0" w:color="000000"/>
              <w:left w:val="single" w:sz="4" w:space="0" w:color="000000"/>
              <w:bottom w:val="single" w:sz="4" w:space="0" w:color="000000"/>
              <w:right w:val="single" w:sz="4" w:space="0" w:color="000000"/>
            </w:tcBorders>
            <w:vAlign w:val="center"/>
          </w:tcPr>
          <w:p w14:paraId="660DB7C0" w14:textId="77777777" w:rsidR="00692EA7" w:rsidRPr="00103DD3" w:rsidRDefault="00000000">
            <w:pPr>
              <w:snapToGrid w:val="0"/>
              <w:spacing w:line="360" w:lineRule="auto"/>
              <w:jc w:val="both"/>
              <w:rPr>
                <w:bCs/>
              </w:rPr>
            </w:pPr>
            <w:r w:rsidRPr="00103DD3">
              <w:rPr>
                <w:bCs/>
              </w:rPr>
              <w:t>57</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74F1D23" w14:textId="77777777" w:rsidR="00692EA7" w:rsidRPr="00103DD3" w:rsidRDefault="00000000">
            <w:pPr>
              <w:snapToGrid w:val="0"/>
              <w:spacing w:line="360" w:lineRule="auto"/>
              <w:jc w:val="both"/>
              <w:rPr>
                <w:bCs/>
              </w:rPr>
            </w:pPr>
            <w:r w:rsidRPr="00103DD3">
              <w:rPr>
                <w:bCs/>
              </w:rPr>
              <w:t>95</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11DA021" w14:textId="77777777" w:rsidR="00692EA7" w:rsidRPr="00103DD3" w:rsidRDefault="00000000">
            <w:pPr>
              <w:snapToGrid w:val="0"/>
              <w:spacing w:line="360" w:lineRule="auto"/>
              <w:jc w:val="both"/>
              <w:rPr>
                <w:bCs/>
              </w:rPr>
            </w:pPr>
            <w:r w:rsidRPr="00103DD3">
              <w:rPr>
                <w:bCs/>
              </w:rPr>
              <w:t>77</w:t>
            </w:r>
          </w:p>
        </w:tc>
        <w:tc>
          <w:tcPr>
            <w:tcW w:w="1501" w:type="dxa"/>
            <w:tcBorders>
              <w:top w:val="single" w:sz="4" w:space="0" w:color="000000"/>
              <w:left w:val="single" w:sz="4" w:space="0" w:color="000000"/>
              <w:bottom w:val="single" w:sz="4" w:space="0" w:color="000000"/>
              <w:right w:val="single" w:sz="4" w:space="0" w:color="000000"/>
            </w:tcBorders>
            <w:vAlign w:val="center"/>
          </w:tcPr>
          <w:p w14:paraId="1894F8B8" w14:textId="77777777" w:rsidR="00692EA7" w:rsidRPr="00103DD3" w:rsidRDefault="00000000">
            <w:pPr>
              <w:snapToGrid w:val="0"/>
              <w:spacing w:line="360" w:lineRule="auto"/>
              <w:jc w:val="both"/>
              <w:rPr>
                <w:bCs/>
              </w:rPr>
            </w:pPr>
            <w:r w:rsidRPr="00103DD3">
              <w:rPr>
                <w:bCs/>
              </w:rPr>
              <w:t>93</w:t>
            </w:r>
          </w:p>
        </w:tc>
      </w:tr>
      <w:tr w:rsidR="00692EA7" w:rsidRPr="00103DD3" w14:paraId="5CDC06E7"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435B3F64" w14:textId="77777777" w:rsidR="00692EA7" w:rsidRPr="00103DD3" w:rsidRDefault="00000000">
            <w:pPr>
              <w:snapToGrid w:val="0"/>
              <w:spacing w:line="360" w:lineRule="auto"/>
              <w:jc w:val="both"/>
              <w:rPr>
                <w:bCs/>
              </w:rPr>
            </w:pPr>
            <w:r w:rsidRPr="00103DD3">
              <w:rPr>
                <w:bCs/>
              </w:rPr>
              <w:t>2009</w:t>
            </w:r>
          </w:p>
        </w:tc>
        <w:tc>
          <w:tcPr>
            <w:tcW w:w="1455" w:type="dxa"/>
            <w:tcBorders>
              <w:top w:val="single" w:sz="4" w:space="0" w:color="000000"/>
              <w:left w:val="single" w:sz="4" w:space="0" w:color="000000"/>
              <w:bottom w:val="single" w:sz="4" w:space="0" w:color="000000"/>
              <w:right w:val="single" w:sz="4" w:space="0" w:color="000000"/>
            </w:tcBorders>
          </w:tcPr>
          <w:p w14:paraId="1E9BC382" w14:textId="77777777" w:rsidR="00692EA7" w:rsidRPr="00103DD3" w:rsidRDefault="00000000">
            <w:pPr>
              <w:snapToGrid w:val="0"/>
              <w:spacing w:line="360" w:lineRule="auto"/>
              <w:jc w:val="both"/>
              <w:rPr>
                <w:bCs/>
              </w:rPr>
            </w:pPr>
            <w:r w:rsidRPr="00103DD3">
              <w:rPr>
                <w:bCs/>
              </w:rPr>
              <w:t>86</w:t>
            </w:r>
          </w:p>
        </w:tc>
        <w:tc>
          <w:tcPr>
            <w:tcW w:w="1500" w:type="dxa"/>
            <w:tcBorders>
              <w:top w:val="single" w:sz="4" w:space="0" w:color="000000"/>
              <w:left w:val="single" w:sz="4" w:space="0" w:color="000000"/>
              <w:bottom w:val="single" w:sz="4" w:space="0" w:color="000000"/>
              <w:right w:val="single" w:sz="4" w:space="0" w:color="000000"/>
            </w:tcBorders>
            <w:vAlign w:val="center"/>
          </w:tcPr>
          <w:p w14:paraId="58A82672" w14:textId="77777777" w:rsidR="00692EA7" w:rsidRPr="00103DD3" w:rsidRDefault="00000000">
            <w:pPr>
              <w:snapToGrid w:val="0"/>
              <w:spacing w:line="360" w:lineRule="auto"/>
              <w:jc w:val="both"/>
              <w:rPr>
                <w:bCs/>
              </w:rPr>
            </w:pPr>
            <w:r w:rsidRPr="00103DD3">
              <w:rPr>
                <w:bCs/>
              </w:rPr>
              <w:t>46</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5D7C38C" w14:textId="77777777" w:rsidR="00692EA7" w:rsidRPr="00103DD3" w:rsidRDefault="00000000">
            <w:pPr>
              <w:snapToGrid w:val="0"/>
              <w:spacing w:line="360" w:lineRule="auto"/>
              <w:jc w:val="both"/>
              <w:rPr>
                <w:bCs/>
              </w:rPr>
            </w:pPr>
            <w:r w:rsidRPr="00103DD3">
              <w:rPr>
                <w:bCs/>
              </w:rPr>
              <w:t>87</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175AD6D" w14:textId="77777777" w:rsidR="00692EA7" w:rsidRPr="00103DD3" w:rsidRDefault="00000000">
            <w:pPr>
              <w:snapToGrid w:val="0"/>
              <w:spacing w:line="360" w:lineRule="auto"/>
              <w:jc w:val="both"/>
              <w:rPr>
                <w:bCs/>
              </w:rPr>
            </w:pPr>
            <w:r w:rsidRPr="00103DD3">
              <w:rPr>
                <w:bCs/>
              </w:rPr>
              <w:t>99</w:t>
            </w:r>
          </w:p>
        </w:tc>
        <w:tc>
          <w:tcPr>
            <w:tcW w:w="1501" w:type="dxa"/>
            <w:tcBorders>
              <w:top w:val="single" w:sz="4" w:space="0" w:color="000000"/>
              <w:left w:val="single" w:sz="4" w:space="0" w:color="000000"/>
              <w:bottom w:val="single" w:sz="4" w:space="0" w:color="000000"/>
              <w:right w:val="single" w:sz="4" w:space="0" w:color="000000"/>
            </w:tcBorders>
            <w:vAlign w:val="center"/>
          </w:tcPr>
          <w:p w14:paraId="1A8AE0BA" w14:textId="77777777" w:rsidR="00692EA7" w:rsidRPr="00103DD3" w:rsidRDefault="00000000">
            <w:pPr>
              <w:snapToGrid w:val="0"/>
              <w:spacing w:line="360" w:lineRule="auto"/>
              <w:jc w:val="both"/>
              <w:rPr>
                <w:bCs/>
              </w:rPr>
            </w:pPr>
            <w:r w:rsidRPr="00103DD3">
              <w:rPr>
                <w:bCs/>
              </w:rPr>
              <w:t>90</w:t>
            </w:r>
          </w:p>
        </w:tc>
      </w:tr>
      <w:tr w:rsidR="00692EA7" w:rsidRPr="00103DD3" w14:paraId="508020B0"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0001AE44" w14:textId="77777777" w:rsidR="00692EA7" w:rsidRPr="00103DD3" w:rsidRDefault="00000000">
            <w:pPr>
              <w:snapToGrid w:val="0"/>
              <w:spacing w:line="360" w:lineRule="auto"/>
              <w:jc w:val="both"/>
              <w:rPr>
                <w:bCs/>
              </w:rPr>
            </w:pPr>
            <w:r w:rsidRPr="00103DD3">
              <w:rPr>
                <w:bCs/>
              </w:rPr>
              <w:t>2010</w:t>
            </w:r>
          </w:p>
        </w:tc>
        <w:tc>
          <w:tcPr>
            <w:tcW w:w="1455" w:type="dxa"/>
            <w:tcBorders>
              <w:top w:val="single" w:sz="4" w:space="0" w:color="000000"/>
              <w:left w:val="single" w:sz="4" w:space="0" w:color="000000"/>
              <w:bottom w:val="single" w:sz="4" w:space="0" w:color="000000"/>
              <w:right w:val="single" w:sz="4" w:space="0" w:color="000000"/>
            </w:tcBorders>
          </w:tcPr>
          <w:p w14:paraId="5B871682" w14:textId="77777777" w:rsidR="00692EA7" w:rsidRPr="00103DD3" w:rsidRDefault="00000000">
            <w:pPr>
              <w:snapToGrid w:val="0"/>
              <w:spacing w:line="360" w:lineRule="auto"/>
              <w:jc w:val="both"/>
              <w:rPr>
                <w:bCs/>
              </w:rPr>
            </w:pPr>
            <w:r w:rsidRPr="00103DD3">
              <w:rPr>
                <w:bCs/>
              </w:rPr>
              <w:t>88</w:t>
            </w:r>
          </w:p>
        </w:tc>
        <w:tc>
          <w:tcPr>
            <w:tcW w:w="1500" w:type="dxa"/>
            <w:tcBorders>
              <w:top w:val="single" w:sz="4" w:space="0" w:color="000000"/>
              <w:left w:val="single" w:sz="4" w:space="0" w:color="000000"/>
              <w:bottom w:val="single" w:sz="4" w:space="0" w:color="000000"/>
              <w:right w:val="single" w:sz="4" w:space="0" w:color="000000"/>
            </w:tcBorders>
            <w:vAlign w:val="center"/>
          </w:tcPr>
          <w:p w14:paraId="68774EB8" w14:textId="77777777" w:rsidR="00692EA7" w:rsidRPr="00103DD3" w:rsidRDefault="00000000">
            <w:pPr>
              <w:snapToGrid w:val="0"/>
              <w:spacing w:line="360" w:lineRule="auto"/>
              <w:jc w:val="both"/>
              <w:rPr>
                <w:bCs/>
              </w:rPr>
            </w:pPr>
            <w:r w:rsidRPr="00103DD3">
              <w:rPr>
                <w:bCs/>
              </w:rPr>
              <w:t>53</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413DA36" w14:textId="77777777" w:rsidR="00692EA7" w:rsidRPr="00103DD3" w:rsidRDefault="00000000">
            <w:pPr>
              <w:snapToGrid w:val="0"/>
              <w:spacing w:line="360" w:lineRule="auto"/>
              <w:jc w:val="both"/>
              <w:rPr>
                <w:bCs/>
              </w:rPr>
            </w:pPr>
            <w:r w:rsidRPr="00103DD3">
              <w:rPr>
                <w:bCs/>
              </w:rPr>
              <w:t>98</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8A71CA3" w14:textId="77777777" w:rsidR="00692EA7" w:rsidRPr="00103DD3" w:rsidRDefault="00000000">
            <w:pPr>
              <w:snapToGrid w:val="0"/>
              <w:spacing w:line="360" w:lineRule="auto"/>
              <w:jc w:val="both"/>
              <w:rPr>
                <w:bCs/>
              </w:rPr>
            </w:pPr>
            <w:r w:rsidRPr="00103DD3">
              <w:rPr>
                <w:bCs/>
              </w:rPr>
              <w:t>102</w:t>
            </w:r>
          </w:p>
        </w:tc>
        <w:tc>
          <w:tcPr>
            <w:tcW w:w="1501" w:type="dxa"/>
            <w:tcBorders>
              <w:top w:val="single" w:sz="4" w:space="0" w:color="000000"/>
              <w:left w:val="single" w:sz="4" w:space="0" w:color="000000"/>
              <w:bottom w:val="single" w:sz="4" w:space="0" w:color="000000"/>
              <w:right w:val="single" w:sz="4" w:space="0" w:color="000000"/>
            </w:tcBorders>
            <w:vAlign w:val="center"/>
          </w:tcPr>
          <w:p w14:paraId="4E027CF2" w14:textId="77777777" w:rsidR="00692EA7" w:rsidRPr="00103DD3" w:rsidRDefault="00000000">
            <w:pPr>
              <w:snapToGrid w:val="0"/>
              <w:spacing w:line="360" w:lineRule="auto"/>
              <w:jc w:val="both"/>
              <w:rPr>
                <w:bCs/>
              </w:rPr>
            </w:pPr>
            <w:r w:rsidRPr="00103DD3">
              <w:rPr>
                <w:bCs/>
              </w:rPr>
              <w:t>92</w:t>
            </w:r>
          </w:p>
        </w:tc>
      </w:tr>
      <w:tr w:rsidR="00692EA7" w:rsidRPr="00103DD3" w14:paraId="42030782"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5E72D26F" w14:textId="77777777" w:rsidR="00692EA7" w:rsidRPr="00103DD3" w:rsidRDefault="00000000">
            <w:pPr>
              <w:snapToGrid w:val="0"/>
              <w:spacing w:line="360" w:lineRule="auto"/>
              <w:jc w:val="both"/>
              <w:rPr>
                <w:bCs/>
              </w:rPr>
            </w:pPr>
            <w:r w:rsidRPr="00103DD3">
              <w:rPr>
                <w:bCs/>
              </w:rPr>
              <w:t>2011</w:t>
            </w:r>
          </w:p>
        </w:tc>
        <w:tc>
          <w:tcPr>
            <w:tcW w:w="1455" w:type="dxa"/>
            <w:tcBorders>
              <w:top w:val="single" w:sz="4" w:space="0" w:color="000000"/>
              <w:left w:val="single" w:sz="4" w:space="0" w:color="000000"/>
              <w:bottom w:val="single" w:sz="4" w:space="0" w:color="000000"/>
              <w:right w:val="single" w:sz="4" w:space="0" w:color="000000"/>
            </w:tcBorders>
          </w:tcPr>
          <w:p w14:paraId="75FFC5A3" w14:textId="77777777" w:rsidR="00692EA7" w:rsidRPr="00103DD3" w:rsidRDefault="00000000">
            <w:pPr>
              <w:snapToGrid w:val="0"/>
              <w:spacing w:line="360" w:lineRule="auto"/>
              <w:jc w:val="both"/>
              <w:rPr>
                <w:bCs/>
              </w:rPr>
            </w:pPr>
            <w:r w:rsidRPr="00103DD3">
              <w:rPr>
                <w:bCs/>
              </w:rPr>
              <w:t>81</w:t>
            </w:r>
          </w:p>
        </w:tc>
        <w:tc>
          <w:tcPr>
            <w:tcW w:w="1500" w:type="dxa"/>
            <w:tcBorders>
              <w:top w:val="single" w:sz="4" w:space="0" w:color="000000"/>
              <w:left w:val="single" w:sz="4" w:space="0" w:color="000000"/>
              <w:bottom w:val="single" w:sz="4" w:space="0" w:color="000000"/>
              <w:right w:val="single" w:sz="4" w:space="0" w:color="000000"/>
            </w:tcBorders>
            <w:vAlign w:val="center"/>
          </w:tcPr>
          <w:p w14:paraId="704DEBD5" w14:textId="77777777" w:rsidR="00692EA7" w:rsidRPr="00103DD3" w:rsidRDefault="00000000">
            <w:pPr>
              <w:snapToGrid w:val="0"/>
              <w:spacing w:line="360" w:lineRule="auto"/>
              <w:jc w:val="both"/>
              <w:rPr>
                <w:bCs/>
              </w:rPr>
            </w:pPr>
            <w:r w:rsidRPr="00103DD3">
              <w:rPr>
                <w:bCs/>
              </w:rPr>
              <w:t>53</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85D40B0" w14:textId="77777777" w:rsidR="00692EA7" w:rsidRPr="00103DD3" w:rsidRDefault="00000000">
            <w:pPr>
              <w:snapToGrid w:val="0"/>
              <w:spacing w:line="360" w:lineRule="auto"/>
              <w:jc w:val="both"/>
              <w:rPr>
                <w:bCs/>
              </w:rPr>
            </w:pPr>
            <w:r w:rsidRPr="00103DD3">
              <w:rPr>
                <w:bCs/>
              </w:rPr>
              <w:t>99</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C8798F3" w14:textId="77777777" w:rsidR="00692EA7" w:rsidRPr="00103DD3" w:rsidRDefault="00000000">
            <w:pPr>
              <w:snapToGrid w:val="0"/>
              <w:spacing w:line="360" w:lineRule="auto"/>
              <w:jc w:val="both"/>
              <w:rPr>
                <w:bCs/>
              </w:rPr>
            </w:pPr>
            <w:r w:rsidRPr="00103DD3">
              <w:rPr>
                <w:bCs/>
              </w:rPr>
              <w:t>104</w:t>
            </w:r>
          </w:p>
        </w:tc>
        <w:tc>
          <w:tcPr>
            <w:tcW w:w="1501" w:type="dxa"/>
            <w:tcBorders>
              <w:top w:val="single" w:sz="4" w:space="0" w:color="000000"/>
              <w:left w:val="single" w:sz="4" w:space="0" w:color="000000"/>
              <w:bottom w:val="single" w:sz="4" w:space="0" w:color="000000"/>
              <w:right w:val="single" w:sz="4" w:space="0" w:color="000000"/>
            </w:tcBorders>
            <w:vAlign w:val="center"/>
          </w:tcPr>
          <w:p w14:paraId="6903633D" w14:textId="77777777" w:rsidR="00692EA7" w:rsidRPr="00103DD3" w:rsidRDefault="00000000">
            <w:pPr>
              <w:snapToGrid w:val="0"/>
              <w:spacing w:line="360" w:lineRule="auto"/>
              <w:jc w:val="both"/>
              <w:rPr>
                <w:bCs/>
              </w:rPr>
            </w:pPr>
            <w:r w:rsidRPr="00103DD3">
              <w:rPr>
                <w:bCs/>
              </w:rPr>
              <w:t>109</w:t>
            </w:r>
          </w:p>
        </w:tc>
      </w:tr>
      <w:tr w:rsidR="00692EA7" w:rsidRPr="00103DD3" w14:paraId="19E91E6A"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0943D2BB" w14:textId="77777777" w:rsidR="00692EA7" w:rsidRPr="00103DD3" w:rsidRDefault="00000000">
            <w:pPr>
              <w:snapToGrid w:val="0"/>
              <w:spacing w:line="360" w:lineRule="auto"/>
              <w:jc w:val="both"/>
              <w:rPr>
                <w:bCs/>
              </w:rPr>
            </w:pPr>
            <w:r w:rsidRPr="00103DD3">
              <w:rPr>
                <w:bCs/>
              </w:rPr>
              <w:t>2012</w:t>
            </w:r>
          </w:p>
        </w:tc>
        <w:tc>
          <w:tcPr>
            <w:tcW w:w="1455" w:type="dxa"/>
            <w:tcBorders>
              <w:top w:val="single" w:sz="4" w:space="0" w:color="000000"/>
              <w:left w:val="single" w:sz="4" w:space="0" w:color="000000"/>
              <w:bottom w:val="single" w:sz="4" w:space="0" w:color="000000"/>
              <w:right w:val="single" w:sz="4" w:space="0" w:color="000000"/>
            </w:tcBorders>
          </w:tcPr>
          <w:p w14:paraId="09F814DF" w14:textId="77777777" w:rsidR="00692EA7" w:rsidRPr="00103DD3" w:rsidRDefault="00000000">
            <w:pPr>
              <w:snapToGrid w:val="0"/>
              <w:spacing w:line="360" w:lineRule="auto"/>
              <w:jc w:val="both"/>
              <w:rPr>
                <w:bCs/>
              </w:rPr>
            </w:pPr>
            <w:r w:rsidRPr="00103DD3">
              <w:rPr>
                <w:bCs/>
              </w:rPr>
              <w:t>79</w:t>
            </w:r>
          </w:p>
        </w:tc>
        <w:tc>
          <w:tcPr>
            <w:tcW w:w="1500" w:type="dxa"/>
            <w:tcBorders>
              <w:top w:val="single" w:sz="4" w:space="0" w:color="000000"/>
              <w:left w:val="single" w:sz="4" w:space="0" w:color="000000"/>
              <w:bottom w:val="single" w:sz="4" w:space="0" w:color="000000"/>
              <w:right w:val="single" w:sz="4" w:space="0" w:color="000000"/>
            </w:tcBorders>
            <w:vAlign w:val="center"/>
          </w:tcPr>
          <w:p w14:paraId="0D4566B0" w14:textId="77777777" w:rsidR="00692EA7" w:rsidRPr="00103DD3" w:rsidRDefault="00000000">
            <w:pPr>
              <w:snapToGrid w:val="0"/>
              <w:spacing w:line="360" w:lineRule="auto"/>
              <w:jc w:val="both"/>
              <w:rPr>
                <w:bCs/>
              </w:rPr>
            </w:pPr>
            <w:r w:rsidRPr="00103DD3">
              <w:rPr>
                <w:bCs/>
              </w:rPr>
              <w:t>67</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A811FD7" w14:textId="77777777" w:rsidR="00692EA7" w:rsidRPr="00103DD3" w:rsidRDefault="00000000">
            <w:pPr>
              <w:snapToGrid w:val="0"/>
              <w:spacing w:line="360" w:lineRule="auto"/>
              <w:jc w:val="both"/>
              <w:rPr>
                <w:bCs/>
              </w:rPr>
            </w:pPr>
            <w:r w:rsidRPr="00103DD3">
              <w:rPr>
                <w:bCs/>
              </w:rPr>
              <w:t>99.5</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6AF53E6" w14:textId="77777777" w:rsidR="00692EA7" w:rsidRPr="00103DD3" w:rsidRDefault="00000000">
            <w:pPr>
              <w:snapToGrid w:val="0"/>
              <w:spacing w:line="360" w:lineRule="auto"/>
              <w:jc w:val="both"/>
              <w:rPr>
                <w:bCs/>
              </w:rPr>
            </w:pPr>
            <w:r w:rsidRPr="00103DD3">
              <w:rPr>
                <w:bCs/>
              </w:rPr>
              <w:t>107</w:t>
            </w:r>
          </w:p>
        </w:tc>
        <w:tc>
          <w:tcPr>
            <w:tcW w:w="1501" w:type="dxa"/>
            <w:tcBorders>
              <w:top w:val="single" w:sz="4" w:space="0" w:color="000000"/>
              <w:left w:val="single" w:sz="4" w:space="0" w:color="000000"/>
              <w:bottom w:val="single" w:sz="4" w:space="0" w:color="000000"/>
              <w:right w:val="single" w:sz="4" w:space="0" w:color="000000"/>
            </w:tcBorders>
            <w:vAlign w:val="center"/>
          </w:tcPr>
          <w:p w14:paraId="0F325B66" w14:textId="77777777" w:rsidR="00692EA7" w:rsidRPr="00103DD3" w:rsidRDefault="00000000">
            <w:pPr>
              <w:snapToGrid w:val="0"/>
              <w:spacing w:line="360" w:lineRule="auto"/>
              <w:jc w:val="both"/>
              <w:rPr>
                <w:bCs/>
              </w:rPr>
            </w:pPr>
            <w:r w:rsidRPr="00103DD3">
              <w:rPr>
                <w:bCs/>
              </w:rPr>
              <w:t>115</w:t>
            </w:r>
          </w:p>
        </w:tc>
      </w:tr>
      <w:tr w:rsidR="00692EA7" w:rsidRPr="00103DD3" w14:paraId="540B502F"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1F40917E" w14:textId="77777777" w:rsidR="00692EA7" w:rsidRPr="00103DD3" w:rsidRDefault="00000000">
            <w:pPr>
              <w:snapToGrid w:val="0"/>
              <w:spacing w:line="360" w:lineRule="auto"/>
              <w:jc w:val="both"/>
              <w:rPr>
                <w:bCs/>
              </w:rPr>
            </w:pPr>
            <w:r w:rsidRPr="00103DD3">
              <w:rPr>
                <w:bCs/>
              </w:rPr>
              <w:t>2013</w:t>
            </w:r>
          </w:p>
        </w:tc>
        <w:tc>
          <w:tcPr>
            <w:tcW w:w="1455" w:type="dxa"/>
            <w:tcBorders>
              <w:top w:val="single" w:sz="4" w:space="0" w:color="000000"/>
              <w:left w:val="single" w:sz="4" w:space="0" w:color="000000"/>
              <w:bottom w:val="single" w:sz="4" w:space="0" w:color="000000"/>
              <w:right w:val="single" w:sz="4" w:space="0" w:color="000000"/>
            </w:tcBorders>
          </w:tcPr>
          <w:p w14:paraId="0B1A3F1B" w14:textId="77777777" w:rsidR="00692EA7" w:rsidRPr="00103DD3" w:rsidRDefault="00000000">
            <w:pPr>
              <w:snapToGrid w:val="0"/>
              <w:spacing w:line="360" w:lineRule="auto"/>
              <w:jc w:val="both"/>
              <w:rPr>
                <w:bCs/>
              </w:rPr>
            </w:pPr>
            <w:r w:rsidRPr="00103DD3">
              <w:rPr>
                <w:bCs/>
              </w:rPr>
              <w:t>82</w:t>
            </w:r>
          </w:p>
        </w:tc>
        <w:tc>
          <w:tcPr>
            <w:tcW w:w="1500" w:type="dxa"/>
            <w:tcBorders>
              <w:top w:val="single" w:sz="4" w:space="0" w:color="000000"/>
              <w:left w:val="single" w:sz="4" w:space="0" w:color="000000"/>
              <w:bottom w:val="single" w:sz="4" w:space="0" w:color="000000"/>
              <w:right w:val="single" w:sz="4" w:space="0" w:color="000000"/>
            </w:tcBorders>
            <w:vAlign w:val="center"/>
          </w:tcPr>
          <w:p w14:paraId="08F3A85B" w14:textId="77777777" w:rsidR="00692EA7" w:rsidRPr="00103DD3" w:rsidRDefault="00000000">
            <w:pPr>
              <w:snapToGrid w:val="0"/>
              <w:spacing w:line="360" w:lineRule="auto"/>
              <w:jc w:val="both"/>
              <w:rPr>
                <w:bCs/>
              </w:rPr>
            </w:pPr>
            <w:r w:rsidRPr="00103DD3">
              <w:rPr>
                <w:bCs/>
              </w:rPr>
              <w:t>73</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68E71B8" w14:textId="77777777" w:rsidR="00692EA7" w:rsidRPr="00103DD3" w:rsidRDefault="00000000">
            <w:pPr>
              <w:snapToGrid w:val="0"/>
              <w:spacing w:line="360" w:lineRule="auto"/>
              <w:jc w:val="both"/>
              <w:rPr>
                <w:bCs/>
              </w:rPr>
            </w:pPr>
            <w:r w:rsidRPr="00103DD3">
              <w:rPr>
                <w:bCs/>
              </w:rPr>
              <w:t>100</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1AD5E56" w14:textId="77777777" w:rsidR="00692EA7" w:rsidRPr="00103DD3" w:rsidRDefault="00000000">
            <w:pPr>
              <w:snapToGrid w:val="0"/>
              <w:spacing w:line="360" w:lineRule="auto"/>
              <w:jc w:val="both"/>
              <w:rPr>
                <w:bCs/>
              </w:rPr>
            </w:pPr>
            <w:r w:rsidRPr="00103DD3">
              <w:rPr>
                <w:bCs/>
              </w:rPr>
              <w:t>102</w:t>
            </w:r>
          </w:p>
        </w:tc>
        <w:tc>
          <w:tcPr>
            <w:tcW w:w="1501" w:type="dxa"/>
            <w:tcBorders>
              <w:top w:val="single" w:sz="4" w:space="0" w:color="000000"/>
              <w:left w:val="single" w:sz="4" w:space="0" w:color="000000"/>
              <w:bottom w:val="single" w:sz="4" w:space="0" w:color="000000"/>
              <w:right w:val="single" w:sz="4" w:space="0" w:color="000000"/>
            </w:tcBorders>
            <w:vAlign w:val="center"/>
          </w:tcPr>
          <w:p w14:paraId="1308CF74" w14:textId="77777777" w:rsidR="00692EA7" w:rsidRPr="00103DD3" w:rsidRDefault="00000000">
            <w:pPr>
              <w:snapToGrid w:val="0"/>
              <w:spacing w:line="360" w:lineRule="auto"/>
              <w:jc w:val="both"/>
              <w:rPr>
                <w:bCs/>
              </w:rPr>
            </w:pPr>
            <w:r w:rsidRPr="00103DD3">
              <w:rPr>
                <w:bCs/>
              </w:rPr>
              <w:t>103</w:t>
            </w:r>
          </w:p>
        </w:tc>
      </w:tr>
      <w:tr w:rsidR="00692EA7" w:rsidRPr="00103DD3" w14:paraId="77C16DE0"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510FFA02" w14:textId="77777777" w:rsidR="00692EA7" w:rsidRPr="00103DD3" w:rsidRDefault="00000000">
            <w:pPr>
              <w:snapToGrid w:val="0"/>
              <w:spacing w:line="360" w:lineRule="auto"/>
              <w:jc w:val="both"/>
              <w:rPr>
                <w:bCs/>
              </w:rPr>
            </w:pPr>
            <w:r w:rsidRPr="00103DD3">
              <w:rPr>
                <w:bCs/>
              </w:rPr>
              <w:t>2014</w:t>
            </w:r>
          </w:p>
        </w:tc>
        <w:tc>
          <w:tcPr>
            <w:tcW w:w="1455" w:type="dxa"/>
            <w:tcBorders>
              <w:top w:val="single" w:sz="4" w:space="0" w:color="000000"/>
              <w:left w:val="single" w:sz="4" w:space="0" w:color="000000"/>
              <w:bottom w:val="single" w:sz="4" w:space="0" w:color="000000"/>
              <w:right w:val="single" w:sz="4" w:space="0" w:color="000000"/>
            </w:tcBorders>
          </w:tcPr>
          <w:p w14:paraId="6CF6FDE2" w14:textId="77777777" w:rsidR="00692EA7" w:rsidRPr="00103DD3" w:rsidRDefault="00000000">
            <w:pPr>
              <w:snapToGrid w:val="0"/>
              <w:spacing w:line="360" w:lineRule="auto"/>
              <w:jc w:val="both"/>
              <w:rPr>
                <w:bCs/>
              </w:rPr>
            </w:pPr>
            <w:r w:rsidRPr="00103DD3">
              <w:rPr>
                <w:bCs/>
              </w:rPr>
              <w:t>83</w:t>
            </w:r>
          </w:p>
        </w:tc>
        <w:tc>
          <w:tcPr>
            <w:tcW w:w="1500" w:type="dxa"/>
            <w:tcBorders>
              <w:top w:val="single" w:sz="4" w:space="0" w:color="000000"/>
              <w:left w:val="single" w:sz="4" w:space="0" w:color="000000"/>
              <w:bottom w:val="single" w:sz="4" w:space="0" w:color="000000"/>
              <w:right w:val="single" w:sz="4" w:space="0" w:color="000000"/>
            </w:tcBorders>
            <w:vAlign w:val="center"/>
          </w:tcPr>
          <w:p w14:paraId="5A76BB2A" w14:textId="77777777" w:rsidR="00692EA7" w:rsidRPr="00103DD3" w:rsidRDefault="00000000">
            <w:pPr>
              <w:snapToGrid w:val="0"/>
              <w:spacing w:line="360" w:lineRule="auto"/>
              <w:jc w:val="both"/>
              <w:rPr>
                <w:bCs/>
              </w:rPr>
            </w:pPr>
            <w:r w:rsidRPr="00103DD3">
              <w:rPr>
                <w:bCs/>
              </w:rPr>
              <w:t>87</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7F72209" w14:textId="77777777" w:rsidR="00692EA7" w:rsidRPr="00103DD3" w:rsidRDefault="00000000">
            <w:pPr>
              <w:snapToGrid w:val="0"/>
              <w:spacing w:line="360" w:lineRule="auto"/>
              <w:jc w:val="both"/>
              <w:rPr>
                <w:bCs/>
              </w:rPr>
            </w:pPr>
            <w:r w:rsidRPr="00103DD3">
              <w:rPr>
                <w:bCs/>
              </w:rPr>
              <w:t>99</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EE17CB2" w14:textId="77777777" w:rsidR="00692EA7" w:rsidRPr="00103DD3" w:rsidRDefault="00000000">
            <w:pPr>
              <w:snapToGrid w:val="0"/>
              <w:spacing w:line="360" w:lineRule="auto"/>
              <w:jc w:val="both"/>
              <w:rPr>
                <w:bCs/>
              </w:rPr>
            </w:pPr>
            <w:r w:rsidRPr="00103DD3">
              <w:rPr>
                <w:bCs/>
              </w:rPr>
              <w:t>91</w:t>
            </w:r>
          </w:p>
        </w:tc>
        <w:tc>
          <w:tcPr>
            <w:tcW w:w="1501" w:type="dxa"/>
            <w:tcBorders>
              <w:top w:val="single" w:sz="4" w:space="0" w:color="000000"/>
              <w:left w:val="single" w:sz="4" w:space="0" w:color="000000"/>
              <w:bottom w:val="single" w:sz="4" w:space="0" w:color="000000"/>
              <w:right w:val="single" w:sz="4" w:space="0" w:color="000000"/>
            </w:tcBorders>
            <w:vAlign w:val="center"/>
          </w:tcPr>
          <w:p w14:paraId="2B79B92B" w14:textId="77777777" w:rsidR="00692EA7" w:rsidRPr="00103DD3" w:rsidRDefault="00000000">
            <w:pPr>
              <w:snapToGrid w:val="0"/>
              <w:spacing w:line="360" w:lineRule="auto"/>
              <w:jc w:val="both"/>
              <w:rPr>
                <w:bCs/>
              </w:rPr>
            </w:pPr>
            <w:r w:rsidRPr="00103DD3">
              <w:rPr>
                <w:bCs/>
              </w:rPr>
              <w:t>97</w:t>
            </w:r>
          </w:p>
        </w:tc>
      </w:tr>
      <w:tr w:rsidR="00692EA7" w:rsidRPr="00103DD3" w14:paraId="5E11220B"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52A1209C" w14:textId="77777777" w:rsidR="00692EA7" w:rsidRPr="00103DD3" w:rsidRDefault="00000000">
            <w:pPr>
              <w:snapToGrid w:val="0"/>
              <w:spacing w:line="360" w:lineRule="auto"/>
              <w:jc w:val="both"/>
              <w:rPr>
                <w:bCs/>
              </w:rPr>
            </w:pPr>
            <w:r w:rsidRPr="00103DD3">
              <w:rPr>
                <w:bCs/>
              </w:rPr>
              <w:t>2015</w:t>
            </w:r>
          </w:p>
        </w:tc>
        <w:tc>
          <w:tcPr>
            <w:tcW w:w="1455" w:type="dxa"/>
            <w:tcBorders>
              <w:top w:val="single" w:sz="4" w:space="0" w:color="000000"/>
              <w:left w:val="single" w:sz="4" w:space="0" w:color="000000"/>
              <w:bottom w:val="single" w:sz="4" w:space="0" w:color="000000"/>
              <w:right w:val="single" w:sz="4" w:space="0" w:color="000000"/>
            </w:tcBorders>
          </w:tcPr>
          <w:p w14:paraId="0A6CF2CB" w14:textId="77777777" w:rsidR="00692EA7" w:rsidRPr="00103DD3" w:rsidRDefault="00000000">
            <w:pPr>
              <w:snapToGrid w:val="0"/>
              <w:spacing w:line="360" w:lineRule="auto"/>
              <w:jc w:val="both"/>
              <w:rPr>
                <w:bCs/>
              </w:rPr>
            </w:pPr>
            <w:r w:rsidRPr="00103DD3">
              <w:rPr>
                <w:bCs/>
              </w:rPr>
              <w:t>83.5</w:t>
            </w:r>
          </w:p>
        </w:tc>
        <w:tc>
          <w:tcPr>
            <w:tcW w:w="1500" w:type="dxa"/>
            <w:tcBorders>
              <w:top w:val="single" w:sz="4" w:space="0" w:color="000000"/>
              <w:left w:val="single" w:sz="4" w:space="0" w:color="000000"/>
              <w:bottom w:val="single" w:sz="4" w:space="0" w:color="000000"/>
              <w:right w:val="single" w:sz="4" w:space="0" w:color="000000"/>
            </w:tcBorders>
            <w:vAlign w:val="center"/>
          </w:tcPr>
          <w:p w14:paraId="10AAFB5D" w14:textId="77777777" w:rsidR="00692EA7" w:rsidRPr="00103DD3" w:rsidRDefault="00000000">
            <w:pPr>
              <w:snapToGrid w:val="0"/>
              <w:spacing w:line="360" w:lineRule="auto"/>
              <w:jc w:val="both"/>
              <w:rPr>
                <w:bCs/>
              </w:rPr>
            </w:pPr>
            <w:r w:rsidRPr="00103DD3">
              <w:rPr>
                <w:bCs/>
              </w:rPr>
              <w:t>98</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A79D94F" w14:textId="77777777" w:rsidR="00692EA7" w:rsidRPr="00103DD3" w:rsidRDefault="00000000">
            <w:pPr>
              <w:snapToGrid w:val="0"/>
              <w:spacing w:line="360" w:lineRule="auto"/>
              <w:jc w:val="both"/>
              <w:rPr>
                <w:bCs/>
              </w:rPr>
            </w:pPr>
            <w:r w:rsidRPr="00103DD3">
              <w:rPr>
                <w:bCs/>
              </w:rPr>
              <w:t>100</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F9259DA" w14:textId="77777777" w:rsidR="00692EA7" w:rsidRPr="00103DD3" w:rsidRDefault="00000000">
            <w:pPr>
              <w:snapToGrid w:val="0"/>
              <w:spacing w:line="360" w:lineRule="auto"/>
              <w:jc w:val="both"/>
              <w:rPr>
                <w:bCs/>
              </w:rPr>
            </w:pPr>
            <w:r w:rsidRPr="00103DD3">
              <w:rPr>
                <w:bCs/>
              </w:rPr>
              <w:t>85</w:t>
            </w:r>
          </w:p>
        </w:tc>
        <w:tc>
          <w:tcPr>
            <w:tcW w:w="1501" w:type="dxa"/>
            <w:tcBorders>
              <w:top w:val="single" w:sz="4" w:space="0" w:color="000000"/>
              <w:left w:val="single" w:sz="4" w:space="0" w:color="000000"/>
              <w:bottom w:val="single" w:sz="4" w:space="0" w:color="000000"/>
              <w:right w:val="single" w:sz="4" w:space="0" w:color="000000"/>
            </w:tcBorders>
            <w:vAlign w:val="center"/>
          </w:tcPr>
          <w:p w14:paraId="2C8DFC34" w14:textId="77777777" w:rsidR="00692EA7" w:rsidRPr="00103DD3" w:rsidRDefault="00000000">
            <w:pPr>
              <w:snapToGrid w:val="0"/>
              <w:spacing w:line="360" w:lineRule="auto"/>
              <w:jc w:val="both"/>
              <w:rPr>
                <w:bCs/>
              </w:rPr>
            </w:pPr>
            <w:r w:rsidRPr="00103DD3">
              <w:rPr>
                <w:bCs/>
              </w:rPr>
              <w:t>101</w:t>
            </w:r>
          </w:p>
        </w:tc>
      </w:tr>
      <w:tr w:rsidR="00692EA7" w:rsidRPr="00103DD3" w14:paraId="3B54F51D"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5253E0F4" w14:textId="77777777" w:rsidR="00692EA7" w:rsidRPr="00103DD3" w:rsidRDefault="00000000">
            <w:pPr>
              <w:snapToGrid w:val="0"/>
              <w:spacing w:line="360" w:lineRule="auto"/>
              <w:jc w:val="both"/>
              <w:rPr>
                <w:bCs/>
              </w:rPr>
            </w:pPr>
            <w:r w:rsidRPr="00103DD3">
              <w:rPr>
                <w:bCs/>
              </w:rPr>
              <w:t>2016</w:t>
            </w:r>
          </w:p>
        </w:tc>
        <w:tc>
          <w:tcPr>
            <w:tcW w:w="1455" w:type="dxa"/>
            <w:tcBorders>
              <w:top w:val="single" w:sz="4" w:space="0" w:color="000000"/>
              <w:left w:val="single" w:sz="4" w:space="0" w:color="000000"/>
              <w:bottom w:val="single" w:sz="4" w:space="0" w:color="000000"/>
              <w:right w:val="single" w:sz="4" w:space="0" w:color="000000"/>
            </w:tcBorders>
          </w:tcPr>
          <w:p w14:paraId="76E9CC20" w14:textId="77777777" w:rsidR="00692EA7" w:rsidRPr="00103DD3" w:rsidRDefault="00000000">
            <w:pPr>
              <w:snapToGrid w:val="0"/>
              <w:spacing w:line="360" w:lineRule="auto"/>
              <w:jc w:val="both"/>
              <w:rPr>
                <w:bCs/>
              </w:rPr>
            </w:pPr>
            <w:r w:rsidRPr="00103DD3">
              <w:rPr>
                <w:bCs/>
              </w:rPr>
              <w:t>82</w:t>
            </w:r>
          </w:p>
        </w:tc>
        <w:tc>
          <w:tcPr>
            <w:tcW w:w="1500" w:type="dxa"/>
            <w:tcBorders>
              <w:top w:val="single" w:sz="4" w:space="0" w:color="000000"/>
              <w:left w:val="single" w:sz="4" w:space="0" w:color="000000"/>
              <w:bottom w:val="single" w:sz="4" w:space="0" w:color="000000"/>
              <w:right w:val="single" w:sz="4" w:space="0" w:color="000000"/>
            </w:tcBorders>
            <w:vAlign w:val="center"/>
          </w:tcPr>
          <w:p w14:paraId="0248DF84" w14:textId="77777777" w:rsidR="00692EA7" w:rsidRPr="00103DD3" w:rsidRDefault="00000000">
            <w:pPr>
              <w:snapToGrid w:val="0"/>
              <w:spacing w:line="360" w:lineRule="auto"/>
              <w:jc w:val="both"/>
              <w:rPr>
                <w:bCs/>
              </w:rPr>
            </w:pPr>
            <w:r w:rsidRPr="00103DD3">
              <w:rPr>
                <w:bCs/>
              </w:rPr>
              <w:t>100</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0B3700B" w14:textId="77777777" w:rsidR="00692EA7" w:rsidRPr="00103DD3" w:rsidRDefault="00000000">
            <w:pPr>
              <w:snapToGrid w:val="0"/>
              <w:spacing w:line="360" w:lineRule="auto"/>
              <w:jc w:val="both"/>
              <w:rPr>
                <w:bCs/>
              </w:rPr>
            </w:pPr>
            <w:r w:rsidRPr="00103DD3">
              <w:rPr>
                <w:bCs/>
              </w:rPr>
              <w:t>100</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EDE2C77" w14:textId="77777777" w:rsidR="00692EA7" w:rsidRPr="00103DD3" w:rsidRDefault="00000000">
            <w:pPr>
              <w:snapToGrid w:val="0"/>
              <w:spacing w:line="360" w:lineRule="auto"/>
              <w:jc w:val="both"/>
              <w:rPr>
                <w:bCs/>
              </w:rPr>
            </w:pPr>
            <w:r w:rsidRPr="00103DD3">
              <w:rPr>
                <w:bCs/>
              </w:rPr>
              <w:t>85</w:t>
            </w:r>
          </w:p>
        </w:tc>
        <w:tc>
          <w:tcPr>
            <w:tcW w:w="1501" w:type="dxa"/>
            <w:tcBorders>
              <w:top w:val="single" w:sz="4" w:space="0" w:color="000000"/>
              <w:left w:val="single" w:sz="4" w:space="0" w:color="000000"/>
              <w:bottom w:val="single" w:sz="4" w:space="0" w:color="000000"/>
              <w:right w:val="single" w:sz="4" w:space="0" w:color="000000"/>
            </w:tcBorders>
            <w:vAlign w:val="center"/>
          </w:tcPr>
          <w:p w14:paraId="6C5CB33C" w14:textId="77777777" w:rsidR="00692EA7" w:rsidRPr="00103DD3" w:rsidRDefault="00000000">
            <w:pPr>
              <w:snapToGrid w:val="0"/>
              <w:spacing w:line="360" w:lineRule="auto"/>
              <w:jc w:val="both"/>
              <w:rPr>
                <w:bCs/>
              </w:rPr>
            </w:pPr>
            <w:r w:rsidRPr="00103DD3">
              <w:rPr>
                <w:bCs/>
              </w:rPr>
              <w:t>102.5</w:t>
            </w:r>
          </w:p>
        </w:tc>
      </w:tr>
      <w:tr w:rsidR="00692EA7" w:rsidRPr="00103DD3" w14:paraId="469102BC"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454C3E2A" w14:textId="77777777" w:rsidR="00692EA7" w:rsidRPr="00103DD3" w:rsidRDefault="00000000">
            <w:pPr>
              <w:snapToGrid w:val="0"/>
              <w:spacing w:line="360" w:lineRule="auto"/>
              <w:jc w:val="both"/>
              <w:rPr>
                <w:bCs/>
              </w:rPr>
            </w:pPr>
            <w:r w:rsidRPr="00103DD3">
              <w:rPr>
                <w:bCs/>
              </w:rPr>
              <w:t>2017</w:t>
            </w:r>
          </w:p>
        </w:tc>
        <w:tc>
          <w:tcPr>
            <w:tcW w:w="1455" w:type="dxa"/>
            <w:tcBorders>
              <w:top w:val="single" w:sz="4" w:space="0" w:color="000000"/>
              <w:left w:val="single" w:sz="4" w:space="0" w:color="000000"/>
              <w:bottom w:val="single" w:sz="4" w:space="0" w:color="000000"/>
              <w:right w:val="single" w:sz="4" w:space="0" w:color="000000"/>
            </w:tcBorders>
          </w:tcPr>
          <w:p w14:paraId="18F9A8ED" w14:textId="77777777" w:rsidR="00692EA7" w:rsidRPr="00103DD3" w:rsidRDefault="00000000">
            <w:pPr>
              <w:snapToGrid w:val="0"/>
              <w:spacing w:line="360" w:lineRule="auto"/>
              <w:jc w:val="both"/>
              <w:rPr>
                <w:bCs/>
              </w:rPr>
            </w:pPr>
            <w:r w:rsidRPr="00103DD3">
              <w:rPr>
                <w:bCs/>
              </w:rPr>
              <w:t>87</w:t>
            </w:r>
          </w:p>
        </w:tc>
        <w:tc>
          <w:tcPr>
            <w:tcW w:w="1500" w:type="dxa"/>
            <w:tcBorders>
              <w:top w:val="single" w:sz="4" w:space="0" w:color="000000"/>
              <w:left w:val="single" w:sz="4" w:space="0" w:color="000000"/>
              <w:bottom w:val="single" w:sz="4" w:space="0" w:color="000000"/>
              <w:right w:val="single" w:sz="4" w:space="0" w:color="000000"/>
            </w:tcBorders>
            <w:vAlign w:val="center"/>
          </w:tcPr>
          <w:p w14:paraId="3CD25381" w14:textId="77777777" w:rsidR="00692EA7" w:rsidRPr="00103DD3" w:rsidRDefault="00000000">
            <w:pPr>
              <w:snapToGrid w:val="0"/>
              <w:spacing w:line="360" w:lineRule="auto"/>
              <w:jc w:val="both"/>
              <w:rPr>
                <w:bCs/>
              </w:rPr>
            </w:pPr>
            <w:r w:rsidRPr="00103DD3">
              <w:rPr>
                <w:bCs/>
              </w:rPr>
              <w:t>121</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BDA59AC" w14:textId="77777777" w:rsidR="00692EA7" w:rsidRPr="00103DD3" w:rsidRDefault="00000000">
            <w:pPr>
              <w:snapToGrid w:val="0"/>
              <w:spacing w:line="360" w:lineRule="auto"/>
              <w:jc w:val="both"/>
              <w:rPr>
                <w:bCs/>
              </w:rPr>
            </w:pPr>
            <w:r w:rsidRPr="00103DD3">
              <w:rPr>
                <w:bCs/>
              </w:rPr>
              <w:t>101</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2AF0536" w14:textId="77777777" w:rsidR="00692EA7" w:rsidRPr="00103DD3" w:rsidRDefault="00000000">
            <w:pPr>
              <w:snapToGrid w:val="0"/>
              <w:spacing w:line="360" w:lineRule="auto"/>
              <w:jc w:val="both"/>
              <w:rPr>
                <w:bCs/>
              </w:rPr>
            </w:pPr>
            <w:r w:rsidRPr="00103DD3">
              <w:rPr>
                <w:bCs/>
              </w:rPr>
              <w:t>96</w:t>
            </w:r>
          </w:p>
        </w:tc>
        <w:tc>
          <w:tcPr>
            <w:tcW w:w="1501" w:type="dxa"/>
            <w:tcBorders>
              <w:top w:val="single" w:sz="4" w:space="0" w:color="000000"/>
              <w:left w:val="single" w:sz="4" w:space="0" w:color="000000"/>
              <w:bottom w:val="single" w:sz="4" w:space="0" w:color="000000"/>
              <w:right w:val="single" w:sz="4" w:space="0" w:color="000000"/>
            </w:tcBorders>
            <w:vAlign w:val="center"/>
          </w:tcPr>
          <w:p w14:paraId="7F67A77A" w14:textId="77777777" w:rsidR="00692EA7" w:rsidRPr="00103DD3" w:rsidRDefault="00000000">
            <w:pPr>
              <w:snapToGrid w:val="0"/>
              <w:spacing w:line="360" w:lineRule="auto"/>
              <w:jc w:val="both"/>
              <w:rPr>
                <w:bCs/>
              </w:rPr>
            </w:pPr>
            <w:r w:rsidRPr="00103DD3">
              <w:rPr>
                <w:bCs/>
              </w:rPr>
              <w:t>102</w:t>
            </w:r>
          </w:p>
        </w:tc>
      </w:tr>
      <w:tr w:rsidR="00692EA7" w:rsidRPr="00103DD3" w14:paraId="4049876C"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4422B340" w14:textId="77777777" w:rsidR="00692EA7" w:rsidRPr="00103DD3" w:rsidRDefault="00000000">
            <w:pPr>
              <w:snapToGrid w:val="0"/>
              <w:spacing w:line="360" w:lineRule="auto"/>
              <w:jc w:val="both"/>
              <w:rPr>
                <w:bCs/>
              </w:rPr>
            </w:pPr>
            <w:r w:rsidRPr="00103DD3">
              <w:rPr>
                <w:bCs/>
              </w:rPr>
              <w:t>2018</w:t>
            </w:r>
          </w:p>
        </w:tc>
        <w:tc>
          <w:tcPr>
            <w:tcW w:w="1455" w:type="dxa"/>
            <w:tcBorders>
              <w:top w:val="single" w:sz="4" w:space="0" w:color="000000"/>
              <w:left w:val="single" w:sz="4" w:space="0" w:color="000000"/>
              <w:bottom w:val="single" w:sz="4" w:space="0" w:color="000000"/>
              <w:right w:val="single" w:sz="4" w:space="0" w:color="000000"/>
            </w:tcBorders>
          </w:tcPr>
          <w:p w14:paraId="024366A3" w14:textId="77777777" w:rsidR="00692EA7" w:rsidRPr="00103DD3" w:rsidRDefault="00000000">
            <w:pPr>
              <w:snapToGrid w:val="0"/>
              <w:spacing w:line="360" w:lineRule="auto"/>
              <w:jc w:val="both"/>
              <w:rPr>
                <w:bCs/>
              </w:rPr>
            </w:pPr>
            <w:r w:rsidRPr="00103DD3">
              <w:rPr>
                <w:bCs/>
              </w:rPr>
              <w:t>84.6</w:t>
            </w:r>
          </w:p>
        </w:tc>
        <w:tc>
          <w:tcPr>
            <w:tcW w:w="1500" w:type="dxa"/>
            <w:tcBorders>
              <w:top w:val="single" w:sz="4" w:space="0" w:color="000000"/>
              <w:left w:val="single" w:sz="4" w:space="0" w:color="000000"/>
              <w:bottom w:val="single" w:sz="4" w:space="0" w:color="000000"/>
              <w:right w:val="single" w:sz="4" w:space="0" w:color="000000"/>
            </w:tcBorders>
            <w:vAlign w:val="center"/>
          </w:tcPr>
          <w:p w14:paraId="6EC51A28" w14:textId="77777777" w:rsidR="00692EA7" w:rsidRPr="00103DD3" w:rsidRDefault="00000000">
            <w:pPr>
              <w:snapToGrid w:val="0"/>
              <w:spacing w:line="360" w:lineRule="auto"/>
              <w:jc w:val="both"/>
              <w:rPr>
                <w:bCs/>
              </w:rPr>
            </w:pPr>
            <w:r w:rsidRPr="00103DD3">
              <w:rPr>
                <w:bCs/>
              </w:rPr>
              <w:t>130</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A89716A" w14:textId="77777777" w:rsidR="00692EA7" w:rsidRPr="00103DD3" w:rsidRDefault="00000000">
            <w:pPr>
              <w:snapToGrid w:val="0"/>
              <w:spacing w:line="360" w:lineRule="auto"/>
              <w:jc w:val="both"/>
              <w:rPr>
                <w:bCs/>
              </w:rPr>
            </w:pPr>
            <w:r w:rsidRPr="00103DD3">
              <w:rPr>
                <w:bCs/>
              </w:rPr>
              <w:t>101</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5D0A3E2" w14:textId="77777777" w:rsidR="00692EA7" w:rsidRPr="00103DD3" w:rsidRDefault="00000000">
            <w:pPr>
              <w:snapToGrid w:val="0"/>
              <w:spacing w:line="360" w:lineRule="auto"/>
              <w:jc w:val="both"/>
              <w:rPr>
                <w:bCs/>
              </w:rPr>
            </w:pPr>
            <w:r w:rsidRPr="00103DD3">
              <w:rPr>
                <w:bCs/>
              </w:rPr>
              <w:t>119</w:t>
            </w:r>
          </w:p>
        </w:tc>
        <w:tc>
          <w:tcPr>
            <w:tcW w:w="1501" w:type="dxa"/>
            <w:tcBorders>
              <w:top w:val="single" w:sz="4" w:space="0" w:color="000000"/>
              <w:left w:val="single" w:sz="4" w:space="0" w:color="000000"/>
              <w:bottom w:val="single" w:sz="4" w:space="0" w:color="000000"/>
              <w:right w:val="single" w:sz="4" w:space="0" w:color="000000"/>
            </w:tcBorders>
            <w:vAlign w:val="center"/>
          </w:tcPr>
          <w:p w14:paraId="502BEDAB" w14:textId="77777777" w:rsidR="00692EA7" w:rsidRPr="00103DD3" w:rsidRDefault="00000000">
            <w:pPr>
              <w:snapToGrid w:val="0"/>
              <w:spacing w:line="360" w:lineRule="auto"/>
              <w:jc w:val="both"/>
              <w:rPr>
                <w:bCs/>
              </w:rPr>
            </w:pPr>
            <w:r w:rsidRPr="00103DD3">
              <w:rPr>
                <w:bCs/>
              </w:rPr>
              <w:t>97</w:t>
            </w:r>
          </w:p>
        </w:tc>
      </w:tr>
      <w:tr w:rsidR="00692EA7" w:rsidRPr="00103DD3" w14:paraId="0DE51F6E"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5FDD0CF4" w14:textId="77777777" w:rsidR="00692EA7" w:rsidRPr="00103DD3" w:rsidRDefault="00000000">
            <w:pPr>
              <w:snapToGrid w:val="0"/>
              <w:spacing w:line="360" w:lineRule="auto"/>
              <w:jc w:val="both"/>
              <w:rPr>
                <w:bCs/>
              </w:rPr>
            </w:pPr>
            <w:r w:rsidRPr="00103DD3">
              <w:rPr>
                <w:bCs/>
              </w:rPr>
              <w:t>2019</w:t>
            </w:r>
          </w:p>
        </w:tc>
        <w:tc>
          <w:tcPr>
            <w:tcW w:w="1455" w:type="dxa"/>
            <w:tcBorders>
              <w:top w:val="single" w:sz="4" w:space="0" w:color="000000"/>
              <w:left w:val="single" w:sz="4" w:space="0" w:color="000000"/>
              <w:bottom w:val="single" w:sz="4" w:space="0" w:color="000000"/>
              <w:right w:val="single" w:sz="4" w:space="0" w:color="000000"/>
            </w:tcBorders>
          </w:tcPr>
          <w:p w14:paraId="3E46DADC" w14:textId="77777777" w:rsidR="00692EA7" w:rsidRPr="00103DD3" w:rsidRDefault="00000000">
            <w:pPr>
              <w:snapToGrid w:val="0"/>
              <w:spacing w:line="360" w:lineRule="auto"/>
              <w:jc w:val="both"/>
              <w:rPr>
                <w:bCs/>
              </w:rPr>
            </w:pPr>
            <w:r w:rsidRPr="00103DD3">
              <w:rPr>
                <w:bCs/>
              </w:rPr>
              <w:t>70</w:t>
            </w:r>
          </w:p>
        </w:tc>
        <w:tc>
          <w:tcPr>
            <w:tcW w:w="1500" w:type="dxa"/>
            <w:tcBorders>
              <w:top w:val="single" w:sz="4" w:space="0" w:color="000000"/>
              <w:left w:val="single" w:sz="4" w:space="0" w:color="000000"/>
              <w:bottom w:val="single" w:sz="4" w:space="0" w:color="000000"/>
              <w:right w:val="single" w:sz="4" w:space="0" w:color="000000"/>
            </w:tcBorders>
            <w:vAlign w:val="center"/>
          </w:tcPr>
          <w:p w14:paraId="3F470B2E" w14:textId="77777777" w:rsidR="00692EA7" w:rsidRPr="00103DD3" w:rsidRDefault="00000000">
            <w:pPr>
              <w:snapToGrid w:val="0"/>
              <w:spacing w:line="360" w:lineRule="auto"/>
              <w:jc w:val="both"/>
              <w:rPr>
                <w:bCs/>
              </w:rPr>
            </w:pPr>
            <w:r w:rsidRPr="00103DD3">
              <w:rPr>
                <w:bCs/>
              </w:rPr>
              <w:t>128</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384B4B6" w14:textId="77777777" w:rsidR="00692EA7" w:rsidRPr="00103DD3" w:rsidRDefault="00000000">
            <w:pPr>
              <w:snapToGrid w:val="0"/>
              <w:spacing w:line="360" w:lineRule="auto"/>
              <w:jc w:val="both"/>
              <w:rPr>
                <w:bCs/>
              </w:rPr>
            </w:pPr>
            <w:r w:rsidRPr="00103DD3">
              <w:rPr>
                <w:bCs/>
              </w:rPr>
              <w:t>99</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5156B28" w14:textId="77777777" w:rsidR="00692EA7" w:rsidRPr="00103DD3" w:rsidRDefault="00000000">
            <w:pPr>
              <w:snapToGrid w:val="0"/>
              <w:spacing w:line="360" w:lineRule="auto"/>
              <w:jc w:val="both"/>
              <w:rPr>
                <w:bCs/>
              </w:rPr>
            </w:pPr>
            <w:r w:rsidRPr="00103DD3">
              <w:rPr>
                <w:bCs/>
              </w:rPr>
              <w:t>109</w:t>
            </w:r>
          </w:p>
        </w:tc>
        <w:tc>
          <w:tcPr>
            <w:tcW w:w="1501" w:type="dxa"/>
            <w:tcBorders>
              <w:top w:val="single" w:sz="4" w:space="0" w:color="000000"/>
              <w:left w:val="single" w:sz="4" w:space="0" w:color="000000"/>
              <w:bottom w:val="single" w:sz="4" w:space="0" w:color="000000"/>
              <w:right w:val="single" w:sz="4" w:space="0" w:color="000000"/>
            </w:tcBorders>
            <w:vAlign w:val="center"/>
          </w:tcPr>
          <w:p w14:paraId="11BCAA7C" w14:textId="77777777" w:rsidR="00692EA7" w:rsidRPr="00103DD3" w:rsidRDefault="00000000">
            <w:pPr>
              <w:snapToGrid w:val="0"/>
              <w:spacing w:line="360" w:lineRule="auto"/>
              <w:jc w:val="both"/>
              <w:rPr>
                <w:bCs/>
              </w:rPr>
            </w:pPr>
            <w:r w:rsidRPr="00103DD3">
              <w:rPr>
                <w:bCs/>
              </w:rPr>
              <w:t>92</w:t>
            </w:r>
          </w:p>
        </w:tc>
      </w:tr>
      <w:tr w:rsidR="00692EA7" w:rsidRPr="00103DD3" w14:paraId="3660E9E4"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29F38445" w14:textId="77777777" w:rsidR="00692EA7" w:rsidRPr="00103DD3" w:rsidRDefault="00000000">
            <w:pPr>
              <w:snapToGrid w:val="0"/>
              <w:spacing w:line="360" w:lineRule="auto"/>
              <w:jc w:val="both"/>
              <w:rPr>
                <w:bCs/>
              </w:rPr>
            </w:pPr>
            <w:r w:rsidRPr="00103DD3">
              <w:rPr>
                <w:bCs/>
              </w:rPr>
              <w:t>2020</w:t>
            </w:r>
          </w:p>
        </w:tc>
        <w:tc>
          <w:tcPr>
            <w:tcW w:w="1455" w:type="dxa"/>
            <w:tcBorders>
              <w:top w:val="single" w:sz="4" w:space="0" w:color="000000"/>
              <w:left w:val="single" w:sz="4" w:space="0" w:color="000000"/>
              <w:bottom w:val="single" w:sz="4" w:space="0" w:color="000000"/>
              <w:right w:val="single" w:sz="4" w:space="0" w:color="000000"/>
            </w:tcBorders>
          </w:tcPr>
          <w:p w14:paraId="7E262594" w14:textId="77777777" w:rsidR="00692EA7" w:rsidRPr="00103DD3" w:rsidRDefault="00000000">
            <w:pPr>
              <w:snapToGrid w:val="0"/>
              <w:spacing w:line="360" w:lineRule="auto"/>
              <w:jc w:val="both"/>
              <w:rPr>
                <w:bCs/>
              </w:rPr>
            </w:pPr>
            <w:r w:rsidRPr="00103DD3">
              <w:rPr>
                <w:bCs/>
              </w:rPr>
              <w:t>60</w:t>
            </w:r>
          </w:p>
        </w:tc>
        <w:tc>
          <w:tcPr>
            <w:tcW w:w="1500" w:type="dxa"/>
            <w:tcBorders>
              <w:top w:val="single" w:sz="4" w:space="0" w:color="000000"/>
              <w:left w:val="single" w:sz="4" w:space="0" w:color="000000"/>
              <w:bottom w:val="single" w:sz="4" w:space="0" w:color="000000"/>
              <w:right w:val="single" w:sz="4" w:space="0" w:color="000000"/>
            </w:tcBorders>
            <w:vAlign w:val="center"/>
          </w:tcPr>
          <w:p w14:paraId="187C88CB" w14:textId="77777777" w:rsidR="00692EA7" w:rsidRPr="00103DD3" w:rsidRDefault="00000000">
            <w:pPr>
              <w:snapToGrid w:val="0"/>
              <w:spacing w:line="360" w:lineRule="auto"/>
              <w:jc w:val="both"/>
              <w:rPr>
                <w:bCs/>
              </w:rPr>
            </w:pPr>
            <w:r w:rsidRPr="00103DD3">
              <w:rPr>
                <w:bCs/>
              </w:rPr>
              <w:t>101</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C98881E" w14:textId="77777777" w:rsidR="00692EA7" w:rsidRPr="00103DD3" w:rsidRDefault="00000000">
            <w:pPr>
              <w:snapToGrid w:val="0"/>
              <w:spacing w:line="360" w:lineRule="auto"/>
              <w:jc w:val="both"/>
              <w:rPr>
                <w:bCs/>
              </w:rPr>
            </w:pPr>
            <w:r w:rsidRPr="00103DD3">
              <w:rPr>
                <w:bCs/>
              </w:rPr>
              <w:t>97</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2AAE5D5" w14:textId="77777777" w:rsidR="00692EA7" w:rsidRPr="00103DD3" w:rsidRDefault="00000000">
            <w:pPr>
              <w:snapToGrid w:val="0"/>
              <w:spacing w:line="360" w:lineRule="auto"/>
              <w:jc w:val="both"/>
              <w:rPr>
                <w:bCs/>
              </w:rPr>
            </w:pPr>
            <w:r w:rsidRPr="00103DD3">
              <w:rPr>
                <w:bCs/>
              </w:rPr>
              <w:t>79</w:t>
            </w:r>
          </w:p>
        </w:tc>
        <w:tc>
          <w:tcPr>
            <w:tcW w:w="1501" w:type="dxa"/>
            <w:tcBorders>
              <w:top w:val="single" w:sz="4" w:space="0" w:color="000000"/>
              <w:left w:val="single" w:sz="4" w:space="0" w:color="000000"/>
              <w:bottom w:val="single" w:sz="4" w:space="0" w:color="000000"/>
              <w:right w:val="single" w:sz="4" w:space="0" w:color="000000"/>
            </w:tcBorders>
            <w:vAlign w:val="center"/>
          </w:tcPr>
          <w:p w14:paraId="713FC476" w14:textId="77777777" w:rsidR="00692EA7" w:rsidRPr="00103DD3" w:rsidRDefault="00000000">
            <w:pPr>
              <w:snapToGrid w:val="0"/>
              <w:spacing w:line="360" w:lineRule="auto"/>
              <w:jc w:val="both"/>
              <w:rPr>
                <w:bCs/>
              </w:rPr>
            </w:pPr>
            <w:r w:rsidRPr="00103DD3">
              <w:rPr>
                <w:bCs/>
              </w:rPr>
              <w:t>63</w:t>
            </w:r>
          </w:p>
        </w:tc>
      </w:tr>
      <w:tr w:rsidR="00692EA7" w:rsidRPr="00103DD3" w14:paraId="410EB72F"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3EF9A685" w14:textId="77777777" w:rsidR="00692EA7" w:rsidRPr="00103DD3" w:rsidRDefault="00000000">
            <w:pPr>
              <w:snapToGrid w:val="0"/>
              <w:spacing w:line="360" w:lineRule="auto"/>
              <w:jc w:val="both"/>
              <w:rPr>
                <w:bCs/>
              </w:rPr>
            </w:pPr>
            <w:r w:rsidRPr="00103DD3">
              <w:rPr>
                <w:bCs/>
              </w:rPr>
              <w:t>2021</w:t>
            </w:r>
          </w:p>
        </w:tc>
        <w:tc>
          <w:tcPr>
            <w:tcW w:w="1455" w:type="dxa"/>
            <w:tcBorders>
              <w:top w:val="single" w:sz="4" w:space="0" w:color="000000"/>
              <w:left w:val="single" w:sz="4" w:space="0" w:color="000000"/>
              <w:bottom w:val="single" w:sz="4" w:space="0" w:color="000000"/>
              <w:right w:val="single" w:sz="4" w:space="0" w:color="000000"/>
            </w:tcBorders>
          </w:tcPr>
          <w:p w14:paraId="0A761C3A" w14:textId="77777777" w:rsidR="00692EA7" w:rsidRPr="00103DD3" w:rsidRDefault="00000000">
            <w:pPr>
              <w:snapToGrid w:val="0"/>
              <w:spacing w:line="360" w:lineRule="auto"/>
              <w:jc w:val="both"/>
              <w:rPr>
                <w:bCs/>
              </w:rPr>
            </w:pPr>
            <w:r w:rsidRPr="00103DD3">
              <w:rPr>
                <w:bCs/>
              </w:rPr>
              <w:t>65</w:t>
            </w:r>
          </w:p>
        </w:tc>
        <w:tc>
          <w:tcPr>
            <w:tcW w:w="1500" w:type="dxa"/>
            <w:tcBorders>
              <w:top w:val="single" w:sz="4" w:space="0" w:color="000000"/>
              <w:left w:val="single" w:sz="4" w:space="0" w:color="000000"/>
              <w:bottom w:val="single" w:sz="4" w:space="0" w:color="000000"/>
              <w:right w:val="single" w:sz="4" w:space="0" w:color="000000"/>
            </w:tcBorders>
            <w:vAlign w:val="center"/>
          </w:tcPr>
          <w:p w14:paraId="7025A3BA" w14:textId="77777777" w:rsidR="00692EA7" w:rsidRPr="00103DD3" w:rsidRDefault="00000000">
            <w:pPr>
              <w:snapToGrid w:val="0"/>
              <w:spacing w:line="360" w:lineRule="auto"/>
              <w:jc w:val="both"/>
              <w:rPr>
                <w:bCs/>
              </w:rPr>
            </w:pPr>
            <w:r w:rsidRPr="00103DD3">
              <w:rPr>
                <w:bCs/>
              </w:rPr>
              <w:t>112</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F06FB6C" w14:textId="77777777" w:rsidR="00692EA7" w:rsidRPr="00103DD3" w:rsidRDefault="00000000">
            <w:pPr>
              <w:snapToGrid w:val="0"/>
              <w:spacing w:line="360" w:lineRule="auto"/>
              <w:jc w:val="both"/>
              <w:rPr>
                <w:bCs/>
              </w:rPr>
            </w:pPr>
            <w:r w:rsidRPr="00103DD3">
              <w:rPr>
                <w:bCs/>
              </w:rPr>
              <w:t>99</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9E84AF4" w14:textId="77777777" w:rsidR="00692EA7" w:rsidRPr="00103DD3" w:rsidRDefault="00000000">
            <w:pPr>
              <w:snapToGrid w:val="0"/>
              <w:spacing w:line="360" w:lineRule="auto"/>
              <w:jc w:val="both"/>
              <w:rPr>
                <w:bCs/>
              </w:rPr>
            </w:pPr>
            <w:r w:rsidRPr="00103DD3">
              <w:rPr>
                <w:bCs/>
              </w:rPr>
              <w:t>91</w:t>
            </w:r>
          </w:p>
        </w:tc>
        <w:tc>
          <w:tcPr>
            <w:tcW w:w="1501" w:type="dxa"/>
            <w:tcBorders>
              <w:top w:val="single" w:sz="4" w:space="0" w:color="000000"/>
              <w:left w:val="single" w:sz="4" w:space="0" w:color="000000"/>
              <w:bottom w:val="single" w:sz="4" w:space="0" w:color="000000"/>
              <w:right w:val="single" w:sz="4" w:space="0" w:color="000000"/>
            </w:tcBorders>
            <w:vAlign w:val="center"/>
          </w:tcPr>
          <w:p w14:paraId="5F90620F" w14:textId="77777777" w:rsidR="00692EA7" w:rsidRPr="00103DD3" w:rsidRDefault="00000000">
            <w:pPr>
              <w:snapToGrid w:val="0"/>
              <w:spacing w:line="360" w:lineRule="auto"/>
              <w:jc w:val="both"/>
              <w:rPr>
                <w:bCs/>
              </w:rPr>
            </w:pPr>
            <w:r w:rsidRPr="00103DD3">
              <w:rPr>
                <w:bCs/>
              </w:rPr>
              <w:t>55.65</w:t>
            </w:r>
          </w:p>
        </w:tc>
      </w:tr>
      <w:tr w:rsidR="00692EA7" w:rsidRPr="00103DD3" w14:paraId="00063BCE" w14:textId="77777777">
        <w:tc>
          <w:tcPr>
            <w:tcW w:w="1391" w:type="dxa"/>
            <w:tcBorders>
              <w:top w:val="single" w:sz="4" w:space="0" w:color="000000"/>
              <w:left w:val="single" w:sz="4" w:space="0" w:color="000000"/>
              <w:bottom w:val="single" w:sz="4" w:space="0" w:color="000000"/>
              <w:right w:val="single" w:sz="4" w:space="0" w:color="000000"/>
            </w:tcBorders>
            <w:shd w:val="clear" w:color="auto" w:fill="auto"/>
          </w:tcPr>
          <w:p w14:paraId="6C9668D4" w14:textId="77777777" w:rsidR="00692EA7" w:rsidRPr="00103DD3" w:rsidRDefault="00000000">
            <w:pPr>
              <w:snapToGrid w:val="0"/>
              <w:spacing w:line="360" w:lineRule="auto"/>
              <w:jc w:val="both"/>
              <w:rPr>
                <w:bCs/>
              </w:rPr>
            </w:pPr>
            <w:r w:rsidRPr="00103DD3">
              <w:rPr>
                <w:bCs/>
              </w:rPr>
              <w:lastRenderedPageBreak/>
              <w:t>2022</w:t>
            </w:r>
          </w:p>
        </w:tc>
        <w:tc>
          <w:tcPr>
            <w:tcW w:w="1455" w:type="dxa"/>
            <w:tcBorders>
              <w:top w:val="single" w:sz="4" w:space="0" w:color="000000"/>
              <w:left w:val="single" w:sz="4" w:space="0" w:color="000000"/>
              <w:bottom w:val="single" w:sz="4" w:space="0" w:color="000000"/>
              <w:right w:val="single" w:sz="4" w:space="0" w:color="000000"/>
            </w:tcBorders>
          </w:tcPr>
          <w:p w14:paraId="6140764A" w14:textId="77777777" w:rsidR="00692EA7" w:rsidRPr="00103DD3" w:rsidRDefault="00000000">
            <w:pPr>
              <w:snapToGrid w:val="0"/>
              <w:spacing w:line="360" w:lineRule="auto"/>
              <w:jc w:val="both"/>
              <w:rPr>
                <w:bCs/>
              </w:rPr>
            </w:pPr>
            <w:r w:rsidRPr="00103DD3">
              <w:rPr>
                <w:bCs/>
              </w:rPr>
              <w:t>-</w:t>
            </w:r>
          </w:p>
        </w:tc>
        <w:tc>
          <w:tcPr>
            <w:tcW w:w="1500" w:type="dxa"/>
            <w:tcBorders>
              <w:top w:val="single" w:sz="4" w:space="0" w:color="000000"/>
              <w:left w:val="single" w:sz="4" w:space="0" w:color="000000"/>
              <w:bottom w:val="single" w:sz="4" w:space="0" w:color="000000"/>
              <w:right w:val="single" w:sz="4" w:space="0" w:color="000000"/>
            </w:tcBorders>
            <w:vAlign w:val="center"/>
          </w:tcPr>
          <w:p w14:paraId="0106D6AB" w14:textId="77777777" w:rsidR="00692EA7" w:rsidRPr="00103DD3" w:rsidRDefault="00000000">
            <w:pPr>
              <w:snapToGrid w:val="0"/>
              <w:spacing w:line="360" w:lineRule="auto"/>
              <w:jc w:val="both"/>
              <w:rPr>
                <w:bCs/>
              </w:rPr>
            </w:pPr>
            <w:r w:rsidRPr="00103DD3">
              <w:rPr>
                <w:bCs/>
              </w:rPr>
              <w:t>105</w:t>
            </w:r>
          </w:p>
        </w:tc>
        <w:tc>
          <w:tcPr>
            <w:tcW w:w="160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E66132B" w14:textId="77777777" w:rsidR="00692EA7" w:rsidRPr="00103DD3" w:rsidRDefault="00000000">
            <w:pPr>
              <w:snapToGrid w:val="0"/>
              <w:spacing w:line="360" w:lineRule="auto"/>
              <w:jc w:val="both"/>
              <w:rPr>
                <w:bCs/>
              </w:rPr>
            </w:pPr>
            <w:r w:rsidRPr="00103DD3">
              <w:rPr>
                <w:bCs/>
              </w:rPr>
              <w:t>97</w:t>
            </w:r>
          </w:p>
        </w:tc>
        <w:tc>
          <w:tcPr>
            <w:tcW w:w="212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CFA498A" w14:textId="77777777" w:rsidR="00692EA7" w:rsidRPr="00103DD3" w:rsidRDefault="00000000">
            <w:pPr>
              <w:snapToGrid w:val="0"/>
              <w:spacing w:line="360" w:lineRule="auto"/>
              <w:jc w:val="both"/>
              <w:rPr>
                <w:bCs/>
              </w:rPr>
            </w:pPr>
            <w:r w:rsidRPr="00103DD3">
              <w:rPr>
                <w:bCs/>
              </w:rPr>
              <w:t>100</w:t>
            </w:r>
          </w:p>
        </w:tc>
        <w:tc>
          <w:tcPr>
            <w:tcW w:w="1501" w:type="dxa"/>
            <w:tcBorders>
              <w:top w:val="single" w:sz="4" w:space="0" w:color="000000"/>
              <w:left w:val="single" w:sz="4" w:space="0" w:color="000000"/>
              <w:bottom w:val="single" w:sz="4" w:space="0" w:color="000000"/>
              <w:right w:val="single" w:sz="4" w:space="0" w:color="000000"/>
            </w:tcBorders>
            <w:vAlign w:val="center"/>
          </w:tcPr>
          <w:p w14:paraId="18E40E53" w14:textId="77777777" w:rsidR="00692EA7" w:rsidRPr="00103DD3" w:rsidRDefault="00000000">
            <w:pPr>
              <w:snapToGrid w:val="0"/>
              <w:spacing w:line="360" w:lineRule="auto"/>
              <w:jc w:val="both"/>
              <w:rPr>
                <w:bCs/>
              </w:rPr>
            </w:pPr>
            <w:r w:rsidRPr="00103DD3">
              <w:rPr>
                <w:bCs/>
              </w:rPr>
              <w:t>79</w:t>
            </w:r>
          </w:p>
        </w:tc>
      </w:tr>
      <w:tr w:rsidR="00692EA7" w:rsidRPr="00103DD3" w14:paraId="6FD05E50" w14:textId="77777777">
        <w:trPr>
          <w:trHeight w:val="301"/>
        </w:trPr>
        <w:tc>
          <w:tcPr>
            <w:tcW w:w="9573" w:type="dxa"/>
            <w:gridSpan w:val="6"/>
            <w:tcBorders>
              <w:top w:val="single" w:sz="4" w:space="0" w:color="000000"/>
              <w:left w:val="single" w:sz="4" w:space="0" w:color="000000"/>
              <w:bottom w:val="single" w:sz="4" w:space="0" w:color="000000"/>
              <w:right w:val="single" w:sz="4" w:space="0" w:color="000000"/>
            </w:tcBorders>
          </w:tcPr>
          <w:p w14:paraId="0A31036A" w14:textId="77777777" w:rsidR="00692EA7" w:rsidRPr="00103DD3" w:rsidRDefault="00000000">
            <w:pPr>
              <w:snapToGrid w:val="0"/>
              <w:spacing w:line="360" w:lineRule="auto"/>
              <w:jc w:val="both"/>
              <w:rPr>
                <w:bCs/>
              </w:rPr>
            </w:pPr>
            <w:r w:rsidRPr="00103DD3">
              <w:rPr>
                <w:bCs/>
              </w:rPr>
              <w:t>Sources:</w:t>
            </w:r>
          </w:p>
          <w:p w14:paraId="155CA81E" w14:textId="77777777" w:rsidR="00692EA7" w:rsidRPr="00103DD3" w:rsidRDefault="00000000">
            <w:pPr>
              <w:snapToGrid w:val="0"/>
              <w:spacing w:line="360" w:lineRule="auto"/>
              <w:jc w:val="both"/>
              <w:rPr>
                <w:bCs/>
              </w:rPr>
            </w:pPr>
            <w:hyperlink r:id="rId9">
              <w:r w:rsidRPr="00103DD3">
                <w:rPr>
                  <w:rStyle w:val="a5"/>
                  <w:bCs/>
                  <w:color w:val="auto"/>
                </w:rPr>
                <w:t>https://www.investing.com/economic-calendar/cb-consumer-confidence-48</w:t>
              </w:r>
            </w:hyperlink>
          </w:p>
          <w:p w14:paraId="1EAA4748" w14:textId="77777777" w:rsidR="00692EA7" w:rsidRPr="00103DD3" w:rsidRDefault="00000000">
            <w:pPr>
              <w:snapToGrid w:val="0"/>
              <w:spacing w:line="360" w:lineRule="auto"/>
              <w:jc w:val="both"/>
              <w:rPr>
                <w:bCs/>
              </w:rPr>
            </w:pPr>
            <w:hyperlink r:id="rId10">
              <w:r w:rsidRPr="00103DD3">
                <w:rPr>
                  <w:rStyle w:val="a5"/>
                  <w:bCs/>
                  <w:color w:val="auto"/>
                </w:rPr>
                <w:t>https://marketingmagazine.com.my/consumer-confidence-slips-in-q4-but-msians-still-optimistic/</w:t>
              </w:r>
            </w:hyperlink>
          </w:p>
          <w:p w14:paraId="057D6846" w14:textId="77777777" w:rsidR="00692EA7" w:rsidRPr="00103DD3" w:rsidRDefault="00000000">
            <w:pPr>
              <w:snapToGrid w:val="0"/>
              <w:spacing w:line="360" w:lineRule="auto"/>
              <w:jc w:val="both"/>
              <w:rPr>
                <w:bCs/>
              </w:rPr>
            </w:pPr>
            <w:hyperlink r:id="rId11">
              <w:r w:rsidRPr="00103DD3">
                <w:rPr>
                  <w:rStyle w:val="a5"/>
                  <w:bCs/>
                  <w:color w:val="auto"/>
                </w:rPr>
                <w:t>https://tradingeconomics.com/malaysia/consumer-confidence</w:t>
              </w:r>
            </w:hyperlink>
          </w:p>
          <w:p w14:paraId="371601E6" w14:textId="77777777" w:rsidR="00692EA7" w:rsidRPr="00103DD3" w:rsidRDefault="00000000">
            <w:pPr>
              <w:snapToGrid w:val="0"/>
              <w:spacing w:line="360" w:lineRule="auto"/>
              <w:jc w:val="both"/>
              <w:rPr>
                <w:bCs/>
              </w:rPr>
            </w:pPr>
            <w:hyperlink r:id="rId12">
              <w:r w:rsidRPr="00103DD3">
                <w:rPr>
                  <w:rStyle w:val="a5"/>
                  <w:bCs/>
                  <w:color w:val="auto"/>
                </w:rPr>
                <w:t>https://www.oecd.org/sdd/consumerconfidenceshowsaslowingdowninpaceofrecoveryforthefirsthalfof2010.htm</w:t>
              </w:r>
            </w:hyperlink>
          </w:p>
          <w:p w14:paraId="62539E6F" w14:textId="77777777" w:rsidR="00692EA7" w:rsidRPr="00103DD3" w:rsidRDefault="00000000">
            <w:pPr>
              <w:snapToGrid w:val="0"/>
              <w:spacing w:line="360" w:lineRule="auto"/>
              <w:jc w:val="both"/>
              <w:rPr>
                <w:bCs/>
              </w:rPr>
            </w:pPr>
            <w:hyperlink r:id="rId13">
              <w:r w:rsidRPr="00103DD3">
                <w:rPr>
                  <w:rStyle w:val="a5"/>
                  <w:bCs/>
                  <w:color w:val="auto"/>
                </w:rPr>
                <w:t>https://data.oecd.org/leadind/consumer-confidence-index-cci.htm</w:t>
              </w:r>
            </w:hyperlink>
          </w:p>
          <w:p w14:paraId="3CF1E5E9" w14:textId="77777777" w:rsidR="00692EA7" w:rsidRPr="00103DD3" w:rsidRDefault="00000000">
            <w:pPr>
              <w:snapToGrid w:val="0"/>
              <w:spacing w:line="360" w:lineRule="auto"/>
              <w:jc w:val="both"/>
              <w:rPr>
                <w:bCs/>
              </w:rPr>
            </w:pPr>
            <w:hyperlink r:id="rId14">
              <w:r w:rsidRPr="00103DD3">
                <w:rPr>
                  <w:rStyle w:val="a5"/>
                  <w:bCs/>
                  <w:color w:val="auto"/>
                </w:rPr>
                <w:t>https://tradingeconomics.com/hong-kong/consumer-confidence</w:t>
              </w:r>
            </w:hyperlink>
          </w:p>
          <w:p w14:paraId="270DF077" w14:textId="77777777" w:rsidR="00692EA7" w:rsidRPr="00103DD3" w:rsidRDefault="00000000">
            <w:pPr>
              <w:snapToGrid w:val="0"/>
              <w:spacing w:line="360" w:lineRule="auto"/>
              <w:jc w:val="both"/>
              <w:rPr>
                <w:bCs/>
              </w:rPr>
            </w:pPr>
            <w:hyperlink r:id="rId15">
              <w:r w:rsidRPr="00103DD3">
                <w:rPr>
                  <w:rStyle w:val="a5"/>
                  <w:bCs/>
                  <w:color w:val="auto"/>
                </w:rPr>
                <w:t>https://tradingeconomics.com/india/consumer-confidence</w:t>
              </w:r>
            </w:hyperlink>
          </w:p>
          <w:p w14:paraId="5CCED062" w14:textId="77777777" w:rsidR="00692EA7" w:rsidRPr="00103DD3" w:rsidRDefault="00000000">
            <w:pPr>
              <w:snapToGrid w:val="0"/>
              <w:spacing w:line="360" w:lineRule="auto"/>
              <w:jc w:val="both"/>
              <w:rPr>
                <w:bCs/>
              </w:rPr>
            </w:pPr>
            <w:hyperlink r:id="rId16">
              <w:r w:rsidRPr="00103DD3">
                <w:rPr>
                  <w:rStyle w:val="a5"/>
                  <w:bCs/>
                  <w:color w:val="auto"/>
                </w:rPr>
                <w:t>http://www.chinadaily.com.cn/hkedition/2009-11/04/content_8908619.htm</w:t>
              </w:r>
            </w:hyperlink>
          </w:p>
          <w:p w14:paraId="051D2090" w14:textId="77777777" w:rsidR="00692EA7" w:rsidRPr="00103DD3" w:rsidRDefault="00000000">
            <w:pPr>
              <w:snapToGrid w:val="0"/>
              <w:spacing w:line="360" w:lineRule="auto"/>
              <w:jc w:val="both"/>
              <w:rPr>
                <w:bCs/>
              </w:rPr>
            </w:pPr>
            <w:hyperlink r:id="rId17">
              <w:r w:rsidRPr="00103DD3">
                <w:rPr>
                  <w:rStyle w:val="a5"/>
                  <w:bCs/>
                  <w:color w:val="auto"/>
                </w:rPr>
                <w:t>https://www.cuhk.edu.hk/ssc/qol/eventdoc/1225960784e/PR_consumer_confidence_e.pdf</w:t>
              </w:r>
            </w:hyperlink>
          </w:p>
          <w:p w14:paraId="4976E970" w14:textId="77777777" w:rsidR="00692EA7" w:rsidRPr="00103DD3" w:rsidRDefault="00000000">
            <w:pPr>
              <w:snapToGrid w:val="0"/>
              <w:spacing w:line="360" w:lineRule="auto"/>
              <w:jc w:val="both"/>
              <w:rPr>
                <w:bCs/>
              </w:rPr>
            </w:pPr>
            <w:hyperlink r:id="rId18">
              <w:r w:rsidRPr="00103DD3">
                <w:rPr>
                  <w:rStyle w:val="a5"/>
                  <w:bCs/>
                  <w:color w:val="auto"/>
                </w:rPr>
                <w:t>https://www.boj.or.jp/en/mopo/gp_2002/data/gp0212.pdf</w:t>
              </w:r>
            </w:hyperlink>
          </w:p>
          <w:p w14:paraId="71E63F35" w14:textId="77777777" w:rsidR="00692EA7" w:rsidRPr="00103DD3" w:rsidRDefault="00000000">
            <w:pPr>
              <w:snapToGrid w:val="0"/>
              <w:spacing w:line="360" w:lineRule="auto"/>
              <w:jc w:val="both"/>
              <w:rPr>
                <w:bCs/>
              </w:rPr>
            </w:pPr>
            <w:r w:rsidRPr="00103DD3">
              <w:rPr>
                <w:bCs/>
              </w:rPr>
              <w:t>https://timesofindia.indiatimes.com/the-consumer-is-cautiously-optimistic/articleshow/691630.cms?from=mdr</w:t>
            </w:r>
          </w:p>
          <w:p w14:paraId="2913C612" w14:textId="77777777" w:rsidR="00692EA7" w:rsidRPr="00103DD3" w:rsidRDefault="00692EA7">
            <w:pPr>
              <w:snapToGrid w:val="0"/>
              <w:spacing w:line="360" w:lineRule="auto"/>
              <w:jc w:val="both"/>
              <w:rPr>
                <w:bCs/>
              </w:rPr>
            </w:pPr>
          </w:p>
          <w:p w14:paraId="76A27714" w14:textId="77777777" w:rsidR="00692EA7" w:rsidRPr="00103DD3" w:rsidRDefault="00692EA7">
            <w:pPr>
              <w:snapToGrid w:val="0"/>
              <w:spacing w:line="360" w:lineRule="auto"/>
              <w:jc w:val="both"/>
              <w:rPr>
                <w:bCs/>
              </w:rPr>
            </w:pPr>
          </w:p>
          <w:p w14:paraId="51BF329A" w14:textId="77777777" w:rsidR="00692EA7" w:rsidRPr="00103DD3" w:rsidRDefault="00692EA7">
            <w:pPr>
              <w:snapToGrid w:val="0"/>
              <w:spacing w:line="360" w:lineRule="auto"/>
              <w:jc w:val="both"/>
              <w:rPr>
                <w:bCs/>
              </w:rPr>
            </w:pPr>
          </w:p>
          <w:p w14:paraId="2F050CFF" w14:textId="77777777" w:rsidR="00692EA7" w:rsidRPr="00103DD3" w:rsidRDefault="00692EA7">
            <w:pPr>
              <w:snapToGrid w:val="0"/>
              <w:spacing w:line="360" w:lineRule="auto"/>
              <w:jc w:val="both"/>
              <w:rPr>
                <w:bCs/>
              </w:rPr>
            </w:pPr>
          </w:p>
        </w:tc>
      </w:tr>
    </w:tbl>
    <w:p w14:paraId="27BF0E70" w14:textId="77777777" w:rsidR="00692EA7" w:rsidRPr="00103DD3" w:rsidRDefault="00692EA7">
      <w:pPr>
        <w:spacing w:line="360" w:lineRule="auto"/>
        <w:jc w:val="both"/>
      </w:pPr>
    </w:p>
    <w:p w14:paraId="67999D67" w14:textId="429B9D34" w:rsidR="00692EA7" w:rsidRPr="00103DD3" w:rsidRDefault="00000000">
      <w:pPr>
        <w:spacing w:after="200" w:line="360" w:lineRule="auto"/>
        <w:jc w:val="both"/>
      </w:pPr>
      <w:r w:rsidRPr="00103DD3">
        <w:t xml:space="preserve">Based on the data from 2000 to 2022, there are three notable periods that have recorded the lowest consumer confidence index, and these are 2002 to 2004 during the dot.com bubble burst, 2009 and 2010 during the greater recession and years 2019, 2020 and 2021 during the COVID-19 pandemic. These eras were </w:t>
      </w:r>
      <w:r w:rsidR="00103DD3" w:rsidRPr="00103DD3">
        <w:t>characterized</w:t>
      </w:r>
      <w:r w:rsidRPr="00103DD3">
        <w:t xml:space="preserve"> by economic downturns, loss of jobs, and decreased business and investment activities that resulted in consumers losing confidence to spend.</w:t>
      </w:r>
    </w:p>
    <w:p w14:paraId="0B385389" w14:textId="77777777" w:rsidR="00692EA7" w:rsidRPr="00103DD3" w:rsidRDefault="00000000">
      <w:pPr>
        <w:pStyle w:val="1"/>
        <w:spacing w:before="0" w:after="200" w:line="360" w:lineRule="auto"/>
        <w:rPr>
          <w:rFonts w:ascii="Times New Roman" w:hAnsi="Times New Roman" w:cs="Times New Roman"/>
          <w:sz w:val="32"/>
          <w:szCs w:val="32"/>
        </w:rPr>
      </w:pPr>
      <w:bookmarkStart w:id="11" w:name="__RefHeading___Toc4220_2927161102"/>
      <w:bookmarkStart w:id="12" w:name="_Toc160527043"/>
      <w:bookmarkEnd w:id="11"/>
      <w:r w:rsidRPr="00103DD3">
        <w:rPr>
          <w:rFonts w:ascii="Times New Roman" w:hAnsi="Times New Roman" w:cs="Times New Roman"/>
          <w:sz w:val="32"/>
          <w:szCs w:val="32"/>
        </w:rPr>
        <w:t>3.0 Analysis and discussion</w:t>
      </w:r>
      <w:bookmarkEnd w:id="12"/>
    </w:p>
    <w:p w14:paraId="0AE95D74" w14:textId="77777777" w:rsidR="00692EA7" w:rsidRPr="00103DD3" w:rsidRDefault="00000000">
      <w:pPr>
        <w:spacing w:after="200" w:line="360" w:lineRule="auto"/>
        <w:jc w:val="both"/>
      </w:pPr>
      <w:r w:rsidRPr="00103DD3">
        <w:t xml:space="preserve">The analysis is based on the findings of the consumer confidence index from five countries, including Hong Kong, the USA, Malaysia, Japan, and India. The surveys for different countries were conducted on other timelines, but most were quarterly. Thus, the annual figure was based on the average for each quarter or month. The consumer confidence index was based on statistics obtained </w:t>
      </w:r>
      <w:r w:rsidRPr="00103DD3">
        <w:lastRenderedPageBreak/>
        <w:t>from 2000 to 2022, although some statistics for Hong Kong (2022) and India (2000) were unavailable.</w:t>
      </w:r>
    </w:p>
    <w:p w14:paraId="35B2E4D6" w14:textId="77777777" w:rsidR="00692EA7" w:rsidRPr="00103DD3" w:rsidRDefault="00000000">
      <w:pPr>
        <w:pStyle w:val="2"/>
        <w:spacing w:beforeAutospacing="0" w:after="200" w:afterAutospacing="0" w:line="360" w:lineRule="auto"/>
        <w:rPr>
          <w:sz w:val="28"/>
          <w:szCs w:val="28"/>
        </w:rPr>
      </w:pPr>
      <w:bookmarkStart w:id="13" w:name="__RefHeading___Toc4222_2927161102"/>
      <w:bookmarkStart w:id="14" w:name="_Toc160527044"/>
      <w:bookmarkEnd w:id="13"/>
      <w:r w:rsidRPr="00103DD3">
        <w:rPr>
          <w:sz w:val="28"/>
          <w:szCs w:val="28"/>
        </w:rPr>
        <w:t>3.1 Pattern of the global trend movement of CC1</w:t>
      </w:r>
      <w:bookmarkEnd w:id="14"/>
    </w:p>
    <w:p w14:paraId="2B01BA56" w14:textId="77777777" w:rsidR="00692EA7" w:rsidRPr="00103DD3" w:rsidRDefault="00000000">
      <w:pPr>
        <w:spacing w:after="200" w:line="360" w:lineRule="auto"/>
        <w:jc w:val="both"/>
        <w:rPr>
          <w:b/>
        </w:rPr>
      </w:pPr>
      <w:r w:rsidRPr="00103DD3">
        <w:rPr>
          <w:b/>
        </w:rPr>
        <w:t>Figure 1</w:t>
      </w:r>
    </w:p>
    <w:p w14:paraId="7C5651DA" w14:textId="77777777" w:rsidR="00692EA7" w:rsidRPr="00103DD3" w:rsidRDefault="00000000">
      <w:pPr>
        <w:spacing w:line="360" w:lineRule="auto"/>
        <w:jc w:val="both"/>
        <w:rPr>
          <w:b/>
        </w:rPr>
      </w:pPr>
      <w:r w:rsidRPr="00103DD3">
        <w:rPr>
          <w:noProof/>
        </w:rPr>
        <w:drawing>
          <wp:inline distT="0" distB="0" distL="0" distR="0" wp14:anchorId="3F5FC63C" wp14:editId="5844B0CE">
            <wp:extent cx="5486400" cy="3200400"/>
            <wp:effectExtent l="0" t="0" r="0" b="0"/>
            <wp:docPr id="1" name="Obj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68F0585" w14:textId="77777777" w:rsidR="00692EA7" w:rsidRPr="00103DD3" w:rsidRDefault="00692EA7">
      <w:pPr>
        <w:spacing w:line="360" w:lineRule="auto"/>
        <w:jc w:val="both"/>
      </w:pPr>
    </w:p>
    <w:p w14:paraId="07D37365" w14:textId="77777777" w:rsidR="00692EA7" w:rsidRPr="00103DD3" w:rsidRDefault="00000000">
      <w:pPr>
        <w:spacing w:after="200" w:line="360" w:lineRule="auto"/>
        <w:jc w:val="both"/>
      </w:pPr>
      <w:r w:rsidRPr="00103DD3">
        <w:t>Figure 1 shows that all countries exhibited different fluctuation levels. However, there are some years where there was a common fluctuation of CCI in all countries caused by an array of global factors that impacted the economy and general consumer confidence index.</w:t>
      </w:r>
    </w:p>
    <w:p w14:paraId="55FEA662" w14:textId="4EF300E3" w:rsidR="00692EA7" w:rsidRPr="00103DD3" w:rsidRDefault="00000000">
      <w:pPr>
        <w:spacing w:after="200" w:line="360" w:lineRule="auto"/>
        <w:jc w:val="both"/>
      </w:pPr>
      <w:r w:rsidRPr="00103DD3">
        <w:t>In the early 2000s, based on the graph, it is evident that there was a general global decline in the consumer confidence index. During the period, a dot.com bubble burst triggered a global economic slowdown. The dot.com bubble was a period in the late 1990s and early 2000s when there were rapid valuations of internet-based companies and the widespread belief that the internet could revolutionize business models and support wealth creation. However, many dot.com companies could not justify the inflated variation and did not have a sustainable business model, triggering an economic crisis. The economic crisis led to companies collapse, leading to job loss and economic uncertainty (</w:t>
      </w:r>
      <w:proofErr w:type="spellStart"/>
      <w:r w:rsidRPr="00103DD3">
        <w:t>Kinal</w:t>
      </w:r>
      <w:proofErr w:type="spellEnd"/>
      <w:r w:rsidRPr="00103DD3">
        <w:t xml:space="preserve"> and </w:t>
      </w:r>
      <w:proofErr w:type="spellStart"/>
      <w:r w:rsidRPr="00103DD3">
        <w:t>Kinal</w:t>
      </w:r>
      <w:proofErr w:type="spellEnd"/>
      <w:r w:rsidRPr="00103DD3">
        <w:t>, 2022). Loss of jobs and economic uncertainty resulted in a low consumer confidence index. In the year</w:t>
      </w:r>
      <w:r w:rsidR="00103DD3" w:rsidRPr="00103DD3">
        <w:t xml:space="preserve"> 2008</w:t>
      </w:r>
      <w:r w:rsidRPr="00103DD3">
        <w:t xml:space="preserve">, the global economy was affected by global financial </w:t>
      </w:r>
      <w:r w:rsidRPr="00103DD3">
        <w:lastRenderedPageBreak/>
        <w:t xml:space="preserve">crises caused by a fall in US housing prices and a significant number of borrowers failing to pay their debts. </w:t>
      </w:r>
      <w:proofErr w:type="gramStart"/>
      <w:r w:rsidRPr="00103DD3">
        <w:t>The end result</w:t>
      </w:r>
      <w:proofErr w:type="gramEnd"/>
      <w:r w:rsidRPr="00103DD3">
        <w:t xml:space="preserve"> was the collapse of </w:t>
      </w:r>
      <w:proofErr w:type="spellStart"/>
      <w:r w:rsidRPr="00103DD3">
        <w:t>organisations</w:t>
      </w:r>
      <w:proofErr w:type="spellEnd"/>
      <w:r w:rsidRPr="00103DD3">
        <w:t>, negatively affecting the US economy and, ultimately, the global economy (</w:t>
      </w:r>
      <w:proofErr w:type="spellStart"/>
      <w:r w:rsidR="00103DD3" w:rsidRPr="00103DD3">
        <w:t>Edey</w:t>
      </w:r>
      <w:proofErr w:type="spellEnd"/>
      <w:r w:rsidR="00103DD3" w:rsidRPr="00103DD3">
        <w:t>, 2009</w:t>
      </w:r>
      <w:r w:rsidRPr="00103DD3">
        <w:t>). The resulting economic crises led to job losses and a drop in the consumer confidence index. The years 2019, 2020, and 2021 marked another period of global economic stress caused by COVID-19. During this time, the need to keep social distance led to the lockdown of economies, reducing the movement of people and disrupting supply chains. As a result, many businesses went under, particularly in the transport and hospitality sectors, which employ millions of people. The reduced economic activities and high levels of unemployment decreased consumer confidence, highlighting that they were unable or willing to spend more, particularly on non-essential items (</w:t>
      </w:r>
      <w:proofErr w:type="spellStart"/>
      <w:r w:rsidRPr="00103DD3">
        <w:t>Elmassah</w:t>
      </w:r>
      <w:proofErr w:type="spellEnd"/>
      <w:r w:rsidRPr="00103DD3">
        <w:t xml:space="preserve"> and </w:t>
      </w:r>
      <w:proofErr w:type="spellStart"/>
      <w:r w:rsidRPr="00103DD3">
        <w:t>Hassanein</w:t>
      </w:r>
      <w:proofErr w:type="spellEnd"/>
      <w:r w:rsidRPr="00103DD3">
        <w:t xml:space="preserve"> 2020). </w:t>
      </w:r>
    </w:p>
    <w:p w14:paraId="2541DC63" w14:textId="257286EF" w:rsidR="00692EA7" w:rsidRPr="00103DD3" w:rsidRDefault="00000000">
      <w:pPr>
        <w:spacing w:after="200" w:line="360" w:lineRule="auto"/>
        <w:jc w:val="both"/>
      </w:pPr>
      <w:r w:rsidRPr="00103DD3">
        <w:t xml:space="preserve">Locally, the US has experienced significant fluctuations in its consumer confidence index between 2000 and 2022. In the 2000s, other than the dot.com bubble burst, consumer uncertainty occurred as a result of the 9/11 terrorist attack, where people avoided spending on luxurious activities such as holidays for fear of terrorist attacks. Other factors that led to fluctuation include uncertainty caused by geopolitical issues such as trade wars and fuel price changes that impact consumer spending and budgeting and ultimately reduce CCI (Boylan et al. 2021). However, compared to other countries, the USA has been developing sound economic policies that have enabled it to sustain consumer optimism for a significant period. Therefore, </w:t>
      </w:r>
      <w:r w:rsidR="00103DD3" w:rsidRPr="00103DD3">
        <w:t>our company</w:t>
      </w:r>
      <w:r w:rsidRPr="00103DD3">
        <w:t xml:space="preserve"> may consider the USA an investment destination because of its ability to maintain optimal CCI (above 100) for an extended period and rebound after the economic crisis due to its effective economic growth policies.</w:t>
      </w:r>
    </w:p>
    <w:p w14:paraId="6AB0932F" w14:textId="3D9F1605" w:rsidR="00692EA7" w:rsidRPr="00103DD3" w:rsidRDefault="00000000">
      <w:pPr>
        <w:spacing w:after="200" w:line="360" w:lineRule="auto"/>
        <w:jc w:val="both"/>
      </w:pPr>
      <w:r w:rsidRPr="00103DD3">
        <w:t xml:space="preserve">Considering Malaysia, the 1997-1998 Asian crisis that started in Thailand led to the devaluation of the Ringgit (The Malaysian currency) and a crash in the stock market. The economic crisis that extended to the early 2000s led to a decline in CCI as more consumers avoided spending much due to decreased purchasing power and job insecurity (Mohamad et al. 2021). In recent years, the high cost of living due to inflation has resulted in declining purchasing power and an overall decline in CCI. However, cases of increased CCI have been fostered by policies that facilitate foreign investment, tax cuts, and low interest rates that encourage more borrowing and robust economic growth. </w:t>
      </w:r>
      <w:r w:rsidR="00103DD3" w:rsidRPr="00103DD3">
        <w:t>Our company</w:t>
      </w:r>
      <w:r w:rsidRPr="00103DD3">
        <w:t xml:space="preserve"> may invest in the country because of sound economic policies such as tax cuts, which increase the consumer confidence index and, eventually, high sales. However, being </w:t>
      </w:r>
      <w:r w:rsidRPr="00103DD3">
        <w:lastRenderedPageBreak/>
        <w:t xml:space="preserve">an emerging economy, it presents risks to the company, especially in political instability that may create economic uncertainty, </w:t>
      </w:r>
      <w:r w:rsidR="00103DD3" w:rsidRPr="00103DD3">
        <w:t>decreasing</w:t>
      </w:r>
      <w:r w:rsidRPr="00103DD3">
        <w:t xml:space="preserve"> consumer confidence.</w:t>
      </w:r>
    </w:p>
    <w:p w14:paraId="130B6E62" w14:textId="0D1B9ABE" w:rsidR="00692EA7" w:rsidRPr="00103DD3" w:rsidRDefault="00000000">
      <w:pPr>
        <w:spacing w:after="200" w:line="360" w:lineRule="auto"/>
        <w:jc w:val="both"/>
      </w:pPr>
      <w:r w:rsidRPr="00103DD3">
        <w:t xml:space="preserve">The late 1990s Asian financial crisis also negatively impacted Japan's economy. Still, the </w:t>
      </w:r>
      <w:r w:rsidR="00103DD3" w:rsidRPr="00103DD3">
        <w:t>government-initiated</w:t>
      </w:r>
      <w:r w:rsidRPr="00103DD3">
        <w:t xml:space="preserve"> stimulus measures that improved the economy, which increased citizens' disposable income, fostering increased spending due to increased CCI. The government's structural reforms and policies, such as labor market reforms, improvements in corporate governance, and deregulation, influenced the perception of economic stability and prospects, thus enhancing consumer confidence</w:t>
      </w:r>
      <w:r w:rsidR="00103DD3" w:rsidRPr="00103DD3">
        <w:t xml:space="preserve"> (Jones and </w:t>
      </w:r>
      <w:proofErr w:type="spellStart"/>
      <w:r w:rsidR="00103DD3" w:rsidRPr="00103DD3">
        <w:t>Seitani</w:t>
      </w:r>
      <w:proofErr w:type="spellEnd"/>
      <w:r w:rsidR="00103DD3" w:rsidRPr="00103DD3">
        <w:t>, 2019)</w:t>
      </w:r>
      <w:r w:rsidRPr="00103DD3">
        <w:t xml:space="preserve">. Therefore, if </w:t>
      </w:r>
      <w:r w:rsidR="00103DD3" w:rsidRPr="00103DD3">
        <w:t>the company</w:t>
      </w:r>
      <w:r w:rsidRPr="00103DD3">
        <w:t xml:space="preserve"> opts to invest in Japan, it will likely benefit from constant demand for goods, as the consumer confidence index seems stable with minimal fluctuations even when there is a global economic crisis. However, the main issue is that CCI has remained below 100, indicating that consumers are pessimistic, and this may affect sales if </w:t>
      </w:r>
      <w:r w:rsidR="00103DD3" w:rsidRPr="00103DD3">
        <w:t>the company</w:t>
      </w:r>
      <w:r w:rsidRPr="00103DD3">
        <w:t xml:space="preserve"> decides to invest in the country.</w:t>
      </w:r>
    </w:p>
    <w:p w14:paraId="38966631" w14:textId="77777777" w:rsidR="00692EA7" w:rsidRPr="00103DD3" w:rsidRDefault="00000000">
      <w:pPr>
        <w:spacing w:after="200" w:line="360" w:lineRule="auto"/>
        <w:jc w:val="both"/>
      </w:pPr>
      <w:r w:rsidRPr="00103DD3">
        <w:t>The 2003 SARS pandemic significantly impacted Hong Kong's economy as it led to reduced tourism and travel while disrupting businesses, leading to declined consumer confidence (Liu et al. 2023). The political unrest and protests, such as those witnessed in 2019, affected businesses and citizens who lost confidence in the economy, leading to low CCI.</w:t>
      </w:r>
    </w:p>
    <w:p w14:paraId="7CDB2F4D" w14:textId="239A4536" w:rsidR="00692EA7" w:rsidRPr="00103DD3" w:rsidRDefault="00000000">
      <w:pPr>
        <w:spacing w:after="200" w:line="360" w:lineRule="auto"/>
        <w:jc w:val="both"/>
      </w:pPr>
      <w:r w:rsidRPr="00103DD3">
        <w:t xml:space="preserve">In the early 2000s, India's economy was liberalized, creating opportunities for investment and employment and raising citizens' income, which fostered consumer confidence (Haider et al. 2019). The 2019 demonetization led to short-term economic disruption, creating anxiety that dampened consumer confidence. India has experienced steady growth in its economy and CCI in recent years. If it maintains the momentum, then </w:t>
      </w:r>
      <w:r w:rsidR="00103DD3" w:rsidRPr="00103DD3">
        <w:t xml:space="preserve">the company </w:t>
      </w:r>
      <w:r w:rsidRPr="00103DD3">
        <w:t xml:space="preserve">will have an opportunity to exploit consumers' increased spending, thus increasing sales and revenue. However, the company has faced numerous fluctuations in the consumer index over the years, indicating that it is a volatile economy, and if </w:t>
      </w:r>
      <w:r w:rsidR="00103DD3" w:rsidRPr="00103DD3">
        <w:t xml:space="preserve">the company </w:t>
      </w:r>
      <w:r w:rsidRPr="00103DD3">
        <w:t>invests in the country, then it may face fluctuations in CCI, which may be detrimental to its prospects for success in the future.</w:t>
      </w:r>
    </w:p>
    <w:p w14:paraId="7FB2A470" w14:textId="705DF6B1" w:rsidR="00692EA7" w:rsidRPr="00103DD3" w:rsidRDefault="00692EA7">
      <w:pPr>
        <w:snapToGrid w:val="0"/>
        <w:spacing w:after="200" w:line="360" w:lineRule="auto"/>
        <w:jc w:val="both"/>
        <w:rPr>
          <w:bCs/>
        </w:rPr>
      </w:pPr>
      <w:bookmarkStart w:id="15" w:name="_Hlk156036279"/>
      <w:bookmarkEnd w:id="15"/>
    </w:p>
    <w:p w14:paraId="5FCDC87A" w14:textId="77777777" w:rsidR="00103DD3" w:rsidRPr="00103DD3" w:rsidRDefault="00103DD3">
      <w:pPr>
        <w:snapToGrid w:val="0"/>
        <w:spacing w:after="200" w:line="360" w:lineRule="auto"/>
        <w:jc w:val="both"/>
        <w:rPr>
          <w:rFonts w:hint="eastAsia"/>
          <w:bCs/>
        </w:rPr>
      </w:pPr>
    </w:p>
    <w:p w14:paraId="035B6C7B" w14:textId="77777777" w:rsidR="00692EA7" w:rsidRPr="00103DD3" w:rsidRDefault="00000000">
      <w:pPr>
        <w:snapToGrid w:val="0"/>
        <w:spacing w:after="200" w:line="360" w:lineRule="auto"/>
        <w:jc w:val="both"/>
        <w:rPr>
          <w:bCs/>
        </w:rPr>
      </w:pPr>
      <w:r w:rsidRPr="00103DD3">
        <w:rPr>
          <w:bCs/>
        </w:rPr>
        <w:t>T</w:t>
      </w:r>
      <w:bookmarkStart w:id="16" w:name="_Hlk156035597"/>
      <w:r w:rsidRPr="00103DD3">
        <w:rPr>
          <w:bCs/>
        </w:rPr>
        <w:t>able 2: Major summary statistics of CCI in selected countries: 2000 to 2022</w:t>
      </w:r>
    </w:p>
    <w:tbl>
      <w:tblPr>
        <w:tblW w:w="9576" w:type="dxa"/>
        <w:tblLayout w:type="fixed"/>
        <w:tblLook w:val="04A0" w:firstRow="1" w:lastRow="0" w:firstColumn="1" w:lastColumn="0" w:noHBand="0" w:noVBand="1"/>
      </w:tblPr>
      <w:tblGrid>
        <w:gridCol w:w="2176"/>
        <w:gridCol w:w="1315"/>
        <w:gridCol w:w="1365"/>
        <w:gridCol w:w="1598"/>
        <w:gridCol w:w="1507"/>
        <w:gridCol w:w="1615"/>
      </w:tblGrid>
      <w:tr w:rsidR="00692EA7" w:rsidRPr="00103DD3" w14:paraId="3FED4837" w14:textId="77777777">
        <w:tc>
          <w:tcPr>
            <w:tcW w:w="2175" w:type="dxa"/>
            <w:tcBorders>
              <w:top w:val="single" w:sz="4" w:space="0" w:color="000000"/>
              <w:left w:val="single" w:sz="4" w:space="0" w:color="000000"/>
              <w:bottom w:val="single" w:sz="4" w:space="0" w:color="000000"/>
              <w:right w:val="single" w:sz="4" w:space="0" w:color="000000"/>
            </w:tcBorders>
            <w:shd w:val="clear" w:color="auto" w:fill="auto"/>
          </w:tcPr>
          <w:p w14:paraId="655D4DAC" w14:textId="77777777" w:rsidR="00692EA7" w:rsidRPr="00103DD3" w:rsidRDefault="00000000">
            <w:pPr>
              <w:snapToGrid w:val="0"/>
              <w:spacing w:line="360" w:lineRule="auto"/>
              <w:jc w:val="both"/>
              <w:rPr>
                <w:bCs/>
              </w:rPr>
            </w:pPr>
            <w:r w:rsidRPr="00103DD3">
              <w:rPr>
                <w:bCs/>
              </w:rPr>
              <w:lastRenderedPageBreak/>
              <w:t>Summary statistics</w:t>
            </w:r>
          </w:p>
        </w:tc>
        <w:tc>
          <w:tcPr>
            <w:tcW w:w="1315" w:type="dxa"/>
            <w:tcBorders>
              <w:top w:val="single" w:sz="4" w:space="0" w:color="000000"/>
              <w:left w:val="single" w:sz="4" w:space="0" w:color="000000"/>
              <w:bottom w:val="single" w:sz="4" w:space="0" w:color="000000"/>
              <w:right w:val="single" w:sz="4" w:space="0" w:color="000000"/>
            </w:tcBorders>
          </w:tcPr>
          <w:p w14:paraId="4779B905" w14:textId="77777777" w:rsidR="00692EA7" w:rsidRPr="00103DD3" w:rsidRDefault="00000000">
            <w:pPr>
              <w:snapToGrid w:val="0"/>
              <w:spacing w:line="360" w:lineRule="auto"/>
              <w:jc w:val="both"/>
              <w:rPr>
                <w:bCs/>
              </w:rPr>
            </w:pPr>
            <w:r w:rsidRPr="00103DD3">
              <w:rPr>
                <w:bCs/>
              </w:rPr>
              <w:t>Hong Kong</w:t>
            </w:r>
          </w:p>
        </w:tc>
        <w:tc>
          <w:tcPr>
            <w:tcW w:w="1365" w:type="dxa"/>
            <w:tcBorders>
              <w:top w:val="single" w:sz="4" w:space="0" w:color="000000"/>
              <w:left w:val="single" w:sz="4" w:space="0" w:color="000000"/>
              <w:bottom w:val="single" w:sz="4" w:space="0" w:color="000000"/>
              <w:right w:val="single" w:sz="4" w:space="0" w:color="000000"/>
            </w:tcBorders>
          </w:tcPr>
          <w:p w14:paraId="23BBC01F" w14:textId="77777777" w:rsidR="00692EA7" w:rsidRPr="00103DD3" w:rsidRDefault="00000000">
            <w:pPr>
              <w:snapToGrid w:val="0"/>
              <w:spacing w:line="360" w:lineRule="auto"/>
              <w:jc w:val="both"/>
              <w:rPr>
                <w:bCs/>
              </w:rPr>
            </w:pPr>
            <w:r w:rsidRPr="00103DD3">
              <w:rPr>
                <w:bCs/>
              </w:rPr>
              <w:t xml:space="preserve"> USA</w:t>
            </w:r>
          </w:p>
        </w:tc>
        <w:tc>
          <w:tcPr>
            <w:tcW w:w="1598" w:type="dxa"/>
            <w:tcBorders>
              <w:top w:val="single" w:sz="4" w:space="0" w:color="000000"/>
              <w:left w:val="single" w:sz="4" w:space="0" w:color="000000"/>
              <w:bottom w:val="single" w:sz="4" w:space="0" w:color="000000"/>
              <w:right w:val="single" w:sz="4" w:space="0" w:color="000000"/>
            </w:tcBorders>
            <w:shd w:val="clear" w:color="auto" w:fill="auto"/>
          </w:tcPr>
          <w:p w14:paraId="74C62DCA" w14:textId="77777777" w:rsidR="00692EA7" w:rsidRPr="00103DD3" w:rsidRDefault="00000000">
            <w:pPr>
              <w:snapToGrid w:val="0"/>
              <w:spacing w:line="360" w:lineRule="auto"/>
              <w:jc w:val="both"/>
              <w:rPr>
                <w:bCs/>
              </w:rPr>
            </w:pPr>
            <w:r w:rsidRPr="00103DD3">
              <w:rPr>
                <w:bCs/>
              </w:rPr>
              <w:t xml:space="preserve"> JAPAN</w:t>
            </w:r>
          </w:p>
        </w:tc>
        <w:tc>
          <w:tcPr>
            <w:tcW w:w="1507" w:type="dxa"/>
            <w:tcBorders>
              <w:top w:val="single" w:sz="4" w:space="0" w:color="000000"/>
              <w:left w:val="single" w:sz="4" w:space="0" w:color="000000"/>
              <w:bottom w:val="single" w:sz="4" w:space="0" w:color="000000"/>
              <w:right w:val="single" w:sz="4" w:space="0" w:color="000000"/>
            </w:tcBorders>
            <w:shd w:val="clear" w:color="auto" w:fill="auto"/>
          </w:tcPr>
          <w:p w14:paraId="71D797FD" w14:textId="77777777" w:rsidR="00692EA7" w:rsidRPr="00103DD3" w:rsidRDefault="00000000">
            <w:pPr>
              <w:snapToGrid w:val="0"/>
              <w:spacing w:line="360" w:lineRule="auto"/>
              <w:jc w:val="both"/>
              <w:rPr>
                <w:bCs/>
              </w:rPr>
            </w:pPr>
            <w:r w:rsidRPr="00103DD3">
              <w:rPr>
                <w:bCs/>
              </w:rPr>
              <w:t>MALAYSIA</w:t>
            </w:r>
          </w:p>
        </w:tc>
        <w:tc>
          <w:tcPr>
            <w:tcW w:w="1615" w:type="dxa"/>
            <w:tcBorders>
              <w:top w:val="single" w:sz="4" w:space="0" w:color="000000"/>
              <w:left w:val="single" w:sz="4" w:space="0" w:color="000000"/>
              <w:bottom w:val="single" w:sz="4" w:space="0" w:color="000000"/>
              <w:right w:val="single" w:sz="4" w:space="0" w:color="000000"/>
            </w:tcBorders>
          </w:tcPr>
          <w:p w14:paraId="76EEBD9E" w14:textId="77777777" w:rsidR="00692EA7" w:rsidRPr="00103DD3" w:rsidRDefault="00000000">
            <w:pPr>
              <w:snapToGrid w:val="0"/>
              <w:spacing w:line="360" w:lineRule="auto"/>
              <w:jc w:val="both"/>
              <w:rPr>
                <w:bCs/>
              </w:rPr>
            </w:pPr>
            <w:r w:rsidRPr="00103DD3">
              <w:rPr>
                <w:bCs/>
              </w:rPr>
              <w:t xml:space="preserve"> INDIA</w:t>
            </w:r>
          </w:p>
        </w:tc>
      </w:tr>
      <w:tr w:rsidR="00692EA7" w:rsidRPr="00103DD3" w14:paraId="7C74DCF4" w14:textId="77777777">
        <w:tc>
          <w:tcPr>
            <w:tcW w:w="2175" w:type="dxa"/>
            <w:tcBorders>
              <w:top w:val="single" w:sz="4" w:space="0" w:color="000000"/>
              <w:left w:val="single" w:sz="4" w:space="0" w:color="000000"/>
              <w:bottom w:val="single" w:sz="4" w:space="0" w:color="000000"/>
              <w:right w:val="single" w:sz="4" w:space="0" w:color="000000"/>
            </w:tcBorders>
            <w:shd w:val="clear" w:color="auto" w:fill="auto"/>
          </w:tcPr>
          <w:p w14:paraId="0CF83C87" w14:textId="77777777" w:rsidR="00692EA7" w:rsidRPr="00103DD3" w:rsidRDefault="00000000">
            <w:pPr>
              <w:snapToGrid w:val="0"/>
              <w:spacing w:line="360" w:lineRule="auto"/>
              <w:jc w:val="both"/>
              <w:rPr>
                <w:bCs/>
              </w:rPr>
            </w:pPr>
            <w:r w:rsidRPr="00103DD3">
              <w:rPr>
                <w:bCs/>
              </w:rPr>
              <w:t>Mean</w:t>
            </w:r>
          </w:p>
        </w:tc>
        <w:tc>
          <w:tcPr>
            <w:tcW w:w="1315" w:type="dxa"/>
            <w:tcBorders>
              <w:top w:val="single" w:sz="4" w:space="0" w:color="000000"/>
              <w:left w:val="single" w:sz="4" w:space="0" w:color="000000"/>
              <w:bottom w:val="single" w:sz="4" w:space="0" w:color="000000"/>
              <w:right w:val="single" w:sz="4" w:space="0" w:color="000000"/>
            </w:tcBorders>
          </w:tcPr>
          <w:p w14:paraId="2A36B2A7" w14:textId="77777777" w:rsidR="00692EA7" w:rsidRPr="00103DD3" w:rsidRDefault="00000000">
            <w:pPr>
              <w:spacing w:line="360" w:lineRule="auto"/>
              <w:jc w:val="both"/>
            </w:pPr>
            <w:r w:rsidRPr="00103DD3">
              <w:t>84.4</w:t>
            </w:r>
          </w:p>
        </w:tc>
        <w:tc>
          <w:tcPr>
            <w:tcW w:w="1365" w:type="dxa"/>
            <w:tcBorders>
              <w:top w:val="single" w:sz="4" w:space="0" w:color="000000"/>
              <w:left w:val="single" w:sz="4" w:space="0" w:color="000000"/>
              <w:bottom w:val="single" w:sz="4" w:space="0" w:color="000000"/>
              <w:right w:val="single" w:sz="4" w:space="0" w:color="000000"/>
            </w:tcBorders>
            <w:vAlign w:val="center"/>
          </w:tcPr>
          <w:p w14:paraId="0F707F92" w14:textId="77777777" w:rsidR="00692EA7" w:rsidRPr="00103DD3" w:rsidRDefault="00000000">
            <w:pPr>
              <w:spacing w:line="360" w:lineRule="auto"/>
              <w:jc w:val="both"/>
            </w:pPr>
            <w:r w:rsidRPr="00103DD3">
              <w:t>94.4</w:t>
            </w:r>
          </w:p>
        </w:tc>
        <w:tc>
          <w:tcPr>
            <w:tcW w:w="1598"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9DAC1C7" w14:textId="77777777" w:rsidR="00692EA7" w:rsidRPr="00103DD3" w:rsidRDefault="00000000">
            <w:pPr>
              <w:spacing w:line="360" w:lineRule="auto"/>
              <w:jc w:val="both"/>
            </w:pPr>
            <w:r w:rsidRPr="00103DD3">
              <w:t>98.4</w:t>
            </w:r>
          </w:p>
        </w:tc>
        <w:tc>
          <w:tcPr>
            <w:tcW w:w="150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848E2E9" w14:textId="77777777" w:rsidR="00692EA7" w:rsidRPr="00103DD3" w:rsidRDefault="00000000">
            <w:pPr>
              <w:spacing w:line="360" w:lineRule="auto"/>
              <w:jc w:val="both"/>
            </w:pPr>
            <w:r w:rsidRPr="00103DD3">
              <w:t>97.5</w:t>
            </w:r>
          </w:p>
        </w:tc>
        <w:tc>
          <w:tcPr>
            <w:tcW w:w="1615" w:type="dxa"/>
            <w:tcBorders>
              <w:top w:val="single" w:sz="4" w:space="0" w:color="000000"/>
              <w:left w:val="single" w:sz="4" w:space="0" w:color="000000"/>
              <w:bottom w:val="single" w:sz="4" w:space="0" w:color="000000"/>
              <w:right w:val="single" w:sz="4" w:space="0" w:color="000000"/>
            </w:tcBorders>
            <w:vAlign w:val="center"/>
          </w:tcPr>
          <w:p w14:paraId="6F35C288" w14:textId="77777777" w:rsidR="00692EA7" w:rsidRPr="00103DD3" w:rsidRDefault="00000000">
            <w:pPr>
              <w:spacing w:line="360" w:lineRule="auto"/>
              <w:jc w:val="both"/>
            </w:pPr>
            <w:r w:rsidRPr="00103DD3">
              <w:t>90.4</w:t>
            </w:r>
          </w:p>
        </w:tc>
      </w:tr>
      <w:tr w:rsidR="00692EA7" w:rsidRPr="00103DD3" w14:paraId="73E080E0" w14:textId="77777777">
        <w:trPr>
          <w:trHeight w:val="594"/>
        </w:trPr>
        <w:tc>
          <w:tcPr>
            <w:tcW w:w="2175" w:type="dxa"/>
            <w:tcBorders>
              <w:top w:val="single" w:sz="4" w:space="0" w:color="000000"/>
              <w:left w:val="single" w:sz="4" w:space="0" w:color="000000"/>
              <w:bottom w:val="single" w:sz="4" w:space="0" w:color="000000"/>
              <w:right w:val="single" w:sz="4" w:space="0" w:color="000000"/>
            </w:tcBorders>
            <w:shd w:val="clear" w:color="auto" w:fill="auto"/>
          </w:tcPr>
          <w:p w14:paraId="2A4D7F18" w14:textId="77777777" w:rsidR="00692EA7" w:rsidRPr="00103DD3" w:rsidRDefault="00000000">
            <w:pPr>
              <w:snapToGrid w:val="0"/>
              <w:spacing w:line="360" w:lineRule="auto"/>
              <w:jc w:val="both"/>
              <w:rPr>
                <w:bCs/>
              </w:rPr>
            </w:pPr>
            <w:r w:rsidRPr="00103DD3">
              <w:rPr>
                <w:bCs/>
              </w:rPr>
              <w:t>Standard deviation</w:t>
            </w:r>
          </w:p>
        </w:tc>
        <w:tc>
          <w:tcPr>
            <w:tcW w:w="1315" w:type="dxa"/>
            <w:tcBorders>
              <w:top w:val="single" w:sz="4" w:space="0" w:color="000000"/>
              <w:left w:val="single" w:sz="4" w:space="0" w:color="000000"/>
              <w:bottom w:val="single" w:sz="4" w:space="0" w:color="000000"/>
              <w:right w:val="single" w:sz="4" w:space="0" w:color="000000"/>
            </w:tcBorders>
          </w:tcPr>
          <w:p w14:paraId="7A117855" w14:textId="77777777" w:rsidR="00692EA7" w:rsidRPr="00103DD3" w:rsidRDefault="00000000">
            <w:pPr>
              <w:snapToGrid w:val="0"/>
              <w:spacing w:line="360" w:lineRule="auto"/>
              <w:jc w:val="both"/>
              <w:rPr>
                <w:bCs/>
              </w:rPr>
            </w:pPr>
            <w:r w:rsidRPr="00103DD3">
              <w:rPr>
                <w:bCs/>
              </w:rPr>
              <w:t>15</w:t>
            </w:r>
          </w:p>
        </w:tc>
        <w:tc>
          <w:tcPr>
            <w:tcW w:w="1365" w:type="dxa"/>
            <w:tcBorders>
              <w:top w:val="single" w:sz="4" w:space="0" w:color="000000"/>
              <w:left w:val="single" w:sz="4" w:space="0" w:color="000000"/>
              <w:bottom w:val="single" w:sz="4" w:space="0" w:color="000000"/>
              <w:right w:val="single" w:sz="4" w:space="0" w:color="000000"/>
            </w:tcBorders>
            <w:vAlign w:val="center"/>
          </w:tcPr>
          <w:p w14:paraId="0B425310" w14:textId="77777777" w:rsidR="00692EA7" w:rsidRPr="00103DD3" w:rsidRDefault="00000000">
            <w:pPr>
              <w:spacing w:line="360" w:lineRule="auto"/>
              <w:jc w:val="both"/>
              <w:rPr>
                <w:bCs/>
              </w:rPr>
            </w:pPr>
            <w:r w:rsidRPr="00103DD3">
              <w:rPr>
                <w:bCs/>
              </w:rPr>
              <w:t>27</w:t>
            </w:r>
          </w:p>
        </w:tc>
        <w:tc>
          <w:tcPr>
            <w:tcW w:w="1598"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A793BCC" w14:textId="77777777" w:rsidR="00692EA7" w:rsidRPr="00103DD3" w:rsidRDefault="00000000">
            <w:pPr>
              <w:spacing w:line="360" w:lineRule="auto"/>
              <w:jc w:val="both"/>
              <w:rPr>
                <w:bCs/>
              </w:rPr>
            </w:pPr>
            <w:r w:rsidRPr="00103DD3">
              <w:rPr>
                <w:bCs/>
              </w:rPr>
              <w:t>4.9</w:t>
            </w:r>
          </w:p>
        </w:tc>
        <w:tc>
          <w:tcPr>
            <w:tcW w:w="150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7F7B050" w14:textId="77777777" w:rsidR="00692EA7" w:rsidRPr="00103DD3" w:rsidRDefault="00000000">
            <w:pPr>
              <w:spacing w:line="360" w:lineRule="auto"/>
              <w:jc w:val="both"/>
              <w:rPr>
                <w:bCs/>
              </w:rPr>
            </w:pPr>
            <w:r w:rsidRPr="00103DD3">
              <w:rPr>
                <w:bCs/>
              </w:rPr>
              <w:t>12.1</w:t>
            </w:r>
          </w:p>
        </w:tc>
        <w:tc>
          <w:tcPr>
            <w:tcW w:w="1615" w:type="dxa"/>
            <w:tcBorders>
              <w:top w:val="single" w:sz="4" w:space="0" w:color="000000"/>
              <w:left w:val="single" w:sz="4" w:space="0" w:color="000000"/>
              <w:bottom w:val="single" w:sz="4" w:space="0" w:color="000000"/>
              <w:right w:val="single" w:sz="4" w:space="0" w:color="000000"/>
            </w:tcBorders>
            <w:vAlign w:val="center"/>
          </w:tcPr>
          <w:p w14:paraId="2433D78A" w14:textId="77777777" w:rsidR="00692EA7" w:rsidRPr="00103DD3" w:rsidRDefault="00000000">
            <w:pPr>
              <w:spacing w:line="360" w:lineRule="auto"/>
              <w:jc w:val="both"/>
              <w:rPr>
                <w:bCs/>
              </w:rPr>
            </w:pPr>
            <w:r w:rsidRPr="00103DD3">
              <w:rPr>
                <w:bCs/>
              </w:rPr>
              <w:t>14.5</w:t>
            </w:r>
          </w:p>
        </w:tc>
      </w:tr>
      <w:tr w:rsidR="00692EA7" w:rsidRPr="00103DD3" w14:paraId="6AB24DCC" w14:textId="77777777">
        <w:tc>
          <w:tcPr>
            <w:tcW w:w="2175" w:type="dxa"/>
            <w:tcBorders>
              <w:top w:val="single" w:sz="4" w:space="0" w:color="000000"/>
              <w:left w:val="single" w:sz="4" w:space="0" w:color="000000"/>
              <w:bottom w:val="single" w:sz="4" w:space="0" w:color="000000"/>
              <w:right w:val="single" w:sz="4" w:space="0" w:color="000000"/>
            </w:tcBorders>
            <w:shd w:val="clear" w:color="auto" w:fill="auto"/>
          </w:tcPr>
          <w:p w14:paraId="06BD16FA" w14:textId="77777777" w:rsidR="00692EA7" w:rsidRPr="00103DD3" w:rsidRDefault="00000000">
            <w:pPr>
              <w:snapToGrid w:val="0"/>
              <w:spacing w:line="360" w:lineRule="auto"/>
              <w:jc w:val="both"/>
              <w:rPr>
                <w:bCs/>
              </w:rPr>
            </w:pPr>
            <w:r w:rsidRPr="00103DD3">
              <w:rPr>
                <w:bCs/>
              </w:rPr>
              <w:t>Maximum</w:t>
            </w:r>
          </w:p>
        </w:tc>
        <w:tc>
          <w:tcPr>
            <w:tcW w:w="1315" w:type="dxa"/>
            <w:tcBorders>
              <w:top w:val="single" w:sz="4" w:space="0" w:color="000000"/>
              <w:left w:val="single" w:sz="4" w:space="0" w:color="000000"/>
              <w:bottom w:val="single" w:sz="4" w:space="0" w:color="000000"/>
              <w:right w:val="single" w:sz="4" w:space="0" w:color="000000"/>
            </w:tcBorders>
          </w:tcPr>
          <w:p w14:paraId="1F272334" w14:textId="77777777" w:rsidR="00692EA7" w:rsidRPr="00103DD3" w:rsidRDefault="00000000">
            <w:pPr>
              <w:snapToGrid w:val="0"/>
              <w:spacing w:line="360" w:lineRule="auto"/>
              <w:jc w:val="both"/>
              <w:rPr>
                <w:bCs/>
              </w:rPr>
            </w:pPr>
            <w:r w:rsidRPr="00103DD3">
              <w:rPr>
                <w:bCs/>
              </w:rPr>
              <w:t>112</w:t>
            </w:r>
          </w:p>
        </w:tc>
        <w:tc>
          <w:tcPr>
            <w:tcW w:w="1365" w:type="dxa"/>
            <w:tcBorders>
              <w:top w:val="single" w:sz="4" w:space="0" w:color="000000"/>
              <w:left w:val="single" w:sz="4" w:space="0" w:color="000000"/>
              <w:bottom w:val="single" w:sz="4" w:space="0" w:color="000000"/>
              <w:right w:val="single" w:sz="4" w:space="0" w:color="000000"/>
            </w:tcBorders>
            <w:vAlign w:val="center"/>
          </w:tcPr>
          <w:p w14:paraId="3B7E4613" w14:textId="77777777" w:rsidR="00692EA7" w:rsidRPr="00103DD3" w:rsidRDefault="00000000">
            <w:pPr>
              <w:spacing w:line="360" w:lineRule="auto"/>
              <w:jc w:val="both"/>
            </w:pPr>
            <w:r w:rsidRPr="00103DD3">
              <w:t>139.9</w:t>
            </w:r>
          </w:p>
        </w:tc>
        <w:tc>
          <w:tcPr>
            <w:tcW w:w="1598"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6532BFA" w14:textId="77777777" w:rsidR="00692EA7" w:rsidRPr="00103DD3" w:rsidRDefault="00000000">
            <w:pPr>
              <w:spacing w:line="360" w:lineRule="auto"/>
              <w:jc w:val="both"/>
            </w:pPr>
            <w:r w:rsidRPr="00103DD3">
              <w:t>104</w:t>
            </w:r>
          </w:p>
        </w:tc>
        <w:tc>
          <w:tcPr>
            <w:tcW w:w="150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FCB174B" w14:textId="77777777" w:rsidR="00692EA7" w:rsidRPr="00103DD3" w:rsidRDefault="00000000">
            <w:pPr>
              <w:spacing w:line="360" w:lineRule="auto"/>
              <w:jc w:val="both"/>
            </w:pPr>
            <w:r w:rsidRPr="00103DD3">
              <w:t>119</w:t>
            </w:r>
          </w:p>
        </w:tc>
        <w:tc>
          <w:tcPr>
            <w:tcW w:w="1615" w:type="dxa"/>
            <w:tcBorders>
              <w:top w:val="single" w:sz="4" w:space="0" w:color="000000"/>
              <w:left w:val="single" w:sz="4" w:space="0" w:color="000000"/>
              <w:bottom w:val="single" w:sz="4" w:space="0" w:color="000000"/>
              <w:right w:val="single" w:sz="4" w:space="0" w:color="000000"/>
            </w:tcBorders>
            <w:vAlign w:val="center"/>
          </w:tcPr>
          <w:p w14:paraId="5D4993A7" w14:textId="77777777" w:rsidR="00692EA7" w:rsidRPr="00103DD3" w:rsidRDefault="00000000">
            <w:pPr>
              <w:spacing w:line="360" w:lineRule="auto"/>
              <w:jc w:val="both"/>
            </w:pPr>
            <w:r w:rsidRPr="00103DD3">
              <w:t>135</w:t>
            </w:r>
          </w:p>
        </w:tc>
      </w:tr>
      <w:tr w:rsidR="00692EA7" w:rsidRPr="00103DD3" w14:paraId="52C5E6AF" w14:textId="77777777">
        <w:tc>
          <w:tcPr>
            <w:tcW w:w="2175" w:type="dxa"/>
            <w:tcBorders>
              <w:top w:val="single" w:sz="4" w:space="0" w:color="000000"/>
              <w:left w:val="single" w:sz="4" w:space="0" w:color="000000"/>
              <w:bottom w:val="single" w:sz="4" w:space="0" w:color="000000"/>
              <w:right w:val="single" w:sz="4" w:space="0" w:color="000000"/>
            </w:tcBorders>
            <w:shd w:val="clear" w:color="auto" w:fill="auto"/>
          </w:tcPr>
          <w:p w14:paraId="555F8D09" w14:textId="77777777" w:rsidR="00692EA7" w:rsidRPr="00103DD3" w:rsidRDefault="00000000">
            <w:pPr>
              <w:snapToGrid w:val="0"/>
              <w:spacing w:line="360" w:lineRule="auto"/>
              <w:jc w:val="both"/>
              <w:rPr>
                <w:bCs/>
              </w:rPr>
            </w:pPr>
            <w:r w:rsidRPr="00103DD3">
              <w:rPr>
                <w:bCs/>
              </w:rPr>
              <w:t>Minimum</w:t>
            </w:r>
          </w:p>
        </w:tc>
        <w:tc>
          <w:tcPr>
            <w:tcW w:w="1315" w:type="dxa"/>
            <w:tcBorders>
              <w:top w:val="single" w:sz="4" w:space="0" w:color="000000"/>
              <w:left w:val="single" w:sz="4" w:space="0" w:color="000000"/>
              <w:bottom w:val="single" w:sz="4" w:space="0" w:color="000000"/>
              <w:right w:val="single" w:sz="4" w:space="0" w:color="000000"/>
            </w:tcBorders>
          </w:tcPr>
          <w:p w14:paraId="4DB26AC2" w14:textId="77777777" w:rsidR="00692EA7" w:rsidRPr="00103DD3" w:rsidRDefault="00000000">
            <w:pPr>
              <w:spacing w:line="360" w:lineRule="auto"/>
              <w:jc w:val="both"/>
            </w:pPr>
            <w:r w:rsidRPr="00103DD3">
              <w:t>60</w:t>
            </w:r>
          </w:p>
        </w:tc>
        <w:tc>
          <w:tcPr>
            <w:tcW w:w="1365" w:type="dxa"/>
            <w:tcBorders>
              <w:top w:val="single" w:sz="4" w:space="0" w:color="000000"/>
              <w:left w:val="single" w:sz="4" w:space="0" w:color="000000"/>
              <w:bottom w:val="single" w:sz="4" w:space="0" w:color="000000"/>
              <w:right w:val="single" w:sz="4" w:space="0" w:color="000000"/>
            </w:tcBorders>
            <w:vAlign w:val="center"/>
          </w:tcPr>
          <w:p w14:paraId="50B6822C" w14:textId="77777777" w:rsidR="00692EA7" w:rsidRPr="00103DD3" w:rsidRDefault="00000000">
            <w:pPr>
              <w:spacing w:line="360" w:lineRule="auto"/>
              <w:jc w:val="both"/>
            </w:pPr>
            <w:r w:rsidRPr="00103DD3">
              <w:t>46</w:t>
            </w:r>
          </w:p>
        </w:tc>
        <w:tc>
          <w:tcPr>
            <w:tcW w:w="1598"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4ACA8D5" w14:textId="77777777" w:rsidR="00692EA7" w:rsidRPr="00103DD3" w:rsidRDefault="00000000">
            <w:pPr>
              <w:spacing w:line="360" w:lineRule="auto"/>
              <w:jc w:val="both"/>
            </w:pPr>
            <w:r w:rsidRPr="00103DD3">
              <w:t>87</w:t>
            </w:r>
          </w:p>
        </w:tc>
        <w:tc>
          <w:tcPr>
            <w:tcW w:w="150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ED5947F" w14:textId="77777777" w:rsidR="00692EA7" w:rsidRPr="00103DD3" w:rsidRDefault="00000000">
            <w:pPr>
              <w:spacing w:line="360" w:lineRule="auto"/>
              <w:jc w:val="both"/>
            </w:pPr>
            <w:r w:rsidRPr="00103DD3">
              <w:t>77</w:t>
            </w:r>
          </w:p>
        </w:tc>
        <w:tc>
          <w:tcPr>
            <w:tcW w:w="1615" w:type="dxa"/>
            <w:tcBorders>
              <w:top w:val="single" w:sz="4" w:space="0" w:color="000000"/>
              <w:left w:val="single" w:sz="4" w:space="0" w:color="000000"/>
              <w:bottom w:val="single" w:sz="4" w:space="0" w:color="000000"/>
              <w:right w:val="single" w:sz="4" w:space="0" w:color="000000"/>
            </w:tcBorders>
            <w:vAlign w:val="center"/>
          </w:tcPr>
          <w:p w14:paraId="12AEB0EB" w14:textId="77777777" w:rsidR="00692EA7" w:rsidRPr="00103DD3" w:rsidRDefault="00000000">
            <w:pPr>
              <w:spacing w:line="360" w:lineRule="auto"/>
              <w:jc w:val="both"/>
            </w:pPr>
            <w:r w:rsidRPr="00103DD3">
              <w:t>55.6</w:t>
            </w:r>
          </w:p>
        </w:tc>
      </w:tr>
      <w:tr w:rsidR="00692EA7" w:rsidRPr="00103DD3" w14:paraId="7A1BF0F9" w14:textId="77777777">
        <w:trPr>
          <w:trHeight w:val="301"/>
        </w:trPr>
        <w:tc>
          <w:tcPr>
            <w:tcW w:w="9575" w:type="dxa"/>
            <w:gridSpan w:val="6"/>
            <w:tcBorders>
              <w:top w:val="single" w:sz="4" w:space="0" w:color="000000"/>
              <w:left w:val="single" w:sz="4" w:space="0" w:color="000000"/>
              <w:bottom w:val="single" w:sz="4" w:space="0" w:color="000000"/>
              <w:right w:val="single" w:sz="4" w:space="0" w:color="000000"/>
            </w:tcBorders>
          </w:tcPr>
          <w:p w14:paraId="0D2FB413" w14:textId="77777777" w:rsidR="00692EA7" w:rsidRPr="00103DD3" w:rsidRDefault="00000000">
            <w:pPr>
              <w:snapToGrid w:val="0"/>
              <w:spacing w:line="360" w:lineRule="auto"/>
              <w:jc w:val="both"/>
              <w:rPr>
                <w:bCs/>
              </w:rPr>
            </w:pPr>
            <w:r w:rsidRPr="00103DD3">
              <w:rPr>
                <w:bCs/>
              </w:rPr>
              <w:t>Sources: Calculated from the dataset listed in Table 1</w:t>
            </w:r>
          </w:p>
        </w:tc>
      </w:tr>
    </w:tbl>
    <w:p w14:paraId="1CF889E1" w14:textId="77777777" w:rsidR="00692EA7" w:rsidRPr="00103DD3" w:rsidRDefault="00692EA7">
      <w:pPr>
        <w:snapToGrid w:val="0"/>
        <w:spacing w:line="360" w:lineRule="auto"/>
        <w:jc w:val="both"/>
        <w:rPr>
          <w:b/>
          <w:bCs/>
        </w:rPr>
      </w:pPr>
      <w:bookmarkStart w:id="17" w:name="_Hlk1560362791"/>
      <w:bookmarkEnd w:id="16"/>
      <w:bookmarkEnd w:id="17"/>
    </w:p>
    <w:p w14:paraId="05CE3550" w14:textId="24DD8F0C" w:rsidR="00692EA7" w:rsidRPr="00103DD3" w:rsidRDefault="00000000">
      <w:pPr>
        <w:spacing w:after="200" w:line="360" w:lineRule="auto"/>
        <w:jc w:val="both"/>
        <w:rPr>
          <w:shd w:val="clear" w:color="auto" w:fill="FFFFFF"/>
        </w:rPr>
      </w:pPr>
      <w:r w:rsidRPr="00103DD3">
        <w:rPr>
          <w:shd w:val="clear" w:color="auto" w:fill="FFFFFF"/>
        </w:rPr>
        <w:t xml:space="preserve">A high standard deviation in CCI indicates that there is a significant variability of the data over time. </w:t>
      </w:r>
      <w:proofErr w:type="gramStart"/>
      <w:r w:rsidRPr="00103DD3">
        <w:rPr>
          <w:shd w:val="clear" w:color="auto" w:fill="FFFFFF"/>
        </w:rPr>
        <w:t>In regards to</w:t>
      </w:r>
      <w:proofErr w:type="gramEnd"/>
      <w:r w:rsidRPr="00103DD3">
        <w:rPr>
          <w:shd w:val="clear" w:color="auto" w:fill="FFFFFF"/>
        </w:rPr>
        <w:t xml:space="preserve"> CCI, high standard deviation is caused by economic uncertainty, market instability and political issues. Considering the selected countries, USA has the highest standard deviation. It has been subjected to economic shocks such as recessions that have significantly impacted consumer confidence, hence the high variation. When investing in USA, </w:t>
      </w:r>
      <w:r w:rsidR="00103DD3" w:rsidRPr="00103DD3">
        <w:rPr>
          <w:shd w:val="clear" w:color="auto" w:fill="FFFFFF"/>
        </w:rPr>
        <w:t xml:space="preserve">company </w:t>
      </w:r>
      <w:r w:rsidRPr="00103DD3">
        <w:rPr>
          <w:shd w:val="clear" w:color="auto" w:fill="FFFFFF"/>
        </w:rPr>
        <w:t xml:space="preserve">may be subjected to fluctuation in CCI when major economic disruptions </w:t>
      </w:r>
      <w:proofErr w:type="gramStart"/>
      <w:r w:rsidRPr="00103DD3">
        <w:rPr>
          <w:shd w:val="clear" w:color="auto" w:fill="FFFFFF"/>
        </w:rPr>
        <w:t>occur</w:t>
      </w:r>
      <w:proofErr w:type="gramEnd"/>
      <w:r w:rsidRPr="00103DD3">
        <w:rPr>
          <w:shd w:val="clear" w:color="auto" w:fill="FFFFFF"/>
        </w:rPr>
        <w:t xml:space="preserve"> and this may lower revenues.</w:t>
      </w:r>
    </w:p>
    <w:p w14:paraId="52DFF6DB" w14:textId="04D9CE44" w:rsidR="00692EA7" w:rsidRPr="00103DD3" w:rsidRDefault="00000000">
      <w:pPr>
        <w:spacing w:after="200" w:line="360" w:lineRule="auto"/>
        <w:jc w:val="both"/>
        <w:rPr>
          <w:shd w:val="clear" w:color="auto" w:fill="FFFFFF"/>
        </w:rPr>
      </w:pPr>
      <w:r w:rsidRPr="00103DD3">
        <w:rPr>
          <w:shd w:val="clear" w:color="auto" w:fill="FFFFFF"/>
        </w:rPr>
        <w:t xml:space="preserve">A low standard deviation in CCI indicates that there is minimal variability of data over </w:t>
      </w:r>
      <w:proofErr w:type="gramStart"/>
      <w:r w:rsidRPr="00103DD3">
        <w:rPr>
          <w:shd w:val="clear" w:color="auto" w:fill="FFFFFF"/>
        </w:rPr>
        <w:t>time</w:t>
      </w:r>
      <w:proofErr w:type="gramEnd"/>
      <w:r w:rsidRPr="00103DD3">
        <w:rPr>
          <w:shd w:val="clear" w:color="auto" w:fill="FFFFFF"/>
        </w:rPr>
        <w:t xml:space="preserve"> and this may be caused by certainty in the economy, significant market stability, and high consumer tolerance during economic upheavals. Japan has the lowest standard deviation due to high consumer tolerance to economic uncertainty and increased ability of the government to swiftly initiate mitigation measures to address economic shocks. By investing in Japan, Compan</w:t>
      </w:r>
      <w:r w:rsidR="00103DD3" w:rsidRPr="00103DD3">
        <w:rPr>
          <w:shd w:val="clear" w:color="auto" w:fill="FFFFFF"/>
        </w:rPr>
        <w:t>ies</w:t>
      </w:r>
      <w:r w:rsidRPr="00103DD3">
        <w:rPr>
          <w:shd w:val="clear" w:color="auto" w:fill="FFFFFF"/>
        </w:rPr>
        <w:t xml:space="preserve"> may benefit from the constant flow of purchases from the citizens. However, the main risk is that when the CCI remains unchanged for a long time, the demand for goods may stagnate, indicating that the prospect of selling more will be challenging, especially if no effective measures are taken to spur consumer spending.</w:t>
      </w:r>
    </w:p>
    <w:p w14:paraId="750E239F" w14:textId="77777777" w:rsidR="00692EA7" w:rsidRPr="00103DD3" w:rsidRDefault="00000000">
      <w:pPr>
        <w:snapToGrid w:val="0"/>
        <w:spacing w:after="200" w:line="360" w:lineRule="auto"/>
        <w:jc w:val="both"/>
        <w:rPr>
          <w:bCs/>
        </w:rPr>
      </w:pPr>
      <w:r w:rsidRPr="00103DD3">
        <w:rPr>
          <w:bCs/>
        </w:rPr>
        <w:t>Figure 2: Time plot of the annual rate of change in CCI in the selected countries (%): 2000 to 2022</w:t>
      </w:r>
    </w:p>
    <w:p w14:paraId="3A797277" w14:textId="77777777" w:rsidR="00692EA7" w:rsidRPr="00103DD3" w:rsidRDefault="00000000">
      <w:pPr>
        <w:snapToGrid w:val="0"/>
        <w:spacing w:line="360" w:lineRule="auto"/>
        <w:jc w:val="both"/>
        <w:rPr>
          <w:bCs/>
        </w:rPr>
      </w:pPr>
      <w:r w:rsidRPr="00103DD3">
        <w:rPr>
          <w:noProof/>
        </w:rPr>
        <w:lastRenderedPageBreak/>
        <w:drawing>
          <wp:inline distT="0" distB="0" distL="0" distR="0" wp14:anchorId="5E3FB3D6" wp14:editId="4CE31340">
            <wp:extent cx="6143625" cy="4029075"/>
            <wp:effectExtent l="0" t="0" r="0" b="0"/>
            <wp:docPr id="2" name="Object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02901B1" w14:textId="77777777" w:rsidR="00692EA7" w:rsidRPr="00103DD3" w:rsidRDefault="00692EA7">
      <w:pPr>
        <w:spacing w:line="360" w:lineRule="auto"/>
        <w:jc w:val="both"/>
        <w:rPr>
          <w:shd w:val="clear" w:color="auto" w:fill="FFFFFF"/>
        </w:rPr>
      </w:pPr>
    </w:p>
    <w:p w14:paraId="2032C190" w14:textId="77777777" w:rsidR="00692EA7" w:rsidRPr="00103DD3" w:rsidRDefault="00000000">
      <w:pPr>
        <w:spacing w:after="200" w:line="360" w:lineRule="auto"/>
        <w:jc w:val="both"/>
        <w:rPr>
          <w:shd w:val="clear" w:color="auto" w:fill="FFFFFF"/>
        </w:rPr>
      </w:pPr>
      <w:r w:rsidRPr="00103DD3">
        <w:rPr>
          <w:shd w:val="clear" w:color="auto" w:fill="FFFFFF"/>
        </w:rPr>
        <w:t xml:space="preserve">The percentage of the yearly shift in CCI offers insight into the degree and direction of change in consumer sentiments and confidence over time, highlighting changes in spending behaviors, overall economic outlook, and consumers' sentiments concerning the economy. Generally, the percentage can be positive or negative. </w:t>
      </w:r>
    </w:p>
    <w:p w14:paraId="5638781E" w14:textId="77777777" w:rsidR="00692EA7" w:rsidRPr="00103DD3" w:rsidRDefault="00000000">
      <w:pPr>
        <w:spacing w:after="200" w:line="360" w:lineRule="auto"/>
        <w:jc w:val="both"/>
        <w:rPr>
          <w:shd w:val="clear" w:color="auto" w:fill="FFFFFF"/>
        </w:rPr>
      </w:pPr>
      <w:r w:rsidRPr="00103DD3">
        <w:rPr>
          <w:shd w:val="clear" w:color="auto" w:fill="FFFFFF"/>
        </w:rPr>
        <w:t xml:space="preserve">A positive percentage shows that consumer confidence increased compared to the preceding year. A high positive percentage highlights a significant rise in consumer confidence. Considering the graph, the years 2002, 2003, 2004, 2010-2012, and 2020-2021 show a significant percentage change in the CCI of the five nations. This can be attributed to government measures to address the effects of the early 2000s recession caused by the dot.com bubble burst, the 2008 financial crisis, and the 2019 COVID-19 pandemic. The measures included providing stimulus packages to stimulate economic growth, which in turn led to the creation of more employment opportunities, thus raising consumer confidence. In the case of India, the exceptionally high positive percentage of CCI is not only based on the economic boom after the recession but also on liberal reforms that </w:t>
      </w:r>
      <w:proofErr w:type="gramStart"/>
      <w:r w:rsidRPr="00103DD3">
        <w:rPr>
          <w:shd w:val="clear" w:color="auto" w:fill="FFFFFF"/>
        </w:rPr>
        <w:t>opened up</w:t>
      </w:r>
      <w:proofErr w:type="gramEnd"/>
      <w:r w:rsidRPr="00103DD3">
        <w:rPr>
          <w:shd w:val="clear" w:color="auto" w:fill="FFFFFF"/>
        </w:rPr>
        <w:t xml:space="preserve"> the economy to foreign private investment and high employment that resulted in </w:t>
      </w:r>
      <w:r w:rsidRPr="00103DD3">
        <w:rPr>
          <w:shd w:val="clear" w:color="auto" w:fill="FFFFFF"/>
        </w:rPr>
        <w:lastRenderedPageBreak/>
        <w:t>increased consumer confidence and sentiment. Therefore, when company A invests in India, it may benefit from the economic boom and resulting consumer confidence by increasing its sales among consumers who are more willing to spend.</w:t>
      </w:r>
    </w:p>
    <w:p w14:paraId="4F6509B0" w14:textId="1F3CAAE3" w:rsidR="00692EA7" w:rsidRPr="00103DD3" w:rsidRDefault="00000000">
      <w:pPr>
        <w:spacing w:after="200" w:line="360" w:lineRule="auto"/>
        <w:jc w:val="both"/>
        <w:rPr>
          <w:shd w:val="clear" w:color="auto" w:fill="FFFFFF"/>
        </w:rPr>
      </w:pPr>
      <w:r w:rsidRPr="00103DD3">
        <w:rPr>
          <w:shd w:val="clear" w:color="auto" w:fill="FFFFFF"/>
        </w:rPr>
        <w:t>A negative percentage of annual change of CCI highlights a decline in consumer confidence relative to the previous year's value. A high negative percentage shows a significant decrease in consumer confidence. In most cases, a high negative percentage occurs when the economic shock is sudden, bypassing economic indicators, thus triggering panic among consumers who reduce spending. In the early 2000s, no one had anticipated that the internet companies that had gained value and enhanced consumer confidence would collapse. Hence, the burst of the dot.com bubble created uncertainty among consumers, reducing confidence. Other economic shockers that led to a high negative percentage include the 2008 financial crisis that negatively affected the global economy and the era of the COVID-19 pandemic that affected almost all sectors of the economy in all countries due to the lockdown. When company</w:t>
      </w:r>
      <w:r w:rsidR="00103DD3" w:rsidRPr="00103DD3">
        <w:rPr>
          <w:shd w:val="clear" w:color="auto" w:fill="FFFFFF"/>
        </w:rPr>
        <w:t xml:space="preserve"> </w:t>
      </w:r>
      <w:r w:rsidRPr="00103DD3">
        <w:rPr>
          <w:shd w:val="clear" w:color="auto" w:fill="FFFFFF"/>
        </w:rPr>
        <w:t>invests in the US that has a sizeable negative percentage, the company may face the risk of fluctuating CCI, but understanding the figure is essential in developing effective risk management strategies that can effectively deal with economic shocks in the future, thus enabling the company to survive in the new market.</w:t>
      </w:r>
    </w:p>
    <w:p w14:paraId="72318944" w14:textId="77777777" w:rsidR="00692EA7" w:rsidRPr="00103DD3" w:rsidRDefault="00000000">
      <w:pPr>
        <w:snapToGrid w:val="0"/>
        <w:spacing w:after="200" w:line="360" w:lineRule="auto"/>
        <w:jc w:val="both"/>
        <w:rPr>
          <w:bCs/>
        </w:rPr>
      </w:pPr>
      <w:bookmarkStart w:id="18" w:name="_Hlk156036437"/>
      <w:bookmarkEnd w:id="18"/>
      <w:r w:rsidRPr="00103DD3">
        <w:rPr>
          <w:bCs/>
        </w:rPr>
        <w:t>Table 3 Major summary statistics of annual rate of change in CCI in selected countries: 2000 to 2022 (%)</w:t>
      </w:r>
    </w:p>
    <w:tbl>
      <w:tblPr>
        <w:tblW w:w="9576" w:type="dxa"/>
        <w:tblLayout w:type="fixed"/>
        <w:tblLook w:val="04A0" w:firstRow="1" w:lastRow="0" w:firstColumn="1" w:lastColumn="0" w:noHBand="0" w:noVBand="1"/>
      </w:tblPr>
      <w:tblGrid>
        <w:gridCol w:w="2146"/>
        <w:gridCol w:w="1331"/>
        <w:gridCol w:w="1361"/>
        <w:gridCol w:w="1601"/>
        <w:gridCol w:w="1522"/>
        <w:gridCol w:w="1615"/>
      </w:tblGrid>
      <w:tr w:rsidR="00692EA7" w:rsidRPr="00103DD3" w14:paraId="649EEB25"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716BD7DB" w14:textId="77777777" w:rsidR="00692EA7" w:rsidRPr="00103DD3" w:rsidRDefault="00000000">
            <w:pPr>
              <w:snapToGrid w:val="0"/>
              <w:spacing w:line="360" w:lineRule="auto"/>
              <w:jc w:val="both"/>
              <w:rPr>
                <w:bCs/>
              </w:rPr>
            </w:pPr>
            <w:proofErr w:type="spellStart"/>
            <w:r w:rsidRPr="00103DD3">
              <w:rPr>
                <w:bCs/>
              </w:rPr>
              <w:t>Summar</w:t>
            </w:r>
            <w:proofErr w:type="spellEnd"/>
            <w:r w:rsidRPr="00103DD3">
              <w:rPr>
                <w:bCs/>
              </w:rPr>
              <w:t xml:space="preserve"> statistics</w:t>
            </w:r>
          </w:p>
        </w:tc>
        <w:tc>
          <w:tcPr>
            <w:tcW w:w="1331" w:type="dxa"/>
            <w:tcBorders>
              <w:top w:val="single" w:sz="4" w:space="0" w:color="000000"/>
              <w:left w:val="single" w:sz="4" w:space="0" w:color="000000"/>
              <w:bottom w:val="single" w:sz="4" w:space="0" w:color="000000"/>
              <w:right w:val="single" w:sz="4" w:space="0" w:color="000000"/>
            </w:tcBorders>
          </w:tcPr>
          <w:p w14:paraId="5144EAF6" w14:textId="77777777" w:rsidR="00692EA7" w:rsidRPr="00103DD3" w:rsidRDefault="00000000">
            <w:pPr>
              <w:snapToGrid w:val="0"/>
              <w:spacing w:line="360" w:lineRule="auto"/>
              <w:jc w:val="both"/>
              <w:rPr>
                <w:bCs/>
              </w:rPr>
            </w:pPr>
            <w:r w:rsidRPr="00103DD3">
              <w:rPr>
                <w:bCs/>
              </w:rPr>
              <w:t>Hong Kong</w:t>
            </w:r>
          </w:p>
        </w:tc>
        <w:tc>
          <w:tcPr>
            <w:tcW w:w="1361" w:type="dxa"/>
            <w:tcBorders>
              <w:top w:val="single" w:sz="4" w:space="0" w:color="000000"/>
              <w:left w:val="single" w:sz="4" w:space="0" w:color="000000"/>
              <w:bottom w:val="single" w:sz="4" w:space="0" w:color="000000"/>
              <w:right w:val="single" w:sz="4" w:space="0" w:color="000000"/>
            </w:tcBorders>
          </w:tcPr>
          <w:p w14:paraId="5BF6C9B0" w14:textId="77777777" w:rsidR="00692EA7" w:rsidRPr="00103DD3" w:rsidRDefault="00000000">
            <w:pPr>
              <w:snapToGrid w:val="0"/>
              <w:spacing w:line="360" w:lineRule="auto"/>
              <w:jc w:val="both"/>
              <w:rPr>
                <w:bCs/>
              </w:rPr>
            </w:pPr>
            <w:r w:rsidRPr="00103DD3">
              <w:rPr>
                <w:bCs/>
              </w:rPr>
              <w:t>USA</w:t>
            </w:r>
          </w:p>
        </w:tc>
        <w:tc>
          <w:tcPr>
            <w:tcW w:w="1601" w:type="dxa"/>
            <w:tcBorders>
              <w:top w:val="single" w:sz="4" w:space="0" w:color="000000"/>
              <w:left w:val="single" w:sz="4" w:space="0" w:color="000000"/>
              <w:bottom w:val="single" w:sz="4" w:space="0" w:color="000000"/>
              <w:right w:val="single" w:sz="4" w:space="0" w:color="000000"/>
            </w:tcBorders>
            <w:shd w:val="clear" w:color="auto" w:fill="auto"/>
          </w:tcPr>
          <w:p w14:paraId="25A45B7A" w14:textId="77777777" w:rsidR="00692EA7" w:rsidRPr="00103DD3" w:rsidRDefault="00000000">
            <w:pPr>
              <w:snapToGrid w:val="0"/>
              <w:spacing w:line="360" w:lineRule="auto"/>
              <w:jc w:val="both"/>
              <w:rPr>
                <w:bCs/>
              </w:rPr>
            </w:pPr>
            <w:r w:rsidRPr="00103DD3">
              <w:rPr>
                <w:bCs/>
              </w:rPr>
              <w:t>JAPAN</w:t>
            </w:r>
          </w:p>
        </w:tc>
        <w:tc>
          <w:tcPr>
            <w:tcW w:w="1522" w:type="dxa"/>
            <w:tcBorders>
              <w:top w:val="single" w:sz="4" w:space="0" w:color="000000"/>
              <w:left w:val="single" w:sz="4" w:space="0" w:color="000000"/>
              <w:bottom w:val="single" w:sz="4" w:space="0" w:color="000000"/>
              <w:right w:val="single" w:sz="4" w:space="0" w:color="000000"/>
            </w:tcBorders>
            <w:shd w:val="clear" w:color="auto" w:fill="auto"/>
          </w:tcPr>
          <w:p w14:paraId="2D56186F" w14:textId="77777777" w:rsidR="00692EA7" w:rsidRPr="00103DD3" w:rsidRDefault="00000000">
            <w:pPr>
              <w:snapToGrid w:val="0"/>
              <w:spacing w:line="360" w:lineRule="auto"/>
              <w:jc w:val="both"/>
              <w:rPr>
                <w:bCs/>
              </w:rPr>
            </w:pPr>
            <w:r w:rsidRPr="00103DD3">
              <w:rPr>
                <w:bCs/>
              </w:rPr>
              <w:t>Malaysia</w:t>
            </w:r>
          </w:p>
        </w:tc>
        <w:tc>
          <w:tcPr>
            <w:tcW w:w="1615" w:type="dxa"/>
            <w:tcBorders>
              <w:top w:val="single" w:sz="4" w:space="0" w:color="000000"/>
              <w:left w:val="single" w:sz="4" w:space="0" w:color="000000"/>
              <w:bottom w:val="single" w:sz="4" w:space="0" w:color="000000"/>
              <w:right w:val="single" w:sz="4" w:space="0" w:color="000000"/>
            </w:tcBorders>
          </w:tcPr>
          <w:p w14:paraId="5AF42E3E" w14:textId="77777777" w:rsidR="00692EA7" w:rsidRPr="00103DD3" w:rsidRDefault="00000000">
            <w:pPr>
              <w:snapToGrid w:val="0"/>
              <w:spacing w:line="360" w:lineRule="auto"/>
              <w:jc w:val="both"/>
              <w:rPr>
                <w:bCs/>
              </w:rPr>
            </w:pPr>
            <w:r w:rsidRPr="00103DD3">
              <w:rPr>
                <w:bCs/>
              </w:rPr>
              <w:t>India</w:t>
            </w:r>
          </w:p>
        </w:tc>
      </w:tr>
      <w:tr w:rsidR="00692EA7" w:rsidRPr="00103DD3" w14:paraId="619218CF" w14:textId="77777777">
        <w:trPr>
          <w:trHeight w:val="459"/>
        </w:trPr>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3FAFD67D" w14:textId="77777777" w:rsidR="00692EA7" w:rsidRPr="00103DD3" w:rsidRDefault="00000000">
            <w:pPr>
              <w:snapToGrid w:val="0"/>
              <w:spacing w:line="360" w:lineRule="auto"/>
              <w:jc w:val="both"/>
              <w:rPr>
                <w:bCs/>
              </w:rPr>
            </w:pPr>
            <w:r w:rsidRPr="00103DD3">
              <w:rPr>
                <w:bCs/>
              </w:rPr>
              <w:t>Mean</w:t>
            </w:r>
          </w:p>
        </w:tc>
        <w:tc>
          <w:tcPr>
            <w:tcW w:w="1331" w:type="dxa"/>
            <w:tcBorders>
              <w:top w:val="single" w:sz="4" w:space="0" w:color="000000"/>
              <w:left w:val="single" w:sz="4" w:space="0" w:color="000000"/>
              <w:bottom w:val="single" w:sz="4" w:space="0" w:color="000000"/>
              <w:right w:val="single" w:sz="4" w:space="0" w:color="000000"/>
            </w:tcBorders>
          </w:tcPr>
          <w:p w14:paraId="57C45067" w14:textId="77777777" w:rsidR="00692EA7" w:rsidRPr="00103DD3" w:rsidRDefault="00000000">
            <w:pPr>
              <w:spacing w:line="360" w:lineRule="auto"/>
              <w:jc w:val="both"/>
            </w:pPr>
            <w:r w:rsidRPr="00103DD3">
              <w:t>-3.26</w:t>
            </w:r>
          </w:p>
        </w:tc>
        <w:tc>
          <w:tcPr>
            <w:tcW w:w="1361" w:type="dxa"/>
            <w:tcBorders>
              <w:top w:val="single" w:sz="4" w:space="0" w:color="000000"/>
              <w:left w:val="single" w:sz="4" w:space="0" w:color="000000"/>
              <w:bottom w:val="single" w:sz="4" w:space="0" w:color="000000"/>
              <w:right w:val="single" w:sz="4" w:space="0" w:color="000000"/>
            </w:tcBorders>
            <w:vAlign w:val="center"/>
          </w:tcPr>
          <w:p w14:paraId="214D54D7" w14:textId="77777777" w:rsidR="00692EA7" w:rsidRPr="00103DD3" w:rsidRDefault="00000000">
            <w:pPr>
              <w:spacing w:line="360" w:lineRule="auto"/>
              <w:jc w:val="both"/>
            </w:pPr>
            <w:r w:rsidRPr="00103DD3">
              <w:t>2.68</w:t>
            </w:r>
          </w:p>
        </w:tc>
        <w:tc>
          <w:tcPr>
            <w:tcW w:w="160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EBC7248" w14:textId="77777777" w:rsidR="00692EA7" w:rsidRPr="00103DD3" w:rsidRDefault="00000000">
            <w:pPr>
              <w:spacing w:line="360" w:lineRule="auto"/>
              <w:jc w:val="both"/>
            </w:pPr>
            <w:r w:rsidRPr="00103DD3">
              <w:rPr>
                <w:bCs/>
              </w:rPr>
              <w:t>0.18</w:t>
            </w:r>
          </w:p>
        </w:tc>
        <w:tc>
          <w:tcPr>
            <w:tcW w:w="1522"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E78F426" w14:textId="77777777" w:rsidR="00692EA7" w:rsidRPr="00103DD3" w:rsidRDefault="00000000">
            <w:pPr>
              <w:spacing w:line="360" w:lineRule="auto"/>
              <w:jc w:val="both"/>
            </w:pPr>
            <w:r w:rsidRPr="00103DD3">
              <w:rPr>
                <w:bCs/>
              </w:rPr>
              <w:t>1.27</w:t>
            </w:r>
          </w:p>
        </w:tc>
        <w:tc>
          <w:tcPr>
            <w:tcW w:w="1615" w:type="dxa"/>
            <w:tcBorders>
              <w:top w:val="single" w:sz="4" w:space="0" w:color="000000"/>
              <w:left w:val="single" w:sz="4" w:space="0" w:color="000000"/>
              <w:bottom w:val="single" w:sz="4" w:space="0" w:color="000000"/>
              <w:right w:val="single" w:sz="4" w:space="0" w:color="000000"/>
            </w:tcBorders>
            <w:vAlign w:val="center"/>
          </w:tcPr>
          <w:p w14:paraId="513B0DED" w14:textId="77777777" w:rsidR="00692EA7" w:rsidRPr="00103DD3" w:rsidRDefault="00000000">
            <w:pPr>
              <w:spacing w:line="360" w:lineRule="auto"/>
              <w:jc w:val="both"/>
            </w:pPr>
            <w:r w:rsidRPr="00103DD3">
              <w:rPr>
                <w:bCs/>
              </w:rPr>
              <w:t>4.1</w:t>
            </w:r>
          </w:p>
        </w:tc>
      </w:tr>
      <w:tr w:rsidR="00692EA7" w:rsidRPr="00103DD3" w14:paraId="2C88022C"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3CCEA3A0" w14:textId="77777777" w:rsidR="00692EA7" w:rsidRPr="00103DD3" w:rsidRDefault="00000000">
            <w:pPr>
              <w:snapToGrid w:val="0"/>
              <w:spacing w:line="360" w:lineRule="auto"/>
              <w:jc w:val="both"/>
              <w:rPr>
                <w:bCs/>
              </w:rPr>
            </w:pPr>
            <w:r w:rsidRPr="00103DD3">
              <w:rPr>
                <w:bCs/>
              </w:rPr>
              <w:t>Standard deviation</w:t>
            </w:r>
          </w:p>
        </w:tc>
        <w:tc>
          <w:tcPr>
            <w:tcW w:w="1331" w:type="dxa"/>
            <w:tcBorders>
              <w:top w:val="single" w:sz="4" w:space="0" w:color="000000"/>
              <w:left w:val="single" w:sz="4" w:space="0" w:color="000000"/>
              <w:bottom w:val="single" w:sz="4" w:space="0" w:color="000000"/>
            </w:tcBorders>
          </w:tcPr>
          <w:p w14:paraId="5E681694" w14:textId="77777777" w:rsidR="00692EA7" w:rsidRPr="00103DD3" w:rsidRDefault="00000000">
            <w:pPr>
              <w:snapToGrid w:val="0"/>
              <w:spacing w:line="360" w:lineRule="auto"/>
              <w:jc w:val="both"/>
            </w:pPr>
            <w:r w:rsidRPr="00103DD3">
              <w:rPr>
                <w:rFonts w:eastAsia="新細明體"/>
                <w:color w:val="0D0D0D"/>
                <w:kern w:val="2"/>
                <w:shd w:val="clear" w:color="auto" w:fill="FFFFFF"/>
              </w:rPr>
              <w:t>15.22</w:t>
            </w:r>
          </w:p>
        </w:tc>
        <w:tc>
          <w:tcPr>
            <w:tcW w:w="1361" w:type="dxa"/>
            <w:tcBorders>
              <w:top w:val="single" w:sz="4" w:space="0" w:color="000000"/>
              <w:left w:val="single" w:sz="4" w:space="0" w:color="000000"/>
              <w:bottom w:val="single" w:sz="4" w:space="0" w:color="000000"/>
            </w:tcBorders>
          </w:tcPr>
          <w:p w14:paraId="5A37035B" w14:textId="77777777" w:rsidR="00692EA7" w:rsidRPr="00103DD3" w:rsidRDefault="00000000">
            <w:pPr>
              <w:snapToGrid w:val="0"/>
              <w:spacing w:line="360" w:lineRule="auto"/>
              <w:jc w:val="both"/>
            </w:pPr>
            <w:r w:rsidRPr="00103DD3">
              <w:rPr>
                <w:rFonts w:eastAsia="新細明體"/>
                <w:color w:val="0D0D0D"/>
                <w:kern w:val="2"/>
                <w:shd w:val="clear" w:color="auto" w:fill="FFFFFF"/>
              </w:rPr>
              <w:t>14.33</w:t>
            </w:r>
          </w:p>
        </w:tc>
        <w:tc>
          <w:tcPr>
            <w:tcW w:w="1601" w:type="dxa"/>
            <w:tcBorders>
              <w:top w:val="single" w:sz="4" w:space="0" w:color="000000"/>
              <w:left w:val="single" w:sz="4" w:space="0" w:color="000000"/>
              <w:bottom w:val="single" w:sz="4" w:space="0" w:color="000000"/>
            </w:tcBorders>
            <w:shd w:val="clear" w:color="auto" w:fill="auto"/>
          </w:tcPr>
          <w:p w14:paraId="0B88A0DD" w14:textId="77777777" w:rsidR="00692EA7" w:rsidRPr="00103DD3" w:rsidRDefault="00000000">
            <w:pPr>
              <w:snapToGrid w:val="0"/>
              <w:spacing w:line="360" w:lineRule="auto"/>
              <w:jc w:val="both"/>
            </w:pPr>
            <w:r w:rsidRPr="00103DD3">
              <w:rPr>
                <w:rFonts w:eastAsia="新細明體"/>
                <w:color w:val="0D0D0D"/>
                <w:kern w:val="2"/>
                <w:shd w:val="clear" w:color="auto" w:fill="FFFFFF"/>
              </w:rPr>
              <w:t>6.07</w:t>
            </w:r>
          </w:p>
        </w:tc>
        <w:tc>
          <w:tcPr>
            <w:tcW w:w="1522" w:type="dxa"/>
            <w:tcBorders>
              <w:top w:val="single" w:sz="4" w:space="0" w:color="000000"/>
              <w:left w:val="single" w:sz="4" w:space="0" w:color="000000"/>
              <w:bottom w:val="single" w:sz="4" w:space="0" w:color="000000"/>
            </w:tcBorders>
            <w:shd w:val="clear" w:color="auto" w:fill="auto"/>
          </w:tcPr>
          <w:p w14:paraId="138FF9DB" w14:textId="77777777" w:rsidR="00692EA7" w:rsidRPr="00103DD3" w:rsidRDefault="00000000">
            <w:pPr>
              <w:snapToGrid w:val="0"/>
              <w:spacing w:line="360" w:lineRule="auto"/>
              <w:jc w:val="both"/>
            </w:pPr>
            <w:r w:rsidRPr="00103DD3">
              <w:rPr>
                <w:rFonts w:eastAsia="新細明體"/>
                <w:color w:val="0D0D0D"/>
                <w:kern w:val="2"/>
                <w:shd w:val="clear" w:color="auto" w:fill="FFFFFF"/>
              </w:rPr>
              <w:t>18.27</w:t>
            </w:r>
          </w:p>
        </w:tc>
        <w:tc>
          <w:tcPr>
            <w:tcW w:w="1615" w:type="dxa"/>
            <w:tcBorders>
              <w:top w:val="single" w:sz="4" w:space="0" w:color="000000"/>
              <w:left w:val="single" w:sz="4" w:space="0" w:color="000000"/>
              <w:bottom w:val="single" w:sz="4" w:space="0" w:color="000000"/>
              <w:right w:val="single" w:sz="4" w:space="0" w:color="000000"/>
            </w:tcBorders>
          </w:tcPr>
          <w:p w14:paraId="1571098C" w14:textId="77777777" w:rsidR="00692EA7" w:rsidRPr="00103DD3" w:rsidRDefault="00000000">
            <w:pPr>
              <w:snapToGrid w:val="0"/>
              <w:spacing w:line="360" w:lineRule="auto"/>
              <w:jc w:val="both"/>
            </w:pPr>
            <w:r w:rsidRPr="00103DD3">
              <w:rPr>
                <w:rFonts w:eastAsia="新細明體"/>
                <w:color w:val="0D0D0D"/>
                <w:kern w:val="2"/>
                <w:shd w:val="clear" w:color="auto" w:fill="FFFFFF"/>
              </w:rPr>
              <w:t>41.73</w:t>
            </w:r>
          </w:p>
        </w:tc>
      </w:tr>
      <w:tr w:rsidR="00692EA7" w:rsidRPr="00103DD3" w14:paraId="7AF22379"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78C8224E" w14:textId="77777777" w:rsidR="00692EA7" w:rsidRPr="00103DD3" w:rsidRDefault="00000000">
            <w:pPr>
              <w:snapToGrid w:val="0"/>
              <w:spacing w:line="360" w:lineRule="auto"/>
              <w:jc w:val="both"/>
              <w:rPr>
                <w:bCs/>
              </w:rPr>
            </w:pPr>
            <w:r w:rsidRPr="00103DD3">
              <w:rPr>
                <w:bCs/>
              </w:rPr>
              <w:t>Maximum</w:t>
            </w:r>
          </w:p>
        </w:tc>
        <w:tc>
          <w:tcPr>
            <w:tcW w:w="1331" w:type="dxa"/>
            <w:tcBorders>
              <w:top w:val="single" w:sz="4" w:space="0" w:color="000000"/>
              <w:left w:val="single" w:sz="4" w:space="0" w:color="000000"/>
              <w:bottom w:val="single" w:sz="4" w:space="0" w:color="000000"/>
              <w:right w:val="single" w:sz="4" w:space="0" w:color="000000"/>
            </w:tcBorders>
          </w:tcPr>
          <w:p w14:paraId="30D8FFC0" w14:textId="77777777" w:rsidR="00692EA7" w:rsidRPr="00103DD3" w:rsidRDefault="00000000">
            <w:pPr>
              <w:snapToGrid w:val="0"/>
              <w:spacing w:line="360" w:lineRule="auto"/>
              <w:jc w:val="both"/>
            </w:pPr>
            <w:r w:rsidRPr="00103DD3">
              <w:rPr>
                <w:bCs/>
              </w:rPr>
              <w:t>20.59</w:t>
            </w:r>
          </w:p>
        </w:tc>
        <w:tc>
          <w:tcPr>
            <w:tcW w:w="1361" w:type="dxa"/>
            <w:tcBorders>
              <w:top w:val="single" w:sz="4" w:space="0" w:color="000000"/>
              <w:left w:val="single" w:sz="4" w:space="0" w:color="000000"/>
              <w:bottom w:val="single" w:sz="4" w:space="0" w:color="000000"/>
              <w:right w:val="single" w:sz="4" w:space="0" w:color="000000"/>
            </w:tcBorders>
            <w:vAlign w:val="center"/>
          </w:tcPr>
          <w:p w14:paraId="0FD83481" w14:textId="77777777" w:rsidR="00692EA7" w:rsidRPr="00103DD3" w:rsidRDefault="00000000">
            <w:pPr>
              <w:spacing w:line="360" w:lineRule="auto"/>
              <w:jc w:val="both"/>
            </w:pPr>
            <w:r w:rsidRPr="00103DD3">
              <w:t>34.14</w:t>
            </w:r>
          </w:p>
        </w:tc>
        <w:tc>
          <w:tcPr>
            <w:tcW w:w="160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46304D6" w14:textId="77777777" w:rsidR="00692EA7" w:rsidRPr="00103DD3" w:rsidRDefault="00000000">
            <w:pPr>
              <w:spacing w:line="360" w:lineRule="auto"/>
              <w:jc w:val="both"/>
            </w:pPr>
            <w:r w:rsidRPr="00103DD3">
              <w:rPr>
                <w:bCs/>
              </w:rPr>
              <w:t>12.64</w:t>
            </w:r>
          </w:p>
        </w:tc>
        <w:tc>
          <w:tcPr>
            <w:tcW w:w="1522"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5BD8CFE" w14:textId="77777777" w:rsidR="00692EA7" w:rsidRPr="00103DD3" w:rsidRDefault="00000000">
            <w:pPr>
              <w:spacing w:line="360" w:lineRule="auto"/>
              <w:jc w:val="both"/>
            </w:pPr>
            <w:r w:rsidRPr="00103DD3">
              <w:t>28.57</w:t>
            </w:r>
          </w:p>
        </w:tc>
        <w:tc>
          <w:tcPr>
            <w:tcW w:w="1615" w:type="dxa"/>
            <w:tcBorders>
              <w:top w:val="single" w:sz="4" w:space="0" w:color="000000"/>
              <w:left w:val="single" w:sz="4" w:space="0" w:color="000000"/>
              <w:bottom w:val="single" w:sz="4" w:space="0" w:color="000000"/>
              <w:right w:val="single" w:sz="4" w:space="0" w:color="000000"/>
            </w:tcBorders>
            <w:vAlign w:val="center"/>
          </w:tcPr>
          <w:p w14:paraId="23D69A82" w14:textId="77777777" w:rsidR="00692EA7" w:rsidRPr="00103DD3" w:rsidRDefault="00000000">
            <w:pPr>
              <w:snapToGrid w:val="0"/>
              <w:spacing w:line="360" w:lineRule="auto"/>
              <w:jc w:val="both"/>
            </w:pPr>
            <w:r w:rsidRPr="00103DD3">
              <w:rPr>
                <w:bCs/>
              </w:rPr>
              <w:t>113.11</w:t>
            </w:r>
          </w:p>
        </w:tc>
      </w:tr>
      <w:tr w:rsidR="00692EA7" w:rsidRPr="00103DD3" w14:paraId="7E2749A3"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3647C647" w14:textId="77777777" w:rsidR="00692EA7" w:rsidRPr="00103DD3" w:rsidRDefault="00000000">
            <w:pPr>
              <w:snapToGrid w:val="0"/>
              <w:spacing w:line="360" w:lineRule="auto"/>
              <w:jc w:val="both"/>
              <w:rPr>
                <w:bCs/>
              </w:rPr>
            </w:pPr>
            <w:r w:rsidRPr="00103DD3">
              <w:rPr>
                <w:bCs/>
              </w:rPr>
              <w:t>Minimum</w:t>
            </w:r>
          </w:p>
        </w:tc>
        <w:tc>
          <w:tcPr>
            <w:tcW w:w="1331" w:type="dxa"/>
            <w:tcBorders>
              <w:top w:val="single" w:sz="4" w:space="0" w:color="000000"/>
              <w:left w:val="single" w:sz="4" w:space="0" w:color="000000"/>
              <w:bottom w:val="single" w:sz="4" w:space="0" w:color="000000"/>
              <w:right w:val="single" w:sz="4" w:space="0" w:color="000000"/>
            </w:tcBorders>
          </w:tcPr>
          <w:p w14:paraId="7A8E6C3A" w14:textId="77777777" w:rsidR="00692EA7" w:rsidRPr="00103DD3" w:rsidRDefault="00000000">
            <w:pPr>
              <w:snapToGrid w:val="0"/>
              <w:spacing w:line="360" w:lineRule="auto"/>
              <w:jc w:val="both"/>
            </w:pPr>
            <w:r w:rsidRPr="00103DD3">
              <w:rPr>
                <w:bCs/>
              </w:rPr>
              <w:t>-32.14</w:t>
            </w:r>
          </w:p>
        </w:tc>
        <w:tc>
          <w:tcPr>
            <w:tcW w:w="1361" w:type="dxa"/>
            <w:tcBorders>
              <w:top w:val="single" w:sz="4" w:space="0" w:color="000000"/>
              <w:left w:val="single" w:sz="4" w:space="0" w:color="000000"/>
              <w:bottom w:val="single" w:sz="4" w:space="0" w:color="000000"/>
              <w:right w:val="single" w:sz="4" w:space="0" w:color="000000"/>
            </w:tcBorders>
            <w:vAlign w:val="center"/>
          </w:tcPr>
          <w:p w14:paraId="44DAF67D" w14:textId="77777777" w:rsidR="00692EA7" w:rsidRPr="00103DD3" w:rsidRDefault="00000000">
            <w:pPr>
              <w:spacing w:line="360" w:lineRule="auto"/>
              <w:jc w:val="both"/>
            </w:pPr>
            <w:r w:rsidRPr="00103DD3">
              <w:t>-45.71</w:t>
            </w:r>
          </w:p>
        </w:tc>
        <w:tc>
          <w:tcPr>
            <w:tcW w:w="160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F2EF859" w14:textId="77777777" w:rsidR="00692EA7" w:rsidRPr="00103DD3" w:rsidRDefault="00000000">
            <w:pPr>
              <w:spacing w:line="360" w:lineRule="auto"/>
              <w:jc w:val="both"/>
            </w:pPr>
            <w:r w:rsidRPr="00103DD3">
              <w:t>-8.42</w:t>
            </w:r>
          </w:p>
        </w:tc>
        <w:tc>
          <w:tcPr>
            <w:tcW w:w="1522"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7FA2720" w14:textId="77777777" w:rsidR="00692EA7" w:rsidRPr="00103DD3" w:rsidRDefault="00000000">
            <w:pPr>
              <w:spacing w:line="360" w:lineRule="auto"/>
              <w:jc w:val="both"/>
            </w:pPr>
            <w:r w:rsidRPr="00103DD3">
              <w:t>-34.75</w:t>
            </w:r>
          </w:p>
        </w:tc>
        <w:tc>
          <w:tcPr>
            <w:tcW w:w="1615" w:type="dxa"/>
            <w:tcBorders>
              <w:top w:val="single" w:sz="4" w:space="0" w:color="000000"/>
              <w:left w:val="single" w:sz="4" w:space="0" w:color="000000"/>
              <w:bottom w:val="single" w:sz="4" w:space="0" w:color="000000"/>
              <w:right w:val="single" w:sz="4" w:space="0" w:color="000000"/>
            </w:tcBorders>
            <w:vAlign w:val="center"/>
          </w:tcPr>
          <w:p w14:paraId="02BBEAB1" w14:textId="77777777" w:rsidR="00692EA7" w:rsidRPr="00103DD3" w:rsidRDefault="00000000">
            <w:pPr>
              <w:spacing w:line="360" w:lineRule="auto"/>
              <w:jc w:val="both"/>
            </w:pPr>
            <w:r w:rsidRPr="00103DD3">
              <w:t>-31.52</w:t>
            </w:r>
          </w:p>
        </w:tc>
      </w:tr>
      <w:tr w:rsidR="00692EA7" w:rsidRPr="00103DD3" w14:paraId="072003E6" w14:textId="77777777">
        <w:trPr>
          <w:trHeight w:val="301"/>
        </w:trPr>
        <w:tc>
          <w:tcPr>
            <w:tcW w:w="9575" w:type="dxa"/>
            <w:gridSpan w:val="6"/>
            <w:tcBorders>
              <w:top w:val="single" w:sz="4" w:space="0" w:color="000000"/>
              <w:left w:val="single" w:sz="4" w:space="0" w:color="000000"/>
              <w:bottom w:val="single" w:sz="4" w:space="0" w:color="000000"/>
              <w:right w:val="single" w:sz="4" w:space="0" w:color="000000"/>
            </w:tcBorders>
          </w:tcPr>
          <w:p w14:paraId="4440DB0B" w14:textId="77777777" w:rsidR="00692EA7" w:rsidRPr="00103DD3" w:rsidRDefault="00000000">
            <w:pPr>
              <w:snapToGrid w:val="0"/>
              <w:spacing w:line="360" w:lineRule="auto"/>
              <w:jc w:val="both"/>
              <w:rPr>
                <w:bCs/>
              </w:rPr>
            </w:pPr>
            <w:r w:rsidRPr="00103DD3">
              <w:rPr>
                <w:bCs/>
              </w:rPr>
              <w:t>Sources: Calculated from the dataset listed in Table 1</w:t>
            </w:r>
          </w:p>
        </w:tc>
      </w:tr>
    </w:tbl>
    <w:p w14:paraId="72424C4B" w14:textId="77777777" w:rsidR="00692EA7" w:rsidRPr="00103DD3" w:rsidRDefault="00692EA7">
      <w:pPr>
        <w:snapToGrid w:val="0"/>
        <w:spacing w:line="360" w:lineRule="auto"/>
        <w:jc w:val="both"/>
        <w:rPr>
          <w:b/>
          <w:bCs/>
        </w:rPr>
      </w:pPr>
      <w:bookmarkStart w:id="19" w:name="_Hlk1560364371"/>
      <w:bookmarkEnd w:id="19"/>
    </w:p>
    <w:p w14:paraId="7475CCDC" w14:textId="159DF628" w:rsidR="00692EA7" w:rsidRPr="00103DD3" w:rsidRDefault="00000000">
      <w:pPr>
        <w:spacing w:after="200" w:line="360" w:lineRule="auto"/>
        <w:jc w:val="both"/>
        <w:rPr>
          <w:bCs/>
        </w:rPr>
      </w:pPr>
      <w:r w:rsidRPr="00103DD3">
        <w:rPr>
          <w:bCs/>
        </w:rPr>
        <w:t xml:space="preserve">Considering the percentage annual difference in CCI, India has the highest standard deviation, indicating that the economy is volatile and characterized by uncertainty. Therefore, by investing in India, company A may be subjected to fluctuating CCI and general demand for its goods and services, which may lead to reduced revenues, particularly when the economy is performing poorly. </w:t>
      </w:r>
      <w:r w:rsidRPr="00103DD3">
        <w:rPr>
          <w:bCs/>
        </w:rPr>
        <w:lastRenderedPageBreak/>
        <w:t>On the other hand, Japan has the lowest standard deviation, indicating that consumer confidence is stable, and hence, when company invests in the country, it may not be subjected to negative fluctuations that could have detrimental impacts on its revenue. However, USA and Malaysia have moderate standard deviation, indicating that investing in those countries may not expose company to significant variation of CCI and having a good risk management strategy is instrumental in making the investment more feasible.</w:t>
      </w:r>
    </w:p>
    <w:p w14:paraId="6640F840" w14:textId="77777777" w:rsidR="00692EA7" w:rsidRPr="00103DD3" w:rsidRDefault="00000000">
      <w:pPr>
        <w:pStyle w:val="2"/>
        <w:spacing w:beforeAutospacing="0" w:after="200" w:afterAutospacing="0" w:line="360" w:lineRule="auto"/>
        <w:rPr>
          <w:sz w:val="28"/>
          <w:szCs w:val="28"/>
        </w:rPr>
      </w:pPr>
      <w:bookmarkStart w:id="20" w:name="__RefHeading___Toc4224_2927161102"/>
      <w:bookmarkStart w:id="21" w:name="_Toc160527045"/>
      <w:bookmarkEnd w:id="20"/>
      <w:r w:rsidRPr="00103DD3">
        <w:rPr>
          <w:sz w:val="28"/>
          <w:szCs w:val="28"/>
        </w:rPr>
        <w:t>3.2 Pattern of the local trend movement</w:t>
      </w:r>
      <w:bookmarkEnd w:id="21"/>
    </w:p>
    <w:p w14:paraId="6580917B" w14:textId="77777777" w:rsidR="00692EA7" w:rsidRPr="00103DD3" w:rsidRDefault="00000000">
      <w:pPr>
        <w:spacing w:line="360" w:lineRule="auto"/>
        <w:jc w:val="both"/>
        <w:rPr>
          <w:shd w:val="clear" w:color="auto" w:fill="FFFFFF"/>
        </w:rPr>
      </w:pPr>
      <w:r w:rsidRPr="00103DD3">
        <w:rPr>
          <w:noProof/>
        </w:rPr>
        <w:drawing>
          <wp:inline distT="0" distB="0" distL="0" distR="0" wp14:anchorId="3E66576A" wp14:editId="77345D30">
            <wp:extent cx="5486400" cy="3200400"/>
            <wp:effectExtent l="0" t="0" r="0" b="0"/>
            <wp:docPr id="3" name="Object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059FA8C" w14:textId="77777777" w:rsidR="00692EA7" w:rsidRPr="00103DD3" w:rsidRDefault="00692EA7">
      <w:pPr>
        <w:spacing w:line="360" w:lineRule="auto"/>
        <w:jc w:val="both"/>
        <w:rPr>
          <w:shd w:val="clear" w:color="auto" w:fill="FFFFFF"/>
        </w:rPr>
      </w:pPr>
    </w:p>
    <w:p w14:paraId="66ED7EAF" w14:textId="24ECD5F2" w:rsidR="00692EA7" w:rsidRPr="00103DD3" w:rsidRDefault="00000000">
      <w:pPr>
        <w:spacing w:after="200" w:line="360" w:lineRule="auto"/>
        <w:jc w:val="both"/>
        <w:rPr>
          <w:shd w:val="clear" w:color="auto" w:fill="FFFFFF"/>
        </w:rPr>
      </w:pPr>
      <w:r w:rsidRPr="00103DD3">
        <w:rPr>
          <w:shd w:val="clear" w:color="auto" w:fill="FFFFFF"/>
        </w:rPr>
        <w:t>Between 2019 and 2021, the Indian economy declined before it started to improve, highlighting a similar trend in CCI, where there was a steady decline between 2019 and 2021 before it began to pick up again. In 2019, the GDP growth rate declined while the unemployment rates increased. In addition, the introduction of goods and services tax and demonetization policies created confusion for businesses and households while the compliance cost was high, indicating that businesses passed the cost to consumers (</w:t>
      </w:r>
      <w:r w:rsidR="00103DD3" w:rsidRPr="00103DD3">
        <w:rPr>
          <w:shd w:val="clear" w:color="auto" w:fill="FFFFFF"/>
        </w:rPr>
        <w:t>Ahmad, 2021</w:t>
      </w:r>
      <w:r w:rsidRPr="00103DD3">
        <w:rPr>
          <w:shd w:val="clear" w:color="auto" w:fill="FFFFFF"/>
        </w:rPr>
        <w:t xml:space="preserve">). As a result, it lowers the level of consumer confidence and sentiments. In 2022, COVID-19 had a detrimental impact on the Indian economy as it disrupted supply chains; there were job losses while businesses lost their avenues, culminating in a low consumer confidence index. However, in 2021, the economy started easing as more people </w:t>
      </w:r>
      <w:r w:rsidRPr="00103DD3">
        <w:rPr>
          <w:shd w:val="clear" w:color="auto" w:fill="FFFFFF"/>
        </w:rPr>
        <w:lastRenderedPageBreak/>
        <w:t>got vaccinated and returned to businesses and work (Goyal,2020). Company may opt to invest in India because the latest statistics indicate that CCI is on the rise, creating a potential future investment destination that the company may exploit to increase sales. However, the risk is that consumer confidence may fluctuate downwards as a result of economic or political upheaval, reducing the demand for the goods and, ultimately, the revenues.</w:t>
      </w:r>
    </w:p>
    <w:p w14:paraId="4021F7C2" w14:textId="77777777" w:rsidR="00692EA7" w:rsidRPr="00103DD3" w:rsidRDefault="00000000">
      <w:pPr>
        <w:spacing w:after="200" w:line="360" w:lineRule="auto"/>
        <w:jc w:val="both"/>
        <w:rPr>
          <w:shd w:val="clear" w:color="auto" w:fill="FFFFFF"/>
        </w:rPr>
      </w:pPr>
      <w:r w:rsidRPr="00103DD3">
        <w:rPr>
          <w:shd w:val="clear" w:color="auto" w:fill="FFFFFF"/>
        </w:rPr>
        <w:t>In 2019, the US economy was experiencing steady growth and low unemployment rates, contributing to positive consumer sentiment. However, the onset of the COVID-19 pandemic in 2020 led to widespread job losses and economic uncertainty, causing a sharp decline in consumer confidence. Towards the end of 2020 and 2021, the government introduced monetary policy measures and stimulus packages to support businesses and individuals during pandemics. The measures and packages included small business loans, enhanced employment benefits, and direct payment that were aimed at facilitating consumer confidence and spending. In addition, with the development of COVID-19 vaccines and as vaccination rates increased, businesses reopened, and the economy started to accelerate, which in turn increased consumer confidence (Hawkes 2020). However, in 2022, economic growth began to decline due to increased cost of living and inflation, which dampened consumer spending, and ultimately, the CCI started to decrease. Given that the CCI has remained above 100, company A may invest in the country and exploit the existing high consumer optimism to increase its sales.</w:t>
      </w:r>
    </w:p>
    <w:p w14:paraId="722AB4CD" w14:textId="412807AA" w:rsidR="00692EA7" w:rsidRPr="00103DD3" w:rsidRDefault="00000000">
      <w:pPr>
        <w:spacing w:after="200" w:line="360" w:lineRule="auto"/>
        <w:jc w:val="both"/>
        <w:rPr>
          <w:shd w:val="clear" w:color="auto" w:fill="FFFFFF"/>
        </w:rPr>
      </w:pPr>
      <w:r w:rsidRPr="00103DD3">
        <w:rPr>
          <w:shd w:val="clear" w:color="auto" w:fill="FFFFFF"/>
        </w:rPr>
        <w:t>In 2021 and 2022, Japan experienced a gradual recovery, albeit with new challenges. When Covid-19 subsided, the restrictions were eased, and people started engaging in economic activities. The country witnessed a gradual economic recovery. In addition, through stimulus packages, the government supported households and businesses, boosting spending. However, wage stagnation and increasing cost of living had an economic impact despite the recovery, highlighting why the CCI did not have significant fluctuations</w:t>
      </w:r>
      <w:r w:rsidR="00103DD3" w:rsidRPr="00103DD3">
        <w:rPr>
          <w:shd w:val="clear" w:color="auto" w:fill="FFFFFF"/>
        </w:rPr>
        <w:t xml:space="preserve">. </w:t>
      </w:r>
      <w:r w:rsidRPr="00103DD3">
        <w:rPr>
          <w:shd w:val="clear" w:color="auto" w:fill="FFFFFF"/>
        </w:rPr>
        <w:t>Company can benefit from its investment in Japan by exploiting the stability of the economy and consumer demands, which is essential in avoiding losses and economic risks when doing business.</w:t>
      </w:r>
    </w:p>
    <w:p w14:paraId="6B6708D1" w14:textId="17E61AA7" w:rsidR="00692EA7" w:rsidRPr="00103DD3" w:rsidRDefault="00000000">
      <w:pPr>
        <w:spacing w:after="200" w:line="360" w:lineRule="auto"/>
        <w:jc w:val="both"/>
        <w:rPr>
          <w:shd w:val="clear" w:color="auto" w:fill="FFFFFF"/>
        </w:rPr>
      </w:pPr>
      <w:r w:rsidRPr="00103DD3">
        <w:rPr>
          <w:shd w:val="clear" w:color="auto" w:fill="FFFFFF"/>
        </w:rPr>
        <w:t xml:space="preserve">In 2019, Malaysia experienced economic challenges, particularly fiscal deficit and slower growth, negatively impacting consumer confidence. This was further accelerated by the COVID-19 pandemic, where lockdown and restriction of movement of people and goods led to job losses and an economic crisis. However, in the late 2020, the economy started to improve due to the easing of </w:t>
      </w:r>
      <w:r w:rsidRPr="00103DD3">
        <w:rPr>
          <w:shd w:val="clear" w:color="auto" w:fill="FFFFFF"/>
        </w:rPr>
        <w:lastRenderedPageBreak/>
        <w:t>COVID-19 restrictions, the government stimulus package to support households and businesses, and rising prices of commodities such as Rubber and palm oil that it exports, thus raising consumer confidence. However, other factors that hinder economic growth, such as the rising cost of living and political uncertainty, may slow down the effort to improve consumer confidence, highlighting gradual CCI growth as shown in the database (Lim et al. 2021). When company opts to invest in Malaysia, it may benefit from stable economic expansion and increasing consumer confidence. Still, given that it is susceptible to fluctuation in CCI and other economic risks, it may be forced to develop and implement an effective risk management strategy to address any shock in the market.</w:t>
      </w:r>
    </w:p>
    <w:p w14:paraId="6ACA2CF0" w14:textId="66989503" w:rsidR="00692EA7" w:rsidRPr="00103DD3" w:rsidRDefault="00000000">
      <w:pPr>
        <w:spacing w:after="200" w:line="360" w:lineRule="auto"/>
        <w:jc w:val="both"/>
        <w:rPr>
          <w:shd w:val="clear" w:color="auto" w:fill="FFFFFF"/>
        </w:rPr>
      </w:pPr>
      <w:r w:rsidRPr="00103DD3">
        <w:rPr>
          <w:shd w:val="clear" w:color="auto" w:fill="FFFFFF"/>
        </w:rPr>
        <w:t xml:space="preserve">Regarding Hong Kong, in 2019 and 2020, the country experienced a downward trend in consumer confidence due to prolonged political </w:t>
      </w:r>
      <w:proofErr w:type="gramStart"/>
      <w:r w:rsidRPr="00103DD3">
        <w:rPr>
          <w:shd w:val="clear" w:color="auto" w:fill="FFFFFF"/>
        </w:rPr>
        <w:t>protests against</w:t>
      </w:r>
      <w:proofErr w:type="gramEnd"/>
      <w:r w:rsidRPr="00103DD3">
        <w:rPr>
          <w:shd w:val="clear" w:color="auto" w:fill="FFFFFF"/>
        </w:rPr>
        <w:t xml:space="preserve"> the extradition rule, which hindered business activities and transportation, hurting the economy and eventually reducing CCI. This fact is further exacerbated by the onset of the COVID-19 pandemic, which led to lockdowns that negatively affected the economy and lowered consumer sentiments. However, in late 2020, government stimulus packages such as cash handouts and subsidies in response to pandemic-induced economic meltdown spurred economic growth and increased consumer confidence. In addition, easing COVID-19 restrictions led to the economy bouncing back as businesses opened, leading to a rise in consumer confidence levels</w:t>
      </w:r>
      <w:r w:rsidR="00103DD3" w:rsidRPr="00103DD3">
        <w:rPr>
          <w:shd w:val="clear" w:color="auto" w:fill="FFFFFF"/>
        </w:rPr>
        <w:t>.</w:t>
      </w:r>
    </w:p>
    <w:p w14:paraId="692AEC7F" w14:textId="77777777" w:rsidR="00692EA7" w:rsidRPr="00103DD3" w:rsidRDefault="00692EA7">
      <w:pPr>
        <w:snapToGrid w:val="0"/>
        <w:spacing w:after="200" w:line="360" w:lineRule="auto"/>
        <w:jc w:val="both"/>
        <w:rPr>
          <w:bCs/>
        </w:rPr>
      </w:pPr>
    </w:p>
    <w:p w14:paraId="2EBFA0F9" w14:textId="77777777" w:rsidR="00692EA7" w:rsidRPr="00103DD3" w:rsidRDefault="00000000">
      <w:pPr>
        <w:snapToGrid w:val="0"/>
        <w:spacing w:after="200" w:line="360" w:lineRule="auto"/>
        <w:jc w:val="both"/>
        <w:rPr>
          <w:bCs/>
        </w:rPr>
      </w:pPr>
      <w:r w:rsidRPr="00103DD3">
        <w:rPr>
          <w:bCs/>
        </w:rPr>
        <w:t>Table 4 Major summary statistics of CCI in selected countries: 2019 to 2022</w:t>
      </w:r>
    </w:p>
    <w:tbl>
      <w:tblPr>
        <w:tblW w:w="9581" w:type="dxa"/>
        <w:tblLayout w:type="fixed"/>
        <w:tblLook w:val="04A0" w:firstRow="1" w:lastRow="0" w:firstColumn="1" w:lastColumn="0" w:noHBand="0" w:noVBand="1"/>
      </w:tblPr>
      <w:tblGrid>
        <w:gridCol w:w="2146"/>
        <w:gridCol w:w="1323"/>
        <w:gridCol w:w="1356"/>
        <w:gridCol w:w="1602"/>
        <w:gridCol w:w="1530"/>
        <w:gridCol w:w="1624"/>
      </w:tblGrid>
      <w:tr w:rsidR="00692EA7" w:rsidRPr="00103DD3" w14:paraId="12DB4DD7"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088F4C53" w14:textId="77777777" w:rsidR="00692EA7" w:rsidRPr="00103DD3" w:rsidRDefault="00000000">
            <w:pPr>
              <w:snapToGrid w:val="0"/>
              <w:spacing w:line="360" w:lineRule="auto"/>
              <w:jc w:val="both"/>
              <w:rPr>
                <w:bCs/>
              </w:rPr>
            </w:pPr>
            <w:r w:rsidRPr="00103DD3">
              <w:rPr>
                <w:bCs/>
              </w:rPr>
              <w:t>Summary statistics</w:t>
            </w:r>
          </w:p>
        </w:tc>
        <w:tc>
          <w:tcPr>
            <w:tcW w:w="1323" w:type="dxa"/>
            <w:tcBorders>
              <w:top w:val="single" w:sz="4" w:space="0" w:color="000000"/>
              <w:left w:val="single" w:sz="4" w:space="0" w:color="000000"/>
              <w:bottom w:val="single" w:sz="4" w:space="0" w:color="000000"/>
              <w:right w:val="single" w:sz="4" w:space="0" w:color="000000"/>
            </w:tcBorders>
          </w:tcPr>
          <w:p w14:paraId="7C6FB3C9" w14:textId="77777777" w:rsidR="00692EA7" w:rsidRPr="00103DD3" w:rsidRDefault="00000000">
            <w:pPr>
              <w:snapToGrid w:val="0"/>
              <w:spacing w:line="360" w:lineRule="auto"/>
              <w:jc w:val="both"/>
              <w:rPr>
                <w:bCs/>
              </w:rPr>
            </w:pPr>
            <w:r w:rsidRPr="00103DD3">
              <w:rPr>
                <w:bCs/>
              </w:rPr>
              <w:t>Hong Kong</w:t>
            </w:r>
          </w:p>
        </w:tc>
        <w:tc>
          <w:tcPr>
            <w:tcW w:w="1356" w:type="dxa"/>
            <w:tcBorders>
              <w:top w:val="single" w:sz="4" w:space="0" w:color="000000"/>
              <w:left w:val="single" w:sz="4" w:space="0" w:color="000000"/>
              <w:bottom w:val="single" w:sz="4" w:space="0" w:color="000000"/>
              <w:right w:val="single" w:sz="4" w:space="0" w:color="000000"/>
            </w:tcBorders>
          </w:tcPr>
          <w:p w14:paraId="64512997" w14:textId="77777777" w:rsidR="00692EA7" w:rsidRPr="00103DD3" w:rsidRDefault="00000000">
            <w:pPr>
              <w:snapToGrid w:val="0"/>
              <w:spacing w:line="360" w:lineRule="auto"/>
              <w:jc w:val="both"/>
              <w:rPr>
                <w:bCs/>
              </w:rPr>
            </w:pPr>
            <w:r w:rsidRPr="00103DD3">
              <w:rPr>
                <w:bCs/>
              </w:rPr>
              <w:t>USA</w:t>
            </w:r>
          </w:p>
        </w:tc>
        <w:tc>
          <w:tcPr>
            <w:tcW w:w="1602" w:type="dxa"/>
            <w:tcBorders>
              <w:top w:val="single" w:sz="4" w:space="0" w:color="000000"/>
              <w:left w:val="single" w:sz="4" w:space="0" w:color="000000"/>
              <w:bottom w:val="single" w:sz="4" w:space="0" w:color="000000"/>
              <w:right w:val="single" w:sz="4" w:space="0" w:color="000000"/>
            </w:tcBorders>
            <w:shd w:val="clear" w:color="auto" w:fill="auto"/>
          </w:tcPr>
          <w:p w14:paraId="18B58490" w14:textId="77777777" w:rsidR="00692EA7" w:rsidRPr="00103DD3" w:rsidRDefault="00000000">
            <w:pPr>
              <w:snapToGrid w:val="0"/>
              <w:spacing w:line="360" w:lineRule="auto"/>
              <w:jc w:val="both"/>
              <w:rPr>
                <w:bCs/>
              </w:rPr>
            </w:pPr>
            <w:r w:rsidRPr="00103DD3">
              <w:rPr>
                <w:bCs/>
              </w:rPr>
              <w:t>JAPAN</w:t>
            </w:r>
          </w:p>
        </w:tc>
        <w:tc>
          <w:tcPr>
            <w:tcW w:w="1530" w:type="dxa"/>
            <w:tcBorders>
              <w:top w:val="single" w:sz="4" w:space="0" w:color="000000"/>
              <w:left w:val="single" w:sz="4" w:space="0" w:color="000000"/>
              <w:bottom w:val="single" w:sz="4" w:space="0" w:color="000000"/>
              <w:right w:val="single" w:sz="4" w:space="0" w:color="000000"/>
            </w:tcBorders>
            <w:shd w:val="clear" w:color="auto" w:fill="auto"/>
          </w:tcPr>
          <w:p w14:paraId="06AB41B6" w14:textId="77777777" w:rsidR="00692EA7" w:rsidRPr="00103DD3" w:rsidRDefault="00000000">
            <w:pPr>
              <w:snapToGrid w:val="0"/>
              <w:spacing w:line="360" w:lineRule="auto"/>
              <w:jc w:val="both"/>
              <w:rPr>
                <w:bCs/>
              </w:rPr>
            </w:pPr>
            <w:r w:rsidRPr="00103DD3">
              <w:rPr>
                <w:bCs/>
              </w:rPr>
              <w:t>Malaysia</w:t>
            </w:r>
          </w:p>
        </w:tc>
        <w:tc>
          <w:tcPr>
            <w:tcW w:w="1624" w:type="dxa"/>
            <w:tcBorders>
              <w:top w:val="single" w:sz="4" w:space="0" w:color="000000"/>
              <w:left w:val="single" w:sz="4" w:space="0" w:color="000000"/>
              <w:bottom w:val="single" w:sz="4" w:space="0" w:color="000000"/>
              <w:right w:val="single" w:sz="4" w:space="0" w:color="000000"/>
            </w:tcBorders>
          </w:tcPr>
          <w:p w14:paraId="73049BD6" w14:textId="77777777" w:rsidR="00692EA7" w:rsidRPr="00103DD3" w:rsidRDefault="00000000">
            <w:pPr>
              <w:snapToGrid w:val="0"/>
              <w:spacing w:line="360" w:lineRule="auto"/>
              <w:jc w:val="both"/>
              <w:rPr>
                <w:bCs/>
              </w:rPr>
            </w:pPr>
            <w:r w:rsidRPr="00103DD3">
              <w:rPr>
                <w:bCs/>
              </w:rPr>
              <w:t>India</w:t>
            </w:r>
          </w:p>
        </w:tc>
      </w:tr>
      <w:tr w:rsidR="00692EA7" w:rsidRPr="00103DD3" w14:paraId="03C67DDC"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0245F691" w14:textId="77777777" w:rsidR="00692EA7" w:rsidRPr="00103DD3" w:rsidRDefault="00000000">
            <w:pPr>
              <w:snapToGrid w:val="0"/>
              <w:spacing w:line="360" w:lineRule="auto"/>
              <w:jc w:val="both"/>
              <w:rPr>
                <w:bCs/>
              </w:rPr>
            </w:pPr>
            <w:r w:rsidRPr="00103DD3">
              <w:rPr>
                <w:bCs/>
              </w:rPr>
              <w:t>Mean</w:t>
            </w:r>
          </w:p>
        </w:tc>
        <w:tc>
          <w:tcPr>
            <w:tcW w:w="1323" w:type="dxa"/>
            <w:tcBorders>
              <w:top w:val="single" w:sz="4" w:space="0" w:color="000000"/>
              <w:left w:val="single" w:sz="4" w:space="0" w:color="000000"/>
              <w:bottom w:val="single" w:sz="4" w:space="0" w:color="000000"/>
              <w:right w:val="single" w:sz="4" w:space="0" w:color="000000"/>
            </w:tcBorders>
          </w:tcPr>
          <w:p w14:paraId="5110DAC3" w14:textId="77777777" w:rsidR="00692EA7" w:rsidRPr="00103DD3" w:rsidRDefault="00000000">
            <w:pPr>
              <w:spacing w:line="360" w:lineRule="auto"/>
              <w:jc w:val="both"/>
            </w:pPr>
            <w:r w:rsidRPr="00103DD3">
              <w:t>65</w:t>
            </w:r>
          </w:p>
        </w:tc>
        <w:tc>
          <w:tcPr>
            <w:tcW w:w="1356" w:type="dxa"/>
            <w:tcBorders>
              <w:top w:val="single" w:sz="4" w:space="0" w:color="000000"/>
              <w:left w:val="single" w:sz="4" w:space="0" w:color="000000"/>
              <w:bottom w:val="single" w:sz="4" w:space="0" w:color="000000"/>
              <w:right w:val="single" w:sz="4" w:space="0" w:color="000000"/>
            </w:tcBorders>
            <w:vAlign w:val="center"/>
          </w:tcPr>
          <w:p w14:paraId="0EA54CA0" w14:textId="77777777" w:rsidR="00692EA7" w:rsidRPr="00103DD3" w:rsidRDefault="00000000">
            <w:pPr>
              <w:spacing w:line="360" w:lineRule="auto"/>
              <w:jc w:val="both"/>
            </w:pPr>
            <w:r w:rsidRPr="00103DD3">
              <w:t>111.5</w:t>
            </w:r>
          </w:p>
        </w:tc>
        <w:tc>
          <w:tcPr>
            <w:tcW w:w="1602"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679622D" w14:textId="77777777" w:rsidR="00692EA7" w:rsidRPr="00103DD3" w:rsidRDefault="00000000">
            <w:pPr>
              <w:spacing w:line="360" w:lineRule="auto"/>
              <w:jc w:val="both"/>
            </w:pPr>
            <w:r w:rsidRPr="00103DD3">
              <w:t>98</w:t>
            </w:r>
          </w:p>
        </w:tc>
        <w:tc>
          <w:tcPr>
            <w:tcW w:w="153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9B84033" w14:textId="77777777" w:rsidR="00692EA7" w:rsidRPr="00103DD3" w:rsidRDefault="00000000">
            <w:pPr>
              <w:spacing w:line="360" w:lineRule="auto"/>
              <w:jc w:val="both"/>
            </w:pPr>
            <w:r w:rsidRPr="00103DD3">
              <w:t>94.75</w:t>
            </w:r>
          </w:p>
        </w:tc>
        <w:tc>
          <w:tcPr>
            <w:tcW w:w="1624" w:type="dxa"/>
            <w:tcBorders>
              <w:top w:val="single" w:sz="4" w:space="0" w:color="000000"/>
              <w:left w:val="single" w:sz="4" w:space="0" w:color="000000"/>
              <w:bottom w:val="single" w:sz="4" w:space="0" w:color="000000"/>
              <w:right w:val="single" w:sz="4" w:space="0" w:color="000000"/>
            </w:tcBorders>
            <w:vAlign w:val="center"/>
          </w:tcPr>
          <w:p w14:paraId="1C83B514" w14:textId="77777777" w:rsidR="00692EA7" w:rsidRPr="00103DD3" w:rsidRDefault="00000000">
            <w:pPr>
              <w:spacing w:line="360" w:lineRule="auto"/>
              <w:jc w:val="both"/>
            </w:pPr>
            <w:r w:rsidRPr="00103DD3">
              <w:t>72.4125</w:t>
            </w:r>
          </w:p>
        </w:tc>
      </w:tr>
      <w:tr w:rsidR="00692EA7" w:rsidRPr="00103DD3" w14:paraId="25C05265"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70D7203C" w14:textId="77777777" w:rsidR="00692EA7" w:rsidRPr="00103DD3" w:rsidRDefault="00000000">
            <w:pPr>
              <w:snapToGrid w:val="0"/>
              <w:spacing w:line="360" w:lineRule="auto"/>
              <w:jc w:val="both"/>
              <w:rPr>
                <w:bCs/>
              </w:rPr>
            </w:pPr>
            <w:r w:rsidRPr="00103DD3">
              <w:rPr>
                <w:bCs/>
              </w:rPr>
              <w:t>Standard deviation</w:t>
            </w:r>
          </w:p>
        </w:tc>
        <w:tc>
          <w:tcPr>
            <w:tcW w:w="1323" w:type="dxa"/>
            <w:tcBorders>
              <w:top w:val="single" w:sz="4" w:space="0" w:color="000000"/>
              <w:left w:val="single" w:sz="4" w:space="0" w:color="000000"/>
              <w:bottom w:val="single" w:sz="4" w:space="0" w:color="000000"/>
            </w:tcBorders>
          </w:tcPr>
          <w:p w14:paraId="07FC8A4C" w14:textId="77777777" w:rsidR="00692EA7" w:rsidRPr="00103DD3" w:rsidRDefault="00000000">
            <w:pPr>
              <w:snapToGrid w:val="0"/>
              <w:spacing w:line="360" w:lineRule="auto"/>
              <w:jc w:val="both"/>
            </w:pPr>
            <w:r w:rsidRPr="00103DD3">
              <w:rPr>
                <w:rFonts w:eastAsia="新細明體"/>
                <w:color w:val="0D0D0D"/>
                <w:kern w:val="2"/>
                <w:shd w:val="clear" w:color="auto" w:fill="FFFFFF"/>
              </w:rPr>
              <w:t>2.89</w:t>
            </w:r>
          </w:p>
        </w:tc>
        <w:tc>
          <w:tcPr>
            <w:tcW w:w="1356" w:type="dxa"/>
            <w:tcBorders>
              <w:top w:val="single" w:sz="4" w:space="0" w:color="000000"/>
              <w:left w:val="single" w:sz="4" w:space="0" w:color="000000"/>
              <w:bottom w:val="single" w:sz="4" w:space="0" w:color="000000"/>
            </w:tcBorders>
          </w:tcPr>
          <w:p w14:paraId="7E5239AE" w14:textId="77777777" w:rsidR="00692EA7" w:rsidRPr="00103DD3" w:rsidRDefault="00000000">
            <w:pPr>
              <w:snapToGrid w:val="0"/>
              <w:spacing w:line="360" w:lineRule="auto"/>
              <w:jc w:val="both"/>
            </w:pPr>
            <w:r w:rsidRPr="00103DD3">
              <w:rPr>
                <w:rFonts w:eastAsia="新細明體"/>
                <w:kern w:val="2"/>
                <w:shd w:val="clear" w:color="auto" w:fill="FFFFFF"/>
              </w:rPr>
              <w:t>7.78</w:t>
            </w:r>
          </w:p>
        </w:tc>
        <w:tc>
          <w:tcPr>
            <w:tcW w:w="1602" w:type="dxa"/>
            <w:tcBorders>
              <w:top w:val="single" w:sz="4" w:space="0" w:color="000000"/>
              <w:left w:val="single" w:sz="4" w:space="0" w:color="000000"/>
              <w:bottom w:val="single" w:sz="4" w:space="0" w:color="000000"/>
            </w:tcBorders>
            <w:shd w:val="clear" w:color="auto" w:fill="auto"/>
          </w:tcPr>
          <w:p w14:paraId="337BD1A1" w14:textId="77777777" w:rsidR="00692EA7" w:rsidRPr="00103DD3" w:rsidRDefault="00000000">
            <w:pPr>
              <w:snapToGrid w:val="0"/>
              <w:spacing w:line="360" w:lineRule="auto"/>
              <w:jc w:val="both"/>
            </w:pPr>
            <w:r w:rsidRPr="00103DD3">
              <w:rPr>
                <w:rFonts w:eastAsia="新細明體"/>
                <w:color w:val="0D0D0D"/>
                <w:kern w:val="2"/>
                <w:shd w:val="clear" w:color="auto" w:fill="FFFFFF"/>
              </w:rPr>
              <w:t>0.577</w:t>
            </w:r>
          </w:p>
        </w:tc>
        <w:tc>
          <w:tcPr>
            <w:tcW w:w="1530" w:type="dxa"/>
            <w:tcBorders>
              <w:top w:val="single" w:sz="4" w:space="0" w:color="000000"/>
              <w:left w:val="single" w:sz="4" w:space="0" w:color="000000"/>
              <w:bottom w:val="single" w:sz="4" w:space="0" w:color="000000"/>
            </w:tcBorders>
            <w:shd w:val="clear" w:color="auto" w:fill="auto"/>
          </w:tcPr>
          <w:p w14:paraId="3025EC6C" w14:textId="77777777" w:rsidR="00692EA7" w:rsidRPr="00103DD3" w:rsidRDefault="00000000">
            <w:pPr>
              <w:snapToGrid w:val="0"/>
              <w:spacing w:line="360" w:lineRule="auto"/>
              <w:jc w:val="both"/>
            </w:pPr>
            <w:r w:rsidRPr="00103DD3">
              <w:rPr>
                <w:rFonts w:eastAsia="新細明體"/>
                <w:color w:val="0D0D0D"/>
                <w:kern w:val="2"/>
                <w:shd w:val="clear" w:color="auto" w:fill="FFFFFF"/>
              </w:rPr>
              <w:t>8.66</w:t>
            </w:r>
          </w:p>
        </w:tc>
        <w:tc>
          <w:tcPr>
            <w:tcW w:w="1624" w:type="dxa"/>
            <w:tcBorders>
              <w:top w:val="single" w:sz="4" w:space="0" w:color="000000"/>
              <w:left w:val="single" w:sz="4" w:space="0" w:color="000000"/>
              <w:bottom w:val="single" w:sz="4" w:space="0" w:color="000000"/>
              <w:right w:val="single" w:sz="4" w:space="0" w:color="000000"/>
            </w:tcBorders>
          </w:tcPr>
          <w:p w14:paraId="39EBCA65" w14:textId="77777777" w:rsidR="00692EA7" w:rsidRPr="00103DD3" w:rsidRDefault="00000000">
            <w:pPr>
              <w:snapToGrid w:val="0"/>
              <w:spacing w:line="360" w:lineRule="auto"/>
              <w:jc w:val="both"/>
            </w:pPr>
            <w:r w:rsidRPr="00103DD3">
              <w:rPr>
                <w:rFonts w:eastAsia="新細明體"/>
                <w:color w:val="0D0D0D"/>
                <w:kern w:val="2"/>
                <w:shd w:val="clear" w:color="auto" w:fill="FFFFFF"/>
              </w:rPr>
              <w:t>10.49</w:t>
            </w:r>
          </w:p>
        </w:tc>
      </w:tr>
      <w:tr w:rsidR="00692EA7" w:rsidRPr="00103DD3" w14:paraId="5BF87905"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5E25AE07" w14:textId="77777777" w:rsidR="00692EA7" w:rsidRPr="00103DD3" w:rsidRDefault="00000000">
            <w:pPr>
              <w:snapToGrid w:val="0"/>
              <w:spacing w:line="360" w:lineRule="auto"/>
              <w:jc w:val="both"/>
              <w:rPr>
                <w:bCs/>
              </w:rPr>
            </w:pPr>
            <w:r w:rsidRPr="00103DD3">
              <w:rPr>
                <w:bCs/>
              </w:rPr>
              <w:t>Maximum</w:t>
            </w:r>
          </w:p>
        </w:tc>
        <w:tc>
          <w:tcPr>
            <w:tcW w:w="1323" w:type="dxa"/>
            <w:tcBorders>
              <w:top w:val="single" w:sz="4" w:space="0" w:color="000000"/>
              <w:left w:val="single" w:sz="4" w:space="0" w:color="000000"/>
              <w:bottom w:val="single" w:sz="4" w:space="0" w:color="000000"/>
              <w:right w:val="single" w:sz="4" w:space="0" w:color="000000"/>
            </w:tcBorders>
          </w:tcPr>
          <w:p w14:paraId="66922B5E" w14:textId="77777777" w:rsidR="00692EA7" w:rsidRPr="00103DD3" w:rsidRDefault="00000000">
            <w:pPr>
              <w:spacing w:line="360" w:lineRule="auto"/>
              <w:jc w:val="both"/>
              <w:rPr>
                <w:bCs/>
              </w:rPr>
            </w:pPr>
            <w:r w:rsidRPr="00103DD3">
              <w:t>70</w:t>
            </w:r>
          </w:p>
        </w:tc>
        <w:tc>
          <w:tcPr>
            <w:tcW w:w="1356" w:type="dxa"/>
            <w:tcBorders>
              <w:top w:val="single" w:sz="4" w:space="0" w:color="000000"/>
              <w:left w:val="single" w:sz="4" w:space="0" w:color="000000"/>
              <w:bottom w:val="single" w:sz="4" w:space="0" w:color="000000"/>
              <w:right w:val="single" w:sz="4" w:space="0" w:color="000000"/>
            </w:tcBorders>
            <w:vAlign w:val="center"/>
          </w:tcPr>
          <w:p w14:paraId="10969369" w14:textId="77777777" w:rsidR="00692EA7" w:rsidRPr="00103DD3" w:rsidRDefault="00000000">
            <w:pPr>
              <w:snapToGrid w:val="0"/>
              <w:spacing w:line="360" w:lineRule="auto"/>
              <w:jc w:val="both"/>
              <w:rPr>
                <w:bCs/>
              </w:rPr>
            </w:pPr>
            <w:r w:rsidRPr="00103DD3">
              <w:rPr>
                <w:bCs/>
              </w:rPr>
              <w:t>128</w:t>
            </w:r>
          </w:p>
        </w:tc>
        <w:tc>
          <w:tcPr>
            <w:tcW w:w="1602"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BA1E9F3" w14:textId="77777777" w:rsidR="00692EA7" w:rsidRPr="00103DD3" w:rsidRDefault="00000000">
            <w:pPr>
              <w:snapToGrid w:val="0"/>
              <w:spacing w:line="360" w:lineRule="auto"/>
              <w:jc w:val="both"/>
              <w:rPr>
                <w:bCs/>
              </w:rPr>
            </w:pPr>
            <w:r w:rsidRPr="00103DD3">
              <w:rPr>
                <w:bCs/>
              </w:rPr>
              <w:t>99</w:t>
            </w:r>
          </w:p>
        </w:tc>
        <w:tc>
          <w:tcPr>
            <w:tcW w:w="153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D990212" w14:textId="77777777" w:rsidR="00692EA7" w:rsidRPr="00103DD3" w:rsidRDefault="00000000">
            <w:pPr>
              <w:snapToGrid w:val="0"/>
              <w:spacing w:line="360" w:lineRule="auto"/>
              <w:jc w:val="both"/>
              <w:rPr>
                <w:bCs/>
              </w:rPr>
            </w:pPr>
            <w:r w:rsidRPr="00103DD3">
              <w:rPr>
                <w:bCs/>
              </w:rPr>
              <w:t>109</w:t>
            </w:r>
          </w:p>
        </w:tc>
        <w:tc>
          <w:tcPr>
            <w:tcW w:w="1624" w:type="dxa"/>
            <w:tcBorders>
              <w:top w:val="single" w:sz="4" w:space="0" w:color="000000"/>
              <w:left w:val="single" w:sz="4" w:space="0" w:color="000000"/>
              <w:bottom w:val="single" w:sz="4" w:space="0" w:color="000000"/>
              <w:right w:val="single" w:sz="4" w:space="0" w:color="000000"/>
            </w:tcBorders>
            <w:vAlign w:val="center"/>
          </w:tcPr>
          <w:p w14:paraId="41F12A81" w14:textId="77777777" w:rsidR="00692EA7" w:rsidRPr="00103DD3" w:rsidRDefault="00000000">
            <w:pPr>
              <w:snapToGrid w:val="0"/>
              <w:spacing w:line="360" w:lineRule="auto"/>
              <w:jc w:val="both"/>
              <w:rPr>
                <w:bCs/>
              </w:rPr>
            </w:pPr>
            <w:r w:rsidRPr="00103DD3">
              <w:rPr>
                <w:bCs/>
              </w:rPr>
              <w:t>92</w:t>
            </w:r>
          </w:p>
        </w:tc>
      </w:tr>
      <w:tr w:rsidR="00692EA7" w:rsidRPr="00103DD3" w14:paraId="2671C66B"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66478CB5" w14:textId="77777777" w:rsidR="00692EA7" w:rsidRPr="00103DD3" w:rsidRDefault="00000000">
            <w:pPr>
              <w:snapToGrid w:val="0"/>
              <w:spacing w:line="360" w:lineRule="auto"/>
              <w:jc w:val="both"/>
              <w:rPr>
                <w:bCs/>
              </w:rPr>
            </w:pPr>
            <w:r w:rsidRPr="00103DD3">
              <w:rPr>
                <w:bCs/>
              </w:rPr>
              <w:t>Minimum</w:t>
            </w:r>
          </w:p>
        </w:tc>
        <w:tc>
          <w:tcPr>
            <w:tcW w:w="1323" w:type="dxa"/>
            <w:tcBorders>
              <w:top w:val="single" w:sz="4" w:space="0" w:color="000000"/>
              <w:left w:val="single" w:sz="4" w:space="0" w:color="000000"/>
              <w:bottom w:val="single" w:sz="4" w:space="0" w:color="000000"/>
              <w:right w:val="single" w:sz="4" w:space="0" w:color="000000"/>
            </w:tcBorders>
          </w:tcPr>
          <w:p w14:paraId="61EDD810" w14:textId="77777777" w:rsidR="00692EA7" w:rsidRPr="00103DD3" w:rsidRDefault="00000000">
            <w:pPr>
              <w:snapToGrid w:val="0"/>
              <w:spacing w:line="360" w:lineRule="auto"/>
              <w:jc w:val="both"/>
              <w:rPr>
                <w:bCs/>
              </w:rPr>
            </w:pPr>
            <w:r w:rsidRPr="00103DD3">
              <w:rPr>
                <w:bCs/>
              </w:rPr>
              <w:t>60</w:t>
            </w:r>
          </w:p>
        </w:tc>
        <w:tc>
          <w:tcPr>
            <w:tcW w:w="1356" w:type="dxa"/>
            <w:tcBorders>
              <w:top w:val="single" w:sz="4" w:space="0" w:color="000000"/>
              <w:left w:val="single" w:sz="4" w:space="0" w:color="000000"/>
              <w:bottom w:val="single" w:sz="4" w:space="0" w:color="000000"/>
              <w:right w:val="single" w:sz="4" w:space="0" w:color="000000"/>
            </w:tcBorders>
            <w:vAlign w:val="center"/>
          </w:tcPr>
          <w:p w14:paraId="7C86D59F" w14:textId="77777777" w:rsidR="00692EA7" w:rsidRPr="00103DD3" w:rsidRDefault="00000000">
            <w:pPr>
              <w:snapToGrid w:val="0"/>
              <w:spacing w:line="360" w:lineRule="auto"/>
              <w:jc w:val="both"/>
              <w:rPr>
                <w:bCs/>
              </w:rPr>
            </w:pPr>
            <w:r w:rsidRPr="00103DD3">
              <w:rPr>
                <w:bCs/>
              </w:rPr>
              <w:t>101</w:t>
            </w:r>
          </w:p>
        </w:tc>
        <w:tc>
          <w:tcPr>
            <w:tcW w:w="1602"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BBE1F9C" w14:textId="77777777" w:rsidR="00692EA7" w:rsidRPr="00103DD3" w:rsidRDefault="00000000">
            <w:pPr>
              <w:snapToGrid w:val="0"/>
              <w:spacing w:line="360" w:lineRule="auto"/>
              <w:jc w:val="both"/>
              <w:rPr>
                <w:bCs/>
              </w:rPr>
            </w:pPr>
            <w:r w:rsidRPr="00103DD3">
              <w:rPr>
                <w:bCs/>
              </w:rPr>
              <w:t>97</w:t>
            </w:r>
          </w:p>
        </w:tc>
        <w:tc>
          <w:tcPr>
            <w:tcW w:w="153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7CF7E69" w14:textId="77777777" w:rsidR="00692EA7" w:rsidRPr="00103DD3" w:rsidRDefault="00000000">
            <w:pPr>
              <w:snapToGrid w:val="0"/>
              <w:spacing w:line="360" w:lineRule="auto"/>
              <w:jc w:val="both"/>
              <w:rPr>
                <w:bCs/>
              </w:rPr>
            </w:pPr>
            <w:r w:rsidRPr="00103DD3">
              <w:rPr>
                <w:bCs/>
              </w:rPr>
              <w:t>79</w:t>
            </w:r>
          </w:p>
        </w:tc>
        <w:tc>
          <w:tcPr>
            <w:tcW w:w="1624" w:type="dxa"/>
            <w:tcBorders>
              <w:top w:val="single" w:sz="4" w:space="0" w:color="000000"/>
              <w:left w:val="single" w:sz="4" w:space="0" w:color="000000"/>
              <w:bottom w:val="single" w:sz="4" w:space="0" w:color="000000"/>
              <w:right w:val="single" w:sz="4" w:space="0" w:color="000000"/>
            </w:tcBorders>
            <w:vAlign w:val="center"/>
          </w:tcPr>
          <w:p w14:paraId="5E315AB5" w14:textId="77777777" w:rsidR="00692EA7" w:rsidRPr="00103DD3" w:rsidRDefault="00000000">
            <w:pPr>
              <w:snapToGrid w:val="0"/>
              <w:spacing w:line="360" w:lineRule="auto"/>
              <w:jc w:val="both"/>
              <w:rPr>
                <w:bCs/>
              </w:rPr>
            </w:pPr>
            <w:r w:rsidRPr="00103DD3">
              <w:rPr>
                <w:bCs/>
              </w:rPr>
              <w:t>55.65</w:t>
            </w:r>
          </w:p>
        </w:tc>
      </w:tr>
      <w:tr w:rsidR="00692EA7" w:rsidRPr="00103DD3" w14:paraId="25A39414" w14:textId="77777777">
        <w:trPr>
          <w:trHeight w:val="301"/>
        </w:trPr>
        <w:tc>
          <w:tcPr>
            <w:tcW w:w="9580" w:type="dxa"/>
            <w:gridSpan w:val="6"/>
            <w:tcBorders>
              <w:top w:val="single" w:sz="4" w:space="0" w:color="000000"/>
              <w:left w:val="single" w:sz="4" w:space="0" w:color="000000"/>
              <w:bottom w:val="single" w:sz="4" w:space="0" w:color="000000"/>
              <w:right w:val="single" w:sz="4" w:space="0" w:color="000000"/>
            </w:tcBorders>
          </w:tcPr>
          <w:p w14:paraId="75D5C997" w14:textId="77777777" w:rsidR="00692EA7" w:rsidRPr="00103DD3" w:rsidRDefault="00000000">
            <w:pPr>
              <w:snapToGrid w:val="0"/>
              <w:spacing w:line="360" w:lineRule="auto"/>
              <w:jc w:val="both"/>
              <w:rPr>
                <w:bCs/>
              </w:rPr>
            </w:pPr>
            <w:r w:rsidRPr="00103DD3">
              <w:rPr>
                <w:bCs/>
              </w:rPr>
              <w:t>Sources: Calculated from the dataset listed in Table 1</w:t>
            </w:r>
          </w:p>
        </w:tc>
      </w:tr>
    </w:tbl>
    <w:p w14:paraId="0F747E3D" w14:textId="77777777" w:rsidR="00692EA7" w:rsidRPr="00103DD3" w:rsidRDefault="00692EA7">
      <w:pPr>
        <w:snapToGrid w:val="0"/>
        <w:spacing w:line="360" w:lineRule="auto"/>
        <w:jc w:val="both"/>
        <w:rPr>
          <w:b/>
          <w:bCs/>
        </w:rPr>
      </w:pPr>
    </w:p>
    <w:p w14:paraId="031B9BC4" w14:textId="77777777" w:rsidR="00692EA7" w:rsidRPr="00103DD3" w:rsidRDefault="00000000">
      <w:pPr>
        <w:spacing w:after="200" w:line="360" w:lineRule="auto"/>
        <w:jc w:val="both"/>
      </w:pPr>
      <w:r w:rsidRPr="00103DD3">
        <w:lastRenderedPageBreak/>
        <w:t>India has the highest standard deviation compared to other nations. Investing in India will subject company A to volatility of consumer confidence, and given that the economy is uncertain, the company would be subjected to the risk of consumer volatility that may have negative implications on its investments. On the other hand, Japan has the lowest standard deviation, indicating that company A will not be subjected to volatility in consumer confidence, making it a good investment destination. USA and Malaysia have moderate standard deviation and hence, when company A invests in them, it may not be subject to significant variability and having effective risk management strategies are instrumental in making it succeed in any of the two nations.</w:t>
      </w:r>
    </w:p>
    <w:p w14:paraId="55336B1E" w14:textId="77777777" w:rsidR="00692EA7" w:rsidRPr="00103DD3" w:rsidRDefault="00000000">
      <w:pPr>
        <w:snapToGrid w:val="0"/>
        <w:spacing w:after="200" w:line="360" w:lineRule="auto"/>
        <w:jc w:val="both"/>
        <w:rPr>
          <w:bCs/>
        </w:rPr>
      </w:pPr>
      <w:r w:rsidRPr="00103DD3">
        <w:rPr>
          <w:bCs/>
        </w:rPr>
        <w:t>Figure 4: Time plot of the annual rate of change in CCI in the selected countries (%): 2019 to 2022</w:t>
      </w:r>
    </w:p>
    <w:p w14:paraId="30A15197" w14:textId="77777777" w:rsidR="00692EA7" w:rsidRPr="00103DD3" w:rsidRDefault="00000000">
      <w:pPr>
        <w:spacing w:line="360" w:lineRule="auto"/>
        <w:jc w:val="both"/>
        <w:rPr>
          <w:shd w:val="clear" w:color="auto" w:fill="FFFFFF"/>
        </w:rPr>
      </w:pPr>
      <w:r w:rsidRPr="00103DD3">
        <w:rPr>
          <w:noProof/>
        </w:rPr>
        <w:drawing>
          <wp:inline distT="0" distB="0" distL="0" distR="0" wp14:anchorId="2EE7F8EB" wp14:editId="14451A3A">
            <wp:extent cx="5486400" cy="3200400"/>
            <wp:effectExtent l="0" t="0" r="0" b="0"/>
            <wp:docPr id="4" name="Object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7C3E9B8" w14:textId="77777777" w:rsidR="00692EA7" w:rsidRPr="00103DD3" w:rsidRDefault="00692EA7">
      <w:pPr>
        <w:spacing w:line="360" w:lineRule="auto"/>
        <w:jc w:val="both"/>
      </w:pPr>
    </w:p>
    <w:p w14:paraId="71EA05D7" w14:textId="77777777" w:rsidR="00692EA7" w:rsidRPr="00103DD3" w:rsidRDefault="00000000">
      <w:pPr>
        <w:spacing w:after="200" w:line="360" w:lineRule="auto"/>
        <w:jc w:val="both"/>
      </w:pPr>
      <w:r w:rsidRPr="00103DD3">
        <w:t xml:space="preserve">The data indicates the percentage of yearly change for each country from 2019 to 2022. The data set selected was collected during the COVID-19 pandemic. The COVID-19-related economic shock and the eventual lockdown were so sudden that the consumer confidence level plummeted steeply in India, Japan, Malaysia, and the USA, highlighting the significant change between the indices in 2019 and 2020. India had the steepest decline as the effect of COVID-19 was further complicated by other factors, such as the demonetization policy, which also created uncertainty in the economy and an eventual decline in difference in the annual percentage of CCI. However, between 2020 and 2021, the rate of growth of the economy was significant, and this is attributed </w:t>
      </w:r>
      <w:r w:rsidRPr="00103DD3">
        <w:lastRenderedPageBreak/>
        <w:t>to measures such as introducing economic packages and easing COVID-19-related restrictions, informing the steep rise in the percentage of CCI between the two years. However, after 2021 and after the post-pandemic economic recovery, the percentage of CCI for the USA, Japan, and Malaysia declined significantly due to economic challenges that included rising cost of living and inflation, reducing consumer confidence levels. In the case of India, positive prospects of more employment opportunities and perception of economic growth have been instrumental in fostering the rise in annual increase in percentage of CCI.</w:t>
      </w:r>
    </w:p>
    <w:p w14:paraId="39EF0CAE" w14:textId="77777777" w:rsidR="00692EA7" w:rsidRPr="00103DD3" w:rsidRDefault="00000000">
      <w:pPr>
        <w:snapToGrid w:val="0"/>
        <w:spacing w:after="200" w:line="360" w:lineRule="auto"/>
        <w:jc w:val="both"/>
        <w:rPr>
          <w:bCs/>
        </w:rPr>
      </w:pPr>
      <w:r w:rsidRPr="00103DD3">
        <w:rPr>
          <w:bCs/>
        </w:rPr>
        <w:t>Table 5: Major summary statistics of annual rate of change in CCI in the selected countries: 2019 to 2022</w:t>
      </w:r>
    </w:p>
    <w:tbl>
      <w:tblPr>
        <w:tblW w:w="9576" w:type="dxa"/>
        <w:tblLayout w:type="fixed"/>
        <w:tblLook w:val="04A0" w:firstRow="1" w:lastRow="0" w:firstColumn="1" w:lastColumn="0" w:noHBand="0" w:noVBand="1"/>
      </w:tblPr>
      <w:tblGrid>
        <w:gridCol w:w="2146"/>
        <w:gridCol w:w="1327"/>
        <w:gridCol w:w="1356"/>
        <w:gridCol w:w="1599"/>
        <w:gridCol w:w="1522"/>
        <w:gridCol w:w="1626"/>
      </w:tblGrid>
      <w:tr w:rsidR="00692EA7" w:rsidRPr="00103DD3" w14:paraId="5EAF974C"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22C6478E" w14:textId="77777777" w:rsidR="00692EA7" w:rsidRPr="00103DD3" w:rsidRDefault="00000000">
            <w:pPr>
              <w:snapToGrid w:val="0"/>
              <w:spacing w:line="360" w:lineRule="auto"/>
              <w:jc w:val="both"/>
              <w:rPr>
                <w:bCs/>
              </w:rPr>
            </w:pPr>
            <w:proofErr w:type="spellStart"/>
            <w:r w:rsidRPr="00103DD3">
              <w:rPr>
                <w:bCs/>
              </w:rPr>
              <w:t>Summar</w:t>
            </w:r>
            <w:proofErr w:type="spellEnd"/>
            <w:r w:rsidRPr="00103DD3">
              <w:rPr>
                <w:bCs/>
              </w:rPr>
              <w:t xml:space="preserve"> statistics</w:t>
            </w:r>
          </w:p>
        </w:tc>
        <w:tc>
          <w:tcPr>
            <w:tcW w:w="1327" w:type="dxa"/>
            <w:tcBorders>
              <w:top w:val="single" w:sz="4" w:space="0" w:color="000000"/>
              <w:left w:val="single" w:sz="4" w:space="0" w:color="000000"/>
              <w:bottom w:val="single" w:sz="4" w:space="0" w:color="000000"/>
              <w:right w:val="single" w:sz="4" w:space="0" w:color="000000"/>
            </w:tcBorders>
          </w:tcPr>
          <w:p w14:paraId="2BB3CBFC" w14:textId="77777777" w:rsidR="00692EA7" w:rsidRPr="00103DD3" w:rsidRDefault="00000000">
            <w:pPr>
              <w:snapToGrid w:val="0"/>
              <w:spacing w:line="360" w:lineRule="auto"/>
              <w:jc w:val="both"/>
              <w:rPr>
                <w:bCs/>
              </w:rPr>
            </w:pPr>
            <w:r w:rsidRPr="00103DD3">
              <w:rPr>
                <w:bCs/>
              </w:rPr>
              <w:t>Hong Kong</w:t>
            </w:r>
          </w:p>
        </w:tc>
        <w:tc>
          <w:tcPr>
            <w:tcW w:w="1356" w:type="dxa"/>
            <w:tcBorders>
              <w:top w:val="single" w:sz="4" w:space="0" w:color="000000"/>
              <w:left w:val="single" w:sz="4" w:space="0" w:color="000000"/>
              <w:bottom w:val="single" w:sz="4" w:space="0" w:color="000000"/>
              <w:right w:val="single" w:sz="4" w:space="0" w:color="000000"/>
            </w:tcBorders>
          </w:tcPr>
          <w:p w14:paraId="2BA53B45" w14:textId="77777777" w:rsidR="00692EA7" w:rsidRPr="00103DD3" w:rsidRDefault="00000000">
            <w:pPr>
              <w:snapToGrid w:val="0"/>
              <w:spacing w:line="360" w:lineRule="auto"/>
              <w:jc w:val="both"/>
              <w:rPr>
                <w:bCs/>
              </w:rPr>
            </w:pPr>
            <w:r w:rsidRPr="00103DD3">
              <w:rPr>
                <w:bCs/>
              </w:rPr>
              <w:t>USA</w:t>
            </w:r>
          </w:p>
        </w:tc>
        <w:tc>
          <w:tcPr>
            <w:tcW w:w="1599" w:type="dxa"/>
            <w:tcBorders>
              <w:top w:val="single" w:sz="4" w:space="0" w:color="000000"/>
              <w:left w:val="single" w:sz="4" w:space="0" w:color="000000"/>
              <w:bottom w:val="single" w:sz="4" w:space="0" w:color="000000"/>
              <w:right w:val="single" w:sz="4" w:space="0" w:color="000000"/>
            </w:tcBorders>
            <w:shd w:val="clear" w:color="auto" w:fill="auto"/>
          </w:tcPr>
          <w:p w14:paraId="7CDF8CCC" w14:textId="77777777" w:rsidR="00692EA7" w:rsidRPr="00103DD3" w:rsidRDefault="00000000">
            <w:pPr>
              <w:snapToGrid w:val="0"/>
              <w:spacing w:line="360" w:lineRule="auto"/>
              <w:jc w:val="both"/>
              <w:rPr>
                <w:bCs/>
              </w:rPr>
            </w:pPr>
            <w:r w:rsidRPr="00103DD3">
              <w:rPr>
                <w:bCs/>
              </w:rPr>
              <w:t>Japan</w:t>
            </w:r>
          </w:p>
        </w:tc>
        <w:tc>
          <w:tcPr>
            <w:tcW w:w="1522" w:type="dxa"/>
            <w:tcBorders>
              <w:top w:val="single" w:sz="4" w:space="0" w:color="000000"/>
              <w:left w:val="single" w:sz="4" w:space="0" w:color="000000"/>
              <w:bottom w:val="single" w:sz="4" w:space="0" w:color="000000"/>
              <w:right w:val="single" w:sz="4" w:space="0" w:color="000000"/>
            </w:tcBorders>
            <w:shd w:val="clear" w:color="auto" w:fill="auto"/>
          </w:tcPr>
          <w:p w14:paraId="272959EF" w14:textId="77777777" w:rsidR="00692EA7" w:rsidRPr="00103DD3" w:rsidRDefault="00000000">
            <w:pPr>
              <w:snapToGrid w:val="0"/>
              <w:spacing w:line="360" w:lineRule="auto"/>
              <w:jc w:val="both"/>
              <w:rPr>
                <w:bCs/>
              </w:rPr>
            </w:pPr>
            <w:r w:rsidRPr="00103DD3">
              <w:rPr>
                <w:bCs/>
              </w:rPr>
              <w:t>Malaysia</w:t>
            </w:r>
          </w:p>
        </w:tc>
        <w:tc>
          <w:tcPr>
            <w:tcW w:w="1626" w:type="dxa"/>
            <w:tcBorders>
              <w:top w:val="single" w:sz="4" w:space="0" w:color="000000"/>
              <w:left w:val="single" w:sz="4" w:space="0" w:color="000000"/>
              <w:bottom w:val="single" w:sz="4" w:space="0" w:color="000000"/>
              <w:right w:val="single" w:sz="4" w:space="0" w:color="000000"/>
            </w:tcBorders>
          </w:tcPr>
          <w:p w14:paraId="786BE7FC" w14:textId="77777777" w:rsidR="00692EA7" w:rsidRPr="00103DD3" w:rsidRDefault="00000000">
            <w:pPr>
              <w:snapToGrid w:val="0"/>
              <w:spacing w:line="360" w:lineRule="auto"/>
              <w:jc w:val="both"/>
              <w:rPr>
                <w:bCs/>
              </w:rPr>
            </w:pPr>
            <w:r w:rsidRPr="00103DD3">
              <w:rPr>
                <w:bCs/>
              </w:rPr>
              <w:t>Country EE</w:t>
            </w:r>
          </w:p>
        </w:tc>
      </w:tr>
      <w:tr w:rsidR="00692EA7" w:rsidRPr="00103DD3" w14:paraId="2545D689"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114C160E" w14:textId="77777777" w:rsidR="00692EA7" w:rsidRPr="00103DD3" w:rsidRDefault="00000000">
            <w:pPr>
              <w:snapToGrid w:val="0"/>
              <w:spacing w:line="360" w:lineRule="auto"/>
              <w:jc w:val="both"/>
              <w:rPr>
                <w:bCs/>
              </w:rPr>
            </w:pPr>
            <w:r w:rsidRPr="00103DD3">
              <w:rPr>
                <w:bCs/>
              </w:rPr>
              <w:t>Mean (%)</w:t>
            </w:r>
          </w:p>
        </w:tc>
        <w:tc>
          <w:tcPr>
            <w:tcW w:w="1327" w:type="dxa"/>
            <w:tcBorders>
              <w:top w:val="single" w:sz="4" w:space="0" w:color="000000"/>
              <w:left w:val="single" w:sz="4" w:space="0" w:color="000000"/>
            </w:tcBorders>
          </w:tcPr>
          <w:p w14:paraId="2EF6C997" w14:textId="77777777" w:rsidR="00692EA7" w:rsidRPr="00103DD3" w:rsidRDefault="00000000">
            <w:pPr>
              <w:snapToGrid w:val="0"/>
              <w:spacing w:line="360" w:lineRule="auto"/>
              <w:jc w:val="both"/>
              <w:rPr>
                <w:bCs/>
              </w:rPr>
            </w:pPr>
            <w:r w:rsidRPr="00103DD3">
              <w:rPr>
                <w:rFonts w:eastAsia="新細明體"/>
                <w:bCs/>
                <w:kern w:val="2"/>
              </w:rPr>
              <w:t>-7.7</w:t>
            </w:r>
          </w:p>
        </w:tc>
        <w:tc>
          <w:tcPr>
            <w:tcW w:w="1356" w:type="dxa"/>
            <w:tcBorders>
              <w:top w:val="single" w:sz="4" w:space="0" w:color="000000"/>
              <w:left w:val="single" w:sz="4" w:space="0" w:color="000000"/>
            </w:tcBorders>
          </w:tcPr>
          <w:p w14:paraId="4CA069AA" w14:textId="77777777" w:rsidR="00692EA7" w:rsidRPr="00103DD3" w:rsidRDefault="00000000">
            <w:pPr>
              <w:spacing w:line="360" w:lineRule="auto"/>
              <w:jc w:val="both"/>
              <w:rPr>
                <w:bCs/>
              </w:rPr>
            </w:pPr>
            <w:r w:rsidRPr="00103DD3">
              <w:rPr>
                <w:rFonts w:eastAsia="新細明體"/>
                <w:bCs/>
                <w:kern w:val="2"/>
              </w:rPr>
              <w:t>-4.5</w:t>
            </w:r>
          </w:p>
        </w:tc>
        <w:tc>
          <w:tcPr>
            <w:tcW w:w="1599" w:type="dxa"/>
            <w:tcBorders>
              <w:top w:val="single" w:sz="4" w:space="0" w:color="000000"/>
              <w:left w:val="single" w:sz="4" w:space="0" w:color="000000"/>
            </w:tcBorders>
            <w:shd w:val="clear" w:color="auto" w:fill="auto"/>
          </w:tcPr>
          <w:p w14:paraId="4102875C" w14:textId="77777777" w:rsidR="00692EA7" w:rsidRPr="00103DD3" w:rsidRDefault="00000000">
            <w:pPr>
              <w:snapToGrid w:val="0"/>
              <w:spacing w:line="360" w:lineRule="auto"/>
              <w:jc w:val="both"/>
              <w:rPr>
                <w:bCs/>
              </w:rPr>
            </w:pPr>
            <w:r w:rsidRPr="00103DD3">
              <w:rPr>
                <w:rFonts w:eastAsia="新細明體"/>
                <w:bCs/>
                <w:kern w:val="2"/>
              </w:rPr>
              <w:t>-1.24</w:t>
            </w:r>
          </w:p>
        </w:tc>
        <w:tc>
          <w:tcPr>
            <w:tcW w:w="1522" w:type="dxa"/>
            <w:tcBorders>
              <w:top w:val="single" w:sz="4" w:space="0" w:color="000000"/>
              <w:left w:val="single" w:sz="4" w:space="0" w:color="000000"/>
            </w:tcBorders>
            <w:shd w:val="clear" w:color="auto" w:fill="auto"/>
          </w:tcPr>
          <w:p w14:paraId="190F9DC8" w14:textId="77777777" w:rsidR="00692EA7" w:rsidRPr="00103DD3" w:rsidRDefault="00000000">
            <w:pPr>
              <w:snapToGrid w:val="0"/>
              <w:spacing w:line="360" w:lineRule="auto"/>
              <w:jc w:val="both"/>
              <w:rPr>
                <w:bCs/>
              </w:rPr>
            </w:pPr>
            <w:r w:rsidRPr="00103DD3">
              <w:rPr>
                <w:rFonts w:eastAsia="新細明體"/>
                <w:bCs/>
                <w:kern w:val="2"/>
              </w:rPr>
              <w:t>1.49</w:t>
            </w:r>
          </w:p>
        </w:tc>
        <w:tc>
          <w:tcPr>
            <w:tcW w:w="1626" w:type="dxa"/>
            <w:tcBorders>
              <w:top w:val="single" w:sz="4" w:space="0" w:color="000000"/>
              <w:left w:val="single" w:sz="4" w:space="0" w:color="000000"/>
              <w:right w:val="single" w:sz="4" w:space="0" w:color="000000"/>
            </w:tcBorders>
          </w:tcPr>
          <w:p w14:paraId="0724AE78" w14:textId="77777777" w:rsidR="00692EA7" w:rsidRPr="00103DD3" w:rsidRDefault="00000000">
            <w:pPr>
              <w:spacing w:line="360" w:lineRule="auto"/>
              <w:jc w:val="both"/>
              <w:rPr>
                <w:bCs/>
              </w:rPr>
            </w:pPr>
            <w:r w:rsidRPr="00103DD3">
              <w:rPr>
                <w:rFonts w:eastAsia="新細明體"/>
                <w:bCs/>
                <w:kern w:val="2"/>
              </w:rPr>
              <w:t>-1.7125</w:t>
            </w:r>
          </w:p>
        </w:tc>
      </w:tr>
      <w:tr w:rsidR="00692EA7" w:rsidRPr="00103DD3" w14:paraId="77FFC00D"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03440E4E" w14:textId="77777777" w:rsidR="00692EA7" w:rsidRPr="00103DD3" w:rsidRDefault="00000000">
            <w:pPr>
              <w:snapToGrid w:val="0"/>
              <w:spacing w:line="360" w:lineRule="auto"/>
              <w:jc w:val="both"/>
              <w:rPr>
                <w:bCs/>
              </w:rPr>
            </w:pPr>
            <w:r w:rsidRPr="00103DD3">
              <w:rPr>
                <w:bCs/>
              </w:rPr>
              <w:t>Standard deviation</w:t>
            </w:r>
          </w:p>
        </w:tc>
        <w:tc>
          <w:tcPr>
            <w:tcW w:w="1327" w:type="dxa"/>
            <w:tcBorders>
              <w:left w:val="single" w:sz="4" w:space="0" w:color="000000"/>
            </w:tcBorders>
          </w:tcPr>
          <w:p w14:paraId="64E57337" w14:textId="77777777" w:rsidR="00692EA7" w:rsidRPr="00103DD3" w:rsidRDefault="00000000">
            <w:pPr>
              <w:snapToGrid w:val="0"/>
              <w:spacing w:line="360" w:lineRule="auto"/>
              <w:jc w:val="both"/>
              <w:rPr>
                <w:bCs/>
              </w:rPr>
            </w:pPr>
            <w:r w:rsidRPr="00103DD3">
              <w:rPr>
                <w:rFonts w:eastAsia="新細明體"/>
                <w:bCs/>
                <w:color w:val="0D0D0D"/>
                <w:kern w:val="2"/>
                <w:shd w:val="clear" w:color="auto" w:fill="FFFFFF"/>
              </w:rPr>
              <w:t>7.39</w:t>
            </w:r>
          </w:p>
        </w:tc>
        <w:tc>
          <w:tcPr>
            <w:tcW w:w="1356" w:type="dxa"/>
            <w:tcBorders>
              <w:left w:val="single" w:sz="4" w:space="0" w:color="000000"/>
            </w:tcBorders>
          </w:tcPr>
          <w:p w14:paraId="5181FD9E" w14:textId="77777777" w:rsidR="00692EA7" w:rsidRPr="00103DD3" w:rsidRDefault="00000000">
            <w:pPr>
              <w:snapToGrid w:val="0"/>
              <w:spacing w:line="360" w:lineRule="auto"/>
              <w:jc w:val="both"/>
              <w:rPr>
                <w:bCs/>
              </w:rPr>
            </w:pPr>
            <w:r w:rsidRPr="00103DD3">
              <w:rPr>
                <w:rFonts w:eastAsia="新細明體"/>
                <w:bCs/>
                <w:color w:val="0D0D0D"/>
                <w:kern w:val="2"/>
                <w:shd w:val="clear" w:color="auto" w:fill="FFFFFF"/>
              </w:rPr>
              <w:t>9.24</w:t>
            </w:r>
          </w:p>
        </w:tc>
        <w:tc>
          <w:tcPr>
            <w:tcW w:w="1599" w:type="dxa"/>
            <w:tcBorders>
              <w:left w:val="single" w:sz="4" w:space="0" w:color="000000"/>
            </w:tcBorders>
            <w:shd w:val="clear" w:color="auto" w:fill="auto"/>
          </w:tcPr>
          <w:p w14:paraId="02EB71D1" w14:textId="77777777" w:rsidR="00692EA7" w:rsidRPr="00103DD3" w:rsidRDefault="00000000">
            <w:pPr>
              <w:snapToGrid w:val="0"/>
              <w:spacing w:line="360" w:lineRule="auto"/>
              <w:jc w:val="both"/>
              <w:rPr>
                <w:bCs/>
              </w:rPr>
            </w:pPr>
            <w:r w:rsidRPr="00103DD3">
              <w:rPr>
                <w:rFonts w:eastAsia="新細明體"/>
                <w:bCs/>
                <w:color w:val="0D0D0D"/>
                <w:kern w:val="2"/>
                <w:shd w:val="clear" w:color="auto" w:fill="FFFFFF"/>
              </w:rPr>
              <w:t>0.912</w:t>
            </w:r>
          </w:p>
        </w:tc>
        <w:tc>
          <w:tcPr>
            <w:tcW w:w="1522" w:type="dxa"/>
            <w:tcBorders>
              <w:left w:val="single" w:sz="4" w:space="0" w:color="000000"/>
            </w:tcBorders>
            <w:shd w:val="clear" w:color="auto" w:fill="auto"/>
          </w:tcPr>
          <w:p w14:paraId="1D7A031E" w14:textId="77777777" w:rsidR="00692EA7" w:rsidRPr="00103DD3" w:rsidRDefault="00000000">
            <w:pPr>
              <w:snapToGrid w:val="0"/>
              <w:spacing w:line="360" w:lineRule="auto"/>
              <w:jc w:val="both"/>
              <w:rPr>
                <w:bCs/>
              </w:rPr>
            </w:pPr>
            <w:r w:rsidRPr="00103DD3">
              <w:rPr>
                <w:rFonts w:eastAsia="新細明體"/>
                <w:bCs/>
                <w:color w:val="0D0D0D"/>
                <w:kern w:val="2"/>
                <w:shd w:val="clear" w:color="auto" w:fill="FFFFFF"/>
              </w:rPr>
              <w:t>7.65</w:t>
            </w:r>
          </w:p>
        </w:tc>
        <w:tc>
          <w:tcPr>
            <w:tcW w:w="1626" w:type="dxa"/>
            <w:tcBorders>
              <w:left w:val="single" w:sz="4" w:space="0" w:color="000000"/>
              <w:right w:val="single" w:sz="4" w:space="0" w:color="000000"/>
            </w:tcBorders>
          </w:tcPr>
          <w:p w14:paraId="6CD66579" w14:textId="77777777" w:rsidR="00692EA7" w:rsidRPr="00103DD3" w:rsidRDefault="00000000">
            <w:pPr>
              <w:snapToGrid w:val="0"/>
              <w:spacing w:line="360" w:lineRule="auto"/>
              <w:jc w:val="both"/>
              <w:rPr>
                <w:bCs/>
              </w:rPr>
            </w:pPr>
            <w:r w:rsidRPr="00103DD3">
              <w:rPr>
                <w:rFonts w:eastAsia="新細明體"/>
                <w:bCs/>
                <w:color w:val="0D0D0D"/>
                <w:kern w:val="2"/>
                <w:shd w:val="clear" w:color="auto" w:fill="FFFFFF"/>
              </w:rPr>
              <w:t>12.75</w:t>
            </w:r>
          </w:p>
        </w:tc>
      </w:tr>
      <w:tr w:rsidR="00692EA7" w:rsidRPr="00103DD3" w14:paraId="53F7CAB0"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29779E8C" w14:textId="77777777" w:rsidR="00692EA7" w:rsidRPr="00103DD3" w:rsidRDefault="00000000">
            <w:pPr>
              <w:snapToGrid w:val="0"/>
              <w:spacing w:line="360" w:lineRule="auto"/>
              <w:jc w:val="both"/>
              <w:rPr>
                <w:bCs/>
              </w:rPr>
            </w:pPr>
            <w:r w:rsidRPr="00103DD3">
              <w:rPr>
                <w:bCs/>
              </w:rPr>
              <w:t>Maximum (%)</w:t>
            </w:r>
          </w:p>
        </w:tc>
        <w:tc>
          <w:tcPr>
            <w:tcW w:w="1327" w:type="dxa"/>
            <w:tcBorders>
              <w:left w:val="single" w:sz="4" w:space="0" w:color="000000"/>
              <w:bottom w:val="single" w:sz="4" w:space="0" w:color="000000"/>
            </w:tcBorders>
          </w:tcPr>
          <w:p w14:paraId="6D0A2305" w14:textId="77777777" w:rsidR="00692EA7" w:rsidRPr="00103DD3" w:rsidRDefault="00000000">
            <w:pPr>
              <w:snapToGrid w:val="0"/>
              <w:spacing w:line="360" w:lineRule="auto"/>
              <w:jc w:val="both"/>
              <w:rPr>
                <w:bCs/>
              </w:rPr>
            </w:pPr>
            <w:r w:rsidRPr="00103DD3">
              <w:rPr>
                <w:rFonts w:eastAsia="新細明體"/>
                <w:bCs/>
                <w:kern w:val="2"/>
              </w:rPr>
              <w:t>8.33</w:t>
            </w:r>
          </w:p>
        </w:tc>
        <w:tc>
          <w:tcPr>
            <w:tcW w:w="1356" w:type="dxa"/>
            <w:tcBorders>
              <w:left w:val="single" w:sz="4" w:space="0" w:color="000000"/>
              <w:bottom w:val="single" w:sz="4" w:space="0" w:color="000000"/>
            </w:tcBorders>
          </w:tcPr>
          <w:p w14:paraId="38EE5F91" w14:textId="77777777" w:rsidR="00692EA7" w:rsidRPr="00103DD3" w:rsidRDefault="00000000">
            <w:pPr>
              <w:snapToGrid w:val="0"/>
              <w:spacing w:line="360" w:lineRule="auto"/>
              <w:jc w:val="both"/>
              <w:rPr>
                <w:bCs/>
              </w:rPr>
            </w:pPr>
            <w:r w:rsidRPr="00103DD3">
              <w:rPr>
                <w:rFonts w:eastAsia="新細明體"/>
                <w:bCs/>
                <w:kern w:val="2"/>
              </w:rPr>
              <w:t>10.89</w:t>
            </w:r>
          </w:p>
        </w:tc>
        <w:tc>
          <w:tcPr>
            <w:tcW w:w="1599" w:type="dxa"/>
            <w:tcBorders>
              <w:left w:val="single" w:sz="4" w:space="0" w:color="000000"/>
              <w:bottom w:val="single" w:sz="4" w:space="0" w:color="000000"/>
            </w:tcBorders>
            <w:shd w:val="clear" w:color="auto" w:fill="auto"/>
          </w:tcPr>
          <w:p w14:paraId="2BD5151E" w14:textId="77777777" w:rsidR="00692EA7" w:rsidRPr="00103DD3" w:rsidRDefault="00000000">
            <w:pPr>
              <w:snapToGrid w:val="0"/>
              <w:spacing w:line="360" w:lineRule="auto"/>
              <w:jc w:val="both"/>
              <w:rPr>
                <w:bCs/>
              </w:rPr>
            </w:pPr>
            <w:r w:rsidRPr="00103DD3">
              <w:rPr>
                <w:rFonts w:eastAsia="新細明體"/>
                <w:bCs/>
                <w:kern w:val="2"/>
              </w:rPr>
              <w:t>2.06</w:t>
            </w:r>
          </w:p>
        </w:tc>
        <w:tc>
          <w:tcPr>
            <w:tcW w:w="1522" w:type="dxa"/>
            <w:tcBorders>
              <w:left w:val="single" w:sz="4" w:space="0" w:color="000000"/>
              <w:bottom w:val="single" w:sz="4" w:space="0" w:color="000000"/>
            </w:tcBorders>
            <w:shd w:val="clear" w:color="auto" w:fill="auto"/>
          </w:tcPr>
          <w:p w14:paraId="2897F8C4" w14:textId="77777777" w:rsidR="00692EA7" w:rsidRPr="00103DD3" w:rsidRDefault="00000000">
            <w:pPr>
              <w:snapToGrid w:val="0"/>
              <w:spacing w:line="360" w:lineRule="auto"/>
              <w:jc w:val="both"/>
              <w:rPr>
                <w:bCs/>
              </w:rPr>
            </w:pPr>
            <w:r w:rsidRPr="00103DD3">
              <w:rPr>
                <w:rFonts w:eastAsia="新細明體"/>
                <w:bCs/>
                <w:kern w:val="2"/>
              </w:rPr>
              <w:t>15.19</w:t>
            </w:r>
          </w:p>
        </w:tc>
        <w:tc>
          <w:tcPr>
            <w:tcW w:w="1626" w:type="dxa"/>
            <w:tcBorders>
              <w:left w:val="single" w:sz="4" w:space="0" w:color="000000"/>
              <w:bottom w:val="single" w:sz="4" w:space="0" w:color="000000"/>
              <w:right w:val="single" w:sz="4" w:space="0" w:color="000000"/>
            </w:tcBorders>
          </w:tcPr>
          <w:p w14:paraId="692F3B03" w14:textId="77777777" w:rsidR="00692EA7" w:rsidRPr="00103DD3" w:rsidRDefault="00000000">
            <w:pPr>
              <w:snapToGrid w:val="0"/>
              <w:spacing w:line="360" w:lineRule="auto"/>
              <w:jc w:val="both"/>
              <w:rPr>
                <w:bCs/>
              </w:rPr>
            </w:pPr>
            <w:r w:rsidRPr="00103DD3">
              <w:rPr>
                <w:rFonts w:eastAsia="新細明體"/>
                <w:bCs/>
                <w:kern w:val="2"/>
              </w:rPr>
              <w:t>41.49</w:t>
            </w:r>
          </w:p>
        </w:tc>
      </w:tr>
      <w:tr w:rsidR="00692EA7" w:rsidRPr="00103DD3" w14:paraId="08511BC9"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Pr>
          <w:p w14:paraId="6427B1A7" w14:textId="77777777" w:rsidR="00692EA7" w:rsidRPr="00103DD3" w:rsidRDefault="00000000">
            <w:pPr>
              <w:snapToGrid w:val="0"/>
              <w:spacing w:line="360" w:lineRule="auto"/>
              <w:jc w:val="both"/>
              <w:rPr>
                <w:bCs/>
              </w:rPr>
            </w:pPr>
            <w:r w:rsidRPr="00103DD3">
              <w:rPr>
                <w:bCs/>
              </w:rPr>
              <w:t>Minimum (%)</w:t>
            </w:r>
          </w:p>
        </w:tc>
        <w:tc>
          <w:tcPr>
            <w:tcW w:w="1327" w:type="dxa"/>
            <w:tcBorders>
              <w:top w:val="single" w:sz="4" w:space="0" w:color="000000"/>
              <w:left w:val="single" w:sz="4" w:space="0" w:color="000000"/>
              <w:bottom w:val="single" w:sz="4" w:space="0" w:color="000000"/>
              <w:right w:val="single" w:sz="4" w:space="0" w:color="000000"/>
            </w:tcBorders>
          </w:tcPr>
          <w:p w14:paraId="61D74D33" w14:textId="77777777" w:rsidR="00692EA7" w:rsidRPr="00103DD3" w:rsidRDefault="00000000">
            <w:pPr>
              <w:snapToGrid w:val="0"/>
              <w:spacing w:line="360" w:lineRule="auto"/>
              <w:jc w:val="both"/>
              <w:rPr>
                <w:bCs/>
              </w:rPr>
            </w:pPr>
            <w:r w:rsidRPr="00103DD3">
              <w:rPr>
                <w:bCs/>
              </w:rPr>
              <w:t>-17.3</w:t>
            </w:r>
          </w:p>
        </w:tc>
        <w:tc>
          <w:tcPr>
            <w:tcW w:w="1356" w:type="dxa"/>
            <w:tcBorders>
              <w:top w:val="single" w:sz="4" w:space="0" w:color="000000"/>
              <w:left w:val="single" w:sz="4" w:space="0" w:color="000000"/>
              <w:bottom w:val="single" w:sz="4" w:space="0" w:color="000000"/>
              <w:right w:val="single" w:sz="4" w:space="0" w:color="000000"/>
            </w:tcBorders>
            <w:vAlign w:val="center"/>
          </w:tcPr>
          <w:p w14:paraId="1BB98F32" w14:textId="77777777" w:rsidR="00692EA7" w:rsidRPr="00103DD3" w:rsidRDefault="00000000">
            <w:pPr>
              <w:snapToGrid w:val="0"/>
              <w:spacing w:line="360" w:lineRule="auto"/>
              <w:jc w:val="both"/>
              <w:rPr>
                <w:bCs/>
              </w:rPr>
            </w:pPr>
            <w:r w:rsidRPr="00103DD3">
              <w:rPr>
                <w:bCs/>
              </w:rPr>
              <w:t>-21.09</w:t>
            </w:r>
          </w:p>
        </w:tc>
        <w:tc>
          <w:tcPr>
            <w:tcW w:w="1599"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8B739B2" w14:textId="77777777" w:rsidR="00692EA7" w:rsidRPr="00103DD3" w:rsidRDefault="00000000">
            <w:pPr>
              <w:snapToGrid w:val="0"/>
              <w:spacing w:line="360" w:lineRule="auto"/>
              <w:jc w:val="both"/>
              <w:rPr>
                <w:bCs/>
              </w:rPr>
            </w:pPr>
            <w:r w:rsidRPr="00103DD3">
              <w:rPr>
                <w:bCs/>
              </w:rPr>
              <w:t>-2.97</w:t>
            </w:r>
          </w:p>
        </w:tc>
        <w:tc>
          <w:tcPr>
            <w:tcW w:w="1522"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82D34E8" w14:textId="77777777" w:rsidR="00692EA7" w:rsidRPr="00103DD3" w:rsidRDefault="00000000">
            <w:pPr>
              <w:snapToGrid w:val="0"/>
              <w:spacing w:line="360" w:lineRule="auto"/>
              <w:jc w:val="both"/>
              <w:rPr>
                <w:bCs/>
              </w:rPr>
            </w:pPr>
            <w:r w:rsidRPr="00103DD3">
              <w:rPr>
                <w:bCs/>
              </w:rPr>
              <w:t>-27.52</w:t>
            </w:r>
          </w:p>
        </w:tc>
        <w:tc>
          <w:tcPr>
            <w:tcW w:w="1626" w:type="dxa"/>
            <w:tcBorders>
              <w:top w:val="single" w:sz="4" w:space="0" w:color="000000"/>
              <w:left w:val="single" w:sz="4" w:space="0" w:color="000000"/>
              <w:bottom w:val="single" w:sz="4" w:space="0" w:color="000000"/>
              <w:right w:val="single" w:sz="4" w:space="0" w:color="000000"/>
            </w:tcBorders>
            <w:vAlign w:val="center"/>
          </w:tcPr>
          <w:p w14:paraId="2953A0EB" w14:textId="77777777" w:rsidR="00692EA7" w:rsidRPr="00103DD3" w:rsidRDefault="00000000">
            <w:pPr>
              <w:snapToGrid w:val="0"/>
              <w:spacing w:line="360" w:lineRule="auto"/>
              <w:jc w:val="both"/>
              <w:rPr>
                <w:bCs/>
              </w:rPr>
            </w:pPr>
            <w:r w:rsidRPr="00103DD3">
              <w:rPr>
                <w:bCs/>
              </w:rPr>
              <w:t>-31.52</w:t>
            </w:r>
          </w:p>
        </w:tc>
      </w:tr>
      <w:tr w:rsidR="00692EA7" w:rsidRPr="00103DD3" w14:paraId="6188C18A" w14:textId="77777777">
        <w:trPr>
          <w:trHeight w:val="301"/>
        </w:trPr>
        <w:tc>
          <w:tcPr>
            <w:tcW w:w="9575" w:type="dxa"/>
            <w:gridSpan w:val="6"/>
            <w:tcBorders>
              <w:top w:val="single" w:sz="4" w:space="0" w:color="000000"/>
              <w:left w:val="single" w:sz="4" w:space="0" w:color="000000"/>
              <w:bottom w:val="single" w:sz="4" w:space="0" w:color="000000"/>
              <w:right w:val="single" w:sz="4" w:space="0" w:color="000000"/>
            </w:tcBorders>
          </w:tcPr>
          <w:p w14:paraId="2AA39B47" w14:textId="77777777" w:rsidR="00692EA7" w:rsidRPr="00103DD3" w:rsidRDefault="00000000">
            <w:pPr>
              <w:snapToGrid w:val="0"/>
              <w:spacing w:line="360" w:lineRule="auto"/>
              <w:jc w:val="both"/>
              <w:rPr>
                <w:bCs/>
              </w:rPr>
            </w:pPr>
            <w:r w:rsidRPr="00103DD3">
              <w:rPr>
                <w:bCs/>
              </w:rPr>
              <w:t>Sources: Calculated from the dataset listed in Table 1</w:t>
            </w:r>
          </w:p>
        </w:tc>
      </w:tr>
    </w:tbl>
    <w:p w14:paraId="5675C7AA" w14:textId="77777777" w:rsidR="00692EA7" w:rsidRPr="00103DD3" w:rsidRDefault="00692EA7">
      <w:pPr>
        <w:snapToGrid w:val="0"/>
        <w:spacing w:line="360" w:lineRule="auto"/>
        <w:jc w:val="both"/>
        <w:rPr>
          <w:b/>
          <w:bCs/>
        </w:rPr>
      </w:pPr>
    </w:p>
    <w:p w14:paraId="7F799A3F" w14:textId="77777777" w:rsidR="00692EA7" w:rsidRPr="00103DD3" w:rsidRDefault="00000000">
      <w:pPr>
        <w:spacing w:after="200" w:line="360" w:lineRule="auto"/>
        <w:jc w:val="both"/>
      </w:pPr>
      <w:r w:rsidRPr="00103DD3">
        <w:t>India has the highest standard deviation, which may be attributed to fluctuating economic outlook that is reflected in varying CCI, political challenges and uncertain policies. Therefore, company A is likely to face volatile business environment when it invests in the country, which may in turn reduce revenues. Japan has the lowest standard deviation, which indicates a stable economy and consumer confidence. When company A invests in Japan, it is likely to benefit from stable consumer confidence, making it a viable option to invest in. USA and Malaysia have moderate standard deviation, indicating that variability of consumer confidence is moderate and hence, company A may succeed in investing in any of the two nations, but it must be vigilant to any changes in the economy and adopt effective risk management strategy to address any adverse outcome.</w:t>
      </w:r>
    </w:p>
    <w:p w14:paraId="771F6CC0" w14:textId="77777777" w:rsidR="00692EA7" w:rsidRPr="00103DD3" w:rsidRDefault="00000000">
      <w:pPr>
        <w:pStyle w:val="2"/>
        <w:spacing w:beforeAutospacing="0" w:after="200" w:afterAutospacing="0" w:line="360" w:lineRule="auto"/>
        <w:rPr>
          <w:sz w:val="28"/>
          <w:szCs w:val="28"/>
        </w:rPr>
      </w:pPr>
      <w:bookmarkStart w:id="22" w:name="__RefHeading___Toc4226_2927161102"/>
      <w:bookmarkStart w:id="23" w:name="_Toc160527046"/>
      <w:bookmarkEnd w:id="22"/>
      <w:r w:rsidRPr="00103DD3">
        <w:rPr>
          <w:sz w:val="28"/>
          <w:szCs w:val="28"/>
        </w:rPr>
        <w:t>3.3 Summary</w:t>
      </w:r>
      <w:bookmarkEnd w:id="23"/>
    </w:p>
    <w:p w14:paraId="0B9C0A59" w14:textId="77777777" w:rsidR="00692EA7" w:rsidRPr="00103DD3" w:rsidRDefault="00000000">
      <w:pPr>
        <w:spacing w:after="200" w:line="360" w:lineRule="auto"/>
        <w:jc w:val="both"/>
      </w:pPr>
      <w:r w:rsidRPr="00103DD3">
        <w:t xml:space="preserve">The findings indicate a direct relationship between economic outlook and consumer confidence index. Although businesses have their own economic policies, there is a common finding that </w:t>
      </w:r>
      <w:r w:rsidRPr="00103DD3">
        <w:lastRenderedPageBreak/>
        <w:t>factors that favor economic growth promote the consumer confidence index, while those that depress economic growth lead to a decline in consumer confidence. The findings that can be used to meet the goal of selecting an optimal investment for global expansion include general global CCI for the period starting from 2000 to 2022, the latest trends of CCI in the four nations, and the annual rate of change of CCI in the selected countries.</w:t>
      </w:r>
    </w:p>
    <w:p w14:paraId="7C45B0E6" w14:textId="77777777" w:rsidR="00692EA7" w:rsidRPr="00103DD3" w:rsidRDefault="00000000">
      <w:pPr>
        <w:spacing w:after="200" w:line="360" w:lineRule="auto"/>
        <w:jc w:val="both"/>
      </w:pPr>
      <w:r w:rsidRPr="00103DD3">
        <w:t xml:space="preserve">Validity and reliability were attained by analyzing data from an extended </w:t>
      </w:r>
      <w:proofErr w:type="gramStart"/>
      <w:r w:rsidRPr="00103DD3">
        <w:t>period of time</w:t>
      </w:r>
      <w:proofErr w:type="gramEnd"/>
      <w:r w:rsidRPr="00103DD3">
        <w:t xml:space="preserve"> (from 2000 to 2022), which is vital in reducing random errors and increasing general </w:t>
      </w:r>
      <w:proofErr w:type="spellStart"/>
      <w:r w:rsidRPr="00103DD3">
        <w:t>visability</w:t>
      </w:r>
      <w:proofErr w:type="spellEnd"/>
      <w:r w:rsidRPr="00103DD3">
        <w:t xml:space="preserve"> while, at the same time, enhancing trend identification.</w:t>
      </w:r>
    </w:p>
    <w:p w14:paraId="18A06D14" w14:textId="77777777" w:rsidR="00692EA7" w:rsidRPr="00103DD3" w:rsidRDefault="00000000">
      <w:pPr>
        <w:pStyle w:val="1"/>
        <w:spacing w:before="0" w:after="200" w:line="360" w:lineRule="auto"/>
        <w:rPr>
          <w:rFonts w:ascii="Times New Roman" w:hAnsi="Times New Roman" w:cs="Times New Roman"/>
          <w:color w:val="000000" w:themeColor="text1"/>
          <w:sz w:val="32"/>
          <w:szCs w:val="32"/>
        </w:rPr>
      </w:pPr>
      <w:bookmarkStart w:id="24" w:name="__RefHeading___Toc4228_2927161102"/>
      <w:bookmarkStart w:id="25" w:name="_Toc160527047"/>
      <w:bookmarkEnd w:id="24"/>
      <w:r w:rsidRPr="00103DD3">
        <w:rPr>
          <w:rFonts w:ascii="Times New Roman" w:hAnsi="Times New Roman" w:cs="Times New Roman"/>
          <w:color w:val="000000" w:themeColor="text1"/>
          <w:sz w:val="32"/>
          <w:szCs w:val="32"/>
        </w:rPr>
        <w:t>4.0 Conclusion and Recommendations</w:t>
      </w:r>
      <w:bookmarkEnd w:id="25"/>
    </w:p>
    <w:p w14:paraId="5D85661D" w14:textId="77777777" w:rsidR="00692EA7" w:rsidRPr="00103DD3" w:rsidRDefault="00000000">
      <w:pPr>
        <w:pStyle w:val="2"/>
        <w:spacing w:beforeAutospacing="0" w:after="200" w:afterAutospacing="0" w:line="360" w:lineRule="auto"/>
        <w:rPr>
          <w:sz w:val="28"/>
          <w:szCs w:val="28"/>
        </w:rPr>
      </w:pPr>
      <w:bookmarkStart w:id="26" w:name="__RefHeading___Toc4230_2927161102"/>
      <w:bookmarkEnd w:id="26"/>
      <w:r w:rsidRPr="00103DD3">
        <w:t xml:space="preserve"> </w:t>
      </w:r>
      <w:bookmarkStart w:id="27" w:name="_Toc160527048"/>
      <w:r w:rsidRPr="00103DD3">
        <w:rPr>
          <w:sz w:val="28"/>
          <w:szCs w:val="28"/>
        </w:rPr>
        <w:t>4.1 Conclusion</w:t>
      </w:r>
      <w:bookmarkEnd w:id="27"/>
    </w:p>
    <w:p w14:paraId="61AB5C2C" w14:textId="77777777" w:rsidR="00692EA7" w:rsidRPr="00103DD3" w:rsidRDefault="00000000">
      <w:pPr>
        <w:spacing w:after="200" w:line="360" w:lineRule="auto"/>
        <w:jc w:val="both"/>
      </w:pPr>
      <w:r w:rsidRPr="00103DD3">
        <w:t>The consumer confidence index is an important economic indicator that highlights the optimism or pessimism of consumers, and hence, it influences the demand for goods and services. Mostly, a positive economic outlook leads to positive consumer sentiments, which encourage spending, while a negative or uncertain economic outlook leads to pessimism, and people are more likely to spend less or save more. Based on the analysis of the CCI of the four nations, the CCI has been fluctuating based on different economic factors such as inflation and economic crises, political factors such as prolonged crises and economic policies, and issues that affect social well-being such as pandemics. Based on the analysis of CCI for the USA, Japan, Malaysia, and India alongside that of Hong Kong, global crises have led to a drop in the consumer confidence index in all nations, as indicated by statistics during the COVID-19 pandemic. From the analysis, emerging economies have increased fluctuation in CCI due to their fluctuating economic fortunes, unlike in the developed nations where CCI has remained stable unless in cases where economies are affected by pandemics beyond their control. Therefore, to meet the objective of determining the most appropriate country that the company can invest in during global expansion, developed nations provide the economic stability and consumer confidence needed to drive sales. From the analysis, the most appropriate country to invest in is the USA because it is a stable economy, has shown great ability to develop policies that redeem it from economic crises, thus increasing consumer confidence, and currently has a sustained consumer confidence index above 100 in the past 7 years.</w:t>
      </w:r>
    </w:p>
    <w:p w14:paraId="05FBE492" w14:textId="77777777" w:rsidR="00692EA7" w:rsidRPr="00103DD3" w:rsidRDefault="00000000">
      <w:pPr>
        <w:pStyle w:val="2"/>
        <w:spacing w:beforeAutospacing="0" w:after="200" w:afterAutospacing="0" w:line="360" w:lineRule="auto"/>
        <w:rPr>
          <w:sz w:val="28"/>
          <w:szCs w:val="28"/>
        </w:rPr>
      </w:pPr>
      <w:bookmarkStart w:id="28" w:name="__RefHeading___Toc4232_2927161102"/>
      <w:bookmarkStart w:id="29" w:name="_Toc160527049"/>
      <w:bookmarkEnd w:id="28"/>
      <w:r w:rsidRPr="00103DD3">
        <w:rPr>
          <w:sz w:val="28"/>
          <w:szCs w:val="28"/>
        </w:rPr>
        <w:lastRenderedPageBreak/>
        <w:t>4.2 Recommendation</w:t>
      </w:r>
      <w:bookmarkEnd w:id="29"/>
    </w:p>
    <w:p w14:paraId="2B7C6DB0" w14:textId="77777777" w:rsidR="00692EA7" w:rsidRPr="00103DD3" w:rsidRDefault="00000000">
      <w:pPr>
        <w:spacing w:after="200" w:line="360" w:lineRule="auto"/>
        <w:jc w:val="both"/>
      </w:pPr>
      <w:r w:rsidRPr="00103DD3">
        <w:t>Given the analysis, the USA is the most appropriate country to invest in. The company should consider investing in the USA through strategic partnerships with companies or investors in the US. A strategic partnership is a long-term collaboration between two or more businesses that operate together to attain mutually beneficial goals (</w:t>
      </w:r>
      <w:proofErr w:type="spellStart"/>
      <w:r w:rsidRPr="00103DD3">
        <w:t>Cihelkova</w:t>
      </w:r>
      <w:proofErr w:type="spellEnd"/>
      <w:r w:rsidRPr="00103DD3">
        <w:t xml:space="preserve"> et al., 2020). By investing in the USA through strategic partnerships, the company will leverage the strategic partners' brand image, strength, networks, and infrastructure to develop and sustain new customers, thereby increasing sales and driving up revenues.</w:t>
      </w:r>
    </w:p>
    <w:p w14:paraId="5F88B8B3" w14:textId="77777777" w:rsidR="00692EA7" w:rsidRPr="00103DD3" w:rsidRDefault="00000000">
      <w:pPr>
        <w:spacing w:after="200" w:line="360" w:lineRule="auto"/>
        <w:jc w:val="both"/>
      </w:pPr>
      <w:r w:rsidRPr="00103DD3">
        <w:t xml:space="preserve">The limitation of the report is that it relies only on the consumer confidence index, which might heavily fluctuate over </w:t>
      </w:r>
      <w:proofErr w:type="gramStart"/>
      <w:r w:rsidRPr="00103DD3">
        <w:t>a period of time</w:t>
      </w:r>
      <w:proofErr w:type="gramEnd"/>
      <w:r w:rsidRPr="00103DD3">
        <w:t xml:space="preserve"> and may fail to give an accurate economic outlook of where an entity intends to invest. The problem may be addressed by applying more than one economic indicator when determining the destination for investment.</w:t>
      </w:r>
    </w:p>
    <w:p w14:paraId="1B229AF9" w14:textId="77777777" w:rsidR="00692EA7" w:rsidRPr="00103DD3" w:rsidRDefault="00692EA7">
      <w:pPr>
        <w:spacing w:line="360" w:lineRule="auto"/>
        <w:jc w:val="both"/>
      </w:pPr>
    </w:p>
    <w:p w14:paraId="19A0042C" w14:textId="77777777" w:rsidR="00692EA7" w:rsidRPr="00103DD3" w:rsidRDefault="00692EA7">
      <w:pPr>
        <w:spacing w:line="360" w:lineRule="auto"/>
        <w:jc w:val="both"/>
      </w:pPr>
    </w:p>
    <w:p w14:paraId="2ACCCAED" w14:textId="77777777" w:rsidR="00692EA7" w:rsidRPr="00103DD3" w:rsidRDefault="00692EA7">
      <w:pPr>
        <w:spacing w:line="360" w:lineRule="auto"/>
        <w:jc w:val="both"/>
      </w:pPr>
    </w:p>
    <w:p w14:paraId="0D91AFC1" w14:textId="77777777" w:rsidR="00692EA7" w:rsidRPr="00103DD3" w:rsidRDefault="00692EA7">
      <w:pPr>
        <w:spacing w:line="360" w:lineRule="auto"/>
        <w:jc w:val="both"/>
      </w:pPr>
    </w:p>
    <w:p w14:paraId="291047CC" w14:textId="77777777" w:rsidR="00692EA7" w:rsidRPr="00103DD3" w:rsidRDefault="00692EA7">
      <w:pPr>
        <w:spacing w:line="360" w:lineRule="auto"/>
        <w:jc w:val="both"/>
      </w:pPr>
    </w:p>
    <w:p w14:paraId="709F17ED" w14:textId="29C2CD97" w:rsidR="00692EA7" w:rsidRPr="00103DD3" w:rsidRDefault="00692EA7">
      <w:pPr>
        <w:spacing w:line="360" w:lineRule="auto"/>
        <w:jc w:val="both"/>
      </w:pPr>
    </w:p>
    <w:p w14:paraId="3155D5CD" w14:textId="44F7D8F0" w:rsidR="00103DD3" w:rsidRPr="00103DD3" w:rsidRDefault="00103DD3">
      <w:pPr>
        <w:spacing w:line="360" w:lineRule="auto"/>
        <w:jc w:val="both"/>
      </w:pPr>
    </w:p>
    <w:p w14:paraId="734A4341" w14:textId="5FA177E4" w:rsidR="00103DD3" w:rsidRPr="00103DD3" w:rsidRDefault="00103DD3">
      <w:pPr>
        <w:spacing w:line="360" w:lineRule="auto"/>
        <w:jc w:val="both"/>
      </w:pPr>
    </w:p>
    <w:p w14:paraId="50815D30" w14:textId="73D581D4" w:rsidR="00103DD3" w:rsidRPr="00103DD3" w:rsidRDefault="00103DD3">
      <w:pPr>
        <w:spacing w:line="360" w:lineRule="auto"/>
        <w:jc w:val="both"/>
      </w:pPr>
    </w:p>
    <w:p w14:paraId="60E28DB0" w14:textId="0416B908" w:rsidR="00103DD3" w:rsidRPr="00103DD3" w:rsidRDefault="00103DD3">
      <w:pPr>
        <w:spacing w:line="360" w:lineRule="auto"/>
        <w:jc w:val="both"/>
      </w:pPr>
    </w:p>
    <w:p w14:paraId="76C51383" w14:textId="4B42E9A1" w:rsidR="00103DD3" w:rsidRDefault="00103DD3">
      <w:pPr>
        <w:spacing w:line="360" w:lineRule="auto"/>
        <w:jc w:val="both"/>
      </w:pPr>
    </w:p>
    <w:p w14:paraId="61099A28" w14:textId="77777777" w:rsidR="00B62C75" w:rsidRPr="00103DD3" w:rsidRDefault="00B62C75">
      <w:pPr>
        <w:spacing w:line="360" w:lineRule="auto"/>
        <w:jc w:val="both"/>
        <w:rPr>
          <w:rFonts w:hint="eastAsia"/>
        </w:rPr>
      </w:pPr>
    </w:p>
    <w:p w14:paraId="68D23750" w14:textId="4622EF73" w:rsidR="00103DD3" w:rsidRPr="00103DD3" w:rsidRDefault="00103DD3">
      <w:pPr>
        <w:spacing w:line="360" w:lineRule="auto"/>
        <w:jc w:val="both"/>
      </w:pPr>
    </w:p>
    <w:p w14:paraId="4548E3E5" w14:textId="77777777" w:rsidR="00103DD3" w:rsidRPr="00103DD3" w:rsidRDefault="00103DD3">
      <w:pPr>
        <w:spacing w:line="360" w:lineRule="auto"/>
        <w:jc w:val="both"/>
        <w:rPr>
          <w:rFonts w:hint="eastAsia"/>
        </w:rPr>
      </w:pPr>
    </w:p>
    <w:p w14:paraId="2265CF7E" w14:textId="3213FB68" w:rsidR="00692EA7" w:rsidRPr="00103DD3" w:rsidRDefault="00000000">
      <w:pPr>
        <w:pStyle w:val="1"/>
        <w:spacing w:before="0" w:after="200" w:line="360" w:lineRule="auto"/>
        <w:jc w:val="center"/>
        <w:rPr>
          <w:color w:val="000000" w:themeColor="text1"/>
          <w:sz w:val="32"/>
          <w:szCs w:val="32"/>
        </w:rPr>
      </w:pPr>
      <w:bookmarkStart w:id="30" w:name="__RefHeading___Toc4234_2927161102"/>
      <w:bookmarkStart w:id="31" w:name="_Toc160527050"/>
      <w:bookmarkEnd w:id="30"/>
      <w:r w:rsidRPr="00103DD3">
        <w:rPr>
          <w:color w:val="000000" w:themeColor="text1"/>
          <w:sz w:val="32"/>
          <w:szCs w:val="32"/>
        </w:rPr>
        <w:lastRenderedPageBreak/>
        <w:t>References</w:t>
      </w:r>
      <w:bookmarkEnd w:id="31"/>
    </w:p>
    <w:p w14:paraId="43A093E8" w14:textId="4DCC1808" w:rsidR="00103DD3" w:rsidRPr="00103DD3" w:rsidRDefault="00103DD3" w:rsidP="00103DD3">
      <w:pPr>
        <w:spacing w:line="360" w:lineRule="auto"/>
        <w:rPr>
          <w:shd w:val="clear" w:color="auto" w:fill="FFFFFF"/>
        </w:rPr>
      </w:pPr>
      <w:r w:rsidRPr="00103DD3">
        <w:rPr>
          <w:shd w:val="clear" w:color="auto" w:fill="FFFFFF"/>
        </w:rPr>
        <w:t>Ahmad</w:t>
      </w:r>
      <w:r w:rsidRPr="00103DD3">
        <w:rPr>
          <w:shd w:val="clear" w:color="auto" w:fill="FFFFFF"/>
        </w:rPr>
        <w:t xml:space="preserve">, J. (2021). Impact of Demonetization and Goods and Services Tax (GST) on India's Economic Growth: A Critical Review. </w:t>
      </w:r>
      <w:r w:rsidRPr="00103DD3">
        <w:rPr>
          <w:shd w:val="clear" w:color="auto" w:fill="FFFFFF"/>
        </w:rPr>
        <w:t xml:space="preserve">South Asian </w:t>
      </w:r>
      <w:r w:rsidRPr="00103DD3">
        <w:rPr>
          <w:shd w:val="clear" w:color="auto" w:fill="FFFFFF"/>
        </w:rPr>
        <w:t xml:space="preserve">Journal of </w:t>
      </w:r>
      <w:r w:rsidRPr="00103DD3">
        <w:rPr>
          <w:shd w:val="clear" w:color="auto" w:fill="FFFFFF"/>
        </w:rPr>
        <w:t>Social Studies and</w:t>
      </w:r>
      <w:r w:rsidRPr="00103DD3">
        <w:rPr>
          <w:shd w:val="clear" w:color="auto" w:fill="FFFFFF"/>
        </w:rPr>
        <w:t xml:space="preserve"> Economics, 1</w:t>
      </w:r>
      <w:r w:rsidRPr="00103DD3">
        <w:rPr>
          <w:shd w:val="clear" w:color="auto" w:fill="FFFFFF"/>
        </w:rPr>
        <w:t>2</w:t>
      </w:r>
      <w:r w:rsidRPr="00103DD3">
        <w:rPr>
          <w:shd w:val="clear" w:color="auto" w:fill="FFFFFF"/>
        </w:rPr>
        <w:t>(</w:t>
      </w:r>
      <w:r w:rsidRPr="00103DD3">
        <w:rPr>
          <w:shd w:val="clear" w:color="auto" w:fill="FFFFFF"/>
        </w:rPr>
        <w:t>4</w:t>
      </w:r>
      <w:r w:rsidRPr="00103DD3">
        <w:rPr>
          <w:shd w:val="clear" w:color="auto" w:fill="FFFFFF"/>
        </w:rPr>
        <w:t xml:space="preserve">), </w:t>
      </w:r>
      <w:r w:rsidRPr="00103DD3">
        <w:rPr>
          <w:shd w:val="clear" w:color="auto" w:fill="FFFFFF"/>
        </w:rPr>
        <w:t>78</w:t>
      </w:r>
      <w:r w:rsidRPr="00103DD3">
        <w:rPr>
          <w:shd w:val="clear" w:color="auto" w:fill="FFFFFF"/>
        </w:rPr>
        <w:t>-</w:t>
      </w:r>
      <w:r w:rsidRPr="00103DD3">
        <w:rPr>
          <w:shd w:val="clear" w:color="auto" w:fill="FFFFFF"/>
        </w:rPr>
        <w:t>87</w:t>
      </w:r>
      <w:r w:rsidRPr="00103DD3">
        <w:rPr>
          <w:shd w:val="clear" w:color="auto" w:fill="FFFFFF"/>
        </w:rPr>
        <w:t>.</w:t>
      </w:r>
      <w:r w:rsidRPr="00103DD3">
        <w:rPr>
          <w:shd w:val="clear" w:color="auto" w:fill="FFFFFF"/>
        </w:rPr>
        <w:t xml:space="preserve"> </w:t>
      </w:r>
    </w:p>
    <w:p w14:paraId="3C8F0A90" w14:textId="77777777" w:rsidR="00103DD3" w:rsidRPr="00103DD3" w:rsidRDefault="00103DD3" w:rsidP="00103DD3">
      <w:pPr>
        <w:rPr>
          <w:rFonts w:hint="eastAsia"/>
        </w:rPr>
      </w:pPr>
    </w:p>
    <w:p w14:paraId="36D5D9EF" w14:textId="77777777" w:rsidR="00692EA7" w:rsidRPr="00103DD3" w:rsidRDefault="00000000">
      <w:pPr>
        <w:spacing w:after="200" w:line="360" w:lineRule="auto"/>
        <w:jc w:val="both"/>
        <w:rPr>
          <w:shd w:val="clear" w:color="auto" w:fill="FFFFFF"/>
        </w:rPr>
      </w:pPr>
      <w:r w:rsidRPr="00103DD3">
        <w:rPr>
          <w:shd w:val="clear" w:color="auto" w:fill="FFFFFF"/>
        </w:rPr>
        <w:t>Afonso, A. and Blanco-Arana, M.C., 2022. Financial and economic development in the context of the global 2008-09 financial crisis. </w:t>
      </w:r>
      <w:r w:rsidRPr="00103DD3">
        <w:rPr>
          <w:i/>
          <w:iCs/>
          <w:shd w:val="clear" w:color="auto" w:fill="FFFFFF"/>
        </w:rPr>
        <w:t>International Economics</w:t>
      </w:r>
      <w:r w:rsidRPr="00103DD3">
        <w:rPr>
          <w:shd w:val="clear" w:color="auto" w:fill="FFFFFF"/>
        </w:rPr>
        <w:t>, </w:t>
      </w:r>
      <w:r w:rsidRPr="00103DD3">
        <w:rPr>
          <w:i/>
          <w:iCs/>
          <w:shd w:val="clear" w:color="auto" w:fill="FFFFFF"/>
        </w:rPr>
        <w:t>169</w:t>
      </w:r>
      <w:r w:rsidRPr="00103DD3">
        <w:rPr>
          <w:shd w:val="clear" w:color="auto" w:fill="FFFFFF"/>
        </w:rPr>
        <w:t>, pp.30-42.</w:t>
      </w:r>
      <w:r w:rsidRPr="00103DD3">
        <w:t xml:space="preserve"> </w:t>
      </w:r>
      <w:hyperlink r:id="rId23">
        <w:r w:rsidRPr="00103DD3">
          <w:rPr>
            <w:rStyle w:val="a5"/>
            <w:color w:val="000000"/>
            <w:shd w:val="clear" w:color="auto" w:fill="FFFFFF"/>
          </w:rPr>
          <w:t>https://riuma.uma.es/xmlui/bitstream/handle/10630/30197/11_REM_WP_046_2018_BLANCO_ARANA.pdf?sequence=1&amp;isAllowed=y</w:t>
        </w:r>
      </w:hyperlink>
    </w:p>
    <w:p w14:paraId="45167267" w14:textId="77777777" w:rsidR="00692EA7" w:rsidRPr="00103DD3" w:rsidRDefault="00000000">
      <w:pPr>
        <w:spacing w:after="200" w:line="360" w:lineRule="auto"/>
        <w:jc w:val="both"/>
        <w:rPr>
          <w:shd w:val="clear" w:color="auto" w:fill="FFFFFF"/>
        </w:rPr>
      </w:pPr>
      <w:r w:rsidRPr="00103DD3">
        <w:rPr>
          <w:shd w:val="clear" w:color="auto" w:fill="FFFFFF"/>
        </w:rPr>
        <w:t>Boylan, B.M., McBeath, J. and Wang, B., 2021. US–China relations: Nationalism, the trade war, and COVID-19. </w:t>
      </w:r>
      <w:r w:rsidRPr="00103DD3">
        <w:rPr>
          <w:i/>
          <w:iCs/>
          <w:shd w:val="clear" w:color="auto" w:fill="FFFFFF"/>
        </w:rPr>
        <w:t>Fudan Journal of the Humanities and Social Sciences</w:t>
      </w:r>
      <w:r w:rsidRPr="00103DD3">
        <w:rPr>
          <w:shd w:val="clear" w:color="auto" w:fill="FFFFFF"/>
        </w:rPr>
        <w:t>, </w:t>
      </w:r>
      <w:r w:rsidRPr="00103DD3">
        <w:rPr>
          <w:i/>
          <w:iCs/>
          <w:shd w:val="clear" w:color="auto" w:fill="FFFFFF"/>
        </w:rPr>
        <w:t>14</w:t>
      </w:r>
      <w:r w:rsidRPr="00103DD3">
        <w:rPr>
          <w:shd w:val="clear" w:color="auto" w:fill="FFFFFF"/>
        </w:rPr>
        <w:t xml:space="preserve">, pp.23-40. </w:t>
      </w:r>
      <w:hyperlink r:id="rId24">
        <w:r w:rsidRPr="00103DD3">
          <w:rPr>
            <w:rStyle w:val="a5"/>
            <w:color w:val="000000"/>
            <w:shd w:val="clear" w:color="auto" w:fill="FFFFFF"/>
          </w:rPr>
          <w:t>https://doi.org/10.1007/s40647-020-00302-6</w:t>
        </w:r>
      </w:hyperlink>
    </w:p>
    <w:p w14:paraId="092FA553" w14:textId="5B75D443" w:rsidR="00692EA7" w:rsidRPr="00103DD3" w:rsidRDefault="00000000">
      <w:pPr>
        <w:spacing w:after="200" w:line="360" w:lineRule="auto"/>
        <w:jc w:val="both"/>
      </w:pPr>
      <w:proofErr w:type="spellStart"/>
      <w:r w:rsidRPr="00103DD3">
        <w:rPr>
          <w:shd w:val="clear" w:color="auto" w:fill="FFFFFF"/>
        </w:rPr>
        <w:t>Cihelkova</w:t>
      </w:r>
      <w:proofErr w:type="spellEnd"/>
      <w:r w:rsidRPr="00103DD3">
        <w:rPr>
          <w:shd w:val="clear" w:color="auto" w:fill="FFFFFF"/>
        </w:rPr>
        <w:t xml:space="preserve">, E., Nguyen, H.P., </w:t>
      </w:r>
      <w:proofErr w:type="spellStart"/>
      <w:r w:rsidRPr="00103DD3">
        <w:rPr>
          <w:shd w:val="clear" w:color="auto" w:fill="FFFFFF"/>
        </w:rPr>
        <w:t>Fabuš</w:t>
      </w:r>
      <w:proofErr w:type="spellEnd"/>
      <w:r w:rsidRPr="00103DD3">
        <w:rPr>
          <w:shd w:val="clear" w:color="auto" w:fill="FFFFFF"/>
        </w:rPr>
        <w:t xml:space="preserve">, M. and </w:t>
      </w:r>
      <w:proofErr w:type="spellStart"/>
      <w:r w:rsidRPr="00103DD3">
        <w:rPr>
          <w:shd w:val="clear" w:color="auto" w:fill="FFFFFF"/>
        </w:rPr>
        <w:t>Čimová</w:t>
      </w:r>
      <w:proofErr w:type="spellEnd"/>
      <w:r w:rsidRPr="00103DD3">
        <w:rPr>
          <w:shd w:val="clear" w:color="auto" w:fill="FFFFFF"/>
        </w:rPr>
        <w:t xml:space="preserve">, K., 2020. The EU concept of </w:t>
      </w:r>
      <w:proofErr w:type="spellStart"/>
      <w:r w:rsidRPr="00103DD3">
        <w:rPr>
          <w:shd w:val="clear" w:color="auto" w:fill="FFFFFF"/>
        </w:rPr>
        <w:t>the'strategic</w:t>
      </w:r>
      <w:proofErr w:type="spellEnd"/>
      <w:r w:rsidRPr="00103DD3">
        <w:rPr>
          <w:shd w:val="clear" w:color="auto" w:fill="FFFFFF"/>
        </w:rPr>
        <w:t xml:space="preserve"> partnership': identifying </w:t>
      </w:r>
      <w:proofErr w:type="spellStart"/>
      <w:r w:rsidRPr="00103DD3">
        <w:rPr>
          <w:shd w:val="clear" w:color="auto" w:fill="FFFFFF"/>
        </w:rPr>
        <w:t>the'unifying'criteria</w:t>
      </w:r>
      <w:proofErr w:type="spellEnd"/>
      <w:r w:rsidRPr="00103DD3">
        <w:rPr>
          <w:shd w:val="clear" w:color="auto" w:fill="FFFFFF"/>
        </w:rPr>
        <w:t xml:space="preserve"> for the differentiation of strategic partners. </w:t>
      </w:r>
      <w:r w:rsidRPr="00103DD3">
        <w:rPr>
          <w:i/>
          <w:iCs/>
          <w:shd w:val="clear" w:color="auto" w:fill="FFFFFF"/>
        </w:rPr>
        <w:t>Entrepreneurship and Sustainability Issues</w:t>
      </w:r>
      <w:r w:rsidRPr="00103DD3">
        <w:rPr>
          <w:shd w:val="clear" w:color="auto" w:fill="FFFFFF"/>
        </w:rPr>
        <w:t>, </w:t>
      </w:r>
      <w:r w:rsidRPr="00103DD3">
        <w:rPr>
          <w:i/>
          <w:iCs/>
          <w:shd w:val="clear" w:color="auto" w:fill="FFFFFF"/>
        </w:rPr>
        <w:t>7</w:t>
      </w:r>
      <w:r w:rsidRPr="00103DD3">
        <w:rPr>
          <w:shd w:val="clear" w:color="auto" w:fill="FFFFFF"/>
        </w:rPr>
        <w:t>(3), pp.1723-1739.</w:t>
      </w:r>
      <w:r w:rsidRPr="00103DD3">
        <w:t>http://doi.org/10.9770/jesi.2020.7.3(19)</w:t>
      </w:r>
    </w:p>
    <w:p w14:paraId="525CF956" w14:textId="199B66B6" w:rsidR="00103DD3" w:rsidRPr="00103DD3" w:rsidRDefault="00103DD3" w:rsidP="00103DD3">
      <w:pPr>
        <w:spacing w:after="200" w:line="360" w:lineRule="auto"/>
        <w:jc w:val="both"/>
      </w:pPr>
      <w:proofErr w:type="spellStart"/>
      <w:r w:rsidRPr="00103DD3">
        <w:t>Edey</w:t>
      </w:r>
      <w:proofErr w:type="spellEnd"/>
      <w:r w:rsidRPr="00103DD3">
        <w:t>, M. (2009). The global financial crisis and its effects. Economic Papers: A journal of applied economics and policy, 28(3), 186-195.</w:t>
      </w:r>
      <w:r w:rsidRPr="00103DD3">
        <w:tab/>
      </w:r>
    </w:p>
    <w:p w14:paraId="03E614B5" w14:textId="77777777" w:rsidR="00692EA7" w:rsidRPr="00103DD3" w:rsidRDefault="00000000">
      <w:pPr>
        <w:spacing w:after="200" w:line="360" w:lineRule="auto"/>
        <w:jc w:val="both"/>
        <w:rPr>
          <w:shd w:val="clear" w:color="auto" w:fill="FFFFFF"/>
        </w:rPr>
      </w:pPr>
      <w:proofErr w:type="spellStart"/>
      <w:r w:rsidRPr="00103DD3">
        <w:rPr>
          <w:shd w:val="clear" w:color="auto" w:fill="FFFFFF"/>
        </w:rPr>
        <w:t>Elmassah</w:t>
      </w:r>
      <w:proofErr w:type="spellEnd"/>
      <w:r w:rsidRPr="00103DD3">
        <w:rPr>
          <w:shd w:val="clear" w:color="auto" w:fill="FFFFFF"/>
        </w:rPr>
        <w:t xml:space="preserve">, S. and </w:t>
      </w:r>
      <w:proofErr w:type="spellStart"/>
      <w:r w:rsidRPr="00103DD3">
        <w:rPr>
          <w:shd w:val="clear" w:color="auto" w:fill="FFFFFF"/>
        </w:rPr>
        <w:t>Hassanein</w:t>
      </w:r>
      <w:proofErr w:type="spellEnd"/>
      <w:r w:rsidRPr="00103DD3">
        <w:rPr>
          <w:shd w:val="clear" w:color="auto" w:fill="FFFFFF"/>
        </w:rPr>
        <w:t>, E.A., 2020. US Consumer Confidence Responses to Shocks: COVID-19 Scenarios and Recovery. Under review: REHO Special Issue.</w:t>
      </w:r>
      <w:r w:rsidRPr="00103DD3">
        <w:t xml:space="preserve"> DOI: https://doi.org/10.21203/rs.3.rs-41081/v1</w:t>
      </w:r>
    </w:p>
    <w:p w14:paraId="3A1B062D" w14:textId="77777777" w:rsidR="00692EA7" w:rsidRPr="00103DD3" w:rsidRDefault="00000000">
      <w:pPr>
        <w:spacing w:after="200" w:line="360" w:lineRule="auto"/>
        <w:jc w:val="both"/>
        <w:rPr>
          <w:shd w:val="clear" w:color="auto" w:fill="FFFFFF"/>
        </w:rPr>
      </w:pPr>
      <w:r w:rsidRPr="00103DD3">
        <w:rPr>
          <w:shd w:val="clear" w:color="auto" w:fill="FFFFFF"/>
        </w:rPr>
        <w:t>Goyal, A., 2020. Post COVID-19: recovering and sustaining India’s growth. </w:t>
      </w:r>
      <w:r w:rsidRPr="00103DD3">
        <w:rPr>
          <w:i/>
          <w:iCs/>
          <w:shd w:val="clear" w:color="auto" w:fill="FFFFFF"/>
        </w:rPr>
        <w:t>Indian Economic Review</w:t>
      </w:r>
      <w:r w:rsidRPr="00103DD3">
        <w:rPr>
          <w:shd w:val="clear" w:color="auto" w:fill="FFFFFF"/>
        </w:rPr>
        <w:t>, </w:t>
      </w:r>
      <w:r w:rsidRPr="00103DD3">
        <w:rPr>
          <w:i/>
          <w:iCs/>
          <w:shd w:val="clear" w:color="auto" w:fill="FFFFFF"/>
        </w:rPr>
        <w:t>55</w:t>
      </w:r>
      <w:r w:rsidRPr="00103DD3">
        <w:rPr>
          <w:shd w:val="clear" w:color="auto" w:fill="FFFFFF"/>
        </w:rPr>
        <w:t xml:space="preserve">, pp.161-181. </w:t>
      </w:r>
      <w:hyperlink r:id="rId25">
        <w:r w:rsidRPr="00103DD3">
          <w:rPr>
            <w:rStyle w:val="a5"/>
            <w:color w:val="000000"/>
            <w:shd w:val="clear" w:color="auto" w:fill="FFFFFF"/>
          </w:rPr>
          <w:t>https://doi.org/10.1007/s41775-020-00089-z</w:t>
        </w:r>
      </w:hyperlink>
    </w:p>
    <w:p w14:paraId="39C8BAF3" w14:textId="77777777" w:rsidR="00692EA7" w:rsidRPr="00103DD3" w:rsidRDefault="00000000">
      <w:pPr>
        <w:spacing w:after="200" w:line="360" w:lineRule="auto"/>
        <w:jc w:val="both"/>
      </w:pPr>
      <w:r w:rsidRPr="00103DD3">
        <w:rPr>
          <w:shd w:val="clear" w:color="auto" w:fill="FFFFFF"/>
        </w:rPr>
        <w:t xml:space="preserve">Haider, S., </w:t>
      </w:r>
      <w:proofErr w:type="spellStart"/>
      <w:r w:rsidRPr="00103DD3">
        <w:rPr>
          <w:shd w:val="clear" w:color="auto" w:fill="FFFFFF"/>
        </w:rPr>
        <w:t>Ganaie</w:t>
      </w:r>
      <w:proofErr w:type="spellEnd"/>
      <w:r w:rsidRPr="00103DD3">
        <w:rPr>
          <w:shd w:val="clear" w:color="auto" w:fill="FFFFFF"/>
        </w:rPr>
        <w:t xml:space="preserve">, A.A. and </w:t>
      </w:r>
      <w:proofErr w:type="spellStart"/>
      <w:r w:rsidRPr="00103DD3">
        <w:rPr>
          <w:shd w:val="clear" w:color="auto" w:fill="FFFFFF"/>
        </w:rPr>
        <w:t>Kamaiah</w:t>
      </w:r>
      <w:proofErr w:type="spellEnd"/>
      <w:r w:rsidRPr="00103DD3">
        <w:rPr>
          <w:shd w:val="clear" w:color="auto" w:fill="FFFFFF"/>
        </w:rPr>
        <w:t>, B., 2019. Total factor productivity and openness in Indian economy: 1970–2011. </w:t>
      </w:r>
      <w:r w:rsidRPr="00103DD3">
        <w:rPr>
          <w:i/>
          <w:iCs/>
          <w:shd w:val="clear" w:color="auto" w:fill="FFFFFF"/>
        </w:rPr>
        <w:t>Foreign Trade Review</w:t>
      </w:r>
      <w:r w:rsidRPr="00103DD3">
        <w:rPr>
          <w:shd w:val="clear" w:color="auto" w:fill="FFFFFF"/>
        </w:rPr>
        <w:t>, </w:t>
      </w:r>
      <w:r w:rsidRPr="00103DD3">
        <w:rPr>
          <w:i/>
          <w:iCs/>
          <w:shd w:val="clear" w:color="auto" w:fill="FFFFFF"/>
        </w:rPr>
        <w:t>54</w:t>
      </w:r>
      <w:r w:rsidRPr="00103DD3">
        <w:rPr>
          <w:shd w:val="clear" w:color="auto" w:fill="FFFFFF"/>
        </w:rPr>
        <w:t>(1), pp.46-57.</w:t>
      </w:r>
      <w:r w:rsidRPr="00103DD3">
        <w:t xml:space="preserve"> DOI: 10.1177/0015732518810835</w:t>
      </w:r>
    </w:p>
    <w:p w14:paraId="64B8C482" w14:textId="1096A599" w:rsidR="00692EA7" w:rsidRPr="00103DD3" w:rsidRDefault="00000000">
      <w:pPr>
        <w:spacing w:after="200" w:line="360" w:lineRule="auto"/>
        <w:jc w:val="both"/>
      </w:pPr>
      <w:r w:rsidRPr="00103DD3">
        <w:rPr>
          <w:shd w:val="clear" w:color="auto" w:fill="FFFFFF"/>
        </w:rPr>
        <w:t>Hawkes, C., 2020. Five steps towards a global reset: lessons from COVID-19. </w:t>
      </w:r>
      <w:r w:rsidRPr="00103DD3">
        <w:rPr>
          <w:i/>
          <w:iCs/>
          <w:shd w:val="clear" w:color="auto" w:fill="FFFFFF"/>
        </w:rPr>
        <w:t>Global Sustainability</w:t>
      </w:r>
      <w:r w:rsidRPr="00103DD3">
        <w:rPr>
          <w:shd w:val="clear" w:color="auto" w:fill="FFFFFF"/>
        </w:rPr>
        <w:t>, </w:t>
      </w:r>
      <w:r w:rsidRPr="00103DD3">
        <w:rPr>
          <w:i/>
          <w:iCs/>
          <w:shd w:val="clear" w:color="auto" w:fill="FFFFFF"/>
        </w:rPr>
        <w:t>3</w:t>
      </w:r>
      <w:r w:rsidRPr="00103DD3">
        <w:rPr>
          <w:shd w:val="clear" w:color="auto" w:fill="FFFFFF"/>
        </w:rPr>
        <w:t xml:space="preserve">, </w:t>
      </w:r>
      <w:proofErr w:type="gramStart"/>
      <w:r w:rsidRPr="00103DD3">
        <w:rPr>
          <w:shd w:val="clear" w:color="auto" w:fill="FFFFFF"/>
        </w:rPr>
        <w:t>p.e30.</w:t>
      </w:r>
      <w:r w:rsidRPr="00103DD3">
        <w:t>https</w:t>
      </w:r>
      <w:proofErr w:type="gramEnd"/>
      <w:r w:rsidRPr="00103DD3">
        <w:t>:// doi.org/10.1017/sus.2020.24</w:t>
      </w:r>
    </w:p>
    <w:p w14:paraId="5C75881D" w14:textId="770C313A" w:rsidR="00103DD3" w:rsidRPr="00103DD3" w:rsidRDefault="00103DD3" w:rsidP="00103DD3">
      <w:pPr>
        <w:spacing w:after="200" w:line="360" w:lineRule="auto"/>
        <w:jc w:val="both"/>
      </w:pPr>
      <w:r w:rsidRPr="00103DD3">
        <w:lastRenderedPageBreak/>
        <w:t xml:space="preserve">Islam, T. U., &amp; Mumtaz, M. N. (2016). Consumer Confidence Index and Economic Growth: An Empirical Analysis of EU Countries. </w:t>
      </w:r>
      <w:proofErr w:type="spellStart"/>
      <w:r w:rsidRPr="00103DD3">
        <w:t>EuroEconomica</w:t>
      </w:r>
      <w:proofErr w:type="spellEnd"/>
      <w:r w:rsidRPr="00103DD3">
        <w:t>, 35(2).</w:t>
      </w:r>
    </w:p>
    <w:p w14:paraId="4319C5E7" w14:textId="77777777" w:rsidR="00103DD3" w:rsidRPr="00103DD3" w:rsidRDefault="00103DD3" w:rsidP="00103DD3">
      <w:pPr>
        <w:spacing w:after="200" w:line="360" w:lineRule="auto"/>
        <w:jc w:val="both"/>
      </w:pPr>
      <w:r w:rsidRPr="00103DD3">
        <w:t xml:space="preserve">Jones, R. S., &amp; </w:t>
      </w:r>
      <w:proofErr w:type="spellStart"/>
      <w:r w:rsidRPr="00103DD3">
        <w:t>Seitani</w:t>
      </w:r>
      <w:proofErr w:type="spellEnd"/>
      <w:r w:rsidRPr="00103DD3">
        <w:t xml:space="preserve">, H. (2019). </w:t>
      </w:r>
      <w:proofErr w:type="spellStart"/>
      <w:r w:rsidRPr="00103DD3">
        <w:t>Labour</w:t>
      </w:r>
      <w:proofErr w:type="spellEnd"/>
      <w:r w:rsidRPr="00103DD3">
        <w:t xml:space="preserve"> market reform in Japan to cope with a shrinking and ageing population.</w:t>
      </w:r>
    </w:p>
    <w:p w14:paraId="219DE7A8" w14:textId="77777777" w:rsidR="00103DD3" w:rsidRPr="00103DD3" w:rsidRDefault="00103DD3" w:rsidP="00103DD3">
      <w:pPr>
        <w:spacing w:after="200" w:line="360" w:lineRule="auto"/>
        <w:jc w:val="both"/>
      </w:pPr>
      <w:proofErr w:type="spellStart"/>
      <w:r w:rsidRPr="00103DD3">
        <w:t>Karagöz</w:t>
      </w:r>
      <w:proofErr w:type="spellEnd"/>
      <w:r w:rsidRPr="00103DD3">
        <w:t xml:space="preserve">, D., &amp; </w:t>
      </w:r>
      <w:proofErr w:type="spellStart"/>
      <w:r w:rsidRPr="00103DD3">
        <w:t>Aktaş</w:t>
      </w:r>
      <w:proofErr w:type="spellEnd"/>
      <w:r w:rsidRPr="00103DD3">
        <w:t>, S. (2015). Evaluation of consumer confidence index of central bank of Turkey consumer tendency survey. TOJSAT, 5(3), 31-36.</w:t>
      </w:r>
    </w:p>
    <w:p w14:paraId="1F578CF7" w14:textId="1D318C12" w:rsidR="00692EA7" w:rsidRPr="00103DD3" w:rsidRDefault="00000000">
      <w:pPr>
        <w:spacing w:after="200" w:line="360" w:lineRule="auto"/>
        <w:jc w:val="both"/>
        <w:rPr>
          <w:shd w:val="clear" w:color="auto" w:fill="FFFFFF"/>
        </w:rPr>
      </w:pPr>
      <w:proofErr w:type="spellStart"/>
      <w:r w:rsidRPr="00103DD3">
        <w:rPr>
          <w:shd w:val="clear" w:color="auto" w:fill="FFFFFF"/>
        </w:rPr>
        <w:t>Kinal</w:t>
      </w:r>
      <w:proofErr w:type="spellEnd"/>
      <w:r w:rsidRPr="00103DD3">
        <w:rPr>
          <w:shd w:val="clear" w:color="auto" w:fill="FFFFFF"/>
        </w:rPr>
        <w:t xml:space="preserve">, J. and </w:t>
      </w:r>
      <w:proofErr w:type="spellStart"/>
      <w:r w:rsidRPr="00103DD3">
        <w:rPr>
          <w:shd w:val="clear" w:color="auto" w:fill="FFFFFF"/>
        </w:rPr>
        <w:t>Kinal</w:t>
      </w:r>
      <w:proofErr w:type="spellEnd"/>
      <w:r w:rsidRPr="00103DD3">
        <w:rPr>
          <w:shd w:val="clear" w:color="auto" w:fill="FFFFFF"/>
        </w:rPr>
        <w:t>, M., 2022. Information as a Factor Regulating and Deregulating Markets. A Case Study of the Dot. Com Crisis, the Lehman Brothers Crisis and the Sars-Cov2 Pandemic. </w:t>
      </w:r>
      <w:r w:rsidRPr="00103DD3">
        <w:rPr>
          <w:i/>
          <w:iCs/>
          <w:shd w:val="clear" w:color="auto" w:fill="FFFFFF"/>
        </w:rPr>
        <w:t>Studies in Logic, Grammar and Rhetoric</w:t>
      </w:r>
      <w:r w:rsidRPr="00103DD3">
        <w:rPr>
          <w:shd w:val="clear" w:color="auto" w:fill="FFFFFF"/>
        </w:rPr>
        <w:t>, </w:t>
      </w:r>
      <w:r w:rsidRPr="00103DD3">
        <w:rPr>
          <w:i/>
          <w:iCs/>
          <w:shd w:val="clear" w:color="auto" w:fill="FFFFFF"/>
        </w:rPr>
        <w:t>67</w:t>
      </w:r>
      <w:r w:rsidRPr="00103DD3">
        <w:rPr>
          <w:shd w:val="clear" w:color="auto" w:fill="FFFFFF"/>
        </w:rPr>
        <w:t>(3), pp.425-440.</w:t>
      </w:r>
    </w:p>
    <w:p w14:paraId="3E8CEEF0" w14:textId="77777777" w:rsidR="00103DD3" w:rsidRPr="00103DD3" w:rsidRDefault="00103DD3" w:rsidP="00103DD3">
      <w:pPr>
        <w:spacing w:after="200" w:line="360" w:lineRule="auto"/>
        <w:jc w:val="both"/>
        <w:rPr>
          <w:shd w:val="clear" w:color="auto" w:fill="FFFFFF"/>
        </w:rPr>
      </w:pPr>
      <w:proofErr w:type="spellStart"/>
      <w:r w:rsidRPr="00103DD3">
        <w:rPr>
          <w:shd w:val="clear" w:color="auto" w:fill="FFFFFF"/>
        </w:rPr>
        <w:t>Kucuk</w:t>
      </w:r>
      <w:proofErr w:type="spellEnd"/>
      <w:r w:rsidRPr="00103DD3">
        <w:rPr>
          <w:shd w:val="clear" w:color="auto" w:fill="FFFFFF"/>
        </w:rPr>
        <w:t>, S. U. (2005). Impact of consumer confidence on purchase behavior in an emerging market. Journal of International Consumer Marketing, 18(1-2), 73-92.</w:t>
      </w:r>
    </w:p>
    <w:p w14:paraId="7CC79C1F" w14:textId="77777777" w:rsidR="00692EA7" w:rsidRPr="00103DD3" w:rsidRDefault="00000000">
      <w:pPr>
        <w:spacing w:after="200" w:line="360" w:lineRule="auto"/>
        <w:jc w:val="both"/>
        <w:rPr>
          <w:shd w:val="clear" w:color="auto" w:fill="FFFFFF"/>
        </w:rPr>
      </w:pPr>
      <w:r w:rsidRPr="00103DD3">
        <w:rPr>
          <w:shd w:val="clear" w:color="auto" w:fill="FFFFFF"/>
        </w:rPr>
        <w:t xml:space="preserve">Lim, T.C., </w:t>
      </w:r>
      <w:proofErr w:type="spellStart"/>
      <w:r w:rsidRPr="00103DD3">
        <w:rPr>
          <w:shd w:val="clear" w:color="auto" w:fill="FFFFFF"/>
        </w:rPr>
        <w:t>Phua</w:t>
      </w:r>
      <w:proofErr w:type="spellEnd"/>
      <w:r w:rsidRPr="00103DD3">
        <w:rPr>
          <w:shd w:val="clear" w:color="auto" w:fill="FFFFFF"/>
        </w:rPr>
        <w:t xml:space="preserve">, L.K., </w:t>
      </w:r>
      <w:proofErr w:type="spellStart"/>
      <w:r w:rsidRPr="00103DD3">
        <w:rPr>
          <w:shd w:val="clear" w:color="auto" w:fill="FFFFFF"/>
        </w:rPr>
        <w:t>Teh</w:t>
      </w:r>
      <w:proofErr w:type="spellEnd"/>
      <w:r w:rsidRPr="00103DD3">
        <w:rPr>
          <w:shd w:val="clear" w:color="auto" w:fill="FFFFFF"/>
        </w:rPr>
        <w:t>, S.Y. and Lok, C.L., 2021. Effectiveness of the COVID-19 economic stimulus packages: Viewpoints from Malaysian young entrepreneurs. </w:t>
      </w:r>
      <w:r w:rsidRPr="00103DD3">
        <w:rPr>
          <w:i/>
          <w:iCs/>
          <w:shd w:val="clear" w:color="auto" w:fill="FFFFFF"/>
        </w:rPr>
        <w:t>Studies of Applied Economics</w:t>
      </w:r>
      <w:r w:rsidRPr="00103DD3">
        <w:rPr>
          <w:shd w:val="clear" w:color="auto" w:fill="FFFFFF"/>
        </w:rPr>
        <w:t>, </w:t>
      </w:r>
      <w:r w:rsidRPr="00103DD3">
        <w:rPr>
          <w:i/>
          <w:iCs/>
          <w:shd w:val="clear" w:color="auto" w:fill="FFFFFF"/>
        </w:rPr>
        <w:t>39</w:t>
      </w:r>
      <w:r w:rsidRPr="00103DD3">
        <w:rPr>
          <w:shd w:val="clear" w:color="auto" w:fill="FFFFFF"/>
        </w:rPr>
        <w:t xml:space="preserve">(4). </w:t>
      </w:r>
      <w:hyperlink r:id="rId26">
        <w:r w:rsidRPr="00103DD3">
          <w:rPr>
            <w:rStyle w:val="a5"/>
            <w:color w:val="auto"/>
          </w:rPr>
          <w:t>http://dx.doi.org/10.25115/eea.v39i4.4569</w:t>
        </w:r>
      </w:hyperlink>
    </w:p>
    <w:p w14:paraId="10BD3A8A" w14:textId="77777777" w:rsidR="00692EA7" w:rsidRPr="00103DD3" w:rsidRDefault="00000000">
      <w:pPr>
        <w:spacing w:after="200" w:line="360" w:lineRule="auto"/>
        <w:jc w:val="both"/>
        <w:rPr>
          <w:shd w:val="clear" w:color="auto" w:fill="FFFFFF"/>
        </w:rPr>
      </w:pPr>
      <w:r w:rsidRPr="00103DD3">
        <w:rPr>
          <w:shd w:val="clear" w:color="auto" w:fill="FFFFFF"/>
        </w:rPr>
        <w:t>Liu, H., Wu, P. and Li, G., 2023. Do crises affect the sustainability of the economic effects of tourism? A case study of Hong Kong. </w:t>
      </w:r>
      <w:r w:rsidRPr="00103DD3">
        <w:rPr>
          <w:i/>
          <w:iCs/>
          <w:shd w:val="clear" w:color="auto" w:fill="FFFFFF"/>
        </w:rPr>
        <w:t>Journal of Sustainable Tourism</w:t>
      </w:r>
      <w:r w:rsidRPr="00103DD3">
        <w:rPr>
          <w:shd w:val="clear" w:color="auto" w:fill="FFFFFF"/>
        </w:rPr>
        <w:t>, </w:t>
      </w:r>
      <w:r w:rsidRPr="00103DD3">
        <w:rPr>
          <w:i/>
          <w:iCs/>
          <w:shd w:val="clear" w:color="auto" w:fill="FFFFFF"/>
        </w:rPr>
        <w:t>31</w:t>
      </w:r>
      <w:r w:rsidRPr="00103DD3">
        <w:rPr>
          <w:shd w:val="clear" w:color="auto" w:fill="FFFFFF"/>
        </w:rPr>
        <w:t>(9), pp.2023-2041.</w:t>
      </w:r>
      <w:r w:rsidRPr="00103DD3">
        <w:t xml:space="preserve"> </w:t>
      </w:r>
      <w:hyperlink r:id="rId27">
        <w:r w:rsidRPr="00103DD3">
          <w:rPr>
            <w:rStyle w:val="a5"/>
            <w:color w:val="000000"/>
            <w:shd w:val="clear" w:color="auto" w:fill="FFFFFF"/>
          </w:rPr>
          <w:t>https://www.econstor.eu/bitstream/10419/229505/1/cesifo1_wp8687.pdf</w:t>
        </w:r>
      </w:hyperlink>
    </w:p>
    <w:p w14:paraId="0A3FABA4" w14:textId="12D92645" w:rsidR="00692EA7" w:rsidRPr="00103DD3" w:rsidRDefault="00000000">
      <w:pPr>
        <w:spacing w:after="200" w:line="360" w:lineRule="auto"/>
        <w:jc w:val="both"/>
        <w:rPr>
          <w:shd w:val="clear" w:color="auto" w:fill="FFFFFF"/>
        </w:rPr>
      </w:pPr>
      <w:r w:rsidRPr="00103DD3">
        <w:rPr>
          <w:shd w:val="clear" w:color="auto" w:fill="FFFFFF"/>
        </w:rPr>
        <w:t xml:space="preserve">Mohamad, A., Sifat, I.M., </w:t>
      </w:r>
      <w:proofErr w:type="spellStart"/>
      <w:r w:rsidRPr="00103DD3">
        <w:rPr>
          <w:shd w:val="clear" w:color="auto" w:fill="FFFFFF"/>
        </w:rPr>
        <w:t>Mohd</w:t>
      </w:r>
      <w:proofErr w:type="spellEnd"/>
      <w:r w:rsidRPr="00103DD3">
        <w:rPr>
          <w:shd w:val="clear" w:color="auto" w:fill="FFFFFF"/>
        </w:rPr>
        <w:t xml:space="preserve"> </w:t>
      </w:r>
      <w:proofErr w:type="spellStart"/>
      <w:r w:rsidRPr="00103DD3">
        <w:rPr>
          <w:shd w:val="clear" w:color="auto" w:fill="FFFFFF"/>
        </w:rPr>
        <w:t>Thas</w:t>
      </w:r>
      <w:proofErr w:type="spellEnd"/>
      <w:r w:rsidRPr="00103DD3">
        <w:rPr>
          <w:shd w:val="clear" w:color="auto" w:fill="FFFFFF"/>
        </w:rPr>
        <w:t xml:space="preserve"> </w:t>
      </w:r>
      <w:proofErr w:type="spellStart"/>
      <w:r w:rsidRPr="00103DD3">
        <w:rPr>
          <w:shd w:val="clear" w:color="auto" w:fill="FFFFFF"/>
        </w:rPr>
        <w:t>Thaker</w:t>
      </w:r>
      <w:proofErr w:type="spellEnd"/>
      <w:r w:rsidRPr="00103DD3">
        <w:rPr>
          <w:shd w:val="clear" w:color="auto" w:fill="FFFFFF"/>
        </w:rPr>
        <w:t>, H. and Noor, A.M., 2021. On IMF debt and capital control: evidence from Malaysia, Thailand, Indonesia, the Philippines and South Korea. </w:t>
      </w:r>
      <w:r w:rsidRPr="00103DD3">
        <w:rPr>
          <w:i/>
          <w:iCs/>
          <w:shd w:val="clear" w:color="auto" w:fill="FFFFFF"/>
        </w:rPr>
        <w:t>Journal of Financial Regulation and Compliance</w:t>
      </w:r>
      <w:r w:rsidRPr="00103DD3">
        <w:rPr>
          <w:shd w:val="clear" w:color="auto" w:fill="FFFFFF"/>
        </w:rPr>
        <w:t>, </w:t>
      </w:r>
      <w:r w:rsidRPr="00103DD3">
        <w:rPr>
          <w:i/>
          <w:iCs/>
          <w:shd w:val="clear" w:color="auto" w:fill="FFFFFF"/>
        </w:rPr>
        <w:t>29</w:t>
      </w:r>
      <w:r w:rsidRPr="00103DD3">
        <w:rPr>
          <w:shd w:val="clear" w:color="auto" w:fill="FFFFFF"/>
        </w:rPr>
        <w:t>(2), pp.143-162.</w:t>
      </w:r>
    </w:p>
    <w:p w14:paraId="2F9DEE93" w14:textId="0672B76A" w:rsidR="00103DD3" w:rsidRPr="00103DD3" w:rsidRDefault="00103DD3">
      <w:pPr>
        <w:spacing w:after="200" w:line="360" w:lineRule="auto"/>
        <w:jc w:val="both"/>
        <w:rPr>
          <w:shd w:val="clear" w:color="auto" w:fill="FFFFFF"/>
        </w:rPr>
      </w:pPr>
      <w:r w:rsidRPr="00103DD3">
        <w:rPr>
          <w:shd w:val="clear" w:color="auto" w:fill="FFFFFF"/>
        </w:rPr>
        <w:t>OECD (2024) Consumer confidence index (CCI) [Online]. Available at: https://data.oecd.org/leadind/consumer-confidence-index-cci.htm (Accessed: [date you accessed the webpage]).</w:t>
      </w:r>
    </w:p>
    <w:p w14:paraId="20159324" w14:textId="77777777" w:rsidR="00692EA7" w:rsidRPr="00103DD3" w:rsidRDefault="00000000">
      <w:pPr>
        <w:spacing w:after="200" w:line="360" w:lineRule="auto"/>
        <w:jc w:val="both"/>
        <w:rPr>
          <w:shd w:val="clear" w:color="auto" w:fill="FFFFFF"/>
        </w:rPr>
      </w:pPr>
      <w:proofErr w:type="spellStart"/>
      <w:r w:rsidRPr="00103DD3">
        <w:rPr>
          <w:shd w:val="clear" w:color="auto" w:fill="FFFFFF"/>
        </w:rPr>
        <w:t>Shayaa</w:t>
      </w:r>
      <w:proofErr w:type="spellEnd"/>
      <w:r w:rsidRPr="00103DD3">
        <w:rPr>
          <w:shd w:val="clear" w:color="auto" w:fill="FFFFFF"/>
        </w:rPr>
        <w:t xml:space="preserve">, S., </w:t>
      </w:r>
      <w:proofErr w:type="spellStart"/>
      <w:r w:rsidRPr="00103DD3">
        <w:rPr>
          <w:shd w:val="clear" w:color="auto" w:fill="FFFFFF"/>
        </w:rPr>
        <w:t>Ainin</w:t>
      </w:r>
      <w:proofErr w:type="spellEnd"/>
      <w:r w:rsidRPr="00103DD3">
        <w:rPr>
          <w:shd w:val="clear" w:color="auto" w:fill="FFFFFF"/>
        </w:rPr>
        <w:t xml:space="preserve">, S., Jaafar, N.I., Zakaria, S.B., </w:t>
      </w:r>
      <w:proofErr w:type="spellStart"/>
      <w:r w:rsidRPr="00103DD3">
        <w:rPr>
          <w:shd w:val="clear" w:color="auto" w:fill="FFFFFF"/>
        </w:rPr>
        <w:t>Phoong</w:t>
      </w:r>
      <w:proofErr w:type="spellEnd"/>
      <w:r w:rsidRPr="00103DD3">
        <w:rPr>
          <w:shd w:val="clear" w:color="auto" w:fill="FFFFFF"/>
        </w:rPr>
        <w:t>, S.W., Yeong, W.C., Al-</w:t>
      </w:r>
      <w:proofErr w:type="spellStart"/>
      <w:r w:rsidRPr="00103DD3">
        <w:rPr>
          <w:shd w:val="clear" w:color="auto" w:fill="FFFFFF"/>
        </w:rPr>
        <w:t>Garadi</w:t>
      </w:r>
      <w:proofErr w:type="spellEnd"/>
      <w:r w:rsidRPr="00103DD3">
        <w:rPr>
          <w:shd w:val="clear" w:color="auto" w:fill="FFFFFF"/>
        </w:rPr>
        <w:t xml:space="preserve">, M.A., Muhammad, A. and Zahid </w:t>
      </w:r>
      <w:proofErr w:type="spellStart"/>
      <w:r w:rsidRPr="00103DD3">
        <w:rPr>
          <w:shd w:val="clear" w:color="auto" w:fill="FFFFFF"/>
        </w:rPr>
        <w:t>Piprani</w:t>
      </w:r>
      <w:proofErr w:type="spellEnd"/>
      <w:r w:rsidRPr="00103DD3">
        <w:rPr>
          <w:shd w:val="clear" w:color="auto" w:fill="FFFFFF"/>
        </w:rPr>
        <w:t>, A., 2018. Linking consumer confidence index and social media sentiment analysis. </w:t>
      </w:r>
      <w:r w:rsidRPr="00103DD3">
        <w:rPr>
          <w:i/>
          <w:iCs/>
          <w:shd w:val="clear" w:color="auto" w:fill="FFFFFF"/>
        </w:rPr>
        <w:t>Cogent Business &amp; Management</w:t>
      </w:r>
      <w:r w:rsidRPr="00103DD3">
        <w:rPr>
          <w:shd w:val="clear" w:color="auto" w:fill="FFFFFF"/>
        </w:rPr>
        <w:t>, </w:t>
      </w:r>
      <w:r w:rsidRPr="00103DD3">
        <w:rPr>
          <w:i/>
          <w:iCs/>
          <w:shd w:val="clear" w:color="auto" w:fill="FFFFFF"/>
        </w:rPr>
        <w:t>5</w:t>
      </w:r>
      <w:r w:rsidRPr="00103DD3">
        <w:rPr>
          <w:shd w:val="clear" w:color="auto" w:fill="FFFFFF"/>
        </w:rPr>
        <w:t>(1), p.1509424.</w:t>
      </w:r>
      <w:r w:rsidRPr="00103DD3">
        <w:t xml:space="preserve"> DOI: 10.1080/23311975.2018.1509424</w:t>
      </w:r>
    </w:p>
    <w:p w14:paraId="70EC4082" w14:textId="77777777" w:rsidR="00692EA7" w:rsidRPr="00103DD3" w:rsidRDefault="00000000">
      <w:pPr>
        <w:spacing w:after="200" w:line="360" w:lineRule="auto"/>
        <w:jc w:val="both"/>
        <w:rPr>
          <w:shd w:val="clear" w:color="auto" w:fill="FFFFFF"/>
        </w:rPr>
      </w:pPr>
      <w:r w:rsidRPr="00103DD3">
        <w:rPr>
          <w:shd w:val="clear" w:color="auto" w:fill="FFFFFF"/>
        </w:rPr>
        <w:lastRenderedPageBreak/>
        <w:t>The Conference Board., 2024. US consumer confidence Retreated in February.</w:t>
      </w:r>
      <w:r w:rsidRPr="00103DD3">
        <w:t xml:space="preserve"> Available at &lt;</w:t>
      </w:r>
      <w:hyperlink r:id="rId28">
        <w:r w:rsidRPr="00103DD3">
          <w:rPr>
            <w:rStyle w:val="a5"/>
            <w:color w:val="000000"/>
            <w:shd w:val="clear" w:color="auto" w:fill="FFFFFF"/>
          </w:rPr>
          <w:t>https://www.conference-board.org/topics/consu</w:t>
        </w:r>
        <w:r w:rsidRPr="00103DD3">
          <w:rPr>
            <w:rStyle w:val="a5"/>
            <w:color w:val="000000"/>
            <w:shd w:val="clear" w:color="auto" w:fill="FFFFFF"/>
          </w:rPr>
          <w:t>m</w:t>
        </w:r>
        <w:r w:rsidRPr="00103DD3">
          <w:rPr>
            <w:rStyle w:val="a5"/>
            <w:color w:val="000000"/>
            <w:shd w:val="clear" w:color="auto" w:fill="FFFFFF"/>
          </w:rPr>
          <w:t>er-confidence</w:t>
        </w:r>
      </w:hyperlink>
      <w:r w:rsidRPr="00103DD3">
        <w:rPr>
          <w:shd w:val="clear" w:color="auto" w:fill="FFFFFF"/>
        </w:rPr>
        <w:t xml:space="preserve">&gt; </w:t>
      </w:r>
      <w:r w:rsidRPr="00103DD3">
        <w:t>(Accessed 4 March 2024).</w:t>
      </w:r>
    </w:p>
    <w:p w14:paraId="3273A2DB" w14:textId="77777777" w:rsidR="00692EA7" w:rsidRPr="00103DD3" w:rsidRDefault="00000000">
      <w:pPr>
        <w:spacing w:after="200" w:line="360" w:lineRule="auto"/>
        <w:jc w:val="both"/>
        <w:rPr>
          <w:shd w:val="clear" w:color="auto" w:fill="FFFFFF"/>
        </w:rPr>
      </w:pPr>
      <w:r w:rsidRPr="00103DD3">
        <w:t>Trading Economics</w:t>
      </w:r>
      <w:proofErr w:type="gramStart"/>
      <w:r w:rsidRPr="00103DD3">
        <w:t>. ,</w:t>
      </w:r>
      <w:proofErr w:type="gramEnd"/>
      <w:r w:rsidRPr="00103DD3">
        <w:t xml:space="preserve"> 2024a. Japan Consumer confidence. Available at: &lt; </w:t>
      </w:r>
      <w:hyperlink r:id="rId29" w:tgtFrame="_blank">
        <w:r w:rsidRPr="00103DD3">
          <w:rPr>
            <w:rStyle w:val="a5"/>
            <w:color w:val="auto"/>
          </w:rPr>
          <w:t>https://tradingeconomics.com/japan/consu</w:t>
        </w:r>
        <w:r w:rsidRPr="00103DD3">
          <w:rPr>
            <w:rStyle w:val="a5"/>
            <w:color w:val="auto"/>
          </w:rPr>
          <w:t>m</w:t>
        </w:r>
        <w:r w:rsidRPr="00103DD3">
          <w:rPr>
            <w:rStyle w:val="a5"/>
            <w:color w:val="auto"/>
          </w:rPr>
          <w:t>e</w:t>
        </w:r>
        <w:r w:rsidRPr="00103DD3">
          <w:rPr>
            <w:rStyle w:val="a5"/>
            <w:color w:val="auto"/>
          </w:rPr>
          <w:t>r-c</w:t>
        </w:r>
        <w:r w:rsidRPr="00103DD3">
          <w:rPr>
            <w:rStyle w:val="a5"/>
            <w:color w:val="auto"/>
          </w:rPr>
          <w:t>o</w:t>
        </w:r>
        <w:r w:rsidRPr="00103DD3">
          <w:rPr>
            <w:rStyle w:val="a5"/>
            <w:color w:val="auto"/>
          </w:rPr>
          <w:t>nfidence</w:t>
        </w:r>
      </w:hyperlink>
      <w:r w:rsidRPr="00103DD3">
        <w:t>&gt; (Accessed 4 March 2024)</w:t>
      </w:r>
    </w:p>
    <w:p w14:paraId="193B6721" w14:textId="77777777" w:rsidR="00692EA7" w:rsidRPr="00103DD3" w:rsidRDefault="00000000">
      <w:pPr>
        <w:spacing w:after="200" w:line="360" w:lineRule="auto"/>
        <w:jc w:val="both"/>
      </w:pPr>
      <w:r w:rsidRPr="00103DD3">
        <w:t xml:space="preserve">Trading Economics., 2024b. India Consumer confidence. Available at: &lt; </w:t>
      </w:r>
      <w:hyperlink r:id="rId30" w:tgtFrame="_blank">
        <w:r w:rsidRPr="00103DD3">
          <w:rPr>
            <w:rStyle w:val="a5"/>
            <w:color w:val="auto"/>
          </w:rPr>
          <w:t>https://tradingeconomics.com/india/consumer-confi</w:t>
        </w:r>
        <w:r w:rsidRPr="00103DD3">
          <w:rPr>
            <w:rStyle w:val="a5"/>
            <w:color w:val="auto"/>
          </w:rPr>
          <w:t>d</w:t>
        </w:r>
        <w:r w:rsidRPr="00103DD3">
          <w:rPr>
            <w:rStyle w:val="a5"/>
            <w:color w:val="auto"/>
          </w:rPr>
          <w:t>ence</w:t>
        </w:r>
      </w:hyperlink>
      <w:r w:rsidRPr="00103DD3">
        <w:t xml:space="preserve">&gt; (Accessed 4 </w:t>
      </w:r>
      <w:proofErr w:type="gramStart"/>
      <w:r w:rsidRPr="00103DD3">
        <w:t>march</w:t>
      </w:r>
      <w:proofErr w:type="gramEnd"/>
      <w:r w:rsidRPr="00103DD3">
        <w:t xml:space="preserve"> 2024)</w:t>
      </w:r>
    </w:p>
    <w:p w14:paraId="16F01FFA" w14:textId="77777777" w:rsidR="00692EA7" w:rsidRPr="00103DD3" w:rsidRDefault="00000000">
      <w:pPr>
        <w:spacing w:after="200" w:line="360" w:lineRule="auto"/>
        <w:jc w:val="both"/>
        <w:rPr>
          <w:shd w:val="clear" w:color="auto" w:fill="FFFFFF"/>
        </w:rPr>
      </w:pPr>
      <w:r w:rsidRPr="00103DD3">
        <w:t xml:space="preserve">Trading Economics, 2024c. Malaysia Consumer confidence. Available at: &lt; </w:t>
      </w:r>
      <w:hyperlink r:id="rId31" w:tgtFrame="_blank">
        <w:r w:rsidRPr="00103DD3">
          <w:rPr>
            <w:rStyle w:val="a5"/>
            <w:color w:val="auto"/>
          </w:rPr>
          <w:t>https://tradingeconomics.com/malaysia/consu</w:t>
        </w:r>
        <w:r w:rsidRPr="00103DD3">
          <w:rPr>
            <w:rStyle w:val="a5"/>
            <w:color w:val="auto"/>
          </w:rPr>
          <w:t>m</w:t>
        </w:r>
        <w:r w:rsidRPr="00103DD3">
          <w:rPr>
            <w:rStyle w:val="a5"/>
            <w:color w:val="auto"/>
          </w:rPr>
          <w:t>er-confidence</w:t>
        </w:r>
      </w:hyperlink>
      <w:r w:rsidRPr="00103DD3">
        <w:t>&gt; (Accessed 4 March 2024)</w:t>
      </w:r>
    </w:p>
    <w:p w14:paraId="15077C23" w14:textId="77777777" w:rsidR="00692EA7" w:rsidRDefault="00000000">
      <w:pPr>
        <w:spacing w:after="200" w:line="360" w:lineRule="auto"/>
        <w:jc w:val="both"/>
        <w:rPr>
          <w:shd w:val="clear" w:color="auto" w:fill="FFFFFF"/>
        </w:rPr>
      </w:pPr>
      <w:r w:rsidRPr="00103DD3">
        <w:t>Trading Economics., 2024d. Hong Kong consumer confidence. Available at: &lt;</w:t>
      </w:r>
      <w:hyperlink r:id="rId32">
        <w:r w:rsidRPr="00103DD3">
          <w:rPr>
            <w:rStyle w:val="a5"/>
            <w:color w:val="auto"/>
          </w:rPr>
          <w:t>https://tradingeconomics.com/hong-kong/consumer-confidence</w:t>
        </w:r>
      </w:hyperlink>
      <w:r w:rsidRPr="00103DD3">
        <w:t xml:space="preserve">&gt; (Accessed 4 </w:t>
      </w:r>
      <w:proofErr w:type="gramStart"/>
      <w:r w:rsidRPr="00103DD3">
        <w:t>march</w:t>
      </w:r>
      <w:proofErr w:type="gramEnd"/>
      <w:r w:rsidRPr="00103DD3">
        <w:t xml:space="preserve"> 2024)</w:t>
      </w:r>
    </w:p>
    <w:p w14:paraId="5B31F4AC" w14:textId="77777777" w:rsidR="00692EA7" w:rsidRDefault="00692EA7">
      <w:pPr>
        <w:spacing w:line="360" w:lineRule="auto"/>
        <w:ind w:left="720" w:hanging="720"/>
        <w:jc w:val="both"/>
      </w:pPr>
    </w:p>
    <w:p w14:paraId="26845FE6" w14:textId="77777777" w:rsidR="00692EA7" w:rsidRDefault="00692EA7">
      <w:pPr>
        <w:spacing w:line="360" w:lineRule="auto"/>
        <w:jc w:val="both"/>
      </w:pPr>
    </w:p>
    <w:sectPr w:rsidR="00692EA7">
      <w:footerReference w:type="default" r:id="rId33"/>
      <w:pgSz w:w="12240" w:h="15840"/>
      <w:pgMar w:top="1440" w:right="1440" w:bottom="1440" w:left="1440" w:header="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7A90E" w14:textId="77777777" w:rsidR="00A92263" w:rsidRDefault="00A92263">
      <w:r>
        <w:separator/>
      </w:r>
    </w:p>
  </w:endnote>
  <w:endnote w:type="continuationSeparator" w:id="0">
    <w:p w14:paraId="4573D4B9" w14:textId="77777777" w:rsidR="00A92263" w:rsidRDefault="00A922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Liberation Sans">
    <w:altName w:val="Arial"/>
    <w:panose1 w:val="020B0604020202020204"/>
    <w:charset w:val="00"/>
    <w:family w:val="roman"/>
    <w:pitch w:val="variable"/>
  </w:font>
  <w:font w:name="Microsoft YaHei">
    <w:panose1 w:val="020B0503020204020204"/>
    <w:charset w:val="86"/>
    <w:family w:val="swiss"/>
    <w:pitch w:val="variable"/>
    <w:sig w:usb0="80000287" w:usb1="28CF3C52"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TimesNewRoman,Bold">
    <w:altName w:val="Times New Roman"/>
    <w:panose1 w:val="020B0604020202020204"/>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5C509" w14:textId="77777777" w:rsidR="00692EA7" w:rsidRDefault="00000000">
    <w:pPr>
      <w:pStyle w:val="ab"/>
      <w:jc w:val="center"/>
    </w:pPr>
    <w:r>
      <w:fldChar w:fldCharType="begin"/>
    </w:r>
    <w:r>
      <w:instrText xml:space="preserve"> PAGE </w:instrText>
    </w:r>
    <w:r>
      <w:fldChar w:fldCharType="separate"/>
    </w:r>
    <w:proofErr w:type="spellStart"/>
    <w:r>
      <w:t>i</w:t>
    </w:r>
    <w:proofErr w:type="spellEnd"/>
    <w:r>
      <w:fldChar w:fldCharType="end"/>
    </w:r>
  </w:p>
  <w:p w14:paraId="4514CAA1" w14:textId="77777777" w:rsidR="00692EA7" w:rsidRDefault="00692EA7">
    <w:pPr>
      <w:pStyle w:val="ab"/>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D2F59" w14:textId="77777777" w:rsidR="00692EA7" w:rsidRDefault="00000000">
    <w:pPr>
      <w:pStyle w:val="ab"/>
      <w:jc w:val="center"/>
    </w:pPr>
    <w:r>
      <w:fldChar w:fldCharType="begin"/>
    </w:r>
    <w:r>
      <w:instrText xml:space="preserve"> PAGE </w:instrText>
    </w:r>
    <w:r>
      <w:fldChar w:fldCharType="separate"/>
    </w:r>
    <w:r>
      <w:t>21</w:t>
    </w:r>
    <w:r>
      <w:fldChar w:fldCharType="end"/>
    </w:r>
  </w:p>
  <w:p w14:paraId="7ACE31C9" w14:textId="77777777" w:rsidR="00692EA7" w:rsidRDefault="00692EA7">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CFC2B" w14:textId="77777777" w:rsidR="00A92263" w:rsidRDefault="00A92263">
      <w:r>
        <w:separator/>
      </w:r>
    </w:p>
  </w:footnote>
  <w:footnote w:type="continuationSeparator" w:id="0">
    <w:p w14:paraId="5F39C1EE" w14:textId="77777777" w:rsidR="00A92263" w:rsidRDefault="00A9226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bordersDoNotSurroundHeader/>
  <w:bordersDoNotSurroundFooter/>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EA7"/>
    <w:rsid w:val="00103DD3"/>
    <w:rsid w:val="00692EA7"/>
    <w:rsid w:val="00A92263"/>
    <w:rsid w:val="00AE77DD"/>
    <w:rsid w:val="00B62C75"/>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decimalSymbol w:val="."/>
  <w:listSeparator w:val=","/>
  <w14:docId w14:val="56097FCB"/>
  <w15:docId w15:val="{60B04D14-6E16-0F42-ABCF-7B9017FA3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新細明體" w:hAnsi="Calibri" w:cs="SimSun"/>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3DD3"/>
    <w:pPr>
      <w:suppressAutoHyphens w:val="0"/>
    </w:pPr>
    <w:rPr>
      <w:rFonts w:ascii="Times New Roman" w:eastAsia="Times New Roman" w:hAnsi="Times New Roman" w:cs="Times New Roman"/>
      <w:sz w:val="24"/>
      <w:szCs w:val="24"/>
      <w:lang w:eastAsia="zh-TW"/>
    </w:rPr>
  </w:style>
  <w:style w:type="paragraph" w:styleId="1">
    <w:name w:val="heading 1"/>
    <w:basedOn w:val="a"/>
    <w:next w:val="a"/>
    <w:link w:val="10"/>
    <w:uiPriority w:val="9"/>
    <w:qFormat/>
    <w:pPr>
      <w:keepNext/>
      <w:keepLines/>
      <w:spacing w:before="480"/>
      <w:outlineLvl w:val="0"/>
    </w:pPr>
    <w:rPr>
      <w:rFonts w:ascii="Cambria" w:eastAsia="SimSun" w:hAnsi="Cambria" w:cs="SimSun"/>
      <w:b/>
      <w:bCs/>
      <w:color w:val="365F91"/>
      <w:sz w:val="28"/>
      <w:szCs w:val="28"/>
    </w:rPr>
  </w:style>
  <w:style w:type="paragraph" w:styleId="2">
    <w:name w:val="heading 2"/>
    <w:basedOn w:val="a"/>
    <w:link w:val="20"/>
    <w:uiPriority w:val="9"/>
    <w:unhideWhenUsed/>
    <w:qFormat/>
    <w:pPr>
      <w:spacing w:beforeAutospacing="1" w:afterAutospacing="1"/>
      <w:outlineLvl w:val="1"/>
    </w:pPr>
    <w:rPr>
      <w:b/>
      <w:bCs/>
      <w:sz w:val="36"/>
      <w:szCs w:val="36"/>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Pr>
      <w:b/>
      <w:bCs/>
    </w:rPr>
  </w:style>
  <w:style w:type="character" w:customStyle="1" w:styleId="20">
    <w:name w:val="標題 2 字元"/>
    <w:basedOn w:val="a0"/>
    <w:link w:val="2"/>
    <w:uiPriority w:val="9"/>
    <w:qFormat/>
    <w:rPr>
      <w:rFonts w:ascii="Times New Roman" w:eastAsia="Times New Roman" w:hAnsi="Times New Roman" w:cs="Times New Roman"/>
      <w:b/>
      <w:bCs/>
      <w:sz w:val="36"/>
      <w:szCs w:val="36"/>
    </w:rPr>
  </w:style>
  <w:style w:type="character" w:styleId="a4">
    <w:name w:val="Emphasis"/>
    <w:basedOn w:val="a0"/>
    <w:uiPriority w:val="20"/>
    <w:qFormat/>
    <w:rPr>
      <w:i/>
      <w:iCs/>
    </w:rPr>
  </w:style>
  <w:style w:type="character" w:styleId="a5">
    <w:name w:val="Hyperlink"/>
    <w:basedOn w:val="a0"/>
    <w:uiPriority w:val="99"/>
    <w:rPr>
      <w:color w:val="0000FF"/>
      <w:u w:val="single"/>
    </w:rPr>
  </w:style>
  <w:style w:type="character" w:customStyle="1" w:styleId="a6">
    <w:name w:val="註解方塊文字 字元"/>
    <w:basedOn w:val="a0"/>
    <w:link w:val="a7"/>
    <w:uiPriority w:val="99"/>
    <w:qFormat/>
    <w:rPr>
      <w:rFonts w:ascii="Tahoma" w:eastAsia="新細明體" w:hAnsi="Tahoma" w:cs="Tahoma"/>
      <w:kern w:val="2"/>
      <w:sz w:val="16"/>
      <w:szCs w:val="16"/>
      <w:lang w:eastAsia="zh-TW"/>
    </w:rPr>
  </w:style>
  <w:style w:type="character" w:customStyle="1" w:styleId="10">
    <w:name w:val="標題 1 字元"/>
    <w:basedOn w:val="a0"/>
    <w:link w:val="1"/>
    <w:uiPriority w:val="9"/>
    <w:qFormat/>
    <w:rPr>
      <w:rFonts w:ascii="Cambria" w:eastAsia="SimSun" w:hAnsi="Cambria" w:cs="SimSun"/>
      <w:b/>
      <w:bCs/>
      <w:color w:val="365F91"/>
      <w:kern w:val="2"/>
      <w:sz w:val="28"/>
      <w:szCs w:val="28"/>
      <w:lang w:eastAsia="zh-TW"/>
    </w:rPr>
  </w:style>
  <w:style w:type="character" w:customStyle="1" w:styleId="a8">
    <w:name w:val="頁首 字元"/>
    <w:basedOn w:val="a0"/>
    <w:link w:val="a9"/>
    <w:uiPriority w:val="99"/>
    <w:qFormat/>
    <w:rPr>
      <w:rFonts w:ascii="Calibri" w:eastAsia="新細明體" w:hAnsi="Calibri" w:cs="Times New Roman"/>
      <w:kern w:val="2"/>
      <w:sz w:val="24"/>
      <w:lang w:eastAsia="zh-TW"/>
    </w:rPr>
  </w:style>
  <w:style w:type="character" w:customStyle="1" w:styleId="aa">
    <w:name w:val="頁尾 字元"/>
    <w:basedOn w:val="a0"/>
    <w:link w:val="ab"/>
    <w:uiPriority w:val="99"/>
    <w:qFormat/>
    <w:rPr>
      <w:rFonts w:ascii="Calibri" w:eastAsia="新細明體" w:hAnsi="Calibri" w:cs="Times New Roman"/>
      <w:kern w:val="2"/>
      <w:sz w:val="24"/>
      <w:lang w:eastAsia="zh-TW"/>
    </w:rPr>
  </w:style>
  <w:style w:type="character" w:customStyle="1" w:styleId="IndexLink">
    <w:name w:val="Index Link"/>
    <w:qFormat/>
  </w:style>
  <w:style w:type="paragraph" w:customStyle="1" w:styleId="Heading">
    <w:name w:val="Heading"/>
    <w:basedOn w:val="a"/>
    <w:next w:val="ac"/>
    <w:qFormat/>
    <w:pPr>
      <w:keepNext/>
      <w:spacing w:before="240" w:after="120"/>
    </w:pPr>
    <w:rPr>
      <w:rFonts w:ascii="Liberation Sans" w:eastAsia="Microsoft YaHei" w:hAnsi="Liberation Sans" w:cs="Lucida Sans"/>
      <w:sz w:val="28"/>
      <w:szCs w:val="28"/>
    </w:rPr>
  </w:style>
  <w:style w:type="paragraph" w:styleId="ac">
    <w:name w:val="Body Text"/>
    <w:basedOn w:val="a"/>
    <w:pPr>
      <w:spacing w:after="140" w:line="276" w:lineRule="auto"/>
    </w:pPr>
  </w:style>
  <w:style w:type="paragraph" w:styleId="ad">
    <w:name w:val="List"/>
    <w:basedOn w:val="ac"/>
    <w:rPr>
      <w:rFonts w:cs="Lucida Sans"/>
    </w:rPr>
  </w:style>
  <w:style w:type="paragraph" w:styleId="ae">
    <w:name w:val="caption"/>
    <w:basedOn w:val="a"/>
    <w:qFormat/>
    <w:pPr>
      <w:suppressLineNumbers/>
      <w:spacing w:before="120" w:after="120"/>
    </w:pPr>
    <w:rPr>
      <w:rFonts w:cs="Lucida Sans"/>
      <w:i/>
      <w:iCs/>
    </w:rPr>
  </w:style>
  <w:style w:type="paragraph" w:customStyle="1" w:styleId="Index">
    <w:name w:val="Index"/>
    <w:basedOn w:val="a"/>
    <w:qFormat/>
    <w:pPr>
      <w:suppressLineNumbers/>
    </w:pPr>
    <w:rPr>
      <w:rFonts w:cs="Lucida Sans"/>
    </w:rPr>
  </w:style>
  <w:style w:type="paragraph" w:styleId="Web">
    <w:name w:val="Normal (Web)"/>
    <w:basedOn w:val="a"/>
    <w:uiPriority w:val="99"/>
    <w:qFormat/>
    <w:pPr>
      <w:spacing w:beforeAutospacing="1" w:afterAutospacing="1"/>
    </w:pPr>
    <w:rPr>
      <w:lang w:eastAsia="en-US"/>
    </w:rPr>
  </w:style>
  <w:style w:type="paragraph" w:styleId="a7">
    <w:name w:val="Balloon Text"/>
    <w:basedOn w:val="a"/>
    <w:link w:val="a6"/>
    <w:uiPriority w:val="99"/>
    <w:qFormat/>
    <w:rPr>
      <w:rFonts w:ascii="Tahoma" w:hAnsi="Tahoma" w:cs="Tahoma"/>
      <w:sz w:val="16"/>
      <w:szCs w:val="16"/>
    </w:rPr>
  </w:style>
  <w:style w:type="paragraph" w:styleId="af">
    <w:name w:val="List Paragraph"/>
    <w:basedOn w:val="a"/>
    <w:uiPriority w:val="34"/>
    <w:qFormat/>
    <w:pPr>
      <w:ind w:left="720"/>
      <w:contextualSpacing/>
    </w:pPr>
  </w:style>
  <w:style w:type="paragraph" w:styleId="af0">
    <w:name w:val="index heading"/>
    <w:basedOn w:val="Heading"/>
  </w:style>
  <w:style w:type="paragraph" w:styleId="af1">
    <w:name w:val="TOC Heading"/>
    <w:basedOn w:val="1"/>
    <w:next w:val="a"/>
    <w:uiPriority w:val="39"/>
    <w:qFormat/>
    <w:pPr>
      <w:spacing w:before="240" w:line="259" w:lineRule="auto"/>
      <w:outlineLvl w:val="9"/>
    </w:pPr>
    <w:rPr>
      <w:b w:val="0"/>
      <w:bCs w:val="0"/>
      <w:sz w:val="32"/>
      <w:szCs w:val="32"/>
      <w:lang w:eastAsia="en-US"/>
    </w:rPr>
  </w:style>
  <w:style w:type="paragraph" w:styleId="11">
    <w:name w:val="toc 1"/>
    <w:basedOn w:val="a"/>
    <w:next w:val="a"/>
    <w:uiPriority w:val="39"/>
    <w:pPr>
      <w:spacing w:after="100"/>
    </w:pPr>
  </w:style>
  <w:style w:type="paragraph" w:styleId="21">
    <w:name w:val="toc 2"/>
    <w:basedOn w:val="a"/>
    <w:next w:val="a"/>
    <w:uiPriority w:val="39"/>
    <w:pPr>
      <w:spacing w:after="100"/>
      <w:ind w:left="240"/>
    </w:pPr>
  </w:style>
  <w:style w:type="paragraph" w:customStyle="1" w:styleId="HeaderandFooter">
    <w:name w:val="Header and Footer"/>
    <w:basedOn w:val="a"/>
    <w:qFormat/>
  </w:style>
  <w:style w:type="paragraph" w:styleId="a9">
    <w:name w:val="header"/>
    <w:basedOn w:val="a"/>
    <w:link w:val="a8"/>
    <w:uiPriority w:val="99"/>
    <w:pPr>
      <w:tabs>
        <w:tab w:val="center" w:pos="4680"/>
        <w:tab w:val="right" w:pos="9360"/>
      </w:tabs>
    </w:pPr>
  </w:style>
  <w:style w:type="paragraph" w:styleId="ab">
    <w:name w:val="footer"/>
    <w:basedOn w:val="a"/>
    <w:link w:val="aa"/>
    <w:uiPriority w:val="99"/>
    <w:pPr>
      <w:tabs>
        <w:tab w:val="center" w:pos="4680"/>
        <w:tab w:val="right" w:pos="9360"/>
      </w:tabs>
    </w:pPr>
  </w:style>
  <w:style w:type="character" w:styleId="af2">
    <w:name w:val="FollowedHyperlink"/>
    <w:basedOn w:val="a0"/>
    <w:uiPriority w:val="99"/>
    <w:semiHidden/>
    <w:unhideWhenUsed/>
    <w:rsid w:val="00103DD3"/>
    <w:rPr>
      <w:color w:val="800080" w:themeColor="followedHyperlink"/>
      <w:u w:val="single"/>
    </w:rPr>
  </w:style>
  <w:style w:type="character" w:styleId="af3">
    <w:name w:val="Unresolved Mention"/>
    <w:basedOn w:val="a0"/>
    <w:uiPriority w:val="99"/>
    <w:semiHidden/>
    <w:unhideWhenUsed/>
    <w:rsid w:val="00103D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6411">
      <w:bodyDiv w:val="1"/>
      <w:marLeft w:val="0"/>
      <w:marRight w:val="0"/>
      <w:marTop w:val="0"/>
      <w:marBottom w:val="0"/>
      <w:divBdr>
        <w:top w:val="none" w:sz="0" w:space="0" w:color="auto"/>
        <w:left w:val="none" w:sz="0" w:space="0" w:color="auto"/>
        <w:bottom w:val="none" w:sz="0" w:space="0" w:color="auto"/>
        <w:right w:val="none" w:sz="0" w:space="0" w:color="auto"/>
      </w:divBdr>
      <w:divsChild>
        <w:div w:id="967668310">
          <w:marLeft w:val="0"/>
          <w:marRight w:val="0"/>
          <w:marTop w:val="0"/>
          <w:marBottom w:val="0"/>
          <w:divBdr>
            <w:top w:val="none" w:sz="0" w:space="0" w:color="auto"/>
            <w:left w:val="none" w:sz="0" w:space="0" w:color="auto"/>
            <w:bottom w:val="none" w:sz="0" w:space="0" w:color="auto"/>
            <w:right w:val="none" w:sz="0" w:space="0" w:color="auto"/>
          </w:divBdr>
        </w:div>
      </w:divsChild>
    </w:div>
    <w:div w:id="413013249">
      <w:bodyDiv w:val="1"/>
      <w:marLeft w:val="0"/>
      <w:marRight w:val="0"/>
      <w:marTop w:val="0"/>
      <w:marBottom w:val="0"/>
      <w:divBdr>
        <w:top w:val="none" w:sz="0" w:space="0" w:color="auto"/>
        <w:left w:val="none" w:sz="0" w:space="0" w:color="auto"/>
        <w:bottom w:val="none" w:sz="0" w:space="0" w:color="auto"/>
        <w:right w:val="none" w:sz="0" w:space="0" w:color="auto"/>
      </w:divBdr>
      <w:divsChild>
        <w:div w:id="9378361">
          <w:marLeft w:val="0"/>
          <w:marRight w:val="0"/>
          <w:marTop w:val="0"/>
          <w:marBottom w:val="0"/>
          <w:divBdr>
            <w:top w:val="none" w:sz="0" w:space="0" w:color="auto"/>
            <w:left w:val="none" w:sz="0" w:space="0" w:color="auto"/>
            <w:bottom w:val="none" w:sz="0" w:space="0" w:color="auto"/>
            <w:right w:val="none" w:sz="0" w:space="0" w:color="auto"/>
          </w:divBdr>
        </w:div>
      </w:divsChild>
    </w:div>
    <w:div w:id="1237518122">
      <w:bodyDiv w:val="1"/>
      <w:marLeft w:val="0"/>
      <w:marRight w:val="0"/>
      <w:marTop w:val="0"/>
      <w:marBottom w:val="0"/>
      <w:divBdr>
        <w:top w:val="none" w:sz="0" w:space="0" w:color="auto"/>
        <w:left w:val="none" w:sz="0" w:space="0" w:color="auto"/>
        <w:bottom w:val="none" w:sz="0" w:space="0" w:color="auto"/>
        <w:right w:val="none" w:sz="0" w:space="0" w:color="auto"/>
      </w:divBdr>
    </w:div>
    <w:div w:id="1424182120">
      <w:bodyDiv w:val="1"/>
      <w:marLeft w:val="0"/>
      <w:marRight w:val="0"/>
      <w:marTop w:val="0"/>
      <w:marBottom w:val="0"/>
      <w:divBdr>
        <w:top w:val="none" w:sz="0" w:space="0" w:color="auto"/>
        <w:left w:val="none" w:sz="0" w:space="0" w:color="auto"/>
        <w:bottom w:val="none" w:sz="0" w:space="0" w:color="auto"/>
        <w:right w:val="none" w:sz="0" w:space="0" w:color="auto"/>
      </w:divBdr>
      <w:divsChild>
        <w:div w:id="1734696575">
          <w:marLeft w:val="0"/>
          <w:marRight w:val="0"/>
          <w:marTop w:val="0"/>
          <w:marBottom w:val="0"/>
          <w:divBdr>
            <w:top w:val="none" w:sz="0" w:space="0" w:color="auto"/>
            <w:left w:val="none" w:sz="0" w:space="0" w:color="auto"/>
            <w:bottom w:val="none" w:sz="0" w:space="0" w:color="auto"/>
            <w:right w:val="none" w:sz="0" w:space="0" w:color="auto"/>
          </w:divBdr>
          <w:divsChild>
            <w:div w:id="1535533939">
              <w:marLeft w:val="0"/>
              <w:marRight w:val="0"/>
              <w:marTop w:val="0"/>
              <w:marBottom w:val="0"/>
              <w:divBdr>
                <w:top w:val="none" w:sz="0" w:space="0" w:color="auto"/>
                <w:left w:val="none" w:sz="0" w:space="0" w:color="auto"/>
                <w:bottom w:val="none" w:sz="0" w:space="0" w:color="auto"/>
                <w:right w:val="none" w:sz="0" w:space="0" w:color="auto"/>
              </w:divBdr>
              <w:divsChild>
                <w:div w:id="402456915">
                  <w:marLeft w:val="0"/>
                  <w:marRight w:val="0"/>
                  <w:marTop w:val="0"/>
                  <w:marBottom w:val="0"/>
                  <w:divBdr>
                    <w:top w:val="none" w:sz="0" w:space="0" w:color="auto"/>
                    <w:left w:val="none" w:sz="0" w:space="0" w:color="auto"/>
                    <w:bottom w:val="none" w:sz="0" w:space="0" w:color="auto"/>
                    <w:right w:val="none" w:sz="0" w:space="0" w:color="auto"/>
                  </w:divBdr>
                  <w:divsChild>
                    <w:div w:id="257107057">
                      <w:marLeft w:val="0"/>
                      <w:marRight w:val="0"/>
                      <w:marTop w:val="0"/>
                      <w:marBottom w:val="0"/>
                      <w:divBdr>
                        <w:top w:val="none" w:sz="0" w:space="0" w:color="auto"/>
                        <w:left w:val="none" w:sz="0" w:space="0" w:color="auto"/>
                        <w:bottom w:val="none" w:sz="0" w:space="0" w:color="auto"/>
                        <w:right w:val="none" w:sz="0" w:space="0" w:color="auto"/>
                      </w:divBdr>
                      <w:divsChild>
                        <w:div w:id="1324360246">
                          <w:marLeft w:val="0"/>
                          <w:marRight w:val="0"/>
                          <w:marTop w:val="0"/>
                          <w:marBottom w:val="0"/>
                          <w:divBdr>
                            <w:top w:val="none" w:sz="0" w:space="0" w:color="auto"/>
                            <w:left w:val="none" w:sz="0" w:space="0" w:color="auto"/>
                            <w:bottom w:val="none" w:sz="0" w:space="0" w:color="auto"/>
                            <w:right w:val="none" w:sz="0" w:space="0" w:color="auto"/>
                          </w:divBdr>
                          <w:divsChild>
                            <w:div w:id="879702555">
                              <w:marLeft w:val="0"/>
                              <w:marRight w:val="0"/>
                              <w:marTop w:val="0"/>
                              <w:marBottom w:val="0"/>
                              <w:divBdr>
                                <w:top w:val="none" w:sz="0" w:space="0" w:color="auto"/>
                                <w:left w:val="none" w:sz="0" w:space="0" w:color="auto"/>
                                <w:bottom w:val="none" w:sz="0" w:space="0" w:color="auto"/>
                                <w:right w:val="none" w:sz="0" w:space="0" w:color="auto"/>
                              </w:divBdr>
                              <w:divsChild>
                                <w:div w:id="107532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ata.oecd.org/leadind/consumer-confidence-index-cci.htm" TargetMode="External"/><Relationship Id="rId18" Type="http://schemas.openxmlformats.org/officeDocument/2006/relationships/hyperlink" Target="https://www.boj.or.jp/en/mopo/gp_2002/data/gp0212.pdf" TargetMode="External"/><Relationship Id="rId26" Type="http://schemas.openxmlformats.org/officeDocument/2006/relationships/hyperlink" Target="http://dx.doi.org/10.25115/eea.v39i4.4569" TargetMode="External"/><Relationship Id="rId3" Type="http://schemas.openxmlformats.org/officeDocument/2006/relationships/settings" Target="settings.xml"/><Relationship Id="rId21" Type="http://schemas.openxmlformats.org/officeDocument/2006/relationships/chart" Target="charts/chart3.xm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oecd.org/sdd/consumerconfidenceshowsaslowingdowninpaceofrecoveryforthefirsthalfof2010.htm" TargetMode="External"/><Relationship Id="rId17" Type="http://schemas.openxmlformats.org/officeDocument/2006/relationships/hyperlink" Target="https://www.cuhk.edu.hk/ssc/qol/eventdoc/1225960784e/PR_consumer_confidence_e.pdf" TargetMode="External"/><Relationship Id="rId25" Type="http://schemas.openxmlformats.org/officeDocument/2006/relationships/hyperlink" Target="https://doi.org/10.1007/s41775-020-00089-z"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www.chinadaily.com.cn/hkedition/2009-11/04/content_8908619.htm" TargetMode="External"/><Relationship Id="rId20" Type="http://schemas.openxmlformats.org/officeDocument/2006/relationships/chart" Target="charts/chart2.xml"/><Relationship Id="rId29" Type="http://schemas.openxmlformats.org/officeDocument/2006/relationships/hyperlink" Target="https://tradingeconomics.com/japan/consumer-confidenc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radingeconomics.com/malaysia/consumer-confidence" TargetMode="External"/><Relationship Id="rId24" Type="http://schemas.openxmlformats.org/officeDocument/2006/relationships/hyperlink" Target="https://doi.org/10.1007/s40647-020-00302-6" TargetMode="External"/><Relationship Id="rId32" Type="http://schemas.openxmlformats.org/officeDocument/2006/relationships/hyperlink" Target="https://tradingeconomics.com/hong-kong/consumer-confidence" TargetMode="External"/><Relationship Id="rId5" Type="http://schemas.openxmlformats.org/officeDocument/2006/relationships/footnotes" Target="footnotes.xml"/><Relationship Id="rId15" Type="http://schemas.openxmlformats.org/officeDocument/2006/relationships/hyperlink" Target="https://tradingeconomics.com/india/consumer-confidence" TargetMode="External"/><Relationship Id="rId23" Type="http://schemas.openxmlformats.org/officeDocument/2006/relationships/hyperlink" Target="https://riuma.uma.es/xmlui/bitstream/handle/10630/30197/11_REM_WP_046_2018_BLANCO_ARANA.pdf?sequence=1&amp;isAllowed=y" TargetMode="External"/><Relationship Id="rId28" Type="http://schemas.openxmlformats.org/officeDocument/2006/relationships/hyperlink" Target="https://www.conference-board.org/topics/consumer-confidence" TargetMode="External"/><Relationship Id="rId10" Type="http://schemas.openxmlformats.org/officeDocument/2006/relationships/hyperlink" Target="https://marketingmagazine.com.my/consumer-confidence-slips-in-q4-but-msians-still-optimistic/" TargetMode="External"/><Relationship Id="rId19" Type="http://schemas.openxmlformats.org/officeDocument/2006/relationships/chart" Target="charts/chart1.xml"/><Relationship Id="rId31" Type="http://schemas.openxmlformats.org/officeDocument/2006/relationships/hyperlink" Target="https://tradingeconomics.com/malaysia/consumer-confidence" TargetMode="External"/><Relationship Id="rId4" Type="http://schemas.openxmlformats.org/officeDocument/2006/relationships/webSettings" Target="webSettings.xml"/><Relationship Id="rId9" Type="http://schemas.openxmlformats.org/officeDocument/2006/relationships/hyperlink" Target="https://www.investing.com/economic-calendar/cb-consumer-confidence-48" TargetMode="External"/><Relationship Id="rId14" Type="http://schemas.openxmlformats.org/officeDocument/2006/relationships/hyperlink" Target="https://tradingeconomics.com/hong-kong/consumer-confidence" TargetMode="External"/><Relationship Id="rId22" Type="http://schemas.openxmlformats.org/officeDocument/2006/relationships/chart" Target="charts/chart4.xml"/><Relationship Id="rId27" Type="http://schemas.openxmlformats.org/officeDocument/2006/relationships/hyperlink" Target="https://www.econstor.eu/bitstream/10419/229505/1/cesifo1_wp8687.pdf" TargetMode="External"/><Relationship Id="rId30" Type="http://schemas.openxmlformats.org/officeDocument/2006/relationships/hyperlink" Target="https://tradingeconomics.com/india/consumer-confidence" TargetMode="External"/><Relationship Id="rId35" Type="http://schemas.openxmlformats.org/officeDocument/2006/relationships/theme" Target="theme/theme1.xml"/><Relationship Id="rId8"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___.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___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___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___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zh-TW"/>
  <c:roundedCorners val="0"/>
  <c:style val="2"/>
  <c:chart>
    <c:autoTitleDeleted val="1"/>
    <c:plotArea>
      <c:layout/>
      <c:lineChart>
        <c:grouping val="standard"/>
        <c:varyColors val="0"/>
        <c:ser>
          <c:idx val="0"/>
          <c:order val="0"/>
          <c:tx>
            <c:strRef>
              <c:f>label 0</c:f>
              <c:strCache>
                <c:ptCount val="1"/>
                <c:pt idx="0">
                  <c:v>Hong Kong</c:v>
                </c:pt>
              </c:strCache>
            </c:strRef>
          </c:tx>
          <c:spPr>
            <a:ln w="28440">
              <a:solidFill>
                <a:srgbClr val="4A7EBB"/>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strCache>
            </c:strRef>
          </c:cat>
          <c:val>
            <c:numRef>
              <c:f>0</c:f>
              <c:numCache>
                <c:formatCode>General</c:formatCode>
                <c:ptCount val="23"/>
                <c:pt idx="0">
                  <c:v>95</c:v>
                </c:pt>
                <c:pt idx="1">
                  <c:v>69</c:v>
                </c:pt>
                <c:pt idx="2">
                  <c:v>68</c:v>
                </c:pt>
                <c:pt idx="3">
                  <c:v>82</c:v>
                </c:pt>
                <c:pt idx="4">
                  <c:v>104</c:v>
                </c:pt>
                <c:pt idx="5">
                  <c:v>112</c:v>
                </c:pt>
                <c:pt idx="6">
                  <c:v>108</c:v>
                </c:pt>
                <c:pt idx="7">
                  <c:v>112</c:v>
                </c:pt>
                <c:pt idx="8">
                  <c:v>76</c:v>
                </c:pt>
                <c:pt idx="9">
                  <c:v>86</c:v>
                </c:pt>
                <c:pt idx="10">
                  <c:v>88</c:v>
                </c:pt>
                <c:pt idx="11">
                  <c:v>81</c:v>
                </c:pt>
                <c:pt idx="12">
                  <c:v>79</c:v>
                </c:pt>
                <c:pt idx="13">
                  <c:v>82</c:v>
                </c:pt>
                <c:pt idx="14">
                  <c:v>83</c:v>
                </c:pt>
                <c:pt idx="15">
                  <c:v>83.5</c:v>
                </c:pt>
                <c:pt idx="16">
                  <c:v>82</c:v>
                </c:pt>
                <c:pt idx="17">
                  <c:v>87</c:v>
                </c:pt>
                <c:pt idx="18">
                  <c:v>84.6</c:v>
                </c:pt>
                <c:pt idx="19">
                  <c:v>70</c:v>
                </c:pt>
                <c:pt idx="20">
                  <c:v>60</c:v>
                </c:pt>
                <c:pt idx="21">
                  <c:v>65</c:v>
                </c:pt>
              </c:numCache>
            </c:numRef>
          </c:val>
          <c:smooth val="0"/>
          <c:extLst>
            <c:ext xmlns:c16="http://schemas.microsoft.com/office/drawing/2014/chart" uri="{C3380CC4-5D6E-409C-BE32-E72D297353CC}">
              <c16:uniqueId val="{00000000-648D-6D40-BF0A-E2EAD4760A9E}"/>
            </c:ext>
          </c:extLst>
        </c:ser>
        <c:ser>
          <c:idx val="1"/>
          <c:order val="1"/>
          <c:tx>
            <c:strRef>
              <c:f>label 1</c:f>
              <c:strCache>
                <c:ptCount val="1"/>
                <c:pt idx="0">
                  <c:v>USA</c:v>
                </c:pt>
              </c:strCache>
            </c:strRef>
          </c:tx>
          <c:spPr>
            <a:ln w="28440">
              <a:solidFill>
                <a:srgbClr val="BE4B48"/>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strCache>
            </c:strRef>
          </c:cat>
          <c:val>
            <c:numRef>
              <c:f>1</c:f>
              <c:numCache>
                <c:formatCode>General</c:formatCode>
                <c:ptCount val="23"/>
                <c:pt idx="0">
                  <c:v>139.9</c:v>
                </c:pt>
                <c:pt idx="1">
                  <c:v>109.4</c:v>
                </c:pt>
                <c:pt idx="2">
                  <c:v>97.5</c:v>
                </c:pt>
                <c:pt idx="3">
                  <c:v>78.8</c:v>
                </c:pt>
                <c:pt idx="4">
                  <c:v>104</c:v>
                </c:pt>
                <c:pt idx="5">
                  <c:v>100.2</c:v>
                </c:pt>
                <c:pt idx="6">
                  <c:v>105.4</c:v>
                </c:pt>
                <c:pt idx="7">
                  <c:v>105</c:v>
                </c:pt>
                <c:pt idx="8">
                  <c:v>57</c:v>
                </c:pt>
                <c:pt idx="9">
                  <c:v>46</c:v>
                </c:pt>
                <c:pt idx="10">
                  <c:v>53</c:v>
                </c:pt>
                <c:pt idx="11">
                  <c:v>53</c:v>
                </c:pt>
                <c:pt idx="12">
                  <c:v>67</c:v>
                </c:pt>
                <c:pt idx="13">
                  <c:v>73</c:v>
                </c:pt>
                <c:pt idx="14">
                  <c:v>87</c:v>
                </c:pt>
                <c:pt idx="15">
                  <c:v>98</c:v>
                </c:pt>
                <c:pt idx="16">
                  <c:v>100</c:v>
                </c:pt>
                <c:pt idx="17">
                  <c:v>121</c:v>
                </c:pt>
                <c:pt idx="18">
                  <c:v>130</c:v>
                </c:pt>
                <c:pt idx="19">
                  <c:v>128</c:v>
                </c:pt>
                <c:pt idx="20">
                  <c:v>101</c:v>
                </c:pt>
                <c:pt idx="21">
                  <c:v>112</c:v>
                </c:pt>
                <c:pt idx="22">
                  <c:v>105</c:v>
                </c:pt>
              </c:numCache>
            </c:numRef>
          </c:val>
          <c:smooth val="0"/>
          <c:extLst>
            <c:ext xmlns:c16="http://schemas.microsoft.com/office/drawing/2014/chart" uri="{C3380CC4-5D6E-409C-BE32-E72D297353CC}">
              <c16:uniqueId val="{00000001-648D-6D40-BF0A-E2EAD4760A9E}"/>
            </c:ext>
          </c:extLst>
        </c:ser>
        <c:ser>
          <c:idx val="2"/>
          <c:order val="2"/>
          <c:tx>
            <c:strRef>
              <c:f>label 2</c:f>
              <c:strCache>
                <c:ptCount val="1"/>
                <c:pt idx="0">
                  <c:v>Japan</c:v>
                </c:pt>
              </c:strCache>
            </c:strRef>
          </c:tx>
          <c:spPr>
            <a:ln w="28440">
              <a:solidFill>
                <a:srgbClr val="98B855"/>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strCache>
            </c:strRef>
          </c:cat>
          <c:val>
            <c:numRef>
              <c:f>2</c:f>
              <c:numCache>
                <c:formatCode>General</c:formatCode>
                <c:ptCount val="23"/>
                <c:pt idx="0">
                  <c:v>100</c:v>
                </c:pt>
                <c:pt idx="1">
                  <c:v>97</c:v>
                </c:pt>
                <c:pt idx="2">
                  <c:v>93</c:v>
                </c:pt>
                <c:pt idx="3">
                  <c:v>94</c:v>
                </c:pt>
                <c:pt idx="4">
                  <c:v>99</c:v>
                </c:pt>
                <c:pt idx="5">
                  <c:v>102</c:v>
                </c:pt>
                <c:pt idx="6">
                  <c:v>104</c:v>
                </c:pt>
                <c:pt idx="7">
                  <c:v>103</c:v>
                </c:pt>
                <c:pt idx="8">
                  <c:v>95</c:v>
                </c:pt>
                <c:pt idx="9">
                  <c:v>87</c:v>
                </c:pt>
                <c:pt idx="10">
                  <c:v>98</c:v>
                </c:pt>
                <c:pt idx="11">
                  <c:v>99</c:v>
                </c:pt>
                <c:pt idx="12">
                  <c:v>99.5</c:v>
                </c:pt>
                <c:pt idx="13">
                  <c:v>100</c:v>
                </c:pt>
                <c:pt idx="14">
                  <c:v>99</c:v>
                </c:pt>
                <c:pt idx="15">
                  <c:v>100</c:v>
                </c:pt>
                <c:pt idx="16">
                  <c:v>100</c:v>
                </c:pt>
                <c:pt idx="17">
                  <c:v>101</c:v>
                </c:pt>
                <c:pt idx="18">
                  <c:v>101</c:v>
                </c:pt>
                <c:pt idx="19">
                  <c:v>99</c:v>
                </c:pt>
                <c:pt idx="20">
                  <c:v>97</c:v>
                </c:pt>
                <c:pt idx="21">
                  <c:v>99</c:v>
                </c:pt>
                <c:pt idx="22">
                  <c:v>97</c:v>
                </c:pt>
              </c:numCache>
            </c:numRef>
          </c:val>
          <c:smooth val="0"/>
          <c:extLst>
            <c:ext xmlns:c16="http://schemas.microsoft.com/office/drawing/2014/chart" uri="{C3380CC4-5D6E-409C-BE32-E72D297353CC}">
              <c16:uniqueId val="{00000002-648D-6D40-BF0A-E2EAD4760A9E}"/>
            </c:ext>
          </c:extLst>
        </c:ser>
        <c:ser>
          <c:idx val="3"/>
          <c:order val="3"/>
          <c:tx>
            <c:strRef>
              <c:f>label 3</c:f>
              <c:strCache>
                <c:ptCount val="1"/>
                <c:pt idx="0">
                  <c:v>Malaysia</c:v>
                </c:pt>
              </c:strCache>
            </c:strRef>
          </c:tx>
          <c:spPr>
            <a:ln w="28440">
              <a:solidFill>
                <a:srgbClr val="7D5FA0"/>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strCache>
            </c:strRef>
          </c:cat>
          <c:val>
            <c:numRef>
              <c:f>3</c:f>
              <c:numCache>
                <c:formatCode>General</c:formatCode>
                <c:ptCount val="23"/>
                <c:pt idx="0">
                  <c:v>98</c:v>
                </c:pt>
                <c:pt idx="1">
                  <c:v>88</c:v>
                </c:pt>
                <c:pt idx="2">
                  <c:v>84</c:v>
                </c:pt>
                <c:pt idx="3">
                  <c:v>92</c:v>
                </c:pt>
                <c:pt idx="4">
                  <c:v>98</c:v>
                </c:pt>
                <c:pt idx="5">
                  <c:v>114</c:v>
                </c:pt>
                <c:pt idx="6">
                  <c:v>104</c:v>
                </c:pt>
                <c:pt idx="7">
                  <c:v>118</c:v>
                </c:pt>
                <c:pt idx="8">
                  <c:v>77</c:v>
                </c:pt>
                <c:pt idx="9">
                  <c:v>99</c:v>
                </c:pt>
                <c:pt idx="10">
                  <c:v>102</c:v>
                </c:pt>
                <c:pt idx="11">
                  <c:v>104</c:v>
                </c:pt>
                <c:pt idx="12">
                  <c:v>107</c:v>
                </c:pt>
                <c:pt idx="13">
                  <c:v>102</c:v>
                </c:pt>
                <c:pt idx="14">
                  <c:v>91</c:v>
                </c:pt>
                <c:pt idx="15">
                  <c:v>85</c:v>
                </c:pt>
                <c:pt idx="16">
                  <c:v>85</c:v>
                </c:pt>
                <c:pt idx="17">
                  <c:v>96</c:v>
                </c:pt>
                <c:pt idx="18">
                  <c:v>119</c:v>
                </c:pt>
                <c:pt idx="19">
                  <c:v>109</c:v>
                </c:pt>
                <c:pt idx="20">
                  <c:v>79</c:v>
                </c:pt>
                <c:pt idx="21">
                  <c:v>91</c:v>
                </c:pt>
                <c:pt idx="22">
                  <c:v>100</c:v>
                </c:pt>
              </c:numCache>
            </c:numRef>
          </c:val>
          <c:smooth val="0"/>
          <c:extLst>
            <c:ext xmlns:c16="http://schemas.microsoft.com/office/drawing/2014/chart" uri="{C3380CC4-5D6E-409C-BE32-E72D297353CC}">
              <c16:uniqueId val="{00000003-648D-6D40-BF0A-E2EAD4760A9E}"/>
            </c:ext>
          </c:extLst>
        </c:ser>
        <c:ser>
          <c:idx val="4"/>
          <c:order val="4"/>
          <c:tx>
            <c:strRef>
              <c:f>label 4</c:f>
              <c:strCache>
                <c:ptCount val="1"/>
                <c:pt idx="0">
                  <c:v>India</c:v>
                </c:pt>
              </c:strCache>
            </c:strRef>
          </c:tx>
          <c:spPr>
            <a:ln w="28440">
              <a:solidFill>
                <a:srgbClr val="46AAC4"/>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strCache>
            </c:strRef>
          </c:cat>
          <c:val>
            <c:numRef>
              <c:f>4</c:f>
              <c:numCache>
                <c:formatCode>General</c:formatCode>
                <c:ptCount val="23"/>
                <c:pt idx="1">
                  <c:v>59.6</c:v>
                </c:pt>
                <c:pt idx="2">
                  <c:v>55.6</c:v>
                </c:pt>
                <c:pt idx="3">
                  <c:v>59</c:v>
                </c:pt>
                <c:pt idx="4">
                  <c:v>61</c:v>
                </c:pt>
                <c:pt idx="5">
                  <c:v>130</c:v>
                </c:pt>
                <c:pt idx="6">
                  <c:v>135</c:v>
                </c:pt>
                <c:pt idx="7">
                  <c:v>97</c:v>
                </c:pt>
                <c:pt idx="8">
                  <c:v>93</c:v>
                </c:pt>
                <c:pt idx="9">
                  <c:v>90</c:v>
                </c:pt>
                <c:pt idx="10">
                  <c:v>92</c:v>
                </c:pt>
                <c:pt idx="11">
                  <c:v>109</c:v>
                </c:pt>
                <c:pt idx="12">
                  <c:v>115</c:v>
                </c:pt>
                <c:pt idx="13">
                  <c:v>103</c:v>
                </c:pt>
                <c:pt idx="14">
                  <c:v>97</c:v>
                </c:pt>
                <c:pt idx="15">
                  <c:v>101</c:v>
                </c:pt>
                <c:pt idx="16">
                  <c:v>102.5</c:v>
                </c:pt>
                <c:pt idx="17">
                  <c:v>102</c:v>
                </c:pt>
                <c:pt idx="18">
                  <c:v>97</c:v>
                </c:pt>
                <c:pt idx="19">
                  <c:v>92</c:v>
                </c:pt>
                <c:pt idx="20">
                  <c:v>63</c:v>
                </c:pt>
                <c:pt idx="21">
                  <c:v>55.65</c:v>
                </c:pt>
                <c:pt idx="22">
                  <c:v>79</c:v>
                </c:pt>
              </c:numCache>
            </c:numRef>
          </c:val>
          <c:smooth val="0"/>
          <c:extLst>
            <c:ext xmlns:c16="http://schemas.microsoft.com/office/drawing/2014/chart" uri="{C3380CC4-5D6E-409C-BE32-E72D297353CC}">
              <c16:uniqueId val="{00000004-648D-6D40-BF0A-E2EAD4760A9E}"/>
            </c:ext>
          </c:extLst>
        </c:ser>
        <c:dLbls>
          <c:showLegendKey val="0"/>
          <c:showVal val="0"/>
          <c:showCatName val="0"/>
          <c:showSerName val="0"/>
          <c:showPercent val="0"/>
          <c:showBubbleSize val="0"/>
        </c:dLbls>
        <c:hiLowLines>
          <c:spPr>
            <a:ln w="0">
              <a:noFill/>
            </a:ln>
          </c:spPr>
        </c:hiLowLines>
        <c:smooth val="0"/>
        <c:axId val="50489073"/>
        <c:axId val="85387738"/>
      </c:lineChart>
      <c:catAx>
        <c:axId val="50489073"/>
        <c:scaling>
          <c:orientation val="minMax"/>
        </c:scaling>
        <c:delete val="0"/>
        <c:axPos val="b"/>
        <c:numFmt formatCode="General" sourceLinked="0"/>
        <c:majorTickMark val="out"/>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zh-HK"/>
          </a:p>
        </c:txPr>
        <c:crossAx val="85387738"/>
        <c:crosses val="autoZero"/>
        <c:auto val="1"/>
        <c:lblAlgn val="ctr"/>
        <c:lblOffset val="100"/>
        <c:noMultiLvlLbl val="0"/>
      </c:catAx>
      <c:valAx>
        <c:axId val="85387738"/>
        <c:scaling>
          <c:orientation val="minMax"/>
        </c:scaling>
        <c:delete val="0"/>
        <c:axPos val="l"/>
        <c:majorGridlines>
          <c:spPr>
            <a:ln w="9360">
              <a:solidFill>
                <a:srgbClr val="878787"/>
              </a:solidFill>
              <a:round/>
            </a:ln>
          </c:spPr>
        </c:majorGridlines>
        <c:numFmt formatCode="General" sourceLinked="0"/>
        <c:majorTickMark val="out"/>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zh-HK"/>
          </a:p>
        </c:txPr>
        <c:crossAx val="50489073"/>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zh-HK"/>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zh-TW"/>
  <c:roundedCorners val="0"/>
  <c:style val="2"/>
  <c:chart>
    <c:autoTitleDeleted val="1"/>
    <c:plotArea>
      <c:layout>
        <c:manualLayout>
          <c:layoutTarget val="inner"/>
          <c:xMode val="edge"/>
          <c:yMode val="edge"/>
          <c:x val="7.1749999999999994E-2"/>
          <c:y val="4.3999999999999997E-2"/>
          <c:w val="0.72650000000000003"/>
          <c:h val="0.91188888888888897"/>
        </c:manualLayout>
      </c:layout>
      <c:lineChart>
        <c:grouping val="standard"/>
        <c:varyColors val="0"/>
        <c:ser>
          <c:idx val="0"/>
          <c:order val="0"/>
          <c:tx>
            <c:strRef>
              <c:f>label 0</c:f>
              <c:strCache>
                <c:ptCount val="1"/>
                <c:pt idx="0">
                  <c:v>Hong Kong</c:v>
                </c:pt>
              </c:strCache>
            </c:strRef>
          </c:tx>
          <c:spPr>
            <a:ln w="28440">
              <a:solidFill>
                <a:srgbClr val="4A7EBB"/>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24"/>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strCache>
            </c:strRef>
          </c:cat>
          <c:val>
            <c:numRef>
              <c:f>0</c:f>
              <c:numCache>
                <c:formatCode>General</c:formatCode>
                <c:ptCount val="24"/>
                <c:pt idx="1">
                  <c:v>-27.37</c:v>
                </c:pt>
                <c:pt idx="2">
                  <c:v>-1.45</c:v>
                </c:pt>
                <c:pt idx="3">
                  <c:v>20.59</c:v>
                </c:pt>
                <c:pt idx="4">
                  <c:v>-26.83</c:v>
                </c:pt>
                <c:pt idx="5">
                  <c:v>7.69</c:v>
                </c:pt>
                <c:pt idx="6">
                  <c:v>-3.57</c:v>
                </c:pt>
                <c:pt idx="7">
                  <c:v>3.7</c:v>
                </c:pt>
                <c:pt idx="8">
                  <c:v>-32.14</c:v>
                </c:pt>
                <c:pt idx="9">
                  <c:v>13.16</c:v>
                </c:pt>
                <c:pt idx="10">
                  <c:v>2.33</c:v>
                </c:pt>
                <c:pt idx="11">
                  <c:v>-7.95</c:v>
                </c:pt>
                <c:pt idx="12">
                  <c:v>-2.4700000000000002</c:v>
                </c:pt>
                <c:pt idx="13">
                  <c:v>-3.8</c:v>
                </c:pt>
                <c:pt idx="14">
                  <c:v>1.22</c:v>
                </c:pt>
                <c:pt idx="15">
                  <c:v>0.6</c:v>
                </c:pt>
                <c:pt idx="16">
                  <c:v>1.8</c:v>
                </c:pt>
                <c:pt idx="17">
                  <c:v>6.1</c:v>
                </c:pt>
                <c:pt idx="18">
                  <c:v>3.1</c:v>
                </c:pt>
                <c:pt idx="19">
                  <c:v>-17.3</c:v>
                </c:pt>
                <c:pt idx="20">
                  <c:v>-14.2</c:v>
                </c:pt>
                <c:pt idx="21">
                  <c:v>8.33</c:v>
                </c:pt>
              </c:numCache>
            </c:numRef>
          </c:val>
          <c:smooth val="0"/>
          <c:extLst>
            <c:ext xmlns:c16="http://schemas.microsoft.com/office/drawing/2014/chart" uri="{C3380CC4-5D6E-409C-BE32-E72D297353CC}">
              <c16:uniqueId val="{00000000-A63E-EE42-A346-1D270D216A99}"/>
            </c:ext>
          </c:extLst>
        </c:ser>
        <c:ser>
          <c:idx val="1"/>
          <c:order val="1"/>
          <c:tx>
            <c:strRef>
              <c:f>label 1</c:f>
              <c:strCache>
                <c:ptCount val="1"/>
                <c:pt idx="0">
                  <c:v>USA</c:v>
                </c:pt>
              </c:strCache>
            </c:strRef>
          </c:tx>
          <c:spPr>
            <a:ln w="28440">
              <a:solidFill>
                <a:srgbClr val="BE4B48"/>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24"/>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strCache>
            </c:strRef>
          </c:cat>
          <c:val>
            <c:numRef>
              <c:f>1</c:f>
              <c:numCache>
                <c:formatCode>General</c:formatCode>
                <c:ptCount val="24"/>
                <c:pt idx="1">
                  <c:v>-21.82</c:v>
                </c:pt>
                <c:pt idx="2">
                  <c:v>-10.87</c:v>
                </c:pt>
                <c:pt idx="3">
                  <c:v>19.23</c:v>
                </c:pt>
                <c:pt idx="4">
                  <c:v>34.14</c:v>
                </c:pt>
                <c:pt idx="5">
                  <c:v>3.65</c:v>
                </c:pt>
                <c:pt idx="6">
                  <c:v>5.19</c:v>
                </c:pt>
                <c:pt idx="7">
                  <c:v>-0.38</c:v>
                </c:pt>
                <c:pt idx="8">
                  <c:v>-45.71</c:v>
                </c:pt>
                <c:pt idx="9">
                  <c:v>-19.3</c:v>
                </c:pt>
                <c:pt idx="10">
                  <c:v>15.22</c:v>
                </c:pt>
                <c:pt idx="11">
                  <c:v>0</c:v>
                </c:pt>
                <c:pt idx="12">
                  <c:v>26.42</c:v>
                </c:pt>
                <c:pt idx="13">
                  <c:v>8.9600000000000009</c:v>
                </c:pt>
                <c:pt idx="14">
                  <c:v>19.18</c:v>
                </c:pt>
                <c:pt idx="15">
                  <c:v>12.64</c:v>
                </c:pt>
                <c:pt idx="16">
                  <c:v>2.04</c:v>
                </c:pt>
                <c:pt idx="17">
                  <c:v>21</c:v>
                </c:pt>
                <c:pt idx="18">
                  <c:v>7.44</c:v>
                </c:pt>
                <c:pt idx="19">
                  <c:v>-1.54</c:v>
                </c:pt>
                <c:pt idx="20">
                  <c:v>-21.09</c:v>
                </c:pt>
                <c:pt idx="21">
                  <c:v>10.89</c:v>
                </c:pt>
                <c:pt idx="22">
                  <c:v>-6.25</c:v>
                </c:pt>
              </c:numCache>
            </c:numRef>
          </c:val>
          <c:smooth val="0"/>
          <c:extLst>
            <c:ext xmlns:c16="http://schemas.microsoft.com/office/drawing/2014/chart" uri="{C3380CC4-5D6E-409C-BE32-E72D297353CC}">
              <c16:uniqueId val="{00000001-A63E-EE42-A346-1D270D216A99}"/>
            </c:ext>
          </c:extLst>
        </c:ser>
        <c:ser>
          <c:idx val="2"/>
          <c:order val="2"/>
          <c:tx>
            <c:strRef>
              <c:f>label 2</c:f>
              <c:strCache>
                <c:ptCount val="1"/>
                <c:pt idx="0">
                  <c:v>Japan</c:v>
                </c:pt>
              </c:strCache>
            </c:strRef>
          </c:tx>
          <c:spPr>
            <a:ln w="28440">
              <a:solidFill>
                <a:srgbClr val="98B855"/>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24"/>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strCache>
            </c:strRef>
          </c:cat>
          <c:val>
            <c:numRef>
              <c:f>2</c:f>
              <c:numCache>
                <c:formatCode>General</c:formatCode>
                <c:ptCount val="24"/>
                <c:pt idx="1">
                  <c:v>-3</c:v>
                </c:pt>
                <c:pt idx="2">
                  <c:v>-4.12</c:v>
                </c:pt>
                <c:pt idx="3">
                  <c:v>1.08</c:v>
                </c:pt>
                <c:pt idx="4">
                  <c:v>3.52</c:v>
                </c:pt>
                <c:pt idx="5">
                  <c:v>3.03</c:v>
                </c:pt>
                <c:pt idx="6">
                  <c:v>1.96</c:v>
                </c:pt>
                <c:pt idx="7">
                  <c:v>-0.96</c:v>
                </c:pt>
                <c:pt idx="8">
                  <c:v>-7.71</c:v>
                </c:pt>
                <c:pt idx="9">
                  <c:v>-8.42</c:v>
                </c:pt>
                <c:pt idx="10">
                  <c:v>12.64</c:v>
                </c:pt>
                <c:pt idx="11">
                  <c:v>1.02</c:v>
                </c:pt>
                <c:pt idx="12">
                  <c:v>0.51</c:v>
                </c:pt>
                <c:pt idx="13">
                  <c:v>0.5</c:v>
                </c:pt>
                <c:pt idx="14">
                  <c:v>-1</c:v>
                </c:pt>
                <c:pt idx="15">
                  <c:v>1.01</c:v>
                </c:pt>
                <c:pt idx="16">
                  <c:v>0</c:v>
                </c:pt>
                <c:pt idx="17">
                  <c:v>1</c:v>
                </c:pt>
                <c:pt idx="18">
                  <c:v>0</c:v>
                </c:pt>
                <c:pt idx="19">
                  <c:v>-2.97</c:v>
                </c:pt>
                <c:pt idx="20">
                  <c:v>-2.02</c:v>
                </c:pt>
                <c:pt idx="21">
                  <c:v>2.06</c:v>
                </c:pt>
                <c:pt idx="22">
                  <c:v>-2.02</c:v>
                </c:pt>
              </c:numCache>
            </c:numRef>
          </c:val>
          <c:smooth val="0"/>
          <c:extLst>
            <c:ext xmlns:c16="http://schemas.microsoft.com/office/drawing/2014/chart" uri="{C3380CC4-5D6E-409C-BE32-E72D297353CC}">
              <c16:uniqueId val="{00000002-A63E-EE42-A346-1D270D216A99}"/>
            </c:ext>
          </c:extLst>
        </c:ser>
        <c:ser>
          <c:idx val="3"/>
          <c:order val="3"/>
          <c:tx>
            <c:strRef>
              <c:f>label 3</c:f>
              <c:strCache>
                <c:ptCount val="1"/>
                <c:pt idx="0">
                  <c:v>Malaysia</c:v>
                </c:pt>
              </c:strCache>
            </c:strRef>
          </c:tx>
          <c:spPr>
            <a:ln w="28440">
              <a:solidFill>
                <a:srgbClr val="7D5FA0"/>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24"/>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strCache>
            </c:strRef>
          </c:cat>
          <c:val>
            <c:numRef>
              <c:f>3</c:f>
              <c:numCache>
                <c:formatCode>General</c:formatCode>
                <c:ptCount val="24"/>
                <c:pt idx="1">
                  <c:v>-10.199999999999999</c:v>
                </c:pt>
                <c:pt idx="2">
                  <c:v>-4.55</c:v>
                </c:pt>
                <c:pt idx="3">
                  <c:v>9.52</c:v>
                </c:pt>
                <c:pt idx="4">
                  <c:v>6.52</c:v>
                </c:pt>
                <c:pt idx="5">
                  <c:v>16.329999999999998</c:v>
                </c:pt>
                <c:pt idx="6">
                  <c:v>-8.77</c:v>
                </c:pt>
                <c:pt idx="7">
                  <c:v>13.46</c:v>
                </c:pt>
                <c:pt idx="8">
                  <c:v>-34.75</c:v>
                </c:pt>
                <c:pt idx="9">
                  <c:v>28.57</c:v>
                </c:pt>
                <c:pt idx="10">
                  <c:v>3.03</c:v>
                </c:pt>
                <c:pt idx="11">
                  <c:v>1.96</c:v>
                </c:pt>
                <c:pt idx="12">
                  <c:v>2.88</c:v>
                </c:pt>
                <c:pt idx="13">
                  <c:v>-4.67</c:v>
                </c:pt>
                <c:pt idx="14">
                  <c:v>-10.78</c:v>
                </c:pt>
                <c:pt idx="15">
                  <c:v>-6.59</c:v>
                </c:pt>
                <c:pt idx="16">
                  <c:v>0</c:v>
                </c:pt>
                <c:pt idx="17">
                  <c:v>12.94</c:v>
                </c:pt>
                <c:pt idx="18">
                  <c:v>23.96</c:v>
                </c:pt>
                <c:pt idx="19">
                  <c:v>-8.4</c:v>
                </c:pt>
                <c:pt idx="20">
                  <c:v>-27.52</c:v>
                </c:pt>
                <c:pt idx="21">
                  <c:v>15.19</c:v>
                </c:pt>
                <c:pt idx="22">
                  <c:v>9.89</c:v>
                </c:pt>
              </c:numCache>
            </c:numRef>
          </c:val>
          <c:smooth val="0"/>
          <c:extLst>
            <c:ext xmlns:c16="http://schemas.microsoft.com/office/drawing/2014/chart" uri="{C3380CC4-5D6E-409C-BE32-E72D297353CC}">
              <c16:uniqueId val="{00000003-A63E-EE42-A346-1D270D216A99}"/>
            </c:ext>
          </c:extLst>
        </c:ser>
        <c:ser>
          <c:idx val="4"/>
          <c:order val="4"/>
          <c:tx>
            <c:strRef>
              <c:f>label 4</c:f>
              <c:strCache>
                <c:ptCount val="1"/>
                <c:pt idx="0">
                  <c:v>India</c:v>
                </c:pt>
              </c:strCache>
            </c:strRef>
          </c:tx>
          <c:spPr>
            <a:ln w="28440">
              <a:solidFill>
                <a:srgbClr val="46AAC4"/>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24"/>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strCache>
            </c:strRef>
          </c:cat>
          <c:val>
            <c:numRef>
              <c:f>4</c:f>
              <c:numCache>
                <c:formatCode>General</c:formatCode>
                <c:ptCount val="24"/>
                <c:pt idx="2">
                  <c:v>-6.7</c:v>
                </c:pt>
                <c:pt idx="3">
                  <c:v>3.39</c:v>
                </c:pt>
                <c:pt idx="4">
                  <c:v>3.39</c:v>
                </c:pt>
                <c:pt idx="5">
                  <c:v>113.11</c:v>
                </c:pt>
                <c:pt idx="6">
                  <c:v>3.85</c:v>
                </c:pt>
                <c:pt idx="7">
                  <c:v>-28.15</c:v>
                </c:pt>
                <c:pt idx="8">
                  <c:v>-4.12</c:v>
                </c:pt>
                <c:pt idx="9">
                  <c:v>-3.23</c:v>
                </c:pt>
                <c:pt idx="10">
                  <c:v>2.2200000000000002</c:v>
                </c:pt>
                <c:pt idx="11">
                  <c:v>18.48</c:v>
                </c:pt>
                <c:pt idx="12">
                  <c:v>5.5</c:v>
                </c:pt>
                <c:pt idx="13">
                  <c:v>-10.43</c:v>
                </c:pt>
                <c:pt idx="14">
                  <c:v>-5.83</c:v>
                </c:pt>
                <c:pt idx="15">
                  <c:v>4.12</c:v>
                </c:pt>
                <c:pt idx="16">
                  <c:v>1.49</c:v>
                </c:pt>
                <c:pt idx="17">
                  <c:v>1.49</c:v>
                </c:pt>
                <c:pt idx="18">
                  <c:v>-4.9000000000000004</c:v>
                </c:pt>
                <c:pt idx="19">
                  <c:v>-5.15</c:v>
                </c:pt>
                <c:pt idx="20">
                  <c:v>-31.52</c:v>
                </c:pt>
                <c:pt idx="21">
                  <c:v>-11.67</c:v>
                </c:pt>
                <c:pt idx="22">
                  <c:v>41.49</c:v>
                </c:pt>
              </c:numCache>
            </c:numRef>
          </c:val>
          <c:smooth val="0"/>
          <c:extLst>
            <c:ext xmlns:c16="http://schemas.microsoft.com/office/drawing/2014/chart" uri="{C3380CC4-5D6E-409C-BE32-E72D297353CC}">
              <c16:uniqueId val="{00000004-A63E-EE42-A346-1D270D216A99}"/>
            </c:ext>
          </c:extLst>
        </c:ser>
        <c:dLbls>
          <c:showLegendKey val="0"/>
          <c:showVal val="0"/>
          <c:showCatName val="0"/>
          <c:showSerName val="0"/>
          <c:showPercent val="0"/>
          <c:showBubbleSize val="0"/>
        </c:dLbls>
        <c:hiLowLines>
          <c:spPr>
            <a:ln w="0">
              <a:noFill/>
            </a:ln>
          </c:spPr>
        </c:hiLowLines>
        <c:smooth val="0"/>
        <c:axId val="35726768"/>
        <c:axId val="24060799"/>
      </c:lineChart>
      <c:catAx>
        <c:axId val="35726768"/>
        <c:scaling>
          <c:orientation val="minMax"/>
        </c:scaling>
        <c:delete val="0"/>
        <c:axPos val="b"/>
        <c:numFmt formatCode="General" sourceLinked="0"/>
        <c:majorTickMark val="out"/>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zh-HK"/>
          </a:p>
        </c:txPr>
        <c:crossAx val="24060799"/>
        <c:crosses val="autoZero"/>
        <c:auto val="1"/>
        <c:lblAlgn val="ctr"/>
        <c:lblOffset val="100"/>
        <c:noMultiLvlLbl val="0"/>
      </c:catAx>
      <c:valAx>
        <c:axId val="24060799"/>
        <c:scaling>
          <c:orientation val="minMax"/>
        </c:scaling>
        <c:delete val="0"/>
        <c:axPos val="l"/>
        <c:majorGridlines>
          <c:spPr>
            <a:ln w="9360">
              <a:solidFill>
                <a:srgbClr val="878787"/>
              </a:solidFill>
              <a:round/>
            </a:ln>
          </c:spPr>
        </c:majorGridlines>
        <c:numFmt formatCode="General" sourceLinked="0"/>
        <c:majorTickMark val="out"/>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zh-HK"/>
          </a:p>
        </c:txPr>
        <c:crossAx val="35726768"/>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zh-HK"/>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zh-TW"/>
  <c:roundedCorners val="0"/>
  <c:style val="2"/>
  <c:chart>
    <c:autoTitleDeleted val="1"/>
    <c:plotArea>
      <c:layout/>
      <c:lineChart>
        <c:grouping val="standard"/>
        <c:varyColors val="0"/>
        <c:ser>
          <c:idx val="0"/>
          <c:order val="0"/>
          <c:tx>
            <c:strRef>
              <c:f>label 0</c:f>
              <c:strCache>
                <c:ptCount val="1"/>
                <c:pt idx="0">
                  <c:v>Hong Kong</c:v>
                </c:pt>
              </c:strCache>
            </c:strRef>
          </c:tx>
          <c:spPr>
            <a:ln w="28440">
              <a:solidFill>
                <a:srgbClr val="4A7EBB"/>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5"/>
                <c:pt idx="0">
                  <c:v>2019</c:v>
                </c:pt>
                <c:pt idx="1">
                  <c:v>2020</c:v>
                </c:pt>
                <c:pt idx="2">
                  <c:v>2021</c:v>
                </c:pt>
                <c:pt idx="3">
                  <c:v>2022</c:v>
                </c:pt>
              </c:strCache>
            </c:strRef>
          </c:cat>
          <c:val>
            <c:numRef>
              <c:f>0</c:f>
              <c:numCache>
                <c:formatCode>General</c:formatCode>
                <c:ptCount val="5"/>
                <c:pt idx="0">
                  <c:v>70</c:v>
                </c:pt>
                <c:pt idx="1">
                  <c:v>60</c:v>
                </c:pt>
                <c:pt idx="2">
                  <c:v>65</c:v>
                </c:pt>
                <c:pt idx="3">
                  <c:v>65</c:v>
                </c:pt>
                <c:pt idx="4">
                  <c:v>70</c:v>
                </c:pt>
              </c:numCache>
            </c:numRef>
          </c:val>
          <c:smooth val="0"/>
          <c:extLst>
            <c:ext xmlns:c16="http://schemas.microsoft.com/office/drawing/2014/chart" uri="{C3380CC4-5D6E-409C-BE32-E72D297353CC}">
              <c16:uniqueId val="{00000000-FC88-F54A-A411-82ECD15D03F1}"/>
            </c:ext>
          </c:extLst>
        </c:ser>
        <c:ser>
          <c:idx val="1"/>
          <c:order val="1"/>
          <c:tx>
            <c:strRef>
              <c:f>label 1</c:f>
              <c:strCache>
                <c:ptCount val="1"/>
                <c:pt idx="0">
                  <c:v>USA</c:v>
                </c:pt>
              </c:strCache>
            </c:strRef>
          </c:tx>
          <c:spPr>
            <a:ln w="28440">
              <a:solidFill>
                <a:srgbClr val="BE4B48"/>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5"/>
                <c:pt idx="0">
                  <c:v>2019</c:v>
                </c:pt>
                <c:pt idx="1">
                  <c:v>2020</c:v>
                </c:pt>
                <c:pt idx="2">
                  <c:v>2021</c:v>
                </c:pt>
                <c:pt idx="3">
                  <c:v>2022</c:v>
                </c:pt>
              </c:strCache>
            </c:strRef>
          </c:cat>
          <c:val>
            <c:numRef>
              <c:f>1</c:f>
              <c:numCache>
                <c:formatCode>General</c:formatCode>
                <c:ptCount val="5"/>
                <c:pt idx="0">
                  <c:v>128</c:v>
                </c:pt>
                <c:pt idx="1">
                  <c:v>101</c:v>
                </c:pt>
                <c:pt idx="2">
                  <c:v>112</c:v>
                </c:pt>
                <c:pt idx="3">
                  <c:v>105</c:v>
                </c:pt>
              </c:numCache>
            </c:numRef>
          </c:val>
          <c:smooth val="0"/>
          <c:extLst>
            <c:ext xmlns:c16="http://schemas.microsoft.com/office/drawing/2014/chart" uri="{C3380CC4-5D6E-409C-BE32-E72D297353CC}">
              <c16:uniqueId val="{00000001-FC88-F54A-A411-82ECD15D03F1}"/>
            </c:ext>
          </c:extLst>
        </c:ser>
        <c:ser>
          <c:idx val="2"/>
          <c:order val="2"/>
          <c:tx>
            <c:strRef>
              <c:f>label 2</c:f>
              <c:strCache>
                <c:ptCount val="1"/>
                <c:pt idx="0">
                  <c:v>Japan</c:v>
                </c:pt>
              </c:strCache>
            </c:strRef>
          </c:tx>
          <c:spPr>
            <a:ln w="28440">
              <a:solidFill>
                <a:srgbClr val="98B855"/>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5"/>
                <c:pt idx="0">
                  <c:v>2019</c:v>
                </c:pt>
                <c:pt idx="1">
                  <c:v>2020</c:v>
                </c:pt>
                <c:pt idx="2">
                  <c:v>2021</c:v>
                </c:pt>
                <c:pt idx="3">
                  <c:v>2022</c:v>
                </c:pt>
              </c:strCache>
            </c:strRef>
          </c:cat>
          <c:val>
            <c:numRef>
              <c:f>2</c:f>
              <c:numCache>
                <c:formatCode>General</c:formatCode>
                <c:ptCount val="5"/>
                <c:pt idx="0">
                  <c:v>99</c:v>
                </c:pt>
                <c:pt idx="1">
                  <c:v>97</c:v>
                </c:pt>
                <c:pt idx="2">
                  <c:v>99</c:v>
                </c:pt>
                <c:pt idx="3">
                  <c:v>97</c:v>
                </c:pt>
                <c:pt idx="4">
                  <c:v>99</c:v>
                </c:pt>
              </c:numCache>
            </c:numRef>
          </c:val>
          <c:smooth val="0"/>
          <c:extLst>
            <c:ext xmlns:c16="http://schemas.microsoft.com/office/drawing/2014/chart" uri="{C3380CC4-5D6E-409C-BE32-E72D297353CC}">
              <c16:uniqueId val="{00000002-FC88-F54A-A411-82ECD15D03F1}"/>
            </c:ext>
          </c:extLst>
        </c:ser>
        <c:ser>
          <c:idx val="3"/>
          <c:order val="3"/>
          <c:tx>
            <c:strRef>
              <c:f>label 3</c:f>
              <c:strCache>
                <c:ptCount val="1"/>
                <c:pt idx="0">
                  <c:v>Malaysia</c:v>
                </c:pt>
              </c:strCache>
            </c:strRef>
          </c:tx>
          <c:spPr>
            <a:ln w="28440">
              <a:solidFill>
                <a:srgbClr val="7D5FA0"/>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5"/>
                <c:pt idx="0">
                  <c:v>2019</c:v>
                </c:pt>
                <c:pt idx="1">
                  <c:v>2020</c:v>
                </c:pt>
                <c:pt idx="2">
                  <c:v>2021</c:v>
                </c:pt>
                <c:pt idx="3">
                  <c:v>2022</c:v>
                </c:pt>
              </c:strCache>
            </c:strRef>
          </c:cat>
          <c:val>
            <c:numRef>
              <c:f>3</c:f>
              <c:numCache>
                <c:formatCode>General</c:formatCode>
                <c:ptCount val="5"/>
                <c:pt idx="0">
                  <c:v>109</c:v>
                </c:pt>
                <c:pt idx="1">
                  <c:v>79</c:v>
                </c:pt>
                <c:pt idx="2">
                  <c:v>91</c:v>
                </c:pt>
                <c:pt idx="3">
                  <c:v>100</c:v>
                </c:pt>
              </c:numCache>
            </c:numRef>
          </c:val>
          <c:smooth val="0"/>
          <c:extLst>
            <c:ext xmlns:c16="http://schemas.microsoft.com/office/drawing/2014/chart" uri="{C3380CC4-5D6E-409C-BE32-E72D297353CC}">
              <c16:uniqueId val="{00000003-FC88-F54A-A411-82ECD15D03F1}"/>
            </c:ext>
          </c:extLst>
        </c:ser>
        <c:ser>
          <c:idx val="4"/>
          <c:order val="4"/>
          <c:tx>
            <c:strRef>
              <c:f>label 4</c:f>
              <c:strCache>
                <c:ptCount val="1"/>
                <c:pt idx="0">
                  <c:v>India</c:v>
                </c:pt>
              </c:strCache>
            </c:strRef>
          </c:tx>
          <c:spPr>
            <a:ln w="28440">
              <a:solidFill>
                <a:srgbClr val="46AAC4"/>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5"/>
                <c:pt idx="0">
                  <c:v>2019</c:v>
                </c:pt>
                <c:pt idx="1">
                  <c:v>2020</c:v>
                </c:pt>
                <c:pt idx="2">
                  <c:v>2021</c:v>
                </c:pt>
                <c:pt idx="3">
                  <c:v>2022</c:v>
                </c:pt>
              </c:strCache>
            </c:strRef>
          </c:cat>
          <c:val>
            <c:numRef>
              <c:f>4</c:f>
              <c:numCache>
                <c:formatCode>General</c:formatCode>
                <c:ptCount val="5"/>
                <c:pt idx="0">
                  <c:v>92</c:v>
                </c:pt>
                <c:pt idx="1">
                  <c:v>63</c:v>
                </c:pt>
                <c:pt idx="2">
                  <c:v>55.65</c:v>
                </c:pt>
                <c:pt idx="3">
                  <c:v>79</c:v>
                </c:pt>
              </c:numCache>
            </c:numRef>
          </c:val>
          <c:smooth val="0"/>
          <c:extLst>
            <c:ext xmlns:c16="http://schemas.microsoft.com/office/drawing/2014/chart" uri="{C3380CC4-5D6E-409C-BE32-E72D297353CC}">
              <c16:uniqueId val="{00000004-FC88-F54A-A411-82ECD15D03F1}"/>
            </c:ext>
          </c:extLst>
        </c:ser>
        <c:dLbls>
          <c:showLegendKey val="0"/>
          <c:showVal val="0"/>
          <c:showCatName val="0"/>
          <c:showSerName val="0"/>
          <c:showPercent val="0"/>
          <c:showBubbleSize val="0"/>
        </c:dLbls>
        <c:hiLowLines>
          <c:spPr>
            <a:ln w="0">
              <a:noFill/>
            </a:ln>
          </c:spPr>
        </c:hiLowLines>
        <c:smooth val="0"/>
        <c:axId val="52388434"/>
        <c:axId val="40896694"/>
      </c:lineChart>
      <c:catAx>
        <c:axId val="52388434"/>
        <c:scaling>
          <c:orientation val="minMax"/>
        </c:scaling>
        <c:delete val="0"/>
        <c:axPos val="b"/>
        <c:numFmt formatCode="General" sourceLinked="0"/>
        <c:majorTickMark val="out"/>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zh-HK"/>
          </a:p>
        </c:txPr>
        <c:crossAx val="40896694"/>
        <c:crosses val="autoZero"/>
        <c:auto val="1"/>
        <c:lblAlgn val="ctr"/>
        <c:lblOffset val="100"/>
        <c:noMultiLvlLbl val="0"/>
      </c:catAx>
      <c:valAx>
        <c:axId val="40896694"/>
        <c:scaling>
          <c:orientation val="minMax"/>
        </c:scaling>
        <c:delete val="0"/>
        <c:axPos val="l"/>
        <c:majorGridlines>
          <c:spPr>
            <a:ln w="9360">
              <a:solidFill>
                <a:srgbClr val="878787"/>
              </a:solidFill>
              <a:round/>
            </a:ln>
          </c:spPr>
        </c:majorGridlines>
        <c:numFmt formatCode="General" sourceLinked="0"/>
        <c:majorTickMark val="out"/>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zh-HK"/>
          </a:p>
        </c:txPr>
        <c:crossAx val="52388434"/>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zh-HK"/>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zh-TW"/>
  <c:roundedCorners val="0"/>
  <c:style val="2"/>
  <c:chart>
    <c:autoTitleDeleted val="1"/>
    <c:plotArea>
      <c:layout/>
      <c:lineChart>
        <c:grouping val="standard"/>
        <c:varyColors val="0"/>
        <c:ser>
          <c:idx val="0"/>
          <c:order val="0"/>
          <c:tx>
            <c:strRef>
              <c:f>label 0</c:f>
              <c:strCache>
                <c:ptCount val="1"/>
                <c:pt idx="0">
                  <c:v>Hong Kong</c:v>
                </c:pt>
              </c:strCache>
            </c:strRef>
          </c:tx>
          <c:spPr>
            <a:ln w="28440">
              <a:solidFill>
                <a:srgbClr val="4A7EBB"/>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4"/>
                <c:pt idx="0">
                  <c:v>2019</c:v>
                </c:pt>
                <c:pt idx="1">
                  <c:v>2020</c:v>
                </c:pt>
                <c:pt idx="2">
                  <c:v>2021</c:v>
                </c:pt>
                <c:pt idx="3">
                  <c:v>2022</c:v>
                </c:pt>
              </c:strCache>
            </c:strRef>
          </c:cat>
          <c:val>
            <c:numRef>
              <c:f>0</c:f>
              <c:numCache>
                <c:formatCode>General</c:formatCode>
                <c:ptCount val="4"/>
                <c:pt idx="0">
                  <c:v>-17.3</c:v>
                </c:pt>
                <c:pt idx="1">
                  <c:v>-14.2</c:v>
                </c:pt>
                <c:pt idx="2">
                  <c:v>8.33</c:v>
                </c:pt>
              </c:numCache>
            </c:numRef>
          </c:val>
          <c:smooth val="0"/>
          <c:extLst>
            <c:ext xmlns:c16="http://schemas.microsoft.com/office/drawing/2014/chart" uri="{C3380CC4-5D6E-409C-BE32-E72D297353CC}">
              <c16:uniqueId val="{00000000-5D35-8E4B-96C1-DD9DC61D4FC9}"/>
            </c:ext>
          </c:extLst>
        </c:ser>
        <c:ser>
          <c:idx val="1"/>
          <c:order val="1"/>
          <c:tx>
            <c:strRef>
              <c:f>label 1</c:f>
              <c:strCache>
                <c:ptCount val="1"/>
                <c:pt idx="0">
                  <c:v>USA</c:v>
                </c:pt>
              </c:strCache>
            </c:strRef>
          </c:tx>
          <c:spPr>
            <a:ln w="28440">
              <a:solidFill>
                <a:srgbClr val="BE4B48"/>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4"/>
                <c:pt idx="0">
                  <c:v>2019</c:v>
                </c:pt>
                <c:pt idx="1">
                  <c:v>2020</c:v>
                </c:pt>
                <c:pt idx="2">
                  <c:v>2021</c:v>
                </c:pt>
                <c:pt idx="3">
                  <c:v>2022</c:v>
                </c:pt>
              </c:strCache>
            </c:strRef>
          </c:cat>
          <c:val>
            <c:numRef>
              <c:f>1</c:f>
              <c:numCache>
                <c:formatCode>General</c:formatCode>
                <c:ptCount val="4"/>
                <c:pt idx="0">
                  <c:v>-1.54</c:v>
                </c:pt>
                <c:pt idx="1">
                  <c:v>-21.09</c:v>
                </c:pt>
                <c:pt idx="2">
                  <c:v>10.89</c:v>
                </c:pt>
                <c:pt idx="3">
                  <c:v>-6.25</c:v>
                </c:pt>
              </c:numCache>
            </c:numRef>
          </c:val>
          <c:smooth val="0"/>
          <c:extLst>
            <c:ext xmlns:c16="http://schemas.microsoft.com/office/drawing/2014/chart" uri="{C3380CC4-5D6E-409C-BE32-E72D297353CC}">
              <c16:uniqueId val="{00000001-5D35-8E4B-96C1-DD9DC61D4FC9}"/>
            </c:ext>
          </c:extLst>
        </c:ser>
        <c:ser>
          <c:idx val="2"/>
          <c:order val="2"/>
          <c:tx>
            <c:strRef>
              <c:f>label 2</c:f>
              <c:strCache>
                <c:ptCount val="1"/>
                <c:pt idx="0">
                  <c:v>Japan</c:v>
                </c:pt>
              </c:strCache>
            </c:strRef>
          </c:tx>
          <c:spPr>
            <a:ln w="28440">
              <a:solidFill>
                <a:srgbClr val="98B855"/>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4"/>
                <c:pt idx="0">
                  <c:v>2019</c:v>
                </c:pt>
                <c:pt idx="1">
                  <c:v>2020</c:v>
                </c:pt>
                <c:pt idx="2">
                  <c:v>2021</c:v>
                </c:pt>
                <c:pt idx="3">
                  <c:v>2022</c:v>
                </c:pt>
              </c:strCache>
            </c:strRef>
          </c:cat>
          <c:val>
            <c:numRef>
              <c:f>2</c:f>
              <c:numCache>
                <c:formatCode>General</c:formatCode>
                <c:ptCount val="4"/>
                <c:pt idx="0">
                  <c:v>-2.97</c:v>
                </c:pt>
                <c:pt idx="1">
                  <c:v>-2.02</c:v>
                </c:pt>
                <c:pt idx="2">
                  <c:v>2.06</c:v>
                </c:pt>
                <c:pt idx="3">
                  <c:v>-2.02</c:v>
                </c:pt>
              </c:numCache>
            </c:numRef>
          </c:val>
          <c:smooth val="0"/>
          <c:extLst>
            <c:ext xmlns:c16="http://schemas.microsoft.com/office/drawing/2014/chart" uri="{C3380CC4-5D6E-409C-BE32-E72D297353CC}">
              <c16:uniqueId val="{00000002-5D35-8E4B-96C1-DD9DC61D4FC9}"/>
            </c:ext>
          </c:extLst>
        </c:ser>
        <c:ser>
          <c:idx val="3"/>
          <c:order val="3"/>
          <c:tx>
            <c:strRef>
              <c:f>label 3</c:f>
              <c:strCache>
                <c:ptCount val="1"/>
                <c:pt idx="0">
                  <c:v>Malaysia</c:v>
                </c:pt>
              </c:strCache>
            </c:strRef>
          </c:tx>
          <c:spPr>
            <a:ln w="28440">
              <a:solidFill>
                <a:srgbClr val="7D5FA0"/>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4"/>
                <c:pt idx="0">
                  <c:v>2019</c:v>
                </c:pt>
                <c:pt idx="1">
                  <c:v>2020</c:v>
                </c:pt>
                <c:pt idx="2">
                  <c:v>2021</c:v>
                </c:pt>
                <c:pt idx="3">
                  <c:v>2022</c:v>
                </c:pt>
              </c:strCache>
            </c:strRef>
          </c:cat>
          <c:val>
            <c:numRef>
              <c:f>3</c:f>
              <c:numCache>
                <c:formatCode>General</c:formatCode>
                <c:ptCount val="4"/>
                <c:pt idx="0">
                  <c:v>-8.4</c:v>
                </c:pt>
                <c:pt idx="1">
                  <c:v>-27.52</c:v>
                </c:pt>
                <c:pt idx="2">
                  <c:v>15.19</c:v>
                </c:pt>
                <c:pt idx="3">
                  <c:v>9.89</c:v>
                </c:pt>
              </c:numCache>
            </c:numRef>
          </c:val>
          <c:smooth val="0"/>
          <c:extLst>
            <c:ext xmlns:c16="http://schemas.microsoft.com/office/drawing/2014/chart" uri="{C3380CC4-5D6E-409C-BE32-E72D297353CC}">
              <c16:uniqueId val="{00000003-5D35-8E4B-96C1-DD9DC61D4FC9}"/>
            </c:ext>
          </c:extLst>
        </c:ser>
        <c:ser>
          <c:idx val="4"/>
          <c:order val="4"/>
          <c:tx>
            <c:strRef>
              <c:f>label 4</c:f>
              <c:strCache>
                <c:ptCount val="1"/>
                <c:pt idx="0">
                  <c:v>India</c:v>
                </c:pt>
              </c:strCache>
            </c:strRef>
          </c:tx>
          <c:spPr>
            <a:ln w="28440">
              <a:solidFill>
                <a:srgbClr val="46AAC4"/>
              </a:solidFill>
              <a:round/>
            </a:ln>
          </c:spPr>
          <c:marker>
            <c:symbol val="none"/>
          </c:marker>
          <c:dLbls>
            <c:spPr>
              <a:noFill/>
              <a:ln>
                <a:noFill/>
              </a:ln>
              <a:effectLst/>
            </c:spPr>
            <c:txPr>
              <a:bodyPr wrap="square"/>
              <a:lstStyle/>
              <a:p>
                <a:pPr>
                  <a:defRPr sz="1000" b="0" strike="noStrike" spc="-1">
                    <a:solidFill>
                      <a:srgbClr val="000000"/>
                    </a:solidFill>
                    <a:latin typeface="Calibri"/>
                  </a:defRPr>
                </a:pPr>
                <a:endParaRPr lang="zh-HK"/>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categories</c:f>
              <c:strCache>
                <c:ptCount val="4"/>
                <c:pt idx="0">
                  <c:v>2019</c:v>
                </c:pt>
                <c:pt idx="1">
                  <c:v>2020</c:v>
                </c:pt>
                <c:pt idx="2">
                  <c:v>2021</c:v>
                </c:pt>
                <c:pt idx="3">
                  <c:v>2022</c:v>
                </c:pt>
              </c:strCache>
            </c:strRef>
          </c:cat>
          <c:val>
            <c:numRef>
              <c:f>4</c:f>
              <c:numCache>
                <c:formatCode>General</c:formatCode>
                <c:ptCount val="4"/>
                <c:pt idx="0">
                  <c:v>-5.15</c:v>
                </c:pt>
                <c:pt idx="1">
                  <c:v>-31.52</c:v>
                </c:pt>
                <c:pt idx="2">
                  <c:v>-11.67</c:v>
                </c:pt>
                <c:pt idx="3">
                  <c:v>41.49</c:v>
                </c:pt>
              </c:numCache>
            </c:numRef>
          </c:val>
          <c:smooth val="0"/>
          <c:extLst>
            <c:ext xmlns:c16="http://schemas.microsoft.com/office/drawing/2014/chart" uri="{C3380CC4-5D6E-409C-BE32-E72D297353CC}">
              <c16:uniqueId val="{00000004-5D35-8E4B-96C1-DD9DC61D4FC9}"/>
            </c:ext>
          </c:extLst>
        </c:ser>
        <c:dLbls>
          <c:showLegendKey val="0"/>
          <c:showVal val="0"/>
          <c:showCatName val="0"/>
          <c:showSerName val="0"/>
          <c:showPercent val="0"/>
          <c:showBubbleSize val="0"/>
        </c:dLbls>
        <c:hiLowLines>
          <c:spPr>
            <a:ln w="0">
              <a:noFill/>
            </a:ln>
          </c:spPr>
        </c:hiLowLines>
        <c:smooth val="0"/>
        <c:axId val="39251740"/>
        <c:axId val="74782251"/>
      </c:lineChart>
      <c:catAx>
        <c:axId val="39251740"/>
        <c:scaling>
          <c:orientation val="minMax"/>
        </c:scaling>
        <c:delete val="0"/>
        <c:axPos val="b"/>
        <c:numFmt formatCode="General" sourceLinked="0"/>
        <c:majorTickMark val="out"/>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zh-HK"/>
          </a:p>
        </c:txPr>
        <c:crossAx val="74782251"/>
        <c:crosses val="autoZero"/>
        <c:auto val="1"/>
        <c:lblAlgn val="ctr"/>
        <c:lblOffset val="100"/>
        <c:noMultiLvlLbl val="0"/>
      </c:catAx>
      <c:valAx>
        <c:axId val="74782251"/>
        <c:scaling>
          <c:orientation val="minMax"/>
        </c:scaling>
        <c:delete val="0"/>
        <c:axPos val="l"/>
        <c:majorGridlines>
          <c:spPr>
            <a:ln w="9360">
              <a:solidFill>
                <a:srgbClr val="878787"/>
              </a:solidFill>
              <a:round/>
            </a:ln>
          </c:spPr>
        </c:majorGridlines>
        <c:numFmt formatCode="General" sourceLinked="0"/>
        <c:majorTickMark val="out"/>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zh-HK"/>
          </a:p>
        </c:txPr>
        <c:crossAx val="39251740"/>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zh-HK"/>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細明體"/>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新細明體"/>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B7A30D-73A9-4F5C-8191-F557611EF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18722</Words>
  <Characters>24715</Characters>
  <Application>Microsoft Office Word</Application>
  <DocSecurity>0</DocSecurity>
  <Lines>2471</Lines>
  <Paragraphs>2413</Paragraphs>
  <ScaleCrop>false</ScaleCrop>
  <Company/>
  <LinksUpToDate>false</LinksUpToDate>
  <CharactersWithSpaces>41024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Tsui</dc:creator>
  <dc:description/>
  <cp:lastModifiedBy>Joy Tsui</cp:lastModifiedBy>
  <cp:revision>2</cp:revision>
  <dcterms:created xsi:type="dcterms:W3CDTF">2024-03-11T15:56:00Z</dcterms:created>
  <dcterms:modified xsi:type="dcterms:W3CDTF">2024-03-11T15:56:00Z</dcterms:modified>
  <dc:language>en-HK</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5c7fdb252aaa4b21a8a261b9441cc95e</vt:lpwstr>
  </property>
</Properties>
</file>