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57431" w14:textId="58361F4E" w:rsidR="005508B8" w:rsidRDefault="00BE701A" w:rsidP="00BE701A">
      <w:pPr>
        <w:jc w:val="center"/>
        <w:rPr>
          <w:rFonts w:cs="Arial"/>
          <w:szCs w:val="24"/>
        </w:rPr>
      </w:pPr>
      <w:r w:rsidRPr="00F4799C">
        <w:rPr>
          <w:rFonts w:asciiTheme="minorBidi" w:hAnsiTheme="minorBidi"/>
          <w:noProof/>
        </w:rPr>
        <w:drawing>
          <wp:inline distT="0" distB="0" distL="0" distR="0" wp14:anchorId="2F5BDE8F" wp14:editId="7275EB03">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58D7265D" w14:textId="77777777" w:rsidR="00BE701A" w:rsidRPr="00A553B9" w:rsidRDefault="00BE701A" w:rsidP="00BE701A">
      <w:pPr>
        <w:jc w:val="center"/>
        <w:rPr>
          <w:rFonts w:cs="Arial"/>
          <w:szCs w:val="24"/>
        </w:rPr>
      </w:pPr>
    </w:p>
    <w:p w14:paraId="7C515378" w14:textId="06AFB5B6" w:rsidR="00BE701A" w:rsidRPr="00F4799C" w:rsidRDefault="00BE701A" w:rsidP="00BE701A">
      <w:pPr>
        <w:jc w:val="center"/>
        <w:rPr>
          <w:rFonts w:asciiTheme="minorBidi" w:hAnsiTheme="minorBidi"/>
          <w:b/>
          <w:bCs/>
          <w:sz w:val="28"/>
          <w:szCs w:val="28"/>
        </w:rPr>
      </w:pPr>
      <w:r w:rsidRPr="00F4799C">
        <w:rPr>
          <w:rFonts w:asciiTheme="minorBidi" w:hAnsiTheme="minorBidi"/>
          <w:b/>
          <w:bCs/>
          <w:sz w:val="28"/>
          <w:szCs w:val="28"/>
        </w:rPr>
        <w:t>Student Name:</w:t>
      </w:r>
      <w:r>
        <w:rPr>
          <w:rFonts w:asciiTheme="minorBidi" w:hAnsiTheme="minorBidi"/>
          <w:b/>
          <w:bCs/>
          <w:sz w:val="28"/>
          <w:szCs w:val="28"/>
        </w:rPr>
        <w:t xml:space="preserve"> Deepa Sureshbhai Suthar</w:t>
      </w:r>
    </w:p>
    <w:p w14:paraId="58F887D1" w14:textId="1787A779" w:rsidR="00BE701A" w:rsidRDefault="00BE701A" w:rsidP="00BE701A">
      <w:pPr>
        <w:jc w:val="center"/>
        <w:rPr>
          <w:rFonts w:asciiTheme="minorBidi" w:hAnsiTheme="minorBidi"/>
          <w:b/>
          <w:bCs/>
          <w:sz w:val="28"/>
          <w:szCs w:val="28"/>
        </w:rPr>
      </w:pPr>
      <w:r w:rsidRPr="00F4799C">
        <w:rPr>
          <w:rFonts w:asciiTheme="minorBidi" w:hAnsiTheme="minorBidi"/>
          <w:b/>
          <w:bCs/>
          <w:sz w:val="28"/>
          <w:szCs w:val="28"/>
        </w:rPr>
        <w:t>Student ID:</w:t>
      </w:r>
      <w:r>
        <w:rPr>
          <w:rFonts w:asciiTheme="minorBidi" w:hAnsiTheme="minorBidi"/>
          <w:b/>
          <w:bCs/>
          <w:sz w:val="28"/>
          <w:szCs w:val="28"/>
        </w:rPr>
        <w:t xml:space="preserve"> 2523541 </w:t>
      </w:r>
    </w:p>
    <w:p w14:paraId="4A7C7375" w14:textId="77777777" w:rsidR="00BE701A" w:rsidRPr="00BE701A" w:rsidRDefault="00BE701A" w:rsidP="00BE701A">
      <w:pPr>
        <w:jc w:val="center"/>
        <w:rPr>
          <w:rFonts w:asciiTheme="minorBidi" w:hAnsiTheme="minorBidi"/>
          <w:b/>
          <w:bCs/>
          <w:sz w:val="28"/>
          <w:szCs w:val="28"/>
        </w:rPr>
      </w:pPr>
    </w:p>
    <w:p w14:paraId="17B296E5" w14:textId="7943F92D" w:rsidR="00BE701A" w:rsidRPr="00F4799C" w:rsidRDefault="00BE701A" w:rsidP="00BE701A">
      <w:pPr>
        <w:jc w:val="center"/>
        <w:rPr>
          <w:rFonts w:asciiTheme="minorBidi" w:hAnsiTheme="minorBidi"/>
          <w:b/>
          <w:bCs/>
          <w:sz w:val="28"/>
          <w:szCs w:val="28"/>
        </w:rPr>
      </w:pPr>
      <w:r w:rsidRPr="00F4799C">
        <w:rPr>
          <w:rFonts w:asciiTheme="minorBidi" w:hAnsiTheme="minorBidi"/>
          <w:b/>
          <w:bCs/>
          <w:sz w:val="28"/>
          <w:szCs w:val="28"/>
        </w:rPr>
        <w:t xml:space="preserve">Module Name: </w:t>
      </w:r>
      <w:r>
        <w:rPr>
          <w:rFonts w:asciiTheme="minorBidi" w:hAnsiTheme="minorBidi"/>
          <w:b/>
          <w:bCs/>
          <w:sz w:val="28"/>
          <w:szCs w:val="28"/>
        </w:rPr>
        <w:t>Financial</w:t>
      </w:r>
      <w:r w:rsidRPr="00F4799C">
        <w:rPr>
          <w:rFonts w:asciiTheme="minorBidi" w:hAnsiTheme="minorBidi"/>
          <w:b/>
          <w:bCs/>
          <w:sz w:val="28"/>
          <w:szCs w:val="28"/>
        </w:rPr>
        <w:t xml:space="preserve"> Management</w:t>
      </w:r>
    </w:p>
    <w:p w14:paraId="528C17CF" w14:textId="6E6FF14B" w:rsidR="00BE701A" w:rsidRDefault="00BE701A" w:rsidP="00BE701A">
      <w:pPr>
        <w:jc w:val="center"/>
        <w:rPr>
          <w:rFonts w:asciiTheme="minorBidi" w:hAnsiTheme="minorBidi"/>
          <w:b/>
          <w:bCs/>
          <w:sz w:val="28"/>
          <w:szCs w:val="28"/>
        </w:rPr>
      </w:pPr>
      <w:r w:rsidRPr="00F4799C">
        <w:rPr>
          <w:rFonts w:asciiTheme="minorBidi" w:hAnsiTheme="minorBidi"/>
          <w:b/>
          <w:bCs/>
          <w:sz w:val="28"/>
          <w:szCs w:val="28"/>
        </w:rPr>
        <w:t>Module Code: LCMB70</w:t>
      </w:r>
      <w:r>
        <w:rPr>
          <w:rFonts w:asciiTheme="minorBidi" w:hAnsiTheme="minorBidi"/>
          <w:b/>
          <w:bCs/>
          <w:sz w:val="28"/>
          <w:szCs w:val="28"/>
        </w:rPr>
        <w:t>02</w:t>
      </w:r>
    </w:p>
    <w:p w14:paraId="67964A54" w14:textId="77777777" w:rsidR="00BE701A" w:rsidRPr="00F4799C" w:rsidRDefault="00BE701A" w:rsidP="00BE701A">
      <w:pPr>
        <w:jc w:val="center"/>
        <w:rPr>
          <w:rFonts w:asciiTheme="minorBidi" w:hAnsiTheme="minorBidi"/>
          <w:b/>
          <w:bCs/>
          <w:sz w:val="28"/>
          <w:szCs w:val="28"/>
        </w:rPr>
      </w:pPr>
    </w:p>
    <w:p w14:paraId="2CBD3ED9" w14:textId="654D3C27" w:rsidR="00BE701A" w:rsidRPr="00F4799C" w:rsidRDefault="00BE701A" w:rsidP="00BE701A">
      <w:pPr>
        <w:jc w:val="center"/>
        <w:rPr>
          <w:rFonts w:asciiTheme="minorBidi" w:hAnsiTheme="minorBidi"/>
          <w:b/>
          <w:bCs/>
          <w:sz w:val="28"/>
          <w:szCs w:val="28"/>
        </w:rPr>
      </w:pPr>
      <w:r w:rsidRPr="00F4799C">
        <w:rPr>
          <w:rFonts w:asciiTheme="minorBidi" w:hAnsiTheme="minorBidi"/>
          <w:b/>
          <w:bCs/>
          <w:sz w:val="28"/>
          <w:szCs w:val="28"/>
        </w:rPr>
        <w:t>Lecturer’s Name:</w:t>
      </w:r>
      <w:r>
        <w:rPr>
          <w:rFonts w:asciiTheme="minorBidi" w:hAnsiTheme="minorBidi"/>
          <w:b/>
          <w:bCs/>
          <w:sz w:val="28"/>
          <w:szCs w:val="28"/>
        </w:rPr>
        <w:t xml:space="preserve"> </w:t>
      </w:r>
      <w:r w:rsidR="00C5380B">
        <w:rPr>
          <w:rFonts w:asciiTheme="minorBidi" w:hAnsiTheme="minorBidi"/>
          <w:b/>
          <w:bCs/>
          <w:sz w:val="28"/>
          <w:szCs w:val="28"/>
        </w:rPr>
        <w:t>Isaiah Oino</w:t>
      </w:r>
    </w:p>
    <w:p w14:paraId="6B701D40" w14:textId="62790CEF" w:rsidR="00BE701A" w:rsidRDefault="00BE701A" w:rsidP="00BE701A">
      <w:pPr>
        <w:jc w:val="center"/>
        <w:rPr>
          <w:rFonts w:asciiTheme="minorBidi" w:hAnsiTheme="minorBidi"/>
          <w:b/>
          <w:bCs/>
          <w:sz w:val="28"/>
          <w:szCs w:val="28"/>
        </w:rPr>
      </w:pPr>
      <w:r w:rsidRPr="00F4799C">
        <w:rPr>
          <w:rFonts w:asciiTheme="minorBidi" w:hAnsiTheme="minorBidi"/>
          <w:b/>
          <w:bCs/>
          <w:sz w:val="28"/>
          <w:szCs w:val="28"/>
        </w:rPr>
        <w:t>Work Count:</w:t>
      </w:r>
      <w:r>
        <w:rPr>
          <w:rFonts w:asciiTheme="minorBidi" w:hAnsiTheme="minorBidi"/>
          <w:b/>
          <w:bCs/>
          <w:sz w:val="28"/>
          <w:szCs w:val="28"/>
        </w:rPr>
        <w:t xml:space="preserve"> 5000 equivalents </w:t>
      </w:r>
    </w:p>
    <w:p w14:paraId="3BD644FF" w14:textId="77777777" w:rsidR="00BE701A" w:rsidRPr="00F4799C" w:rsidRDefault="00BE701A" w:rsidP="00BE701A">
      <w:pPr>
        <w:jc w:val="center"/>
        <w:rPr>
          <w:rFonts w:asciiTheme="minorBidi" w:hAnsiTheme="minorBidi"/>
          <w:b/>
          <w:bCs/>
          <w:sz w:val="28"/>
          <w:szCs w:val="28"/>
        </w:rPr>
      </w:pPr>
    </w:p>
    <w:p w14:paraId="471F1A75" w14:textId="77777777" w:rsidR="00BE701A" w:rsidRPr="00F4799C" w:rsidRDefault="00BE701A" w:rsidP="00BE701A">
      <w:pPr>
        <w:jc w:val="center"/>
        <w:rPr>
          <w:rFonts w:asciiTheme="minorBidi" w:hAnsiTheme="minorBidi"/>
          <w:b/>
          <w:bCs/>
          <w:sz w:val="28"/>
          <w:szCs w:val="28"/>
        </w:rPr>
      </w:pPr>
      <w:r w:rsidRPr="00F4799C">
        <w:rPr>
          <w:rFonts w:asciiTheme="minorBidi" w:hAnsiTheme="minorBidi"/>
          <w:b/>
          <w:bCs/>
          <w:sz w:val="28"/>
          <w:szCs w:val="28"/>
        </w:rPr>
        <w:t>Term 1</w:t>
      </w:r>
    </w:p>
    <w:p w14:paraId="0F46DE3D" w14:textId="77777777" w:rsidR="00BE701A" w:rsidRPr="00F4799C" w:rsidRDefault="00BE701A" w:rsidP="00BE701A">
      <w:pPr>
        <w:rPr>
          <w:rFonts w:asciiTheme="minorBidi" w:hAnsiTheme="minorBidi"/>
          <w:b/>
          <w:bCs/>
        </w:rPr>
      </w:pPr>
      <w:r w:rsidRPr="00F4799C">
        <w:rPr>
          <w:rFonts w:asciiTheme="minorBidi" w:hAnsiTheme="minorBidi"/>
          <w:b/>
          <w:bCs/>
        </w:rPr>
        <w:br w:type="page"/>
      </w:r>
    </w:p>
    <w:p w14:paraId="25A09E04" w14:textId="77777777" w:rsidR="005508B8" w:rsidRPr="00A553B9" w:rsidRDefault="006D4139" w:rsidP="00BE701A">
      <w:pPr>
        <w:jc w:val="center"/>
        <w:rPr>
          <w:rFonts w:cs="Arial"/>
          <w:szCs w:val="24"/>
        </w:rPr>
      </w:pPr>
      <w:r w:rsidRPr="00A553B9">
        <w:rPr>
          <w:rFonts w:cs="Arial"/>
          <w:szCs w:val="24"/>
        </w:rPr>
        <w:lastRenderedPageBreak/>
        <w:br w:type="page"/>
      </w:r>
    </w:p>
    <w:sdt>
      <w:sdtPr>
        <w:rPr>
          <w:rFonts w:ascii="Arial" w:eastAsia="Arial" w:hAnsi="Arial" w:cs="Arial"/>
          <w:b w:val="0"/>
          <w:bCs w:val="0"/>
          <w:color w:val="auto"/>
          <w:sz w:val="24"/>
          <w:szCs w:val="24"/>
        </w:rPr>
        <w:id w:val="-823667845"/>
        <w:docPartObj>
          <w:docPartGallery w:val="Table of Contents"/>
          <w:docPartUnique/>
        </w:docPartObj>
      </w:sdtPr>
      <w:sdtContent>
        <w:p w14:paraId="6A81CB19" w14:textId="38426D9E" w:rsidR="00BD3E38" w:rsidRPr="009A5D3C" w:rsidRDefault="00BD3E38" w:rsidP="009E21FB">
          <w:pPr>
            <w:pStyle w:val="TOCHeading"/>
            <w:rPr>
              <w:rFonts w:ascii="Arial" w:hAnsi="Arial" w:cs="Arial"/>
              <w:color w:val="auto"/>
              <w:sz w:val="22"/>
              <w:szCs w:val="22"/>
            </w:rPr>
          </w:pPr>
          <w:r w:rsidRPr="009A5D3C">
            <w:rPr>
              <w:rFonts w:ascii="Arial" w:hAnsi="Arial" w:cs="Arial"/>
              <w:color w:val="auto"/>
              <w:sz w:val="22"/>
              <w:szCs w:val="22"/>
            </w:rPr>
            <w:t>Table of Contents</w:t>
          </w:r>
        </w:p>
        <w:p w14:paraId="3E78DB03" w14:textId="69944290" w:rsidR="00BE7A99" w:rsidRPr="009A5D3C" w:rsidRDefault="00BD3E38">
          <w:pPr>
            <w:pStyle w:val="TOC1"/>
            <w:tabs>
              <w:tab w:val="right" w:leader="dot" w:pos="9638"/>
            </w:tabs>
            <w:rPr>
              <w:rFonts w:asciiTheme="minorHAnsi" w:eastAsiaTheme="minorEastAsia" w:hAnsiTheme="minorHAnsi"/>
              <w:noProof/>
              <w:kern w:val="2"/>
              <w:sz w:val="22"/>
              <w14:ligatures w14:val="standardContextual"/>
            </w:rPr>
          </w:pPr>
          <w:r w:rsidRPr="009A5D3C">
            <w:rPr>
              <w:rFonts w:cs="Arial"/>
              <w:sz w:val="22"/>
            </w:rPr>
            <w:fldChar w:fldCharType="begin"/>
          </w:r>
          <w:r w:rsidRPr="009A5D3C">
            <w:rPr>
              <w:rFonts w:cs="Arial"/>
              <w:sz w:val="22"/>
            </w:rPr>
            <w:instrText xml:space="preserve"> TOC \o "1-3" \h \z \u </w:instrText>
          </w:r>
          <w:r w:rsidRPr="009A5D3C">
            <w:rPr>
              <w:rFonts w:cs="Arial"/>
              <w:sz w:val="22"/>
            </w:rPr>
            <w:fldChar w:fldCharType="separate"/>
          </w:r>
          <w:hyperlink w:anchor="_Toc225717161" w:history="1">
            <w:r w:rsidR="00BE7A99" w:rsidRPr="009A5D3C">
              <w:rPr>
                <w:rStyle w:val="Hyperlink"/>
                <w:rFonts w:cs="Arial"/>
                <w:noProof/>
                <w:sz w:val="22"/>
              </w:rPr>
              <w:t>List of Figures</w:t>
            </w:r>
            <w:r w:rsidR="00BE7A99" w:rsidRPr="009A5D3C">
              <w:rPr>
                <w:noProof/>
                <w:webHidden/>
                <w:sz w:val="22"/>
              </w:rPr>
              <w:tab/>
            </w:r>
            <w:r w:rsidR="00BE7A99" w:rsidRPr="009A5D3C">
              <w:rPr>
                <w:noProof/>
                <w:webHidden/>
                <w:sz w:val="22"/>
              </w:rPr>
              <w:fldChar w:fldCharType="begin"/>
            </w:r>
            <w:r w:rsidR="00BE7A99" w:rsidRPr="009A5D3C">
              <w:rPr>
                <w:noProof/>
                <w:webHidden/>
                <w:sz w:val="22"/>
              </w:rPr>
              <w:instrText xml:space="preserve"> PAGEREF _Toc225717161 \h </w:instrText>
            </w:r>
            <w:r w:rsidR="00BE7A99" w:rsidRPr="009A5D3C">
              <w:rPr>
                <w:noProof/>
                <w:webHidden/>
                <w:sz w:val="22"/>
              </w:rPr>
            </w:r>
            <w:r w:rsidR="00BE7A99" w:rsidRPr="009A5D3C">
              <w:rPr>
                <w:noProof/>
                <w:webHidden/>
                <w:sz w:val="22"/>
              </w:rPr>
              <w:fldChar w:fldCharType="separate"/>
            </w:r>
            <w:r w:rsidR="00BE7A99" w:rsidRPr="009A5D3C">
              <w:rPr>
                <w:noProof/>
                <w:webHidden/>
                <w:sz w:val="22"/>
              </w:rPr>
              <w:t>4</w:t>
            </w:r>
            <w:r w:rsidR="00BE7A99" w:rsidRPr="009A5D3C">
              <w:rPr>
                <w:noProof/>
                <w:webHidden/>
                <w:sz w:val="22"/>
              </w:rPr>
              <w:fldChar w:fldCharType="end"/>
            </w:r>
          </w:hyperlink>
        </w:p>
        <w:p w14:paraId="3D76CCCB" w14:textId="308AF279" w:rsidR="00BE7A99" w:rsidRPr="009A5D3C" w:rsidRDefault="00BE7A99">
          <w:pPr>
            <w:pStyle w:val="TOC1"/>
            <w:tabs>
              <w:tab w:val="right" w:leader="dot" w:pos="9638"/>
            </w:tabs>
            <w:rPr>
              <w:rFonts w:asciiTheme="minorHAnsi" w:eastAsiaTheme="minorEastAsia" w:hAnsiTheme="minorHAnsi"/>
              <w:noProof/>
              <w:kern w:val="2"/>
              <w:sz w:val="22"/>
              <w14:ligatures w14:val="standardContextual"/>
            </w:rPr>
          </w:pPr>
          <w:hyperlink w:anchor="_Toc225717162" w:history="1">
            <w:r w:rsidRPr="009A5D3C">
              <w:rPr>
                <w:rStyle w:val="Hyperlink"/>
                <w:rFonts w:cs="Arial"/>
                <w:noProof/>
                <w:sz w:val="22"/>
              </w:rPr>
              <w:t>List of Tables</w:t>
            </w:r>
            <w:r w:rsidRPr="009A5D3C">
              <w:rPr>
                <w:noProof/>
                <w:webHidden/>
                <w:sz w:val="22"/>
              </w:rPr>
              <w:tab/>
            </w:r>
            <w:r w:rsidRPr="009A5D3C">
              <w:rPr>
                <w:noProof/>
                <w:webHidden/>
                <w:sz w:val="22"/>
              </w:rPr>
              <w:fldChar w:fldCharType="begin"/>
            </w:r>
            <w:r w:rsidRPr="009A5D3C">
              <w:rPr>
                <w:noProof/>
                <w:webHidden/>
                <w:sz w:val="22"/>
              </w:rPr>
              <w:instrText xml:space="preserve"> PAGEREF _Toc225717162 \h </w:instrText>
            </w:r>
            <w:r w:rsidRPr="009A5D3C">
              <w:rPr>
                <w:noProof/>
                <w:webHidden/>
                <w:sz w:val="22"/>
              </w:rPr>
            </w:r>
            <w:r w:rsidRPr="009A5D3C">
              <w:rPr>
                <w:noProof/>
                <w:webHidden/>
                <w:sz w:val="22"/>
              </w:rPr>
              <w:fldChar w:fldCharType="separate"/>
            </w:r>
            <w:r w:rsidRPr="009A5D3C">
              <w:rPr>
                <w:noProof/>
                <w:webHidden/>
                <w:sz w:val="22"/>
              </w:rPr>
              <w:t>4</w:t>
            </w:r>
            <w:r w:rsidRPr="009A5D3C">
              <w:rPr>
                <w:noProof/>
                <w:webHidden/>
                <w:sz w:val="22"/>
              </w:rPr>
              <w:fldChar w:fldCharType="end"/>
            </w:r>
          </w:hyperlink>
        </w:p>
        <w:p w14:paraId="119B6542" w14:textId="4AB63FB8" w:rsidR="00BE7A99" w:rsidRPr="009A5D3C" w:rsidRDefault="00BE7A99">
          <w:pPr>
            <w:pStyle w:val="TOC1"/>
            <w:tabs>
              <w:tab w:val="right" w:leader="dot" w:pos="9638"/>
            </w:tabs>
            <w:rPr>
              <w:rFonts w:asciiTheme="minorHAnsi" w:eastAsiaTheme="minorEastAsia" w:hAnsiTheme="minorHAnsi"/>
              <w:noProof/>
              <w:kern w:val="2"/>
              <w:sz w:val="22"/>
              <w14:ligatures w14:val="standardContextual"/>
            </w:rPr>
          </w:pPr>
          <w:hyperlink w:anchor="_Toc225717163" w:history="1">
            <w:r w:rsidRPr="009A5D3C">
              <w:rPr>
                <w:rStyle w:val="Hyperlink"/>
                <w:rFonts w:cs="Arial"/>
                <w:noProof/>
                <w:sz w:val="22"/>
              </w:rPr>
              <w:t>1. Introduction</w:t>
            </w:r>
            <w:r w:rsidRPr="009A5D3C">
              <w:rPr>
                <w:noProof/>
                <w:webHidden/>
                <w:sz w:val="22"/>
              </w:rPr>
              <w:tab/>
            </w:r>
            <w:r w:rsidRPr="009A5D3C">
              <w:rPr>
                <w:noProof/>
                <w:webHidden/>
                <w:sz w:val="22"/>
              </w:rPr>
              <w:fldChar w:fldCharType="begin"/>
            </w:r>
            <w:r w:rsidRPr="009A5D3C">
              <w:rPr>
                <w:noProof/>
                <w:webHidden/>
                <w:sz w:val="22"/>
              </w:rPr>
              <w:instrText xml:space="preserve"> PAGEREF _Toc225717163 \h </w:instrText>
            </w:r>
            <w:r w:rsidRPr="009A5D3C">
              <w:rPr>
                <w:noProof/>
                <w:webHidden/>
                <w:sz w:val="22"/>
              </w:rPr>
            </w:r>
            <w:r w:rsidRPr="009A5D3C">
              <w:rPr>
                <w:noProof/>
                <w:webHidden/>
                <w:sz w:val="22"/>
              </w:rPr>
              <w:fldChar w:fldCharType="separate"/>
            </w:r>
            <w:r w:rsidRPr="009A5D3C">
              <w:rPr>
                <w:noProof/>
                <w:webHidden/>
                <w:sz w:val="22"/>
              </w:rPr>
              <w:t>5</w:t>
            </w:r>
            <w:r w:rsidRPr="009A5D3C">
              <w:rPr>
                <w:noProof/>
                <w:webHidden/>
                <w:sz w:val="22"/>
              </w:rPr>
              <w:fldChar w:fldCharType="end"/>
            </w:r>
          </w:hyperlink>
        </w:p>
        <w:p w14:paraId="118862D5" w14:textId="2D791544" w:rsidR="00BE7A99" w:rsidRPr="009A5D3C" w:rsidRDefault="00BE7A99">
          <w:pPr>
            <w:pStyle w:val="TOC1"/>
            <w:tabs>
              <w:tab w:val="right" w:leader="dot" w:pos="9638"/>
            </w:tabs>
            <w:rPr>
              <w:rFonts w:asciiTheme="minorHAnsi" w:eastAsiaTheme="minorEastAsia" w:hAnsiTheme="minorHAnsi"/>
              <w:noProof/>
              <w:kern w:val="2"/>
              <w:sz w:val="22"/>
              <w14:ligatures w14:val="standardContextual"/>
            </w:rPr>
          </w:pPr>
          <w:hyperlink w:anchor="_Toc225717164" w:history="1">
            <w:r w:rsidRPr="009A5D3C">
              <w:rPr>
                <w:rStyle w:val="Hyperlink"/>
                <w:rFonts w:cs="Arial"/>
                <w:noProof/>
                <w:sz w:val="22"/>
              </w:rPr>
              <w:t>2. Financial Health Check</w:t>
            </w:r>
            <w:r w:rsidRPr="009A5D3C">
              <w:rPr>
                <w:noProof/>
                <w:webHidden/>
                <w:sz w:val="22"/>
              </w:rPr>
              <w:tab/>
            </w:r>
            <w:r w:rsidRPr="009A5D3C">
              <w:rPr>
                <w:noProof/>
                <w:webHidden/>
                <w:sz w:val="22"/>
              </w:rPr>
              <w:fldChar w:fldCharType="begin"/>
            </w:r>
            <w:r w:rsidRPr="009A5D3C">
              <w:rPr>
                <w:noProof/>
                <w:webHidden/>
                <w:sz w:val="22"/>
              </w:rPr>
              <w:instrText xml:space="preserve"> PAGEREF _Toc225717164 \h </w:instrText>
            </w:r>
            <w:r w:rsidRPr="009A5D3C">
              <w:rPr>
                <w:noProof/>
                <w:webHidden/>
                <w:sz w:val="22"/>
              </w:rPr>
            </w:r>
            <w:r w:rsidRPr="009A5D3C">
              <w:rPr>
                <w:noProof/>
                <w:webHidden/>
                <w:sz w:val="22"/>
              </w:rPr>
              <w:fldChar w:fldCharType="separate"/>
            </w:r>
            <w:r w:rsidRPr="009A5D3C">
              <w:rPr>
                <w:noProof/>
                <w:webHidden/>
                <w:sz w:val="22"/>
              </w:rPr>
              <w:t>6</w:t>
            </w:r>
            <w:r w:rsidRPr="009A5D3C">
              <w:rPr>
                <w:noProof/>
                <w:webHidden/>
                <w:sz w:val="22"/>
              </w:rPr>
              <w:fldChar w:fldCharType="end"/>
            </w:r>
          </w:hyperlink>
        </w:p>
        <w:p w14:paraId="38442E4A" w14:textId="222FBDEE"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65" w:history="1">
            <w:r w:rsidRPr="009A5D3C">
              <w:rPr>
                <w:rStyle w:val="Hyperlink"/>
                <w:rFonts w:cs="Arial"/>
                <w:noProof/>
                <w:sz w:val="22"/>
              </w:rPr>
              <w:t>2.1 Overview of Financial Performance</w:t>
            </w:r>
            <w:r w:rsidRPr="009A5D3C">
              <w:rPr>
                <w:noProof/>
                <w:webHidden/>
                <w:sz w:val="22"/>
              </w:rPr>
              <w:tab/>
            </w:r>
            <w:r w:rsidRPr="009A5D3C">
              <w:rPr>
                <w:noProof/>
                <w:webHidden/>
                <w:sz w:val="22"/>
              </w:rPr>
              <w:fldChar w:fldCharType="begin"/>
            </w:r>
            <w:r w:rsidRPr="009A5D3C">
              <w:rPr>
                <w:noProof/>
                <w:webHidden/>
                <w:sz w:val="22"/>
              </w:rPr>
              <w:instrText xml:space="preserve"> PAGEREF _Toc225717165 \h </w:instrText>
            </w:r>
            <w:r w:rsidRPr="009A5D3C">
              <w:rPr>
                <w:noProof/>
                <w:webHidden/>
                <w:sz w:val="22"/>
              </w:rPr>
            </w:r>
            <w:r w:rsidRPr="009A5D3C">
              <w:rPr>
                <w:noProof/>
                <w:webHidden/>
                <w:sz w:val="22"/>
              </w:rPr>
              <w:fldChar w:fldCharType="separate"/>
            </w:r>
            <w:r w:rsidRPr="009A5D3C">
              <w:rPr>
                <w:noProof/>
                <w:webHidden/>
                <w:sz w:val="22"/>
              </w:rPr>
              <w:t>6</w:t>
            </w:r>
            <w:r w:rsidRPr="009A5D3C">
              <w:rPr>
                <w:noProof/>
                <w:webHidden/>
                <w:sz w:val="22"/>
              </w:rPr>
              <w:fldChar w:fldCharType="end"/>
            </w:r>
          </w:hyperlink>
        </w:p>
        <w:p w14:paraId="2AB0AD78" w14:textId="426CB8AC"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66" w:history="1">
            <w:r w:rsidRPr="009A5D3C">
              <w:rPr>
                <w:rStyle w:val="Hyperlink"/>
                <w:rFonts w:cs="Arial"/>
                <w:noProof/>
                <w:sz w:val="22"/>
              </w:rPr>
              <w:t>2.2 Ratio Analysis</w:t>
            </w:r>
            <w:r w:rsidRPr="009A5D3C">
              <w:rPr>
                <w:noProof/>
                <w:webHidden/>
                <w:sz w:val="22"/>
              </w:rPr>
              <w:tab/>
            </w:r>
            <w:r w:rsidRPr="009A5D3C">
              <w:rPr>
                <w:noProof/>
                <w:webHidden/>
                <w:sz w:val="22"/>
              </w:rPr>
              <w:fldChar w:fldCharType="begin"/>
            </w:r>
            <w:r w:rsidRPr="009A5D3C">
              <w:rPr>
                <w:noProof/>
                <w:webHidden/>
                <w:sz w:val="22"/>
              </w:rPr>
              <w:instrText xml:space="preserve"> PAGEREF _Toc225717166 \h </w:instrText>
            </w:r>
            <w:r w:rsidRPr="009A5D3C">
              <w:rPr>
                <w:noProof/>
                <w:webHidden/>
                <w:sz w:val="22"/>
              </w:rPr>
            </w:r>
            <w:r w:rsidRPr="009A5D3C">
              <w:rPr>
                <w:noProof/>
                <w:webHidden/>
                <w:sz w:val="22"/>
              </w:rPr>
              <w:fldChar w:fldCharType="separate"/>
            </w:r>
            <w:r w:rsidRPr="009A5D3C">
              <w:rPr>
                <w:noProof/>
                <w:webHidden/>
                <w:sz w:val="22"/>
              </w:rPr>
              <w:t>7</w:t>
            </w:r>
            <w:r w:rsidRPr="009A5D3C">
              <w:rPr>
                <w:noProof/>
                <w:webHidden/>
                <w:sz w:val="22"/>
              </w:rPr>
              <w:fldChar w:fldCharType="end"/>
            </w:r>
          </w:hyperlink>
        </w:p>
        <w:p w14:paraId="56FB8D3D" w14:textId="642A7B72"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67" w:history="1">
            <w:r w:rsidRPr="009A5D3C">
              <w:rPr>
                <w:rStyle w:val="Hyperlink"/>
                <w:rFonts w:cs="Arial"/>
                <w:noProof/>
                <w:sz w:val="22"/>
              </w:rPr>
              <w:t>Profitability Ratios</w:t>
            </w:r>
            <w:r w:rsidRPr="009A5D3C">
              <w:rPr>
                <w:noProof/>
                <w:webHidden/>
                <w:sz w:val="22"/>
              </w:rPr>
              <w:tab/>
            </w:r>
            <w:r w:rsidRPr="009A5D3C">
              <w:rPr>
                <w:noProof/>
                <w:webHidden/>
                <w:sz w:val="22"/>
              </w:rPr>
              <w:fldChar w:fldCharType="begin"/>
            </w:r>
            <w:r w:rsidRPr="009A5D3C">
              <w:rPr>
                <w:noProof/>
                <w:webHidden/>
                <w:sz w:val="22"/>
              </w:rPr>
              <w:instrText xml:space="preserve"> PAGEREF _Toc225717167 \h </w:instrText>
            </w:r>
            <w:r w:rsidRPr="009A5D3C">
              <w:rPr>
                <w:noProof/>
                <w:webHidden/>
                <w:sz w:val="22"/>
              </w:rPr>
            </w:r>
            <w:r w:rsidRPr="009A5D3C">
              <w:rPr>
                <w:noProof/>
                <w:webHidden/>
                <w:sz w:val="22"/>
              </w:rPr>
              <w:fldChar w:fldCharType="separate"/>
            </w:r>
            <w:r w:rsidRPr="009A5D3C">
              <w:rPr>
                <w:noProof/>
                <w:webHidden/>
                <w:sz w:val="22"/>
              </w:rPr>
              <w:t>7</w:t>
            </w:r>
            <w:r w:rsidRPr="009A5D3C">
              <w:rPr>
                <w:noProof/>
                <w:webHidden/>
                <w:sz w:val="22"/>
              </w:rPr>
              <w:fldChar w:fldCharType="end"/>
            </w:r>
          </w:hyperlink>
        </w:p>
        <w:p w14:paraId="0B66434A" w14:textId="32E0F881"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68" w:history="1">
            <w:r w:rsidRPr="009A5D3C">
              <w:rPr>
                <w:rStyle w:val="Hyperlink"/>
                <w:rFonts w:cs="Arial"/>
                <w:noProof/>
                <w:sz w:val="22"/>
              </w:rPr>
              <w:t>Liquidity Ratios</w:t>
            </w:r>
            <w:r w:rsidRPr="009A5D3C">
              <w:rPr>
                <w:noProof/>
                <w:webHidden/>
                <w:sz w:val="22"/>
              </w:rPr>
              <w:tab/>
            </w:r>
            <w:r w:rsidRPr="009A5D3C">
              <w:rPr>
                <w:noProof/>
                <w:webHidden/>
                <w:sz w:val="22"/>
              </w:rPr>
              <w:fldChar w:fldCharType="begin"/>
            </w:r>
            <w:r w:rsidRPr="009A5D3C">
              <w:rPr>
                <w:noProof/>
                <w:webHidden/>
                <w:sz w:val="22"/>
              </w:rPr>
              <w:instrText xml:space="preserve"> PAGEREF _Toc225717168 \h </w:instrText>
            </w:r>
            <w:r w:rsidRPr="009A5D3C">
              <w:rPr>
                <w:noProof/>
                <w:webHidden/>
                <w:sz w:val="22"/>
              </w:rPr>
            </w:r>
            <w:r w:rsidRPr="009A5D3C">
              <w:rPr>
                <w:noProof/>
                <w:webHidden/>
                <w:sz w:val="22"/>
              </w:rPr>
              <w:fldChar w:fldCharType="separate"/>
            </w:r>
            <w:r w:rsidRPr="009A5D3C">
              <w:rPr>
                <w:noProof/>
                <w:webHidden/>
                <w:sz w:val="22"/>
              </w:rPr>
              <w:t>8</w:t>
            </w:r>
            <w:r w:rsidRPr="009A5D3C">
              <w:rPr>
                <w:noProof/>
                <w:webHidden/>
                <w:sz w:val="22"/>
              </w:rPr>
              <w:fldChar w:fldCharType="end"/>
            </w:r>
          </w:hyperlink>
        </w:p>
        <w:p w14:paraId="6D303776" w14:textId="4B875A2B"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69" w:history="1">
            <w:r w:rsidRPr="009A5D3C">
              <w:rPr>
                <w:rStyle w:val="Hyperlink"/>
                <w:rFonts w:cs="Arial"/>
                <w:noProof/>
                <w:sz w:val="22"/>
              </w:rPr>
              <w:t>Efficiency Ratios</w:t>
            </w:r>
            <w:r w:rsidRPr="009A5D3C">
              <w:rPr>
                <w:noProof/>
                <w:webHidden/>
                <w:sz w:val="22"/>
              </w:rPr>
              <w:tab/>
            </w:r>
            <w:r w:rsidRPr="009A5D3C">
              <w:rPr>
                <w:noProof/>
                <w:webHidden/>
                <w:sz w:val="22"/>
              </w:rPr>
              <w:fldChar w:fldCharType="begin"/>
            </w:r>
            <w:r w:rsidRPr="009A5D3C">
              <w:rPr>
                <w:noProof/>
                <w:webHidden/>
                <w:sz w:val="22"/>
              </w:rPr>
              <w:instrText xml:space="preserve"> PAGEREF _Toc225717169 \h </w:instrText>
            </w:r>
            <w:r w:rsidRPr="009A5D3C">
              <w:rPr>
                <w:noProof/>
                <w:webHidden/>
                <w:sz w:val="22"/>
              </w:rPr>
            </w:r>
            <w:r w:rsidRPr="009A5D3C">
              <w:rPr>
                <w:noProof/>
                <w:webHidden/>
                <w:sz w:val="22"/>
              </w:rPr>
              <w:fldChar w:fldCharType="separate"/>
            </w:r>
            <w:r w:rsidRPr="009A5D3C">
              <w:rPr>
                <w:noProof/>
                <w:webHidden/>
                <w:sz w:val="22"/>
              </w:rPr>
              <w:t>9</w:t>
            </w:r>
            <w:r w:rsidRPr="009A5D3C">
              <w:rPr>
                <w:noProof/>
                <w:webHidden/>
                <w:sz w:val="22"/>
              </w:rPr>
              <w:fldChar w:fldCharType="end"/>
            </w:r>
          </w:hyperlink>
        </w:p>
        <w:p w14:paraId="6DCC91F1" w14:textId="31CEC8F3"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70" w:history="1">
            <w:r w:rsidRPr="009A5D3C">
              <w:rPr>
                <w:rStyle w:val="Hyperlink"/>
                <w:rFonts w:cs="Arial"/>
                <w:noProof/>
                <w:sz w:val="22"/>
              </w:rPr>
              <w:t>Gearing (Leverage) Ratios</w:t>
            </w:r>
            <w:r w:rsidRPr="009A5D3C">
              <w:rPr>
                <w:noProof/>
                <w:webHidden/>
                <w:sz w:val="22"/>
              </w:rPr>
              <w:tab/>
            </w:r>
            <w:r w:rsidRPr="009A5D3C">
              <w:rPr>
                <w:noProof/>
                <w:webHidden/>
                <w:sz w:val="22"/>
              </w:rPr>
              <w:fldChar w:fldCharType="begin"/>
            </w:r>
            <w:r w:rsidRPr="009A5D3C">
              <w:rPr>
                <w:noProof/>
                <w:webHidden/>
                <w:sz w:val="22"/>
              </w:rPr>
              <w:instrText xml:space="preserve"> PAGEREF _Toc225717170 \h </w:instrText>
            </w:r>
            <w:r w:rsidRPr="009A5D3C">
              <w:rPr>
                <w:noProof/>
                <w:webHidden/>
                <w:sz w:val="22"/>
              </w:rPr>
            </w:r>
            <w:r w:rsidRPr="009A5D3C">
              <w:rPr>
                <w:noProof/>
                <w:webHidden/>
                <w:sz w:val="22"/>
              </w:rPr>
              <w:fldChar w:fldCharType="separate"/>
            </w:r>
            <w:r w:rsidRPr="009A5D3C">
              <w:rPr>
                <w:noProof/>
                <w:webHidden/>
                <w:sz w:val="22"/>
              </w:rPr>
              <w:t>9</w:t>
            </w:r>
            <w:r w:rsidRPr="009A5D3C">
              <w:rPr>
                <w:noProof/>
                <w:webHidden/>
                <w:sz w:val="22"/>
              </w:rPr>
              <w:fldChar w:fldCharType="end"/>
            </w:r>
          </w:hyperlink>
        </w:p>
        <w:p w14:paraId="5C07AFED" w14:textId="48995200"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71" w:history="1">
            <w:r w:rsidRPr="009A5D3C">
              <w:rPr>
                <w:rStyle w:val="Hyperlink"/>
                <w:rFonts w:cs="Arial"/>
                <w:noProof/>
                <w:sz w:val="22"/>
              </w:rPr>
              <w:t>Investment Ratios</w:t>
            </w:r>
            <w:r w:rsidRPr="009A5D3C">
              <w:rPr>
                <w:noProof/>
                <w:webHidden/>
                <w:sz w:val="22"/>
              </w:rPr>
              <w:tab/>
            </w:r>
            <w:r w:rsidRPr="009A5D3C">
              <w:rPr>
                <w:noProof/>
                <w:webHidden/>
                <w:sz w:val="22"/>
              </w:rPr>
              <w:fldChar w:fldCharType="begin"/>
            </w:r>
            <w:r w:rsidRPr="009A5D3C">
              <w:rPr>
                <w:noProof/>
                <w:webHidden/>
                <w:sz w:val="22"/>
              </w:rPr>
              <w:instrText xml:space="preserve"> PAGEREF _Toc225717171 \h </w:instrText>
            </w:r>
            <w:r w:rsidRPr="009A5D3C">
              <w:rPr>
                <w:noProof/>
                <w:webHidden/>
                <w:sz w:val="22"/>
              </w:rPr>
            </w:r>
            <w:r w:rsidRPr="009A5D3C">
              <w:rPr>
                <w:noProof/>
                <w:webHidden/>
                <w:sz w:val="22"/>
              </w:rPr>
              <w:fldChar w:fldCharType="separate"/>
            </w:r>
            <w:r w:rsidRPr="009A5D3C">
              <w:rPr>
                <w:noProof/>
                <w:webHidden/>
                <w:sz w:val="22"/>
              </w:rPr>
              <w:t>10</w:t>
            </w:r>
            <w:r w:rsidRPr="009A5D3C">
              <w:rPr>
                <w:noProof/>
                <w:webHidden/>
                <w:sz w:val="22"/>
              </w:rPr>
              <w:fldChar w:fldCharType="end"/>
            </w:r>
          </w:hyperlink>
        </w:p>
        <w:p w14:paraId="2DF50E29" w14:textId="39D91FAC"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72" w:history="1">
            <w:r w:rsidRPr="009A5D3C">
              <w:rPr>
                <w:rStyle w:val="Hyperlink"/>
                <w:rFonts w:cs="Arial"/>
                <w:noProof/>
                <w:sz w:val="22"/>
              </w:rPr>
              <w:t>Cash Flow Analysis</w:t>
            </w:r>
            <w:r w:rsidRPr="009A5D3C">
              <w:rPr>
                <w:noProof/>
                <w:webHidden/>
                <w:sz w:val="22"/>
              </w:rPr>
              <w:tab/>
            </w:r>
            <w:r w:rsidRPr="009A5D3C">
              <w:rPr>
                <w:noProof/>
                <w:webHidden/>
                <w:sz w:val="22"/>
              </w:rPr>
              <w:fldChar w:fldCharType="begin"/>
            </w:r>
            <w:r w:rsidRPr="009A5D3C">
              <w:rPr>
                <w:noProof/>
                <w:webHidden/>
                <w:sz w:val="22"/>
              </w:rPr>
              <w:instrText xml:space="preserve"> PAGEREF _Toc225717172 \h </w:instrText>
            </w:r>
            <w:r w:rsidRPr="009A5D3C">
              <w:rPr>
                <w:noProof/>
                <w:webHidden/>
                <w:sz w:val="22"/>
              </w:rPr>
            </w:r>
            <w:r w:rsidRPr="009A5D3C">
              <w:rPr>
                <w:noProof/>
                <w:webHidden/>
                <w:sz w:val="22"/>
              </w:rPr>
              <w:fldChar w:fldCharType="separate"/>
            </w:r>
            <w:r w:rsidRPr="009A5D3C">
              <w:rPr>
                <w:noProof/>
                <w:webHidden/>
                <w:sz w:val="22"/>
              </w:rPr>
              <w:t>11</w:t>
            </w:r>
            <w:r w:rsidRPr="009A5D3C">
              <w:rPr>
                <w:noProof/>
                <w:webHidden/>
                <w:sz w:val="22"/>
              </w:rPr>
              <w:fldChar w:fldCharType="end"/>
            </w:r>
          </w:hyperlink>
        </w:p>
        <w:p w14:paraId="2D2D066C" w14:textId="094C9AB6"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73" w:history="1">
            <w:r w:rsidRPr="009A5D3C">
              <w:rPr>
                <w:rStyle w:val="Hyperlink"/>
                <w:rFonts w:cs="Arial"/>
                <w:noProof/>
                <w:sz w:val="22"/>
              </w:rPr>
              <w:t>2.3 Trend Analysis and Key Issues</w:t>
            </w:r>
            <w:r w:rsidRPr="009A5D3C">
              <w:rPr>
                <w:noProof/>
                <w:webHidden/>
                <w:sz w:val="22"/>
              </w:rPr>
              <w:tab/>
            </w:r>
            <w:r w:rsidRPr="009A5D3C">
              <w:rPr>
                <w:noProof/>
                <w:webHidden/>
                <w:sz w:val="22"/>
              </w:rPr>
              <w:fldChar w:fldCharType="begin"/>
            </w:r>
            <w:r w:rsidRPr="009A5D3C">
              <w:rPr>
                <w:noProof/>
                <w:webHidden/>
                <w:sz w:val="22"/>
              </w:rPr>
              <w:instrText xml:space="preserve"> PAGEREF _Toc225717173 \h </w:instrText>
            </w:r>
            <w:r w:rsidRPr="009A5D3C">
              <w:rPr>
                <w:noProof/>
                <w:webHidden/>
                <w:sz w:val="22"/>
              </w:rPr>
            </w:r>
            <w:r w:rsidRPr="009A5D3C">
              <w:rPr>
                <w:noProof/>
                <w:webHidden/>
                <w:sz w:val="22"/>
              </w:rPr>
              <w:fldChar w:fldCharType="separate"/>
            </w:r>
            <w:r w:rsidRPr="009A5D3C">
              <w:rPr>
                <w:noProof/>
                <w:webHidden/>
                <w:sz w:val="22"/>
              </w:rPr>
              <w:t>12</w:t>
            </w:r>
            <w:r w:rsidRPr="009A5D3C">
              <w:rPr>
                <w:noProof/>
                <w:webHidden/>
                <w:sz w:val="22"/>
              </w:rPr>
              <w:fldChar w:fldCharType="end"/>
            </w:r>
          </w:hyperlink>
        </w:p>
        <w:p w14:paraId="335C3AAC" w14:textId="29396F19" w:rsidR="00BE7A99" w:rsidRPr="009A5D3C" w:rsidRDefault="00BE7A99">
          <w:pPr>
            <w:pStyle w:val="TOC1"/>
            <w:tabs>
              <w:tab w:val="right" w:leader="dot" w:pos="9638"/>
            </w:tabs>
            <w:rPr>
              <w:rFonts w:asciiTheme="minorHAnsi" w:eastAsiaTheme="minorEastAsia" w:hAnsiTheme="minorHAnsi"/>
              <w:noProof/>
              <w:kern w:val="2"/>
              <w:sz w:val="22"/>
              <w14:ligatures w14:val="standardContextual"/>
            </w:rPr>
          </w:pPr>
          <w:hyperlink w:anchor="_Toc225717174" w:history="1">
            <w:r w:rsidRPr="009A5D3C">
              <w:rPr>
                <w:rStyle w:val="Hyperlink"/>
                <w:rFonts w:cs="Arial"/>
                <w:noProof/>
                <w:sz w:val="22"/>
              </w:rPr>
              <w:t>3. Working Capital Management Analysis</w:t>
            </w:r>
            <w:r w:rsidRPr="009A5D3C">
              <w:rPr>
                <w:noProof/>
                <w:webHidden/>
                <w:sz w:val="22"/>
              </w:rPr>
              <w:tab/>
            </w:r>
            <w:r w:rsidRPr="009A5D3C">
              <w:rPr>
                <w:noProof/>
                <w:webHidden/>
                <w:sz w:val="22"/>
              </w:rPr>
              <w:fldChar w:fldCharType="begin"/>
            </w:r>
            <w:r w:rsidRPr="009A5D3C">
              <w:rPr>
                <w:noProof/>
                <w:webHidden/>
                <w:sz w:val="22"/>
              </w:rPr>
              <w:instrText xml:space="preserve"> PAGEREF _Toc225717174 \h </w:instrText>
            </w:r>
            <w:r w:rsidRPr="009A5D3C">
              <w:rPr>
                <w:noProof/>
                <w:webHidden/>
                <w:sz w:val="22"/>
              </w:rPr>
            </w:r>
            <w:r w:rsidRPr="009A5D3C">
              <w:rPr>
                <w:noProof/>
                <w:webHidden/>
                <w:sz w:val="22"/>
              </w:rPr>
              <w:fldChar w:fldCharType="separate"/>
            </w:r>
            <w:r w:rsidRPr="009A5D3C">
              <w:rPr>
                <w:noProof/>
                <w:webHidden/>
                <w:sz w:val="22"/>
              </w:rPr>
              <w:t>13</w:t>
            </w:r>
            <w:r w:rsidRPr="009A5D3C">
              <w:rPr>
                <w:noProof/>
                <w:webHidden/>
                <w:sz w:val="22"/>
              </w:rPr>
              <w:fldChar w:fldCharType="end"/>
            </w:r>
          </w:hyperlink>
        </w:p>
        <w:p w14:paraId="74439F5D" w14:textId="7B00E35B"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75" w:history="1">
            <w:r w:rsidRPr="009A5D3C">
              <w:rPr>
                <w:rStyle w:val="Hyperlink"/>
                <w:rFonts w:cs="Arial"/>
                <w:noProof/>
                <w:sz w:val="22"/>
              </w:rPr>
              <w:t>3.1 Cash Operating Cycle</w:t>
            </w:r>
            <w:r w:rsidRPr="009A5D3C">
              <w:rPr>
                <w:noProof/>
                <w:webHidden/>
                <w:sz w:val="22"/>
              </w:rPr>
              <w:tab/>
            </w:r>
            <w:r w:rsidRPr="009A5D3C">
              <w:rPr>
                <w:noProof/>
                <w:webHidden/>
                <w:sz w:val="22"/>
              </w:rPr>
              <w:fldChar w:fldCharType="begin"/>
            </w:r>
            <w:r w:rsidRPr="009A5D3C">
              <w:rPr>
                <w:noProof/>
                <w:webHidden/>
                <w:sz w:val="22"/>
              </w:rPr>
              <w:instrText xml:space="preserve"> PAGEREF _Toc225717175 \h </w:instrText>
            </w:r>
            <w:r w:rsidRPr="009A5D3C">
              <w:rPr>
                <w:noProof/>
                <w:webHidden/>
                <w:sz w:val="22"/>
              </w:rPr>
            </w:r>
            <w:r w:rsidRPr="009A5D3C">
              <w:rPr>
                <w:noProof/>
                <w:webHidden/>
                <w:sz w:val="22"/>
              </w:rPr>
              <w:fldChar w:fldCharType="separate"/>
            </w:r>
            <w:r w:rsidRPr="009A5D3C">
              <w:rPr>
                <w:noProof/>
                <w:webHidden/>
                <w:sz w:val="22"/>
              </w:rPr>
              <w:t>13</w:t>
            </w:r>
            <w:r w:rsidRPr="009A5D3C">
              <w:rPr>
                <w:noProof/>
                <w:webHidden/>
                <w:sz w:val="22"/>
              </w:rPr>
              <w:fldChar w:fldCharType="end"/>
            </w:r>
          </w:hyperlink>
        </w:p>
        <w:p w14:paraId="6145AC8B" w14:textId="7CBE766F"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76" w:history="1">
            <w:r w:rsidRPr="009A5D3C">
              <w:rPr>
                <w:rStyle w:val="Hyperlink"/>
                <w:rFonts w:cs="Arial"/>
                <w:noProof/>
                <w:sz w:val="22"/>
              </w:rPr>
              <w:t>3.2 Liquidity Assessment</w:t>
            </w:r>
            <w:r w:rsidRPr="009A5D3C">
              <w:rPr>
                <w:noProof/>
                <w:webHidden/>
                <w:sz w:val="22"/>
              </w:rPr>
              <w:tab/>
            </w:r>
            <w:r w:rsidRPr="009A5D3C">
              <w:rPr>
                <w:noProof/>
                <w:webHidden/>
                <w:sz w:val="22"/>
              </w:rPr>
              <w:fldChar w:fldCharType="begin"/>
            </w:r>
            <w:r w:rsidRPr="009A5D3C">
              <w:rPr>
                <w:noProof/>
                <w:webHidden/>
                <w:sz w:val="22"/>
              </w:rPr>
              <w:instrText xml:space="preserve"> PAGEREF _Toc225717176 \h </w:instrText>
            </w:r>
            <w:r w:rsidRPr="009A5D3C">
              <w:rPr>
                <w:noProof/>
                <w:webHidden/>
                <w:sz w:val="22"/>
              </w:rPr>
            </w:r>
            <w:r w:rsidRPr="009A5D3C">
              <w:rPr>
                <w:noProof/>
                <w:webHidden/>
                <w:sz w:val="22"/>
              </w:rPr>
              <w:fldChar w:fldCharType="separate"/>
            </w:r>
            <w:r w:rsidRPr="009A5D3C">
              <w:rPr>
                <w:noProof/>
                <w:webHidden/>
                <w:sz w:val="22"/>
              </w:rPr>
              <w:t>13</w:t>
            </w:r>
            <w:r w:rsidRPr="009A5D3C">
              <w:rPr>
                <w:noProof/>
                <w:webHidden/>
                <w:sz w:val="22"/>
              </w:rPr>
              <w:fldChar w:fldCharType="end"/>
            </w:r>
          </w:hyperlink>
        </w:p>
        <w:p w14:paraId="48F930C7" w14:textId="71CDA17B"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77" w:history="1">
            <w:r w:rsidRPr="009A5D3C">
              <w:rPr>
                <w:rStyle w:val="Hyperlink"/>
                <w:rFonts w:cs="Arial"/>
                <w:noProof/>
                <w:sz w:val="22"/>
              </w:rPr>
              <w:t>3.3 Working Capital Issues</w:t>
            </w:r>
            <w:r w:rsidRPr="009A5D3C">
              <w:rPr>
                <w:noProof/>
                <w:webHidden/>
                <w:sz w:val="22"/>
              </w:rPr>
              <w:tab/>
            </w:r>
            <w:r w:rsidRPr="009A5D3C">
              <w:rPr>
                <w:noProof/>
                <w:webHidden/>
                <w:sz w:val="22"/>
              </w:rPr>
              <w:fldChar w:fldCharType="begin"/>
            </w:r>
            <w:r w:rsidRPr="009A5D3C">
              <w:rPr>
                <w:noProof/>
                <w:webHidden/>
                <w:sz w:val="22"/>
              </w:rPr>
              <w:instrText xml:space="preserve"> PAGEREF _Toc225717177 \h </w:instrText>
            </w:r>
            <w:r w:rsidRPr="009A5D3C">
              <w:rPr>
                <w:noProof/>
                <w:webHidden/>
                <w:sz w:val="22"/>
              </w:rPr>
            </w:r>
            <w:r w:rsidRPr="009A5D3C">
              <w:rPr>
                <w:noProof/>
                <w:webHidden/>
                <w:sz w:val="22"/>
              </w:rPr>
              <w:fldChar w:fldCharType="separate"/>
            </w:r>
            <w:r w:rsidRPr="009A5D3C">
              <w:rPr>
                <w:noProof/>
                <w:webHidden/>
                <w:sz w:val="22"/>
              </w:rPr>
              <w:t>14</w:t>
            </w:r>
            <w:r w:rsidRPr="009A5D3C">
              <w:rPr>
                <w:noProof/>
                <w:webHidden/>
                <w:sz w:val="22"/>
              </w:rPr>
              <w:fldChar w:fldCharType="end"/>
            </w:r>
          </w:hyperlink>
        </w:p>
        <w:p w14:paraId="1AD12BCB" w14:textId="658C7FD5"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78" w:history="1">
            <w:r w:rsidRPr="009A5D3C">
              <w:rPr>
                <w:rStyle w:val="Hyperlink"/>
                <w:rFonts w:cs="Arial"/>
                <w:noProof/>
                <w:sz w:val="22"/>
              </w:rPr>
              <w:t>3.4 Recommendations for Improvement</w:t>
            </w:r>
            <w:r w:rsidRPr="009A5D3C">
              <w:rPr>
                <w:noProof/>
                <w:webHidden/>
                <w:sz w:val="22"/>
              </w:rPr>
              <w:tab/>
            </w:r>
            <w:r w:rsidRPr="009A5D3C">
              <w:rPr>
                <w:noProof/>
                <w:webHidden/>
                <w:sz w:val="22"/>
              </w:rPr>
              <w:fldChar w:fldCharType="begin"/>
            </w:r>
            <w:r w:rsidRPr="009A5D3C">
              <w:rPr>
                <w:noProof/>
                <w:webHidden/>
                <w:sz w:val="22"/>
              </w:rPr>
              <w:instrText xml:space="preserve"> PAGEREF _Toc225717178 \h </w:instrText>
            </w:r>
            <w:r w:rsidRPr="009A5D3C">
              <w:rPr>
                <w:noProof/>
                <w:webHidden/>
                <w:sz w:val="22"/>
              </w:rPr>
            </w:r>
            <w:r w:rsidRPr="009A5D3C">
              <w:rPr>
                <w:noProof/>
                <w:webHidden/>
                <w:sz w:val="22"/>
              </w:rPr>
              <w:fldChar w:fldCharType="separate"/>
            </w:r>
            <w:r w:rsidRPr="009A5D3C">
              <w:rPr>
                <w:noProof/>
                <w:webHidden/>
                <w:sz w:val="22"/>
              </w:rPr>
              <w:t>15</w:t>
            </w:r>
            <w:r w:rsidRPr="009A5D3C">
              <w:rPr>
                <w:noProof/>
                <w:webHidden/>
                <w:sz w:val="22"/>
              </w:rPr>
              <w:fldChar w:fldCharType="end"/>
            </w:r>
          </w:hyperlink>
        </w:p>
        <w:p w14:paraId="6589DAFE" w14:textId="59A8CFF9"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79" w:history="1">
            <w:r w:rsidRPr="009A5D3C">
              <w:rPr>
                <w:rStyle w:val="Hyperlink"/>
                <w:rFonts w:cs="Arial"/>
                <w:noProof/>
                <w:sz w:val="22"/>
              </w:rPr>
              <w:t>3.5 Financing Options Comparison</w:t>
            </w:r>
            <w:r w:rsidRPr="009A5D3C">
              <w:rPr>
                <w:noProof/>
                <w:webHidden/>
                <w:sz w:val="22"/>
              </w:rPr>
              <w:tab/>
            </w:r>
            <w:r w:rsidRPr="009A5D3C">
              <w:rPr>
                <w:noProof/>
                <w:webHidden/>
                <w:sz w:val="22"/>
              </w:rPr>
              <w:fldChar w:fldCharType="begin"/>
            </w:r>
            <w:r w:rsidRPr="009A5D3C">
              <w:rPr>
                <w:noProof/>
                <w:webHidden/>
                <w:sz w:val="22"/>
              </w:rPr>
              <w:instrText xml:space="preserve"> PAGEREF _Toc225717179 \h </w:instrText>
            </w:r>
            <w:r w:rsidRPr="009A5D3C">
              <w:rPr>
                <w:noProof/>
                <w:webHidden/>
                <w:sz w:val="22"/>
              </w:rPr>
            </w:r>
            <w:r w:rsidRPr="009A5D3C">
              <w:rPr>
                <w:noProof/>
                <w:webHidden/>
                <w:sz w:val="22"/>
              </w:rPr>
              <w:fldChar w:fldCharType="separate"/>
            </w:r>
            <w:r w:rsidRPr="009A5D3C">
              <w:rPr>
                <w:noProof/>
                <w:webHidden/>
                <w:sz w:val="22"/>
              </w:rPr>
              <w:t>15</w:t>
            </w:r>
            <w:r w:rsidRPr="009A5D3C">
              <w:rPr>
                <w:noProof/>
                <w:webHidden/>
                <w:sz w:val="22"/>
              </w:rPr>
              <w:fldChar w:fldCharType="end"/>
            </w:r>
          </w:hyperlink>
        </w:p>
        <w:p w14:paraId="74A330B7" w14:textId="6A350CE0" w:rsidR="00BE7A99" w:rsidRPr="009A5D3C" w:rsidRDefault="00BE7A99">
          <w:pPr>
            <w:pStyle w:val="TOC1"/>
            <w:tabs>
              <w:tab w:val="right" w:leader="dot" w:pos="9638"/>
            </w:tabs>
            <w:rPr>
              <w:rFonts w:asciiTheme="minorHAnsi" w:eastAsiaTheme="minorEastAsia" w:hAnsiTheme="minorHAnsi"/>
              <w:noProof/>
              <w:kern w:val="2"/>
              <w:sz w:val="22"/>
              <w14:ligatures w14:val="standardContextual"/>
            </w:rPr>
          </w:pPr>
          <w:hyperlink w:anchor="_Toc225717180" w:history="1">
            <w:r w:rsidRPr="009A5D3C">
              <w:rPr>
                <w:rStyle w:val="Hyperlink"/>
                <w:rFonts w:cs="Arial"/>
                <w:noProof/>
                <w:sz w:val="22"/>
              </w:rPr>
              <w:t>4. Strategic Financial Restructuring Plan</w:t>
            </w:r>
            <w:r w:rsidRPr="009A5D3C">
              <w:rPr>
                <w:noProof/>
                <w:webHidden/>
                <w:sz w:val="22"/>
              </w:rPr>
              <w:tab/>
            </w:r>
            <w:r w:rsidRPr="009A5D3C">
              <w:rPr>
                <w:noProof/>
                <w:webHidden/>
                <w:sz w:val="22"/>
              </w:rPr>
              <w:fldChar w:fldCharType="begin"/>
            </w:r>
            <w:r w:rsidRPr="009A5D3C">
              <w:rPr>
                <w:noProof/>
                <w:webHidden/>
                <w:sz w:val="22"/>
              </w:rPr>
              <w:instrText xml:space="preserve"> PAGEREF _Toc225717180 \h </w:instrText>
            </w:r>
            <w:r w:rsidRPr="009A5D3C">
              <w:rPr>
                <w:noProof/>
                <w:webHidden/>
                <w:sz w:val="22"/>
              </w:rPr>
            </w:r>
            <w:r w:rsidRPr="009A5D3C">
              <w:rPr>
                <w:noProof/>
                <w:webHidden/>
                <w:sz w:val="22"/>
              </w:rPr>
              <w:fldChar w:fldCharType="separate"/>
            </w:r>
            <w:r w:rsidRPr="009A5D3C">
              <w:rPr>
                <w:noProof/>
                <w:webHidden/>
                <w:sz w:val="22"/>
              </w:rPr>
              <w:t>16</w:t>
            </w:r>
            <w:r w:rsidRPr="009A5D3C">
              <w:rPr>
                <w:noProof/>
                <w:webHidden/>
                <w:sz w:val="22"/>
              </w:rPr>
              <w:fldChar w:fldCharType="end"/>
            </w:r>
          </w:hyperlink>
        </w:p>
        <w:p w14:paraId="3390D2A5" w14:textId="65D11B8A"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81" w:history="1">
            <w:r w:rsidRPr="009A5D3C">
              <w:rPr>
                <w:rStyle w:val="Hyperlink"/>
                <w:rFonts w:cs="Arial"/>
                <w:noProof/>
                <w:sz w:val="22"/>
              </w:rPr>
              <w:t>4.1 Need for Restructuring</w:t>
            </w:r>
            <w:r w:rsidRPr="009A5D3C">
              <w:rPr>
                <w:noProof/>
                <w:webHidden/>
                <w:sz w:val="22"/>
              </w:rPr>
              <w:tab/>
            </w:r>
            <w:r w:rsidRPr="009A5D3C">
              <w:rPr>
                <w:noProof/>
                <w:webHidden/>
                <w:sz w:val="22"/>
              </w:rPr>
              <w:fldChar w:fldCharType="begin"/>
            </w:r>
            <w:r w:rsidRPr="009A5D3C">
              <w:rPr>
                <w:noProof/>
                <w:webHidden/>
                <w:sz w:val="22"/>
              </w:rPr>
              <w:instrText xml:space="preserve"> PAGEREF _Toc225717181 \h </w:instrText>
            </w:r>
            <w:r w:rsidRPr="009A5D3C">
              <w:rPr>
                <w:noProof/>
                <w:webHidden/>
                <w:sz w:val="22"/>
              </w:rPr>
            </w:r>
            <w:r w:rsidRPr="009A5D3C">
              <w:rPr>
                <w:noProof/>
                <w:webHidden/>
                <w:sz w:val="22"/>
              </w:rPr>
              <w:fldChar w:fldCharType="separate"/>
            </w:r>
            <w:r w:rsidRPr="009A5D3C">
              <w:rPr>
                <w:noProof/>
                <w:webHidden/>
                <w:sz w:val="22"/>
              </w:rPr>
              <w:t>16</w:t>
            </w:r>
            <w:r w:rsidRPr="009A5D3C">
              <w:rPr>
                <w:noProof/>
                <w:webHidden/>
                <w:sz w:val="22"/>
              </w:rPr>
              <w:fldChar w:fldCharType="end"/>
            </w:r>
          </w:hyperlink>
        </w:p>
        <w:p w14:paraId="55EDC8A6" w14:textId="6AC8FA9F"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82" w:history="1">
            <w:r w:rsidRPr="009A5D3C">
              <w:rPr>
                <w:rStyle w:val="Hyperlink"/>
                <w:rFonts w:cs="Arial"/>
                <w:noProof/>
                <w:sz w:val="22"/>
              </w:rPr>
              <w:t>4.2 Proposed Strategies</w:t>
            </w:r>
            <w:r w:rsidRPr="009A5D3C">
              <w:rPr>
                <w:noProof/>
                <w:webHidden/>
                <w:sz w:val="22"/>
              </w:rPr>
              <w:tab/>
            </w:r>
            <w:r w:rsidRPr="009A5D3C">
              <w:rPr>
                <w:noProof/>
                <w:webHidden/>
                <w:sz w:val="22"/>
              </w:rPr>
              <w:fldChar w:fldCharType="begin"/>
            </w:r>
            <w:r w:rsidRPr="009A5D3C">
              <w:rPr>
                <w:noProof/>
                <w:webHidden/>
                <w:sz w:val="22"/>
              </w:rPr>
              <w:instrText xml:space="preserve"> PAGEREF _Toc225717182 \h </w:instrText>
            </w:r>
            <w:r w:rsidRPr="009A5D3C">
              <w:rPr>
                <w:noProof/>
                <w:webHidden/>
                <w:sz w:val="22"/>
              </w:rPr>
            </w:r>
            <w:r w:rsidRPr="009A5D3C">
              <w:rPr>
                <w:noProof/>
                <w:webHidden/>
                <w:sz w:val="22"/>
              </w:rPr>
              <w:fldChar w:fldCharType="separate"/>
            </w:r>
            <w:r w:rsidRPr="009A5D3C">
              <w:rPr>
                <w:noProof/>
                <w:webHidden/>
                <w:sz w:val="22"/>
              </w:rPr>
              <w:t>17</w:t>
            </w:r>
            <w:r w:rsidRPr="009A5D3C">
              <w:rPr>
                <w:noProof/>
                <w:webHidden/>
                <w:sz w:val="22"/>
              </w:rPr>
              <w:fldChar w:fldCharType="end"/>
            </w:r>
          </w:hyperlink>
        </w:p>
        <w:p w14:paraId="1E3777CD" w14:textId="2C515158"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83" w:history="1">
            <w:r w:rsidRPr="009A5D3C">
              <w:rPr>
                <w:rStyle w:val="Hyperlink"/>
                <w:rFonts w:cs="Arial"/>
                <w:noProof/>
                <w:sz w:val="22"/>
              </w:rPr>
              <w:t>Targeted Divestiture and Portfolio Rationalisation</w:t>
            </w:r>
            <w:r w:rsidRPr="009A5D3C">
              <w:rPr>
                <w:noProof/>
                <w:webHidden/>
                <w:sz w:val="22"/>
              </w:rPr>
              <w:tab/>
            </w:r>
            <w:r w:rsidRPr="009A5D3C">
              <w:rPr>
                <w:noProof/>
                <w:webHidden/>
                <w:sz w:val="22"/>
              </w:rPr>
              <w:fldChar w:fldCharType="begin"/>
            </w:r>
            <w:r w:rsidRPr="009A5D3C">
              <w:rPr>
                <w:noProof/>
                <w:webHidden/>
                <w:sz w:val="22"/>
              </w:rPr>
              <w:instrText xml:space="preserve"> PAGEREF _Toc225717183 \h </w:instrText>
            </w:r>
            <w:r w:rsidRPr="009A5D3C">
              <w:rPr>
                <w:noProof/>
                <w:webHidden/>
                <w:sz w:val="22"/>
              </w:rPr>
            </w:r>
            <w:r w:rsidRPr="009A5D3C">
              <w:rPr>
                <w:noProof/>
                <w:webHidden/>
                <w:sz w:val="22"/>
              </w:rPr>
              <w:fldChar w:fldCharType="separate"/>
            </w:r>
            <w:r w:rsidRPr="009A5D3C">
              <w:rPr>
                <w:noProof/>
                <w:webHidden/>
                <w:sz w:val="22"/>
              </w:rPr>
              <w:t>17</w:t>
            </w:r>
            <w:r w:rsidRPr="009A5D3C">
              <w:rPr>
                <w:noProof/>
                <w:webHidden/>
                <w:sz w:val="22"/>
              </w:rPr>
              <w:fldChar w:fldCharType="end"/>
            </w:r>
          </w:hyperlink>
        </w:p>
        <w:p w14:paraId="50FBB1BD" w14:textId="0FF98A49"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84" w:history="1">
            <w:r w:rsidRPr="009A5D3C">
              <w:rPr>
                <w:rStyle w:val="Hyperlink"/>
                <w:rFonts w:cs="Arial"/>
                <w:noProof/>
                <w:sz w:val="22"/>
              </w:rPr>
              <w:t>Selective Acquisitions and Partnerships</w:t>
            </w:r>
            <w:r w:rsidRPr="009A5D3C">
              <w:rPr>
                <w:noProof/>
                <w:webHidden/>
                <w:sz w:val="22"/>
              </w:rPr>
              <w:tab/>
            </w:r>
            <w:r w:rsidRPr="009A5D3C">
              <w:rPr>
                <w:noProof/>
                <w:webHidden/>
                <w:sz w:val="22"/>
              </w:rPr>
              <w:fldChar w:fldCharType="begin"/>
            </w:r>
            <w:r w:rsidRPr="009A5D3C">
              <w:rPr>
                <w:noProof/>
                <w:webHidden/>
                <w:sz w:val="22"/>
              </w:rPr>
              <w:instrText xml:space="preserve"> PAGEREF _Toc225717184 \h </w:instrText>
            </w:r>
            <w:r w:rsidRPr="009A5D3C">
              <w:rPr>
                <w:noProof/>
                <w:webHidden/>
                <w:sz w:val="22"/>
              </w:rPr>
            </w:r>
            <w:r w:rsidRPr="009A5D3C">
              <w:rPr>
                <w:noProof/>
                <w:webHidden/>
                <w:sz w:val="22"/>
              </w:rPr>
              <w:fldChar w:fldCharType="separate"/>
            </w:r>
            <w:r w:rsidRPr="009A5D3C">
              <w:rPr>
                <w:noProof/>
                <w:webHidden/>
                <w:sz w:val="22"/>
              </w:rPr>
              <w:t>17</w:t>
            </w:r>
            <w:r w:rsidRPr="009A5D3C">
              <w:rPr>
                <w:noProof/>
                <w:webHidden/>
                <w:sz w:val="22"/>
              </w:rPr>
              <w:fldChar w:fldCharType="end"/>
            </w:r>
          </w:hyperlink>
        </w:p>
        <w:p w14:paraId="62DE7753" w14:textId="32D2E1E7"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85" w:history="1">
            <w:r w:rsidRPr="009A5D3C">
              <w:rPr>
                <w:rStyle w:val="Hyperlink"/>
                <w:rFonts w:cs="Arial"/>
                <w:noProof/>
                <w:sz w:val="22"/>
              </w:rPr>
              <w:t>Equity Injection as a Contingent Option</w:t>
            </w:r>
            <w:r w:rsidRPr="009A5D3C">
              <w:rPr>
                <w:noProof/>
                <w:webHidden/>
                <w:sz w:val="22"/>
              </w:rPr>
              <w:tab/>
            </w:r>
            <w:r w:rsidRPr="009A5D3C">
              <w:rPr>
                <w:noProof/>
                <w:webHidden/>
                <w:sz w:val="22"/>
              </w:rPr>
              <w:fldChar w:fldCharType="begin"/>
            </w:r>
            <w:r w:rsidRPr="009A5D3C">
              <w:rPr>
                <w:noProof/>
                <w:webHidden/>
                <w:sz w:val="22"/>
              </w:rPr>
              <w:instrText xml:space="preserve"> PAGEREF _Toc225717185 \h </w:instrText>
            </w:r>
            <w:r w:rsidRPr="009A5D3C">
              <w:rPr>
                <w:noProof/>
                <w:webHidden/>
                <w:sz w:val="22"/>
              </w:rPr>
            </w:r>
            <w:r w:rsidRPr="009A5D3C">
              <w:rPr>
                <w:noProof/>
                <w:webHidden/>
                <w:sz w:val="22"/>
              </w:rPr>
              <w:fldChar w:fldCharType="separate"/>
            </w:r>
            <w:r w:rsidRPr="009A5D3C">
              <w:rPr>
                <w:noProof/>
                <w:webHidden/>
                <w:sz w:val="22"/>
              </w:rPr>
              <w:t>17</w:t>
            </w:r>
            <w:r w:rsidRPr="009A5D3C">
              <w:rPr>
                <w:noProof/>
                <w:webHidden/>
                <w:sz w:val="22"/>
              </w:rPr>
              <w:fldChar w:fldCharType="end"/>
            </w:r>
          </w:hyperlink>
        </w:p>
        <w:p w14:paraId="0B9498ED" w14:textId="7B26E626"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86" w:history="1">
            <w:r w:rsidRPr="009A5D3C">
              <w:rPr>
                <w:rStyle w:val="Hyperlink"/>
                <w:rFonts w:cs="Arial"/>
                <w:noProof/>
                <w:sz w:val="22"/>
              </w:rPr>
              <w:t>Debt Restructuring and Refinancing</w:t>
            </w:r>
            <w:r w:rsidRPr="009A5D3C">
              <w:rPr>
                <w:noProof/>
                <w:webHidden/>
                <w:sz w:val="22"/>
              </w:rPr>
              <w:tab/>
            </w:r>
            <w:r w:rsidRPr="009A5D3C">
              <w:rPr>
                <w:noProof/>
                <w:webHidden/>
                <w:sz w:val="22"/>
              </w:rPr>
              <w:fldChar w:fldCharType="begin"/>
            </w:r>
            <w:r w:rsidRPr="009A5D3C">
              <w:rPr>
                <w:noProof/>
                <w:webHidden/>
                <w:sz w:val="22"/>
              </w:rPr>
              <w:instrText xml:space="preserve"> PAGEREF _Toc225717186 \h </w:instrText>
            </w:r>
            <w:r w:rsidRPr="009A5D3C">
              <w:rPr>
                <w:noProof/>
                <w:webHidden/>
                <w:sz w:val="22"/>
              </w:rPr>
            </w:r>
            <w:r w:rsidRPr="009A5D3C">
              <w:rPr>
                <w:noProof/>
                <w:webHidden/>
                <w:sz w:val="22"/>
              </w:rPr>
              <w:fldChar w:fldCharType="separate"/>
            </w:r>
            <w:r w:rsidRPr="009A5D3C">
              <w:rPr>
                <w:noProof/>
                <w:webHidden/>
                <w:sz w:val="22"/>
              </w:rPr>
              <w:t>18</w:t>
            </w:r>
            <w:r w:rsidRPr="009A5D3C">
              <w:rPr>
                <w:noProof/>
                <w:webHidden/>
                <w:sz w:val="22"/>
              </w:rPr>
              <w:fldChar w:fldCharType="end"/>
            </w:r>
          </w:hyperlink>
        </w:p>
        <w:p w14:paraId="5EBB738B" w14:textId="3A18246C"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87" w:history="1">
            <w:r w:rsidRPr="009A5D3C">
              <w:rPr>
                <w:rStyle w:val="Hyperlink"/>
                <w:rFonts w:cs="Arial"/>
                <w:noProof/>
                <w:sz w:val="22"/>
              </w:rPr>
              <w:t>4.3 Impact Analysis</w:t>
            </w:r>
            <w:r w:rsidRPr="009A5D3C">
              <w:rPr>
                <w:noProof/>
                <w:webHidden/>
                <w:sz w:val="22"/>
              </w:rPr>
              <w:tab/>
            </w:r>
            <w:r w:rsidRPr="009A5D3C">
              <w:rPr>
                <w:noProof/>
                <w:webHidden/>
                <w:sz w:val="22"/>
              </w:rPr>
              <w:fldChar w:fldCharType="begin"/>
            </w:r>
            <w:r w:rsidRPr="009A5D3C">
              <w:rPr>
                <w:noProof/>
                <w:webHidden/>
                <w:sz w:val="22"/>
              </w:rPr>
              <w:instrText xml:space="preserve"> PAGEREF _Toc225717187 \h </w:instrText>
            </w:r>
            <w:r w:rsidRPr="009A5D3C">
              <w:rPr>
                <w:noProof/>
                <w:webHidden/>
                <w:sz w:val="22"/>
              </w:rPr>
            </w:r>
            <w:r w:rsidRPr="009A5D3C">
              <w:rPr>
                <w:noProof/>
                <w:webHidden/>
                <w:sz w:val="22"/>
              </w:rPr>
              <w:fldChar w:fldCharType="separate"/>
            </w:r>
            <w:r w:rsidRPr="009A5D3C">
              <w:rPr>
                <w:noProof/>
                <w:webHidden/>
                <w:sz w:val="22"/>
              </w:rPr>
              <w:t>18</w:t>
            </w:r>
            <w:r w:rsidRPr="009A5D3C">
              <w:rPr>
                <w:noProof/>
                <w:webHidden/>
                <w:sz w:val="22"/>
              </w:rPr>
              <w:fldChar w:fldCharType="end"/>
            </w:r>
          </w:hyperlink>
        </w:p>
        <w:p w14:paraId="584C8538" w14:textId="101E0C35"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88" w:history="1">
            <w:r w:rsidRPr="009A5D3C">
              <w:rPr>
                <w:rStyle w:val="Hyperlink"/>
                <w:rFonts w:cs="Arial"/>
                <w:noProof/>
                <w:sz w:val="22"/>
              </w:rPr>
              <w:t>4.4 International Considerations</w:t>
            </w:r>
            <w:r w:rsidRPr="009A5D3C">
              <w:rPr>
                <w:noProof/>
                <w:webHidden/>
                <w:sz w:val="22"/>
              </w:rPr>
              <w:tab/>
            </w:r>
            <w:r w:rsidRPr="009A5D3C">
              <w:rPr>
                <w:noProof/>
                <w:webHidden/>
                <w:sz w:val="22"/>
              </w:rPr>
              <w:fldChar w:fldCharType="begin"/>
            </w:r>
            <w:r w:rsidRPr="009A5D3C">
              <w:rPr>
                <w:noProof/>
                <w:webHidden/>
                <w:sz w:val="22"/>
              </w:rPr>
              <w:instrText xml:space="preserve"> PAGEREF _Toc225717188 \h </w:instrText>
            </w:r>
            <w:r w:rsidRPr="009A5D3C">
              <w:rPr>
                <w:noProof/>
                <w:webHidden/>
                <w:sz w:val="22"/>
              </w:rPr>
            </w:r>
            <w:r w:rsidRPr="009A5D3C">
              <w:rPr>
                <w:noProof/>
                <w:webHidden/>
                <w:sz w:val="22"/>
              </w:rPr>
              <w:fldChar w:fldCharType="separate"/>
            </w:r>
            <w:r w:rsidRPr="009A5D3C">
              <w:rPr>
                <w:noProof/>
                <w:webHidden/>
                <w:sz w:val="22"/>
              </w:rPr>
              <w:t>18</w:t>
            </w:r>
            <w:r w:rsidRPr="009A5D3C">
              <w:rPr>
                <w:noProof/>
                <w:webHidden/>
                <w:sz w:val="22"/>
              </w:rPr>
              <w:fldChar w:fldCharType="end"/>
            </w:r>
          </w:hyperlink>
        </w:p>
        <w:p w14:paraId="0A9F9A80" w14:textId="4BAD8087"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89" w:history="1">
            <w:r w:rsidRPr="009A5D3C">
              <w:rPr>
                <w:rStyle w:val="Hyperlink"/>
                <w:rFonts w:cs="Arial"/>
                <w:noProof/>
                <w:sz w:val="22"/>
              </w:rPr>
              <w:t>4.5 Ethical Considerations</w:t>
            </w:r>
            <w:r w:rsidRPr="009A5D3C">
              <w:rPr>
                <w:noProof/>
                <w:webHidden/>
                <w:sz w:val="22"/>
              </w:rPr>
              <w:tab/>
            </w:r>
            <w:r w:rsidRPr="009A5D3C">
              <w:rPr>
                <w:noProof/>
                <w:webHidden/>
                <w:sz w:val="22"/>
              </w:rPr>
              <w:fldChar w:fldCharType="begin"/>
            </w:r>
            <w:r w:rsidRPr="009A5D3C">
              <w:rPr>
                <w:noProof/>
                <w:webHidden/>
                <w:sz w:val="22"/>
              </w:rPr>
              <w:instrText xml:space="preserve"> PAGEREF _Toc225717189 \h </w:instrText>
            </w:r>
            <w:r w:rsidRPr="009A5D3C">
              <w:rPr>
                <w:noProof/>
                <w:webHidden/>
                <w:sz w:val="22"/>
              </w:rPr>
            </w:r>
            <w:r w:rsidRPr="009A5D3C">
              <w:rPr>
                <w:noProof/>
                <w:webHidden/>
                <w:sz w:val="22"/>
              </w:rPr>
              <w:fldChar w:fldCharType="separate"/>
            </w:r>
            <w:r w:rsidRPr="009A5D3C">
              <w:rPr>
                <w:noProof/>
                <w:webHidden/>
                <w:sz w:val="22"/>
              </w:rPr>
              <w:t>19</w:t>
            </w:r>
            <w:r w:rsidRPr="009A5D3C">
              <w:rPr>
                <w:noProof/>
                <w:webHidden/>
                <w:sz w:val="22"/>
              </w:rPr>
              <w:fldChar w:fldCharType="end"/>
            </w:r>
          </w:hyperlink>
        </w:p>
        <w:p w14:paraId="27F6DC38" w14:textId="64349921" w:rsidR="00BE7A99" w:rsidRPr="009A5D3C" w:rsidRDefault="00BE7A99">
          <w:pPr>
            <w:pStyle w:val="TOC1"/>
            <w:tabs>
              <w:tab w:val="right" w:leader="dot" w:pos="9638"/>
            </w:tabs>
            <w:rPr>
              <w:rFonts w:asciiTheme="minorHAnsi" w:eastAsiaTheme="minorEastAsia" w:hAnsiTheme="minorHAnsi"/>
              <w:noProof/>
              <w:kern w:val="2"/>
              <w:sz w:val="22"/>
              <w14:ligatures w14:val="standardContextual"/>
            </w:rPr>
          </w:pPr>
          <w:hyperlink w:anchor="_Toc225717190" w:history="1">
            <w:r w:rsidRPr="009A5D3C">
              <w:rPr>
                <w:rStyle w:val="Hyperlink"/>
                <w:rFonts w:cs="Arial"/>
                <w:noProof/>
                <w:sz w:val="22"/>
              </w:rPr>
              <w:t>5. Investment Appraisal and Capital Budgeting</w:t>
            </w:r>
            <w:r w:rsidRPr="009A5D3C">
              <w:rPr>
                <w:noProof/>
                <w:webHidden/>
                <w:sz w:val="22"/>
              </w:rPr>
              <w:tab/>
            </w:r>
            <w:r w:rsidRPr="009A5D3C">
              <w:rPr>
                <w:noProof/>
                <w:webHidden/>
                <w:sz w:val="22"/>
              </w:rPr>
              <w:fldChar w:fldCharType="begin"/>
            </w:r>
            <w:r w:rsidRPr="009A5D3C">
              <w:rPr>
                <w:noProof/>
                <w:webHidden/>
                <w:sz w:val="22"/>
              </w:rPr>
              <w:instrText xml:space="preserve"> PAGEREF _Toc225717190 \h </w:instrText>
            </w:r>
            <w:r w:rsidRPr="009A5D3C">
              <w:rPr>
                <w:noProof/>
                <w:webHidden/>
                <w:sz w:val="22"/>
              </w:rPr>
            </w:r>
            <w:r w:rsidRPr="009A5D3C">
              <w:rPr>
                <w:noProof/>
                <w:webHidden/>
                <w:sz w:val="22"/>
              </w:rPr>
              <w:fldChar w:fldCharType="separate"/>
            </w:r>
            <w:r w:rsidRPr="009A5D3C">
              <w:rPr>
                <w:noProof/>
                <w:webHidden/>
                <w:sz w:val="22"/>
              </w:rPr>
              <w:t>19</w:t>
            </w:r>
            <w:r w:rsidRPr="009A5D3C">
              <w:rPr>
                <w:noProof/>
                <w:webHidden/>
                <w:sz w:val="22"/>
              </w:rPr>
              <w:fldChar w:fldCharType="end"/>
            </w:r>
          </w:hyperlink>
        </w:p>
        <w:p w14:paraId="446B2144" w14:textId="42F73DC9"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91" w:history="1">
            <w:r w:rsidRPr="009A5D3C">
              <w:rPr>
                <w:rStyle w:val="Hyperlink"/>
                <w:rFonts w:cs="Arial"/>
                <w:noProof/>
                <w:sz w:val="22"/>
              </w:rPr>
              <w:t>5.1 Overview of Projects</w:t>
            </w:r>
            <w:r w:rsidRPr="009A5D3C">
              <w:rPr>
                <w:noProof/>
                <w:webHidden/>
                <w:sz w:val="22"/>
              </w:rPr>
              <w:tab/>
            </w:r>
            <w:r w:rsidRPr="009A5D3C">
              <w:rPr>
                <w:noProof/>
                <w:webHidden/>
                <w:sz w:val="22"/>
              </w:rPr>
              <w:fldChar w:fldCharType="begin"/>
            </w:r>
            <w:r w:rsidRPr="009A5D3C">
              <w:rPr>
                <w:noProof/>
                <w:webHidden/>
                <w:sz w:val="22"/>
              </w:rPr>
              <w:instrText xml:space="preserve"> PAGEREF _Toc225717191 \h </w:instrText>
            </w:r>
            <w:r w:rsidRPr="009A5D3C">
              <w:rPr>
                <w:noProof/>
                <w:webHidden/>
                <w:sz w:val="22"/>
              </w:rPr>
            </w:r>
            <w:r w:rsidRPr="009A5D3C">
              <w:rPr>
                <w:noProof/>
                <w:webHidden/>
                <w:sz w:val="22"/>
              </w:rPr>
              <w:fldChar w:fldCharType="separate"/>
            </w:r>
            <w:r w:rsidRPr="009A5D3C">
              <w:rPr>
                <w:noProof/>
                <w:webHidden/>
                <w:sz w:val="22"/>
              </w:rPr>
              <w:t>19</w:t>
            </w:r>
            <w:r w:rsidRPr="009A5D3C">
              <w:rPr>
                <w:noProof/>
                <w:webHidden/>
                <w:sz w:val="22"/>
              </w:rPr>
              <w:fldChar w:fldCharType="end"/>
            </w:r>
          </w:hyperlink>
        </w:p>
        <w:p w14:paraId="5CE80E22" w14:textId="782998F4"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92" w:history="1">
            <w:r w:rsidRPr="009A5D3C">
              <w:rPr>
                <w:rStyle w:val="Hyperlink"/>
                <w:rFonts w:cs="Arial"/>
                <w:noProof/>
                <w:sz w:val="22"/>
              </w:rPr>
              <w:t>5.2 Investment Appraisal Techniques</w:t>
            </w:r>
            <w:r w:rsidRPr="009A5D3C">
              <w:rPr>
                <w:noProof/>
                <w:webHidden/>
                <w:sz w:val="22"/>
              </w:rPr>
              <w:tab/>
            </w:r>
            <w:r w:rsidRPr="009A5D3C">
              <w:rPr>
                <w:noProof/>
                <w:webHidden/>
                <w:sz w:val="22"/>
              </w:rPr>
              <w:fldChar w:fldCharType="begin"/>
            </w:r>
            <w:r w:rsidRPr="009A5D3C">
              <w:rPr>
                <w:noProof/>
                <w:webHidden/>
                <w:sz w:val="22"/>
              </w:rPr>
              <w:instrText xml:space="preserve"> PAGEREF _Toc225717192 \h </w:instrText>
            </w:r>
            <w:r w:rsidRPr="009A5D3C">
              <w:rPr>
                <w:noProof/>
                <w:webHidden/>
                <w:sz w:val="22"/>
              </w:rPr>
            </w:r>
            <w:r w:rsidRPr="009A5D3C">
              <w:rPr>
                <w:noProof/>
                <w:webHidden/>
                <w:sz w:val="22"/>
              </w:rPr>
              <w:fldChar w:fldCharType="separate"/>
            </w:r>
            <w:r w:rsidRPr="009A5D3C">
              <w:rPr>
                <w:noProof/>
                <w:webHidden/>
                <w:sz w:val="22"/>
              </w:rPr>
              <w:t>20</w:t>
            </w:r>
            <w:r w:rsidRPr="009A5D3C">
              <w:rPr>
                <w:noProof/>
                <w:webHidden/>
                <w:sz w:val="22"/>
              </w:rPr>
              <w:fldChar w:fldCharType="end"/>
            </w:r>
          </w:hyperlink>
        </w:p>
        <w:p w14:paraId="4D7325C9" w14:textId="4ED3482E"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93" w:history="1">
            <w:r w:rsidRPr="009A5D3C">
              <w:rPr>
                <w:rStyle w:val="Hyperlink"/>
                <w:rFonts w:cs="Arial"/>
                <w:noProof/>
                <w:sz w:val="22"/>
              </w:rPr>
              <w:t>Payback Period (PBP)</w:t>
            </w:r>
            <w:r w:rsidRPr="009A5D3C">
              <w:rPr>
                <w:noProof/>
                <w:webHidden/>
                <w:sz w:val="22"/>
              </w:rPr>
              <w:tab/>
            </w:r>
            <w:r w:rsidRPr="009A5D3C">
              <w:rPr>
                <w:noProof/>
                <w:webHidden/>
                <w:sz w:val="22"/>
              </w:rPr>
              <w:fldChar w:fldCharType="begin"/>
            </w:r>
            <w:r w:rsidRPr="009A5D3C">
              <w:rPr>
                <w:noProof/>
                <w:webHidden/>
                <w:sz w:val="22"/>
              </w:rPr>
              <w:instrText xml:space="preserve"> PAGEREF _Toc225717193 \h </w:instrText>
            </w:r>
            <w:r w:rsidRPr="009A5D3C">
              <w:rPr>
                <w:noProof/>
                <w:webHidden/>
                <w:sz w:val="22"/>
              </w:rPr>
            </w:r>
            <w:r w:rsidRPr="009A5D3C">
              <w:rPr>
                <w:noProof/>
                <w:webHidden/>
                <w:sz w:val="22"/>
              </w:rPr>
              <w:fldChar w:fldCharType="separate"/>
            </w:r>
            <w:r w:rsidRPr="009A5D3C">
              <w:rPr>
                <w:noProof/>
                <w:webHidden/>
                <w:sz w:val="22"/>
              </w:rPr>
              <w:t>20</w:t>
            </w:r>
            <w:r w:rsidRPr="009A5D3C">
              <w:rPr>
                <w:noProof/>
                <w:webHidden/>
                <w:sz w:val="22"/>
              </w:rPr>
              <w:fldChar w:fldCharType="end"/>
            </w:r>
          </w:hyperlink>
        </w:p>
        <w:p w14:paraId="557D7E63" w14:textId="76B30AB8"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94" w:history="1">
            <w:r w:rsidRPr="009A5D3C">
              <w:rPr>
                <w:rStyle w:val="Hyperlink"/>
                <w:rFonts w:cs="Arial"/>
                <w:noProof/>
                <w:sz w:val="22"/>
              </w:rPr>
              <w:t>Accounting Rate of Return (ARR)</w:t>
            </w:r>
            <w:r w:rsidRPr="009A5D3C">
              <w:rPr>
                <w:noProof/>
                <w:webHidden/>
                <w:sz w:val="22"/>
              </w:rPr>
              <w:tab/>
            </w:r>
            <w:r w:rsidRPr="009A5D3C">
              <w:rPr>
                <w:noProof/>
                <w:webHidden/>
                <w:sz w:val="22"/>
              </w:rPr>
              <w:fldChar w:fldCharType="begin"/>
            </w:r>
            <w:r w:rsidRPr="009A5D3C">
              <w:rPr>
                <w:noProof/>
                <w:webHidden/>
                <w:sz w:val="22"/>
              </w:rPr>
              <w:instrText xml:space="preserve"> PAGEREF _Toc225717194 \h </w:instrText>
            </w:r>
            <w:r w:rsidRPr="009A5D3C">
              <w:rPr>
                <w:noProof/>
                <w:webHidden/>
                <w:sz w:val="22"/>
              </w:rPr>
            </w:r>
            <w:r w:rsidRPr="009A5D3C">
              <w:rPr>
                <w:noProof/>
                <w:webHidden/>
                <w:sz w:val="22"/>
              </w:rPr>
              <w:fldChar w:fldCharType="separate"/>
            </w:r>
            <w:r w:rsidRPr="009A5D3C">
              <w:rPr>
                <w:noProof/>
                <w:webHidden/>
                <w:sz w:val="22"/>
              </w:rPr>
              <w:t>20</w:t>
            </w:r>
            <w:r w:rsidRPr="009A5D3C">
              <w:rPr>
                <w:noProof/>
                <w:webHidden/>
                <w:sz w:val="22"/>
              </w:rPr>
              <w:fldChar w:fldCharType="end"/>
            </w:r>
          </w:hyperlink>
        </w:p>
        <w:p w14:paraId="4A668B28" w14:textId="56731505"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95" w:history="1">
            <w:r w:rsidRPr="009A5D3C">
              <w:rPr>
                <w:rStyle w:val="Hyperlink"/>
                <w:rFonts w:cs="Arial"/>
                <w:noProof/>
                <w:sz w:val="22"/>
              </w:rPr>
              <w:t>Net Present Value (NPV)</w:t>
            </w:r>
            <w:r w:rsidRPr="009A5D3C">
              <w:rPr>
                <w:noProof/>
                <w:webHidden/>
                <w:sz w:val="22"/>
              </w:rPr>
              <w:tab/>
            </w:r>
            <w:r w:rsidRPr="009A5D3C">
              <w:rPr>
                <w:noProof/>
                <w:webHidden/>
                <w:sz w:val="22"/>
              </w:rPr>
              <w:fldChar w:fldCharType="begin"/>
            </w:r>
            <w:r w:rsidRPr="009A5D3C">
              <w:rPr>
                <w:noProof/>
                <w:webHidden/>
                <w:sz w:val="22"/>
              </w:rPr>
              <w:instrText xml:space="preserve"> PAGEREF _Toc225717195 \h </w:instrText>
            </w:r>
            <w:r w:rsidRPr="009A5D3C">
              <w:rPr>
                <w:noProof/>
                <w:webHidden/>
                <w:sz w:val="22"/>
              </w:rPr>
            </w:r>
            <w:r w:rsidRPr="009A5D3C">
              <w:rPr>
                <w:noProof/>
                <w:webHidden/>
                <w:sz w:val="22"/>
              </w:rPr>
              <w:fldChar w:fldCharType="separate"/>
            </w:r>
            <w:r w:rsidRPr="009A5D3C">
              <w:rPr>
                <w:noProof/>
                <w:webHidden/>
                <w:sz w:val="22"/>
              </w:rPr>
              <w:t>21</w:t>
            </w:r>
            <w:r w:rsidRPr="009A5D3C">
              <w:rPr>
                <w:noProof/>
                <w:webHidden/>
                <w:sz w:val="22"/>
              </w:rPr>
              <w:fldChar w:fldCharType="end"/>
            </w:r>
          </w:hyperlink>
        </w:p>
        <w:p w14:paraId="5AF56CA6" w14:textId="74757E8A"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96" w:history="1">
            <w:r w:rsidRPr="009A5D3C">
              <w:rPr>
                <w:rStyle w:val="Hyperlink"/>
                <w:rFonts w:cs="Arial"/>
                <w:noProof/>
                <w:sz w:val="22"/>
              </w:rPr>
              <w:t>Profitability Index (PI)</w:t>
            </w:r>
            <w:r w:rsidRPr="009A5D3C">
              <w:rPr>
                <w:noProof/>
                <w:webHidden/>
                <w:sz w:val="22"/>
              </w:rPr>
              <w:tab/>
            </w:r>
            <w:r w:rsidRPr="009A5D3C">
              <w:rPr>
                <w:noProof/>
                <w:webHidden/>
                <w:sz w:val="22"/>
              </w:rPr>
              <w:fldChar w:fldCharType="begin"/>
            </w:r>
            <w:r w:rsidRPr="009A5D3C">
              <w:rPr>
                <w:noProof/>
                <w:webHidden/>
                <w:sz w:val="22"/>
              </w:rPr>
              <w:instrText xml:space="preserve"> PAGEREF _Toc225717196 \h </w:instrText>
            </w:r>
            <w:r w:rsidRPr="009A5D3C">
              <w:rPr>
                <w:noProof/>
                <w:webHidden/>
                <w:sz w:val="22"/>
              </w:rPr>
            </w:r>
            <w:r w:rsidRPr="009A5D3C">
              <w:rPr>
                <w:noProof/>
                <w:webHidden/>
                <w:sz w:val="22"/>
              </w:rPr>
              <w:fldChar w:fldCharType="separate"/>
            </w:r>
            <w:r w:rsidRPr="009A5D3C">
              <w:rPr>
                <w:noProof/>
                <w:webHidden/>
                <w:sz w:val="22"/>
              </w:rPr>
              <w:t>21</w:t>
            </w:r>
            <w:r w:rsidRPr="009A5D3C">
              <w:rPr>
                <w:noProof/>
                <w:webHidden/>
                <w:sz w:val="22"/>
              </w:rPr>
              <w:fldChar w:fldCharType="end"/>
            </w:r>
          </w:hyperlink>
        </w:p>
        <w:p w14:paraId="14560475" w14:textId="23761B56" w:rsidR="00BE7A99" w:rsidRPr="009A5D3C" w:rsidRDefault="00BE7A99">
          <w:pPr>
            <w:pStyle w:val="TOC3"/>
            <w:tabs>
              <w:tab w:val="right" w:leader="dot" w:pos="9638"/>
            </w:tabs>
            <w:rPr>
              <w:rFonts w:asciiTheme="minorHAnsi" w:eastAsiaTheme="minorEastAsia" w:hAnsiTheme="minorHAnsi"/>
              <w:noProof/>
              <w:kern w:val="2"/>
              <w:sz w:val="22"/>
              <w14:ligatures w14:val="standardContextual"/>
            </w:rPr>
          </w:pPr>
          <w:hyperlink w:anchor="_Toc225717197" w:history="1">
            <w:r w:rsidRPr="009A5D3C">
              <w:rPr>
                <w:rStyle w:val="Hyperlink"/>
                <w:rFonts w:cs="Arial"/>
                <w:noProof/>
                <w:sz w:val="22"/>
              </w:rPr>
              <w:t>Internal Rate of Return (IRR)</w:t>
            </w:r>
            <w:r w:rsidRPr="009A5D3C">
              <w:rPr>
                <w:noProof/>
                <w:webHidden/>
                <w:sz w:val="22"/>
              </w:rPr>
              <w:tab/>
            </w:r>
            <w:r w:rsidRPr="009A5D3C">
              <w:rPr>
                <w:noProof/>
                <w:webHidden/>
                <w:sz w:val="22"/>
              </w:rPr>
              <w:fldChar w:fldCharType="begin"/>
            </w:r>
            <w:r w:rsidRPr="009A5D3C">
              <w:rPr>
                <w:noProof/>
                <w:webHidden/>
                <w:sz w:val="22"/>
              </w:rPr>
              <w:instrText xml:space="preserve"> PAGEREF _Toc225717197 \h </w:instrText>
            </w:r>
            <w:r w:rsidRPr="009A5D3C">
              <w:rPr>
                <w:noProof/>
                <w:webHidden/>
                <w:sz w:val="22"/>
              </w:rPr>
            </w:r>
            <w:r w:rsidRPr="009A5D3C">
              <w:rPr>
                <w:noProof/>
                <w:webHidden/>
                <w:sz w:val="22"/>
              </w:rPr>
              <w:fldChar w:fldCharType="separate"/>
            </w:r>
            <w:r w:rsidRPr="009A5D3C">
              <w:rPr>
                <w:noProof/>
                <w:webHidden/>
                <w:sz w:val="22"/>
              </w:rPr>
              <w:t>21</w:t>
            </w:r>
            <w:r w:rsidRPr="009A5D3C">
              <w:rPr>
                <w:noProof/>
                <w:webHidden/>
                <w:sz w:val="22"/>
              </w:rPr>
              <w:fldChar w:fldCharType="end"/>
            </w:r>
          </w:hyperlink>
        </w:p>
        <w:p w14:paraId="42F5C26A" w14:textId="73167F53"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98" w:history="1">
            <w:r w:rsidRPr="009A5D3C">
              <w:rPr>
                <w:rStyle w:val="Hyperlink"/>
                <w:rFonts w:cs="Arial"/>
                <w:noProof/>
                <w:sz w:val="22"/>
              </w:rPr>
              <w:t>5.3 Project Evaluation</w:t>
            </w:r>
            <w:r w:rsidRPr="009A5D3C">
              <w:rPr>
                <w:noProof/>
                <w:webHidden/>
                <w:sz w:val="22"/>
              </w:rPr>
              <w:tab/>
            </w:r>
            <w:r w:rsidRPr="009A5D3C">
              <w:rPr>
                <w:noProof/>
                <w:webHidden/>
                <w:sz w:val="22"/>
              </w:rPr>
              <w:fldChar w:fldCharType="begin"/>
            </w:r>
            <w:r w:rsidRPr="009A5D3C">
              <w:rPr>
                <w:noProof/>
                <w:webHidden/>
                <w:sz w:val="22"/>
              </w:rPr>
              <w:instrText xml:space="preserve"> PAGEREF _Toc225717198 \h </w:instrText>
            </w:r>
            <w:r w:rsidRPr="009A5D3C">
              <w:rPr>
                <w:noProof/>
                <w:webHidden/>
                <w:sz w:val="22"/>
              </w:rPr>
            </w:r>
            <w:r w:rsidRPr="009A5D3C">
              <w:rPr>
                <w:noProof/>
                <w:webHidden/>
                <w:sz w:val="22"/>
              </w:rPr>
              <w:fldChar w:fldCharType="separate"/>
            </w:r>
            <w:r w:rsidRPr="009A5D3C">
              <w:rPr>
                <w:noProof/>
                <w:webHidden/>
                <w:sz w:val="22"/>
              </w:rPr>
              <w:t>21</w:t>
            </w:r>
            <w:r w:rsidRPr="009A5D3C">
              <w:rPr>
                <w:noProof/>
                <w:webHidden/>
                <w:sz w:val="22"/>
              </w:rPr>
              <w:fldChar w:fldCharType="end"/>
            </w:r>
          </w:hyperlink>
        </w:p>
        <w:p w14:paraId="6930220A" w14:textId="73453D26"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199" w:history="1">
            <w:r w:rsidRPr="009A5D3C">
              <w:rPr>
                <w:rStyle w:val="Hyperlink"/>
                <w:rFonts w:cs="Arial"/>
                <w:noProof/>
                <w:sz w:val="22"/>
              </w:rPr>
              <w:t>5.4 Recommended Project</w:t>
            </w:r>
            <w:r w:rsidRPr="009A5D3C">
              <w:rPr>
                <w:noProof/>
                <w:webHidden/>
                <w:sz w:val="22"/>
              </w:rPr>
              <w:tab/>
            </w:r>
            <w:r w:rsidRPr="009A5D3C">
              <w:rPr>
                <w:noProof/>
                <w:webHidden/>
                <w:sz w:val="22"/>
              </w:rPr>
              <w:fldChar w:fldCharType="begin"/>
            </w:r>
            <w:r w:rsidRPr="009A5D3C">
              <w:rPr>
                <w:noProof/>
                <w:webHidden/>
                <w:sz w:val="22"/>
              </w:rPr>
              <w:instrText xml:space="preserve"> PAGEREF _Toc225717199 \h </w:instrText>
            </w:r>
            <w:r w:rsidRPr="009A5D3C">
              <w:rPr>
                <w:noProof/>
                <w:webHidden/>
                <w:sz w:val="22"/>
              </w:rPr>
            </w:r>
            <w:r w:rsidRPr="009A5D3C">
              <w:rPr>
                <w:noProof/>
                <w:webHidden/>
                <w:sz w:val="22"/>
              </w:rPr>
              <w:fldChar w:fldCharType="separate"/>
            </w:r>
            <w:r w:rsidRPr="009A5D3C">
              <w:rPr>
                <w:noProof/>
                <w:webHidden/>
                <w:sz w:val="22"/>
              </w:rPr>
              <w:t>22</w:t>
            </w:r>
            <w:r w:rsidRPr="009A5D3C">
              <w:rPr>
                <w:noProof/>
                <w:webHidden/>
                <w:sz w:val="22"/>
              </w:rPr>
              <w:fldChar w:fldCharType="end"/>
            </w:r>
          </w:hyperlink>
        </w:p>
        <w:p w14:paraId="7696C90C" w14:textId="5AA3C24C"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200" w:history="1">
            <w:r w:rsidRPr="009A5D3C">
              <w:rPr>
                <w:rStyle w:val="Hyperlink"/>
                <w:rFonts w:cs="Arial"/>
                <w:noProof/>
                <w:sz w:val="22"/>
              </w:rPr>
              <w:t>5.5 Capital Rationing Decision</w:t>
            </w:r>
            <w:r w:rsidRPr="009A5D3C">
              <w:rPr>
                <w:noProof/>
                <w:webHidden/>
                <w:sz w:val="22"/>
              </w:rPr>
              <w:tab/>
            </w:r>
            <w:r w:rsidRPr="009A5D3C">
              <w:rPr>
                <w:noProof/>
                <w:webHidden/>
                <w:sz w:val="22"/>
              </w:rPr>
              <w:fldChar w:fldCharType="begin"/>
            </w:r>
            <w:r w:rsidRPr="009A5D3C">
              <w:rPr>
                <w:noProof/>
                <w:webHidden/>
                <w:sz w:val="22"/>
              </w:rPr>
              <w:instrText xml:space="preserve"> PAGEREF _Toc225717200 \h </w:instrText>
            </w:r>
            <w:r w:rsidRPr="009A5D3C">
              <w:rPr>
                <w:noProof/>
                <w:webHidden/>
                <w:sz w:val="22"/>
              </w:rPr>
            </w:r>
            <w:r w:rsidRPr="009A5D3C">
              <w:rPr>
                <w:noProof/>
                <w:webHidden/>
                <w:sz w:val="22"/>
              </w:rPr>
              <w:fldChar w:fldCharType="separate"/>
            </w:r>
            <w:r w:rsidRPr="009A5D3C">
              <w:rPr>
                <w:noProof/>
                <w:webHidden/>
                <w:sz w:val="22"/>
              </w:rPr>
              <w:t>22</w:t>
            </w:r>
            <w:r w:rsidRPr="009A5D3C">
              <w:rPr>
                <w:noProof/>
                <w:webHidden/>
                <w:sz w:val="22"/>
              </w:rPr>
              <w:fldChar w:fldCharType="end"/>
            </w:r>
          </w:hyperlink>
        </w:p>
        <w:p w14:paraId="11ABD563" w14:textId="5AD0280F"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201" w:history="1">
            <w:r w:rsidRPr="009A5D3C">
              <w:rPr>
                <w:rStyle w:val="Hyperlink"/>
                <w:rFonts w:cs="Arial"/>
                <w:noProof/>
                <w:sz w:val="22"/>
              </w:rPr>
              <w:t>5.6 Non-Financial Considerations</w:t>
            </w:r>
            <w:r w:rsidRPr="009A5D3C">
              <w:rPr>
                <w:noProof/>
                <w:webHidden/>
                <w:sz w:val="22"/>
              </w:rPr>
              <w:tab/>
            </w:r>
            <w:r w:rsidRPr="009A5D3C">
              <w:rPr>
                <w:noProof/>
                <w:webHidden/>
                <w:sz w:val="22"/>
              </w:rPr>
              <w:fldChar w:fldCharType="begin"/>
            </w:r>
            <w:r w:rsidRPr="009A5D3C">
              <w:rPr>
                <w:noProof/>
                <w:webHidden/>
                <w:sz w:val="22"/>
              </w:rPr>
              <w:instrText xml:space="preserve"> PAGEREF _Toc225717201 \h </w:instrText>
            </w:r>
            <w:r w:rsidRPr="009A5D3C">
              <w:rPr>
                <w:noProof/>
                <w:webHidden/>
                <w:sz w:val="22"/>
              </w:rPr>
            </w:r>
            <w:r w:rsidRPr="009A5D3C">
              <w:rPr>
                <w:noProof/>
                <w:webHidden/>
                <w:sz w:val="22"/>
              </w:rPr>
              <w:fldChar w:fldCharType="separate"/>
            </w:r>
            <w:r w:rsidRPr="009A5D3C">
              <w:rPr>
                <w:noProof/>
                <w:webHidden/>
                <w:sz w:val="22"/>
              </w:rPr>
              <w:t>22</w:t>
            </w:r>
            <w:r w:rsidRPr="009A5D3C">
              <w:rPr>
                <w:noProof/>
                <w:webHidden/>
                <w:sz w:val="22"/>
              </w:rPr>
              <w:fldChar w:fldCharType="end"/>
            </w:r>
          </w:hyperlink>
        </w:p>
        <w:p w14:paraId="0825EC8B" w14:textId="04159975" w:rsidR="00BE7A99" w:rsidRPr="009A5D3C" w:rsidRDefault="00BE7A99">
          <w:pPr>
            <w:pStyle w:val="TOC1"/>
            <w:tabs>
              <w:tab w:val="right" w:leader="dot" w:pos="9638"/>
            </w:tabs>
            <w:rPr>
              <w:rFonts w:asciiTheme="minorHAnsi" w:eastAsiaTheme="minorEastAsia" w:hAnsiTheme="minorHAnsi"/>
              <w:noProof/>
              <w:kern w:val="2"/>
              <w:sz w:val="22"/>
              <w14:ligatures w14:val="standardContextual"/>
            </w:rPr>
          </w:pPr>
          <w:hyperlink w:anchor="_Toc225717202" w:history="1">
            <w:r w:rsidRPr="009A5D3C">
              <w:rPr>
                <w:rStyle w:val="Hyperlink"/>
                <w:rFonts w:cs="Arial"/>
                <w:noProof/>
                <w:sz w:val="22"/>
              </w:rPr>
              <w:t>6. Conclusion</w:t>
            </w:r>
            <w:r w:rsidRPr="009A5D3C">
              <w:rPr>
                <w:noProof/>
                <w:webHidden/>
                <w:sz w:val="22"/>
              </w:rPr>
              <w:tab/>
            </w:r>
            <w:r w:rsidRPr="009A5D3C">
              <w:rPr>
                <w:noProof/>
                <w:webHidden/>
                <w:sz w:val="22"/>
              </w:rPr>
              <w:fldChar w:fldCharType="begin"/>
            </w:r>
            <w:r w:rsidRPr="009A5D3C">
              <w:rPr>
                <w:noProof/>
                <w:webHidden/>
                <w:sz w:val="22"/>
              </w:rPr>
              <w:instrText xml:space="preserve"> PAGEREF _Toc225717202 \h </w:instrText>
            </w:r>
            <w:r w:rsidRPr="009A5D3C">
              <w:rPr>
                <w:noProof/>
                <w:webHidden/>
                <w:sz w:val="22"/>
              </w:rPr>
            </w:r>
            <w:r w:rsidRPr="009A5D3C">
              <w:rPr>
                <w:noProof/>
                <w:webHidden/>
                <w:sz w:val="22"/>
              </w:rPr>
              <w:fldChar w:fldCharType="separate"/>
            </w:r>
            <w:r w:rsidRPr="009A5D3C">
              <w:rPr>
                <w:noProof/>
                <w:webHidden/>
                <w:sz w:val="22"/>
              </w:rPr>
              <w:t>24</w:t>
            </w:r>
            <w:r w:rsidRPr="009A5D3C">
              <w:rPr>
                <w:noProof/>
                <w:webHidden/>
                <w:sz w:val="22"/>
              </w:rPr>
              <w:fldChar w:fldCharType="end"/>
            </w:r>
          </w:hyperlink>
        </w:p>
        <w:p w14:paraId="31F03F1A" w14:textId="41EAE70F" w:rsidR="00BE7A99" w:rsidRPr="009A5D3C" w:rsidRDefault="00BE7A99">
          <w:pPr>
            <w:pStyle w:val="TOC1"/>
            <w:tabs>
              <w:tab w:val="right" w:leader="dot" w:pos="9638"/>
            </w:tabs>
            <w:rPr>
              <w:rFonts w:asciiTheme="minorHAnsi" w:eastAsiaTheme="minorEastAsia" w:hAnsiTheme="minorHAnsi"/>
              <w:noProof/>
              <w:kern w:val="2"/>
              <w:sz w:val="22"/>
              <w14:ligatures w14:val="standardContextual"/>
            </w:rPr>
          </w:pPr>
          <w:hyperlink w:anchor="_Toc225717203" w:history="1">
            <w:r w:rsidRPr="009A5D3C">
              <w:rPr>
                <w:rStyle w:val="Hyperlink"/>
                <w:rFonts w:cs="Arial"/>
                <w:noProof/>
                <w:sz w:val="22"/>
              </w:rPr>
              <w:t>7. References</w:t>
            </w:r>
            <w:r w:rsidRPr="009A5D3C">
              <w:rPr>
                <w:noProof/>
                <w:webHidden/>
                <w:sz w:val="22"/>
              </w:rPr>
              <w:tab/>
            </w:r>
            <w:r w:rsidRPr="009A5D3C">
              <w:rPr>
                <w:noProof/>
                <w:webHidden/>
                <w:sz w:val="22"/>
              </w:rPr>
              <w:fldChar w:fldCharType="begin"/>
            </w:r>
            <w:r w:rsidRPr="009A5D3C">
              <w:rPr>
                <w:noProof/>
                <w:webHidden/>
                <w:sz w:val="22"/>
              </w:rPr>
              <w:instrText xml:space="preserve"> PAGEREF _Toc225717203 \h </w:instrText>
            </w:r>
            <w:r w:rsidRPr="009A5D3C">
              <w:rPr>
                <w:noProof/>
                <w:webHidden/>
                <w:sz w:val="22"/>
              </w:rPr>
            </w:r>
            <w:r w:rsidRPr="009A5D3C">
              <w:rPr>
                <w:noProof/>
                <w:webHidden/>
                <w:sz w:val="22"/>
              </w:rPr>
              <w:fldChar w:fldCharType="separate"/>
            </w:r>
            <w:r w:rsidRPr="009A5D3C">
              <w:rPr>
                <w:noProof/>
                <w:webHidden/>
                <w:sz w:val="22"/>
              </w:rPr>
              <w:t>26</w:t>
            </w:r>
            <w:r w:rsidRPr="009A5D3C">
              <w:rPr>
                <w:noProof/>
                <w:webHidden/>
                <w:sz w:val="22"/>
              </w:rPr>
              <w:fldChar w:fldCharType="end"/>
            </w:r>
          </w:hyperlink>
        </w:p>
        <w:p w14:paraId="68B1A188" w14:textId="358C0DD0" w:rsidR="00BE7A99" w:rsidRPr="009A5D3C" w:rsidRDefault="00BE7A99">
          <w:pPr>
            <w:pStyle w:val="TOC1"/>
            <w:tabs>
              <w:tab w:val="right" w:leader="dot" w:pos="9638"/>
            </w:tabs>
            <w:rPr>
              <w:rFonts w:asciiTheme="minorHAnsi" w:eastAsiaTheme="minorEastAsia" w:hAnsiTheme="minorHAnsi"/>
              <w:noProof/>
              <w:kern w:val="2"/>
              <w:sz w:val="22"/>
              <w14:ligatures w14:val="standardContextual"/>
            </w:rPr>
          </w:pPr>
          <w:hyperlink w:anchor="_Toc225717204" w:history="1">
            <w:r w:rsidRPr="009A5D3C">
              <w:rPr>
                <w:rStyle w:val="Hyperlink"/>
                <w:rFonts w:cs="Arial"/>
                <w:noProof/>
                <w:sz w:val="22"/>
              </w:rPr>
              <w:t>Appendices</w:t>
            </w:r>
            <w:r w:rsidRPr="009A5D3C">
              <w:rPr>
                <w:noProof/>
                <w:webHidden/>
                <w:sz w:val="22"/>
              </w:rPr>
              <w:tab/>
            </w:r>
            <w:r w:rsidRPr="009A5D3C">
              <w:rPr>
                <w:noProof/>
                <w:webHidden/>
                <w:sz w:val="22"/>
              </w:rPr>
              <w:fldChar w:fldCharType="begin"/>
            </w:r>
            <w:r w:rsidRPr="009A5D3C">
              <w:rPr>
                <w:noProof/>
                <w:webHidden/>
                <w:sz w:val="22"/>
              </w:rPr>
              <w:instrText xml:space="preserve"> PAGEREF _Toc225717204 \h </w:instrText>
            </w:r>
            <w:r w:rsidRPr="009A5D3C">
              <w:rPr>
                <w:noProof/>
                <w:webHidden/>
                <w:sz w:val="22"/>
              </w:rPr>
            </w:r>
            <w:r w:rsidRPr="009A5D3C">
              <w:rPr>
                <w:noProof/>
                <w:webHidden/>
                <w:sz w:val="22"/>
              </w:rPr>
              <w:fldChar w:fldCharType="separate"/>
            </w:r>
            <w:r w:rsidRPr="009A5D3C">
              <w:rPr>
                <w:noProof/>
                <w:webHidden/>
                <w:sz w:val="22"/>
              </w:rPr>
              <w:t>28</w:t>
            </w:r>
            <w:r w:rsidRPr="009A5D3C">
              <w:rPr>
                <w:noProof/>
                <w:webHidden/>
                <w:sz w:val="22"/>
              </w:rPr>
              <w:fldChar w:fldCharType="end"/>
            </w:r>
          </w:hyperlink>
        </w:p>
        <w:p w14:paraId="018EDD7D" w14:textId="24EBD82A"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205" w:history="1">
            <w:r w:rsidRPr="009A5D3C">
              <w:rPr>
                <w:rStyle w:val="Hyperlink"/>
                <w:rFonts w:cs="Arial"/>
                <w:noProof/>
                <w:sz w:val="22"/>
              </w:rPr>
              <w:t>Appendix A. Selected financial statement data and ratio summary</w:t>
            </w:r>
            <w:r w:rsidRPr="009A5D3C">
              <w:rPr>
                <w:noProof/>
                <w:webHidden/>
                <w:sz w:val="22"/>
              </w:rPr>
              <w:tab/>
            </w:r>
            <w:r w:rsidRPr="009A5D3C">
              <w:rPr>
                <w:noProof/>
                <w:webHidden/>
                <w:sz w:val="22"/>
              </w:rPr>
              <w:fldChar w:fldCharType="begin"/>
            </w:r>
            <w:r w:rsidRPr="009A5D3C">
              <w:rPr>
                <w:noProof/>
                <w:webHidden/>
                <w:sz w:val="22"/>
              </w:rPr>
              <w:instrText xml:space="preserve"> PAGEREF _Toc225717205 \h </w:instrText>
            </w:r>
            <w:r w:rsidRPr="009A5D3C">
              <w:rPr>
                <w:noProof/>
                <w:webHidden/>
                <w:sz w:val="22"/>
              </w:rPr>
            </w:r>
            <w:r w:rsidRPr="009A5D3C">
              <w:rPr>
                <w:noProof/>
                <w:webHidden/>
                <w:sz w:val="22"/>
              </w:rPr>
              <w:fldChar w:fldCharType="separate"/>
            </w:r>
            <w:r w:rsidRPr="009A5D3C">
              <w:rPr>
                <w:noProof/>
                <w:webHidden/>
                <w:sz w:val="22"/>
              </w:rPr>
              <w:t>28</w:t>
            </w:r>
            <w:r w:rsidRPr="009A5D3C">
              <w:rPr>
                <w:noProof/>
                <w:webHidden/>
                <w:sz w:val="22"/>
              </w:rPr>
              <w:fldChar w:fldCharType="end"/>
            </w:r>
          </w:hyperlink>
        </w:p>
        <w:p w14:paraId="60D3BA48" w14:textId="075F10DA"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206" w:history="1">
            <w:r w:rsidRPr="009A5D3C">
              <w:rPr>
                <w:rStyle w:val="Hyperlink"/>
                <w:rFonts w:cs="Arial"/>
                <w:noProof/>
                <w:sz w:val="22"/>
              </w:rPr>
              <w:t>Appendix B. Capital-budgeting notes</w:t>
            </w:r>
            <w:r w:rsidRPr="009A5D3C">
              <w:rPr>
                <w:noProof/>
                <w:webHidden/>
                <w:sz w:val="22"/>
              </w:rPr>
              <w:tab/>
            </w:r>
            <w:r w:rsidRPr="009A5D3C">
              <w:rPr>
                <w:noProof/>
                <w:webHidden/>
                <w:sz w:val="22"/>
              </w:rPr>
              <w:fldChar w:fldCharType="begin"/>
            </w:r>
            <w:r w:rsidRPr="009A5D3C">
              <w:rPr>
                <w:noProof/>
                <w:webHidden/>
                <w:sz w:val="22"/>
              </w:rPr>
              <w:instrText xml:space="preserve"> PAGEREF _Toc225717206 \h </w:instrText>
            </w:r>
            <w:r w:rsidRPr="009A5D3C">
              <w:rPr>
                <w:noProof/>
                <w:webHidden/>
                <w:sz w:val="22"/>
              </w:rPr>
            </w:r>
            <w:r w:rsidRPr="009A5D3C">
              <w:rPr>
                <w:noProof/>
                <w:webHidden/>
                <w:sz w:val="22"/>
              </w:rPr>
              <w:fldChar w:fldCharType="separate"/>
            </w:r>
            <w:r w:rsidRPr="009A5D3C">
              <w:rPr>
                <w:noProof/>
                <w:webHidden/>
                <w:sz w:val="22"/>
              </w:rPr>
              <w:t>32</w:t>
            </w:r>
            <w:r w:rsidRPr="009A5D3C">
              <w:rPr>
                <w:noProof/>
                <w:webHidden/>
                <w:sz w:val="22"/>
              </w:rPr>
              <w:fldChar w:fldCharType="end"/>
            </w:r>
          </w:hyperlink>
        </w:p>
        <w:p w14:paraId="359E4D00" w14:textId="1D995EB6"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207" w:history="1">
            <w:r w:rsidRPr="009A5D3C">
              <w:rPr>
                <w:rStyle w:val="Hyperlink"/>
                <w:rFonts w:cs="Arial"/>
                <w:noProof/>
                <w:sz w:val="22"/>
              </w:rPr>
              <w:t>Appendix C. Financial Ratios</w:t>
            </w:r>
            <w:r w:rsidRPr="009A5D3C">
              <w:rPr>
                <w:noProof/>
                <w:webHidden/>
                <w:sz w:val="22"/>
              </w:rPr>
              <w:tab/>
            </w:r>
            <w:r w:rsidRPr="009A5D3C">
              <w:rPr>
                <w:noProof/>
                <w:webHidden/>
                <w:sz w:val="22"/>
              </w:rPr>
              <w:fldChar w:fldCharType="begin"/>
            </w:r>
            <w:r w:rsidRPr="009A5D3C">
              <w:rPr>
                <w:noProof/>
                <w:webHidden/>
                <w:sz w:val="22"/>
              </w:rPr>
              <w:instrText xml:space="preserve"> PAGEREF _Toc225717207 \h </w:instrText>
            </w:r>
            <w:r w:rsidRPr="009A5D3C">
              <w:rPr>
                <w:noProof/>
                <w:webHidden/>
                <w:sz w:val="22"/>
              </w:rPr>
            </w:r>
            <w:r w:rsidRPr="009A5D3C">
              <w:rPr>
                <w:noProof/>
                <w:webHidden/>
                <w:sz w:val="22"/>
              </w:rPr>
              <w:fldChar w:fldCharType="separate"/>
            </w:r>
            <w:r w:rsidRPr="009A5D3C">
              <w:rPr>
                <w:noProof/>
                <w:webHidden/>
                <w:sz w:val="22"/>
              </w:rPr>
              <w:t>33</w:t>
            </w:r>
            <w:r w:rsidRPr="009A5D3C">
              <w:rPr>
                <w:noProof/>
                <w:webHidden/>
                <w:sz w:val="22"/>
              </w:rPr>
              <w:fldChar w:fldCharType="end"/>
            </w:r>
          </w:hyperlink>
        </w:p>
        <w:p w14:paraId="14FCCD13" w14:textId="05AE6B02" w:rsidR="00BE7A99" w:rsidRPr="009A5D3C" w:rsidRDefault="00BE7A99">
          <w:pPr>
            <w:pStyle w:val="TOC2"/>
            <w:tabs>
              <w:tab w:val="right" w:leader="dot" w:pos="9638"/>
            </w:tabs>
            <w:rPr>
              <w:rFonts w:asciiTheme="minorHAnsi" w:eastAsiaTheme="minorEastAsia" w:hAnsiTheme="minorHAnsi"/>
              <w:noProof/>
              <w:kern w:val="2"/>
              <w:sz w:val="22"/>
              <w14:ligatures w14:val="standardContextual"/>
            </w:rPr>
          </w:pPr>
          <w:hyperlink w:anchor="_Toc225717208" w:history="1">
            <w:r w:rsidRPr="009A5D3C">
              <w:rPr>
                <w:rStyle w:val="Hyperlink"/>
                <w:rFonts w:cs="Arial"/>
                <w:noProof/>
                <w:sz w:val="22"/>
              </w:rPr>
              <w:t>Appendix D. Graphs</w:t>
            </w:r>
            <w:r w:rsidRPr="009A5D3C">
              <w:rPr>
                <w:noProof/>
                <w:webHidden/>
                <w:sz w:val="22"/>
              </w:rPr>
              <w:tab/>
            </w:r>
            <w:r w:rsidRPr="009A5D3C">
              <w:rPr>
                <w:noProof/>
                <w:webHidden/>
                <w:sz w:val="22"/>
              </w:rPr>
              <w:fldChar w:fldCharType="begin"/>
            </w:r>
            <w:r w:rsidRPr="009A5D3C">
              <w:rPr>
                <w:noProof/>
                <w:webHidden/>
                <w:sz w:val="22"/>
              </w:rPr>
              <w:instrText xml:space="preserve"> PAGEREF _Toc225717208 \h </w:instrText>
            </w:r>
            <w:r w:rsidRPr="009A5D3C">
              <w:rPr>
                <w:noProof/>
                <w:webHidden/>
                <w:sz w:val="22"/>
              </w:rPr>
            </w:r>
            <w:r w:rsidRPr="009A5D3C">
              <w:rPr>
                <w:noProof/>
                <w:webHidden/>
                <w:sz w:val="22"/>
              </w:rPr>
              <w:fldChar w:fldCharType="separate"/>
            </w:r>
            <w:r w:rsidRPr="009A5D3C">
              <w:rPr>
                <w:noProof/>
                <w:webHidden/>
                <w:sz w:val="22"/>
              </w:rPr>
              <w:t>34</w:t>
            </w:r>
            <w:r w:rsidRPr="009A5D3C">
              <w:rPr>
                <w:noProof/>
                <w:webHidden/>
                <w:sz w:val="22"/>
              </w:rPr>
              <w:fldChar w:fldCharType="end"/>
            </w:r>
          </w:hyperlink>
        </w:p>
        <w:p w14:paraId="4193A28A" w14:textId="4153FDBC" w:rsidR="00076829" w:rsidRPr="00A553B9" w:rsidRDefault="00BD3E38" w:rsidP="009E21FB">
          <w:pPr>
            <w:rPr>
              <w:rFonts w:cs="Arial"/>
              <w:szCs w:val="24"/>
            </w:rPr>
          </w:pPr>
          <w:r w:rsidRPr="009A5D3C">
            <w:rPr>
              <w:rFonts w:cs="Arial"/>
              <w:b/>
              <w:bCs/>
              <w:sz w:val="22"/>
            </w:rPr>
            <w:fldChar w:fldCharType="end"/>
          </w:r>
        </w:p>
      </w:sdtContent>
    </w:sdt>
    <w:p w14:paraId="52205FAF" w14:textId="77777777" w:rsidR="00227191" w:rsidRPr="00A553B9" w:rsidRDefault="00227191" w:rsidP="009E21FB">
      <w:pPr>
        <w:spacing w:after="200"/>
        <w:rPr>
          <w:rFonts w:eastAsiaTheme="majorEastAsia" w:cs="Arial"/>
          <w:b/>
          <w:bCs/>
          <w:szCs w:val="24"/>
        </w:rPr>
      </w:pPr>
      <w:r w:rsidRPr="00A553B9">
        <w:rPr>
          <w:rFonts w:cs="Arial"/>
          <w:szCs w:val="24"/>
        </w:rPr>
        <w:br w:type="page"/>
      </w:r>
    </w:p>
    <w:p w14:paraId="39BEE96C" w14:textId="0F808FFC" w:rsidR="005508B8" w:rsidRPr="00A553B9" w:rsidRDefault="006D4139" w:rsidP="009E21FB">
      <w:pPr>
        <w:pStyle w:val="Heading1"/>
        <w:rPr>
          <w:rFonts w:ascii="Arial" w:hAnsi="Arial" w:cs="Arial"/>
          <w:color w:val="auto"/>
          <w:sz w:val="24"/>
          <w:szCs w:val="24"/>
        </w:rPr>
      </w:pPr>
      <w:bookmarkStart w:id="0" w:name="_Toc225717161"/>
      <w:r w:rsidRPr="00A553B9">
        <w:rPr>
          <w:rFonts w:ascii="Arial" w:hAnsi="Arial" w:cs="Arial"/>
          <w:color w:val="auto"/>
          <w:sz w:val="24"/>
          <w:szCs w:val="24"/>
        </w:rPr>
        <w:lastRenderedPageBreak/>
        <w:t>List of Figures</w:t>
      </w:r>
      <w:bookmarkEnd w:id="0"/>
    </w:p>
    <w:p w14:paraId="631BA3A5" w14:textId="6C905939" w:rsidR="009A5D3C" w:rsidRPr="009A5D3C" w:rsidRDefault="00534072">
      <w:pPr>
        <w:pStyle w:val="TableofFigures"/>
        <w:tabs>
          <w:tab w:val="right" w:leader="dot" w:pos="9638"/>
        </w:tabs>
        <w:rPr>
          <w:rFonts w:asciiTheme="minorHAnsi" w:eastAsiaTheme="minorEastAsia" w:hAnsiTheme="minorHAnsi"/>
          <w:i/>
          <w:iCs/>
          <w:noProof/>
          <w:kern w:val="2"/>
          <w:szCs w:val="24"/>
          <w14:ligatures w14:val="standardContextual"/>
        </w:rPr>
      </w:pPr>
      <w:r w:rsidRPr="00A553B9">
        <w:rPr>
          <w:rFonts w:cs="Arial"/>
          <w:szCs w:val="24"/>
        </w:rPr>
        <w:fldChar w:fldCharType="begin"/>
      </w:r>
      <w:r w:rsidRPr="00A553B9">
        <w:rPr>
          <w:rFonts w:cs="Arial"/>
          <w:szCs w:val="24"/>
        </w:rPr>
        <w:instrText xml:space="preserve"> TOC \h \z \c "Figure" </w:instrText>
      </w:r>
      <w:r w:rsidRPr="00A553B9">
        <w:rPr>
          <w:rFonts w:cs="Arial"/>
          <w:szCs w:val="24"/>
        </w:rPr>
        <w:fldChar w:fldCharType="separate"/>
      </w:r>
      <w:hyperlink w:anchor="_Toc225717209" w:history="1">
        <w:r w:rsidR="009A5D3C" w:rsidRPr="009A5D3C">
          <w:rPr>
            <w:rStyle w:val="Hyperlink"/>
            <w:i/>
            <w:iCs/>
            <w:noProof/>
          </w:rPr>
          <w:t>Figure 1: Performance Overview</w:t>
        </w:r>
        <w:r w:rsidR="009A5D3C" w:rsidRPr="009A5D3C">
          <w:rPr>
            <w:i/>
            <w:iCs/>
            <w:noProof/>
            <w:webHidden/>
          </w:rPr>
          <w:tab/>
        </w:r>
        <w:r w:rsidR="009A5D3C" w:rsidRPr="009A5D3C">
          <w:rPr>
            <w:i/>
            <w:iCs/>
            <w:noProof/>
            <w:webHidden/>
          </w:rPr>
          <w:fldChar w:fldCharType="begin"/>
        </w:r>
        <w:r w:rsidR="009A5D3C" w:rsidRPr="009A5D3C">
          <w:rPr>
            <w:i/>
            <w:iCs/>
            <w:noProof/>
            <w:webHidden/>
          </w:rPr>
          <w:instrText xml:space="preserve"> PAGEREF _Toc225717209 \h </w:instrText>
        </w:r>
        <w:r w:rsidR="009A5D3C" w:rsidRPr="009A5D3C">
          <w:rPr>
            <w:i/>
            <w:iCs/>
            <w:noProof/>
            <w:webHidden/>
          </w:rPr>
        </w:r>
        <w:r w:rsidR="009A5D3C" w:rsidRPr="009A5D3C">
          <w:rPr>
            <w:i/>
            <w:iCs/>
            <w:noProof/>
            <w:webHidden/>
          </w:rPr>
          <w:fldChar w:fldCharType="separate"/>
        </w:r>
        <w:r w:rsidR="009A5D3C" w:rsidRPr="009A5D3C">
          <w:rPr>
            <w:i/>
            <w:iCs/>
            <w:noProof/>
            <w:webHidden/>
          </w:rPr>
          <w:t>7</w:t>
        </w:r>
        <w:r w:rsidR="009A5D3C" w:rsidRPr="009A5D3C">
          <w:rPr>
            <w:i/>
            <w:iCs/>
            <w:noProof/>
            <w:webHidden/>
          </w:rPr>
          <w:fldChar w:fldCharType="end"/>
        </w:r>
      </w:hyperlink>
    </w:p>
    <w:p w14:paraId="3661EC0D" w14:textId="59E306E4" w:rsidR="009A5D3C" w:rsidRPr="009A5D3C" w:rsidRDefault="009A5D3C">
      <w:pPr>
        <w:pStyle w:val="TableofFigures"/>
        <w:tabs>
          <w:tab w:val="right" w:leader="dot" w:pos="9638"/>
        </w:tabs>
        <w:rPr>
          <w:rFonts w:asciiTheme="minorHAnsi" w:eastAsiaTheme="minorEastAsia" w:hAnsiTheme="minorHAnsi"/>
          <w:i/>
          <w:iCs/>
          <w:noProof/>
          <w:kern w:val="2"/>
          <w:szCs w:val="24"/>
          <w14:ligatures w14:val="standardContextual"/>
        </w:rPr>
      </w:pPr>
      <w:hyperlink w:anchor="_Toc225717210" w:history="1">
        <w:r w:rsidRPr="009A5D3C">
          <w:rPr>
            <w:rStyle w:val="Hyperlink"/>
            <w:i/>
            <w:iCs/>
            <w:noProof/>
          </w:rPr>
          <w:t>Figure 2: Profitability Ratios</w:t>
        </w:r>
        <w:r w:rsidRPr="009A5D3C">
          <w:rPr>
            <w:i/>
            <w:iCs/>
            <w:noProof/>
            <w:webHidden/>
          </w:rPr>
          <w:tab/>
        </w:r>
        <w:r w:rsidRPr="009A5D3C">
          <w:rPr>
            <w:i/>
            <w:iCs/>
            <w:noProof/>
            <w:webHidden/>
          </w:rPr>
          <w:fldChar w:fldCharType="begin"/>
        </w:r>
        <w:r w:rsidRPr="009A5D3C">
          <w:rPr>
            <w:i/>
            <w:iCs/>
            <w:noProof/>
            <w:webHidden/>
          </w:rPr>
          <w:instrText xml:space="preserve"> PAGEREF _Toc225717210 \h </w:instrText>
        </w:r>
        <w:r w:rsidRPr="009A5D3C">
          <w:rPr>
            <w:i/>
            <w:iCs/>
            <w:noProof/>
            <w:webHidden/>
          </w:rPr>
        </w:r>
        <w:r w:rsidRPr="009A5D3C">
          <w:rPr>
            <w:i/>
            <w:iCs/>
            <w:noProof/>
            <w:webHidden/>
          </w:rPr>
          <w:fldChar w:fldCharType="separate"/>
        </w:r>
        <w:r w:rsidRPr="009A5D3C">
          <w:rPr>
            <w:i/>
            <w:iCs/>
            <w:noProof/>
            <w:webHidden/>
          </w:rPr>
          <w:t>8</w:t>
        </w:r>
        <w:r w:rsidRPr="009A5D3C">
          <w:rPr>
            <w:i/>
            <w:iCs/>
            <w:noProof/>
            <w:webHidden/>
          </w:rPr>
          <w:fldChar w:fldCharType="end"/>
        </w:r>
      </w:hyperlink>
    </w:p>
    <w:p w14:paraId="65A972E8" w14:textId="20D0C127" w:rsidR="009A5D3C" w:rsidRPr="009A5D3C" w:rsidRDefault="009A5D3C">
      <w:pPr>
        <w:pStyle w:val="TableofFigures"/>
        <w:tabs>
          <w:tab w:val="right" w:leader="dot" w:pos="9638"/>
        </w:tabs>
        <w:rPr>
          <w:rFonts w:asciiTheme="minorHAnsi" w:eastAsiaTheme="minorEastAsia" w:hAnsiTheme="minorHAnsi"/>
          <w:i/>
          <w:iCs/>
          <w:noProof/>
          <w:kern w:val="2"/>
          <w:szCs w:val="24"/>
          <w14:ligatures w14:val="standardContextual"/>
        </w:rPr>
      </w:pPr>
      <w:hyperlink w:anchor="_Toc225717211" w:history="1">
        <w:r w:rsidRPr="009A5D3C">
          <w:rPr>
            <w:rStyle w:val="Hyperlink"/>
            <w:i/>
            <w:iCs/>
            <w:noProof/>
          </w:rPr>
          <w:t>Figure 3: Liquidity Ratios</w:t>
        </w:r>
        <w:r w:rsidRPr="009A5D3C">
          <w:rPr>
            <w:i/>
            <w:iCs/>
            <w:noProof/>
            <w:webHidden/>
          </w:rPr>
          <w:tab/>
        </w:r>
        <w:r w:rsidRPr="009A5D3C">
          <w:rPr>
            <w:i/>
            <w:iCs/>
            <w:noProof/>
            <w:webHidden/>
          </w:rPr>
          <w:fldChar w:fldCharType="begin"/>
        </w:r>
        <w:r w:rsidRPr="009A5D3C">
          <w:rPr>
            <w:i/>
            <w:iCs/>
            <w:noProof/>
            <w:webHidden/>
          </w:rPr>
          <w:instrText xml:space="preserve"> PAGEREF _Toc225717211 \h </w:instrText>
        </w:r>
        <w:r w:rsidRPr="009A5D3C">
          <w:rPr>
            <w:i/>
            <w:iCs/>
            <w:noProof/>
            <w:webHidden/>
          </w:rPr>
        </w:r>
        <w:r w:rsidRPr="009A5D3C">
          <w:rPr>
            <w:i/>
            <w:iCs/>
            <w:noProof/>
            <w:webHidden/>
          </w:rPr>
          <w:fldChar w:fldCharType="separate"/>
        </w:r>
        <w:r w:rsidRPr="009A5D3C">
          <w:rPr>
            <w:i/>
            <w:iCs/>
            <w:noProof/>
            <w:webHidden/>
          </w:rPr>
          <w:t>8</w:t>
        </w:r>
        <w:r w:rsidRPr="009A5D3C">
          <w:rPr>
            <w:i/>
            <w:iCs/>
            <w:noProof/>
            <w:webHidden/>
          </w:rPr>
          <w:fldChar w:fldCharType="end"/>
        </w:r>
      </w:hyperlink>
    </w:p>
    <w:p w14:paraId="30AA135C" w14:textId="17D95AB6" w:rsidR="009A5D3C" w:rsidRPr="009A5D3C" w:rsidRDefault="009A5D3C">
      <w:pPr>
        <w:pStyle w:val="TableofFigures"/>
        <w:tabs>
          <w:tab w:val="right" w:leader="dot" w:pos="9638"/>
        </w:tabs>
        <w:rPr>
          <w:rFonts w:asciiTheme="minorHAnsi" w:eastAsiaTheme="minorEastAsia" w:hAnsiTheme="minorHAnsi"/>
          <w:i/>
          <w:iCs/>
          <w:noProof/>
          <w:kern w:val="2"/>
          <w:szCs w:val="24"/>
          <w14:ligatures w14:val="standardContextual"/>
        </w:rPr>
      </w:pPr>
      <w:hyperlink w:anchor="_Toc225717212" w:history="1">
        <w:r w:rsidRPr="009A5D3C">
          <w:rPr>
            <w:rStyle w:val="Hyperlink"/>
            <w:i/>
            <w:iCs/>
            <w:noProof/>
          </w:rPr>
          <w:t>Figure 4: Efficiency Ratios</w:t>
        </w:r>
        <w:r w:rsidRPr="009A5D3C">
          <w:rPr>
            <w:i/>
            <w:iCs/>
            <w:noProof/>
            <w:webHidden/>
          </w:rPr>
          <w:tab/>
        </w:r>
        <w:r w:rsidRPr="009A5D3C">
          <w:rPr>
            <w:i/>
            <w:iCs/>
            <w:noProof/>
            <w:webHidden/>
          </w:rPr>
          <w:fldChar w:fldCharType="begin"/>
        </w:r>
        <w:r w:rsidRPr="009A5D3C">
          <w:rPr>
            <w:i/>
            <w:iCs/>
            <w:noProof/>
            <w:webHidden/>
          </w:rPr>
          <w:instrText xml:space="preserve"> PAGEREF _Toc225717212 \h </w:instrText>
        </w:r>
        <w:r w:rsidRPr="009A5D3C">
          <w:rPr>
            <w:i/>
            <w:iCs/>
            <w:noProof/>
            <w:webHidden/>
          </w:rPr>
        </w:r>
        <w:r w:rsidRPr="009A5D3C">
          <w:rPr>
            <w:i/>
            <w:iCs/>
            <w:noProof/>
            <w:webHidden/>
          </w:rPr>
          <w:fldChar w:fldCharType="separate"/>
        </w:r>
        <w:r w:rsidRPr="009A5D3C">
          <w:rPr>
            <w:i/>
            <w:iCs/>
            <w:noProof/>
            <w:webHidden/>
          </w:rPr>
          <w:t>9</w:t>
        </w:r>
        <w:r w:rsidRPr="009A5D3C">
          <w:rPr>
            <w:i/>
            <w:iCs/>
            <w:noProof/>
            <w:webHidden/>
          </w:rPr>
          <w:fldChar w:fldCharType="end"/>
        </w:r>
      </w:hyperlink>
    </w:p>
    <w:p w14:paraId="07B58B8A" w14:textId="42E0480A" w:rsidR="009A5D3C" w:rsidRPr="009A5D3C" w:rsidRDefault="009A5D3C">
      <w:pPr>
        <w:pStyle w:val="TableofFigures"/>
        <w:tabs>
          <w:tab w:val="right" w:leader="dot" w:pos="9638"/>
        </w:tabs>
        <w:rPr>
          <w:rFonts w:asciiTheme="minorHAnsi" w:eastAsiaTheme="minorEastAsia" w:hAnsiTheme="minorHAnsi"/>
          <w:i/>
          <w:iCs/>
          <w:noProof/>
          <w:kern w:val="2"/>
          <w:szCs w:val="24"/>
          <w14:ligatures w14:val="standardContextual"/>
        </w:rPr>
      </w:pPr>
      <w:hyperlink w:anchor="_Toc225717213" w:history="1">
        <w:r w:rsidRPr="009A5D3C">
          <w:rPr>
            <w:rStyle w:val="Hyperlink"/>
            <w:i/>
            <w:iCs/>
            <w:noProof/>
          </w:rPr>
          <w:t>Figure 5: Gearing (Leverage) Ratios</w:t>
        </w:r>
        <w:r w:rsidRPr="009A5D3C">
          <w:rPr>
            <w:i/>
            <w:iCs/>
            <w:noProof/>
            <w:webHidden/>
          </w:rPr>
          <w:tab/>
        </w:r>
        <w:r w:rsidRPr="009A5D3C">
          <w:rPr>
            <w:i/>
            <w:iCs/>
            <w:noProof/>
            <w:webHidden/>
          </w:rPr>
          <w:fldChar w:fldCharType="begin"/>
        </w:r>
        <w:r w:rsidRPr="009A5D3C">
          <w:rPr>
            <w:i/>
            <w:iCs/>
            <w:noProof/>
            <w:webHidden/>
          </w:rPr>
          <w:instrText xml:space="preserve"> PAGEREF _Toc225717213 \h </w:instrText>
        </w:r>
        <w:r w:rsidRPr="009A5D3C">
          <w:rPr>
            <w:i/>
            <w:iCs/>
            <w:noProof/>
            <w:webHidden/>
          </w:rPr>
        </w:r>
        <w:r w:rsidRPr="009A5D3C">
          <w:rPr>
            <w:i/>
            <w:iCs/>
            <w:noProof/>
            <w:webHidden/>
          </w:rPr>
          <w:fldChar w:fldCharType="separate"/>
        </w:r>
        <w:r w:rsidRPr="009A5D3C">
          <w:rPr>
            <w:i/>
            <w:iCs/>
            <w:noProof/>
            <w:webHidden/>
          </w:rPr>
          <w:t>10</w:t>
        </w:r>
        <w:r w:rsidRPr="009A5D3C">
          <w:rPr>
            <w:i/>
            <w:iCs/>
            <w:noProof/>
            <w:webHidden/>
          </w:rPr>
          <w:fldChar w:fldCharType="end"/>
        </w:r>
      </w:hyperlink>
    </w:p>
    <w:p w14:paraId="5AB6DBD0" w14:textId="61304097" w:rsidR="009A5D3C" w:rsidRPr="009A5D3C" w:rsidRDefault="009A5D3C">
      <w:pPr>
        <w:pStyle w:val="TableofFigures"/>
        <w:tabs>
          <w:tab w:val="right" w:leader="dot" w:pos="9638"/>
        </w:tabs>
        <w:rPr>
          <w:rFonts w:asciiTheme="minorHAnsi" w:eastAsiaTheme="minorEastAsia" w:hAnsiTheme="minorHAnsi"/>
          <w:i/>
          <w:iCs/>
          <w:noProof/>
          <w:kern w:val="2"/>
          <w:szCs w:val="24"/>
          <w14:ligatures w14:val="standardContextual"/>
        </w:rPr>
      </w:pPr>
      <w:hyperlink w:anchor="_Toc225717214" w:history="1">
        <w:r w:rsidRPr="009A5D3C">
          <w:rPr>
            <w:rStyle w:val="Hyperlink"/>
            <w:i/>
            <w:iCs/>
            <w:noProof/>
          </w:rPr>
          <w:t>Figure 6: Investment Ratios</w:t>
        </w:r>
        <w:r w:rsidRPr="009A5D3C">
          <w:rPr>
            <w:i/>
            <w:iCs/>
            <w:noProof/>
            <w:webHidden/>
          </w:rPr>
          <w:tab/>
        </w:r>
        <w:r w:rsidRPr="009A5D3C">
          <w:rPr>
            <w:i/>
            <w:iCs/>
            <w:noProof/>
            <w:webHidden/>
          </w:rPr>
          <w:fldChar w:fldCharType="begin"/>
        </w:r>
        <w:r w:rsidRPr="009A5D3C">
          <w:rPr>
            <w:i/>
            <w:iCs/>
            <w:noProof/>
            <w:webHidden/>
          </w:rPr>
          <w:instrText xml:space="preserve"> PAGEREF _Toc225717214 \h </w:instrText>
        </w:r>
        <w:r w:rsidRPr="009A5D3C">
          <w:rPr>
            <w:i/>
            <w:iCs/>
            <w:noProof/>
            <w:webHidden/>
          </w:rPr>
        </w:r>
        <w:r w:rsidRPr="009A5D3C">
          <w:rPr>
            <w:i/>
            <w:iCs/>
            <w:noProof/>
            <w:webHidden/>
          </w:rPr>
          <w:fldChar w:fldCharType="separate"/>
        </w:r>
        <w:r w:rsidRPr="009A5D3C">
          <w:rPr>
            <w:i/>
            <w:iCs/>
            <w:noProof/>
            <w:webHidden/>
          </w:rPr>
          <w:t>11</w:t>
        </w:r>
        <w:r w:rsidRPr="009A5D3C">
          <w:rPr>
            <w:i/>
            <w:iCs/>
            <w:noProof/>
            <w:webHidden/>
          </w:rPr>
          <w:fldChar w:fldCharType="end"/>
        </w:r>
      </w:hyperlink>
    </w:p>
    <w:p w14:paraId="341B9A9F" w14:textId="6D20241B" w:rsidR="009A5D3C" w:rsidRPr="009A5D3C" w:rsidRDefault="009A5D3C">
      <w:pPr>
        <w:pStyle w:val="TableofFigures"/>
        <w:tabs>
          <w:tab w:val="right" w:leader="dot" w:pos="9638"/>
        </w:tabs>
        <w:rPr>
          <w:rFonts w:asciiTheme="minorHAnsi" w:eastAsiaTheme="minorEastAsia" w:hAnsiTheme="minorHAnsi"/>
          <w:i/>
          <w:iCs/>
          <w:noProof/>
          <w:kern w:val="2"/>
          <w:szCs w:val="24"/>
          <w14:ligatures w14:val="standardContextual"/>
        </w:rPr>
      </w:pPr>
      <w:hyperlink w:anchor="_Toc225717215" w:history="1">
        <w:r w:rsidRPr="009A5D3C">
          <w:rPr>
            <w:rStyle w:val="Hyperlink"/>
            <w:i/>
            <w:iCs/>
            <w:noProof/>
          </w:rPr>
          <w:t>Figure 7: Cash Flow Ratios</w:t>
        </w:r>
        <w:r w:rsidRPr="009A5D3C">
          <w:rPr>
            <w:i/>
            <w:iCs/>
            <w:noProof/>
            <w:webHidden/>
          </w:rPr>
          <w:tab/>
        </w:r>
        <w:r w:rsidRPr="009A5D3C">
          <w:rPr>
            <w:i/>
            <w:iCs/>
            <w:noProof/>
            <w:webHidden/>
          </w:rPr>
          <w:fldChar w:fldCharType="begin"/>
        </w:r>
        <w:r w:rsidRPr="009A5D3C">
          <w:rPr>
            <w:i/>
            <w:iCs/>
            <w:noProof/>
            <w:webHidden/>
          </w:rPr>
          <w:instrText xml:space="preserve"> PAGEREF _Toc225717215 \h </w:instrText>
        </w:r>
        <w:r w:rsidRPr="009A5D3C">
          <w:rPr>
            <w:i/>
            <w:iCs/>
            <w:noProof/>
            <w:webHidden/>
          </w:rPr>
        </w:r>
        <w:r w:rsidRPr="009A5D3C">
          <w:rPr>
            <w:i/>
            <w:iCs/>
            <w:noProof/>
            <w:webHidden/>
          </w:rPr>
          <w:fldChar w:fldCharType="separate"/>
        </w:r>
        <w:r w:rsidRPr="009A5D3C">
          <w:rPr>
            <w:i/>
            <w:iCs/>
            <w:noProof/>
            <w:webHidden/>
          </w:rPr>
          <w:t>12</w:t>
        </w:r>
        <w:r w:rsidRPr="009A5D3C">
          <w:rPr>
            <w:i/>
            <w:iCs/>
            <w:noProof/>
            <w:webHidden/>
          </w:rPr>
          <w:fldChar w:fldCharType="end"/>
        </w:r>
      </w:hyperlink>
    </w:p>
    <w:p w14:paraId="22079A5C" w14:textId="38871680" w:rsidR="009A5D3C" w:rsidRPr="009A5D3C" w:rsidRDefault="009A5D3C">
      <w:pPr>
        <w:pStyle w:val="TableofFigures"/>
        <w:tabs>
          <w:tab w:val="right" w:leader="dot" w:pos="9638"/>
        </w:tabs>
        <w:rPr>
          <w:rFonts w:asciiTheme="minorHAnsi" w:eastAsiaTheme="minorEastAsia" w:hAnsiTheme="minorHAnsi"/>
          <w:i/>
          <w:iCs/>
          <w:noProof/>
          <w:kern w:val="2"/>
          <w:szCs w:val="24"/>
          <w14:ligatures w14:val="standardContextual"/>
        </w:rPr>
      </w:pPr>
      <w:hyperlink w:anchor="_Toc225717216" w:history="1">
        <w:r w:rsidRPr="009A5D3C">
          <w:rPr>
            <w:rStyle w:val="Hyperlink"/>
            <w:rFonts w:cs="Arial"/>
            <w:i/>
            <w:iCs/>
            <w:noProof/>
          </w:rPr>
          <w:t>Figure 8: Project NPVs at 10% discount rate</w:t>
        </w:r>
        <w:r w:rsidRPr="009A5D3C">
          <w:rPr>
            <w:i/>
            <w:iCs/>
            <w:noProof/>
            <w:webHidden/>
          </w:rPr>
          <w:tab/>
        </w:r>
        <w:r w:rsidRPr="009A5D3C">
          <w:rPr>
            <w:i/>
            <w:iCs/>
            <w:noProof/>
            <w:webHidden/>
          </w:rPr>
          <w:fldChar w:fldCharType="begin"/>
        </w:r>
        <w:r w:rsidRPr="009A5D3C">
          <w:rPr>
            <w:i/>
            <w:iCs/>
            <w:noProof/>
            <w:webHidden/>
          </w:rPr>
          <w:instrText xml:space="preserve"> PAGEREF _Toc225717216 \h </w:instrText>
        </w:r>
        <w:r w:rsidRPr="009A5D3C">
          <w:rPr>
            <w:i/>
            <w:iCs/>
            <w:noProof/>
            <w:webHidden/>
          </w:rPr>
        </w:r>
        <w:r w:rsidRPr="009A5D3C">
          <w:rPr>
            <w:i/>
            <w:iCs/>
            <w:noProof/>
            <w:webHidden/>
          </w:rPr>
          <w:fldChar w:fldCharType="separate"/>
        </w:r>
        <w:r w:rsidRPr="009A5D3C">
          <w:rPr>
            <w:i/>
            <w:iCs/>
            <w:noProof/>
            <w:webHidden/>
          </w:rPr>
          <w:t>24</w:t>
        </w:r>
        <w:r w:rsidRPr="009A5D3C">
          <w:rPr>
            <w:i/>
            <w:iCs/>
            <w:noProof/>
            <w:webHidden/>
          </w:rPr>
          <w:fldChar w:fldCharType="end"/>
        </w:r>
      </w:hyperlink>
    </w:p>
    <w:p w14:paraId="1CCEC748" w14:textId="18B971AC" w:rsidR="005508B8" w:rsidRPr="00A553B9" w:rsidRDefault="00534072" w:rsidP="009E21FB">
      <w:pPr>
        <w:rPr>
          <w:rFonts w:cs="Arial"/>
          <w:szCs w:val="24"/>
        </w:rPr>
      </w:pPr>
      <w:r w:rsidRPr="00A553B9">
        <w:rPr>
          <w:rFonts w:cs="Arial"/>
          <w:szCs w:val="24"/>
        </w:rPr>
        <w:fldChar w:fldCharType="end"/>
      </w:r>
    </w:p>
    <w:p w14:paraId="43BFE8B4" w14:textId="77777777" w:rsidR="005508B8" w:rsidRPr="00A553B9" w:rsidRDefault="006D4139" w:rsidP="009E21FB">
      <w:pPr>
        <w:pStyle w:val="Heading1"/>
        <w:rPr>
          <w:rFonts w:ascii="Arial" w:hAnsi="Arial" w:cs="Arial"/>
          <w:color w:val="auto"/>
          <w:sz w:val="24"/>
          <w:szCs w:val="24"/>
        </w:rPr>
      </w:pPr>
      <w:bookmarkStart w:id="1" w:name="_Toc225717162"/>
      <w:r w:rsidRPr="00A553B9">
        <w:rPr>
          <w:rFonts w:ascii="Arial" w:hAnsi="Arial" w:cs="Arial"/>
          <w:color w:val="auto"/>
          <w:sz w:val="24"/>
          <w:szCs w:val="24"/>
        </w:rPr>
        <w:t>List of Tables</w:t>
      </w:r>
      <w:bookmarkEnd w:id="1"/>
    </w:p>
    <w:p w14:paraId="4AFA76A8" w14:textId="2457D679" w:rsidR="00F86F80" w:rsidRDefault="004C25DE">
      <w:pPr>
        <w:pStyle w:val="TableofFigures"/>
        <w:tabs>
          <w:tab w:val="right" w:leader="dot" w:pos="9638"/>
        </w:tabs>
        <w:rPr>
          <w:rFonts w:asciiTheme="minorHAnsi" w:eastAsiaTheme="minorEastAsia" w:hAnsiTheme="minorHAnsi"/>
          <w:noProof/>
          <w:kern w:val="2"/>
          <w:szCs w:val="24"/>
          <w14:ligatures w14:val="standardContextual"/>
        </w:rPr>
      </w:pPr>
      <w:r w:rsidRPr="004969CE">
        <w:rPr>
          <w:rFonts w:cs="Arial"/>
          <w:i/>
          <w:iCs/>
          <w:szCs w:val="24"/>
        </w:rPr>
        <w:fldChar w:fldCharType="begin"/>
      </w:r>
      <w:r w:rsidRPr="004969CE">
        <w:rPr>
          <w:rFonts w:cs="Arial"/>
          <w:i/>
          <w:iCs/>
          <w:szCs w:val="24"/>
        </w:rPr>
        <w:instrText xml:space="preserve"> TOC \h \z \c "Table" </w:instrText>
      </w:r>
      <w:r w:rsidRPr="004969CE">
        <w:rPr>
          <w:rFonts w:cs="Arial"/>
          <w:i/>
          <w:iCs/>
          <w:szCs w:val="24"/>
        </w:rPr>
        <w:fldChar w:fldCharType="separate"/>
      </w:r>
      <w:hyperlink w:anchor="_Toc225721357" w:history="1">
        <w:r w:rsidR="00F86F80" w:rsidRPr="00AE0C24">
          <w:rPr>
            <w:rStyle w:val="Hyperlink"/>
            <w:i/>
            <w:iCs/>
            <w:noProof/>
          </w:rPr>
          <w:t>Table 1: Mercedes-Benz Financial Ratio Trends</w:t>
        </w:r>
        <w:r w:rsidR="00F86F80">
          <w:rPr>
            <w:noProof/>
            <w:webHidden/>
          </w:rPr>
          <w:tab/>
        </w:r>
        <w:r w:rsidR="00F86F80">
          <w:rPr>
            <w:noProof/>
            <w:webHidden/>
          </w:rPr>
          <w:fldChar w:fldCharType="begin"/>
        </w:r>
        <w:r w:rsidR="00F86F80">
          <w:rPr>
            <w:noProof/>
            <w:webHidden/>
          </w:rPr>
          <w:instrText xml:space="preserve"> PAGEREF _Toc225721357 \h </w:instrText>
        </w:r>
        <w:r w:rsidR="00F86F80">
          <w:rPr>
            <w:noProof/>
            <w:webHidden/>
          </w:rPr>
        </w:r>
        <w:r w:rsidR="00F86F80">
          <w:rPr>
            <w:noProof/>
            <w:webHidden/>
          </w:rPr>
          <w:fldChar w:fldCharType="separate"/>
        </w:r>
        <w:r w:rsidR="00F86F80">
          <w:rPr>
            <w:noProof/>
            <w:webHidden/>
          </w:rPr>
          <w:t>12</w:t>
        </w:r>
        <w:r w:rsidR="00F86F80">
          <w:rPr>
            <w:noProof/>
            <w:webHidden/>
          </w:rPr>
          <w:fldChar w:fldCharType="end"/>
        </w:r>
      </w:hyperlink>
    </w:p>
    <w:p w14:paraId="05A6DBE2" w14:textId="15093951" w:rsidR="00F86F80" w:rsidRDefault="00F86F80">
      <w:pPr>
        <w:pStyle w:val="TableofFigures"/>
        <w:tabs>
          <w:tab w:val="right" w:leader="dot" w:pos="9638"/>
        </w:tabs>
        <w:rPr>
          <w:rFonts w:asciiTheme="minorHAnsi" w:eastAsiaTheme="minorEastAsia" w:hAnsiTheme="minorHAnsi"/>
          <w:noProof/>
          <w:kern w:val="2"/>
          <w:szCs w:val="24"/>
          <w14:ligatures w14:val="standardContextual"/>
        </w:rPr>
      </w:pPr>
      <w:hyperlink w:anchor="_Toc225721358" w:history="1">
        <w:r w:rsidRPr="00AE0C24">
          <w:rPr>
            <w:rStyle w:val="Hyperlink"/>
            <w:i/>
            <w:iCs/>
            <w:noProof/>
          </w:rPr>
          <w:t>Table 2: Mercedes-Benz Group CCC</w:t>
        </w:r>
        <w:r>
          <w:rPr>
            <w:noProof/>
            <w:webHidden/>
          </w:rPr>
          <w:tab/>
        </w:r>
        <w:r>
          <w:rPr>
            <w:noProof/>
            <w:webHidden/>
          </w:rPr>
          <w:fldChar w:fldCharType="begin"/>
        </w:r>
        <w:r>
          <w:rPr>
            <w:noProof/>
            <w:webHidden/>
          </w:rPr>
          <w:instrText xml:space="preserve"> PAGEREF _Toc225721358 \h </w:instrText>
        </w:r>
        <w:r>
          <w:rPr>
            <w:noProof/>
            <w:webHidden/>
          </w:rPr>
        </w:r>
        <w:r>
          <w:rPr>
            <w:noProof/>
            <w:webHidden/>
          </w:rPr>
          <w:fldChar w:fldCharType="separate"/>
        </w:r>
        <w:r>
          <w:rPr>
            <w:noProof/>
            <w:webHidden/>
          </w:rPr>
          <w:t>13</w:t>
        </w:r>
        <w:r>
          <w:rPr>
            <w:noProof/>
            <w:webHidden/>
          </w:rPr>
          <w:fldChar w:fldCharType="end"/>
        </w:r>
      </w:hyperlink>
    </w:p>
    <w:p w14:paraId="6D4E2033" w14:textId="00B2E769" w:rsidR="00F86F80" w:rsidRDefault="00F86F80">
      <w:pPr>
        <w:pStyle w:val="TableofFigures"/>
        <w:tabs>
          <w:tab w:val="right" w:leader="dot" w:pos="9638"/>
        </w:tabs>
        <w:rPr>
          <w:rFonts w:asciiTheme="minorHAnsi" w:eastAsiaTheme="minorEastAsia" w:hAnsiTheme="minorHAnsi"/>
          <w:noProof/>
          <w:kern w:val="2"/>
          <w:szCs w:val="24"/>
          <w14:ligatures w14:val="standardContextual"/>
        </w:rPr>
      </w:pPr>
      <w:hyperlink w:anchor="_Toc225721359" w:history="1">
        <w:r w:rsidRPr="00AE0C24">
          <w:rPr>
            <w:rStyle w:val="Hyperlink"/>
            <w:rFonts w:cs="Arial"/>
            <w:i/>
            <w:iCs/>
            <w:noProof/>
          </w:rPr>
          <w:t>Table 3: Strategic restructuring plan summary</w:t>
        </w:r>
        <w:r>
          <w:rPr>
            <w:noProof/>
            <w:webHidden/>
          </w:rPr>
          <w:tab/>
        </w:r>
        <w:r>
          <w:rPr>
            <w:noProof/>
            <w:webHidden/>
          </w:rPr>
          <w:fldChar w:fldCharType="begin"/>
        </w:r>
        <w:r>
          <w:rPr>
            <w:noProof/>
            <w:webHidden/>
          </w:rPr>
          <w:instrText xml:space="preserve"> PAGEREF _Toc225721359 \h </w:instrText>
        </w:r>
        <w:r>
          <w:rPr>
            <w:noProof/>
            <w:webHidden/>
          </w:rPr>
        </w:r>
        <w:r>
          <w:rPr>
            <w:noProof/>
            <w:webHidden/>
          </w:rPr>
          <w:fldChar w:fldCharType="separate"/>
        </w:r>
        <w:r>
          <w:rPr>
            <w:noProof/>
            <w:webHidden/>
          </w:rPr>
          <w:t>19</w:t>
        </w:r>
        <w:r>
          <w:rPr>
            <w:noProof/>
            <w:webHidden/>
          </w:rPr>
          <w:fldChar w:fldCharType="end"/>
        </w:r>
      </w:hyperlink>
    </w:p>
    <w:p w14:paraId="69364015" w14:textId="23BC5C8E" w:rsidR="00F86F80" w:rsidRDefault="00F86F80">
      <w:pPr>
        <w:pStyle w:val="TableofFigures"/>
        <w:tabs>
          <w:tab w:val="right" w:leader="dot" w:pos="9638"/>
        </w:tabs>
        <w:rPr>
          <w:rFonts w:asciiTheme="minorHAnsi" w:eastAsiaTheme="minorEastAsia" w:hAnsiTheme="minorHAnsi"/>
          <w:noProof/>
          <w:kern w:val="2"/>
          <w:szCs w:val="24"/>
          <w14:ligatures w14:val="standardContextual"/>
        </w:rPr>
      </w:pPr>
      <w:hyperlink w:anchor="_Toc225721360" w:history="1">
        <w:r w:rsidRPr="00AE0C24">
          <w:rPr>
            <w:rStyle w:val="Hyperlink"/>
            <w:rFonts w:cs="Arial"/>
            <w:i/>
            <w:iCs/>
            <w:noProof/>
          </w:rPr>
          <w:t>Table 4: Capital budgeting appraisal summary</w:t>
        </w:r>
        <w:r>
          <w:rPr>
            <w:noProof/>
            <w:webHidden/>
          </w:rPr>
          <w:tab/>
        </w:r>
        <w:r>
          <w:rPr>
            <w:noProof/>
            <w:webHidden/>
          </w:rPr>
          <w:fldChar w:fldCharType="begin"/>
        </w:r>
        <w:r>
          <w:rPr>
            <w:noProof/>
            <w:webHidden/>
          </w:rPr>
          <w:instrText xml:space="preserve"> PAGEREF _Toc225721360 \h </w:instrText>
        </w:r>
        <w:r>
          <w:rPr>
            <w:noProof/>
            <w:webHidden/>
          </w:rPr>
        </w:r>
        <w:r>
          <w:rPr>
            <w:noProof/>
            <w:webHidden/>
          </w:rPr>
          <w:fldChar w:fldCharType="separate"/>
        </w:r>
        <w:r>
          <w:rPr>
            <w:noProof/>
            <w:webHidden/>
          </w:rPr>
          <w:t>23</w:t>
        </w:r>
        <w:r>
          <w:rPr>
            <w:noProof/>
            <w:webHidden/>
          </w:rPr>
          <w:fldChar w:fldCharType="end"/>
        </w:r>
      </w:hyperlink>
    </w:p>
    <w:p w14:paraId="43C85AE3" w14:textId="614553B2" w:rsidR="005508B8" w:rsidRPr="004969CE" w:rsidRDefault="004C25DE" w:rsidP="009E21FB">
      <w:pPr>
        <w:rPr>
          <w:rFonts w:cs="Arial"/>
          <w:i/>
          <w:iCs/>
          <w:szCs w:val="24"/>
        </w:rPr>
      </w:pPr>
      <w:r w:rsidRPr="004969CE">
        <w:rPr>
          <w:rFonts w:cs="Arial"/>
          <w:i/>
          <w:iCs/>
          <w:szCs w:val="24"/>
        </w:rPr>
        <w:fldChar w:fldCharType="end"/>
      </w:r>
    </w:p>
    <w:p w14:paraId="78538702" w14:textId="77777777" w:rsidR="005508B8" w:rsidRPr="00A553B9" w:rsidRDefault="006D4139" w:rsidP="009E21FB">
      <w:pPr>
        <w:rPr>
          <w:rFonts w:cs="Arial"/>
          <w:szCs w:val="24"/>
        </w:rPr>
      </w:pPr>
      <w:r w:rsidRPr="00A553B9">
        <w:rPr>
          <w:rFonts w:cs="Arial"/>
          <w:szCs w:val="24"/>
        </w:rPr>
        <w:br w:type="page"/>
      </w:r>
    </w:p>
    <w:p w14:paraId="5197F0AB" w14:textId="1F102517" w:rsidR="009570A3" w:rsidRPr="00A553B9" w:rsidRDefault="009570A3" w:rsidP="00C1591F">
      <w:pPr>
        <w:spacing w:line="240" w:lineRule="auto"/>
        <w:jc w:val="center"/>
        <w:rPr>
          <w:rFonts w:cs="Arial"/>
          <w:szCs w:val="24"/>
        </w:rPr>
      </w:pPr>
      <w:r w:rsidRPr="00A553B9">
        <w:rPr>
          <w:rFonts w:cs="Arial"/>
          <w:b/>
          <w:szCs w:val="24"/>
        </w:rPr>
        <w:lastRenderedPageBreak/>
        <w:t xml:space="preserve">Strategic CFO Challenge – </w:t>
      </w:r>
      <w:r w:rsidR="00F84EDC" w:rsidRPr="00A553B9">
        <w:rPr>
          <w:rFonts w:cs="Arial"/>
          <w:b/>
          <w:szCs w:val="24"/>
        </w:rPr>
        <w:t>Mercedes-Benz Group</w:t>
      </w:r>
      <w:r w:rsidR="00EF7097">
        <w:rPr>
          <w:rFonts w:cs="Arial"/>
          <w:b/>
          <w:szCs w:val="24"/>
        </w:rPr>
        <w:t xml:space="preserve"> AG</w:t>
      </w:r>
    </w:p>
    <w:p w14:paraId="376F620C" w14:textId="52E8C023" w:rsidR="005508B8" w:rsidRPr="00A553B9" w:rsidRDefault="006D4139" w:rsidP="006743A0">
      <w:pPr>
        <w:pStyle w:val="Heading1"/>
        <w:jc w:val="center"/>
        <w:rPr>
          <w:rFonts w:ascii="Arial" w:hAnsi="Arial" w:cs="Arial"/>
          <w:color w:val="auto"/>
          <w:sz w:val="24"/>
          <w:szCs w:val="24"/>
        </w:rPr>
      </w:pPr>
      <w:bookmarkStart w:id="2" w:name="_Toc225717163"/>
      <w:r w:rsidRPr="00A553B9">
        <w:rPr>
          <w:rFonts w:ascii="Arial" w:hAnsi="Arial" w:cs="Arial"/>
          <w:color w:val="auto"/>
          <w:sz w:val="24"/>
          <w:szCs w:val="24"/>
        </w:rPr>
        <w:t>1. Introduction</w:t>
      </w:r>
      <w:bookmarkEnd w:id="2"/>
    </w:p>
    <w:p w14:paraId="741EFE1D" w14:textId="30CC2118" w:rsidR="0066195D" w:rsidRPr="00A553B9" w:rsidRDefault="0066195D" w:rsidP="006743A0">
      <w:pPr>
        <w:ind w:firstLine="720"/>
        <w:rPr>
          <w:rFonts w:cs="Arial"/>
          <w:szCs w:val="24"/>
        </w:rPr>
      </w:pPr>
      <w:r w:rsidRPr="00A553B9">
        <w:rPr>
          <w:rFonts w:cs="Arial"/>
          <w:szCs w:val="24"/>
        </w:rPr>
        <w:t>This report is an intensive and critically appraising financial analysis of Mercedes-Benz Group AG in the next five years</w:t>
      </w:r>
      <w:r w:rsidR="00DE678F" w:rsidRPr="00A553B9">
        <w:rPr>
          <w:rFonts w:cs="Arial"/>
          <w:szCs w:val="24"/>
        </w:rPr>
        <w:t>,</w:t>
      </w:r>
      <w:r w:rsidRPr="00A553B9">
        <w:rPr>
          <w:rFonts w:cs="Arial"/>
          <w:szCs w:val="24"/>
        </w:rPr>
        <w:t xml:space="preserve"> between 2021 and 2025, which will be explicitly </w:t>
      </w:r>
      <w:r w:rsidR="00DE678F" w:rsidRPr="00A553B9">
        <w:rPr>
          <w:rFonts w:cs="Arial"/>
          <w:szCs w:val="24"/>
        </w:rPr>
        <w:t>withi</w:t>
      </w:r>
      <w:r w:rsidRPr="00A553B9">
        <w:rPr>
          <w:rFonts w:cs="Arial"/>
          <w:szCs w:val="24"/>
        </w:rPr>
        <w:t xml:space="preserve">n </w:t>
      </w:r>
      <w:r w:rsidR="00DE678F" w:rsidRPr="00A553B9">
        <w:rPr>
          <w:rFonts w:cs="Arial"/>
          <w:szCs w:val="24"/>
        </w:rPr>
        <w:t xml:space="preserve">the </w:t>
      </w:r>
      <w:r w:rsidRPr="00A553B9">
        <w:rPr>
          <w:rFonts w:cs="Arial"/>
          <w:szCs w:val="24"/>
        </w:rPr>
        <w:t>Chief Financial Officer</w:t>
      </w:r>
      <w:r w:rsidR="00DE678F" w:rsidRPr="00A553B9">
        <w:rPr>
          <w:rFonts w:cs="Arial"/>
          <w:szCs w:val="24"/>
        </w:rPr>
        <w:t>'s</w:t>
      </w:r>
      <w:r w:rsidRPr="00A553B9">
        <w:rPr>
          <w:rFonts w:cs="Arial"/>
          <w:szCs w:val="24"/>
        </w:rPr>
        <w:t xml:space="preserve"> eyesight. This analysis is not aimed directly </w:t>
      </w:r>
      <w:r w:rsidR="00DE678F" w:rsidRPr="00A553B9">
        <w:rPr>
          <w:rFonts w:cs="Arial"/>
          <w:szCs w:val="24"/>
        </w:rPr>
        <w:t>at measuring</w:t>
      </w:r>
      <w:r w:rsidRPr="00A553B9">
        <w:rPr>
          <w:rFonts w:cs="Arial"/>
          <w:szCs w:val="24"/>
        </w:rPr>
        <w:t xml:space="preserve"> the historic financial performance</w:t>
      </w:r>
      <w:r w:rsidR="00DE678F" w:rsidRPr="00A553B9">
        <w:rPr>
          <w:rFonts w:cs="Arial"/>
          <w:szCs w:val="24"/>
        </w:rPr>
        <w:t>,</w:t>
      </w:r>
      <w:r w:rsidRPr="00A553B9">
        <w:rPr>
          <w:rFonts w:cs="Arial"/>
          <w:szCs w:val="24"/>
        </w:rPr>
        <w:t xml:space="preserve"> but to identify structural inefficiencies and be able to formulate a future-oriented financial plan that can ensure the competitive edge in a constantly changing global electric vehicle market. The car industry is in transition as it is facing a structural change due to decarbonisation requirements, technological disruption, and stiff competition in the global market. Companies like Mercedes-Benz Group and the new Chinese producers have essentially redefined the pricing patterns, cost base, as well as consumer demands. In their turn, Mercedes-Benz has embarked on the strategy of re-positioning towards electrification and high-end differentiation, a shift that will necessitate significant investments in capital and operational re-positioning (IEA, 2024).</w:t>
      </w:r>
    </w:p>
    <w:p w14:paraId="78C60D4B" w14:textId="0822352E" w:rsidR="005508B8" w:rsidRPr="00A553B9" w:rsidRDefault="0066195D" w:rsidP="0066195D">
      <w:pPr>
        <w:ind w:firstLine="720"/>
        <w:rPr>
          <w:rFonts w:cs="Arial"/>
          <w:szCs w:val="24"/>
        </w:rPr>
      </w:pPr>
      <w:r w:rsidRPr="00A553B9">
        <w:rPr>
          <w:rFonts w:cs="Arial"/>
          <w:szCs w:val="24"/>
        </w:rPr>
        <w:t>The approach of this report combines financial statement analysis with the ratio-bas</w:t>
      </w:r>
      <w:r w:rsidR="00333B23" w:rsidRPr="00A553B9">
        <w:rPr>
          <w:rFonts w:cs="Arial"/>
          <w:szCs w:val="24"/>
        </w:rPr>
        <w:t>ed</w:t>
      </w:r>
      <w:r w:rsidRPr="00A553B9">
        <w:rPr>
          <w:rFonts w:cs="Arial"/>
          <w:szCs w:val="24"/>
        </w:rPr>
        <w:t xml:space="preserve"> diagnostics, which makes it possible to assess profitability, liquidity, efficiency, leverage, and investment performance on a multidimensional basis. This is further analyzed with the working capital analysis, financial restructuring strategy analysis, and capital budgeting analysis with the help of the established methods such as Net Present Value, Internal </w:t>
      </w:r>
      <w:r w:rsidR="00333B23" w:rsidRPr="00A553B9">
        <w:rPr>
          <w:rFonts w:cs="Arial"/>
          <w:szCs w:val="24"/>
        </w:rPr>
        <w:t>R</w:t>
      </w:r>
      <w:r w:rsidRPr="00A553B9">
        <w:rPr>
          <w:rFonts w:cs="Arial"/>
          <w:szCs w:val="24"/>
        </w:rPr>
        <w:t xml:space="preserve">ate of </w:t>
      </w:r>
      <w:r w:rsidR="00333B23" w:rsidRPr="00A553B9">
        <w:rPr>
          <w:rFonts w:cs="Arial"/>
          <w:szCs w:val="24"/>
        </w:rPr>
        <w:t>R</w:t>
      </w:r>
      <w:r w:rsidRPr="00A553B9">
        <w:rPr>
          <w:rFonts w:cs="Arial"/>
          <w:szCs w:val="24"/>
        </w:rPr>
        <w:t>eturn, Payback Period</w:t>
      </w:r>
      <w:r w:rsidR="00333B23" w:rsidRPr="00A553B9">
        <w:rPr>
          <w:rFonts w:cs="Arial"/>
          <w:szCs w:val="24"/>
        </w:rPr>
        <w:t>,</w:t>
      </w:r>
      <w:r w:rsidRPr="00A553B9">
        <w:rPr>
          <w:rFonts w:cs="Arial"/>
          <w:szCs w:val="24"/>
        </w:rPr>
        <w:t xml:space="preserve"> and profitability index. The general aim is to come up with recommendations that are economically sound, strategically sound</w:t>
      </w:r>
      <w:r w:rsidR="00333B23" w:rsidRPr="00A553B9">
        <w:rPr>
          <w:rFonts w:cs="Arial"/>
          <w:szCs w:val="24"/>
        </w:rPr>
        <w:t>,</w:t>
      </w:r>
      <w:r w:rsidRPr="00A553B9">
        <w:rPr>
          <w:rFonts w:cs="Arial"/>
          <w:szCs w:val="24"/>
        </w:rPr>
        <w:t xml:space="preserve"> and geared towards maximising long-term shareholder value (Brealey </w:t>
      </w:r>
      <w:r w:rsidR="00C63FEC">
        <w:rPr>
          <w:rFonts w:cs="Arial"/>
          <w:i/>
          <w:iCs/>
          <w:szCs w:val="24"/>
        </w:rPr>
        <w:t>et al</w:t>
      </w:r>
      <w:r w:rsidRPr="00A553B9">
        <w:rPr>
          <w:rFonts w:cs="Arial"/>
          <w:szCs w:val="24"/>
        </w:rPr>
        <w:t>., 2020).</w:t>
      </w:r>
    </w:p>
    <w:p w14:paraId="049AB8A1" w14:textId="77777777" w:rsidR="0011431A" w:rsidRPr="00A553B9" w:rsidRDefault="0011431A" w:rsidP="0011431A">
      <w:pPr>
        <w:rPr>
          <w:rFonts w:cs="Arial"/>
          <w:szCs w:val="24"/>
        </w:rPr>
      </w:pPr>
    </w:p>
    <w:p w14:paraId="1A8A797F" w14:textId="77777777" w:rsidR="00333B23" w:rsidRPr="00A553B9" w:rsidRDefault="00333B23">
      <w:pPr>
        <w:spacing w:after="200" w:line="276" w:lineRule="auto"/>
        <w:rPr>
          <w:rFonts w:eastAsiaTheme="majorEastAsia" w:cs="Arial"/>
          <w:b/>
          <w:bCs/>
          <w:szCs w:val="24"/>
        </w:rPr>
      </w:pPr>
      <w:r w:rsidRPr="00A553B9">
        <w:rPr>
          <w:rFonts w:cs="Arial"/>
          <w:szCs w:val="24"/>
        </w:rPr>
        <w:br w:type="page"/>
      </w:r>
    </w:p>
    <w:p w14:paraId="60F8FB51" w14:textId="00716DB5" w:rsidR="005508B8" w:rsidRPr="00A553B9" w:rsidRDefault="006D4139" w:rsidP="009E21FB">
      <w:pPr>
        <w:pStyle w:val="Heading1"/>
        <w:jc w:val="center"/>
        <w:rPr>
          <w:rFonts w:ascii="Arial" w:hAnsi="Arial" w:cs="Arial"/>
          <w:color w:val="auto"/>
          <w:sz w:val="24"/>
          <w:szCs w:val="24"/>
        </w:rPr>
      </w:pPr>
      <w:bookmarkStart w:id="3" w:name="_Toc225717164"/>
      <w:r w:rsidRPr="00A553B9">
        <w:rPr>
          <w:rFonts w:ascii="Arial" w:hAnsi="Arial" w:cs="Arial"/>
          <w:color w:val="auto"/>
          <w:sz w:val="24"/>
          <w:szCs w:val="24"/>
        </w:rPr>
        <w:lastRenderedPageBreak/>
        <w:t>2. Financial Health Check</w:t>
      </w:r>
      <w:bookmarkEnd w:id="3"/>
    </w:p>
    <w:p w14:paraId="4ACE430B" w14:textId="77777777" w:rsidR="005508B8" w:rsidRPr="00A553B9" w:rsidRDefault="006D4139" w:rsidP="009E21FB">
      <w:pPr>
        <w:pStyle w:val="Heading2"/>
        <w:rPr>
          <w:rFonts w:ascii="Arial" w:hAnsi="Arial" w:cs="Arial"/>
          <w:color w:val="auto"/>
          <w:szCs w:val="24"/>
        </w:rPr>
      </w:pPr>
      <w:bookmarkStart w:id="4" w:name="_Toc225717165"/>
      <w:r w:rsidRPr="00A553B9">
        <w:rPr>
          <w:rFonts w:ascii="Arial" w:hAnsi="Arial" w:cs="Arial"/>
          <w:color w:val="auto"/>
          <w:szCs w:val="24"/>
        </w:rPr>
        <w:t>2.1 Overview of Financial Performance</w:t>
      </w:r>
      <w:bookmarkEnd w:id="4"/>
    </w:p>
    <w:p w14:paraId="24E1107D" w14:textId="138F1486" w:rsidR="008607FF" w:rsidRPr="00A553B9" w:rsidRDefault="008607FF" w:rsidP="008607FF">
      <w:pPr>
        <w:ind w:firstLine="720"/>
        <w:rPr>
          <w:rFonts w:cs="Arial"/>
          <w:szCs w:val="24"/>
        </w:rPr>
      </w:pPr>
      <w:r w:rsidRPr="00A553B9">
        <w:rPr>
          <w:rFonts w:cs="Arial"/>
          <w:szCs w:val="24"/>
        </w:rPr>
        <w:t xml:space="preserve">The financial performance of Mercedes-Benz Group AG will witness the shift </w:t>
      </w:r>
      <w:r w:rsidR="00333B23" w:rsidRPr="00A553B9">
        <w:rPr>
          <w:rFonts w:cs="Arial"/>
          <w:szCs w:val="24"/>
        </w:rPr>
        <w:t>from</w:t>
      </w:r>
      <w:r w:rsidRPr="00A553B9">
        <w:rPr>
          <w:rFonts w:cs="Arial"/>
          <w:szCs w:val="24"/>
        </w:rPr>
        <w:t xml:space="preserve"> the well-performing post-pandemic recovery to the compression of profits and strategic realignment between 2021 and 2025. Premium pricing, better product mix, and strong demand within luxury vehicle segments helped the company to increase revenue by 1.5 percent between 2021 and 2023, reaching a total of 153.2 billion. This growth was, however, not sustained, as the revenues dropped to 145.6 billion in 2024 and even more to 132.2 billion in 2025, d</w:t>
      </w:r>
      <w:r w:rsidR="00333B23" w:rsidRPr="00A553B9">
        <w:rPr>
          <w:rFonts w:cs="Arial"/>
          <w:szCs w:val="24"/>
        </w:rPr>
        <w:t>ue to</w:t>
      </w:r>
      <w:r w:rsidRPr="00A553B9">
        <w:rPr>
          <w:rFonts w:cs="Arial"/>
          <w:szCs w:val="24"/>
        </w:rPr>
        <w:t xml:space="preserve"> the normalisation of the demand and rising competitive pressure, especially in the segment of electric vehicles. This rotation is an indication of a </w:t>
      </w:r>
      <w:r w:rsidR="0005183D" w:rsidRPr="00A553B9">
        <w:rPr>
          <w:rFonts w:cs="Arial"/>
          <w:szCs w:val="24"/>
        </w:rPr>
        <w:t>transition</w:t>
      </w:r>
      <w:r w:rsidRPr="00A553B9">
        <w:rPr>
          <w:rFonts w:cs="Arial"/>
          <w:szCs w:val="24"/>
        </w:rPr>
        <w:t xml:space="preserve"> stage to </w:t>
      </w:r>
      <w:r w:rsidR="00B60C96" w:rsidRPr="00A553B9">
        <w:rPr>
          <w:rFonts w:cs="Arial"/>
          <w:szCs w:val="24"/>
        </w:rPr>
        <w:t xml:space="preserve">the </w:t>
      </w:r>
      <w:r w:rsidRPr="00A553B9">
        <w:rPr>
          <w:rFonts w:cs="Arial"/>
          <w:szCs w:val="24"/>
        </w:rPr>
        <w:t>margin-management stage</w:t>
      </w:r>
      <w:r w:rsidR="00B60C96" w:rsidRPr="00A553B9">
        <w:rPr>
          <w:rFonts w:cs="Arial"/>
          <w:szCs w:val="24"/>
        </w:rPr>
        <w:t>,</w:t>
      </w:r>
      <w:r w:rsidRPr="00A553B9">
        <w:rPr>
          <w:rFonts w:cs="Arial"/>
          <w:szCs w:val="24"/>
        </w:rPr>
        <w:t xml:space="preserve"> where financial performance is more about efficiency and cost- containment as opposed to volume expansion.</w:t>
      </w:r>
    </w:p>
    <w:p w14:paraId="2E9B6ED1" w14:textId="1E7BAC13" w:rsidR="008607FF" w:rsidRPr="00A553B9" w:rsidRDefault="008607FF" w:rsidP="008607FF">
      <w:pPr>
        <w:ind w:firstLine="720"/>
        <w:rPr>
          <w:rFonts w:cs="Arial"/>
          <w:szCs w:val="24"/>
        </w:rPr>
      </w:pPr>
      <w:r w:rsidRPr="00A553B9">
        <w:rPr>
          <w:rFonts w:cs="Arial"/>
          <w:szCs w:val="24"/>
        </w:rPr>
        <w:t xml:space="preserve">Although the company is moderately diversified in the business segments, the financial performance of the company is still heavily reliant on the automotive core of the business. </w:t>
      </w:r>
      <w:r w:rsidR="004F368A" w:rsidRPr="004F368A">
        <w:rPr>
          <w:rFonts w:cs="Arial"/>
          <w:szCs w:val="24"/>
        </w:rPr>
        <w:t>Patel (2021)</w:t>
      </w:r>
      <w:r w:rsidR="00672B49">
        <w:rPr>
          <w:rFonts w:cs="Arial"/>
          <w:szCs w:val="24"/>
        </w:rPr>
        <w:t xml:space="preserve"> observe</w:t>
      </w:r>
      <w:r w:rsidR="00305BEF">
        <w:rPr>
          <w:rFonts w:cs="Arial"/>
          <w:szCs w:val="24"/>
        </w:rPr>
        <w:t xml:space="preserve">s </w:t>
      </w:r>
      <w:r w:rsidRPr="00A553B9">
        <w:rPr>
          <w:rFonts w:cs="Arial"/>
          <w:szCs w:val="24"/>
        </w:rPr>
        <w:t>that the profitability directly depends on the price of vehicles, the efficiency of production, and the cost control, preventing the influence of additional sources of revenue on the financial performance in general.</w:t>
      </w:r>
    </w:p>
    <w:p w14:paraId="726712EA" w14:textId="3A4AFEF0" w:rsidR="008607FF" w:rsidRPr="00A553B9" w:rsidRDefault="008607FF" w:rsidP="008607FF">
      <w:pPr>
        <w:ind w:firstLine="720"/>
        <w:rPr>
          <w:rFonts w:cs="Arial"/>
          <w:szCs w:val="24"/>
        </w:rPr>
      </w:pPr>
      <w:r w:rsidRPr="00A553B9">
        <w:rPr>
          <w:rFonts w:cs="Arial"/>
          <w:szCs w:val="24"/>
        </w:rPr>
        <w:t xml:space="preserve">The decline in profitability over the period was immense. Gross profit decreased </w:t>
      </w:r>
      <w:r w:rsidR="00B60C96" w:rsidRPr="00A553B9">
        <w:rPr>
          <w:rFonts w:cs="Arial"/>
          <w:szCs w:val="24"/>
        </w:rPr>
        <w:t>from</w:t>
      </w:r>
      <w:r w:rsidRPr="00A553B9">
        <w:rPr>
          <w:rFonts w:cs="Arial"/>
          <w:szCs w:val="24"/>
        </w:rPr>
        <w:t xml:space="preserve"> 2022 to 2025</w:t>
      </w:r>
      <w:r w:rsidR="00B60C96" w:rsidRPr="00A553B9">
        <w:rPr>
          <w:rFonts w:cs="Arial"/>
          <w:szCs w:val="24"/>
        </w:rPr>
        <w:t>,</w:t>
      </w:r>
      <w:r w:rsidRPr="00A553B9">
        <w:rPr>
          <w:rFonts w:cs="Arial"/>
          <w:szCs w:val="24"/>
        </w:rPr>
        <w:t xml:space="preserve"> with a decline of 34.0 billion and 22.3 billion</w:t>
      </w:r>
      <w:r w:rsidR="00B60C96" w:rsidRPr="00A553B9">
        <w:rPr>
          <w:rFonts w:cs="Arial"/>
          <w:szCs w:val="24"/>
        </w:rPr>
        <w:t>,</w:t>
      </w:r>
      <w:r w:rsidRPr="00A553B9">
        <w:rPr>
          <w:rFonts w:cs="Arial"/>
          <w:szCs w:val="24"/>
        </w:rPr>
        <w:t xml:space="preserve"> respectively</w:t>
      </w:r>
      <w:r w:rsidR="00B60C96" w:rsidRPr="00A553B9">
        <w:rPr>
          <w:rFonts w:cs="Arial"/>
          <w:szCs w:val="24"/>
        </w:rPr>
        <w:t>. O</w:t>
      </w:r>
      <w:r w:rsidRPr="00A553B9">
        <w:rPr>
          <w:rFonts w:cs="Arial"/>
          <w:szCs w:val="24"/>
        </w:rPr>
        <w:t xml:space="preserve">perating income fell </w:t>
      </w:r>
      <w:r w:rsidR="00B60C96" w:rsidRPr="00A553B9">
        <w:rPr>
          <w:rFonts w:cs="Arial"/>
          <w:szCs w:val="24"/>
        </w:rPr>
        <w:t>by</w:t>
      </w:r>
      <w:r w:rsidRPr="00A553B9">
        <w:rPr>
          <w:rFonts w:cs="Arial"/>
          <w:szCs w:val="24"/>
        </w:rPr>
        <w:t xml:space="preserve"> 20.5 billion and 5.8 billion</w:t>
      </w:r>
      <w:r w:rsidR="00B60C96" w:rsidRPr="00A553B9">
        <w:rPr>
          <w:rFonts w:cs="Arial"/>
          <w:szCs w:val="24"/>
        </w:rPr>
        <w:t>,</w:t>
      </w:r>
      <w:r w:rsidRPr="00A553B9">
        <w:rPr>
          <w:rFonts w:cs="Arial"/>
          <w:szCs w:val="24"/>
        </w:rPr>
        <w:t xml:space="preserve"> respectively</w:t>
      </w:r>
      <w:r w:rsidR="00B60C96" w:rsidRPr="00A553B9">
        <w:rPr>
          <w:rFonts w:cs="Arial"/>
          <w:szCs w:val="24"/>
        </w:rPr>
        <w:t>,</w:t>
      </w:r>
      <w:r w:rsidRPr="00A553B9">
        <w:rPr>
          <w:rFonts w:cs="Arial"/>
          <w:szCs w:val="24"/>
        </w:rPr>
        <w:t xml:space="preserve"> and the net income fell with a decrease of 5.3 billion. This is an indication of an upward trend in production costs, investment in electrification</w:t>
      </w:r>
      <w:r w:rsidR="00B60C96" w:rsidRPr="00A553B9">
        <w:rPr>
          <w:rFonts w:cs="Arial"/>
          <w:szCs w:val="24"/>
        </w:rPr>
        <w:t>,</w:t>
      </w:r>
      <w:r w:rsidRPr="00A553B9">
        <w:rPr>
          <w:rFonts w:cs="Arial"/>
          <w:szCs w:val="24"/>
        </w:rPr>
        <w:t xml:space="preserve"> and pressure o</w:t>
      </w:r>
      <w:r w:rsidR="00B60C96" w:rsidRPr="00A553B9">
        <w:rPr>
          <w:rFonts w:cs="Arial"/>
          <w:szCs w:val="24"/>
        </w:rPr>
        <w:t>n</w:t>
      </w:r>
      <w:r w:rsidRPr="00A553B9">
        <w:rPr>
          <w:rFonts w:cs="Arial"/>
          <w:szCs w:val="24"/>
        </w:rPr>
        <w:t xml:space="preserve"> the margin by competition.</w:t>
      </w:r>
    </w:p>
    <w:p w14:paraId="0FF58E64" w14:textId="14991E98" w:rsidR="005508B8" w:rsidRPr="00A553B9" w:rsidRDefault="008607FF" w:rsidP="008607FF">
      <w:pPr>
        <w:ind w:firstLine="720"/>
        <w:rPr>
          <w:rFonts w:cs="Arial"/>
          <w:szCs w:val="24"/>
        </w:rPr>
      </w:pPr>
      <w:r w:rsidRPr="00A553B9">
        <w:rPr>
          <w:rFonts w:cs="Arial"/>
          <w:szCs w:val="24"/>
        </w:rPr>
        <w:t>The balance sheet is also strong</w:t>
      </w:r>
      <w:r w:rsidR="00B60C96" w:rsidRPr="00A553B9">
        <w:rPr>
          <w:rFonts w:cs="Arial"/>
          <w:szCs w:val="24"/>
        </w:rPr>
        <w:t>,</w:t>
      </w:r>
      <w:r w:rsidRPr="00A553B9">
        <w:rPr>
          <w:rFonts w:cs="Arial"/>
          <w:szCs w:val="24"/>
        </w:rPr>
        <w:t xml:space="preserve"> as the total equity grew to 94.2 billion compared to 73.2 billion</w:t>
      </w:r>
      <w:r w:rsidR="00B60C96" w:rsidRPr="00A553B9">
        <w:rPr>
          <w:rFonts w:cs="Arial"/>
          <w:szCs w:val="24"/>
        </w:rPr>
        <w:t>,</w:t>
      </w:r>
      <w:r w:rsidRPr="00A553B9">
        <w:rPr>
          <w:rFonts w:cs="Arial"/>
          <w:szCs w:val="24"/>
        </w:rPr>
        <w:t xml:space="preserve"> which shows that the company is well capitalised despite reduc</w:t>
      </w:r>
      <w:r w:rsidR="00B60C96" w:rsidRPr="00A553B9">
        <w:rPr>
          <w:rFonts w:cs="Arial"/>
          <w:szCs w:val="24"/>
        </w:rPr>
        <w:t>ed</w:t>
      </w:r>
      <w:r w:rsidRPr="00A553B9">
        <w:rPr>
          <w:rFonts w:cs="Arial"/>
          <w:szCs w:val="24"/>
        </w:rPr>
        <w:t xml:space="preserve"> returns. In general, the problem that is much more significant is not the financial stability but the decreasing efficiency of returns on invested capital</w:t>
      </w:r>
      <w:r w:rsidR="00BD233B" w:rsidRPr="00A553B9">
        <w:rPr>
          <w:rFonts w:cs="Arial"/>
          <w:szCs w:val="24"/>
        </w:rPr>
        <w:t>.</w:t>
      </w:r>
    </w:p>
    <w:p w14:paraId="1EAF03F8" w14:textId="77777777" w:rsidR="00A553B9" w:rsidRDefault="00AC547C" w:rsidP="00A553B9">
      <w:pPr>
        <w:keepNext/>
        <w:jc w:val="center"/>
      </w:pPr>
      <w:r w:rsidRPr="00A553B9">
        <w:rPr>
          <w:noProof/>
        </w:rPr>
        <w:lastRenderedPageBreak/>
        <w:drawing>
          <wp:inline distT="0" distB="0" distL="0" distR="0" wp14:anchorId="6545C9CB" wp14:editId="415B63C3">
            <wp:extent cx="4572000" cy="3095625"/>
            <wp:effectExtent l="0" t="0" r="0" b="9525"/>
            <wp:docPr id="1436062974" name="Chart 1">
              <a:extLst xmlns:a="http://schemas.openxmlformats.org/drawingml/2006/main">
                <a:ext uri="{FF2B5EF4-FFF2-40B4-BE49-F238E27FC236}">
                  <a16:creationId xmlns:a16="http://schemas.microsoft.com/office/drawing/2014/main" id="{6096FB0F-DAF9-D5D8-1233-056DEDDDD5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7A5B0C5" w14:textId="7AC242C8" w:rsidR="009C6BE9" w:rsidRDefault="00A553B9" w:rsidP="00A553B9">
      <w:pPr>
        <w:pStyle w:val="Caption"/>
        <w:jc w:val="center"/>
        <w:rPr>
          <w:i/>
          <w:iCs/>
          <w:color w:val="auto"/>
          <w:sz w:val="22"/>
          <w:szCs w:val="22"/>
        </w:rPr>
      </w:pPr>
      <w:bookmarkStart w:id="5" w:name="_Toc225717209"/>
      <w:r w:rsidRPr="00325EAE">
        <w:rPr>
          <w:i/>
          <w:iCs/>
          <w:color w:val="auto"/>
          <w:sz w:val="22"/>
          <w:szCs w:val="22"/>
        </w:rPr>
        <w:t xml:space="preserve">Figure </w:t>
      </w:r>
      <w:r w:rsidRPr="00325EAE">
        <w:rPr>
          <w:i/>
          <w:iCs/>
          <w:color w:val="auto"/>
          <w:sz w:val="22"/>
          <w:szCs w:val="22"/>
        </w:rPr>
        <w:fldChar w:fldCharType="begin"/>
      </w:r>
      <w:r w:rsidRPr="00325EAE">
        <w:rPr>
          <w:i/>
          <w:iCs/>
          <w:color w:val="auto"/>
          <w:sz w:val="22"/>
          <w:szCs w:val="22"/>
        </w:rPr>
        <w:instrText xml:space="preserve"> SEQ Figure \* ARABIC </w:instrText>
      </w:r>
      <w:r w:rsidRPr="00325EAE">
        <w:rPr>
          <w:i/>
          <w:iCs/>
          <w:color w:val="auto"/>
          <w:sz w:val="22"/>
          <w:szCs w:val="22"/>
        </w:rPr>
        <w:fldChar w:fldCharType="separate"/>
      </w:r>
      <w:r w:rsidR="00671256">
        <w:rPr>
          <w:i/>
          <w:iCs/>
          <w:noProof/>
          <w:color w:val="auto"/>
          <w:sz w:val="22"/>
          <w:szCs w:val="22"/>
        </w:rPr>
        <w:t>1</w:t>
      </w:r>
      <w:r w:rsidRPr="00325EAE">
        <w:rPr>
          <w:i/>
          <w:iCs/>
          <w:color w:val="auto"/>
          <w:sz w:val="22"/>
          <w:szCs w:val="22"/>
        </w:rPr>
        <w:fldChar w:fldCharType="end"/>
      </w:r>
      <w:r w:rsidRPr="00325EAE">
        <w:rPr>
          <w:i/>
          <w:iCs/>
          <w:color w:val="auto"/>
          <w:sz w:val="22"/>
          <w:szCs w:val="22"/>
        </w:rPr>
        <w:t>: Performance Overview</w:t>
      </w:r>
      <w:bookmarkEnd w:id="5"/>
    </w:p>
    <w:p w14:paraId="626FF59D" w14:textId="7C2E69D0" w:rsidR="0005183D" w:rsidRPr="0005183D" w:rsidRDefault="0005183D" w:rsidP="0005183D">
      <w:pPr>
        <w:jc w:val="center"/>
      </w:pPr>
      <w:r w:rsidRPr="0005183D">
        <w:rPr>
          <w:rFonts w:cs="Arial"/>
          <w:sz w:val="22"/>
        </w:rPr>
        <w:t>Source: Author’s Calculations from the dataset and Mercedes-Benz Group financial statements</w:t>
      </w:r>
    </w:p>
    <w:p w14:paraId="5A645397" w14:textId="77777777" w:rsidR="005508B8" w:rsidRPr="00A553B9" w:rsidRDefault="006D4139" w:rsidP="009E21FB">
      <w:pPr>
        <w:pStyle w:val="Heading2"/>
        <w:rPr>
          <w:rFonts w:ascii="Arial" w:hAnsi="Arial" w:cs="Arial"/>
          <w:color w:val="auto"/>
          <w:szCs w:val="24"/>
        </w:rPr>
      </w:pPr>
      <w:bookmarkStart w:id="6" w:name="_Toc225717166"/>
      <w:r w:rsidRPr="00A553B9">
        <w:rPr>
          <w:rFonts w:ascii="Arial" w:hAnsi="Arial" w:cs="Arial"/>
          <w:color w:val="auto"/>
          <w:szCs w:val="24"/>
        </w:rPr>
        <w:t>2.2 Ratio Analysis</w:t>
      </w:r>
      <w:bookmarkEnd w:id="6"/>
    </w:p>
    <w:p w14:paraId="55E7A9B6" w14:textId="77777777" w:rsidR="005508B8" w:rsidRDefault="006D4139" w:rsidP="009E21FB">
      <w:pPr>
        <w:pStyle w:val="Heading3"/>
        <w:rPr>
          <w:rFonts w:ascii="Arial" w:hAnsi="Arial" w:cs="Arial"/>
          <w:color w:val="auto"/>
          <w:szCs w:val="24"/>
        </w:rPr>
      </w:pPr>
      <w:bookmarkStart w:id="7" w:name="_Toc225717167"/>
      <w:r w:rsidRPr="00A553B9">
        <w:rPr>
          <w:rFonts w:ascii="Arial" w:hAnsi="Arial" w:cs="Arial"/>
          <w:color w:val="auto"/>
          <w:szCs w:val="24"/>
        </w:rPr>
        <w:t>Profitability Ratios</w:t>
      </w:r>
      <w:bookmarkEnd w:id="7"/>
    </w:p>
    <w:tbl>
      <w:tblPr>
        <w:tblStyle w:val="TableGrid"/>
        <w:tblW w:w="0" w:type="auto"/>
        <w:tblLook w:val="04A0" w:firstRow="1" w:lastRow="0" w:firstColumn="1" w:lastColumn="0" w:noHBand="0" w:noVBand="1"/>
      </w:tblPr>
      <w:tblGrid>
        <w:gridCol w:w="1189"/>
        <w:gridCol w:w="1371"/>
        <w:gridCol w:w="1394"/>
        <w:gridCol w:w="1394"/>
        <w:gridCol w:w="1394"/>
        <w:gridCol w:w="1394"/>
        <w:gridCol w:w="1394"/>
      </w:tblGrid>
      <w:tr w:rsidR="00CF08D4" w:rsidRPr="00CF08D4" w14:paraId="2F871EE4" w14:textId="77777777" w:rsidTr="00CF08D4">
        <w:tc>
          <w:tcPr>
            <w:tcW w:w="0" w:type="auto"/>
            <w:hideMark/>
          </w:tcPr>
          <w:p w14:paraId="17C42B98" w14:textId="77777777" w:rsidR="00CF08D4" w:rsidRPr="00CF08D4" w:rsidRDefault="00CF08D4" w:rsidP="00CF08D4">
            <w:pPr>
              <w:spacing w:after="0" w:line="240" w:lineRule="auto"/>
              <w:jc w:val="center"/>
              <w:rPr>
                <w:rFonts w:eastAsia="Times New Roman" w:cs="Arial"/>
                <w:b/>
                <w:bCs/>
                <w:sz w:val="20"/>
                <w:szCs w:val="20"/>
              </w:rPr>
            </w:pPr>
            <w:r w:rsidRPr="00CF08D4">
              <w:rPr>
                <w:rFonts w:eastAsia="Times New Roman" w:cs="Arial"/>
                <w:b/>
                <w:bCs/>
                <w:sz w:val="20"/>
                <w:szCs w:val="20"/>
              </w:rPr>
              <w:t>Ratio</w:t>
            </w:r>
          </w:p>
        </w:tc>
        <w:tc>
          <w:tcPr>
            <w:tcW w:w="0" w:type="auto"/>
            <w:hideMark/>
          </w:tcPr>
          <w:p w14:paraId="5BC92395" w14:textId="77777777" w:rsidR="00CF08D4" w:rsidRPr="00CF08D4" w:rsidRDefault="00CF08D4" w:rsidP="00CF08D4">
            <w:pPr>
              <w:spacing w:after="0" w:line="240" w:lineRule="auto"/>
              <w:jc w:val="center"/>
              <w:rPr>
                <w:rFonts w:eastAsia="Times New Roman" w:cs="Arial"/>
                <w:b/>
                <w:bCs/>
                <w:sz w:val="20"/>
                <w:szCs w:val="20"/>
              </w:rPr>
            </w:pPr>
            <w:r w:rsidRPr="00CF08D4">
              <w:rPr>
                <w:rFonts w:eastAsia="Times New Roman" w:cs="Arial"/>
                <w:b/>
                <w:bCs/>
                <w:sz w:val="20"/>
                <w:szCs w:val="20"/>
              </w:rPr>
              <w:t>Formula</w:t>
            </w:r>
          </w:p>
        </w:tc>
        <w:tc>
          <w:tcPr>
            <w:tcW w:w="0" w:type="auto"/>
            <w:hideMark/>
          </w:tcPr>
          <w:p w14:paraId="4E670244" w14:textId="77777777" w:rsidR="00CF08D4" w:rsidRPr="00CF08D4" w:rsidRDefault="00CF08D4" w:rsidP="00CF08D4">
            <w:pPr>
              <w:spacing w:after="0" w:line="240" w:lineRule="auto"/>
              <w:jc w:val="center"/>
              <w:rPr>
                <w:rFonts w:eastAsia="Times New Roman" w:cs="Arial"/>
                <w:b/>
                <w:bCs/>
                <w:sz w:val="20"/>
                <w:szCs w:val="20"/>
              </w:rPr>
            </w:pPr>
            <w:r w:rsidRPr="00CF08D4">
              <w:rPr>
                <w:rFonts w:eastAsia="Times New Roman" w:cs="Arial"/>
                <w:b/>
                <w:bCs/>
                <w:sz w:val="20"/>
                <w:szCs w:val="20"/>
              </w:rPr>
              <w:t>2021</w:t>
            </w:r>
          </w:p>
        </w:tc>
        <w:tc>
          <w:tcPr>
            <w:tcW w:w="0" w:type="auto"/>
            <w:hideMark/>
          </w:tcPr>
          <w:p w14:paraId="60CEBD33" w14:textId="77777777" w:rsidR="00CF08D4" w:rsidRPr="00CF08D4" w:rsidRDefault="00CF08D4" w:rsidP="00CF08D4">
            <w:pPr>
              <w:spacing w:after="0" w:line="240" w:lineRule="auto"/>
              <w:jc w:val="center"/>
              <w:rPr>
                <w:rFonts w:eastAsia="Times New Roman" w:cs="Arial"/>
                <w:b/>
                <w:bCs/>
                <w:sz w:val="20"/>
                <w:szCs w:val="20"/>
              </w:rPr>
            </w:pPr>
            <w:r w:rsidRPr="00CF08D4">
              <w:rPr>
                <w:rFonts w:eastAsia="Times New Roman" w:cs="Arial"/>
                <w:b/>
                <w:bCs/>
                <w:sz w:val="20"/>
                <w:szCs w:val="20"/>
              </w:rPr>
              <w:t>2022</w:t>
            </w:r>
          </w:p>
        </w:tc>
        <w:tc>
          <w:tcPr>
            <w:tcW w:w="0" w:type="auto"/>
            <w:hideMark/>
          </w:tcPr>
          <w:p w14:paraId="763D26D7" w14:textId="77777777" w:rsidR="00CF08D4" w:rsidRPr="00CF08D4" w:rsidRDefault="00CF08D4" w:rsidP="00CF08D4">
            <w:pPr>
              <w:spacing w:after="0" w:line="240" w:lineRule="auto"/>
              <w:jc w:val="center"/>
              <w:rPr>
                <w:rFonts w:eastAsia="Times New Roman" w:cs="Arial"/>
                <w:b/>
                <w:bCs/>
                <w:sz w:val="20"/>
                <w:szCs w:val="20"/>
              </w:rPr>
            </w:pPr>
            <w:r w:rsidRPr="00CF08D4">
              <w:rPr>
                <w:rFonts w:eastAsia="Times New Roman" w:cs="Arial"/>
                <w:b/>
                <w:bCs/>
                <w:sz w:val="20"/>
                <w:szCs w:val="20"/>
              </w:rPr>
              <w:t>2023</w:t>
            </w:r>
          </w:p>
        </w:tc>
        <w:tc>
          <w:tcPr>
            <w:tcW w:w="0" w:type="auto"/>
            <w:hideMark/>
          </w:tcPr>
          <w:p w14:paraId="2307F3BA" w14:textId="77777777" w:rsidR="00CF08D4" w:rsidRPr="00CF08D4" w:rsidRDefault="00CF08D4" w:rsidP="00CF08D4">
            <w:pPr>
              <w:spacing w:after="0" w:line="240" w:lineRule="auto"/>
              <w:jc w:val="center"/>
              <w:rPr>
                <w:rFonts w:eastAsia="Times New Roman" w:cs="Arial"/>
                <w:b/>
                <w:bCs/>
                <w:sz w:val="20"/>
                <w:szCs w:val="20"/>
              </w:rPr>
            </w:pPr>
            <w:r w:rsidRPr="00CF08D4">
              <w:rPr>
                <w:rFonts w:eastAsia="Times New Roman" w:cs="Arial"/>
                <w:b/>
                <w:bCs/>
                <w:sz w:val="20"/>
                <w:szCs w:val="20"/>
              </w:rPr>
              <w:t>2024</w:t>
            </w:r>
          </w:p>
        </w:tc>
        <w:tc>
          <w:tcPr>
            <w:tcW w:w="0" w:type="auto"/>
            <w:hideMark/>
          </w:tcPr>
          <w:p w14:paraId="031DF686" w14:textId="77777777" w:rsidR="00CF08D4" w:rsidRPr="00CF08D4" w:rsidRDefault="00CF08D4" w:rsidP="00CF08D4">
            <w:pPr>
              <w:spacing w:after="0" w:line="240" w:lineRule="auto"/>
              <w:jc w:val="center"/>
              <w:rPr>
                <w:rFonts w:eastAsia="Times New Roman" w:cs="Arial"/>
                <w:b/>
                <w:bCs/>
                <w:sz w:val="20"/>
                <w:szCs w:val="20"/>
              </w:rPr>
            </w:pPr>
            <w:r w:rsidRPr="00CF08D4">
              <w:rPr>
                <w:rFonts w:eastAsia="Times New Roman" w:cs="Arial"/>
                <w:b/>
                <w:bCs/>
                <w:sz w:val="20"/>
                <w:szCs w:val="20"/>
              </w:rPr>
              <w:t>2025</w:t>
            </w:r>
          </w:p>
        </w:tc>
      </w:tr>
      <w:tr w:rsidR="00CF08D4" w:rsidRPr="00CF08D4" w14:paraId="23D1C3EC" w14:textId="77777777" w:rsidTr="00CF08D4">
        <w:tc>
          <w:tcPr>
            <w:tcW w:w="0" w:type="auto"/>
            <w:hideMark/>
          </w:tcPr>
          <w:p w14:paraId="6DB8CABF"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b/>
                <w:bCs/>
                <w:sz w:val="20"/>
                <w:szCs w:val="20"/>
              </w:rPr>
              <w:t>Gross Profit Margin</w:t>
            </w:r>
          </w:p>
        </w:tc>
        <w:tc>
          <w:tcPr>
            <w:tcW w:w="0" w:type="auto"/>
            <w:hideMark/>
          </w:tcPr>
          <w:p w14:paraId="654701E3"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Gross Profit ÷ Revenue</w:t>
            </w:r>
          </w:p>
        </w:tc>
        <w:tc>
          <w:tcPr>
            <w:tcW w:w="0" w:type="auto"/>
            <w:hideMark/>
          </w:tcPr>
          <w:p w14:paraId="70204F15"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30,675 ÷ 133,893 = </w:t>
            </w:r>
            <w:r w:rsidRPr="00CF08D4">
              <w:rPr>
                <w:rFonts w:eastAsia="Times New Roman" w:cs="Arial"/>
                <w:b/>
                <w:bCs/>
                <w:sz w:val="20"/>
                <w:szCs w:val="20"/>
              </w:rPr>
              <w:t>22.91%</w:t>
            </w:r>
          </w:p>
        </w:tc>
        <w:tc>
          <w:tcPr>
            <w:tcW w:w="0" w:type="auto"/>
            <w:hideMark/>
          </w:tcPr>
          <w:p w14:paraId="2286CEDE"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34,020 ÷ 150,017 = </w:t>
            </w:r>
            <w:r w:rsidRPr="00CF08D4">
              <w:rPr>
                <w:rFonts w:eastAsia="Times New Roman" w:cs="Arial"/>
                <w:b/>
                <w:bCs/>
                <w:sz w:val="20"/>
                <w:szCs w:val="20"/>
              </w:rPr>
              <w:t>22.68%</w:t>
            </w:r>
          </w:p>
        </w:tc>
        <w:tc>
          <w:tcPr>
            <w:tcW w:w="0" w:type="auto"/>
            <w:hideMark/>
          </w:tcPr>
          <w:p w14:paraId="28BAE667"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34,379 ÷ 153,218 = </w:t>
            </w:r>
            <w:r w:rsidRPr="00CF08D4">
              <w:rPr>
                <w:rFonts w:eastAsia="Times New Roman" w:cs="Arial"/>
                <w:b/>
                <w:bCs/>
                <w:sz w:val="20"/>
                <w:szCs w:val="20"/>
              </w:rPr>
              <w:t>22.44%</w:t>
            </w:r>
          </w:p>
        </w:tc>
        <w:tc>
          <w:tcPr>
            <w:tcW w:w="0" w:type="auto"/>
            <w:hideMark/>
          </w:tcPr>
          <w:p w14:paraId="2525C966"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28,576 ÷ 145,594 = </w:t>
            </w:r>
            <w:r w:rsidRPr="00CF08D4">
              <w:rPr>
                <w:rFonts w:eastAsia="Times New Roman" w:cs="Arial"/>
                <w:b/>
                <w:bCs/>
                <w:sz w:val="20"/>
                <w:szCs w:val="20"/>
              </w:rPr>
              <w:t>19.63%</w:t>
            </w:r>
          </w:p>
        </w:tc>
        <w:tc>
          <w:tcPr>
            <w:tcW w:w="0" w:type="auto"/>
            <w:hideMark/>
          </w:tcPr>
          <w:p w14:paraId="35AC0893"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22,333 ÷ 132,214 = </w:t>
            </w:r>
            <w:r w:rsidRPr="00CF08D4">
              <w:rPr>
                <w:rFonts w:eastAsia="Times New Roman" w:cs="Arial"/>
                <w:b/>
                <w:bCs/>
                <w:sz w:val="20"/>
                <w:szCs w:val="20"/>
              </w:rPr>
              <w:t>16.89%</w:t>
            </w:r>
          </w:p>
        </w:tc>
      </w:tr>
      <w:tr w:rsidR="00CF08D4" w:rsidRPr="00CF08D4" w14:paraId="2D90E8D9" w14:textId="77777777" w:rsidTr="00CF08D4">
        <w:tc>
          <w:tcPr>
            <w:tcW w:w="0" w:type="auto"/>
            <w:hideMark/>
          </w:tcPr>
          <w:p w14:paraId="41560A61"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b/>
                <w:bCs/>
                <w:sz w:val="20"/>
                <w:szCs w:val="20"/>
              </w:rPr>
              <w:t>Net Profit Margin</w:t>
            </w:r>
          </w:p>
        </w:tc>
        <w:tc>
          <w:tcPr>
            <w:tcW w:w="0" w:type="auto"/>
            <w:hideMark/>
          </w:tcPr>
          <w:p w14:paraId="1CD8F652"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Net Profit ÷ Revenue</w:t>
            </w:r>
          </w:p>
        </w:tc>
        <w:tc>
          <w:tcPr>
            <w:tcW w:w="0" w:type="auto"/>
            <w:hideMark/>
          </w:tcPr>
          <w:p w14:paraId="4A6E5B6A"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23,396 ÷ 133,893 = </w:t>
            </w:r>
            <w:r w:rsidRPr="00CF08D4">
              <w:rPr>
                <w:rFonts w:eastAsia="Times New Roman" w:cs="Arial"/>
                <w:b/>
                <w:bCs/>
                <w:sz w:val="20"/>
                <w:szCs w:val="20"/>
              </w:rPr>
              <w:t>17.47%</w:t>
            </w:r>
          </w:p>
        </w:tc>
        <w:tc>
          <w:tcPr>
            <w:tcW w:w="0" w:type="auto"/>
            <w:hideMark/>
          </w:tcPr>
          <w:p w14:paraId="06B5D11F"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14,809 ÷ 150,017 = </w:t>
            </w:r>
            <w:r w:rsidRPr="00CF08D4">
              <w:rPr>
                <w:rFonts w:eastAsia="Times New Roman" w:cs="Arial"/>
                <w:b/>
                <w:bCs/>
                <w:sz w:val="20"/>
                <w:szCs w:val="20"/>
              </w:rPr>
              <w:t>9.87%</w:t>
            </w:r>
          </w:p>
        </w:tc>
        <w:tc>
          <w:tcPr>
            <w:tcW w:w="0" w:type="auto"/>
            <w:hideMark/>
          </w:tcPr>
          <w:p w14:paraId="08243D0D"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14,531 ÷ 153,218 = </w:t>
            </w:r>
            <w:r w:rsidRPr="00CF08D4">
              <w:rPr>
                <w:rFonts w:eastAsia="Times New Roman" w:cs="Arial"/>
                <w:b/>
                <w:bCs/>
                <w:sz w:val="20"/>
                <w:szCs w:val="20"/>
              </w:rPr>
              <w:t>9.48%</w:t>
            </w:r>
          </w:p>
        </w:tc>
        <w:tc>
          <w:tcPr>
            <w:tcW w:w="0" w:type="auto"/>
            <w:hideMark/>
          </w:tcPr>
          <w:p w14:paraId="7146C455"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10,409 ÷ 145,594 = </w:t>
            </w:r>
            <w:r w:rsidRPr="00CF08D4">
              <w:rPr>
                <w:rFonts w:eastAsia="Times New Roman" w:cs="Arial"/>
                <w:b/>
                <w:bCs/>
                <w:sz w:val="20"/>
                <w:szCs w:val="20"/>
              </w:rPr>
              <w:t>7.15%</w:t>
            </w:r>
          </w:p>
        </w:tc>
        <w:tc>
          <w:tcPr>
            <w:tcW w:w="0" w:type="auto"/>
            <w:hideMark/>
          </w:tcPr>
          <w:p w14:paraId="42E6DBF4"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5,331 ÷ 132,214 = </w:t>
            </w:r>
            <w:r w:rsidRPr="00CF08D4">
              <w:rPr>
                <w:rFonts w:eastAsia="Times New Roman" w:cs="Arial"/>
                <w:b/>
                <w:bCs/>
                <w:sz w:val="20"/>
                <w:szCs w:val="20"/>
              </w:rPr>
              <w:t>4.03%</w:t>
            </w:r>
          </w:p>
        </w:tc>
      </w:tr>
      <w:tr w:rsidR="00CF08D4" w:rsidRPr="00CF08D4" w14:paraId="68EB2BA9" w14:textId="77777777" w:rsidTr="00CF08D4">
        <w:tc>
          <w:tcPr>
            <w:tcW w:w="0" w:type="auto"/>
            <w:hideMark/>
          </w:tcPr>
          <w:p w14:paraId="2B419211"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b/>
                <w:bCs/>
                <w:sz w:val="20"/>
                <w:szCs w:val="20"/>
              </w:rPr>
              <w:t>ROA</w:t>
            </w:r>
          </w:p>
        </w:tc>
        <w:tc>
          <w:tcPr>
            <w:tcW w:w="0" w:type="auto"/>
            <w:hideMark/>
          </w:tcPr>
          <w:p w14:paraId="0D8D69B9"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Net Profit ÷ Total Assets</w:t>
            </w:r>
          </w:p>
        </w:tc>
        <w:tc>
          <w:tcPr>
            <w:tcW w:w="0" w:type="auto"/>
            <w:hideMark/>
          </w:tcPr>
          <w:p w14:paraId="051DA5FE"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23,396 ÷ 259,831 = </w:t>
            </w:r>
            <w:r w:rsidRPr="00CF08D4">
              <w:rPr>
                <w:rFonts w:eastAsia="Times New Roman" w:cs="Arial"/>
                <w:b/>
                <w:bCs/>
                <w:sz w:val="20"/>
                <w:szCs w:val="20"/>
              </w:rPr>
              <w:t>9.00%</w:t>
            </w:r>
          </w:p>
        </w:tc>
        <w:tc>
          <w:tcPr>
            <w:tcW w:w="0" w:type="auto"/>
            <w:hideMark/>
          </w:tcPr>
          <w:p w14:paraId="5D75B533"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14,809 ÷ 260,015 = </w:t>
            </w:r>
            <w:r w:rsidRPr="00CF08D4">
              <w:rPr>
                <w:rFonts w:eastAsia="Times New Roman" w:cs="Arial"/>
                <w:b/>
                <w:bCs/>
                <w:sz w:val="20"/>
                <w:szCs w:val="20"/>
              </w:rPr>
              <w:t>5.70%</w:t>
            </w:r>
          </w:p>
        </w:tc>
        <w:tc>
          <w:tcPr>
            <w:tcW w:w="0" w:type="auto"/>
            <w:hideMark/>
          </w:tcPr>
          <w:p w14:paraId="07B53AA6"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14,531 ÷ 263,022 = </w:t>
            </w:r>
            <w:r w:rsidRPr="00CF08D4">
              <w:rPr>
                <w:rFonts w:eastAsia="Times New Roman" w:cs="Arial"/>
                <w:b/>
                <w:bCs/>
                <w:sz w:val="20"/>
                <w:szCs w:val="20"/>
              </w:rPr>
              <w:t>5.52%</w:t>
            </w:r>
          </w:p>
        </w:tc>
        <w:tc>
          <w:tcPr>
            <w:tcW w:w="0" w:type="auto"/>
            <w:hideMark/>
          </w:tcPr>
          <w:p w14:paraId="4E97B2F8"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10,409 ÷ 265,010 = </w:t>
            </w:r>
            <w:r w:rsidRPr="00CF08D4">
              <w:rPr>
                <w:rFonts w:eastAsia="Times New Roman" w:cs="Arial"/>
                <w:b/>
                <w:bCs/>
                <w:sz w:val="20"/>
                <w:szCs w:val="20"/>
              </w:rPr>
              <w:t>3.93%</w:t>
            </w:r>
          </w:p>
        </w:tc>
        <w:tc>
          <w:tcPr>
            <w:tcW w:w="0" w:type="auto"/>
            <w:hideMark/>
          </w:tcPr>
          <w:p w14:paraId="2CB9A491"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5,331 ÷ 255,466 = </w:t>
            </w:r>
            <w:r w:rsidRPr="00CF08D4">
              <w:rPr>
                <w:rFonts w:eastAsia="Times New Roman" w:cs="Arial"/>
                <w:b/>
                <w:bCs/>
                <w:sz w:val="20"/>
                <w:szCs w:val="20"/>
              </w:rPr>
              <w:t>2.09%</w:t>
            </w:r>
          </w:p>
        </w:tc>
      </w:tr>
      <w:tr w:rsidR="00CF08D4" w:rsidRPr="00CF08D4" w14:paraId="654052F2" w14:textId="77777777" w:rsidTr="00CF08D4">
        <w:tc>
          <w:tcPr>
            <w:tcW w:w="0" w:type="auto"/>
            <w:hideMark/>
          </w:tcPr>
          <w:p w14:paraId="20F6DC32"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b/>
                <w:bCs/>
                <w:sz w:val="20"/>
                <w:szCs w:val="20"/>
              </w:rPr>
              <w:t>ROE</w:t>
            </w:r>
          </w:p>
        </w:tc>
        <w:tc>
          <w:tcPr>
            <w:tcW w:w="0" w:type="auto"/>
            <w:hideMark/>
          </w:tcPr>
          <w:p w14:paraId="396A2FEC"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Net Profit ÷ Total Equity</w:t>
            </w:r>
          </w:p>
        </w:tc>
        <w:tc>
          <w:tcPr>
            <w:tcW w:w="0" w:type="auto"/>
            <w:hideMark/>
          </w:tcPr>
          <w:p w14:paraId="39BD4EB2"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23,396 ÷ 73,167 = </w:t>
            </w:r>
            <w:r w:rsidRPr="00CF08D4">
              <w:rPr>
                <w:rFonts w:eastAsia="Times New Roman" w:cs="Arial"/>
                <w:b/>
                <w:bCs/>
                <w:sz w:val="20"/>
                <w:szCs w:val="20"/>
              </w:rPr>
              <w:t>31.98%</w:t>
            </w:r>
          </w:p>
        </w:tc>
        <w:tc>
          <w:tcPr>
            <w:tcW w:w="0" w:type="auto"/>
            <w:hideMark/>
          </w:tcPr>
          <w:p w14:paraId="2E80D3F6"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14,809 ÷ 86,540 = </w:t>
            </w:r>
            <w:r w:rsidRPr="00CF08D4">
              <w:rPr>
                <w:rFonts w:eastAsia="Times New Roman" w:cs="Arial"/>
                <w:b/>
                <w:bCs/>
                <w:sz w:val="20"/>
                <w:szCs w:val="20"/>
              </w:rPr>
              <w:t>17.11%</w:t>
            </w:r>
          </w:p>
        </w:tc>
        <w:tc>
          <w:tcPr>
            <w:tcW w:w="0" w:type="auto"/>
            <w:hideMark/>
          </w:tcPr>
          <w:p w14:paraId="1F506148"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14,531 ÷ 92,816 = </w:t>
            </w:r>
            <w:r w:rsidRPr="00CF08D4">
              <w:rPr>
                <w:rFonts w:eastAsia="Times New Roman" w:cs="Arial"/>
                <w:b/>
                <w:bCs/>
                <w:sz w:val="20"/>
                <w:szCs w:val="20"/>
              </w:rPr>
              <w:t>15.66%</w:t>
            </w:r>
          </w:p>
        </w:tc>
        <w:tc>
          <w:tcPr>
            <w:tcW w:w="0" w:type="auto"/>
            <w:hideMark/>
          </w:tcPr>
          <w:p w14:paraId="69B0C39F"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10,409 ÷ 93,630 = </w:t>
            </w:r>
            <w:r w:rsidRPr="00CF08D4">
              <w:rPr>
                <w:rFonts w:eastAsia="Times New Roman" w:cs="Arial"/>
                <w:b/>
                <w:bCs/>
                <w:sz w:val="20"/>
                <w:szCs w:val="20"/>
              </w:rPr>
              <w:t>11.12%</w:t>
            </w:r>
          </w:p>
        </w:tc>
        <w:tc>
          <w:tcPr>
            <w:tcW w:w="0" w:type="auto"/>
            <w:hideMark/>
          </w:tcPr>
          <w:p w14:paraId="3D4D9B01" w14:textId="77777777" w:rsidR="00CF08D4" w:rsidRPr="00CF08D4" w:rsidRDefault="00CF08D4" w:rsidP="00CF08D4">
            <w:pPr>
              <w:spacing w:after="0" w:line="240" w:lineRule="auto"/>
              <w:rPr>
                <w:rFonts w:eastAsia="Times New Roman" w:cs="Arial"/>
                <w:sz w:val="20"/>
                <w:szCs w:val="20"/>
              </w:rPr>
            </w:pPr>
            <w:r w:rsidRPr="00CF08D4">
              <w:rPr>
                <w:rFonts w:eastAsia="Times New Roman" w:cs="Arial"/>
                <w:sz w:val="20"/>
                <w:szCs w:val="20"/>
              </w:rPr>
              <w:t xml:space="preserve">5,331 ÷ 94,240 = </w:t>
            </w:r>
            <w:r w:rsidRPr="00CF08D4">
              <w:rPr>
                <w:rFonts w:eastAsia="Times New Roman" w:cs="Arial"/>
                <w:b/>
                <w:bCs/>
                <w:sz w:val="20"/>
                <w:szCs w:val="20"/>
              </w:rPr>
              <w:t>5.66%</w:t>
            </w:r>
          </w:p>
        </w:tc>
      </w:tr>
    </w:tbl>
    <w:p w14:paraId="517C51FC" w14:textId="77777777" w:rsidR="00CF08D4" w:rsidRPr="00CF08D4" w:rsidRDefault="00CF08D4" w:rsidP="00CF08D4"/>
    <w:p w14:paraId="004F2DF0" w14:textId="036FC7C0" w:rsidR="005508B8" w:rsidRPr="00A553B9" w:rsidRDefault="009F7806" w:rsidP="009E21FB">
      <w:pPr>
        <w:ind w:firstLine="720"/>
        <w:rPr>
          <w:rFonts w:cs="Arial"/>
          <w:szCs w:val="24"/>
        </w:rPr>
      </w:pPr>
      <w:r w:rsidRPr="00A553B9">
        <w:rPr>
          <w:rFonts w:cs="Arial"/>
          <w:szCs w:val="24"/>
        </w:rPr>
        <w:t>Mercedes-Benz Group AG</w:t>
      </w:r>
      <w:r w:rsidR="00AB3704">
        <w:rPr>
          <w:rFonts w:cs="Arial"/>
          <w:szCs w:val="24"/>
        </w:rPr>
        <w:t>’s</w:t>
      </w:r>
      <w:r w:rsidR="00B475A7">
        <w:rPr>
          <w:rFonts w:cs="Arial"/>
          <w:szCs w:val="24"/>
        </w:rPr>
        <w:t xml:space="preserve"> profitability ratios </w:t>
      </w:r>
      <w:r w:rsidR="00544821">
        <w:rPr>
          <w:rFonts w:cs="Arial"/>
          <w:szCs w:val="24"/>
        </w:rPr>
        <w:t>show</w:t>
      </w:r>
      <w:r w:rsidR="00B475A7">
        <w:rPr>
          <w:rFonts w:cs="Arial"/>
          <w:szCs w:val="24"/>
        </w:rPr>
        <w:t xml:space="preserve"> </w:t>
      </w:r>
      <w:r w:rsidR="00705C26">
        <w:rPr>
          <w:rFonts w:cs="Arial"/>
          <w:szCs w:val="24"/>
        </w:rPr>
        <w:t xml:space="preserve">a </w:t>
      </w:r>
      <w:r w:rsidRPr="00A553B9">
        <w:rPr>
          <w:rFonts w:cs="Arial"/>
          <w:szCs w:val="24"/>
        </w:rPr>
        <w:t>deteriorati</w:t>
      </w:r>
      <w:r w:rsidR="00AB3704">
        <w:rPr>
          <w:rFonts w:cs="Arial"/>
          <w:szCs w:val="24"/>
        </w:rPr>
        <w:t>ng trend</w:t>
      </w:r>
      <w:r w:rsidRPr="00A553B9">
        <w:rPr>
          <w:rFonts w:cs="Arial"/>
          <w:szCs w:val="24"/>
        </w:rPr>
        <w:t xml:space="preserve"> </w:t>
      </w:r>
      <w:r w:rsidR="00FB153D">
        <w:rPr>
          <w:rFonts w:cs="Arial"/>
          <w:szCs w:val="24"/>
        </w:rPr>
        <w:t xml:space="preserve">that </w:t>
      </w:r>
      <w:r w:rsidRPr="00A553B9">
        <w:rPr>
          <w:rFonts w:cs="Arial"/>
          <w:szCs w:val="24"/>
        </w:rPr>
        <w:t>is evident and continued in the course of 2021</w:t>
      </w:r>
      <w:r w:rsidR="00FB153D">
        <w:rPr>
          <w:rFonts w:cs="Arial"/>
          <w:szCs w:val="24"/>
        </w:rPr>
        <w:t xml:space="preserve"> to </w:t>
      </w:r>
      <w:r w:rsidRPr="00A553B9">
        <w:rPr>
          <w:rFonts w:cs="Arial"/>
          <w:szCs w:val="24"/>
        </w:rPr>
        <w:t>2025, which</w:t>
      </w:r>
      <w:r w:rsidR="00705C26">
        <w:rPr>
          <w:rFonts w:cs="Arial"/>
          <w:szCs w:val="24"/>
        </w:rPr>
        <w:t>,</w:t>
      </w:r>
      <w:r w:rsidRPr="00A553B9">
        <w:rPr>
          <w:rFonts w:cs="Arial"/>
          <w:szCs w:val="24"/>
        </w:rPr>
        <w:t xml:space="preserve"> </w:t>
      </w:r>
      <w:r w:rsidR="006D7B84">
        <w:rPr>
          <w:rFonts w:cs="Arial"/>
          <w:szCs w:val="24"/>
        </w:rPr>
        <w:t xml:space="preserve">according to </w:t>
      </w:r>
      <w:r w:rsidR="006D7B84" w:rsidRPr="006D7B84">
        <w:rPr>
          <w:rFonts w:cs="Arial"/>
          <w:szCs w:val="24"/>
        </w:rPr>
        <w:t>Mejorado and Roman</w:t>
      </w:r>
      <w:r w:rsidR="006D7B84">
        <w:rPr>
          <w:rFonts w:cs="Arial"/>
          <w:szCs w:val="24"/>
        </w:rPr>
        <w:t xml:space="preserve"> (</w:t>
      </w:r>
      <w:r w:rsidR="006D7B84" w:rsidRPr="006D7B84">
        <w:rPr>
          <w:rFonts w:cs="Arial"/>
          <w:szCs w:val="24"/>
        </w:rPr>
        <w:t>2023</w:t>
      </w:r>
      <w:r w:rsidR="006D7B84">
        <w:rPr>
          <w:rFonts w:cs="Arial"/>
          <w:szCs w:val="24"/>
        </w:rPr>
        <w:t>)</w:t>
      </w:r>
      <w:r w:rsidR="00AB3704">
        <w:rPr>
          <w:rFonts w:cs="Arial"/>
          <w:szCs w:val="24"/>
        </w:rPr>
        <w:t xml:space="preserve">, </w:t>
      </w:r>
      <w:r w:rsidRPr="00A553B9">
        <w:rPr>
          <w:rFonts w:cs="Arial"/>
          <w:szCs w:val="24"/>
        </w:rPr>
        <w:t>indicates a structural decrease in the earnings quality and profit generation. The Gross profit margin went down by 22.91</w:t>
      </w:r>
      <w:r w:rsidR="00892BEA" w:rsidRPr="00A553B9">
        <w:rPr>
          <w:rFonts w:cs="Arial"/>
          <w:szCs w:val="24"/>
        </w:rPr>
        <w:t>%</w:t>
      </w:r>
      <w:r w:rsidRPr="00A553B9">
        <w:rPr>
          <w:rFonts w:cs="Arial"/>
          <w:szCs w:val="24"/>
        </w:rPr>
        <w:t xml:space="preserve"> in 2021 to 16.89</w:t>
      </w:r>
      <w:r w:rsidR="00892BEA" w:rsidRPr="00A553B9">
        <w:rPr>
          <w:rFonts w:cs="Arial"/>
          <w:szCs w:val="24"/>
        </w:rPr>
        <w:t>%</w:t>
      </w:r>
      <w:r w:rsidRPr="00A553B9">
        <w:rPr>
          <w:rFonts w:cs="Arial"/>
          <w:szCs w:val="24"/>
        </w:rPr>
        <w:t xml:space="preserve"> in 2025</w:t>
      </w:r>
      <w:r w:rsidR="00B60C96" w:rsidRPr="00A553B9">
        <w:rPr>
          <w:rFonts w:cs="Arial"/>
          <w:szCs w:val="24"/>
        </w:rPr>
        <w:t>,</w:t>
      </w:r>
      <w:r w:rsidRPr="00A553B9">
        <w:rPr>
          <w:rFonts w:cs="Arial"/>
          <w:szCs w:val="24"/>
        </w:rPr>
        <w:t xml:space="preserve"> and that of the net profit margin decreased significantly during the same period by 17.47</w:t>
      </w:r>
      <w:r w:rsidR="00892BEA" w:rsidRPr="00A553B9">
        <w:rPr>
          <w:rFonts w:cs="Arial"/>
          <w:szCs w:val="24"/>
        </w:rPr>
        <w:t>%</w:t>
      </w:r>
      <w:r w:rsidRPr="00A553B9">
        <w:rPr>
          <w:rFonts w:cs="Arial"/>
          <w:szCs w:val="24"/>
        </w:rPr>
        <w:t xml:space="preserve"> to 4.03</w:t>
      </w:r>
      <w:r w:rsidR="00892BEA" w:rsidRPr="00A553B9">
        <w:rPr>
          <w:rFonts w:cs="Arial"/>
          <w:szCs w:val="24"/>
        </w:rPr>
        <w:t>%</w:t>
      </w:r>
      <w:r w:rsidR="00B60C96" w:rsidRPr="00A553B9">
        <w:rPr>
          <w:rFonts w:cs="Arial"/>
          <w:szCs w:val="24"/>
        </w:rPr>
        <w:t>,</w:t>
      </w:r>
      <w:r w:rsidR="00892BEA" w:rsidRPr="00A553B9">
        <w:rPr>
          <w:rFonts w:cs="Arial"/>
          <w:szCs w:val="24"/>
        </w:rPr>
        <w:t xml:space="preserve"> </w:t>
      </w:r>
      <w:r w:rsidRPr="00A553B9">
        <w:rPr>
          <w:rFonts w:cs="Arial"/>
          <w:szCs w:val="24"/>
        </w:rPr>
        <w:t>respectively. On the same note, the return on assets dropped to 2.09%</w:t>
      </w:r>
      <w:r w:rsidR="00992CA4" w:rsidRPr="00A553B9">
        <w:rPr>
          <w:rFonts w:cs="Arial"/>
          <w:szCs w:val="24"/>
        </w:rPr>
        <w:t xml:space="preserve"> in 2025</w:t>
      </w:r>
      <w:r w:rsidRPr="00A553B9">
        <w:rPr>
          <w:rFonts w:cs="Arial"/>
          <w:szCs w:val="24"/>
        </w:rPr>
        <w:t xml:space="preserve"> as compared to 9.00</w:t>
      </w:r>
      <w:r w:rsidR="00623AE4" w:rsidRPr="00A553B9">
        <w:rPr>
          <w:rFonts w:cs="Arial"/>
          <w:szCs w:val="24"/>
        </w:rPr>
        <w:t>%</w:t>
      </w:r>
      <w:r w:rsidR="00992CA4" w:rsidRPr="00A553B9">
        <w:rPr>
          <w:rFonts w:cs="Arial"/>
          <w:szCs w:val="24"/>
        </w:rPr>
        <w:t xml:space="preserve"> in 2021</w:t>
      </w:r>
      <w:r w:rsidRPr="00A553B9">
        <w:rPr>
          <w:rFonts w:cs="Arial"/>
          <w:szCs w:val="24"/>
        </w:rPr>
        <w:t>, whereas the return on equity dropped to 5.66% as compared to 31.98%</w:t>
      </w:r>
      <w:r w:rsidR="00B60C96" w:rsidRPr="00A553B9">
        <w:rPr>
          <w:rFonts w:cs="Arial"/>
          <w:szCs w:val="24"/>
        </w:rPr>
        <w:t>,</w:t>
      </w:r>
      <w:r w:rsidR="004017A0" w:rsidRPr="00A553B9">
        <w:rPr>
          <w:rFonts w:cs="Arial"/>
          <w:szCs w:val="24"/>
        </w:rPr>
        <w:t xml:space="preserve"> respectively</w:t>
      </w:r>
      <w:r w:rsidRPr="00A553B9">
        <w:rPr>
          <w:rFonts w:cs="Arial"/>
          <w:szCs w:val="24"/>
        </w:rPr>
        <w:t>. The trend signifies that the company is achieving significantly low</w:t>
      </w:r>
      <w:r w:rsidR="00B60C96" w:rsidRPr="00A553B9">
        <w:rPr>
          <w:rFonts w:cs="Arial"/>
          <w:szCs w:val="24"/>
        </w:rPr>
        <w:t>er</w:t>
      </w:r>
      <w:r w:rsidRPr="00A553B9">
        <w:rPr>
          <w:rFonts w:cs="Arial"/>
          <w:szCs w:val="24"/>
        </w:rPr>
        <w:t xml:space="preserve"> returns on unit</w:t>
      </w:r>
      <w:r w:rsidR="00B60C96" w:rsidRPr="00A553B9">
        <w:rPr>
          <w:rFonts w:cs="Arial"/>
          <w:szCs w:val="24"/>
        </w:rPr>
        <w:t>s</w:t>
      </w:r>
      <w:r w:rsidRPr="00A553B9">
        <w:rPr>
          <w:rFonts w:cs="Arial"/>
          <w:szCs w:val="24"/>
        </w:rPr>
        <w:t xml:space="preserve"> of sale, assets, and equity than those that </w:t>
      </w:r>
      <w:r w:rsidRPr="00A553B9">
        <w:rPr>
          <w:rFonts w:cs="Arial"/>
          <w:szCs w:val="24"/>
        </w:rPr>
        <w:lastRenderedPageBreak/>
        <w:t xml:space="preserve">were attained in the previous years. The fall is characterized by compression of the margins due to the escalation of the production costs, </w:t>
      </w:r>
      <w:r w:rsidR="00B60C96" w:rsidRPr="00A553B9">
        <w:rPr>
          <w:rFonts w:cs="Arial"/>
          <w:szCs w:val="24"/>
        </w:rPr>
        <w:t>an increase</w:t>
      </w:r>
      <w:r w:rsidRPr="00A553B9">
        <w:rPr>
          <w:rFonts w:cs="Arial"/>
          <w:szCs w:val="24"/>
        </w:rPr>
        <w:t xml:space="preserve"> in the capital outlay on the electrification process</w:t>
      </w:r>
      <w:r w:rsidR="00B60C96" w:rsidRPr="00A553B9">
        <w:rPr>
          <w:rFonts w:cs="Arial"/>
          <w:szCs w:val="24"/>
        </w:rPr>
        <w:t>,</w:t>
      </w:r>
      <w:r w:rsidRPr="00A553B9">
        <w:rPr>
          <w:rFonts w:cs="Arial"/>
          <w:szCs w:val="24"/>
        </w:rPr>
        <w:t xml:space="preserve"> as well as the growth in the competition in the EV market</w:t>
      </w:r>
      <w:r w:rsidR="00162D76">
        <w:rPr>
          <w:rFonts w:cs="Arial"/>
          <w:szCs w:val="24"/>
        </w:rPr>
        <w:t xml:space="preserve"> </w:t>
      </w:r>
      <w:r w:rsidR="00162D76" w:rsidRPr="00162D76">
        <w:rPr>
          <w:rFonts w:cs="Arial"/>
          <w:szCs w:val="24"/>
        </w:rPr>
        <w:t>(Jones, Nguyen</w:t>
      </w:r>
      <w:r w:rsidR="00162D76" w:rsidRPr="00162D76">
        <w:rPr>
          <w:rFonts w:ascii="Cambria Math" w:hAnsi="Cambria Math" w:cs="Cambria Math"/>
          <w:szCs w:val="24"/>
        </w:rPr>
        <w:t>‐</w:t>
      </w:r>
      <w:r w:rsidR="00162D76" w:rsidRPr="00162D76">
        <w:rPr>
          <w:rFonts w:cs="Arial"/>
          <w:szCs w:val="24"/>
        </w:rPr>
        <w:t>Tien and Elliott, 2022)</w:t>
      </w:r>
      <w:r w:rsidRPr="00A553B9">
        <w:rPr>
          <w:rFonts w:cs="Arial"/>
          <w:szCs w:val="24"/>
        </w:rPr>
        <w:t>. It is fundamentally a change in strategy as a Chief Financial Officer</w:t>
      </w:r>
      <w:r w:rsidR="00B60C96" w:rsidRPr="00A553B9">
        <w:rPr>
          <w:rFonts w:cs="Arial"/>
          <w:szCs w:val="24"/>
        </w:rPr>
        <w:t>;</w:t>
      </w:r>
      <w:r w:rsidRPr="00A553B9">
        <w:rPr>
          <w:rFonts w:cs="Arial"/>
          <w:szCs w:val="24"/>
        </w:rPr>
        <w:t xml:space="preserve"> the strategic focus has shifted to return restoration</w:t>
      </w:r>
      <w:r w:rsidR="00B60C96" w:rsidRPr="00A553B9">
        <w:rPr>
          <w:rFonts w:cs="Arial"/>
          <w:szCs w:val="24"/>
        </w:rPr>
        <w:t>,</w:t>
      </w:r>
      <w:r w:rsidRPr="00A553B9">
        <w:rPr>
          <w:rFonts w:cs="Arial"/>
          <w:szCs w:val="24"/>
        </w:rPr>
        <w:t xml:space="preserve"> and the investments in the future have to be evaluated </w:t>
      </w:r>
      <w:r w:rsidR="00B60C96" w:rsidRPr="00A553B9">
        <w:rPr>
          <w:rFonts w:cs="Arial"/>
          <w:szCs w:val="24"/>
        </w:rPr>
        <w:t>based on</w:t>
      </w:r>
      <w:r w:rsidRPr="00A553B9">
        <w:rPr>
          <w:rFonts w:cs="Arial"/>
          <w:szCs w:val="24"/>
        </w:rPr>
        <w:t xml:space="preserve"> profitability and capital efficiency, and it is not just the volume expansion that should be considered crucial in this type of evaluation.</w:t>
      </w:r>
    </w:p>
    <w:p w14:paraId="04C6B3E6" w14:textId="77777777" w:rsidR="00007C1B" w:rsidRDefault="00F13F57" w:rsidP="00007C1B">
      <w:pPr>
        <w:keepNext/>
        <w:jc w:val="center"/>
      </w:pPr>
      <w:r w:rsidRPr="00A553B9">
        <w:rPr>
          <w:noProof/>
        </w:rPr>
        <w:drawing>
          <wp:inline distT="0" distB="0" distL="0" distR="0" wp14:anchorId="740547BD" wp14:editId="4CD1E004">
            <wp:extent cx="4019550" cy="1981200"/>
            <wp:effectExtent l="0" t="0" r="0" b="0"/>
            <wp:docPr id="1770830289" name="Chart 1">
              <a:extLst xmlns:a="http://schemas.openxmlformats.org/drawingml/2006/main">
                <a:ext uri="{FF2B5EF4-FFF2-40B4-BE49-F238E27FC236}">
                  <a16:creationId xmlns:a16="http://schemas.microsoft.com/office/drawing/2014/main" id="{8CDA1030-7BB4-E159-926E-DC35290687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8386777" w14:textId="14EF3EE3" w:rsidR="00AB0F1A" w:rsidRDefault="00007C1B" w:rsidP="00007C1B">
      <w:pPr>
        <w:pStyle w:val="Caption"/>
        <w:jc w:val="center"/>
        <w:rPr>
          <w:i/>
          <w:iCs/>
          <w:color w:val="auto"/>
          <w:sz w:val="22"/>
          <w:szCs w:val="22"/>
        </w:rPr>
      </w:pPr>
      <w:bookmarkStart w:id="8" w:name="_Toc225717210"/>
      <w:r w:rsidRPr="00545AB9">
        <w:rPr>
          <w:i/>
          <w:iCs/>
          <w:color w:val="auto"/>
          <w:sz w:val="22"/>
          <w:szCs w:val="22"/>
        </w:rPr>
        <w:t xml:space="preserve">Figure </w:t>
      </w:r>
      <w:r w:rsidRPr="00545AB9">
        <w:rPr>
          <w:i/>
          <w:iCs/>
          <w:color w:val="auto"/>
          <w:sz w:val="22"/>
          <w:szCs w:val="22"/>
        </w:rPr>
        <w:fldChar w:fldCharType="begin"/>
      </w:r>
      <w:r w:rsidRPr="00545AB9">
        <w:rPr>
          <w:i/>
          <w:iCs/>
          <w:color w:val="auto"/>
          <w:sz w:val="22"/>
          <w:szCs w:val="22"/>
        </w:rPr>
        <w:instrText xml:space="preserve"> SEQ Figure \* ARABIC </w:instrText>
      </w:r>
      <w:r w:rsidRPr="00545AB9">
        <w:rPr>
          <w:i/>
          <w:iCs/>
          <w:color w:val="auto"/>
          <w:sz w:val="22"/>
          <w:szCs w:val="22"/>
        </w:rPr>
        <w:fldChar w:fldCharType="separate"/>
      </w:r>
      <w:r w:rsidR="00671256">
        <w:rPr>
          <w:i/>
          <w:iCs/>
          <w:noProof/>
          <w:color w:val="auto"/>
          <w:sz w:val="22"/>
          <w:szCs w:val="22"/>
        </w:rPr>
        <w:t>2</w:t>
      </w:r>
      <w:r w:rsidRPr="00545AB9">
        <w:rPr>
          <w:i/>
          <w:iCs/>
          <w:color w:val="auto"/>
          <w:sz w:val="22"/>
          <w:szCs w:val="22"/>
        </w:rPr>
        <w:fldChar w:fldCharType="end"/>
      </w:r>
      <w:r w:rsidRPr="00545AB9">
        <w:rPr>
          <w:i/>
          <w:iCs/>
          <w:color w:val="auto"/>
          <w:sz w:val="22"/>
          <w:szCs w:val="22"/>
        </w:rPr>
        <w:t>: Profitability Ratios</w:t>
      </w:r>
      <w:bookmarkEnd w:id="8"/>
    </w:p>
    <w:p w14:paraId="50FF1860" w14:textId="6556F5D6" w:rsidR="006054C1" w:rsidRPr="0005183D" w:rsidRDefault="006054C1" w:rsidP="006054C1">
      <w:pPr>
        <w:jc w:val="center"/>
        <w:rPr>
          <w:sz w:val="22"/>
        </w:rPr>
      </w:pPr>
      <w:r w:rsidRPr="0005183D">
        <w:rPr>
          <w:rFonts w:cs="Arial"/>
          <w:sz w:val="22"/>
        </w:rPr>
        <w:t>Source: Author’s Calculations from the dataset and Mercedes-Benz Group financial statements</w:t>
      </w:r>
    </w:p>
    <w:p w14:paraId="78A1F9C5" w14:textId="77777777" w:rsidR="005508B8" w:rsidRDefault="006D4139" w:rsidP="009E21FB">
      <w:pPr>
        <w:pStyle w:val="Heading3"/>
        <w:rPr>
          <w:rFonts w:ascii="Arial" w:hAnsi="Arial" w:cs="Arial"/>
          <w:color w:val="auto"/>
          <w:szCs w:val="24"/>
        </w:rPr>
      </w:pPr>
      <w:bookmarkStart w:id="9" w:name="_Toc225717168"/>
      <w:r w:rsidRPr="00A553B9">
        <w:rPr>
          <w:rFonts w:ascii="Arial" w:hAnsi="Arial" w:cs="Arial"/>
          <w:color w:val="auto"/>
          <w:szCs w:val="24"/>
        </w:rPr>
        <w:t>Liquidity Ratios</w:t>
      </w:r>
      <w:bookmarkEnd w:id="9"/>
    </w:p>
    <w:tbl>
      <w:tblPr>
        <w:tblStyle w:val="TableGrid"/>
        <w:tblW w:w="0" w:type="auto"/>
        <w:tblLook w:val="04A0" w:firstRow="1" w:lastRow="0" w:firstColumn="1" w:lastColumn="0" w:noHBand="0" w:noVBand="1"/>
      </w:tblPr>
      <w:tblGrid>
        <w:gridCol w:w="825"/>
        <w:gridCol w:w="965"/>
        <w:gridCol w:w="1548"/>
        <w:gridCol w:w="1548"/>
        <w:gridCol w:w="1548"/>
        <w:gridCol w:w="1548"/>
        <w:gridCol w:w="1548"/>
      </w:tblGrid>
      <w:tr w:rsidR="006701EB" w:rsidRPr="006701EB" w14:paraId="0A2709DF" w14:textId="77777777" w:rsidTr="00726009">
        <w:tc>
          <w:tcPr>
            <w:tcW w:w="825" w:type="dxa"/>
            <w:hideMark/>
          </w:tcPr>
          <w:p w14:paraId="4D737942" w14:textId="77777777" w:rsidR="006701EB" w:rsidRPr="006701EB" w:rsidRDefault="006701EB" w:rsidP="006701EB">
            <w:pPr>
              <w:spacing w:after="0" w:line="240" w:lineRule="auto"/>
              <w:jc w:val="center"/>
              <w:rPr>
                <w:rFonts w:eastAsia="Times New Roman" w:cs="Arial"/>
                <w:b/>
                <w:bCs/>
                <w:sz w:val="20"/>
                <w:szCs w:val="20"/>
              </w:rPr>
            </w:pPr>
            <w:r w:rsidRPr="006701EB">
              <w:rPr>
                <w:rFonts w:eastAsia="Times New Roman" w:cs="Arial"/>
                <w:b/>
                <w:bCs/>
                <w:sz w:val="20"/>
                <w:szCs w:val="20"/>
              </w:rPr>
              <w:t>Ratio</w:t>
            </w:r>
          </w:p>
        </w:tc>
        <w:tc>
          <w:tcPr>
            <w:tcW w:w="965" w:type="dxa"/>
            <w:hideMark/>
          </w:tcPr>
          <w:p w14:paraId="61FFB07E" w14:textId="77777777" w:rsidR="006701EB" w:rsidRPr="006701EB" w:rsidRDefault="006701EB" w:rsidP="006701EB">
            <w:pPr>
              <w:spacing w:after="0" w:line="240" w:lineRule="auto"/>
              <w:jc w:val="center"/>
              <w:rPr>
                <w:rFonts w:eastAsia="Times New Roman" w:cs="Arial"/>
                <w:b/>
                <w:bCs/>
                <w:sz w:val="20"/>
                <w:szCs w:val="20"/>
              </w:rPr>
            </w:pPr>
            <w:r w:rsidRPr="006701EB">
              <w:rPr>
                <w:rFonts w:eastAsia="Times New Roman" w:cs="Arial"/>
                <w:b/>
                <w:bCs/>
                <w:sz w:val="20"/>
                <w:szCs w:val="20"/>
              </w:rPr>
              <w:t>Formula</w:t>
            </w:r>
          </w:p>
        </w:tc>
        <w:tc>
          <w:tcPr>
            <w:tcW w:w="1548" w:type="dxa"/>
            <w:hideMark/>
          </w:tcPr>
          <w:p w14:paraId="2922B19C" w14:textId="77777777" w:rsidR="006701EB" w:rsidRPr="006701EB" w:rsidRDefault="006701EB" w:rsidP="006701EB">
            <w:pPr>
              <w:spacing w:after="0" w:line="240" w:lineRule="auto"/>
              <w:jc w:val="center"/>
              <w:rPr>
                <w:rFonts w:eastAsia="Times New Roman" w:cs="Arial"/>
                <w:b/>
                <w:bCs/>
                <w:sz w:val="20"/>
                <w:szCs w:val="20"/>
              </w:rPr>
            </w:pPr>
            <w:r w:rsidRPr="006701EB">
              <w:rPr>
                <w:rFonts w:eastAsia="Times New Roman" w:cs="Arial"/>
                <w:b/>
                <w:bCs/>
                <w:sz w:val="20"/>
                <w:szCs w:val="20"/>
              </w:rPr>
              <w:t>2021</w:t>
            </w:r>
          </w:p>
        </w:tc>
        <w:tc>
          <w:tcPr>
            <w:tcW w:w="0" w:type="auto"/>
            <w:hideMark/>
          </w:tcPr>
          <w:p w14:paraId="33046D5D" w14:textId="77777777" w:rsidR="006701EB" w:rsidRPr="006701EB" w:rsidRDefault="006701EB" w:rsidP="006701EB">
            <w:pPr>
              <w:spacing w:after="0" w:line="240" w:lineRule="auto"/>
              <w:jc w:val="center"/>
              <w:rPr>
                <w:rFonts w:eastAsia="Times New Roman" w:cs="Arial"/>
                <w:b/>
                <w:bCs/>
                <w:sz w:val="20"/>
                <w:szCs w:val="20"/>
              </w:rPr>
            </w:pPr>
            <w:r w:rsidRPr="006701EB">
              <w:rPr>
                <w:rFonts w:eastAsia="Times New Roman" w:cs="Arial"/>
                <w:b/>
                <w:bCs/>
                <w:sz w:val="20"/>
                <w:szCs w:val="20"/>
              </w:rPr>
              <w:t>2022</w:t>
            </w:r>
          </w:p>
        </w:tc>
        <w:tc>
          <w:tcPr>
            <w:tcW w:w="0" w:type="auto"/>
            <w:hideMark/>
          </w:tcPr>
          <w:p w14:paraId="4BE44B65" w14:textId="77777777" w:rsidR="006701EB" w:rsidRPr="006701EB" w:rsidRDefault="006701EB" w:rsidP="006701EB">
            <w:pPr>
              <w:spacing w:after="0" w:line="240" w:lineRule="auto"/>
              <w:jc w:val="center"/>
              <w:rPr>
                <w:rFonts w:eastAsia="Times New Roman" w:cs="Arial"/>
                <w:b/>
                <w:bCs/>
                <w:sz w:val="20"/>
                <w:szCs w:val="20"/>
              </w:rPr>
            </w:pPr>
            <w:r w:rsidRPr="006701EB">
              <w:rPr>
                <w:rFonts w:eastAsia="Times New Roman" w:cs="Arial"/>
                <w:b/>
                <w:bCs/>
                <w:sz w:val="20"/>
                <w:szCs w:val="20"/>
              </w:rPr>
              <w:t>2023</w:t>
            </w:r>
          </w:p>
        </w:tc>
        <w:tc>
          <w:tcPr>
            <w:tcW w:w="0" w:type="auto"/>
            <w:hideMark/>
          </w:tcPr>
          <w:p w14:paraId="102D4DE4" w14:textId="77777777" w:rsidR="006701EB" w:rsidRPr="006701EB" w:rsidRDefault="006701EB" w:rsidP="006701EB">
            <w:pPr>
              <w:spacing w:after="0" w:line="240" w:lineRule="auto"/>
              <w:jc w:val="center"/>
              <w:rPr>
                <w:rFonts w:eastAsia="Times New Roman" w:cs="Arial"/>
                <w:b/>
                <w:bCs/>
                <w:sz w:val="20"/>
                <w:szCs w:val="20"/>
              </w:rPr>
            </w:pPr>
            <w:r w:rsidRPr="006701EB">
              <w:rPr>
                <w:rFonts w:eastAsia="Times New Roman" w:cs="Arial"/>
                <w:b/>
                <w:bCs/>
                <w:sz w:val="20"/>
                <w:szCs w:val="20"/>
              </w:rPr>
              <w:t>2024</w:t>
            </w:r>
          </w:p>
        </w:tc>
        <w:tc>
          <w:tcPr>
            <w:tcW w:w="1198" w:type="dxa"/>
            <w:hideMark/>
          </w:tcPr>
          <w:p w14:paraId="3511E265" w14:textId="77777777" w:rsidR="006701EB" w:rsidRPr="006701EB" w:rsidRDefault="006701EB" w:rsidP="006701EB">
            <w:pPr>
              <w:spacing w:after="0" w:line="240" w:lineRule="auto"/>
              <w:jc w:val="center"/>
              <w:rPr>
                <w:rFonts w:eastAsia="Times New Roman" w:cs="Arial"/>
                <w:b/>
                <w:bCs/>
                <w:sz w:val="20"/>
                <w:szCs w:val="20"/>
              </w:rPr>
            </w:pPr>
            <w:r w:rsidRPr="006701EB">
              <w:rPr>
                <w:rFonts w:eastAsia="Times New Roman" w:cs="Arial"/>
                <w:b/>
                <w:bCs/>
                <w:sz w:val="20"/>
                <w:szCs w:val="20"/>
              </w:rPr>
              <w:t>2025</w:t>
            </w:r>
          </w:p>
        </w:tc>
      </w:tr>
      <w:tr w:rsidR="006701EB" w:rsidRPr="006701EB" w14:paraId="0396FC20" w14:textId="77777777" w:rsidTr="00726009">
        <w:tc>
          <w:tcPr>
            <w:tcW w:w="825" w:type="dxa"/>
            <w:hideMark/>
          </w:tcPr>
          <w:p w14:paraId="16B266F0" w14:textId="77777777" w:rsidR="006701EB" w:rsidRPr="006701EB" w:rsidRDefault="006701EB" w:rsidP="006701EB">
            <w:pPr>
              <w:spacing w:after="0" w:line="240" w:lineRule="auto"/>
              <w:rPr>
                <w:rFonts w:eastAsia="Times New Roman" w:cs="Arial"/>
                <w:sz w:val="20"/>
                <w:szCs w:val="20"/>
              </w:rPr>
            </w:pPr>
            <w:r w:rsidRPr="006701EB">
              <w:rPr>
                <w:rFonts w:eastAsia="Times New Roman" w:cs="Arial"/>
                <w:b/>
                <w:bCs/>
                <w:sz w:val="20"/>
                <w:szCs w:val="20"/>
              </w:rPr>
              <w:t>Current Ratio</w:t>
            </w:r>
          </w:p>
        </w:tc>
        <w:tc>
          <w:tcPr>
            <w:tcW w:w="965" w:type="dxa"/>
            <w:hideMark/>
          </w:tcPr>
          <w:p w14:paraId="5523BE22" w14:textId="77777777" w:rsidR="006701EB" w:rsidRPr="006701EB" w:rsidRDefault="006701EB" w:rsidP="006701EB">
            <w:pPr>
              <w:spacing w:after="0" w:line="240" w:lineRule="auto"/>
              <w:rPr>
                <w:rFonts w:eastAsia="Times New Roman" w:cs="Arial"/>
                <w:sz w:val="20"/>
                <w:szCs w:val="20"/>
              </w:rPr>
            </w:pPr>
            <w:r w:rsidRPr="006701EB">
              <w:rPr>
                <w:rFonts w:eastAsia="Times New Roman" w:cs="Arial"/>
                <w:sz w:val="20"/>
                <w:szCs w:val="20"/>
              </w:rPr>
              <w:t>Current Assets ÷ Current Liabilities</w:t>
            </w:r>
          </w:p>
        </w:tc>
        <w:tc>
          <w:tcPr>
            <w:tcW w:w="1548" w:type="dxa"/>
            <w:hideMark/>
          </w:tcPr>
          <w:p w14:paraId="5741F9FD" w14:textId="77777777" w:rsidR="006701EB" w:rsidRPr="006701EB" w:rsidRDefault="006701EB" w:rsidP="006701EB">
            <w:pPr>
              <w:spacing w:after="0" w:line="240" w:lineRule="auto"/>
              <w:rPr>
                <w:rFonts w:eastAsia="Times New Roman" w:cs="Arial"/>
                <w:sz w:val="20"/>
                <w:szCs w:val="20"/>
              </w:rPr>
            </w:pPr>
            <w:r w:rsidRPr="006701EB">
              <w:rPr>
                <w:rFonts w:eastAsia="Times New Roman" w:cs="Arial"/>
                <w:sz w:val="20"/>
                <w:szCs w:val="20"/>
              </w:rPr>
              <w:t xml:space="preserve">102,929 ÷ 87,675 = </w:t>
            </w:r>
            <w:r w:rsidRPr="006701EB">
              <w:rPr>
                <w:rFonts w:eastAsia="Times New Roman" w:cs="Arial"/>
                <w:b/>
                <w:bCs/>
                <w:sz w:val="20"/>
                <w:szCs w:val="20"/>
              </w:rPr>
              <w:t>1.17</w:t>
            </w:r>
          </w:p>
        </w:tc>
        <w:tc>
          <w:tcPr>
            <w:tcW w:w="0" w:type="auto"/>
            <w:hideMark/>
          </w:tcPr>
          <w:p w14:paraId="19203E5F" w14:textId="77777777" w:rsidR="006701EB" w:rsidRPr="006701EB" w:rsidRDefault="006701EB" w:rsidP="006701EB">
            <w:pPr>
              <w:spacing w:after="0" w:line="240" w:lineRule="auto"/>
              <w:rPr>
                <w:rFonts w:eastAsia="Times New Roman" w:cs="Arial"/>
                <w:sz w:val="20"/>
                <w:szCs w:val="20"/>
              </w:rPr>
            </w:pPr>
            <w:r w:rsidRPr="006701EB">
              <w:rPr>
                <w:rFonts w:eastAsia="Times New Roman" w:cs="Arial"/>
                <w:sz w:val="20"/>
                <w:szCs w:val="20"/>
              </w:rPr>
              <w:t xml:space="preserve">102,874 ÷ 88,403 = </w:t>
            </w:r>
            <w:r w:rsidRPr="006701EB">
              <w:rPr>
                <w:rFonts w:eastAsia="Times New Roman" w:cs="Arial"/>
                <w:b/>
                <w:bCs/>
                <w:sz w:val="20"/>
                <w:szCs w:val="20"/>
              </w:rPr>
              <w:t>1.16</w:t>
            </w:r>
          </w:p>
        </w:tc>
        <w:tc>
          <w:tcPr>
            <w:tcW w:w="0" w:type="auto"/>
            <w:hideMark/>
          </w:tcPr>
          <w:p w14:paraId="050585BA" w14:textId="77777777" w:rsidR="006701EB" w:rsidRPr="006701EB" w:rsidRDefault="006701EB" w:rsidP="006701EB">
            <w:pPr>
              <w:spacing w:after="0" w:line="240" w:lineRule="auto"/>
              <w:rPr>
                <w:rFonts w:eastAsia="Times New Roman" w:cs="Arial"/>
                <w:sz w:val="20"/>
                <w:szCs w:val="20"/>
              </w:rPr>
            </w:pPr>
            <w:r w:rsidRPr="006701EB">
              <w:rPr>
                <w:rFonts w:eastAsia="Times New Roman" w:cs="Arial"/>
                <w:sz w:val="20"/>
                <w:szCs w:val="20"/>
              </w:rPr>
              <w:t xml:space="preserve">104,032 ÷ 82,434 = </w:t>
            </w:r>
            <w:r w:rsidRPr="006701EB">
              <w:rPr>
                <w:rFonts w:eastAsia="Times New Roman" w:cs="Arial"/>
                <w:b/>
                <w:bCs/>
                <w:sz w:val="20"/>
                <w:szCs w:val="20"/>
              </w:rPr>
              <w:t>1.26</w:t>
            </w:r>
          </w:p>
        </w:tc>
        <w:tc>
          <w:tcPr>
            <w:tcW w:w="0" w:type="auto"/>
            <w:hideMark/>
          </w:tcPr>
          <w:p w14:paraId="3FE7E16D" w14:textId="77777777" w:rsidR="006701EB" w:rsidRPr="006701EB" w:rsidRDefault="006701EB" w:rsidP="006701EB">
            <w:pPr>
              <w:spacing w:after="0" w:line="240" w:lineRule="auto"/>
              <w:rPr>
                <w:rFonts w:eastAsia="Times New Roman" w:cs="Arial"/>
                <w:sz w:val="20"/>
                <w:szCs w:val="20"/>
              </w:rPr>
            </w:pPr>
            <w:r w:rsidRPr="006701EB">
              <w:rPr>
                <w:rFonts w:eastAsia="Times New Roman" w:cs="Arial"/>
                <w:sz w:val="20"/>
                <w:szCs w:val="20"/>
              </w:rPr>
              <w:t xml:space="preserve">101,767 ÷ 74,826 = </w:t>
            </w:r>
            <w:r w:rsidRPr="006701EB">
              <w:rPr>
                <w:rFonts w:eastAsia="Times New Roman" w:cs="Arial"/>
                <w:b/>
                <w:bCs/>
                <w:sz w:val="20"/>
                <w:szCs w:val="20"/>
              </w:rPr>
              <w:t>1.36</w:t>
            </w:r>
          </w:p>
        </w:tc>
        <w:tc>
          <w:tcPr>
            <w:tcW w:w="1198" w:type="dxa"/>
            <w:hideMark/>
          </w:tcPr>
          <w:p w14:paraId="3DBFD68F" w14:textId="77777777" w:rsidR="006701EB" w:rsidRPr="006701EB" w:rsidRDefault="006701EB" w:rsidP="006701EB">
            <w:pPr>
              <w:spacing w:after="0" w:line="240" w:lineRule="auto"/>
              <w:rPr>
                <w:rFonts w:eastAsia="Times New Roman" w:cs="Arial"/>
                <w:sz w:val="20"/>
                <w:szCs w:val="20"/>
              </w:rPr>
            </w:pPr>
            <w:r w:rsidRPr="006701EB">
              <w:rPr>
                <w:rFonts w:eastAsia="Times New Roman" w:cs="Arial"/>
                <w:sz w:val="20"/>
                <w:szCs w:val="20"/>
              </w:rPr>
              <w:t xml:space="preserve">102,132 ÷ 73,768 = </w:t>
            </w:r>
            <w:r w:rsidRPr="006701EB">
              <w:rPr>
                <w:rFonts w:eastAsia="Times New Roman" w:cs="Arial"/>
                <w:b/>
                <w:bCs/>
                <w:sz w:val="20"/>
                <w:szCs w:val="20"/>
              </w:rPr>
              <w:t>1.38</w:t>
            </w:r>
          </w:p>
        </w:tc>
      </w:tr>
      <w:tr w:rsidR="006701EB" w:rsidRPr="006701EB" w14:paraId="55EAACF3" w14:textId="77777777" w:rsidTr="00726009">
        <w:tc>
          <w:tcPr>
            <w:tcW w:w="825" w:type="dxa"/>
            <w:hideMark/>
          </w:tcPr>
          <w:p w14:paraId="525318BD" w14:textId="77777777" w:rsidR="006701EB" w:rsidRPr="006701EB" w:rsidRDefault="006701EB" w:rsidP="006701EB">
            <w:pPr>
              <w:spacing w:after="0" w:line="240" w:lineRule="auto"/>
              <w:rPr>
                <w:rFonts w:eastAsia="Times New Roman" w:cs="Arial"/>
                <w:sz w:val="20"/>
                <w:szCs w:val="20"/>
              </w:rPr>
            </w:pPr>
            <w:r w:rsidRPr="006701EB">
              <w:rPr>
                <w:rFonts w:eastAsia="Times New Roman" w:cs="Arial"/>
                <w:b/>
                <w:bCs/>
                <w:sz w:val="20"/>
                <w:szCs w:val="20"/>
              </w:rPr>
              <w:t>Quick Ratio</w:t>
            </w:r>
          </w:p>
        </w:tc>
        <w:tc>
          <w:tcPr>
            <w:tcW w:w="965" w:type="dxa"/>
            <w:hideMark/>
          </w:tcPr>
          <w:p w14:paraId="58E8DE94" w14:textId="77777777" w:rsidR="006701EB" w:rsidRPr="006701EB" w:rsidRDefault="006701EB" w:rsidP="006701EB">
            <w:pPr>
              <w:spacing w:after="0" w:line="240" w:lineRule="auto"/>
              <w:rPr>
                <w:rFonts w:eastAsia="Times New Roman" w:cs="Arial"/>
                <w:sz w:val="20"/>
                <w:szCs w:val="20"/>
              </w:rPr>
            </w:pPr>
            <w:r w:rsidRPr="006701EB">
              <w:rPr>
                <w:rFonts w:eastAsia="Times New Roman" w:cs="Arial"/>
                <w:sz w:val="20"/>
                <w:szCs w:val="20"/>
              </w:rPr>
              <w:t>(CA – Inventory) ÷ CL</w:t>
            </w:r>
          </w:p>
        </w:tc>
        <w:tc>
          <w:tcPr>
            <w:tcW w:w="1548" w:type="dxa"/>
            <w:hideMark/>
          </w:tcPr>
          <w:p w14:paraId="78AFBE63" w14:textId="77777777" w:rsidR="006701EB" w:rsidRPr="006701EB" w:rsidRDefault="006701EB" w:rsidP="006701EB">
            <w:pPr>
              <w:spacing w:after="0" w:line="240" w:lineRule="auto"/>
              <w:rPr>
                <w:rFonts w:eastAsia="Times New Roman" w:cs="Arial"/>
                <w:sz w:val="20"/>
                <w:szCs w:val="20"/>
              </w:rPr>
            </w:pPr>
            <w:r w:rsidRPr="006701EB">
              <w:rPr>
                <w:rFonts w:eastAsia="Times New Roman" w:cs="Arial"/>
                <w:sz w:val="20"/>
                <w:szCs w:val="20"/>
              </w:rPr>
              <w:t xml:space="preserve">(102,929−21,466) ÷ 87,675 = </w:t>
            </w:r>
            <w:r w:rsidRPr="006701EB">
              <w:rPr>
                <w:rFonts w:eastAsia="Times New Roman" w:cs="Arial"/>
                <w:b/>
                <w:bCs/>
                <w:sz w:val="20"/>
                <w:szCs w:val="20"/>
              </w:rPr>
              <w:t>0.93</w:t>
            </w:r>
          </w:p>
        </w:tc>
        <w:tc>
          <w:tcPr>
            <w:tcW w:w="0" w:type="auto"/>
            <w:hideMark/>
          </w:tcPr>
          <w:p w14:paraId="0927C804" w14:textId="77777777" w:rsidR="006701EB" w:rsidRPr="006701EB" w:rsidRDefault="006701EB" w:rsidP="006701EB">
            <w:pPr>
              <w:spacing w:after="0" w:line="240" w:lineRule="auto"/>
              <w:rPr>
                <w:rFonts w:eastAsia="Times New Roman" w:cs="Arial"/>
                <w:sz w:val="20"/>
                <w:szCs w:val="20"/>
              </w:rPr>
            </w:pPr>
            <w:r w:rsidRPr="006701EB">
              <w:rPr>
                <w:rFonts w:eastAsia="Times New Roman" w:cs="Arial"/>
                <w:sz w:val="20"/>
                <w:szCs w:val="20"/>
              </w:rPr>
              <w:t xml:space="preserve">(102,874−25,621) ÷ 88,403 = </w:t>
            </w:r>
            <w:r w:rsidRPr="006701EB">
              <w:rPr>
                <w:rFonts w:eastAsia="Times New Roman" w:cs="Arial"/>
                <w:b/>
                <w:bCs/>
                <w:sz w:val="20"/>
                <w:szCs w:val="20"/>
              </w:rPr>
              <w:t>0.87</w:t>
            </w:r>
          </w:p>
        </w:tc>
        <w:tc>
          <w:tcPr>
            <w:tcW w:w="0" w:type="auto"/>
            <w:hideMark/>
          </w:tcPr>
          <w:p w14:paraId="5630F23B" w14:textId="77777777" w:rsidR="006701EB" w:rsidRPr="006701EB" w:rsidRDefault="006701EB" w:rsidP="006701EB">
            <w:pPr>
              <w:spacing w:after="0" w:line="240" w:lineRule="auto"/>
              <w:rPr>
                <w:rFonts w:eastAsia="Times New Roman" w:cs="Arial"/>
                <w:sz w:val="20"/>
                <w:szCs w:val="20"/>
              </w:rPr>
            </w:pPr>
            <w:r w:rsidRPr="006701EB">
              <w:rPr>
                <w:rFonts w:eastAsia="Times New Roman" w:cs="Arial"/>
                <w:sz w:val="20"/>
                <w:szCs w:val="20"/>
              </w:rPr>
              <w:t xml:space="preserve">(104,032−27,294) ÷ 82,434 = </w:t>
            </w:r>
            <w:r w:rsidRPr="006701EB">
              <w:rPr>
                <w:rFonts w:eastAsia="Times New Roman" w:cs="Arial"/>
                <w:b/>
                <w:bCs/>
                <w:sz w:val="20"/>
                <w:szCs w:val="20"/>
              </w:rPr>
              <w:t>0.93</w:t>
            </w:r>
          </w:p>
        </w:tc>
        <w:tc>
          <w:tcPr>
            <w:tcW w:w="0" w:type="auto"/>
            <w:hideMark/>
          </w:tcPr>
          <w:p w14:paraId="2EC9A4CA" w14:textId="77777777" w:rsidR="006701EB" w:rsidRPr="006701EB" w:rsidRDefault="006701EB" w:rsidP="006701EB">
            <w:pPr>
              <w:spacing w:after="0" w:line="240" w:lineRule="auto"/>
              <w:rPr>
                <w:rFonts w:eastAsia="Times New Roman" w:cs="Arial"/>
                <w:sz w:val="20"/>
                <w:szCs w:val="20"/>
              </w:rPr>
            </w:pPr>
            <w:r w:rsidRPr="006701EB">
              <w:rPr>
                <w:rFonts w:eastAsia="Times New Roman" w:cs="Arial"/>
                <w:sz w:val="20"/>
                <w:szCs w:val="20"/>
              </w:rPr>
              <w:t xml:space="preserve">(101,767−26,234) ÷ 74,826 = </w:t>
            </w:r>
            <w:r w:rsidRPr="006701EB">
              <w:rPr>
                <w:rFonts w:eastAsia="Times New Roman" w:cs="Arial"/>
                <w:b/>
                <w:bCs/>
                <w:sz w:val="20"/>
                <w:szCs w:val="20"/>
              </w:rPr>
              <w:t>1.01</w:t>
            </w:r>
          </w:p>
        </w:tc>
        <w:tc>
          <w:tcPr>
            <w:tcW w:w="1198" w:type="dxa"/>
            <w:hideMark/>
          </w:tcPr>
          <w:p w14:paraId="08C3ADAE" w14:textId="77777777" w:rsidR="006701EB" w:rsidRPr="006701EB" w:rsidRDefault="006701EB" w:rsidP="006701EB">
            <w:pPr>
              <w:spacing w:after="0" w:line="240" w:lineRule="auto"/>
              <w:rPr>
                <w:rFonts w:eastAsia="Times New Roman" w:cs="Arial"/>
                <w:sz w:val="20"/>
                <w:szCs w:val="20"/>
              </w:rPr>
            </w:pPr>
            <w:r w:rsidRPr="006701EB">
              <w:rPr>
                <w:rFonts w:eastAsia="Times New Roman" w:cs="Arial"/>
                <w:sz w:val="20"/>
                <w:szCs w:val="20"/>
              </w:rPr>
              <w:t xml:space="preserve">(102,132−23,933) ÷ 73,768 = </w:t>
            </w:r>
            <w:r w:rsidRPr="006701EB">
              <w:rPr>
                <w:rFonts w:eastAsia="Times New Roman" w:cs="Arial"/>
                <w:b/>
                <w:bCs/>
                <w:sz w:val="20"/>
                <w:szCs w:val="20"/>
              </w:rPr>
              <w:t>1.06</w:t>
            </w:r>
          </w:p>
        </w:tc>
      </w:tr>
    </w:tbl>
    <w:p w14:paraId="7401FF29" w14:textId="77777777" w:rsidR="006701EB" w:rsidRPr="006701EB" w:rsidRDefault="006701EB" w:rsidP="006701EB"/>
    <w:p w14:paraId="5B45642B" w14:textId="7750C865" w:rsidR="005508B8" w:rsidRPr="00A553B9" w:rsidRDefault="009A452C" w:rsidP="009E21FB">
      <w:pPr>
        <w:ind w:firstLine="720"/>
        <w:rPr>
          <w:rFonts w:cs="Arial"/>
          <w:szCs w:val="24"/>
        </w:rPr>
      </w:pPr>
      <w:r w:rsidRPr="00A553B9">
        <w:rPr>
          <w:rFonts w:cs="Arial"/>
          <w:szCs w:val="24"/>
        </w:rPr>
        <w:t xml:space="preserve">The </w:t>
      </w:r>
      <w:r w:rsidR="002968ED" w:rsidRPr="00A553B9">
        <w:rPr>
          <w:rFonts w:cs="Arial"/>
          <w:szCs w:val="24"/>
        </w:rPr>
        <w:t>company’s liquidity is</w:t>
      </w:r>
      <w:r w:rsidRPr="00A553B9">
        <w:rPr>
          <w:rFonts w:cs="Arial"/>
          <w:szCs w:val="24"/>
        </w:rPr>
        <w:t xml:space="preserve"> more stable. The current ratio improved in comparison </w:t>
      </w:r>
      <w:r w:rsidR="00082D0F" w:rsidRPr="00A553B9">
        <w:rPr>
          <w:rFonts w:cs="Arial"/>
          <w:szCs w:val="24"/>
        </w:rPr>
        <w:t>to</w:t>
      </w:r>
      <w:r w:rsidRPr="00A553B9">
        <w:rPr>
          <w:rFonts w:cs="Arial"/>
          <w:szCs w:val="24"/>
        </w:rPr>
        <w:t xml:space="preserve"> 1.17 in 2021 to 1.38 in 2025</w:t>
      </w:r>
      <w:r w:rsidR="00B60C96" w:rsidRPr="00A553B9">
        <w:rPr>
          <w:rFonts w:cs="Arial"/>
          <w:szCs w:val="24"/>
        </w:rPr>
        <w:t>,</w:t>
      </w:r>
      <w:r w:rsidRPr="00A553B9">
        <w:rPr>
          <w:rFonts w:cs="Arial"/>
          <w:szCs w:val="24"/>
        </w:rPr>
        <w:t xml:space="preserve"> and the quick ratio also improved </w:t>
      </w:r>
      <w:r w:rsidR="00082D0F" w:rsidRPr="00A553B9">
        <w:rPr>
          <w:rFonts w:cs="Arial"/>
          <w:szCs w:val="24"/>
        </w:rPr>
        <w:t>from</w:t>
      </w:r>
      <w:r w:rsidRPr="00A553B9">
        <w:rPr>
          <w:rFonts w:cs="Arial"/>
          <w:szCs w:val="24"/>
        </w:rPr>
        <w:t xml:space="preserve"> 0.93 to 1.06. This shows that the short-term solvency of Mercedes-Benz has improved</w:t>
      </w:r>
      <w:r w:rsidR="00B60C96" w:rsidRPr="00A553B9">
        <w:rPr>
          <w:rFonts w:cs="Arial"/>
          <w:szCs w:val="24"/>
        </w:rPr>
        <w:t>,</w:t>
      </w:r>
      <w:r w:rsidRPr="00A553B9">
        <w:rPr>
          <w:rFonts w:cs="Arial"/>
          <w:szCs w:val="24"/>
        </w:rPr>
        <w:t xml:space="preserve"> and it is in a better position to pay off immediate liabilities. The enhancement minimizes the refinancing risk and gives the management the flexibility to deal with the macroeconomic volatility. However, one should take this visible power with a grain of salt</w:t>
      </w:r>
      <w:r w:rsidR="00AB0FA8" w:rsidRPr="00AB0FA8">
        <w:t xml:space="preserve"> </w:t>
      </w:r>
      <w:r w:rsidR="00AB0FA8" w:rsidRPr="00AB0FA8">
        <w:rPr>
          <w:rFonts w:cs="Arial"/>
          <w:szCs w:val="24"/>
        </w:rPr>
        <w:t>(Ogundu, 2025)</w:t>
      </w:r>
      <w:r w:rsidRPr="00A553B9">
        <w:rPr>
          <w:rFonts w:cs="Arial"/>
          <w:szCs w:val="24"/>
        </w:rPr>
        <w:t xml:space="preserve">. The rise in liquidity is partly attributed to </w:t>
      </w:r>
      <w:r w:rsidR="00B60C96" w:rsidRPr="00A553B9">
        <w:rPr>
          <w:rFonts w:cs="Arial"/>
          <w:szCs w:val="24"/>
        </w:rPr>
        <w:t xml:space="preserve">a </w:t>
      </w:r>
      <w:r w:rsidRPr="00A553B9">
        <w:rPr>
          <w:rFonts w:cs="Arial"/>
          <w:szCs w:val="24"/>
        </w:rPr>
        <w:t xml:space="preserve">rise in inventory and receivables as opposed to </w:t>
      </w:r>
      <w:r w:rsidR="00B60C96" w:rsidRPr="00A553B9">
        <w:rPr>
          <w:rFonts w:cs="Arial"/>
          <w:szCs w:val="24"/>
        </w:rPr>
        <w:t xml:space="preserve">an </w:t>
      </w:r>
      <w:r w:rsidRPr="00A553B9">
        <w:rPr>
          <w:rFonts w:cs="Arial"/>
          <w:szCs w:val="24"/>
        </w:rPr>
        <w:t xml:space="preserve">improvement in operational effectiveness. Consequently, </w:t>
      </w:r>
      <w:r w:rsidRPr="00A553B9">
        <w:rPr>
          <w:rFonts w:cs="Arial"/>
          <w:szCs w:val="24"/>
        </w:rPr>
        <w:lastRenderedPageBreak/>
        <w:t>idle liquidity can imply ineffective resource allocation</w:t>
      </w:r>
      <w:r w:rsidR="00B60C96" w:rsidRPr="00A553B9">
        <w:rPr>
          <w:rFonts w:cs="Arial"/>
          <w:szCs w:val="24"/>
        </w:rPr>
        <w:t>,</w:t>
      </w:r>
      <w:r w:rsidRPr="00A553B9">
        <w:rPr>
          <w:rFonts w:cs="Arial"/>
          <w:szCs w:val="24"/>
        </w:rPr>
        <w:t xml:space="preserve"> especially in an environment where the returns to assets and equity are dwindling.</w:t>
      </w:r>
    </w:p>
    <w:p w14:paraId="048424CF" w14:textId="77777777" w:rsidR="00545AB9" w:rsidRDefault="00411948" w:rsidP="00545AB9">
      <w:pPr>
        <w:keepNext/>
        <w:jc w:val="center"/>
      </w:pPr>
      <w:r w:rsidRPr="00A553B9">
        <w:rPr>
          <w:noProof/>
        </w:rPr>
        <w:drawing>
          <wp:inline distT="0" distB="0" distL="0" distR="0" wp14:anchorId="7AB22F55" wp14:editId="150B7984">
            <wp:extent cx="4171950" cy="2009775"/>
            <wp:effectExtent l="0" t="0" r="0" b="9525"/>
            <wp:docPr id="819349478" name="Chart 1">
              <a:extLst xmlns:a="http://schemas.openxmlformats.org/drawingml/2006/main">
                <a:ext uri="{FF2B5EF4-FFF2-40B4-BE49-F238E27FC236}">
                  <a16:creationId xmlns:a16="http://schemas.microsoft.com/office/drawing/2014/main" id="{DC7CCF2E-D358-5C32-9DA3-E57FA48CC4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BC5924" w14:textId="2D0DCD9B" w:rsidR="00F13F57" w:rsidRDefault="00545AB9" w:rsidP="00545AB9">
      <w:pPr>
        <w:pStyle w:val="Caption"/>
        <w:jc w:val="center"/>
        <w:rPr>
          <w:i/>
          <w:iCs/>
          <w:color w:val="auto"/>
          <w:sz w:val="22"/>
          <w:szCs w:val="22"/>
        </w:rPr>
      </w:pPr>
      <w:bookmarkStart w:id="10" w:name="_Toc225717211"/>
      <w:r w:rsidRPr="00545AB9">
        <w:rPr>
          <w:i/>
          <w:iCs/>
          <w:color w:val="auto"/>
          <w:sz w:val="22"/>
          <w:szCs w:val="22"/>
        </w:rPr>
        <w:t xml:space="preserve">Figure </w:t>
      </w:r>
      <w:r w:rsidRPr="00545AB9">
        <w:rPr>
          <w:i/>
          <w:iCs/>
          <w:color w:val="auto"/>
          <w:sz w:val="22"/>
          <w:szCs w:val="22"/>
        </w:rPr>
        <w:fldChar w:fldCharType="begin"/>
      </w:r>
      <w:r w:rsidRPr="00545AB9">
        <w:rPr>
          <w:i/>
          <w:iCs/>
          <w:color w:val="auto"/>
          <w:sz w:val="22"/>
          <w:szCs w:val="22"/>
        </w:rPr>
        <w:instrText xml:space="preserve"> SEQ Figure \* ARABIC </w:instrText>
      </w:r>
      <w:r w:rsidRPr="00545AB9">
        <w:rPr>
          <w:i/>
          <w:iCs/>
          <w:color w:val="auto"/>
          <w:sz w:val="22"/>
          <w:szCs w:val="22"/>
        </w:rPr>
        <w:fldChar w:fldCharType="separate"/>
      </w:r>
      <w:r w:rsidR="00671256">
        <w:rPr>
          <w:i/>
          <w:iCs/>
          <w:noProof/>
          <w:color w:val="auto"/>
          <w:sz w:val="22"/>
          <w:szCs w:val="22"/>
        </w:rPr>
        <w:t>3</w:t>
      </w:r>
      <w:r w:rsidRPr="00545AB9">
        <w:rPr>
          <w:i/>
          <w:iCs/>
          <w:color w:val="auto"/>
          <w:sz w:val="22"/>
          <w:szCs w:val="22"/>
        </w:rPr>
        <w:fldChar w:fldCharType="end"/>
      </w:r>
      <w:r w:rsidRPr="00545AB9">
        <w:rPr>
          <w:i/>
          <w:iCs/>
          <w:color w:val="auto"/>
          <w:sz w:val="22"/>
          <w:szCs w:val="22"/>
        </w:rPr>
        <w:t>: Liquidity Ratios</w:t>
      </w:r>
      <w:bookmarkEnd w:id="10"/>
    </w:p>
    <w:p w14:paraId="3572024A" w14:textId="3C2B628B" w:rsidR="008846F9" w:rsidRPr="008846F9" w:rsidRDefault="0005183D" w:rsidP="008846F9">
      <w:pPr>
        <w:jc w:val="center"/>
      </w:pPr>
      <w:r w:rsidRPr="0005183D">
        <w:rPr>
          <w:rFonts w:cs="Arial"/>
          <w:sz w:val="22"/>
        </w:rPr>
        <w:t>Source: Author’s Calculations from the dataset and Mercedes-Benz Group financial statements</w:t>
      </w:r>
    </w:p>
    <w:p w14:paraId="1020AA67" w14:textId="77777777" w:rsidR="005508B8" w:rsidRDefault="006D4139" w:rsidP="009E21FB">
      <w:pPr>
        <w:pStyle w:val="Heading3"/>
        <w:rPr>
          <w:rFonts w:ascii="Arial" w:hAnsi="Arial" w:cs="Arial"/>
          <w:color w:val="auto"/>
          <w:szCs w:val="24"/>
        </w:rPr>
      </w:pPr>
      <w:bookmarkStart w:id="11" w:name="_Toc225717169"/>
      <w:r w:rsidRPr="00A553B9">
        <w:rPr>
          <w:rFonts w:ascii="Arial" w:hAnsi="Arial" w:cs="Arial"/>
          <w:color w:val="auto"/>
          <w:szCs w:val="24"/>
        </w:rPr>
        <w:t>Efficiency Ratios</w:t>
      </w:r>
      <w:bookmarkEnd w:id="11"/>
    </w:p>
    <w:tbl>
      <w:tblPr>
        <w:tblStyle w:val="TableGrid"/>
        <w:tblW w:w="0" w:type="auto"/>
        <w:tblLook w:val="04A0" w:firstRow="1" w:lastRow="0" w:firstColumn="1" w:lastColumn="0" w:noHBand="0" w:noVBand="1"/>
      </w:tblPr>
      <w:tblGrid>
        <w:gridCol w:w="1560"/>
        <w:gridCol w:w="1705"/>
        <w:gridCol w:w="1253"/>
        <w:gridCol w:w="1253"/>
        <w:gridCol w:w="1253"/>
        <w:gridCol w:w="1253"/>
        <w:gridCol w:w="1253"/>
      </w:tblGrid>
      <w:tr w:rsidR="00726009" w:rsidRPr="00726009" w14:paraId="28F07223" w14:textId="77777777" w:rsidTr="00684217">
        <w:tc>
          <w:tcPr>
            <w:tcW w:w="0" w:type="auto"/>
            <w:hideMark/>
          </w:tcPr>
          <w:p w14:paraId="65694CEA" w14:textId="77777777" w:rsidR="00726009" w:rsidRPr="00726009" w:rsidRDefault="00726009" w:rsidP="00726009">
            <w:pPr>
              <w:spacing w:after="0" w:line="240" w:lineRule="auto"/>
              <w:jc w:val="center"/>
              <w:rPr>
                <w:rFonts w:eastAsia="Times New Roman" w:cs="Arial"/>
                <w:b/>
                <w:bCs/>
                <w:sz w:val="20"/>
                <w:szCs w:val="20"/>
              </w:rPr>
            </w:pPr>
            <w:r w:rsidRPr="00726009">
              <w:rPr>
                <w:rFonts w:eastAsia="Times New Roman" w:cs="Arial"/>
                <w:b/>
                <w:bCs/>
                <w:sz w:val="20"/>
                <w:szCs w:val="20"/>
              </w:rPr>
              <w:t>Ratio</w:t>
            </w:r>
          </w:p>
        </w:tc>
        <w:tc>
          <w:tcPr>
            <w:tcW w:w="0" w:type="auto"/>
            <w:hideMark/>
          </w:tcPr>
          <w:p w14:paraId="13B88E0B" w14:textId="77777777" w:rsidR="00726009" w:rsidRPr="00726009" w:rsidRDefault="00726009" w:rsidP="00726009">
            <w:pPr>
              <w:spacing w:after="0" w:line="240" w:lineRule="auto"/>
              <w:jc w:val="center"/>
              <w:rPr>
                <w:rFonts w:eastAsia="Times New Roman" w:cs="Arial"/>
                <w:b/>
                <w:bCs/>
                <w:sz w:val="20"/>
                <w:szCs w:val="20"/>
              </w:rPr>
            </w:pPr>
            <w:r w:rsidRPr="00726009">
              <w:rPr>
                <w:rFonts w:eastAsia="Times New Roman" w:cs="Arial"/>
                <w:b/>
                <w:bCs/>
                <w:sz w:val="20"/>
                <w:szCs w:val="20"/>
              </w:rPr>
              <w:t>Formula</w:t>
            </w:r>
          </w:p>
        </w:tc>
        <w:tc>
          <w:tcPr>
            <w:tcW w:w="0" w:type="auto"/>
            <w:hideMark/>
          </w:tcPr>
          <w:p w14:paraId="2A2DF817" w14:textId="77777777" w:rsidR="00726009" w:rsidRPr="00726009" w:rsidRDefault="00726009" w:rsidP="00726009">
            <w:pPr>
              <w:spacing w:after="0" w:line="240" w:lineRule="auto"/>
              <w:jc w:val="center"/>
              <w:rPr>
                <w:rFonts w:eastAsia="Times New Roman" w:cs="Arial"/>
                <w:b/>
                <w:bCs/>
                <w:sz w:val="20"/>
                <w:szCs w:val="20"/>
              </w:rPr>
            </w:pPr>
            <w:r w:rsidRPr="00726009">
              <w:rPr>
                <w:rFonts w:eastAsia="Times New Roman" w:cs="Arial"/>
                <w:b/>
                <w:bCs/>
                <w:sz w:val="20"/>
                <w:szCs w:val="20"/>
              </w:rPr>
              <w:t>2021</w:t>
            </w:r>
          </w:p>
        </w:tc>
        <w:tc>
          <w:tcPr>
            <w:tcW w:w="0" w:type="auto"/>
            <w:hideMark/>
          </w:tcPr>
          <w:p w14:paraId="409357C2" w14:textId="77777777" w:rsidR="00726009" w:rsidRPr="00726009" w:rsidRDefault="00726009" w:rsidP="00726009">
            <w:pPr>
              <w:spacing w:after="0" w:line="240" w:lineRule="auto"/>
              <w:jc w:val="center"/>
              <w:rPr>
                <w:rFonts w:eastAsia="Times New Roman" w:cs="Arial"/>
                <w:b/>
                <w:bCs/>
                <w:sz w:val="20"/>
                <w:szCs w:val="20"/>
              </w:rPr>
            </w:pPr>
            <w:r w:rsidRPr="00726009">
              <w:rPr>
                <w:rFonts w:eastAsia="Times New Roman" w:cs="Arial"/>
                <w:b/>
                <w:bCs/>
                <w:sz w:val="20"/>
                <w:szCs w:val="20"/>
              </w:rPr>
              <w:t>2022</w:t>
            </w:r>
          </w:p>
        </w:tc>
        <w:tc>
          <w:tcPr>
            <w:tcW w:w="0" w:type="auto"/>
            <w:hideMark/>
          </w:tcPr>
          <w:p w14:paraId="6F9A794D" w14:textId="77777777" w:rsidR="00726009" w:rsidRPr="00726009" w:rsidRDefault="00726009" w:rsidP="00726009">
            <w:pPr>
              <w:spacing w:after="0" w:line="240" w:lineRule="auto"/>
              <w:jc w:val="center"/>
              <w:rPr>
                <w:rFonts w:eastAsia="Times New Roman" w:cs="Arial"/>
                <w:b/>
                <w:bCs/>
                <w:sz w:val="20"/>
                <w:szCs w:val="20"/>
              </w:rPr>
            </w:pPr>
            <w:r w:rsidRPr="00726009">
              <w:rPr>
                <w:rFonts w:eastAsia="Times New Roman" w:cs="Arial"/>
                <w:b/>
                <w:bCs/>
                <w:sz w:val="20"/>
                <w:szCs w:val="20"/>
              </w:rPr>
              <w:t>2023</w:t>
            </w:r>
          </w:p>
        </w:tc>
        <w:tc>
          <w:tcPr>
            <w:tcW w:w="0" w:type="auto"/>
            <w:hideMark/>
          </w:tcPr>
          <w:p w14:paraId="142C7849" w14:textId="77777777" w:rsidR="00726009" w:rsidRPr="00726009" w:rsidRDefault="00726009" w:rsidP="00726009">
            <w:pPr>
              <w:spacing w:after="0" w:line="240" w:lineRule="auto"/>
              <w:jc w:val="center"/>
              <w:rPr>
                <w:rFonts w:eastAsia="Times New Roman" w:cs="Arial"/>
                <w:b/>
                <w:bCs/>
                <w:sz w:val="20"/>
                <w:szCs w:val="20"/>
              </w:rPr>
            </w:pPr>
            <w:r w:rsidRPr="00726009">
              <w:rPr>
                <w:rFonts w:eastAsia="Times New Roman" w:cs="Arial"/>
                <w:b/>
                <w:bCs/>
                <w:sz w:val="20"/>
                <w:szCs w:val="20"/>
              </w:rPr>
              <w:t>2024</w:t>
            </w:r>
          </w:p>
        </w:tc>
        <w:tc>
          <w:tcPr>
            <w:tcW w:w="0" w:type="auto"/>
            <w:hideMark/>
          </w:tcPr>
          <w:p w14:paraId="090F3EFF" w14:textId="77777777" w:rsidR="00726009" w:rsidRPr="00726009" w:rsidRDefault="00726009" w:rsidP="00726009">
            <w:pPr>
              <w:spacing w:after="0" w:line="240" w:lineRule="auto"/>
              <w:jc w:val="center"/>
              <w:rPr>
                <w:rFonts w:eastAsia="Times New Roman" w:cs="Arial"/>
                <w:b/>
                <w:bCs/>
                <w:sz w:val="20"/>
                <w:szCs w:val="20"/>
              </w:rPr>
            </w:pPr>
            <w:r w:rsidRPr="00726009">
              <w:rPr>
                <w:rFonts w:eastAsia="Times New Roman" w:cs="Arial"/>
                <w:b/>
                <w:bCs/>
                <w:sz w:val="20"/>
                <w:szCs w:val="20"/>
              </w:rPr>
              <w:t>2025</w:t>
            </w:r>
          </w:p>
        </w:tc>
      </w:tr>
      <w:tr w:rsidR="00726009" w:rsidRPr="00726009" w14:paraId="1ABAFB35" w14:textId="77777777" w:rsidTr="00684217">
        <w:tc>
          <w:tcPr>
            <w:tcW w:w="0" w:type="auto"/>
            <w:hideMark/>
          </w:tcPr>
          <w:p w14:paraId="2B5776B7"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Inventory Turnover</w:t>
            </w:r>
          </w:p>
        </w:tc>
        <w:tc>
          <w:tcPr>
            <w:tcW w:w="0" w:type="auto"/>
            <w:hideMark/>
          </w:tcPr>
          <w:p w14:paraId="557227B1"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COGS ÷ Inventory</w:t>
            </w:r>
          </w:p>
        </w:tc>
        <w:tc>
          <w:tcPr>
            <w:tcW w:w="0" w:type="auto"/>
            <w:hideMark/>
          </w:tcPr>
          <w:p w14:paraId="176989A5" w14:textId="0BCA16CD"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103,218 ÷ 10,733 = </w:t>
            </w:r>
            <w:r w:rsidRPr="00726009">
              <w:rPr>
                <w:rFonts w:eastAsia="Times New Roman" w:cs="Arial"/>
                <w:b/>
                <w:bCs/>
                <w:sz w:val="20"/>
                <w:szCs w:val="20"/>
              </w:rPr>
              <w:t>9.62</w:t>
            </w:r>
          </w:p>
        </w:tc>
        <w:tc>
          <w:tcPr>
            <w:tcW w:w="0" w:type="auto"/>
            <w:hideMark/>
          </w:tcPr>
          <w:p w14:paraId="46D23856" w14:textId="4ACAD50D"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115,997 ÷ 23,547 = </w:t>
            </w:r>
            <w:r w:rsidRPr="00726009">
              <w:rPr>
                <w:rFonts w:eastAsia="Times New Roman" w:cs="Arial"/>
                <w:b/>
                <w:bCs/>
                <w:sz w:val="20"/>
                <w:szCs w:val="20"/>
              </w:rPr>
              <w:t>4.93</w:t>
            </w:r>
          </w:p>
        </w:tc>
        <w:tc>
          <w:tcPr>
            <w:tcW w:w="0" w:type="auto"/>
            <w:hideMark/>
          </w:tcPr>
          <w:p w14:paraId="09C81A54" w14:textId="05E7F801"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118,839 ÷ 26,481 = </w:t>
            </w:r>
            <w:r w:rsidRPr="00726009">
              <w:rPr>
                <w:rFonts w:eastAsia="Times New Roman" w:cs="Arial"/>
                <w:b/>
                <w:bCs/>
                <w:sz w:val="20"/>
                <w:szCs w:val="20"/>
              </w:rPr>
              <w:t>4.49</w:t>
            </w:r>
          </w:p>
        </w:tc>
        <w:tc>
          <w:tcPr>
            <w:tcW w:w="0" w:type="auto"/>
            <w:hideMark/>
          </w:tcPr>
          <w:p w14:paraId="5CA6CF3F" w14:textId="455B8A5D"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117,018 ÷ 26,777 = </w:t>
            </w:r>
            <w:r w:rsidRPr="00726009">
              <w:rPr>
                <w:rFonts w:eastAsia="Times New Roman" w:cs="Arial"/>
                <w:b/>
                <w:bCs/>
                <w:sz w:val="20"/>
                <w:szCs w:val="20"/>
              </w:rPr>
              <w:t>4.37</w:t>
            </w:r>
          </w:p>
        </w:tc>
        <w:tc>
          <w:tcPr>
            <w:tcW w:w="0" w:type="auto"/>
            <w:hideMark/>
          </w:tcPr>
          <w:p w14:paraId="06698FB6" w14:textId="6B9A0043"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109,881 ÷ 25,097 = </w:t>
            </w:r>
            <w:r w:rsidRPr="00726009">
              <w:rPr>
                <w:rFonts w:eastAsia="Times New Roman" w:cs="Arial"/>
                <w:b/>
                <w:bCs/>
                <w:sz w:val="20"/>
                <w:szCs w:val="20"/>
              </w:rPr>
              <w:t>4.38</w:t>
            </w:r>
          </w:p>
        </w:tc>
      </w:tr>
      <w:tr w:rsidR="00726009" w:rsidRPr="00726009" w14:paraId="2CD4DAAC" w14:textId="77777777" w:rsidTr="00684217">
        <w:tc>
          <w:tcPr>
            <w:tcW w:w="0" w:type="auto"/>
            <w:hideMark/>
          </w:tcPr>
          <w:p w14:paraId="1243DBAD"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Receivables Turnover</w:t>
            </w:r>
          </w:p>
        </w:tc>
        <w:tc>
          <w:tcPr>
            <w:tcW w:w="0" w:type="auto"/>
            <w:hideMark/>
          </w:tcPr>
          <w:p w14:paraId="504F30E5"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Revenue ÷ Receivables</w:t>
            </w:r>
          </w:p>
        </w:tc>
        <w:tc>
          <w:tcPr>
            <w:tcW w:w="0" w:type="auto"/>
            <w:hideMark/>
          </w:tcPr>
          <w:p w14:paraId="0913B21D" w14:textId="0ADDD425"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133,893 ÷ 3,836 = </w:t>
            </w:r>
            <w:r w:rsidRPr="00726009">
              <w:rPr>
                <w:rFonts w:eastAsia="Times New Roman" w:cs="Arial"/>
                <w:b/>
                <w:bCs/>
                <w:sz w:val="20"/>
                <w:szCs w:val="20"/>
              </w:rPr>
              <w:t>34.90</w:t>
            </w:r>
          </w:p>
        </w:tc>
        <w:tc>
          <w:tcPr>
            <w:tcW w:w="0" w:type="auto"/>
            <w:hideMark/>
          </w:tcPr>
          <w:p w14:paraId="53A4ABBF" w14:textId="792EB10F"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150,017 ÷ 7,889 = </w:t>
            </w:r>
            <w:r w:rsidRPr="00726009">
              <w:rPr>
                <w:rFonts w:eastAsia="Times New Roman" w:cs="Arial"/>
                <w:b/>
                <w:bCs/>
                <w:sz w:val="20"/>
                <w:szCs w:val="20"/>
              </w:rPr>
              <w:t>19.02</w:t>
            </w:r>
          </w:p>
        </w:tc>
        <w:tc>
          <w:tcPr>
            <w:tcW w:w="0" w:type="auto"/>
            <w:hideMark/>
          </w:tcPr>
          <w:p w14:paraId="6F5D947A" w14:textId="5C9CBFAA"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153,218 ÷ 7,694 = </w:t>
            </w:r>
            <w:r w:rsidRPr="00726009">
              <w:rPr>
                <w:rFonts w:eastAsia="Times New Roman" w:cs="Arial"/>
                <w:b/>
                <w:bCs/>
                <w:sz w:val="20"/>
                <w:szCs w:val="20"/>
              </w:rPr>
              <w:t>19.92</w:t>
            </w:r>
          </w:p>
        </w:tc>
        <w:tc>
          <w:tcPr>
            <w:tcW w:w="0" w:type="auto"/>
            <w:hideMark/>
          </w:tcPr>
          <w:p w14:paraId="74160135" w14:textId="19517EF0"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145,594 ÷ 7,130 = </w:t>
            </w:r>
            <w:r w:rsidRPr="00726009">
              <w:rPr>
                <w:rFonts w:eastAsia="Times New Roman" w:cs="Arial"/>
                <w:b/>
                <w:bCs/>
                <w:sz w:val="20"/>
                <w:szCs w:val="20"/>
              </w:rPr>
              <w:t>20.43</w:t>
            </w:r>
          </w:p>
        </w:tc>
        <w:tc>
          <w:tcPr>
            <w:tcW w:w="0" w:type="auto"/>
            <w:hideMark/>
          </w:tcPr>
          <w:p w14:paraId="0B3935E2" w14:textId="444841F4"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132,214 ÷ 6,411 = </w:t>
            </w:r>
            <w:r w:rsidRPr="00726009">
              <w:rPr>
                <w:rFonts w:eastAsia="Times New Roman" w:cs="Arial"/>
                <w:b/>
                <w:bCs/>
                <w:sz w:val="20"/>
                <w:szCs w:val="20"/>
              </w:rPr>
              <w:t>20.62</w:t>
            </w:r>
          </w:p>
        </w:tc>
      </w:tr>
      <w:tr w:rsidR="00726009" w:rsidRPr="00726009" w14:paraId="629B4893" w14:textId="77777777" w:rsidTr="00684217">
        <w:tc>
          <w:tcPr>
            <w:tcW w:w="0" w:type="auto"/>
            <w:hideMark/>
          </w:tcPr>
          <w:p w14:paraId="7CD5BB78"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Asset Turnover</w:t>
            </w:r>
          </w:p>
        </w:tc>
        <w:tc>
          <w:tcPr>
            <w:tcW w:w="0" w:type="auto"/>
            <w:hideMark/>
          </w:tcPr>
          <w:p w14:paraId="2E85D345"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Revenue ÷ Total Assets</w:t>
            </w:r>
          </w:p>
        </w:tc>
        <w:tc>
          <w:tcPr>
            <w:tcW w:w="0" w:type="auto"/>
            <w:hideMark/>
          </w:tcPr>
          <w:p w14:paraId="5F06CE77" w14:textId="4486F6DE"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133,893 ÷ 129,831 = </w:t>
            </w:r>
            <w:r w:rsidRPr="00726009">
              <w:rPr>
                <w:rFonts w:eastAsia="Times New Roman" w:cs="Arial"/>
                <w:b/>
                <w:bCs/>
                <w:sz w:val="20"/>
                <w:szCs w:val="20"/>
              </w:rPr>
              <w:t>1.03</w:t>
            </w:r>
          </w:p>
        </w:tc>
        <w:tc>
          <w:tcPr>
            <w:tcW w:w="0" w:type="auto"/>
            <w:hideMark/>
          </w:tcPr>
          <w:p w14:paraId="232B8140" w14:textId="4C5196F5"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150,017 ÷ 260,015 = </w:t>
            </w:r>
            <w:r w:rsidRPr="00726009">
              <w:rPr>
                <w:rFonts w:eastAsia="Times New Roman" w:cs="Arial"/>
                <w:b/>
                <w:bCs/>
                <w:sz w:val="20"/>
                <w:szCs w:val="20"/>
              </w:rPr>
              <w:t>0.58</w:t>
            </w:r>
          </w:p>
        </w:tc>
        <w:tc>
          <w:tcPr>
            <w:tcW w:w="0" w:type="auto"/>
            <w:hideMark/>
          </w:tcPr>
          <w:p w14:paraId="570A3BCE" w14:textId="6838F333"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153,218 ÷ 263,022 = </w:t>
            </w:r>
            <w:r w:rsidRPr="00726009">
              <w:rPr>
                <w:rFonts w:eastAsia="Times New Roman" w:cs="Arial"/>
                <w:b/>
                <w:bCs/>
                <w:sz w:val="20"/>
                <w:szCs w:val="20"/>
              </w:rPr>
              <w:t>0.59</w:t>
            </w:r>
          </w:p>
        </w:tc>
        <w:tc>
          <w:tcPr>
            <w:tcW w:w="0" w:type="auto"/>
            <w:hideMark/>
          </w:tcPr>
          <w:p w14:paraId="3EA53995" w14:textId="2E328136"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145,594 ÷ 265,010 = </w:t>
            </w:r>
            <w:r w:rsidRPr="00726009">
              <w:rPr>
                <w:rFonts w:eastAsia="Times New Roman" w:cs="Arial"/>
                <w:b/>
                <w:bCs/>
                <w:sz w:val="20"/>
                <w:szCs w:val="20"/>
              </w:rPr>
              <w:t>0.55</w:t>
            </w:r>
          </w:p>
        </w:tc>
        <w:tc>
          <w:tcPr>
            <w:tcW w:w="0" w:type="auto"/>
            <w:hideMark/>
          </w:tcPr>
          <w:p w14:paraId="639EEA9C" w14:textId="5A393DA0"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 xml:space="preserve">132,214 ÷ 255,466 = </w:t>
            </w:r>
            <w:r w:rsidRPr="00726009">
              <w:rPr>
                <w:rFonts w:eastAsia="Times New Roman" w:cs="Arial"/>
                <w:b/>
                <w:bCs/>
                <w:sz w:val="20"/>
                <w:szCs w:val="20"/>
              </w:rPr>
              <w:t>0.51</w:t>
            </w:r>
          </w:p>
        </w:tc>
      </w:tr>
      <w:tr w:rsidR="00726009" w:rsidRPr="00726009" w14:paraId="3D221D51" w14:textId="77777777" w:rsidTr="00684217">
        <w:tc>
          <w:tcPr>
            <w:tcW w:w="0" w:type="auto"/>
            <w:hideMark/>
          </w:tcPr>
          <w:p w14:paraId="7A3C0A70"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DIO</w:t>
            </w:r>
          </w:p>
        </w:tc>
        <w:tc>
          <w:tcPr>
            <w:tcW w:w="0" w:type="auto"/>
            <w:hideMark/>
          </w:tcPr>
          <w:p w14:paraId="6C695F20"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365 ÷ Inventory Turnover</w:t>
            </w:r>
          </w:p>
        </w:tc>
        <w:tc>
          <w:tcPr>
            <w:tcW w:w="0" w:type="auto"/>
            <w:hideMark/>
          </w:tcPr>
          <w:p w14:paraId="217332F5"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37.95</w:t>
            </w:r>
          </w:p>
        </w:tc>
        <w:tc>
          <w:tcPr>
            <w:tcW w:w="0" w:type="auto"/>
            <w:hideMark/>
          </w:tcPr>
          <w:p w14:paraId="5B769CDF"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74.08</w:t>
            </w:r>
          </w:p>
        </w:tc>
        <w:tc>
          <w:tcPr>
            <w:tcW w:w="0" w:type="auto"/>
            <w:hideMark/>
          </w:tcPr>
          <w:p w14:paraId="706CF5DE"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81.26</w:t>
            </w:r>
          </w:p>
        </w:tc>
        <w:tc>
          <w:tcPr>
            <w:tcW w:w="0" w:type="auto"/>
            <w:hideMark/>
          </w:tcPr>
          <w:p w14:paraId="1F214434"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83.48</w:t>
            </w:r>
          </w:p>
        </w:tc>
        <w:tc>
          <w:tcPr>
            <w:tcW w:w="0" w:type="auto"/>
            <w:hideMark/>
          </w:tcPr>
          <w:p w14:paraId="5A4250C9"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83.32</w:t>
            </w:r>
          </w:p>
        </w:tc>
      </w:tr>
      <w:tr w:rsidR="00726009" w:rsidRPr="00726009" w14:paraId="5219DCF6" w14:textId="77777777" w:rsidTr="00684217">
        <w:tc>
          <w:tcPr>
            <w:tcW w:w="0" w:type="auto"/>
            <w:hideMark/>
          </w:tcPr>
          <w:p w14:paraId="60CB6E49"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DPO</w:t>
            </w:r>
          </w:p>
        </w:tc>
        <w:tc>
          <w:tcPr>
            <w:tcW w:w="0" w:type="auto"/>
            <w:hideMark/>
          </w:tcPr>
          <w:p w14:paraId="7752D9C2"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(Payables ÷ COGS) × 365</w:t>
            </w:r>
          </w:p>
        </w:tc>
        <w:tc>
          <w:tcPr>
            <w:tcW w:w="0" w:type="auto"/>
            <w:hideMark/>
          </w:tcPr>
          <w:p w14:paraId="4078CF41"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18.84</w:t>
            </w:r>
          </w:p>
        </w:tc>
        <w:tc>
          <w:tcPr>
            <w:tcW w:w="0" w:type="auto"/>
            <w:hideMark/>
          </w:tcPr>
          <w:p w14:paraId="75B3BA1D"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35.96</w:t>
            </w:r>
          </w:p>
        </w:tc>
        <w:tc>
          <w:tcPr>
            <w:tcW w:w="0" w:type="auto"/>
            <w:hideMark/>
          </w:tcPr>
          <w:p w14:paraId="0AF7F202"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38.44</w:t>
            </w:r>
          </w:p>
        </w:tc>
        <w:tc>
          <w:tcPr>
            <w:tcW w:w="0" w:type="auto"/>
            <w:hideMark/>
          </w:tcPr>
          <w:p w14:paraId="650BF9C9"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37.65</w:t>
            </w:r>
          </w:p>
        </w:tc>
        <w:tc>
          <w:tcPr>
            <w:tcW w:w="0" w:type="auto"/>
            <w:hideMark/>
          </w:tcPr>
          <w:p w14:paraId="177A83AA"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36.50</w:t>
            </w:r>
          </w:p>
        </w:tc>
      </w:tr>
      <w:tr w:rsidR="00726009" w:rsidRPr="00726009" w14:paraId="326E0771" w14:textId="77777777" w:rsidTr="00684217">
        <w:tc>
          <w:tcPr>
            <w:tcW w:w="0" w:type="auto"/>
            <w:hideMark/>
          </w:tcPr>
          <w:p w14:paraId="453E98CB"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DSO</w:t>
            </w:r>
          </w:p>
        </w:tc>
        <w:tc>
          <w:tcPr>
            <w:tcW w:w="0" w:type="auto"/>
            <w:hideMark/>
          </w:tcPr>
          <w:p w14:paraId="0D786BE8"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(Receivables ÷ Revenue) × 365</w:t>
            </w:r>
          </w:p>
        </w:tc>
        <w:tc>
          <w:tcPr>
            <w:tcW w:w="0" w:type="auto"/>
            <w:hideMark/>
          </w:tcPr>
          <w:p w14:paraId="5FD053AF"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13.57</w:t>
            </w:r>
          </w:p>
        </w:tc>
        <w:tc>
          <w:tcPr>
            <w:tcW w:w="0" w:type="auto"/>
            <w:hideMark/>
          </w:tcPr>
          <w:p w14:paraId="56274773"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24.82</w:t>
            </w:r>
          </w:p>
        </w:tc>
        <w:tc>
          <w:tcPr>
            <w:tcW w:w="0" w:type="auto"/>
            <w:hideMark/>
          </w:tcPr>
          <w:p w14:paraId="3BECEFAD"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23.62</w:t>
            </w:r>
          </w:p>
        </w:tc>
        <w:tc>
          <w:tcPr>
            <w:tcW w:w="0" w:type="auto"/>
            <w:hideMark/>
          </w:tcPr>
          <w:p w14:paraId="0BB3A514"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22.23</w:t>
            </w:r>
          </w:p>
        </w:tc>
        <w:tc>
          <w:tcPr>
            <w:tcW w:w="0" w:type="auto"/>
            <w:hideMark/>
          </w:tcPr>
          <w:p w14:paraId="05D0B2F5"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21.30</w:t>
            </w:r>
          </w:p>
        </w:tc>
      </w:tr>
      <w:tr w:rsidR="00726009" w:rsidRPr="00726009" w14:paraId="086DEBB3" w14:textId="77777777" w:rsidTr="00684217">
        <w:tc>
          <w:tcPr>
            <w:tcW w:w="0" w:type="auto"/>
            <w:hideMark/>
          </w:tcPr>
          <w:p w14:paraId="42205ADC"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CCC</w:t>
            </w:r>
          </w:p>
        </w:tc>
        <w:tc>
          <w:tcPr>
            <w:tcW w:w="0" w:type="auto"/>
            <w:hideMark/>
          </w:tcPr>
          <w:p w14:paraId="6E4A7778"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sz w:val="20"/>
                <w:szCs w:val="20"/>
              </w:rPr>
              <w:t>DIO + DSO − DPO</w:t>
            </w:r>
          </w:p>
        </w:tc>
        <w:tc>
          <w:tcPr>
            <w:tcW w:w="0" w:type="auto"/>
            <w:hideMark/>
          </w:tcPr>
          <w:p w14:paraId="39D636B9"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32.68</w:t>
            </w:r>
          </w:p>
        </w:tc>
        <w:tc>
          <w:tcPr>
            <w:tcW w:w="0" w:type="auto"/>
            <w:hideMark/>
          </w:tcPr>
          <w:p w14:paraId="69FE220F"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62.93</w:t>
            </w:r>
          </w:p>
        </w:tc>
        <w:tc>
          <w:tcPr>
            <w:tcW w:w="0" w:type="auto"/>
            <w:hideMark/>
          </w:tcPr>
          <w:p w14:paraId="556D84E5"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66.44</w:t>
            </w:r>
          </w:p>
        </w:tc>
        <w:tc>
          <w:tcPr>
            <w:tcW w:w="0" w:type="auto"/>
            <w:hideMark/>
          </w:tcPr>
          <w:p w14:paraId="65903129"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68.06</w:t>
            </w:r>
          </w:p>
        </w:tc>
        <w:tc>
          <w:tcPr>
            <w:tcW w:w="0" w:type="auto"/>
            <w:hideMark/>
          </w:tcPr>
          <w:p w14:paraId="67BAE847" w14:textId="77777777" w:rsidR="00726009" w:rsidRPr="00726009" w:rsidRDefault="00726009" w:rsidP="00726009">
            <w:pPr>
              <w:spacing w:after="0" w:line="240" w:lineRule="auto"/>
              <w:rPr>
                <w:rFonts w:eastAsia="Times New Roman" w:cs="Arial"/>
                <w:sz w:val="20"/>
                <w:szCs w:val="20"/>
              </w:rPr>
            </w:pPr>
            <w:r w:rsidRPr="00726009">
              <w:rPr>
                <w:rFonts w:eastAsia="Times New Roman" w:cs="Arial"/>
                <w:b/>
                <w:bCs/>
                <w:sz w:val="20"/>
                <w:szCs w:val="20"/>
              </w:rPr>
              <w:t>68.12</w:t>
            </w:r>
          </w:p>
        </w:tc>
      </w:tr>
    </w:tbl>
    <w:p w14:paraId="60249903" w14:textId="77777777" w:rsidR="00726009" w:rsidRPr="00726009" w:rsidRDefault="00726009" w:rsidP="00726009"/>
    <w:p w14:paraId="405E428F" w14:textId="6DC9A2D0" w:rsidR="005508B8" w:rsidRPr="00A553B9" w:rsidRDefault="009A452C" w:rsidP="009E21FB">
      <w:pPr>
        <w:ind w:firstLine="720"/>
        <w:rPr>
          <w:rFonts w:cs="Arial"/>
          <w:szCs w:val="24"/>
        </w:rPr>
      </w:pPr>
      <w:r w:rsidRPr="00A553B9">
        <w:rPr>
          <w:rFonts w:cs="Arial"/>
          <w:szCs w:val="24"/>
        </w:rPr>
        <w:t xml:space="preserve">The efficiency ratios present a significant deterioration </w:t>
      </w:r>
      <w:r w:rsidR="00B60C96" w:rsidRPr="00A553B9">
        <w:rPr>
          <w:rFonts w:cs="Arial"/>
          <w:szCs w:val="24"/>
        </w:rPr>
        <w:t>in</w:t>
      </w:r>
      <w:r w:rsidRPr="00A553B9">
        <w:rPr>
          <w:rFonts w:cs="Arial"/>
          <w:szCs w:val="24"/>
        </w:rPr>
        <w:t xml:space="preserve"> the performance of operations. The inventory turnover has decreased greatly</w:t>
      </w:r>
      <w:r w:rsidR="00B60C96" w:rsidRPr="00A553B9">
        <w:rPr>
          <w:rFonts w:cs="Arial"/>
          <w:szCs w:val="24"/>
        </w:rPr>
        <w:t>, from</w:t>
      </w:r>
      <w:r w:rsidRPr="00A553B9">
        <w:rPr>
          <w:rFonts w:cs="Arial"/>
          <w:szCs w:val="24"/>
        </w:rPr>
        <w:t xml:space="preserve"> 9.62 times in 2021 being turned over to 4.38 times in 2025, which shows that inventory has slowed in movement and may be overstocked. The turnover of receivables also declined to 20.62 on a decreasing trend of 34.90</w:t>
      </w:r>
      <w:r w:rsidR="00B60C96" w:rsidRPr="00A553B9">
        <w:rPr>
          <w:rFonts w:cs="Arial"/>
          <w:szCs w:val="24"/>
        </w:rPr>
        <w:t>,</w:t>
      </w:r>
      <w:r w:rsidRPr="00A553B9">
        <w:rPr>
          <w:rFonts w:cs="Arial"/>
          <w:szCs w:val="24"/>
        </w:rPr>
        <w:t xml:space="preserve"> with slower collection cycles o</w:t>
      </w:r>
      <w:r w:rsidR="00B60C96" w:rsidRPr="00A553B9">
        <w:rPr>
          <w:rFonts w:cs="Arial"/>
          <w:szCs w:val="24"/>
        </w:rPr>
        <w:t>f</w:t>
      </w:r>
      <w:r w:rsidRPr="00A553B9">
        <w:rPr>
          <w:rFonts w:cs="Arial"/>
          <w:szCs w:val="24"/>
        </w:rPr>
        <w:t xml:space="preserve"> cash</w:t>
      </w:r>
      <w:r w:rsidR="00B60C96" w:rsidRPr="00A553B9">
        <w:rPr>
          <w:rFonts w:cs="Arial"/>
          <w:szCs w:val="24"/>
        </w:rPr>
        <w:t>,</w:t>
      </w:r>
      <w:r w:rsidRPr="00A553B9">
        <w:rPr>
          <w:rFonts w:cs="Arial"/>
          <w:szCs w:val="24"/>
        </w:rPr>
        <w:t xml:space="preserve"> and the turnover of the assets also declined to 0.51 against a 1.03. These trends also find support in the fact that the inventory days have increased to 83.32 and 37.95</w:t>
      </w:r>
      <w:r w:rsidR="00B60C96" w:rsidRPr="00A553B9">
        <w:rPr>
          <w:rFonts w:cs="Arial"/>
          <w:szCs w:val="24"/>
        </w:rPr>
        <w:t>,</w:t>
      </w:r>
      <w:r w:rsidRPr="00A553B9">
        <w:rPr>
          <w:rFonts w:cs="Arial"/>
          <w:szCs w:val="24"/>
        </w:rPr>
        <w:t xml:space="preserve"> to 83.32 and the cash conversion cycle has increased to 68.12 days as compared to 32.68 days. Taken together, these measures point </w:t>
      </w:r>
      <w:r w:rsidR="00B60C96" w:rsidRPr="00A553B9">
        <w:rPr>
          <w:rFonts w:cs="Arial"/>
          <w:szCs w:val="24"/>
        </w:rPr>
        <w:t>to</w:t>
      </w:r>
      <w:r w:rsidRPr="00A553B9">
        <w:rPr>
          <w:rFonts w:cs="Arial"/>
          <w:szCs w:val="24"/>
        </w:rPr>
        <w:t xml:space="preserve"> the fact that Mercedes-Benz is losing its efficiency in transforming operational inputs into revenue and cash flows</w:t>
      </w:r>
      <w:r w:rsidR="00BC742A" w:rsidRPr="00BC742A">
        <w:t xml:space="preserve"> </w:t>
      </w:r>
      <w:r w:rsidR="00BC742A" w:rsidRPr="00BC742A">
        <w:rPr>
          <w:rFonts w:cs="Arial"/>
          <w:szCs w:val="24"/>
        </w:rPr>
        <w:t>(Alarussi, 2021)</w:t>
      </w:r>
      <w:r w:rsidRPr="00A553B9">
        <w:rPr>
          <w:rFonts w:cs="Arial"/>
          <w:szCs w:val="24"/>
        </w:rPr>
        <w:t xml:space="preserve">. Since the </w:t>
      </w:r>
      <w:r w:rsidRPr="00A553B9">
        <w:rPr>
          <w:rFonts w:cs="Arial"/>
          <w:szCs w:val="24"/>
        </w:rPr>
        <w:lastRenderedPageBreak/>
        <w:t xml:space="preserve">automotive industry is capital-intensive, decreasing productivity and shrinking margins seriously diminish </w:t>
      </w:r>
      <w:r w:rsidR="00B60C96" w:rsidRPr="00A553B9">
        <w:rPr>
          <w:rFonts w:cs="Arial"/>
          <w:szCs w:val="24"/>
        </w:rPr>
        <w:t xml:space="preserve">the </w:t>
      </w:r>
      <w:r w:rsidRPr="00A553B9">
        <w:rPr>
          <w:rFonts w:cs="Arial"/>
          <w:szCs w:val="24"/>
        </w:rPr>
        <w:t>productivity of capital and raise the issue of profitability.</w:t>
      </w:r>
    </w:p>
    <w:p w14:paraId="2413F6C6" w14:textId="77777777" w:rsidR="00F91930" w:rsidRDefault="00574234" w:rsidP="00F91930">
      <w:pPr>
        <w:keepNext/>
        <w:jc w:val="center"/>
      </w:pPr>
      <w:r w:rsidRPr="00A553B9">
        <w:rPr>
          <w:noProof/>
        </w:rPr>
        <w:drawing>
          <wp:inline distT="0" distB="0" distL="0" distR="0" wp14:anchorId="0917713C" wp14:editId="30B78863">
            <wp:extent cx="4572000" cy="2524125"/>
            <wp:effectExtent l="0" t="0" r="0" b="9525"/>
            <wp:docPr id="237889355" name="Chart 1">
              <a:extLst xmlns:a="http://schemas.openxmlformats.org/drawingml/2006/main">
                <a:ext uri="{FF2B5EF4-FFF2-40B4-BE49-F238E27FC236}">
                  <a16:creationId xmlns:a16="http://schemas.microsoft.com/office/drawing/2014/main" id="{0EA73731-BE94-6A8D-241A-C0507A2A42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71E1262" w14:textId="21C48A6A" w:rsidR="00082D0F" w:rsidRDefault="00F91930" w:rsidP="00F91930">
      <w:pPr>
        <w:pStyle w:val="Caption"/>
        <w:jc w:val="center"/>
        <w:rPr>
          <w:i/>
          <w:iCs/>
          <w:color w:val="auto"/>
          <w:sz w:val="22"/>
          <w:szCs w:val="22"/>
        </w:rPr>
      </w:pPr>
      <w:bookmarkStart w:id="12" w:name="_Toc225717212"/>
      <w:r w:rsidRPr="00F91930">
        <w:rPr>
          <w:i/>
          <w:iCs/>
          <w:color w:val="auto"/>
          <w:sz w:val="22"/>
          <w:szCs w:val="22"/>
        </w:rPr>
        <w:t xml:space="preserve">Figure </w:t>
      </w:r>
      <w:r w:rsidRPr="00F91930">
        <w:rPr>
          <w:i/>
          <w:iCs/>
          <w:color w:val="auto"/>
          <w:sz w:val="22"/>
          <w:szCs w:val="22"/>
        </w:rPr>
        <w:fldChar w:fldCharType="begin"/>
      </w:r>
      <w:r w:rsidRPr="00F91930">
        <w:rPr>
          <w:i/>
          <w:iCs/>
          <w:color w:val="auto"/>
          <w:sz w:val="22"/>
          <w:szCs w:val="22"/>
        </w:rPr>
        <w:instrText xml:space="preserve"> SEQ Figure \* ARABIC </w:instrText>
      </w:r>
      <w:r w:rsidRPr="00F91930">
        <w:rPr>
          <w:i/>
          <w:iCs/>
          <w:color w:val="auto"/>
          <w:sz w:val="22"/>
          <w:szCs w:val="22"/>
        </w:rPr>
        <w:fldChar w:fldCharType="separate"/>
      </w:r>
      <w:r w:rsidR="00671256">
        <w:rPr>
          <w:i/>
          <w:iCs/>
          <w:noProof/>
          <w:color w:val="auto"/>
          <w:sz w:val="22"/>
          <w:szCs w:val="22"/>
        </w:rPr>
        <w:t>4</w:t>
      </w:r>
      <w:r w:rsidRPr="00F91930">
        <w:rPr>
          <w:i/>
          <w:iCs/>
          <w:color w:val="auto"/>
          <w:sz w:val="22"/>
          <w:szCs w:val="22"/>
        </w:rPr>
        <w:fldChar w:fldCharType="end"/>
      </w:r>
      <w:r w:rsidRPr="00F91930">
        <w:rPr>
          <w:i/>
          <w:iCs/>
          <w:color w:val="auto"/>
          <w:sz w:val="22"/>
          <w:szCs w:val="22"/>
        </w:rPr>
        <w:t>: Efficiency Ratios</w:t>
      </w:r>
      <w:bookmarkEnd w:id="12"/>
    </w:p>
    <w:p w14:paraId="48AA6084" w14:textId="4B457C52" w:rsidR="008846F9" w:rsidRPr="0005183D" w:rsidRDefault="008846F9" w:rsidP="008846F9">
      <w:pPr>
        <w:jc w:val="center"/>
        <w:rPr>
          <w:sz w:val="22"/>
        </w:rPr>
      </w:pPr>
      <w:r w:rsidRPr="0005183D">
        <w:rPr>
          <w:rFonts w:cs="Arial"/>
          <w:sz w:val="22"/>
        </w:rPr>
        <w:t>Source: Author’s Calculations from the dataset and Mercedes-Benz Group financial statements</w:t>
      </w:r>
    </w:p>
    <w:p w14:paraId="7B2C4681" w14:textId="77777777" w:rsidR="005508B8" w:rsidRDefault="006D4139" w:rsidP="009E21FB">
      <w:pPr>
        <w:pStyle w:val="Heading3"/>
        <w:rPr>
          <w:rFonts w:ascii="Arial" w:hAnsi="Arial" w:cs="Arial"/>
          <w:color w:val="auto"/>
          <w:szCs w:val="24"/>
        </w:rPr>
      </w:pPr>
      <w:bookmarkStart w:id="13" w:name="_Toc225717170"/>
      <w:r w:rsidRPr="00A553B9">
        <w:rPr>
          <w:rFonts w:ascii="Arial" w:hAnsi="Arial" w:cs="Arial"/>
          <w:color w:val="auto"/>
          <w:szCs w:val="24"/>
        </w:rPr>
        <w:t>Gearing (Leverage) Ratios</w:t>
      </w:r>
      <w:bookmarkEnd w:id="13"/>
    </w:p>
    <w:tbl>
      <w:tblPr>
        <w:tblStyle w:val="TableGrid"/>
        <w:tblW w:w="0" w:type="auto"/>
        <w:tblLook w:val="04A0" w:firstRow="1" w:lastRow="0" w:firstColumn="1" w:lastColumn="0" w:noHBand="0" w:noVBand="1"/>
      </w:tblPr>
      <w:tblGrid>
        <w:gridCol w:w="1348"/>
        <w:gridCol w:w="1422"/>
        <w:gridCol w:w="1352"/>
        <w:gridCol w:w="1352"/>
        <w:gridCol w:w="1352"/>
        <w:gridCol w:w="1352"/>
        <w:gridCol w:w="1352"/>
      </w:tblGrid>
      <w:tr w:rsidR="00684217" w:rsidRPr="00684217" w14:paraId="1E4D06E0" w14:textId="77777777" w:rsidTr="00AD18AF">
        <w:tc>
          <w:tcPr>
            <w:tcW w:w="0" w:type="auto"/>
            <w:hideMark/>
          </w:tcPr>
          <w:p w14:paraId="675F7302" w14:textId="77777777" w:rsidR="00684217" w:rsidRPr="00684217" w:rsidRDefault="00684217" w:rsidP="00684217">
            <w:pPr>
              <w:spacing w:after="0" w:line="240" w:lineRule="auto"/>
              <w:jc w:val="center"/>
              <w:rPr>
                <w:rFonts w:eastAsia="Times New Roman" w:cs="Arial"/>
                <w:b/>
                <w:bCs/>
                <w:sz w:val="20"/>
                <w:szCs w:val="20"/>
              </w:rPr>
            </w:pPr>
            <w:r w:rsidRPr="00684217">
              <w:rPr>
                <w:rFonts w:eastAsia="Times New Roman" w:cs="Arial"/>
                <w:b/>
                <w:bCs/>
                <w:sz w:val="20"/>
                <w:szCs w:val="20"/>
              </w:rPr>
              <w:t>Ratio</w:t>
            </w:r>
          </w:p>
        </w:tc>
        <w:tc>
          <w:tcPr>
            <w:tcW w:w="0" w:type="auto"/>
            <w:hideMark/>
          </w:tcPr>
          <w:p w14:paraId="53CC0A69" w14:textId="77777777" w:rsidR="00684217" w:rsidRPr="00684217" w:rsidRDefault="00684217" w:rsidP="00684217">
            <w:pPr>
              <w:spacing w:after="0" w:line="240" w:lineRule="auto"/>
              <w:jc w:val="center"/>
              <w:rPr>
                <w:rFonts w:eastAsia="Times New Roman" w:cs="Arial"/>
                <w:b/>
                <w:bCs/>
                <w:sz w:val="20"/>
                <w:szCs w:val="20"/>
              </w:rPr>
            </w:pPr>
            <w:r w:rsidRPr="00684217">
              <w:rPr>
                <w:rFonts w:eastAsia="Times New Roman" w:cs="Arial"/>
                <w:b/>
                <w:bCs/>
                <w:sz w:val="20"/>
                <w:szCs w:val="20"/>
              </w:rPr>
              <w:t>Formula</w:t>
            </w:r>
          </w:p>
        </w:tc>
        <w:tc>
          <w:tcPr>
            <w:tcW w:w="0" w:type="auto"/>
            <w:hideMark/>
          </w:tcPr>
          <w:p w14:paraId="55B8538E" w14:textId="77777777" w:rsidR="00684217" w:rsidRPr="00684217" w:rsidRDefault="00684217" w:rsidP="00684217">
            <w:pPr>
              <w:spacing w:after="0" w:line="240" w:lineRule="auto"/>
              <w:jc w:val="center"/>
              <w:rPr>
                <w:rFonts w:eastAsia="Times New Roman" w:cs="Arial"/>
                <w:b/>
                <w:bCs/>
                <w:sz w:val="20"/>
                <w:szCs w:val="20"/>
              </w:rPr>
            </w:pPr>
            <w:r w:rsidRPr="00684217">
              <w:rPr>
                <w:rFonts w:eastAsia="Times New Roman" w:cs="Arial"/>
                <w:b/>
                <w:bCs/>
                <w:sz w:val="20"/>
                <w:szCs w:val="20"/>
              </w:rPr>
              <w:t>2021</w:t>
            </w:r>
          </w:p>
        </w:tc>
        <w:tc>
          <w:tcPr>
            <w:tcW w:w="0" w:type="auto"/>
            <w:hideMark/>
          </w:tcPr>
          <w:p w14:paraId="1B6A60A1" w14:textId="77777777" w:rsidR="00684217" w:rsidRPr="00684217" w:rsidRDefault="00684217" w:rsidP="00684217">
            <w:pPr>
              <w:spacing w:after="0" w:line="240" w:lineRule="auto"/>
              <w:jc w:val="center"/>
              <w:rPr>
                <w:rFonts w:eastAsia="Times New Roman" w:cs="Arial"/>
                <w:b/>
                <w:bCs/>
                <w:sz w:val="20"/>
                <w:szCs w:val="20"/>
              </w:rPr>
            </w:pPr>
            <w:r w:rsidRPr="00684217">
              <w:rPr>
                <w:rFonts w:eastAsia="Times New Roman" w:cs="Arial"/>
                <w:b/>
                <w:bCs/>
                <w:sz w:val="20"/>
                <w:szCs w:val="20"/>
              </w:rPr>
              <w:t>2022</w:t>
            </w:r>
          </w:p>
        </w:tc>
        <w:tc>
          <w:tcPr>
            <w:tcW w:w="0" w:type="auto"/>
            <w:hideMark/>
          </w:tcPr>
          <w:p w14:paraId="5B09C57F" w14:textId="77777777" w:rsidR="00684217" w:rsidRPr="00684217" w:rsidRDefault="00684217" w:rsidP="00684217">
            <w:pPr>
              <w:spacing w:after="0" w:line="240" w:lineRule="auto"/>
              <w:jc w:val="center"/>
              <w:rPr>
                <w:rFonts w:eastAsia="Times New Roman" w:cs="Arial"/>
                <w:b/>
                <w:bCs/>
                <w:sz w:val="20"/>
                <w:szCs w:val="20"/>
              </w:rPr>
            </w:pPr>
            <w:r w:rsidRPr="00684217">
              <w:rPr>
                <w:rFonts w:eastAsia="Times New Roman" w:cs="Arial"/>
                <w:b/>
                <w:bCs/>
                <w:sz w:val="20"/>
                <w:szCs w:val="20"/>
              </w:rPr>
              <w:t>2023</w:t>
            </w:r>
          </w:p>
        </w:tc>
        <w:tc>
          <w:tcPr>
            <w:tcW w:w="0" w:type="auto"/>
            <w:hideMark/>
          </w:tcPr>
          <w:p w14:paraId="20EA7E24" w14:textId="77777777" w:rsidR="00684217" w:rsidRPr="00684217" w:rsidRDefault="00684217" w:rsidP="00684217">
            <w:pPr>
              <w:spacing w:after="0" w:line="240" w:lineRule="auto"/>
              <w:jc w:val="center"/>
              <w:rPr>
                <w:rFonts w:eastAsia="Times New Roman" w:cs="Arial"/>
                <w:b/>
                <w:bCs/>
                <w:sz w:val="20"/>
                <w:szCs w:val="20"/>
              </w:rPr>
            </w:pPr>
            <w:r w:rsidRPr="00684217">
              <w:rPr>
                <w:rFonts w:eastAsia="Times New Roman" w:cs="Arial"/>
                <w:b/>
                <w:bCs/>
                <w:sz w:val="20"/>
                <w:szCs w:val="20"/>
              </w:rPr>
              <w:t>2024</w:t>
            </w:r>
          </w:p>
        </w:tc>
        <w:tc>
          <w:tcPr>
            <w:tcW w:w="0" w:type="auto"/>
            <w:hideMark/>
          </w:tcPr>
          <w:p w14:paraId="5EF5FF39" w14:textId="77777777" w:rsidR="00684217" w:rsidRPr="00684217" w:rsidRDefault="00684217" w:rsidP="00684217">
            <w:pPr>
              <w:spacing w:after="0" w:line="240" w:lineRule="auto"/>
              <w:jc w:val="center"/>
              <w:rPr>
                <w:rFonts w:eastAsia="Times New Roman" w:cs="Arial"/>
                <w:b/>
                <w:bCs/>
                <w:sz w:val="20"/>
                <w:szCs w:val="20"/>
              </w:rPr>
            </w:pPr>
            <w:r w:rsidRPr="00684217">
              <w:rPr>
                <w:rFonts w:eastAsia="Times New Roman" w:cs="Arial"/>
                <w:b/>
                <w:bCs/>
                <w:sz w:val="20"/>
                <w:szCs w:val="20"/>
              </w:rPr>
              <w:t>2025</w:t>
            </w:r>
          </w:p>
        </w:tc>
      </w:tr>
      <w:tr w:rsidR="00684217" w:rsidRPr="00684217" w14:paraId="16703A72" w14:textId="77777777" w:rsidTr="00AD18AF">
        <w:tc>
          <w:tcPr>
            <w:tcW w:w="0" w:type="auto"/>
            <w:hideMark/>
          </w:tcPr>
          <w:p w14:paraId="0C0D78B3" w14:textId="77777777" w:rsidR="00684217" w:rsidRPr="00684217" w:rsidRDefault="00684217" w:rsidP="00684217">
            <w:pPr>
              <w:spacing w:after="0" w:line="240" w:lineRule="auto"/>
              <w:rPr>
                <w:rFonts w:eastAsia="Times New Roman" w:cs="Arial"/>
                <w:sz w:val="20"/>
                <w:szCs w:val="20"/>
              </w:rPr>
            </w:pPr>
            <w:r w:rsidRPr="00684217">
              <w:rPr>
                <w:rFonts w:eastAsia="Times New Roman" w:cs="Arial"/>
                <w:b/>
                <w:bCs/>
                <w:sz w:val="20"/>
                <w:szCs w:val="20"/>
              </w:rPr>
              <w:t>Debt-to-Equity</w:t>
            </w:r>
          </w:p>
        </w:tc>
        <w:tc>
          <w:tcPr>
            <w:tcW w:w="0" w:type="auto"/>
            <w:hideMark/>
          </w:tcPr>
          <w:p w14:paraId="7BDC1CC7" w14:textId="77777777" w:rsidR="00684217" w:rsidRPr="00684217" w:rsidRDefault="00684217" w:rsidP="00684217">
            <w:pPr>
              <w:spacing w:after="0" w:line="240" w:lineRule="auto"/>
              <w:rPr>
                <w:rFonts w:eastAsia="Times New Roman" w:cs="Arial"/>
                <w:sz w:val="20"/>
                <w:szCs w:val="20"/>
              </w:rPr>
            </w:pPr>
            <w:r w:rsidRPr="00684217">
              <w:rPr>
                <w:rFonts w:eastAsia="Times New Roman" w:cs="Arial"/>
                <w:sz w:val="20"/>
                <w:szCs w:val="20"/>
              </w:rPr>
              <w:t>Total Liabilities ÷ Equity</w:t>
            </w:r>
          </w:p>
        </w:tc>
        <w:tc>
          <w:tcPr>
            <w:tcW w:w="0" w:type="auto"/>
            <w:hideMark/>
          </w:tcPr>
          <w:p w14:paraId="4648EF82" w14:textId="77777777" w:rsidR="00684217" w:rsidRPr="00684217" w:rsidRDefault="00684217" w:rsidP="00684217">
            <w:pPr>
              <w:spacing w:after="0" w:line="240" w:lineRule="auto"/>
              <w:rPr>
                <w:rFonts w:eastAsia="Times New Roman" w:cs="Arial"/>
                <w:sz w:val="20"/>
                <w:szCs w:val="20"/>
              </w:rPr>
            </w:pPr>
            <w:r w:rsidRPr="00684217">
              <w:rPr>
                <w:rFonts w:eastAsia="Times New Roman" w:cs="Arial"/>
                <w:sz w:val="20"/>
                <w:szCs w:val="20"/>
              </w:rPr>
              <w:t xml:space="preserve">186,664 ÷ 73,167 = </w:t>
            </w:r>
            <w:r w:rsidRPr="00684217">
              <w:rPr>
                <w:rFonts w:eastAsia="Times New Roman" w:cs="Arial"/>
                <w:b/>
                <w:bCs/>
                <w:sz w:val="20"/>
                <w:szCs w:val="20"/>
              </w:rPr>
              <w:t>2.55</w:t>
            </w:r>
          </w:p>
        </w:tc>
        <w:tc>
          <w:tcPr>
            <w:tcW w:w="0" w:type="auto"/>
            <w:hideMark/>
          </w:tcPr>
          <w:p w14:paraId="771939BF" w14:textId="77777777" w:rsidR="00684217" w:rsidRPr="00684217" w:rsidRDefault="00684217" w:rsidP="00684217">
            <w:pPr>
              <w:spacing w:after="0" w:line="240" w:lineRule="auto"/>
              <w:rPr>
                <w:rFonts w:eastAsia="Times New Roman" w:cs="Arial"/>
                <w:sz w:val="20"/>
                <w:szCs w:val="20"/>
              </w:rPr>
            </w:pPr>
            <w:r w:rsidRPr="00684217">
              <w:rPr>
                <w:rFonts w:eastAsia="Times New Roman" w:cs="Arial"/>
                <w:sz w:val="20"/>
                <w:szCs w:val="20"/>
              </w:rPr>
              <w:t xml:space="preserve">173,475 ÷ 86,540 = </w:t>
            </w:r>
            <w:r w:rsidRPr="00684217">
              <w:rPr>
                <w:rFonts w:eastAsia="Times New Roman" w:cs="Arial"/>
                <w:b/>
                <w:bCs/>
                <w:sz w:val="20"/>
                <w:szCs w:val="20"/>
              </w:rPr>
              <w:t>2.00</w:t>
            </w:r>
          </w:p>
        </w:tc>
        <w:tc>
          <w:tcPr>
            <w:tcW w:w="0" w:type="auto"/>
            <w:hideMark/>
          </w:tcPr>
          <w:p w14:paraId="1DC94754" w14:textId="77777777" w:rsidR="00684217" w:rsidRPr="00684217" w:rsidRDefault="00684217" w:rsidP="00684217">
            <w:pPr>
              <w:spacing w:after="0" w:line="240" w:lineRule="auto"/>
              <w:rPr>
                <w:rFonts w:eastAsia="Times New Roman" w:cs="Arial"/>
                <w:sz w:val="20"/>
                <w:szCs w:val="20"/>
              </w:rPr>
            </w:pPr>
            <w:r w:rsidRPr="00684217">
              <w:rPr>
                <w:rFonts w:eastAsia="Times New Roman" w:cs="Arial"/>
                <w:sz w:val="20"/>
                <w:szCs w:val="20"/>
              </w:rPr>
              <w:t xml:space="preserve">170,206 ÷ 92,816 = </w:t>
            </w:r>
            <w:r w:rsidRPr="00684217">
              <w:rPr>
                <w:rFonts w:eastAsia="Times New Roman" w:cs="Arial"/>
                <w:b/>
                <w:bCs/>
                <w:sz w:val="20"/>
                <w:szCs w:val="20"/>
              </w:rPr>
              <w:t>1.83</w:t>
            </w:r>
          </w:p>
        </w:tc>
        <w:tc>
          <w:tcPr>
            <w:tcW w:w="0" w:type="auto"/>
            <w:hideMark/>
          </w:tcPr>
          <w:p w14:paraId="4DC22D91" w14:textId="77777777" w:rsidR="00684217" w:rsidRPr="00684217" w:rsidRDefault="00684217" w:rsidP="00684217">
            <w:pPr>
              <w:spacing w:after="0" w:line="240" w:lineRule="auto"/>
              <w:rPr>
                <w:rFonts w:eastAsia="Times New Roman" w:cs="Arial"/>
                <w:sz w:val="20"/>
                <w:szCs w:val="20"/>
              </w:rPr>
            </w:pPr>
            <w:r w:rsidRPr="00684217">
              <w:rPr>
                <w:rFonts w:eastAsia="Times New Roman" w:cs="Arial"/>
                <w:sz w:val="20"/>
                <w:szCs w:val="20"/>
              </w:rPr>
              <w:t xml:space="preserve">171,380 ÷ 93,630 = </w:t>
            </w:r>
            <w:r w:rsidRPr="00684217">
              <w:rPr>
                <w:rFonts w:eastAsia="Times New Roman" w:cs="Arial"/>
                <w:b/>
                <w:bCs/>
                <w:sz w:val="20"/>
                <w:szCs w:val="20"/>
              </w:rPr>
              <w:t>1.83</w:t>
            </w:r>
          </w:p>
        </w:tc>
        <w:tc>
          <w:tcPr>
            <w:tcW w:w="0" w:type="auto"/>
            <w:hideMark/>
          </w:tcPr>
          <w:p w14:paraId="2D5AFB87" w14:textId="77777777" w:rsidR="00684217" w:rsidRPr="00684217" w:rsidRDefault="00684217" w:rsidP="00684217">
            <w:pPr>
              <w:spacing w:after="0" w:line="240" w:lineRule="auto"/>
              <w:rPr>
                <w:rFonts w:eastAsia="Times New Roman" w:cs="Arial"/>
                <w:sz w:val="20"/>
                <w:szCs w:val="20"/>
              </w:rPr>
            </w:pPr>
            <w:r w:rsidRPr="00684217">
              <w:rPr>
                <w:rFonts w:eastAsia="Times New Roman" w:cs="Arial"/>
                <w:sz w:val="20"/>
                <w:szCs w:val="20"/>
              </w:rPr>
              <w:t xml:space="preserve">161,226 ÷ 94,240 = </w:t>
            </w:r>
            <w:r w:rsidRPr="00684217">
              <w:rPr>
                <w:rFonts w:eastAsia="Times New Roman" w:cs="Arial"/>
                <w:b/>
                <w:bCs/>
                <w:sz w:val="20"/>
                <w:szCs w:val="20"/>
              </w:rPr>
              <w:t>1.71</w:t>
            </w:r>
          </w:p>
        </w:tc>
      </w:tr>
      <w:tr w:rsidR="00684217" w:rsidRPr="00684217" w14:paraId="3DC7EAE7" w14:textId="77777777" w:rsidTr="00AD18AF">
        <w:tc>
          <w:tcPr>
            <w:tcW w:w="0" w:type="auto"/>
            <w:hideMark/>
          </w:tcPr>
          <w:p w14:paraId="6A7ED711" w14:textId="77777777" w:rsidR="00684217" w:rsidRPr="00684217" w:rsidRDefault="00684217" w:rsidP="00684217">
            <w:pPr>
              <w:spacing w:after="0" w:line="240" w:lineRule="auto"/>
              <w:rPr>
                <w:rFonts w:eastAsia="Times New Roman" w:cs="Arial"/>
                <w:sz w:val="20"/>
                <w:szCs w:val="20"/>
              </w:rPr>
            </w:pPr>
            <w:r w:rsidRPr="00684217">
              <w:rPr>
                <w:rFonts w:eastAsia="Times New Roman" w:cs="Arial"/>
                <w:b/>
                <w:bCs/>
                <w:sz w:val="20"/>
                <w:szCs w:val="20"/>
              </w:rPr>
              <w:t>Interest Coverage</w:t>
            </w:r>
          </w:p>
        </w:tc>
        <w:tc>
          <w:tcPr>
            <w:tcW w:w="0" w:type="auto"/>
            <w:hideMark/>
          </w:tcPr>
          <w:p w14:paraId="1F0D9519" w14:textId="77777777" w:rsidR="00684217" w:rsidRPr="00684217" w:rsidRDefault="00684217" w:rsidP="00684217">
            <w:pPr>
              <w:spacing w:after="0" w:line="240" w:lineRule="auto"/>
              <w:rPr>
                <w:rFonts w:eastAsia="Times New Roman" w:cs="Arial"/>
                <w:sz w:val="20"/>
                <w:szCs w:val="20"/>
              </w:rPr>
            </w:pPr>
            <w:r w:rsidRPr="00684217">
              <w:rPr>
                <w:rFonts w:eastAsia="Times New Roman" w:cs="Arial"/>
                <w:sz w:val="20"/>
                <w:szCs w:val="20"/>
              </w:rPr>
              <w:t>EBIT ÷ Interest Expense</w:t>
            </w:r>
          </w:p>
        </w:tc>
        <w:tc>
          <w:tcPr>
            <w:tcW w:w="0" w:type="auto"/>
            <w:hideMark/>
          </w:tcPr>
          <w:p w14:paraId="671DA577" w14:textId="77777777" w:rsidR="00684217" w:rsidRPr="00684217" w:rsidRDefault="00684217" w:rsidP="00684217">
            <w:pPr>
              <w:spacing w:after="0" w:line="240" w:lineRule="auto"/>
              <w:rPr>
                <w:rFonts w:eastAsia="Times New Roman" w:cs="Arial"/>
                <w:sz w:val="20"/>
                <w:szCs w:val="20"/>
              </w:rPr>
            </w:pPr>
            <w:r w:rsidRPr="00684217">
              <w:rPr>
                <w:rFonts w:eastAsia="Times New Roman" w:cs="Arial"/>
                <w:sz w:val="20"/>
                <w:szCs w:val="20"/>
              </w:rPr>
              <w:t xml:space="preserve">16,028 ÷ 429 = </w:t>
            </w:r>
            <w:r w:rsidRPr="00684217">
              <w:rPr>
                <w:rFonts w:eastAsia="Times New Roman" w:cs="Arial"/>
                <w:b/>
                <w:bCs/>
                <w:sz w:val="20"/>
                <w:szCs w:val="20"/>
              </w:rPr>
              <w:t>37.36</w:t>
            </w:r>
          </w:p>
        </w:tc>
        <w:tc>
          <w:tcPr>
            <w:tcW w:w="0" w:type="auto"/>
            <w:hideMark/>
          </w:tcPr>
          <w:p w14:paraId="7761A7B6" w14:textId="77777777" w:rsidR="00684217" w:rsidRPr="00684217" w:rsidRDefault="00684217" w:rsidP="00684217">
            <w:pPr>
              <w:spacing w:after="0" w:line="240" w:lineRule="auto"/>
              <w:rPr>
                <w:rFonts w:eastAsia="Times New Roman" w:cs="Arial"/>
                <w:sz w:val="20"/>
                <w:szCs w:val="20"/>
              </w:rPr>
            </w:pPr>
            <w:r w:rsidRPr="00684217">
              <w:rPr>
                <w:rFonts w:eastAsia="Times New Roman" w:cs="Arial"/>
                <w:sz w:val="20"/>
                <w:szCs w:val="20"/>
              </w:rPr>
              <w:t xml:space="preserve">20,458 ÷ 427 = </w:t>
            </w:r>
            <w:r w:rsidRPr="00684217">
              <w:rPr>
                <w:rFonts w:eastAsia="Times New Roman" w:cs="Arial"/>
                <w:b/>
                <w:bCs/>
                <w:sz w:val="20"/>
                <w:szCs w:val="20"/>
              </w:rPr>
              <w:t>47.91</w:t>
            </w:r>
          </w:p>
        </w:tc>
        <w:tc>
          <w:tcPr>
            <w:tcW w:w="0" w:type="auto"/>
            <w:hideMark/>
          </w:tcPr>
          <w:p w14:paraId="786BD704" w14:textId="77777777" w:rsidR="00684217" w:rsidRPr="00684217" w:rsidRDefault="00684217" w:rsidP="00684217">
            <w:pPr>
              <w:spacing w:after="0" w:line="240" w:lineRule="auto"/>
              <w:rPr>
                <w:rFonts w:eastAsia="Times New Roman" w:cs="Arial"/>
                <w:sz w:val="20"/>
                <w:szCs w:val="20"/>
              </w:rPr>
            </w:pPr>
            <w:r w:rsidRPr="00684217">
              <w:rPr>
                <w:rFonts w:eastAsia="Times New Roman" w:cs="Arial"/>
                <w:sz w:val="20"/>
                <w:szCs w:val="20"/>
              </w:rPr>
              <w:t xml:space="preserve">19,660 ÷ 254 = </w:t>
            </w:r>
            <w:r w:rsidRPr="00684217">
              <w:rPr>
                <w:rFonts w:eastAsia="Times New Roman" w:cs="Arial"/>
                <w:b/>
                <w:bCs/>
                <w:sz w:val="20"/>
                <w:szCs w:val="20"/>
              </w:rPr>
              <w:t>77.40</w:t>
            </w:r>
          </w:p>
        </w:tc>
        <w:tc>
          <w:tcPr>
            <w:tcW w:w="0" w:type="auto"/>
            <w:hideMark/>
          </w:tcPr>
          <w:p w14:paraId="5C24B5DA" w14:textId="77777777" w:rsidR="00684217" w:rsidRPr="00684217" w:rsidRDefault="00684217" w:rsidP="00684217">
            <w:pPr>
              <w:spacing w:after="0" w:line="240" w:lineRule="auto"/>
              <w:rPr>
                <w:rFonts w:eastAsia="Times New Roman" w:cs="Arial"/>
                <w:sz w:val="20"/>
                <w:szCs w:val="20"/>
              </w:rPr>
            </w:pPr>
            <w:r w:rsidRPr="00684217">
              <w:rPr>
                <w:rFonts w:eastAsia="Times New Roman" w:cs="Arial"/>
                <w:sz w:val="20"/>
                <w:szCs w:val="20"/>
              </w:rPr>
              <w:t xml:space="preserve">13,599 ÷ 190 = </w:t>
            </w:r>
            <w:r w:rsidRPr="00684217">
              <w:rPr>
                <w:rFonts w:eastAsia="Times New Roman" w:cs="Arial"/>
                <w:b/>
                <w:bCs/>
                <w:sz w:val="20"/>
                <w:szCs w:val="20"/>
              </w:rPr>
              <w:t>71.57</w:t>
            </w:r>
          </w:p>
        </w:tc>
        <w:tc>
          <w:tcPr>
            <w:tcW w:w="0" w:type="auto"/>
            <w:hideMark/>
          </w:tcPr>
          <w:p w14:paraId="076160B6" w14:textId="77777777" w:rsidR="00684217" w:rsidRPr="00684217" w:rsidRDefault="00684217" w:rsidP="00684217">
            <w:pPr>
              <w:spacing w:after="0" w:line="240" w:lineRule="auto"/>
              <w:rPr>
                <w:rFonts w:eastAsia="Times New Roman" w:cs="Arial"/>
                <w:sz w:val="20"/>
                <w:szCs w:val="20"/>
              </w:rPr>
            </w:pPr>
            <w:r w:rsidRPr="00684217">
              <w:rPr>
                <w:rFonts w:eastAsia="Times New Roman" w:cs="Arial"/>
                <w:sz w:val="20"/>
                <w:szCs w:val="20"/>
              </w:rPr>
              <w:t xml:space="preserve">5,820 ÷ 159 = </w:t>
            </w:r>
            <w:r w:rsidRPr="00684217">
              <w:rPr>
                <w:rFonts w:eastAsia="Times New Roman" w:cs="Arial"/>
                <w:b/>
                <w:bCs/>
                <w:sz w:val="20"/>
                <w:szCs w:val="20"/>
              </w:rPr>
              <w:t>36.60</w:t>
            </w:r>
          </w:p>
        </w:tc>
      </w:tr>
    </w:tbl>
    <w:p w14:paraId="7BF7DBDD" w14:textId="77777777" w:rsidR="00684217" w:rsidRPr="00684217" w:rsidRDefault="00684217" w:rsidP="00684217"/>
    <w:p w14:paraId="633065A9" w14:textId="6F020F60" w:rsidR="005508B8" w:rsidRPr="00A553B9" w:rsidRDefault="00B800BF" w:rsidP="00B90093">
      <w:pPr>
        <w:ind w:firstLine="720"/>
        <w:rPr>
          <w:rFonts w:cs="Arial"/>
          <w:szCs w:val="24"/>
        </w:rPr>
      </w:pPr>
      <w:r w:rsidRPr="00A553B9">
        <w:rPr>
          <w:rFonts w:cs="Arial"/>
          <w:szCs w:val="24"/>
        </w:rPr>
        <w:t xml:space="preserve">Gearing ratios imply that financial leverage is currently being put into effect. </w:t>
      </w:r>
      <w:r w:rsidR="00B60C96" w:rsidRPr="00A553B9">
        <w:rPr>
          <w:rFonts w:cs="Arial"/>
          <w:szCs w:val="24"/>
        </w:rPr>
        <w:t>The d</w:t>
      </w:r>
      <w:r w:rsidRPr="00A553B9">
        <w:rPr>
          <w:rFonts w:cs="Arial"/>
          <w:szCs w:val="24"/>
        </w:rPr>
        <w:t>ebt-to-equity ratio decreased in 2021 to 2.55 and in 2025 to 1.71, which shows that the company has pursued a deleveraging policy. Interest coverage is also high</w:t>
      </w:r>
      <w:r w:rsidR="00B60C96" w:rsidRPr="00A553B9">
        <w:rPr>
          <w:rFonts w:cs="Arial"/>
          <w:szCs w:val="24"/>
        </w:rPr>
        <w:t>,</w:t>
      </w:r>
      <w:r w:rsidRPr="00A553B9">
        <w:rPr>
          <w:rFonts w:cs="Arial"/>
          <w:szCs w:val="24"/>
        </w:rPr>
        <w:t xml:space="preserve"> though it has decreased to 36.60 in 2025 compared to a higher level in earlier years</w:t>
      </w:r>
      <w:r w:rsidR="00B60C96" w:rsidRPr="00A553B9">
        <w:rPr>
          <w:rFonts w:cs="Arial"/>
          <w:szCs w:val="24"/>
        </w:rPr>
        <w:t>,</w:t>
      </w:r>
      <w:r w:rsidRPr="00A553B9">
        <w:rPr>
          <w:rFonts w:cs="Arial"/>
          <w:szCs w:val="24"/>
        </w:rPr>
        <w:t xml:space="preserve"> implying less yet ample capacity to pay interest on debts. This shows that Mercedes-Benz is not constrained financially</w:t>
      </w:r>
      <w:r w:rsidR="00B60C96" w:rsidRPr="00A553B9">
        <w:rPr>
          <w:rFonts w:cs="Arial"/>
          <w:szCs w:val="24"/>
        </w:rPr>
        <w:t>,</w:t>
      </w:r>
      <w:r w:rsidRPr="00A553B9">
        <w:rPr>
          <w:rFonts w:cs="Arial"/>
          <w:szCs w:val="24"/>
        </w:rPr>
        <w:t xml:space="preserve"> and it is not faced with solvency risk in the near future</w:t>
      </w:r>
      <w:r w:rsidR="00E93020" w:rsidRPr="00E93020">
        <w:t xml:space="preserve"> </w:t>
      </w:r>
      <w:r w:rsidR="00E93020" w:rsidRPr="00E93020">
        <w:rPr>
          <w:rFonts w:cs="Arial"/>
          <w:szCs w:val="24"/>
        </w:rPr>
        <w:t>(Arhinful and Radmehr, 2023)</w:t>
      </w:r>
      <w:r w:rsidRPr="00A553B9">
        <w:rPr>
          <w:rFonts w:cs="Arial"/>
          <w:szCs w:val="24"/>
        </w:rPr>
        <w:t>. The excessive leverage is not the major issue</w:t>
      </w:r>
      <w:r w:rsidR="00B60C96" w:rsidRPr="00A553B9">
        <w:rPr>
          <w:rFonts w:cs="Arial"/>
          <w:szCs w:val="24"/>
        </w:rPr>
        <w:t>,</w:t>
      </w:r>
      <w:r w:rsidRPr="00A553B9">
        <w:rPr>
          <w:rFonts w:cs="Arial"/>
          <w:szCs w:val="24"/>
        </w:rPr>
        <w:t xml:space="preserve"> but rather the deteriorating returns on capital.</w:t>
      </w:r>
    </w:p>
    <w:p w14:paraId="420906B2" w14:textId="77777777" w:rsidR="00362999" w:rsidRDefault="0062240D" w:rsidP="00362999">
      <w:pPr>
        <w:keepNext/>
        <w:jc w:val="center"/>
      </w:pPr>
      <w:r w:rsidRPr="00A553B9">
        <w:rPr>
          <w:noProof/>
        </w:rPr>
        <w:lastRenderedPageBreak/>
        <w:drawing>
          <wp:inline distT="0" distB="0" distL="0" distR="0" wp14:anchorId="17FEAC46" wp14:editId="26FDF026">
            <wp:extent cx="4572000" cy="2390775"/>
            <wp:effectExtent l="0" t="0" r="0" b="9525"/>
            <wp:docPr id="2112728856" name="Chart 1">
              <a:extLst xmlns:a="http://schemas.openxmlformats.org/drawingml/2006/main">
                <a:ext uri="{FF2B5EF4-FFF2-40B4-BE49-F238E27FC236}">
                  <a16:creationId xmlns:a16="http://schemas.microsoft.com/office/drawing/2014/main" id="{A1F867AE-FAA7-1CA9-B8FB-554594E151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EEADC38" w14:textId="6787A0FB" w:rsidR="00BB0684" w:rsidRDefault="00362999" w:rsidP="00362999">
      <w:pPr>
        <w:pStyle w:val="Caption"/>
        <w:jc w:val="center"/>
        <w:rPr>
          <w:i/>
          <w:iCs/>
          <w:color w:val="auto"/>
          <w:sz w:val="22"/>
          <w:szCs w:val="22"/>
        </w:rPr>
      </w:pPr>
      <w:bookmarkStart w:id="14" w:name="_Toc225717213"/>
      <w:r w:rsidRPr="00B00097">
        <w:rPr>
          <w:i/>
          <w:iCs/>
          <w:color w:val="auto"/>
          <w:sz w:val="22"/>
          <w:szCs w:val="22"/>
        </w:rPr>
        <w:t xml:space="preserve">Figure </w:t>
      </w:r>
      <w:r w:rsidRPr="00B00097">
        <w:rPr>
          <w:i/>
          <w:iCs/>
          <w:color w:val="auto"/>
          <w:sz w:val="22"/>
          <w:szCs w:val="22"/>
        </w:rPr>
        <w:fldChar w:fldCharType="begin"/>
      </w:r>
      <w:r w:rsidRPr="00B00097">
        <w:rPr>
          <w:i/>
          <w:iCs/>
          <w:color w:val="auto"/>
          <w:sz w:val="22"/>
          <w:szCs w:val="22"/>
        </w:rPr>
        <w:instrText xml:space="preserve"> SEQ Figure \* ARABIC </w:instrText>
      </w:r>
      <w:r w:rsidRPr="00B00097">
        <w:rPr>
          <w:i/>
          <w:iCs/>
          <w:color w:val="auto"/>
          <w:sz w:val="22"/>
          <w:szCs w:val="22"/>
        </w:rPr>
        <w:fldChar w:fldCharType="separate"/>
      </w:r>
      <w:r w:rsidR="00671256">
        <w:rPr>
          <w:i/>
          <w:iCs/>
          <w:noProof/>
          <w:color w:val="auto"/>
          <w:sz w:val="22"/>
          <w:szCs w:val="22"/>
        </w:rPr>
        <w:t>5</w:t>
      </w:r>
      <w:r w:rsidRPr="00B00097">
        <w:rPr>
          <w:i/>
          <w:iCs/>
          <w:color w:val="auto"/>
          <w:sz w:val="22"/>
          <w:szCs w:val="22"/>
        </w:rPr>
        <w:fldChar w:fldCharType="end"/>
      </w:r>
      <w:r w:rsidRPr="00B00097">
        <w:rPr>
          <w:i/>
          <w:iCs/>
          <w:color w:val="auto"/>
          <w:sz w:val="22"/>
          <w:szCs w:val="22"/>
        </w:rPr>
        <w:t>: Gearing (Leverage) Ratios</w:t>
      </w:r>
      <w:bookmarkEnd w:id="14"/>
    </w:p>
    <w:p w14:paraId="68E83DD4" w14:textId="3098CC0D" w:rsidR="008D0098" w:rsidRPr="0005183D" w:rsidRDefault="008D0098" w:rsidP="008D0098">
      <w:pPr>
        <w:jc w:val="center"/>
        <w:rPr>
          <w:sz w:val="22"/>
        </w:rPr>
      </w:pPr>
      <w:r w:rsidRPr="0005183D">
        <w:rPr>
          <w:rFonts w:cs="Arial"/>
          <w:sz w:val="22"/>
        </w:rPr>
        <w:t>Source: Author’s Calculations from the dataset and Mercedes-Benz Group financial statements</w:t>
      </w:r>
    </w:p>
    <w:p w14:paraId="52B8F144" w14:textId="77777777" w:rsidR="005508B8" w:rsidRDefault="006D4139" w:rsidP="009E21FB">
      <w:pPr>
        <w:pStyle w:val="Heading3"/>
        <w:rPr>
          <w:rFonts w:ascii="Arial" w:hAnsi="Arial" w:cs="Arial"/>
          <w:color w:val="auto"/>
          <w:szCs w:val="24"/>
        </w:rPr>
      </w:pPr>
      <w:bookmarkStart w:id="15" w:name="_Toc225717171"/>
      <w:r w:rsidRPr="00A553B9">
        <w:rPr>
          <w:rFonts w:ascii="Arial" w:hAnsi="Arial" w:cs="Arial"/>
          <w:color w:val="auto"/>
          <w:szCs w:val="24"/>
        </w:rPr>
        <w:t>Investment Ratios</w:t>
      </w:r>
      <w:bookmarkEnd w:id="15"/>
    </w:p>
    <w:tbl>
      <w:tblPr>
        <w:tblStyle w:val="TableGrid"/>
        <w:tblW w:w="0" w:type="auto"/>
        <w:tblLook w:val="04A0" w:firstRow="1" w:lastRow="0" w:firstColumn="1" w:lastColumn="0" w:noHBand="0" w:noVBand="1"/>
      </w:tblPr>
      <w:tblGrid>
        <w:gridCol w:w="933"/>
        <w:gridCol w:w="1310"/>
        <w:gridCol w:w="1419"/>
        <w:gridCol w:w="1483"/>
        <w:gridCol w:w="1483"/>
        <w:gridCol w:w="1483"/>
        <w:gridCol w:w="1419"/>
      </w:tblGrid>
      <w:tr w:rsidR="00D234F9" w:rsidRPr="00D234F9" w14:paraId="1109B908" w14:textId="77777777" w:rsidTr="00B176D4">
        <w:tc>
          <w:tcPr>
            <w:tcW w:w="0" w:type="auto"/>
            <w:hideMark/>
          </w:tcPr>
          <w:p w14:paraId="66A4FF9D" w14:textId="77777777" w:rsidR="00D234F9" w:rsidRPr="00D234F9" w:rsidRDefault="00D234F9" w:rsidP="00D234F9">
            <w:pPr>
              <w:spacing w:after="0" w:line="240" w:lineRule="auto"/>
              <w:jc w:val="center"/>
              <w:rPr>
                <w:rFonts w:eastAsia="Times New Roman" w:cs="Arial"/>
                <w:b/>
                <w:bCs/>
                <w:sz w:val="20"/>
                <w:szCs w:val="20"/>
              </w:rPr>
            </w:pPr>
            <w:r w:rsidRPr="00D234F9">
              <w:rPr>
                <w:rFonts w:eastAsia="Times New Roman" w:cs="Arial"/>
                <w:b/>
                <w:bCs/>
                <w:sz w:val="20"/>
                <w:szCs w:val="20"/>
              </w:rPr>
              <w:t>Ratio</w:t>
            </w:r>
          </w:p>
        </w:tc>
        <w:tc>
          <w:tcPr>
            <w:tcW w:w="0" w:type="auto"/>
            <w:hideMark/>
          </w:tcPr>
          <w:p w14:paraId="62EF0B97" w14:textId="77777777" w:rsidR="00D234F9" w:rsidRPr="00D234F9" w:rsidRDefault="00D234F9" w:rsidP="00D234F9">
            <w:pPr>
              <w:spacing w:after="0" w:line="240" w:lineRule="auto"/>
              <w:jc w:val="center"/>
              <w:rPr>
                <w:rFonts w:eastAsia="Times New Roman" w:cs="Arial"/>
                <w:b/>
                <w:bCs/>
                <w:sz w:val="20"/>
                <w:szCs w:val="20"/>
              </w:rPr>
            </w:pPr>
            <w:r w:rsidRPr="00D234F9">
              <w:rPr>
                <w:rFonts w:eastAsia="Times New Roman" w:cs="Arial"/>
                <w:b/>
                <w:bCs/>
                <w:sz w:val="20"/>
                <w:szCs w:val="20"/>
              </w:rPr>
              <w:t>Formula</w:t>
            </w:r>
          </w:p>
        </w:tc>
        <w:tc>
          <w:tcPr>
            <w:tcW w:w="0" w:type="auto"/>
            <w:hideMark/>
          </w:tcPr>
          <w:p w14:paraId="079C8CBB" w14:textId="77777777" w:rsidR="00D234F9" w:rsidRPr="00D234F9" w:rsidRDefault="00D234F9" w:rsidP="00D234F9">
            <w:pPr>
              <w:spacing w:after="0" w:line="240" w:lineRule="auto"/>
              <w:jc w:val="center"/>
              <w:rPr>
                <w:rFonts w:eastAsia="Times New Roman" w:cs="Arial"/>
                <w:b/>
                <w:bCs/>
                <w:sz w:val="20"/>
                <w:szCs w:val="20"/>
              </w:rPr>
            </w:pPr>
            <w:r w:rsidRPr="00D234F9">
              <w:rPr>
                <w:rFonts w:eastAsia="Times New Roman" w:cs="Arial"/>
                <w:b/>
                <w:bCs/>
                <w:sz w:val="20"/>
                <w:szCs w:val="20"/>
              </w:rPr>
              <w:t>2021</w:t>
            </w:r>
          </w:p>
        </w:tc>
        <w:tc>
          <w:tcPr>
            <w:tcW w:w="0" w:type="auto"/>
            <w:hideMark/>
          </w:tcPr>
          <w:p w14:paraId="1BCF927D" w14:textId="77777777" w:rsidR="00D234F9" w:rsidRPr="00D234F9" w:rsidRDefault="00D234F9" w:rsidP="00D234F9">
            <w:pPr>
              <w:spacing w:after="0" w:line="240" w:lineRule="auto"/>
              <w:jc w:val="center"/>
              <w:rPr>
                <w:rFonts w:eastAsia="Times New Roman" w:cs="Arial"/>
                <w:b/>
                <w:bCs/>
                <w:sz w:val="20"/>
                <w:szCs w:val="20"/>
              </w:rPr>
            </w:pPr>
            <w:r w:rsidRPr="00D234F9">
              <w:rPr>
                <w:rFonts w:eastAsia="Times New Roman" w:cs="Arial"/>
                <w:b/>
                <w:bCs/>
                <w:sz w:val="20"/>
                <w:szCs w:val="20"/>
              </w:rPr>
              <w:t>2022</w:t>
            </w:r>
          </w:p>
        </w:tc>
        <w:tc>
          <w:tcPr>
            <w:tcW w:w="0" w:type="auto"/>
            <w:hideMark/>
          </w:tcPr>
          <w:p w14:paraId="053393DD" w14:textId="77777777" w:rsidR="00D234F9" w:rsidRPr="00D234F9" w:rsidRDefault="00D234F9" w:rsidP="00D234F9">
            <w:pPr>
              <w:spacing w:after="0" w:line="240" w:lineRule="auto"/>
              <w:jc w:val="center"/>
              <w:rPr>
                <w:rFonts w:eastAsia="Times New Roman" w:cs="Arial"/>
                <w:b/>
                <w:bCs/>
                <w:sz w:val="20"/>
                <w:szCs w:val="20"/>
              </w:rPr>
            </w:pPr>
            <w:r w:rsidRPr="00D234F9">
              <w:rPr>
                <w:rFonts w:eastAsia="Times New Roman" w:cs="Arial"/>
                <w:b/>
                <w:bCs/>
                <w:sz w:val="20"/>
                <w:szCs w:val="20"/>
              </w:rPr>
              <w:t>2023</w:t>
            </w:r>
          </w:p>
        </w:tc>
        <w:tc>
          <w:tcPr>
            <w:tcW w:w="0" w:type="auto"/>
            <w:hideMark/>
          </w:tcPr>
          <w:p w14:paraId="26BC3F95" w14:textId="77777777" w:rsidR="00D234F9" w:rsidRPr="00D234F9" w:rsidRDefault="00D234F9" w:rsidP="00D234F9">
            <w:pPr>
              <w:spacing w:after="0" w:line="240" w:lineRule="auto"/>
              <w:jc w:val="center"/>
              <w:rPr>
                <w:rFonts w:eastAsia="Times New Roman" w:cs="Arial"/>
                <w:b/>
                <w:bCs/>
                <w:sz w:val="20"/>
                <w:szCs w:val="20"/>
              </w:rPr>
            </w:pPr>
            <w:r w:rsidRPr="00D234F9">
              <w:rPr>
                <w:rFonts w:eastAsia="Times New Roman" w:cs="Arial"/>
                <w:b/>
                <w:bCs/>
                <w:sz w:val="20"/>
                <w:szCs w:val="20"/>
              </w:rPr>
              <w:t>2024</w:t>
            </w:r>
          </w:p>
        </w:tc>
        <w:tc>
          <w:tcPr>
            <w:tcW w:w="0" w:type="auto"/>
            <w:hideMark/>
          </w:tcPr>
          <w:p w14:paraId="1EDFF6BF" w14:textId="77777777" w:rsidR="00D234F9" w:rsidRPr="00D234F9" w:rsidRDefault="00D234F9" w:rsidP="00D234F9">
            <w:pPr>
              <w:spacing w:after="0" w:line="240" w:lineRule="auto"/>
              <w:jc w:val="center"/>
              <w:rPr>
                <w:rFonts w:eastAsia="Times New Roman" w:cs="Arial"/>
                <w:b/>
                <w:bCs/>
                <w:sz w:val="20"/>
                <w:szCs w:val="20"/>
              </w:rPr>
            </w:pPr>
            <w:r w:rsidRPr="00D234F9">
              <w:rPr>
                <w:rFonts w:eastAsia="Times New Roman" w:cs="Arial"/>
                <w:b/>
                <w:bCs/>
                <w:sz w:val="20"/>
                <w:szCs w:val="20"/>
              </w:rPr>
              <w:t>2025</w:t>
            </w:r>
          </w:p>
        </w:tc>
      </w:tr>
      <w:tr w:rsidR="00D234F9" w:rsidRPr="00D234F9" w14:paraId="71C04F60" w14:textId="77777777" w:rsidTr="00B176D4">
        <w:tc>
          <w:tcPr>
            <w:tcW w:w="0" w:type="auto"/>
            <w:hideMark/>
          </w:tcPr>
          <w:p w14:paraId="3D0C31DC"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b/>
                <w:bCs/>
                <w:sz w:val="20"/>
                <w:szCs w:val="20"/>
              </w:rPr>
              <w:t>EPS (€)</w:t>
            </w:r>
          </w:p>
        </w:tc>
        <w:tc>
          <w:tcPr>
            <w:tcW w:w="0" w:type="auto"/>
            <w:hideMark/>
          </w:tcPr>
          <w:p w14:paraId="17E1A97A"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Profit ÷ Shares</w:t>
            </w:r>
          </w:p>
        </w:tc>
        <w:tc>
          <w:tcPr>
            <w:tcW w:w="0" w:type="auto"/>
            <w:hideMark/>
          </w:tcPr>
          <w:p w14:paraId="472F7E05"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b/>
                <w:bCs/>
                <w:sz w:val="20"/>
                <w:szCs w:val="20"/>
              </w:rPr>
              <w:t>21.50</w:t>
            </w:r>
          </w:p>
        </w:tc>
        <w:tc>
          <w:tcPr>
            <w:tcW w:w="0" w:type="auto"/>
            <w:hideMark/>
          </w:tcPr>
          <w:p w14:paraId="04025159"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b/>
                <w:bCs/>
                <w:sz w:val="20"/>
                <w:szCs w:val="20"/>
              </w:rPr>
              <w:t>13.55</w:t>
            </w:r>
          </w:p>
        </w:tc>
        <w:tc>
          <w:tcPr>
            <w:tcW w:w="0" w:type="auto"/>
            <w:hideMark/>
          </w:tcPr>
          <w:p w14:paraId="67F77A67"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b/>
                <w:bCs/>
                <w:sz w:val="20"/>
                <w:szCs w:val="20"/>
              </w:rPr>
              <w:t>13.46</w:t>
            </w:r>
          </w:p>
        </w:tc>
        <w:tc>
          <w:tcPr>
            <w:tcW w:w="0" w:type="auto"/>
            <w:hideMark/>
          </w:tcPr>
          <w:p w14:paraId="1C1FAEAA"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b/>
                <w:bCs/>
                <w:sz w:val="20"/>
                <w:szCs w:val="20"/>
              </w:rPr>
              <w:t>10.19</w:t>
            </w:r>
          </w:p>
        </w:tc>
        <w:tc>
          <w:tcPr>
            <w:tcW w:w="0" w:type="auto"/>
            <w:hideMark/>
          </w:tcPr>
          <w:p w14:paraId="067C8328"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b/>
                <w:bCs/>
                <w:sz w:val="20"/>
                <w:szCs w:val="20"/>
              </w:rPr>
              <w:t>5.34</w:t>
            </w:r>
          </w:p>
        </w:tc>
      </w:tr>
      <w:tr w:rsidR="00D234F9" w:rsidRPr="00D234F9" w14:paraId="2F97AEA2" w14:textId="77777777" w:rsidTr="00B176D4">
        <w:tc>
          <w:tcPr>
            <w:tcW w:w="0" w:type="auto"/>
            <w:hideMark/>
          </w:tcPr>
          <w:p w14:paraId="79B1F867"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b/>
                <w:bCs/>
                <w:sz w:val="20"/>
                <w:szCs w:val="20"/>
              </w:rPr>
              <w:t>P/E Ratio</w:t>
            </w:r>
          </w:p>
        </w:tc>
        <w:tc>
          <w:tcPr>
            <w:tcW w:w="0" w:type="auto"/>
            <w:hideMark/>
          </w:tcPr>
          <w:p w14:paraId="3B93823A"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Price ÷ EPS</w:t>
            </w:r>
          </w:p>
        </w:tc>
        <w:tc>
          <w:tcPr>
            <w:tcW w:w="0" w:type="auto"/>
            <w:hideMark/>
          </w:tcPr>
          <w:p w14:paraId="24F7B9D2"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67.72 ÷ 21.5 = </w:t>
            </w:r>
            <w:r w:rsidRPr="00D234F9">
              <w:rPr>
                <w:rFonts w:eastAsia="Times New Roman" w:cs="Arial"/>
                <w:b/>
                <w:bCs/>
                <w:sz w:val="20"/>
                <w:szCs w:val="20"/>
              </w:rPr>
              <w:t>3.15</w:t>
            </w:r>
          </w:p>
        </w:tc>
        <w:tc>
          <w:tcPr>
            <w:tcW w:w="0" w:type="auto"/>
            <w:hideMark/>
          </w:tcPr>
          <w:p w14:paraId="4EA08375"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61.51 ÷ 13.55 = </w:t>
            </w:r>
            <w:r w:rsidRPr="00D234F9">
              <w:rPr>
                <w:rFonts w:eastAsia="Times New Roman" w:cs="Arial"/>
                <w:b/>
                <w:bCs/>
                <w:sz w:val="20"/>
                <w:szCs w:val="20"/>
              </w:rPr>
              <w:t>4.54</w:t>
            </w:r>
          </w:p>
        </w:tc>
        <w:tc>
          <w:tcPr>
            <w:tcW w:w="0" w:type="auto"/>
            <w:hideMark/>
          </w:tcPr>
          <w:p w14:paraId="7EDFF4FE"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62.60 ÷ 13.46 = </w:t>
            </w:r>
            <w:r w:rsidRPr="00D234F9">
              <w:rPr>
                <w:rFonts w:eastAsia="Times New Roman" w:cs="Arial"/>
                <w:b/>
                <w:bCs/>
                <w:sz w:val="20"/>
                <w:szCs w:val="20"/>
              </w:rPr>
              <w:t>4.65</w:t>
            </w:r>
          </w:p>
        </w:tc>
        <w:tc>
          <w:tcPr>
            <w:tcW w:w="0" w:type="auto"/>
            <w:hideMark/>
          </w:tcPr>
          <w:p w14:paraId="70C6BE24"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53.62 ÷ 10.19 = </w:t>
            </w:r>
            <w:r w:rsidRPr="00D234F9">
              <w:rPr>
                <w:rFonts w:eastAsia="Times New Roman" w:cs="Arial"/>
                <w:b/>
                <w:bCs/>
                <w:sz w:val="20"/>
                <w:szCs w:val="20"/>
              </w:rPr>
              <w:t>5.26</w:t>
            </w:r>
          </w:p>
        </w:tc>
        <w:tc>
          <w:tcPr>
            <w:tcW w:w="0" w:type="auto"/>
            <w:hideMark/>
          </w:tcPr>
          <w:p w14:paraId="13794D50"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53.10 ÷ 5.34 = </w:t>
            </w:r>
            <w:r w:rsidRPr="00D234F9">
              <w:rPr>
                <w:rFonts w:eastAsia="Times New Roman" w:cs="Arial"/>
                <w:b/>
                <w:bCs/>
                <w:sz w:val="20"/>
                <w:szCs w:val="20"/>
              </w:rPr>
              <w:t>9.94</w:t>
            </w:r>
          </w:p>
        </w:tc>
      </w:tr>
    </w:tbl>
    <w:p w14:paraId="29AE6637" w14:textId="595A610B" w:rsidR="005508B8" w:rsidRPr="00A553B9" w:rsidRDefault="00545993" w:rsidP="009E21FB">
      <w:pPr>
        <w:ind w:firstLine="720"/>
        <w:rPr>
          <w:rFonts w:cs="Arial"/>
          <w:szCs w:val="24"/>
        </w:rPr>
      </w:pPr>
      <w:r w:rsidRPr="00A553B9">
        <w:rPr>
          <w:rFonts w:cs="Arial"/>
          <w:szCs w:val="24"/>
        </w:rPr>
        <w:t>Investment ratios also show that the financial performance is not linked to the market expectations. The earnings per share decreased, but not severely, since in 2021, it was 21.5</w:t>
      </w:r>
      <w:r w:rsidR="00B60C96" w:rsidRPr="00A553B9">
        <w:rPr>
          <w:rFonts w:cs="Arial"/>
          <w:szCs w:val="24"/>
        </w:rPr>
        <w:t>,</w:t>
      </w:r>
      <w:r w:rsidRPr="00A553B9">
        <w:rPr>
          <w:rFonts w:cs="Arial"/>
          <w:szCs w:val="24"/>
        </w:rPr>
        <w:t xml:space="preserve"> then in 2025, 5.34, and the price-to-earnings ratio surged to 9.94. This implies that the investors will still value the company as a future growth business even when its earning</w:t>
      </w:r>
      <w:r w:rsidR="00B60C96" w:rsidRPr="00A553B9">
        <w:rPr>
          <w:rFonts w:cs="Arial"/>
          <w:szCs w:val="24"/>
        </w:rPr>
        <w:t>s</w:t>
      </w:r>
      <w:r w:rsidRPr="00A553B9">
        <w:rPr>
          <w:rFonts w:cs="Arial"/>
          <w:szCs w:val="24"/>
        </w:rPr>
        <w:t xml:space="preserve"> performance deteriorates</w:t>
      </w:r>
      <w:r w:rsidR="00890F2E" w:rsidRPr="00890F2E">
        <w:t xml:space="preserve"> </w:t>
      </w:r>
      <w:r w:rsidR="00890F2E" w:rsidRPr="00890F2E">
        <w:rPr>
          <w:rFonts w:cs="Arial"/>
          <w:szCs w:val="24"/>
        </w:rPr>
        <w:t>(Nukala and Rao, 2021)</w:t>
      </w:r>
      <w:r w:rsidRPr="00A553B9">
        <w:rPr>
          <w:rFonts w:cs="Arial"/>
          <w:szCs w:val="24"/>
        </w:rPr>
        <w:t>. Nevertheless, this deviation is not sustainable in the event that profitability fails to revive and valuation changes might occur.</w:t>
      </w:r>
    </w:p>
    <w:p w14:paraId="0EFEAE41" w14:textId="77777777" w:rsidR="00B00097" w:rsidRDefault="00B154C8" w:rsidP="00B00097">
      <w:pPr>
        <w:keepNext/>
        <w:jc w:val="center"/>
      </w:pPr>
      <w:r w:rsidRPr="00A553B9">
        <w:rPr>
          <w:noProof/>
        </w:rPr>
        <w:drawing>
          <wp:inline distT="0" distB="0" distL="0" distR="0" wp14:anchorId="4859EE2D" wp14:editId="789CF585">
            <wp:extent cx="5867400" cy="2333625"/>
            <wp:effectExtent l="0" t="0" r="0" b="9525"/>
            <wp:docPr id="666109045" name="Chart 1">
              <a:extLst xmlns:a="http://schemas.openxmlformats.org/drawingml/2006/main">
                <a:ext uri="{FF2B5EF4-FFF2-40B4-BE49-F238E27FC236}">
                  <a16:creationId xmlns:a16="http://schemas.microsoft.com/office/drawing/2014/main" id="{A541C1DD-16D4-DFD1-7388-CCFECEF621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FC24823" w14:textId="48BE9EBC" w:rsidR="0062240D" w:rsidRDefault="00B00097" w:rsidP="00B00097">
      <w:pPr>
        <w:pStyle w:val="Caption"/>
        <w:jc w:val="center"/>
        <w:rPr>
          <w:i/>
          <w:iCs/>
          <w:color w:val="auto"/>
          <w:sz w:val="22"/>
          <w:szCs w:val="22"/>
        </w:rPr>
      </w:pPr>
      <w:bookmarkStart w:id="16" w:name="_Toc225717214"/>
      <w:r w:rsidRPr="00B00097">
        <w:rPr>
          <w:i/>
          <w:iCs/>
          <w:color w:val="auto"/>
          <w:sz w:val="22"/>
          <w:szCs w:val="22"/>
        </w:rPr>
        <w:t xml:space="preserve">Figure </w:t>
      </w:r>
      <w:r w:rsidRPr="00B00097">
        <w:rPr>
          <w:i/>
          <w:iCs/>
          <w:color w:val="auto"/>
          <w:sz w:val="22"/>
          <w:szCs w:val="22"/>
        </w:rPr>
        <w:fldChar w:fldCharType="begin"/>
      </w:r>
      <w:r w:rsidRPr="00B00097">
        <w:rPr>
          <w:i/>
          <w:iCs/>
          <w:color w:val="auto"/>
          <w:sz w:val="22"/>
          <w:szCs w:val="22"/>
        </w:rPr>
        <w:instrText xml:space="preserve"> SEQ Figure \* ARABIC </w:instrText>
      </w:r>
      <w:r w:rsidRPr="00B00097">
        <w:rPr>
          <w:i/>
          <w:iCs/>
          <w:color w:val="auto"/>
          <w:sz w:val="22"/>
          <w:szCs w:val="22"/>
        </w:rPr>
        <w:fldChar w:fldCharType="separate"/>
      </w:r>
      <w:r w:rsidR="00671256">
        <w:rPr>
          <w:i/>
          <w:iCs/>
          <w:noProof/>
          <w:color w:val="auto"/>
          <w:sz w:val="22"/>
          <w:szCs w:val="22"/>
        </w:rPr>
        <w:t>6</w:t>
      </w:r>
      <w:r w:rsidRPr="00B00097">
        <w:rPr>
          <w:i/>
          <w:iCs/>
          <w:color w:val="auto"/>
          <w:sz w:val="22"/>
          <w:szCs w:val="22"/>
        </w:rPr>
        <w:fldChar w:fldCharType="end"/>
      </w:r>
      <w:r w:rsidRPr="00B00097">
        <w:rPr>
          <w:i/>
          <w:iCs/>
          <w:color w:val="auto"/>
          <w:sz w:val="22"/>
          <w:szCs w:val="22"/>
        </w:rPr>
        <w:t>: Investment Ratios</w:t>
      </w:r>
      <w:bookmarkEnd w:id="16"/>
    </w:p>
    <w:p w14:paraId="4B52FC5C" w14:textId="49A83D92" w:rsidR="008D0098" w:rsidRPr="0005183D" w:rsidRDefault="008D0098" w:rsidP="008D0098">
      <w:pPr>
        <w:jc w:val="center"/>
        <w:rPr>
          <w:sz w:val="22"/>
        </w:rPr>
      </w:pPr>
      <w:r w:rsidRPr="0005183D">
        <w:rPr>
          <w:rFonts w:cs="Arial"/>
          <w:sz w:val="22"/>
        </w:rPr>
        <w:t>Source: Author’s Calculations from the dataset and Mercedes-Benz Group financial statements</w:t>
      </w:r>
    </w:p>
    <w:p w14:paraId="22940647" w14:textId="77777777" w:rsidR="005508B8" w:rsidRDefault="006D4139" w:rsidP="009E21FB">
      <w:pPr>
        <w:pStyle w:val="Heading3"/>
        <w:rPr>
          <w:rFonts w:ascii="Arial" w:hAnsi="Arial" w:cs="Arial"/>
          <w:color w:val="auto"/>
          <w:szCs w:val="24"/>
        </w:rPr>
      </w:pPr>
      <w:bookmarkStart w:id="17" w:name="_Toc225717172"/>
      <w:r w:rsidRPr="00A553B9">
        <w:rPr>
          <w:rFonts w:ascii="Arial" w:hAnsi="Arial" w:cs="Arial"/>
          <w:color w:val="auto"/>
          <w:szCs w:val="24"/>
        </w:rPr>
        <w:lastRenderedPageBreak/>
        <w:t>Cash Flow Analysis</w:t>
      </w:r>
      <w:bookmarkEnd w:id="17"/>
    </w:p>
    <w:tbl>
      <w:tblPr>
        <w:tblStyle w:val="TableGrid"/>
        <w:tblW w:w="0" w:type="auto"/>
        <w:tblLook w:val="04A0" w:firstRow="1" w:lastRow="0" w:firstColumn="1" w:lastColumn="0" w:noHBand="0" w:noVBand="1"/>
      </w:tblPr>
      <w:tblGrid>
        <w:gridCol w:w="1160"/>
        <w:gridCol w:w="1500"/>
        <w:gridCol w:w="1374"/>
        <w:gridCol w:w="1374"/>
        <w:gridCol w:w="1374"/>
        <w:gridCol w:w="1374"/>
        <w:gridCol w:w="1374"/>
      </w:tblGrid>
      <w:tr w:rsidR="00D234F9" w:rsidRPr="00D234F9" w14:paraId="3607B6EA" w14:textId="77777777" w:rsidTr="00B176D4">
        <w:tc>
          <w:tcPr>
            <w:tcW w:w="0" w:type="auto"/>
            <w:hideMark/>
          </w:tcPr>
          <w:p w14:paraId="220239DD" w14:textId="77777777" w:rsidR="00D234F9" w:rsidRPr="00D234F9" w:rsidRDefault="00D234F9" w:rsidP="00D234F9">
            <w:pPr>
              <w:spacing w:after="0" w:line="240" w:lineRule="auto"/>
              <w:jc w:val="center"/>
              <w:rPr>
                <w:rFonts w:eastAsia="Times New Roman" w:cs="Arial"/>
                <w:b/>
                <w:bCs/>
                <w:sz w:val="20"/>
                <w:szCs w:val="20"/>
              </w:rPr>
            </w:pPr>
            <w:r w:rsidRPr="00D234F9">
              <w:rPr>
                <w:rFonts w:eastAsia="Times New Roman" w:cs="Arial"/>
                <w:b/>
                <w:bCs/>
                <w:sz w:val="20"/>
                <w:szCs w:val="20"/>
              </w:rPr>
              <w:t>Metric</w:t>
            </w:r>
          </w:p>
        </w:tc>
        <w:tc>
          <w:tcPr>
            <w:tcW w:w="0" w:type="auto"/>
            <w:hideMark/>
          </w:tcPr>
          <w:p w14:paraId="4A72A0D6" w14:textId="77777777" w:rsidR="00D234F9" w:rsidRPr="00D234F9" w:rsidRDefault="00D234F9" w:rsidP="00D234F9">
            <w:pPr>
              <w:spacing w:after="0" w:line="240" w:lineRule="auto"/>
              <w:jc w:val="center"/>
              <w:rPr>
                <w:rFonts w:eastAsia="Times New Roman" w:cs="Arial"/>
                <w:b/>
                <w:bCs/>
                <w:sz w:val="20"/>
                <w:szCs w:val="20"/>
              </w:rPr>
            </w:pPr>
            <w:r w:rsidRPr="00D234F9">
              <w:rPr>
                <w:rFonts w:eastAsia="Times New Roman" w:cs="Arial"/>
                <w:b/>
                <w:bCs/>
                <w:sz w:val="20"/>
                <w:szCs w:val="20"/>
              </w:rPr>
              <w:t>Formula</w:t>
            </w:r>
          </w:p>
        </w:tc>
        <w:tc>
          <w:tcPr>
            <w:tcW w:w="0" w:type="auto"/>
            <w:hideMark/>
          </w:tcPr>
          <w:p w14:paraId="2A910B82" w14:textId="77777777" w:rsidR="00D234F9" w:rsidRPr="00D234F9" w:rsidRDefault="00D234F9" w:rsidP="00D234F9">
            <w:pPr>
              <w:spacing w:after="0" w:line="240" w:lineRule="auto"/>
              <w:jc w:val="center"/>
              <w:rPr>
                <w:rFonts w:eastAsia="Times New Roman" w:cs="Arial"/>
                <w:b/>
                <w:bCs/>
                <w:sz w:val="20"/>
                <w:szCs w:val="20"/>
              </w:rPr>
            </w:pPr>
            <w:r w:rsidRPr="00D234F9">
              <w:rPr>
                <w:rFonts w:eastAsia="Times New Roman" w:cs="Arial"/>
                <w:b/>
                <w:bCs/>
                <w:sz w:val="20"/>
                <w:szCs w:val="20"/>
              </w:rPr>
              <w:t>2021</w:t>
            </w:r>
          </w:p>
        </w:tc>
        <w:tc>
          <w:tcPr>
            <w:tcW w:w="0" w:type="auto"/>
            <w:hideMark/>
          </w:tcPr>
          <w:p w14:paraId="197344EF" w14:textId="77777777" w:rsidR="00D234F9" w:rsidRPr="00D234F9" w:rsidRDefault="00D234F9" w:rsidP="00D234F9">
            <w:pPr>
              <w:spacing w:after="0" w:line="240" w:lineRule="auto"/>
              <w:jc w:val="center"/>
              <w:rPr>
                <w:rFonts w:eastAsia="Times New Roman" w:cs="Arial"/>
                <w:b/>
                <w:bCs/>
                <w:sz w:val="20"/>
                <w:szCs w:val="20"/>
              </w:rPr>
            </w:pPr>
            <w:r w:rsidRPr="00D234F9">
              <w:rPr>
                <w:rFonts w:eastAsia="Times New Roman" w:cs="Arial"/>
                <w:b/>
                <w:bCs/>
                <w:sz w:val="20"/>
                <w:szCs w:val="20"/>
              </w:rPr>
              <w:t>2022</w:t>
            </w:r>
          </w:p>
        </w:tc>
        <w:tc>
          <w:tcPr>
            <w:tcW w:w="0" w:type="auto"/>
            <w:hideMark/>
          </w:tcPr>
          <w:p w14:paraId="76283BF8" w14:textId="77777777" w:rsidR="00D234F9" w:rsidRPr="00D234F9" w:rsidRDefault="00D234F9" w:rsidP="00D234F9">
            <w:pPr>
              <w:spacing w:after="0" w:line="240" w:lineRule="auto"/>
              <w:jc w:val="center"/>
              <w:rPr>
                <w:rFonts w:eastAsia="Times New Roman" w:cs="Arial"/>
                <w:b/>
                <w:bCs/>
                <w:sz w:val="20"/>
                <w:szCs w:val="20"/>
              </w:rPr>
            </w:pPr>
            <w:r w:rsidRPr="00D234F9">
              <w:rPr>
                <w:rFonts w:eastAsia="Times New Roman" w:cs="Arial"/>
                <w:b/>
                <w:bCs/>
                <w:sz w:val="20"/>
                <w:szCs w:val="20"/>
              </w:rPr>
              <w:t>2023</w:t>
            </w:r>
          </w:p>
        </w:tc>
        <w:tc>
          <w:tcPr>
            <w:tcW w:w="0" w:type="auto"/>
            <w:hideMark/>
          </w:tcPr>
          <w:p w14:paraId="00918D50" w14:textId="77777777" w:rsidR="00D234F9" w:rsidRPr="00D234F9" w:rsidRDefault="00D234F9" w:rsidP="00D234F9">
            <w:pPr>
              <w:spacing w:after="0" w:line="240" w:lineRule="auto"/>
              <w:jc w:val="center"/>
              <w:rPr>
                <w:rFonts w:eastAsia="Times New Roman" w:cs="Arial"/>
                <w:b/>
                <w:bCs/>
                <w:sz w:val="20"/>
                <w:szCs w:val="20"/>
              </w:rPr>
            </w:pPr>
            <w:r w:rsidRPr="00D234F9">
              <w:rPr>
                <w:rFonts w:eastAsia="Times New Roman" w:cs="Arial"/>
                <w:b/>
                <w:bCs/>
                <w:sz w:val="20"/>
                <w:szCs w:val="20"/>
              </w:rPr>
              <w:t>2024</w:t>
            </w:r>
          </w:p>
        </w:tc>
        <w:tc>
          <w:tcPr>
            <w:tcW w:w="0" w:type="auto"/>
            <w:hideMark/>
          </w:tcPr>
          <w:p w14:paraId="6AE6DF0C" w14:textId="77777777" w:rsidR="00D234F9" w:rsidRPr="00D234F9" w:rsidRDefault="00D234F9" w:rsidP="00D234F9">
            <w:pPr>
              <w:spacing w:after="0" w:line="240" w:lineRule="auto"/>
              <w:jc w:val="center"/>
              <w:rPr>
                <w:rFonts w:eastAsia="Times New Roman" w:cs="Arial"/>
                <w:b/>
                <w:bCs/>
                <w:sz w:val="20"/>
                <w:szCs w:val="20"/>
              </w:rPr>
            </w:pPr>
            <w:r w:rsidRPr="00D234F9">
              <w:rPr>
                <w:rFonts w:eastAsia="Times New Roman" w:cs="Arial"/>
                <w:b/>
                <w:bCs/>
                <w:sz w:val="20"/>
                <w:szCs w:val="20"/>
              </w:rPr>
              <w:t>2025</w:t>
            </w:r>
          </w:p>
        </w:tc>
      </w:tr>
      <w:tr w:rsidR="00D234F9" w:rsidRPr="00D234F9" w14:paraId="7B1DA83A" w14:textId="77777777" w:rsidTr="00B176D4">
        <w:tc>
          <w:tcPr>
            <w:tcW w:w="0" w:type="auto"/>
            <w:hideMark/>
          </w:tcPr>
          <w:p w14:paraId="6100EF12"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b/>
                <w:bCs/>
                <w:sz w:val="20"/>
                <w:szCs w:val="20"/>
              </w:rPr>
              <w:t>Free Cash Flow (FCF)</w:t>
            </w:r>
          </w:p>
        </w:tc>
        <w:tc>
          <w:tcPr>
            <w:tcW w:w="0" w:type="auto"/>
            <w:hideMark/>
          </w:tcPr>
          <w:p w14:paraId="7BE06AFD"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Operating CF − Investing CF</w:t>
            </w:r>
          </w:p>
        </w:tc>
        <w:tc>
          <w:tcPr>
            <w:tcW w:w="0" w:type="auto"/>
            <w:hideMark/>
          </w:tcPr>
          <w:p w14:paraId="6B7569DD"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24,549 − (−6,226) = </w:t>
            </w:r>
            <w:r w:rsidRPr="00D234F9">
              <w:rPr>
                <w:rFonts w:eastAsia="Times New Roman" w:cs="Arial"/>
                <w:b/>
                <w:bCs/>
                <w:sz w:val="20"/>
                <w:szCs w:val="20"/>
              </w:rPr>
              <w:t>19,970</w:t>
            </w:r>
          </w:p>
        </w:tc>
        <w:tc>
          <w:tcPr>
            <w:tcW w:w="0" w:type="auto"/>
            <w:hideMark/>
          </w:tcPr>
          <w:p w14:paraId="126B2A2A"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16,894 − (−3,453) = </w:t>
            </w:r>
            <w:r w:rsidRPr="00D234F9">
              <w:rPr>
                <w:rFonts w:eastAsia="Times New Roman" w:cs="Arial"/>
                <w:b/>
                <w:bCs/>
                <w:sz w:val="20"/>
                <w:szCs w:val="20"/>
              </w:rPr>
              <w:t>13,413</w:t>
            </w:r>
          </w:p>
        </w:tc>
        <w:tc>
          <w:tcPr>
            <w:tcW w:w="0" w:type="auto"/>
            <w:hideMark/>
          </w:tcPr>
          <w:p w14:paraId="343D4FDF"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14,470 − (−7,315) = </w:t>
            </w:r>
            <w:r w:rsidRPr="00D234F9">
              <w:rPr>
                <w:rFonts w:eastAsia="Times New Roman" w:cs="Arial"/>
                <w:b/>
                <w:bCs/>
                <w:sz w:val="20"/>
                <w:szCs w:val="20"/>
              </w:rPr>
              <w:t>10,725</w:t>
            </w:r>
          </w:p>
        </w:tc>
        <w:tc>
          <w:tcPr>
            <w:tcW w:w="0" w:type="auto"/>
            <w:hideMark/>
          </w:tcPr>
          <w:p w14:paraId="2F2DE3D9"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17,735 − (−8,750) = </w:t>
            </w:r>
            <w:r w:rsidRPr="00D234F9">
              <w:rPr>
                <w:rFonts w:eastAsia="Times New Roman" w:cs="Arial"/>
                <w:b/>
                <w:bCs/>
                <w:sz w:val="20"/>
                <w:szCs w:val="20"/>
              </w:rPr>
              <w:t>13,696</w:t>
            </w:r>
          </w:p>
        </w:tc>
        <w:tc>
          <w:tcPr>
            <w:tcW w:w="0" w:type="auto"/>
            <w:hideMark/>
          </w:tcPr>
          <w:p w14:paraId="0E8ABA67"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18,006 − (−9,200) = </w:t>
            </w:r>
            <w:r w:rsidRPr="00D234F9">
              <w:rPr>
                <w:rFonts w:eastAsia="Times New Roman" w:cs="Arial"/>
                <w:b/>
                <w:bCs/>
                <w:sz w:val="20"/>
                <w:szCs w:val="20"/>
              </w:rPr>
              <w:t>12,524</w:t>
            </w:r>
          </w:p>
        </w:tc>
      </w:tr>
      <w:tr w:rsidR="00D234F9" w:rsidRPr="00D234F9" w14:paraId="70BBACA2" w14:textId="77777777" w:rsidTr="00B176D4">
        <w:tc>
          <w:tcPr>
            <w:tcW w:w="0" w:type="auto"/>
            <w:hideMark/>
          </w:tcPr>
          <w:p w14:paraId="3BCBBCB8"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b/>
                <w:bCs/>
                <w:sz w:val="20"/>
                <w:szCs w:val="20"/>
              </w:rPr>
              <w:t>FCF Yield</w:t>
            </w:r>
          </w:p>
        </w:tc>
        <w:tc>
          <w:tcPr>
            <w:tcW w:w="0" w:type="auto"/>
            <w:hideMark/>
          </w:tcPr>
          <w:p w14:paraId="1213BE3B"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FCF ÷ Market Cap</w:t>
            </w:r>
          </w:p>
        </w:tc>
        <w:tc>
          <w:tcPr>
            <w:tcW w:w="0" w:type="auto"/>
            <w:hideMark/>
          </w:tcPr>
          <w:p w14:paraId="1A7599AE"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19,970 ÷ 72,461 = </w:t>
            </w:r>
            <w:r w:rsidRPr="00D234F9">
              <w:rPr>
                <w:rFonts w:eastAsia="Times New Roman" w:cs="Arial"/>
                <w:b/>
                <w:bCs/>
                <w:sz w:val="20"/>
                <w:szCs w:val="20"/>
              </w:rPr>
              <w:t>27.56%</w:t>
            </w:r>
          </w:p>
        </w:tc>
        <w:tc>
          <w:tcPr>
            <w:tcW w:w="0" w:type="auto"/>
            <w:hideMark/>
          </w:tcPr>
          <w:p w14:paraId="2C955D30"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13,413 ÷ 65,816 = </w:t>
            </w:r>
            <w:r w:rsidRPr="00D234F9">
              <w:rPr>
                <w:rFonts w:eastAsia="Times New Roman" w:cs="Arial"/>
                <w:b/>
                <w:bCs/>
                <w:sz w:val="20"/>
                <w:szCs w:val="20"/>
              </w:rPr>
              <w:t>20.38%</w:t>
            </w:r>
          </w:p>
        </w:tc>
        <w:tc>
          <w:tcPr>
            <w:tcW w:w="0" w:type="auto"/>
            <w:hideMark/>
          </w:tcPr>
          <w:p w14:paraId="7924BE05"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10,725 ÷ 66,982 = </w:t>
            </w:r>
            <w:r w:rsidRPr="00D234F9">
              <w:rPr>
                <w:rFonts w:eastAsia="Times New Roman" w:cs="Arial"/>
                <w:b/>
                <w:bCs/>
                <w:sz w:val="20"/>
                <w:szCs w:val="20"/>
              </w:rPr>
              <w:t>16.01%</w:t>
            </w:r>
          </w:p>
        </w:tc>
        <w:tc>
          <w:tcPr>
            <w:tcW w:w="0" w:type="auto"/>
            <w:hideMark/>
          </w:tcPr>
          <w:p w14:paraId="119ABFE1"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13,696 ÷ 57,910 = </w:t>
            </w:r>
            <w:r w:rsidRPr="00D234F9">
              <w:rPr>
                <w:rFonts w:eastAsia="Times New Roman" w:cs="Arial"/>
                <w:b/>
                <w:bCs/>
                <w:sz w:val="20"/>
                <w:szCs w:val="20"/>
              </w:rPr>
              <w:t>23.65%</w:t>
            </w:r>
          </w:p>
        </w:tc>
        <w:tc>
          <w:tcPr>
            <w:tcW w:w="0" w:type="auto"/>
            <w:hideMark/>
          </w:tcPr>
          <w:p w14:paraId="78BFCA2A" w14:textId="77777777" w:rsidR="00D234F9" w:rsidRPr="00D234F9" w:rsidRDefault="00D234F9" w:rsidP="00D234F9">
            <w:pPr>
              <w:spacing w:after="0" w:line="240" w:lineRule="auto"/>
              <w:rPr>
                <w:rFonts w:eastAsia="Times New Roman" w:cs="Arial"/>
                <w:sz w:val="20"/>
                <w:szCs w:val="20"/>
              </w:rPr>
            </w:pPr>
            <w:r w:rsidRPr="00D234F9">
              <w:rPr>
                <w:rFonts w:eastAsia="Times New Roman" w:cs="Arial"/>
                <w:sz w:val="20"/>
                <w:szCs w:val="20"/>
              </w:rPr>
              <w:t xml:space="preserve">12,524 ÷ 57,348 = </w:t>
            </w:r>
            <w:r w:rsidRPr="00D234F9">
              <w:rPr>
                <w:rFonts w:eastAsia="Times New Roman" w:cs="Arial"/>
                <w:b/>
                <w:bCs/>
                <w:sz w:val="20"/>
                <w:szCs w:val="20"/>
              </w:rPr>
              <w:t>21.84%</w:t>
            </w:r>
          </w:p>
        </w:tc>
      </w:tr>
    </w:tbl>
    <w:p w14:paraId="37E4BA83" w14:textId="77777777" w:rsidR="00D234F9" w:rsidRPr="00D234F9" w:rsidRDefault="00D234F9" w:rsidP="00D234F9"/>
    <w:p w14:paraId="53F424C9" w14:textId="0B4B5AC2" w:rsidR="005508B8" w:rsidRPr="00A553B9" w:rsidRDefault="00AB0F1A" w:rsidP="009E21FB">
      <w:pPr>
        <w:ind w:firstLine="720"/>
        <w:rPr>
          <w:rFonts w:cs="Arial"/>
          <w:szCs w:val="24"/>
        </w:rPr>
      </w:pPr>
      <w:r w:rsidRPr="00A553B9">
        <w:rPr>
          <w:rFonts w:cs="Arial"/>
          <w:szCs w:val="24"/>
        </w:rPr>
        <w:t xml:space="preserve">Analysis of cash flow is relatively favorable. The free cash flows are high as they ranged between their high of 10.7 billion and </w:t>
      </w:r>
      <w:r w:rsidR="00B60C96" w:rsidRPr="00A553B9">
        <w:rPr>
          <w:rFonts w:cs="Arial"/>
          <w:szCs w:val="24"/>
        </w:rPr>
        <w:t>a low</w:t>
      </w:r>
      <w:r w:rsidRPr="00A553B9">
        <w:rPr>
          <w:rFonts w:cs="Arial"/>
          <w:szCs w:val="24"/>
        </w:rPr>
        <w:t xml:space="preserve"> of 19.9 billion throughout the period, which implies that the company is still experiencing high operating cash flows despite the </w:t>
      </w:r>
      <w:r w:rsidR="00F2383A" w:rsidRPr="00A553B9">
        <w:rPr>
          <w:rFonts w:cs="Arial"/>
          <w:szCs w:val="24"/>
        </w:rPr>
        <w:t xml:space="preserve">declining </w:t>
      </w:r>
      <w:r w:rsidRPr="00A553B9">
        <w:rPr>
          <w:rFonts w:cs="Arial"/>
          <w:szCs w:val="24"/>
        </w:rPr>
        <w:t xml:space="preserve">profitability. Free cash flow yield is healthy, but it has decreased to 21.84 percent since 27.56 percent to signify the high level of capital investment. This implies that Mercedes-Benz still enjoys the ability </w:t>
      </w:r>
      <w:r w:rsidR="00B60C96" w:rsidRPr="00A553B9">
        <w:rPr>
          <w:rFonts w:cs="Arial"/>
          <w:szCs w:val="24"/>
        </w:rPr>
        <w:t>to fund</w:t>
      </w:r>
      <w:r w:rsidRPr="00A553B9">
        <w:rPr>
          <w:rFonts w:cs="Arial"/>
          <w:szCs w:val="24"/>
        </w:rPr>
        <w:t xml:space="preserve"> a large percentage of its strategic investments internally</w:t>
      </w:r>
      <w:r w:rsidR="00D854F8" w:rsidRPr="00D854F8">
        <w:t xml:space="preserve"> </w:t>
      </w:r>
      <w:r w:rsidR="00D854F8" w:rsidRPr="00D854F8">
        <w:rPr>
          <w:rFonts w:cs="Arial"/>
          <w:szCs w:val="24"/>
        </w:rPr>
        <w:t xml:space="preserve">(Renaldo </w:t>
      </w:r>
      <w:r w:rsidR="00C63FEC" w:rsidRPr="00C63FEC">
        <w:rPr>
          <w:rFonts w:cs="Arial"/>
          <w:i/>
          <w:iCs/>
          <w:szCs w:val="24"/>
        </w:rPr>
        <w:t>et al</w:t>
      </w:r>
      <w:r w:rsidR="00D854F8" w:rsidRPr="00D854F8">
        <w:rPr>
          <w:rFonts w:cs="Arial"/>
          <w:szCs w:val="24"/>
        </w:rPr>
        <w:t>., 2023)</w:t>
      </w:r>
      <w:r w:rsidRPr="00A553B9">
        <w:rPr>
          <w:rFonts w:cs="Arial"/>
          <w:szCs w:val="24"/>
        </w:rPr>
        <w:t>. Nevertheless, the fluctuation of the free cash flow shows the value of committed capital allocation and the necessity of increased investment hurdle rates to create sustainable value</w:t>
      </w:r>
      <w:r w:rsidR="00654A75" w:rsidRPr="00A553B9">
        <w:rPr>
          <w:rFonts w:cs="Arial"/>
          <w:szCs w:val="24"/>
        </w:rPr>
        <w:t>.</w:t>
      </w:r>
    </w:p>
    <w:p w14:paraId="1E24D488" w14:textId="77777777" w:rsidR="00671256" w:rsidRDefault="00EE1B3C" w:rsidP="00671256">
      <w:pPr>
        <w:keepNext/>
        <w:jc w:val="center"/>
      </w:pPr>
      <w:r w:rsidRPr="00A553B9">
        <w:rPr>
          <w:noProof/>
        </w:rPr>
        <w:drawing>
          <wp:inline distT="0" distB="0" distL="0" distR="0" wp14:anchorId="0DB9CEF7" wp14:editId="2C458783">
            <wp:extent cx="4572000" cy="2743200"/>
            <wp:effectExtent l="0" t="0" r="0" b="0"/>
            <wp:docPr id="2096431822" name="Chart 1">
              <a:extLst xmlns:a="http://schemas.openxmlformats.org/drawingml/2006/main">
                <a:ext uri="{FF2B5EF4-FFF2-40B4-BE49-F238E27FC236}">
                  <a16:creationId xmlns:a16="http://schemas.microsoft.com/office/drawing/2014/main" id="{F0415AC1-ED46-12A8-8316-3A8B446883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E3A6726" w14:textId="75F0C7D2" w:rsidR="006A2C21" w:rsidRDefault="00671256" w:rsidP="00671256">
      <w:pPr>
        <w:pStyle w:val="Caption"/>
        <w:jc w:val="center"/>
        <w:rPr>
          <w:i/>
          <w:iCs/>
          <w:color w:val="auto"/>
          <w:sz w:val="22"/>
          <w:szCs w:val="22"/>
        </w:rPr>
      </w:pPr>
      <w:bookmarkStart w:id="18" w:name="_Toc225717215"/>
      <w:r w:rsidRPr="00671256">
        <w:rPr>
          <w:i/>
          <w:iCs/>
          <w:color w:val="auto"/>
          <w:sz w:val="22"/>
          <w:szCs w:val="22"/>
        </w:rPr>
        <w:t xml:space="preserve">Figure </w:t>
      </w:r>
      <w:r w:rsidRPr="00671256">
        <w:rPr>
          <w:i/>
          <w:iCs/>
          <w:color w:val="auto"/>
          <w:sz w:val="22"/>
          <w:szCs w:val="22"/>
        </w:rPr>
        <w:fldChar w:fldCharType="begin"/>
      </w:r>
      <w:r w:rsidRPr="00671256">
        <w:rPr>
          <w:i/>
          <w:iCs/>
          <w:color w:val="auto"/>
          <w:sz w:val="22"/>
          <w:szCs w:val="22"/>
        </w:rPr>
        <w:instrText xml:space="preserve"> SEQ Figure \* ARABIC </w:instrText>
      </w:r>
      <w:r w:rsidRPr="00671256">
        <w:rPr>
          <w:i/>
          <w:iCs/>
          <w:color w:val="auto"/>
          <w:sz w:val="22"/>
          <w:szCs w:val="22"/>
        </w:rPr>
        <w:fldChar w:fldCharType="separate"/>
      </w:r>
      <w:r w:rsidRPr="00671256">
        <w:rPr>
          <w:i/>
          <w:iCs/>
          <w:noProof/>
          <w:color w:val="auto"/>
          <w:sz w:val="22"/>
          <w:szCs w:val="22"/>
        </w:rPr>
        <w:t>7</w:t>
      </w:r>
      <w:r w:rsidRPr="00671256">
        <w:rPr>
          <w:i/>
          <w:iCs/>
          <w:color w:val="auto"/>
          <w:sz w:val="22"/>
          <w:szCs w:val="22"/>
        </w:rPr>
        <w:fldChar w:fldCharType="end"/>
      </w:r>
      <w:r w:rsidRPr="00671256">
        <w:rPr>
          <w:i/>
          <w:iCs/>
          <w:color w:val="auto"/>
          <w:sz w:val="22"/>
          <w:szCs w:val="22"/>
        </w:rPr>
        <w:t>: Cash Flow Ratios</w:t>
      </w:r>
      <w:bookmarkEnd w:id="18"/>
    </w:p>
    <w:p w14:paraId="5E85CD09" w14:textId="4E17B5A0" w:rsidR="008D0098" w:rsidRPr="0005183D" w:rsidRDefault="008D0098" w:rsidP="008D0098">
      <w:pPr>
        <w:jc w:val="center"/>
        <w:rPr>
          <w:sz w:val="22"/>
        </w:rPr>
      </w:pPr>
      <w:r w:rsidRPr="0005183D">
        <w:rPr>
          <w:rFonts w:cs="Arial"/>
          <w:sz w:val="22"/>
        </w:rPr>
        <w:t>Source: Author’s Calculations from the dataset and Mercedes-Benz Group financial statements</w:t>
      </w:r>
    </w:p>
    <w:p w14:paraId="58342356" w14:textId="77777777" w:rsidR="005508B8" w:rsidRPr="00A553B9" w:rsidRDefault="006D4139" w:rsidP="009E21FB">
      <w:pPr>
        <w:pStyle w:val="Heading2"/>
        <w:rPr>
          <w:rFonts w:ascii="Arial" w:hAnsi="Arial" w:cs="Arial"/>
          <w:color w:val="auto"/>
          <w:szCs w:val="24"/>
        </w:rPr>
      </w:pPr>
      <w:bookmarkStart w:id="19" w:name="_Toc225717173"/>
      <w:r w:rsidRPr="00A553B9">
        <w:rPr>
          <w:rFonts w:ascii="Arial" w:hAnsi="Arial" w:cs="Arial"/>
          <w:color w:val="auto"/>
          <w:szCs w:val="24"/>
        </w:rPr>
        <w:t>2.3 Trend Analysis and Key Issues</w:t>
      </w:r>
      <w:bookmarkEnd w:id="19"/>
    </w:p>
    <w:p w14:paraId="464C12CA" w14:textId="4CADEE14" w:rsidR="004F69E6" w:rsidRPr="00247E16" w:rsidRDefault="00013B9D" w:rsidP="00247E16">
      <w:pPr>
        <w:ind w:firstLine="720"/>
        <w:rPr>
          <w:rFonts w:cs="Arial"/>
          <w:szCs w:val="24"/>
        </w:rPr>
      </w:pPr>
      <w:r w:rsidRPr="00A553B9">
        <w:rPr>
          <w:rFonts w:cs="Arial"/>
          <w:szCs w:val="24"/>
        </w:rPr>
        <w:t xml:space="preserve">The profitability and efficiency of Mercedes-Benz Group AG display an evident decline between 2021 and 2025, although the liquidity levels remained rather stable, and the leverage ratio has positively changed. The profit margins and returns decreased in a progressive fashion, and the cash conversion cycle was growing by a significant margin, which spells out the deterioration of operational efficiency. There has </w:t>
      </w:r>
      <w:r w:rsidRPr="00A553B9">
        <w:rPr>
          <w:rFonts w:cs="Arial"/>
          <w:szCs w:val="24"/>
        </w:rPr>
        <w:lastRenderedPageBreak/>
        <w:t>been an accumulation of inventory and a decreas</w:t>
      </w:r>
      <w:r w:rsidR="00B60C96" w:rsidRPr="00A553B9">
        <w:rPr>
          <w:rFonts w:cs="Arial"/>
          <w:szCs w:val="24"/>
        </w:rPr>
        <w:t>e in</w:t>
      </w:r>
      <w:r w:rsidRPr="00A553B9">
        <w:rPr>
          <w:rFonts w:cs="Arial"/>
          <w:szCs w:val="24"/>
        </w:rPr>
        <w:t xml:space="preserve"> receivables collection</w:t>
      </w:r>
      <w:r w:rsidR="00B60C96" w:rsidRPr="00A553B9">
        <w:rPr>
          <w:rFonts w:cs="Arial"/>
          <w:szCs w:val="24"/>
        </w:rPr>
        <w:t>,</w:t>
      </w:r>
      <w:r w:rsidRPr="00A553B9">
        <w:rPr>
          <w:rFonts w:cs="Arial"/>
          <w:szCs w:val="24"/>
        </w:rPr>
        <w:t xml:space="preserve"> which has lowered capital productivity. Despite the improvement in liquidity ratios and </w:t>
      </w:r>
      <w:r w:rsidR="00B60C96" w:rsidRPr="00A553B9">
        <w:rPr>
          <w:rFonts w:cs="Arial"/>
          <w:szCs w:val="24"/>
        </w:rPr>
        <w:t xml:space="preserve">strong </w:t>
      </w:r>
      <w:r w:rsidRPr="00A553B9">
        <w:rPr>
          <w:rFonts w:cs="Arial"/>
          <w:szCs w:val="24"/>
        </w:rPr>
        <w:t>cash flows that are strong, these advantages are hiding the fact that there are inefficiencies. The bottom</w:t>
      </w:r>
      <w:r w:rsidR="00B60C96" w:rsidRPr="00A553B9">
        <w:rPr>
          <w:rFonts w:cs="Arial"/>
          <w:szCs w:val="24"/>
        </w:rPr>
        <w:t xml:space="preserve"> </w:t>
      </w:r>
      <w:r w:rsidRPr="00A553B9">
        <w:rPr>
          <w:rFonts w:cs="Arial"/>
          <w:szCs w:val="24"/>
        </w:rPr>
        <w:t>line is a decreased generation of returns as opposed to the bottom</w:t>
      </w:r>
      <w:r w:rsidR="00B60C96" w:rsidRPr="00A553B9">
        <w:rPr>
          <w:rFonts w:cs="Arial"/>
          <w:szCs w:val="24"/>
        </w:rPr>
        <w:t xml:space="preserve"> </w:t>
      </w:r>
      <w:r w:rsidRPr="00A553B9">
        <w:rPr>
          <w:rFonts w:cs="Arial"/>
          <w:szCs w:val="24"/>
        </w:rPr>
        <w:t>line being unstable. As a CFO, we would first and foremost focus on getting profitability back, increas</w:t>
      </w:r>
      <w:r w:rsidR="00B60C96" w:rsidRPr="00A553B9">
        <w:rPr>
          <w:rFonts w:cs="Arial"/>
          <w:szCs w:val="24"/>
        </w:rPr>
        <w:t>ing</w:t>
      </w:r>
      <w:r w:rsidRPr="00A553B9">
        <w:rPr>
          <w:rFonts w:cs="Arial"/>
          <w:szCs w:val="24"/>
        </w:rPr>
        <w:t xml:space="preserve"> the value of assets</w:t>
      </w:r>
      <w:r w:rsidR="00B60C96" w:rsidRPr="00A553B9">
        <w:rPr>
          <w:rFonts w:cs="Arial"/>
          <w:szCs w:val="24"/>
        </w:rPr>
        <w:t>,</w:t>
      </w:r>
      <w:r w:rsidRPr="00A553B9">
        <w:rPr>
          <w:rFonts w:cs="Arial"/>
          <w:szCs w:val="24"/>
        </w:rPr>
        <w:t xml:space="preserve"> and tighten</w:t>
      </w:r>
      <w:r w:rsidR="00B60C96" w:rsidRPr="00A553B9">
        <w:rPr>
          <w:rFonts w:cs="Arial"/>
          <w:szCs w:val="24"/>
        </w:rPr>
        <w:t>ing</w:t>
      </w:r>
      <w:r w:rsidRPr="00A553B9">
        <w:rPr>
          <w:rFonts w:cs="Arial"/>
          <w:szCs w:val="24"/>
        </w:rPr>
        <w:t xml:space="preserve"> the screws of the working capital to enable long-term sustainable value creation</w:t>
      </w:r>
      <w:r w:rsidR="008B6063" w:rsidRPr="00A553B9">
        <w:rPr>
          <w:rFonts w:cs="Arial"/>
          <w:szCs w:val="24"/>
        </w:rPr>
        <w:t>.</w:t>
      </w:r>
    </w:p>
    <w:p w14:paraId="53F9C826" w14:textId="78E71636" w:rsidR="00247E16" w:rsidRPr="000C5CA6" w:rsidRDefault="00247E16" w:rsidP="00247E16">
      <w:pPr>
        <w:pStyle w:val="Caption"/>
        <w:keepNext/>
        <w:rPr>
          <w:i/>
          <w:iCs/>
          <w:color w:val="auto"/>
          <w:sz w:val="22"/>
          <w:szCs w:val="22"/>
        </w:rPr>
      </w:pPr>
      <w:bookmarkStart w:id="20" w:name="_Toc225721357"/>
      <w:r w:rsidRPr="000C5CA6">
        <w:rPr>
          <w:i/>
          <w:iCs/>
          <w:color w:val="auto"/>
          <w:sz w:val="22"/>
          <w:szCs w:val="22"/>
        </w:rPr>
        <w:t xml:space="preserve">Table </w:t>
      </w:r>
      <w:r w:rsidRPr="000C5CA6">
        <w:rPr>
          <w:i/>
          <w:iCs/>
          <w:color w:val="auto"/>
          <w:sz w:val="22"/>
          <w:szCs w:val="22"/>
        </w:rPr>
        <w:fldChar w:fldCharType="begin"/>
      </w:r>
      <w:r w:rsidRPr="000C5CA6">
        <w:rPr>
          <w:i/>
          <w:iCs/>
          <w:color w:val="auto"/>
          <w:sz w:val="22"/>
          <w:szCs w:val="22"/>
        </w:rPr>
        <w:instrText xml:space="preserve"> SEQ Table \* ARABIC </w:instrText>
      </w:r>
      <w:r w:rsidRPr="000C5CA6">
        <w:rPr>
          <w:i/>
          <w:iCs/>
          <w:color w:val="auto"/>
          <w:sz w:val="22"/>
          <w:szCs w:val="22"/>
        </w:rPr>
        <w:fldChar w:fldCharType="separate"/>
      </w:r>
      <w:r w:rsidR="00FD0624">
        <w:rPr>
          <w:i/>
          <w:iCs/>
          <w:noProof/>
          <w:color w:val="auto"/>
          <w:sz w:val="22"/>
          <w:szCs w:val="22"/>
        </w:rPr>
        <w:t>1</w:t>
      </w:r>
      <w:r w:rsidRPr="000C5CA6">
        <w:rPr>
          <w:i/>
          <w:iCs/>
          <w:color w:val="auto"/>
          <w:sz w:val="22"/>
          <w:szCs w:val="22"/>
        </w:rPr>
        <w:fldChar w:fldCharType="end"/>
      </w:r>
      <w:r w:rsidRPr="000C5CA6">
        <w:rPr>
          <w:i/>
          <w:iCs/>
          <w:color w:val="auto"/>
          <w:sz w:val="22"/>
          <w:szCs w:val="22"/>
        </w:rPr>
        <w:t>: Mercedes</w:t>
      </w:r>
      <w:r w:rsidR="00705C26">
        <w:rPr>
          <w:i/>
          <w:iCs/>
          <w:color w:val="auto"/>
          <w:sz w:val="22"/>
          <w:szCs w:val="22"/>
        </w:rPr>
        <w:t>-</w:t>
      </w:r>
      <w:r w:rsidRPr="000C5CA6">
        <w:rPr>
          <w:i/>
          <w:iCs/>
          <w:color w:val="auto"/>
          <w:sz w:val="22"/>
          <w:szCs w:val="22"/>
        </w:rPr>
        <w:t>Benz Financial Ratio Trends</w:t>
      </w:r>
      <w:bookmarkEnd w:id="20"/>
    </w:p>
    <w:tbl>
      <w:tblPr>
        <w:tblStyle w:val="PlainTable1"/>
        <w:tblW w:w="0" w:type="auto"/>
        <w:jc w:val="center"/>
        <w:tblLook w:val="04A0" w:firstRow="1" w:lastRow="0" w:firstColumn="1" w:lastColumn="0" w:noHBand="0" w:noVBand="1"/>
      </w:tblPr>
      <w:tblGrid>
        <w:gridCol w:w="2111"/>
        <w:gridCol w:w="963"/>
        <w:gridCol w:w="963"/>
        <w:gridCol w:w="963"/>
        <w:gridCol w:w="963"/>
        <w:gridCol w:w="963"/>
      </w:tblGrid>
      <w:tr w:rsidR="00256E47" w:rsidRPr="00256E47" w14:paraId="7A2030FB" w14:textId="77777777" w:rsidTr="00256E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F41F7B" w14:textId="77777777" w:rsidR="00256E47" w:rsidRPr="00256E47" w:rsidRDefault="00256E47" w:rsidP="00256E47">
            <w:pPr>
              <w:spacing w:after="0" w:line="240" w:lineRule="auto"/>
              <w:jc w:val="center"/>
              <w:rPr>
                <w:rFonts w:eastAsia="Times New Roman" w:cs="Arial"/>
                <w:sz w:val="22"/>
              </w:rPr>
            </w:pPr>
            <w:r w:rsidRPr="00256E47">
              <w:rPr>
                <w:rFonts w:eastAsia="Times New Roman" w:cs="Arial"/>
                <w:sz w:val="22"/>
              </w:rPr>
              <w:t>Ratio</w:t>
            </w:r>
          </w:p>
        </w:tc>
        <w:tc>
          <w:tcPr>
            <w:tcW w:w="0" w:type="auto"/>
            <w:hideMark/>
          </w:tcPr>
          <w:p w14:paraId="286885FB" w14:textId="77777777" w:rsidR="00256E47" w:rsidRPr="00256E47" w:rsidRDefault="00256E47" w:rsidP="00256E4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2021</w:t>
            </w:r>
          </w:p>
        </w:tc>
        <w:tc>
          <w:tcPr>
            <w:tcW w:w="0" w:type="auto"/>
            <w:hideMark/>
          </w:tcPr>
          <w:p w14:paraId="4CE8AEEC" w14:textId="77777777" w:rsidR="00256E47" w:rsidRPr="00256E47" w:rsidRDefault="00256E47" w:rsidP="00256E4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2022</w:t>
            </w:r>
          </w:p>
        </w:tc>
        <w:tc>
          <w:tcPr>
            <w:tcW w:w="0" w:type="auto"/>
            <w:hideMark/>
          </w:tcPr>
          <w:p w14:paraId="158B6B2E" w14:textId="77777777" w:rsidR="00256E47" w:rsidRPr="00256E47" w:rsidRDefault="00256E47" w:rsidP="00256E4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2023</w:t>
            </w:r>
          </w:p>
        </w:tc>
        <w:tc>
          <w:tcPr>
            <w:tcW w:w="0" w:type="auto"/>
            <w:hideMark/>
          </w:tcPr>
          <w:p w14:paraId="209B7637" w14:textId="77777777" w:rsidR="00256E47" w:rsidRPr="00256E47" w:rsidRDefault="00256E47" w:rsidP="00256E4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2024</w:t>
            </w:r>
          </w:p>
        </w:tc>
        <w:tc>
          <w:tcPr>
            <w:tcW w:w="0" w:type="auto"/>
            <w:hideMark/>
          </w:tcPr>
          <w:p w14:paraId="0712DFCB" w14:textId="77777777" w:rsidR="00256E47" w:rsidRPr="00256E47" w:rsidRDefault="00256E47" w:rsidP="00256E4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2025</w:t>
            </w:r>
          </w:p>
        </w:tc>
      </w:tr>
      <w:tr w:rsidR="00256E47" w:rsidRPr="00256E47" w14:paraId="18B18853" w14:textId="77777777" w:rsidTr="00256E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03FCE7" w14:textId="77777777" w:rsidR="00256E47" w:rsidRPr="00256E47" w:rsidRDefault="00256E47" w:rsidP="00256E47">
            <w:pPr>
              <w:spacing w:after="0" w:line="240" w:lineRule="auto"/>
              <w:rPr>
                <w:rFonts w:eastAsia="Times New Roman" w:cs="Arial"/>
                <w:b w:val="0"/>
                <w:bCs w:val="0"/>
                <w:sz w:val="22"/>
              </w:rPr>
            </w:pPr>
            <w:r w:rsidRPr="00256E47">
              <w:rPr>
                <w:rFonts w:eastAsia="Times New Roman" w:cs="Arial"/>
                <w:b w:val="0"/>
                <w:bCs w:val="0"/>
                <w:sz w:val="22"/>
              </w:rPr>
              <w:t>Gross Profit Margin</w:t>
            </w:r>
          </w:p>
        </w:tc>
        <w:tc>
          <w:tcPr>
            <w:tcW w:w="0" w:type="auto"/>
            <w:hideMark/>
          </w:tcPr>
          <w:p w14:paraId="7409FD29" w14:textId="77777777" w:rsidR="00256E47" w:rsidRPr="00256E47" w:rsidRDefault="00256E47" w:rsidP="00256E47">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256E47">
              <w:rPr>
                <w:rFonts w:eastAsia="Times New Roman" w:cs="Arial"/>
                <w:sz w:val="22"/>
              </w:rPr>
              <w:t>22.91%</w:t>
            </w:r>
          </w:p>
        </w:tc>
        <w:tc>
          <w:tcPr>
            <w:tcW w:w="0" w:type="auto"/>
            <w:hideMark/>
          </w:tcPr>
          <w:p w14:paraId="3E420688" w14:textId="77777777" w:rsidR="00256E47" w:rsidRPr="00256E47" w:rsidRDefault="00256E47" w:rsidP="00256E47">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256E47">
              <w:rPr>
                <w:rFonts w:eastAsia="Times New Roman" w:cs="Arial"/>
                <w:sz w:val="22"/>
              </w:rPr>
              <w:t>22.68%</w:t>
            </w:r>
          </w:p>
        </w:tc>
        <w:tc>
          <w:tcPr>
            <w:tcW w:w="0" w:type="auto"/>
            <w:hideMark/>
          </w:tcPr>
          <w:p w14:paraId="060153F8" w14:textId="77777777" w:rsidR="00256E47" w:rsidRPr="00256E47" w:rsidRDefault="00256E47" w:rsidP="00256E47">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256E47">
              <w:rPr>
                <w:rFonts w:eastAsia="Times New Roman" w:cs="Arial"/>
                <w:sz w:val="22"/>
              </w:rPr>
              <w:t>22.44%</w:t>
            </w:r>
          </w:p>
        </w:tc>
        <w:tc>
          <w:tcPr>
            <w:tcW w:w="0" w:type="auto"/>
            <w:hideMark/>
          </w:tcPr>
          <w:p w14:paraId="7BFF0C49" w14:textId="77777777" w:rsidR="00256E47" w:rsidRPr="00256E47" w:rsidRDefault="00256E47" w:rsidP="00256E47">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256E47">
              <w:rPr>
                <w:rFonts w:eastAsia="Times New Roman" w:cs="Arial"/>
                <w:sz w:val="22"/>
              </w:rPr>
              <w:t>19.63%</w:t>
            </w:r>
          </w:p>
        </w:tc>
        <w:tc>
          <w:tcPr>
            <w:tcW w:w="0" w:type="auto"/>
            <w:hideMark/>
          </w:tcPr>
          <w:p w14:paraId="02873965" w14:textId="77777777" w:rsidR="00256E47" w:rsidRPr="00256E47" w:rsidRDefault="00256E47" w:rsidP="00256E47">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256E47">
              <w:rPr>
                <w:rFonts w:eastAsia="Times New Roman" w:cs="Arial"/>
                <w:sz w:val="22"/>
              </w:rPr>
              <w:t>16.89%</w:t>
            </w:r>
          </w:p>
        </w:tc>
      </w:tr>
      <w:tr w:rsidR="00256E47" w:rsidRPr="00256E47" w14:paraId="5E85FCBD" w14:textId="77777777" w:rsidTr="00256E4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C78735" w14:textId="77777777" w:rsidR="00256E47" w:rsidRPr="00256E47" w:rsidRDefault="00256E47" w:rsidP="00256E47">
            <w:pPr>
              <w:spacing w:after="0" w:line="240" w:lineRule="auto"/>
              <w:rPr>
                <w:rFonts w:eastAsia="Times New Roman" w:cs="Arial"/>
                <w:b w:val="0"/>
                <w:bCs w:val="0"/>
                <w:sz w:val="22"/>
              </w:rPr>
            </w:pPr>
            <w:r w:rsidRPr="00256E47">
              <w:rPr>
                <w:rFonts w:eastAsia="Times New Roman" w:cs="Arial"/>
                <w:b w:val="0"/>
                <w:bCs w:val="0"/>
                <w:sz w:val="22"/>
              </w:rPr>
              <w:t>Net Profit Margin</w:t>
            </w:r>
          </w:p>
        </w:tc>
        <w:tc>
          <w:tcPr>
            <w:tcW w:w="0" w:type="auto"/>
            <w:hideMark/>
          </w:tcPr>
          <w:p w14:paraId="1A9AEFCC" w14:textId="77777777" w:rsidR="00256E47" w:rsidRPr="00256E47" w:rsidRDefault="00256E47" w:rsidP="00256E47">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17.47%</w:t>
            </w:r>
          </w:p>
        </w:tc>
        <w:tc>
          <w:tcPr>
            <w:tcW w:w="0" w:type="auto"/>
            <w:hideMark/>
          </w:tcPr>
          <w:p w14:paraId="44EE1C2F" w14:textId="77777777" w:rsidR="00256E47" w:rsidRPr="00256E47" w:rsidRDefault="00256E47" w:rsidP="00256E47">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9.87%</w:t>
            </w:r>
          </w:p>
        </w:tc>
        <w:tc>
          <w:tcPr>
            <w:tcW w:w="0" w:type="auto"/>
            <w:hideMark/>
          </w:tcPr>
          <w:p w14:paraId="7DBBFDF4" w14:textId="77777777" w:rsidR="00256E47" w:rsidRPr="00256E47" w:rsidRDefault="00256E47" w:rsidP="00256E47">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9.48%</w:t>
            </w:r>
          </w:p>
        </w:tc>
        <w:tc>
          <w:tcPr>
            <w:tcW w:w="0" w:type="auto"/>
            <w:hideMark/>
          </w:tcPr>
          <w:p w14:paraId="300A7367" w14:textId="77777777" w:rsidR="00256E47" w:rsidRPr="00256E47" w:rsidRDefault="00256E47" w:rsidP="00256E47">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7.15%</w:t>
            </w:r>
          </w:p>
        </w:tc>
        <w:tc>
          <w:tcPr>
            <w:tcW w:w="0" w:type="auto"/>
            <w:hideMark/>
          </w:tcPr>
          <w:p w14:paraId="1BF9F057" w14:textId="77777777" w:rsidR="00256E47" w:rsidRPr="00256E47" w:rsidRDefault="00256E47" w:rsidP="00256E47">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4.03%</w:t>
            </w:r>
          </w:p>
        </w:tc>
      </w:tr>
      <w:tr w:rsidR="00256E47" w:rsidRPr="00256E47" w14:paraId="1E62480F" w14:textId="77777777" w:rsidTr="00256E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3DD545" w14:textId="77777777" w:rsidR="00256E47" w:rsidRPr="00256E47" w:rsidRDefault="00256E47" w:rsidP="00256E47">
            <w:pPr>
              <w:spacing w:after="0" w:line="240" w:lineRule="auto"/>
              <w:rPr>
                <w:rFonts w:eastAsia="Times New Roman" w:cs="Arial"/>
                <w:b w:val="0"/>
                <w:bCs w:val="0"/>
                <w:sz w:val="22"/>
              </w:rPr>
            </w:pPr>
            <w:r w:rsidRPr="00256E47">
              <w:rPr>
                <w:rFonts w:eastAsia="Times New Roman" w:cs="Arial"/>
                <w:b w:val="0"/>
                <w:bCs w:val="0"/>
                <w:sz w:val="22"/>
              </w:rPr>
              <w:t>ROE</w:t>
            </w:r>
          </w:p>
        </w:tc>
        <w:tc>
          <w:tcPr>
            <w:tcW w:w="0" w:type="auto"/>
            <w:hideMark/>
          </w:tcPr>
          <w:p w14:paraId="402BA683" w14:textId="77777777" w:rsidR="00256E47" w:rsidRPr="00256E47" w:rsidRDefault="00256E47" w:rsidP="00256E47">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256E47">
              <w:rPr>
                <w:rFonts w:eastAsia="Times New Roman" w:cs="Arial"/>
                <w:sz w:val="22"/>
              </w:rPr>
              <w:t>31.98%</w:t>
            </w:r>
          </w:p>
        </w:tc>
        <w:tc>
          <w:tcPr>
            <w:tcW w:w="0" w:type="auto"/>
            <w:hideMark/>
          </w:tcPr>
          <w:p w14:paraId="659FBF63" w14:textId="77777777" w:rsidR="00256E47" w:rsidRPr="00256E47" w:rsidRDefault="00256E47" w:rsidP="00256E47">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256E47">
              <w:rPr>
                <w:rFonts w:eastAsia="Times New Roman" w:cs="Arial"/>
                <w:sz w:val="22"/>
              </w:rPr>
              <w:t>17.11%</w:t>
            </w:r>
          </w:p>
        </w:tc>
        <w:tc>
          <w:tcPr>
            <w:tcW w:w="0" w:type="auto"/>
            <w:hideMark/>
          </w:tcPr>
          <w:p w14:paraId="3C7E23F7" w14:textId="77777777" w:rsidR="00256E47" w:rsidRPr="00256E47" w:rsidRDefault="00256E47" w:rsidP="00256E47">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256E47">
              <w:rPr>
                <w:rFonts w:eastAsia="Times New Roman" w:cs="Arial"/>
                <w:sz w:val="22"/>
              </w:rPr>
              <w:t>15.66%</w:t>
            </w:r>
          </w:p>
        </w:tc>
        <w:tc>
          <w:tcPr>
            <w:tcW w:w="0" w:type="auto"/>
            <w:hideMark/>
          </w:tcPr>
          <w:p w14:paraId="4E367CE4" w14:textId="77777777" w:rsidR="00256E47" w:rsidRPr="00256E47" w:rsidRDefault="00256E47" w:rsidP="00256E47">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256E47">
              <w:rPr>
                <w:rFonts w:eastAsia="Times New Roman" w:cs="Arial"/>
                <w:sz w:val="22"/>
              </w:rPr>
              <w:t>11.12%</w:t>
            </w:r>
          </w:p>
        </w:tc>
        <w:tc>
          <w:tcPr>
            <w:tcW w:w="0" w:type="auto"/>
            <w:hideMark/>
          </w:tcPr>
          <w:p w14:paraId="1B621F95" w14:textId="77777777" w:rsidR="00256E47" w:rsidRPr="00256E47" w:rsidRDefault="00256E47" w:rsidP="00256E47">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256E47">
              <w:rPr>
                <w:rFonts w:eastAsia="Times New Roman" w:cs="Arial"/>
                <w:sz w:val="22"/>
              </w:rPr>
              <w:t>5.66%</w:t>
            </w:r>
          </w:p>
        </w:tc>
      </w:tr>
      <w:tr w:rsidR="00256E47" w:rsidRPr="00256E47" w14:paraId="557129BC" w14:textId="77777777" w:rsidTr="00256E4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733261" w14:textId="77777777" w:rsidR="00256E47" w:rsidRPr="00256E47" w:rsidRDefault="00256E47" w:rsidP="00256E47">
            <w:pPr>
              <w:spacing w:after="0" w:line="240" w:lineRule="auto"/>
              <w:rPr>
                <w:rFonts w:eastAsia="Times New Roman" w:cs="Arial"/>
                <w:b w:val="0"/>
                <w:bCs w:val="0"/>
                <w:sz w:val="22"/>
              </w:rPr>
            </w:pPr>
            <w:r w:rsidRPr="00256E47">
              <w:rPr>
                <w:rFonts w:eastAsia="Times New Roman" w:cs="Arial"/>
                <w:b w:val="0"/>
                <w:bCs w:val="0"/>
                <w:sz w:val="22"/>
              </w:rPr>
              <w:t>CCC (Days)</w:t>
            </w:r>
          </w:p>
        </w:tc>
        <w:tc>
          <w:tcPr>
            <w:tcW w:w="0" w:type="auto"/>
            <w:hideMark/>
          </w:tcPr>
          <w:p w14:paraId="4D607F4A" w14:textId="77777777" w:rsidR="00256E47" w:rsidRPr="00256E47" w:rsidRDefault="00256E47" w:rsidP="00256E47">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32.68</w:t>
            </w:r>
          </w:p>
        </w:tc>
        <w:tc>
          <w:tcPr>
            <w:tcW w:w="0" w:type="auto"/>
            <w:hideMark/>
          </w:tcPr>
          <w:p w14:paraId="0A0021BD" w14:textId="77777777" w:rsidR="00256E47" w:rsidRPr="00256E47" w:rsidRDefault="00256E47" w:rsidP="00256E47">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62.93</w:t>
            </w:r>
          </w:p>
        </w:tc>
        <w:tc>
          <w:tcPr>
            <w:tcW w:w="0" w:type="auto"/>
            <w:hideMark/>
          </w:tcPr>
          <w:p w14:paraId="421AF9B2" w14:textId="77777777" w:rsidR="00256E47" w:rsidRPr="00256E47" w:rsidRDefault="00256E47" w:rsidP="00256E47">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66.44</w:t>
            </w:r>
          </w:p>
        </w:tc>
        <w:tc>
          <w:tcPr>
            <w:tcW w:w="0" w:type="auto"/>
            <w:hideMark/>
          </w:tcPr>
          <w:p w14:paraId="1FE9F7AF" w14:textId="77777777" w:rsidR="00256E47" w:rsidRPr="00256E47" w:rsidRDefault="00256E47" w:rsidP="00256E47">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68.06</w:t>
            </w:r>
          </w:p>
        </w:tc>
        <w:tc>
          <w:tcPr>
            <w:tcW w:w="0" w:type="auto"/>
            <w:hideMark/>
          </w:tcPr>
          <w:p w14:paraId="6DCFBC21" w14:textId="77777777" w:rsidR="00256E47" w:rsidRPr="00256E47" w:rsidRDefault="00256E47" w:rsidP="00256E47">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256E47">
              <w:rPr>
                <w:rFonts w:eastAsia="Times New Roman" w:cs="Arial"/>
                <w:sz w:val="22"/>
              </w:rPr>
              <w:t>68.12</w:t>
            </w:r>
          </w:p>
        </w:tc>
      </w:tr>
    </w:tbl>
    <w:p w14:paraId="30F47283" w14:textId="4AE3F7A3" w:rsidR="005508B8" w:rsidRPr="00A553B9" w:rsidRDefault="006D4139" w:rsidP="00FE5DAC">
      <w:pPr>
        <w:jc w:val="center"/>
        <w:rPr>
          <w:rFonts w:cs="Arial"/>
          <w:szCs w:val="24"/>
        </w:rPr>
      </w:pPr>
      <w:r w:rsidRPr="00A553B9">
        <w:rPr>
          <w:rFonts w:cs="Arial"/>
          <w:szCs w:val="24"/>
        </w:rPr>
        <w:t xml:space="preserve">Source: </w:t>
      </w:r>
      <w:r w:rsidR="00A82EFD" w:rsidRPr="00A553B9">
        <w:rPr>
          <w:rFonts w:cs="Arial"/>
          <w:szCs w:val="24"/>
        </w:rPr>
        <w:t>A</w:t>
      </w:r>
      <w:r w:rsidRPr="00A553B9">
        <w:rPr>
          <w:rFonts w:cs="Arial"/>
          <w:szCs w:val="24"/>
        </w:rPr>
        <w:t xml:space="preserve">uthor’s </w:t>
      </w:r>
      <w:r w:rsidR="00585F1E" w:rsidRPr="00A553B9">
        <w:rPr>
          <w:rFonts w:cs="Arial"/>
          <w:szCs w:val="24"/>
        </w:rPr>
        <w:t>C</w:t>
      </w:r>
      <w:r w:rsidRPr="00A553B9">
        <w:rPr>
          <w:rFonts w:cs="Arial"/>
          <w:szCs w:val="24"/>
        </w:rPr>
        <w:t>alculations from t</w:t>
      </w:r>
      <w:r w:rsidRPr="0005183D">
        <w:rPr>
          <w:rFonts w:cs="Arial"/>
          <w:sz w:val="22"/>
        </w:rPr>
        <w:t xml:space="preserve">he dataset and </w:t>
      </w:r>
      <w:r w:rsidR="00F84EDC" w:rsidRPr="0005183D">
        <w:rPr>
          <w:rFonts w:cs="Arial"/>
          <w:sz w:val="22"/>
        </w:rPr>
        <w:t>Mercedes-Benz Group</w:t>
      </w:r>
      <w:r w:rsidRPr="0005183D">
        <w:rPr>
          <w:rFonts w:cs="Arial"/>
          <w:sz w:val="22"/>
        </w:rPr>
        <w:t xml:space="preserve"> financial statements</w:t>
      </w:r>
    </w:p>
    <w:p w14:paraId="2CD9E31C" w14:textId="77777777" w:rsidR="005508B8" w:rsidRPr="00A553B9" w:rsidRDefault="006D4139" w:rsidP="009E21FB">
      <w:pPr>
        <w:pStyle w:val="Heading1"/>
        <w:jc w:val="center"/>
        <w:rPr>
          <w:rFonts w:ascii="Arial" w:hAnsi="Arial" w:cs="Arial"/>
          <w:color w:val="auto"/>
          <w:sz w:val="24"/>
          <w:szCs w:val="24"/>
        </w:rPr>
      </w:pPr>
      <w:bookmarkStart w:id="21" w:name="_Toc225717174"/>
      <w:r w:rsidRPr="00A553B9">
        <w:rPr>
          <w:rFonts w:ascii="Arial" w:hAnsi="Arial" w:cs="Arial"/>
          <w:color w:val="auto"/>
          <w:sz w:val="24"/>
          <w:szCs w:val="24"/>
        </w:rPr>
        <w:t>3. Working Capital Management Analysis</w:t>
      </w:r>
      <w:bookmarkEnd w:id="21"/>
    </w:p>
    <w:p w14:paraId="3DEA62A4" w14:textId="77777777" w:rsidR="005508B8" w:rsidRPr="00A553B9" w:rsidRDefault="006D4139" w:rsidP="009E21FB">
      <w:pPr>
        <w:pStyle w:val="Heading2"/>
        <w:rPr>
          <w:rFonts w:ascii="Arial" w:hAnsi="Arial" w:cs="Arial"/>
          <w:color w:val="auto"/>
          <w:szCs w:val="24"/>
        </w:rPr>
      </w:pPr>
      <w:bookmarkStart w:id="22" w:name="_Toc225717175"/>
      <w:r w:rsidRPr="00A553B9">
        <w:rPr>
          <w:rFonts w:ascii="Arial" w:hAnsi="Arial" w:cs="Arial"/>
          <w:color w:val="auto"/>
          <w:szCs w:val="24"/>
        </w:rPr>
        <w:t>3.1 Cash Operating Cycle</w:t>
      </w:r>
      <w:bookmarkEnd w:id="22"/>
    </w:p>
    <w:p w14:paraId="401E449A" w14:textId="0DCF305E" w:rsidR="00C96E9C" w:rsidRPr="00A553B9" w:rsidRDefault="00C96E9C" w:rsidP="00706F76">
      <w:pPr>
        <w:ind w:firstLine="720"/>
        <w:rPr>
          <w:rFonts w:cs="Arial"/>
          <w:szCs w:val="24"/>
        </w:rPr>
      </w:pPr>
      <w:r w:rsidRPr="00A553B9">
        <w:rPr>
          <w:rFonts w:cs="Arial"/>
          <w:szCs w:val="24"/>
        </w:rPr>
        <w:t xml:space="preserve">The cash operating cycle (which is also known as </w:t>
      </w:r>
      <w:r w:rsidR="00B60C96" w:rsidRPr="00A553B9">
        <w:rPr>
          <w:rFonts w:cs="Arial"/>
          <w:szCs w:val="24"/>
        </w:rPr>
        <w:t xml:space="preserve">the </w:t>
      </w:r>
      <w:r w:rsidRPr="00A553B9">
        <w:rPr>
          <w:rFonts w:cs="Arial"/>
          <w:szCs w:val="24"/>
        </w:rPr>
        <w:t>cash conversion cycle) is an important measure of the efficiency with which Mercedes-Benz Group AG uses its working capital</w:t>
      </w:r>
      <w:r w:rsidR="00B60C96" w:rsidRPr="00A553B9">
        <w:rPr>
          <w:rFonts w:cs="Arial"/>
          <w:szCs w:val="24"/>
        </w:rPr>
        <w:t>,</w:t>
      </w:r>
      <w:r w:rsidRPr="00A553B9">
        <w:rPr>
          <w:rFonts w:cs="Arial"/>
          <w:szCs w:val="24"/>
        </w:rPr>
        <w:t xml:space="preserve"> as it determines the time required to convert inventory and receivables into cash, excluding payables. The cash conversion cycle of the company has grown significantly during the 2021 to 2025 period</w:t>
      </w:r>
      <w:r w:rsidR="00B60C96" w:rsidRPr="00A553B9">
        <w:rPr>
          <w:rFonts w:cs="Arial"/>
          <w:szCs w:val="24"/>
        </w:rPr>
        <w:t>,</w:t>
      </w:r>
      <w:r w:rsidRPr="00A553B9">
        <w:rPr>
          <w:rFonts w:cs="Arial"/>
          <w:szCs w:val="24"/>
        </w:rPr>
        <w:t xml:space="preserve"> when the company has gone </w:t>
      </w:r>
      <w:r w:rsidR="007B6CBB" w:rsidRPr="00A553B9">
        <w:rPr>
          <w:rFonts w:cs="Arial"/>
          <w:szCs w:val="24"/>
        </w:rPr>
        <w:t>from</w:t>
      </w:r>
      <w:r w:rsidRPr="00A553B9">
        <w:rPr>
          <w:rFonts w:cs="Arial"/>
          <w:szCs w:val="24"/>
        </w:rPr>
        <w:t xml:space="preserve"> 32.68 days to 68.12 days. It is a doubling of </w:t>
      </w:r>
      <w:r w:rsidR="00B60C96" w:rsidRPr="00A553B9">
        <w:rPr>
          <w:rFonts w:cs="Arial"/>
          <w:szCs w:val="24"/>
        </w:rPr>
        <w:t xml:space="preserve">the </w:t>
      </w:r>
      <w:r w:rsidRPr="00A553B9">
        <w:rPr>
          <w:rFonts w:cs="Arial"/>
          <w:szCs w:val="24"/>
        </w:rPr>
        <w:t>cycle that represents a serious degradation of operational efficiency and suggests that more capital is engaged in day</w:t>
      </w:r>
      <w:r w:rsidR="007B6CBB" w:rsidRPr="00A553B9">
        <w:rPr>
          <w:rFonts w:cs="Arial"/>
          <w:szCs w:val="24"/>
        </w:rPr>
        <w:t>-to-</w:t>
      </w:r>
      <w:r w:rsidRPr="00A553B9">
        <w:rPr>
          <w:rFonts w:cs="Arial"/>
          <w:szCs w:val="24"/>
        </w:rPr>
        <w:t>day operations over a longer period of time.</w:t>
      </w:r>
    </w:p>
    <w:p w14:paraId="3677A38C" w14:textId="05DF97F8" w:rsidR="00C96E9C" w:rsidRPr="00A553B9" w:rsidRDefault="00C96E9C" w:rsidP="00706F76">
      <w:pPr>
        <w:ind w:firstLine="720"/>
        <w:rPr>
          <w:rFonts w:cs="Arial"/>
          <w:szCs w:val="24"/>
        </w:rPr>
      </w:pPr>
      <w:r w:rsidRPr="00A553B9">
        <w:rPr>
          <w:rFonts w:cs="Arial"/>
          <w:szCs w:val="24"/>
        </w:rPr>
        <w:t>This tendency is mainly preconditioned by the fact that there is a sharp increase in the inventory days</w:t>
      </w:r>
      <w:r w:rsidR="007B6CBB" w:rsidRPr="00A553B9">
        <w:rPr>
          <w:rFonts w:cs="Arial"/>
          <w:szCs w:val="24"/>
        </w:rPr>
        <w:t>,</w:t>
      </w:r>
      <w:r w:rsidRPr="00A553B9">
        <w:rPr>
          <w:rFonts w:cs="Arial"/>
          <w:szCs w:val="24"/>
        </w:rPr>
        <w:t xml:space="preserve"> which in 2021 were 37.95 days, and in 2025 are going to be more than 83 days. This is an indication that cars and parts are taking longer to sell</w:t>
      </w:r>
      <w:r w:rsidR="007B6CBB" w:rsidRPr="00A553B9">
        <w:rPr>
          <w:rFonts w:cs="Arial"/>
          <w:szCs w:val="24"/>
        </w:rPr>
        <w:t>,</w:t>
      </w:r>
      <w:r w:rsidRPr="00A553B9">
        <w:rPr>
          <w:rFonts w:cs="Arial"/>
          <w:szCs w:val="24"/>
        </w:rPr>
        <w:t xml:space="preserve"> implying that there might be inefficiencies in the planning of products, forecasting demand, or even the alignment of the supply chain</w:t>
      </w:r>
      <w:r w:rsidR="00280600" w:rsidRPr="00280600">
        <w:t xml:space="preserve"> </w:t>
      </w:r>
      <w:r w:rsidR="00280600" w:rsidRPr="00280600">
        <w:rPr>
          <w:rFonts w:cs="Arial"/>
          <w:szCs w:val="24"/>
        </w:rPr>
        <w:t>(Boisjoly, Conine and McDonald, 2019)</w:t>
      </w:r>
      <w:r w:rsidRPr="00A553B9">
        <w:rPr>
          <w:rFonts w:cs="Arial"/>
          <w:szCs w:val="24"/>
        </w:rPr>
        <w:t>. Simultaneously, the receivable days turned to 21.30 days (above 13.57 days)</w:t>
      </w:r>
      <w:r w:rsidR="007B6CBB" w:rsidRPr="00A553B9">
        <w:rPr>
          <w:rFonts w:cs="Arial"/>
          <w:szCs w:val="24"/>
        </w:rPr>
        <w:t>,</w:t>
      </w:r>
      <w:r w:rsidRPr="00A553B9">
        <w:rPr>
          <w:rFonts w:cs="Arial"/>
          <w:szCs w:val="24"/>
        </w:rPr>
        <w:t xml:space="preserve"> and this means that the company is taking a longer time to collect customer payments and probably has embarked on lenient credit terms or has diluted customer payment behaviour.</w:t>
      </w:r>
    </w:p>
    <w:p w14:paraId="4D18F076" w14:textId="414ACD33" w:rsidR="005508B8" w:rsidRPr="00A553B9" w:rsidRDefault="00C96E9C" w:rsidP="00C96E9C">
      <w:pPr>
        <w:ind w:firstLine="720"/>
        <w:rPr>
          <w:rFonts w:cs="Arial"/>
          <w:szCs w:val="24"/>
        </w:rPr>
      </w:pPr>
      <w:r w:rsidRPr="00A553B9">
        <w:rPr>
          <w:rFonts w:cs="Arial"/>
          <w:szCs w:val="24"/>
        </w:rPr>
        <w:lastRenderedPageBreak/>
        <w:t>The payable days rose by 18.84 to about 36.50 days; this stands in part to offset the working capital pressure</w:t>
      </w:r>
      <w:r w:rsidR="007B6CBB" w:rsidRPr="00A553B9">
        <w:rPr>
          <w:rFonts w:cs="Arial"/>
          <w:szCs w:val="24"/>
        </w:rPr>
        <w:t>,</w:t>
      </w:r>
      <w:r w:rsidRPr="00A553B9">
        <w:rPr>
          <w:rFonts w:cs="Arial"/>
          <w:szCs w:val="24"/>
        </w:rPr>
        <w:t xml:space="preserve"> but this is not enough to offset the increase in inventory and receivables. The general implication is that Mercedes-Benz is becoming more and more obliged to finance its operating cycle internally, which decreases its liquidity efficiency and enhances its reliance on external financing.</w:t>
      </w:r>
    </w:p>
    <w:p w14:paraId="61E2CDD9" w14:textId="6473005E" w:rsidR="00FD0624" w:rsidRPr="00FD0624" w:rsidRDefault="00FD0624" w:rsidP="00FD0624">
      <w:pPr>
        <w:pStyle w:val="Caption"/>
        <w:keepNext/>
        <w:rPr>
          <w:i/>
          <w:iCs/>
          <w:color w:val="auto"/>
          <w:sz w:val="22"/>
          <w:szCs w:val="22"/>
        </w:rPr>
      </w:pPr>
      <w:bookmarkStart w:id="23" w:name="_Toc225721358"/>
      <w:r w:rsidRPr="00FD0624">
        <w:rPr>
          <w:i/>
          <w:iCs/>
          <w:color w:val="auto"/>
          <w:sz w:val="22"/>
          <w:szCs w:val="22"/>
        </w:rPr>
        <w:t xml:space="preserve">Table </w:t>
      </w:r>
      <w:r w:rsidRPr="00FD0624">
        <w:rPr>
          <w:i/>
          <w:iCs/>
          <w:color w:val="auto"/>
          <w:sz w:val="22"/>
          <w:szCs w:val="22"/>
        </w:rPr>
        <w:fldChar w:fldCharType="begin"/>
      </w:r>
      <w:r w:rsidRPr="00FD0624">
        <w:rPr>
          <w:i/>
          <w:iCs/>
          <w:color w:val="auto"/>
          <w:sz w:val="22"/>
          <w:szCs w:val="22"/>
        </w:rPr>
        <w:instrText xml:space="preserve"> SEQ Table \* ARABIC </w:instrText>
      </w:r>
      <w:r w:rsidRPr="00FD0624">
        <w:rPr>
          <w:i/>
          <w:iCs/>
          <w:color w:val="auto"/>
          <w:sz w:val="22"/>
          <w:szCs w:val="22"/>
        </w:rPr>
        <w:fldChar w:fldCharType="separate"/>
      </w:r>
      <w:r w:rsidRPr="00FD0624">
        <w:rPr>
          <w:i/>
          <w:iCs/>
          <w:noProof/>
          <w:color w:val="auto"/>
          <w:sz w:val="22"/>
          <w:szCs w:val="22"/>
        </w:rPr>
        <w:t>2</w:t>
      </w:r>
      <w:r w:rsidRPr="00FD0624">
        <w:rPr>
          <w:i/>
          <w:iCs/>
          <w:color w:val="auto"/>
          <w:sz w:val="22"/>
          <w:szCs w:val="22"/>
        </w:rPr>
        <w:fldChar w:fldCharType="end"/>
      </w:r>
      <w:r w:rsidRPr="00FD0624">
        <w:rPr>
          <w:i/>
          <w:iCs/>
          <w:color w:val="auto"/>
          <w:sz w:val="22"/>
          <w:szCs w:val="22"/>
        </w:rPr>
        <w:t>: Mercedes-Benz Group CCC</w:t>
      </w:r>
      <w:bookmarkEnd w:id="23"/>
    </w:p>
    <w:tbl>
      <w:tblPr>
        <w:tblStyle w:val="PlainTable1"/>
        <w:tblW w:w="0" w:type="auto"/>
        <w:jc w:val="center"/>
        <w:tblLook w:val="04A0" w:firstRow="1" w:lastRow="0" w:firstColumn="1" w:lastColumn="0" w:noHBand="0" w:noVBand="1"/>
      </w:tblPr>
      <w:tblGrid>
        <w:gridCol w:w="3199"/>
        <w:gridCol w:w="767"/>
        <w:gridCol w:w="767"/>
        <w:gridCol w:w="767"/>
        <w:gridCol w:w="767"/>
        <w:gridCol w:w="767"/>
      </w:tblGrid>
      <w:tr w:rsidR="008B6D54" w:rsidRPr="008B6D54" w14:paraId="04D294E9" w14:textId="77777777" w:rsidTr="001318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23B09D" w14:textId="11F33892" w:rsidR="008B6D54" w:rsidRPr="008B6D54" w:rsidRDefault="0072259D" w:rsidP="008B6D54">
            <w:pPr>
              <w:spacing w:after="0" w:line="240" w:lineRule="auto"/>
              <w:jc w:val="center"/>
              <w:rPr>
                <w:rFonts w:eastAsia="Times New Roman" w:cs="Arial"/>
                <w:sz w:val="22"/>
              </w:rPr>
            </w:pPr>
            <w:r w:rsidRPr="00A553B9">
              <w:rPr>
                <w:rFonts w:eastAsia="Times New Roman" w:cs="Arial"/>
                <w:sz w:val="22"/>
              </w:rPr>
              <w:t>Measure</w:t>
            </w:r>
          </w:p>
        </w:tc>
        <w:tc>
          <w:tcPr>
            <w:tcW w:w="0" w:type="auto"/>
            <w:hideMark/>
          </w:tcPr>
          <w:p w14:paraId="283B420A" w14:textId="77777777" w:rsidR="008B6D54" w:rsidRPr="008B6D54" w:rsidRDefault="008B6D54" w:rsidP="008B6D5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2021</w:t>
            </w:r>
          </w:p>
        </w:tc>
        <w:tc>
          <w:tcPr>
            <w:tcW w:w="0" w:type="auto"/>
            <w:hideMark/>
          </w:tcPr>
          <w:p w14:paraId="04614CA8" w14:textId="77777777" w:rsidR="008B6D54" w:rsidRPr="008B6D54" w:rsidRDefault="008B6D54" w:rsidP="008B6D5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2022</w:t>
            </w:r>
          </w:p>
        </w:tc>
        <w:tc>
          <w:tcPr>
            <w:tcW w:w="0" w:type="auto"/>
            <w:hideMark/>
          </w:tcPr>
          <w:p w14:paraId="23C68666" w14:textId="77777777" w:rsidR="008B6D54" w:rsidRPr="008B6D54" w:rsidRDefault="008B6D54" w:rsidP="008B6D5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2023</w:t>
            </w:r>
          </w:p>
        </w:tc>
        <w:tc>
          <w:tcPr>
            <w:tcW w:w="0" w:type="auto"/>
            <w:hideMark/>
          </w:tcPr>
          <w:p w14:paraId="121EC7D5" w14:textId="77777777" w:rsidR="008B6D54" w:rsidRPr="008B6D54" w:rsidRDefault="008B6D54" w:rsidP="008B6D5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2024</w:t>
            </w:r>
          </w:p>
        </w:tc>
        <w:tc>
          <w:tcPr>
            <w:tcW w:w="0" w:type="auto"/>
            <w:hideMark/>
          </w:tcPr>
          <w:p w14:paraId="41E4E283" w14:textId="77777777" w:rsidR="008B6D54" w:rsidRPr="008B6D54" w:rsidRDefault="008B6D54" w:rsidP="008B6D5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2025</w:t>
            </w:r>
          </w:p>
        </w:tc>
      </w:tr>
      <w:tr w:rsidR="008B6D54" w:rsidRPr="008B6D54" w14:paraId="02E5A71F" w14:textId="77777777" w:rsidTr="001318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A74F8A" w14:textId="77777777" w:rsidR="008B6D54" w:rsidRPr="008B6D54" w:rsidRDefault="008B6D54" w:rsidP="008B6D54">
            <w:pPr>
              <w:spacing w:after="0" w:line="240" w:lineRule="auto"/>
              <w:rPr>
                <w:rFonts w:eastAsia="Times New Roman" w:cs="Arial"/>
                <w:b w:val="0"/>
                <w:bCs w:val="0"/>
                <w:sz w:val="22"/>
              </w:rPr>
            </w:pPr>
            <w:r w:rsidRPr="008B6D54">
              <w:rPr>
                <w:rFonts w:eastAsia="Times New Roman" w:cs="Arial"/>
                <w:b w:val="0"/>
                <w:bCs w:val="0"/>
                <w:sz w:val="22"/>
              </w:rPr>
              <w:t>Inventory Days (DIO)</w:t>
            </w:r>
          </w:p>
        </w:tc>
        <w:tc>
          <w:tcPr>
            <w:tcW w:w="0" w:type="auto"/>
            <w:hideMark/>
          </w:tcPr>
          <w:p w14:paraId="36A33102" w14:textId="77777777" w:rsidR="008B6D54" w:rsidRPr="008B6D54" w:rsidRDefault="008B6D54" w:rsidP="008B6D54">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6D54">
              <w:rPr>
                <w:rFonts w:eastAsia="Times New Roman" w:cs="Arial"/>
                <w:sz w:val="22"/>
              </w:rPr>
              <w:t>37.95</w:t>
            </w:r>
          </w:p>
        </w:tc>
        <w:tc>
          <w:tcPr>
            <w:tcW w:w="0" w:type="auto"/>
            <w:hideMark/>
          </w:tcPr>
          <w:p w14:paraId="2D9BE555" w14:textId="77777777" w:rsidR="008B6D54" w:rsidRPr="008B6D54" w:rsidRDefault="008B6D54" w:rsidP="008B6D54">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6D54">
              <w:rPr>
                <w:rFonts w:eastAsia="Times New Roman" w:cs="Arial"/>
                <w:sz w:val="22"/>
              </w:rPr>
              <w:t>74.08</w:t>
            </w:r>
          </w:p>
        </w:tc>
        <w:tc>
          <w:tcPr>
            <w:tcW w:w="0" w:type="auto"/>
            <w:hideMark/>
          </w:tcPr>
          <w:p w14:paraId="50B9ABEB" w14:textId="77777777" w:rsidR="008B6D54" w:rsidRPr="008B6D54" w:rsidRDefault="008B6D54" w:rsidP="008B6D54">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6D54">
              <w:rPr>
                <w:rFonts w:eastAsia="Times New Roman" w:cs="Arial"/>
                <w:sz w:val="22"/>
              </w:rPr>
              <w:t>81.26</w:t>
            </w:r>
          </w:p>
        </w:tc>
        <w:tc>
          <w:tcPr>
            <w:tcW w:w="0" w:type="auto"/>
            <w:hideMark/>
          </w:tcPr>
          <w:p w14:paraId="7E053F7E" w14:textId="77777777" w:rsidR="008B6D54" w:rsidRPr="008B6D54" w:rsidRDefault="008B6D54" w:rsidP="008B6D54">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6D54">
              <w:rPr>
                <w:rFonts w:eastAsia="Times New Roman" w:cs="Arial"/>
                <w:sz w:val="22"/>
              </w:rPr>
              <w:t>83.48</w:t>
            </w:r>
          </w:p>
        </w:tc>
        <w:tc>
          <w:tcPr>
            <w:tcW w:w="0" w:type="auto"/>
            <w:hideMark/>
          </w:tcPr>
          <w:p w14:paraId="2A61BEE9" w14:textId="77777777" w:rsidR="008B6D54" w:rsidRPr="008B6D54" w:rsidRDefault="008B6D54" w:rsidP="008B6D54">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6D54">
              <w:rPr>
                <w:rFonts w:eastAsia="Times New Roman" w:cs="Arial"/>
                <w:sz w:val="22"/>
              </w:rPr>
              <w:t>83.32</w:t>
            </w:r>
          </w:p>
        </w:tc>
      </w:tr>
      <w:tr w:rsidR="008B6D54" w:rsidRPr="008B6D54" w14:paraId="2B93901A" w14:textId="77777777" w:rsidTr="001318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4905C3" w14:textId="77777777" w:rsidR="008B6D54" w:rsidRPr="008B6D54" w:rsidRDefault="008B6D54" w:rsidP="008B6D54">
            <w:pPr>
              <w:spacing w:after="0" w:line="240" w:lineRule="auto"/>
              <w:rPr>
                <w:rFonts w:eastAsia="Times New Roman" w:cs="Arial"/>
                <w:b w:val="0"/>
                <w:bCs w:val="0"/>
                <w:sz w:val="22"/>
              </w:rPr>
            </w:pPr>
            <w:r w:rsidRPr="008B6D54">
              <w:rPr>
                <w:rFonts w:eastAsia="Times New Roman" w:cs="Arial"/>
                <w:b w:val="0"/>
                <w:bCs w:val="0"/>
                <w:sz w:val="22"/>
              </w:rPr>
              <w:t>Receivable Days (DSO)</w:t>
            </w:r>
          </w:p>
        </w:tc>
        <w:tc>
          <w:tcPr>
            <w:tcW w:w="0" w:type="auto"/>
            <w:hideMark/>
          </w:tcPr>
          <w:p w14:paraId="6F6ED7D7" w14:textId="77777777" w:rsidR="008B6D54" w:rsidRPr="008B6D54" w:rsidRDefault="008B6D54" w:rsidP="008B6D54">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13.57</w:t>
            </w:r>
          </w:p>
        </w:tc>
        <w:tc>
          <w:tcPr>
            <w:tcW w:w="0" w:type="auto"/>
            <w:hideMark/>
          </w:tcPr>
          <w:p w14:paraId="0A5B4753" w14:textId="77777777" w:rsidR="008B6D54" w:rsidRPr="008B6D54" w:rsidRDefault="008B6D54" w:rsidP="008B6D54">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24.82</w:t>
            </w:r>
          </w:p>
        </w:tc>
        <w:tc>
          <w:tcPr>
            <w:tcW w:w="0" w:type="auto"/>
            <w:hideMark/>
          </w:tcPr>
          <w:p w14:paraId="6ACBE423" w14:textId="77777777" w:rsidR="008B6D54" w:rsidRPr="008B6D54" w:rsidRDefault="008B6D54" w:rsidP="008B6D54">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23.62</w:t>
            </w:r>
          </w:p>
        </w:tc>
        <w:tc>
          <w:tcPr>
            <w:tcW w:w="0" w:type="auto"/>
            <w:hideMark/>
          </w:tcPr>
          <w:p w14:paraId="2AFBFA44" w14:textId="77777777" w:rsidR="008B6D54" w:rsidRPr="008B6D54" w:rsidRDefault="008B6D54" w:rsidP="008B6D54">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22.23</w:t>
            </w:r>
          </w:p>
        </w:tc>
        <w:tc>
          <w:tcPr>
            <w:tcW w:w="0" w:type="auto"/>
            <w:hideMark/>
          </w:tcPr>
          <w:p w14:paraId="1FBCDDBE" w14:textId="77777777" w:rsidR="008B6D54" w:rsidRPr="008B6D54" w:rsidRDefault="008B6D54" w:rsidP="008B6D54">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21.30</w:t>
            </w:r>
          </w:p>
        </w:tc>
      </w:tr>
      <w:tr w:rsidR="008B6D54" w:rsidRPr="008B6D54" w14:paraId="2D1D65E1" w14:textId="77777777" w:rsidTr="001318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0BF343" w14:textId="77777777" w:rsidR="008B6D54" w:rsidRPr="008B6D54" w:rsidRDefault="008B6D54" w:rsidP="008B6D54">
            <w:pPr>
              <w:spacing w:after="0" w:line="240" w:lineRule="auto"/>
              <w:rPr>
                <w:rFonts w:eastAsia="Times New Roman" w:cs="Arial"/>
                <w:b w:val="0"/>
                <w:bCs w:val="0"/>
                <w:sz w:val="22"/>
              </w:rPr>
            </w:pPr>
            <w:r w:rsidRPr="008B6D54">
              <w:rPr>
                <w:rFonts w:eastAsia="Times New Roman" w:cs="Arial"/>
                <w:b w:val="0"/>
                <w:bCs w:val="0"/>
                <w:sz w:val="22"/>
              </w:rPr>
              <w:t>Payable Days (DPO)</w:t>
            </w:r>
          </w:p>
        </w:tc>
        <w:tc>
          <w:tcPr>
            <w:tcW w:w="0" w:type="auto"/>
            <w:hideMark/>
          </w:tcPr>
          <w:p w14:paraId="00802590" w14:textId="77777777" w:rsidR="008B6D54" w:rsidRPr="008B6D54" w:rsidRDefault="008B6D54" w:rsidP="008B6D54">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6D54">
              <w:rPr>
                <w:rFonts w:eastAsia="Times New Roman" w:cs="Arial"/>
                <w:sz w:val="22"/>
              </w:rPr>
              <w:t>18.84</w:t>
            </w:r>
          </w:p>
        </w:tc>
        <w:tc>
          <w:tcPr>
            <w:tcW w:w="0" w:type="auto"/>
            <w:hideMark/>
          </w:tcPr>
          <w:p w14:paraId="4F2DBF15" w14:textId="77777777" w:rsidR="008B6D54" w:rsidRPr="008B6D54" w:rsidRDefault="008B6D54" w:rsidP="008B6D54">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6D54">
              <w:rPr>
                <w:rFonts w:eastAsia="Times New Roman" w:cs="Arial"/>
                <w:sz w:val="22"/>
              </w:rPr>
              <w:t>35.96</w:t>
            </w:r>
          </w:p>
        </w:tc>
        <w:tc>
          <w:tcPr>
            <w:tcW w:w="0" w:type="auto"/>
            <w:hideMark/>
          </w:tcPr>
          <w:p w14:paraId="29086432" w14:textId="77777777" w:rsidR="008B6D54" w:rsidRPr="008B6D54" w:rsidRDefault="008B6D54" w:rsidP="008B6D54">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6D54">
              <w:rPr>
                <w:rFonts w:eastAsia="Times New Roman" w:cs="Arial"/>
                <w:sz w:val="22"/>
              </w:rPr>
              <w:t>38.44</w:t>
            </w:r>
          </w:p>
        </w:tc>
        <w:tc>
          <w:tcPr>
            <w:tcW w:w="0" w:type="auto"/>
            <w:hideMark/>
          </w:tcPr>
          <w:p w14:paraId="41F88FC1" w14:textId="77777777" w:rsidR="008B6D54" w:rsidRPr="008B6D54" w:rsidRDefault="008B6D54" w:rsidP="008B6D54">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6D54">
              <w:rPr>
                <w:rFonts w:eastAsia="Times New Roman" w:cs="Arial"/>
                <w:sz w:val="22"/>
              </w:rPr>
              <w:t>37.65</w:t>
            </w:r>
          </w:p>
        </w:tc>
        <w:tc>
          <w:tcPr>
            <w:tcW w:w="0" w:type="auto"/>
            <w:hideMark/>
          </w:tcPr>
          <w:p w14:paraId="77AFC4CA" w14:textId="77777777" w:rsidR="008B6D54" w:rsidRPr="008B6D54" w:rsidRDefault="008B6D54" w:rsidP="008B6D54">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6D54">
              <w:rPr>
                <w:rFonts w:eastAsia="Times New Roman" w:cs="Arial"/>
                <w:sz w:val="22"/>
              </w:rPr>
              <w:t>36.50</w:t>
            </w:r>
          </w:p>
        </w:tc>
      </w:tr>
      <w:tr w:rsidR="008B6D54" w:rsidRPr="008B6D54" w14:paraId="59C5C9EF" w14:textId="77777777" w:rsidTr="001318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DA432D" w14:textId="77777777" w:rsidR="008B6D54" w:rsidRPr="008B6D54" w:rsidRDefault="008B6D54" w:rsidP="008B6D54">
            <w:pPr>
              <w:spacing w:after="0" w:line="240" w:lineRule="auto"/>
              <w:rPr>
                <w:rFonts w:eastAsia="Times New Roman" w:cs="Arial"/>
                <w:b w:val="0"/>
                <w:bCs w:val="0"/>
                <w:sz w:val="22"/>
              </w:rPr>
            </w:pPr>
            <w:r w:rsidRPr="008B6D54">
              <w:rPr>
                <w:rFonts w:eastAsia="Times New Roman" w:cs="Arial"/>
                <w:b w:val="0"/>
                <w:bCs w:val="0"/>
                <w:sz w:val="22"/>
              </w:rPr>
              <w:t>Cash Conversion Cycle (CCC)</w:t>
            </w:r>
          </w:p>
        </w:tc>
        <w:tc>
          <w:tcPr>
            <w:tcW w:w="0" w:type="auto"/>
            <w:hideMark/>
          </w:tcPr>
          <w:p w14:paraId="5F4FF867" w14:textId="77777777" w:rsidR="008B6D54" w:rsidRPr="008B6D54" w:rsidRDefault="008B6D54" w:rsidP="008B6D54">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32.68</w:t>
            </w:r>
          </w:p>
        </w:tc>
        <w:tc>
          <w:tcPr>
            <w:tcW w:w="0" w:type="auto"/>
            <w:hideMark/>
          </w:tcPr>
          <w:p w14:paraId="19F96634" w14:textId="77777777" w:rsidR="008B6D54" w:rsidRPr="008B6D54" w:rsidRDefault="008B6D54" w:rsidP="008B6D54">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62.93</w:t>
            </w:r>
          </w:p>
        </w:tc>
        <w:tc>
          <w:tcPr>
            <w:tcW w:w="0" w:type="auto"/>
            <w:hideMark/>
          </w:tcPr>
          <w:p w14:paraId="0FD2AA1E" w14:textId="77777777" w:rsidR="008B6D54" w:rsidRPr="008B6D54" w:rsidRDefault="008B6D54" w:rsidP="008B6D54">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66.44</w:t>
            </w:r>
          </w:p>
        </w:tc>
        <w:tc>
          <w:tcPr>
            <w:tcW w:w="0" w:type="auto"/>
            <w:hideMark/>
          </w:tcPr>
          <w:p w14:paraId="1FD4F07B" w14:textId="77777777" w:rsidR="008B6D54" w:rsidRPr="008B6D54" w:rsidRDefault="008B6D54" w:rsidP="008B6D54">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68.06</w:t>
            </w:r>
          </w:p>
        </w:tc>
        <w:tc>
          <w:tcPr>
            <w:tcW w:w="0" w:type="auto"/>
            <w:hideMark/>
          </w:tcPr>
          <w:p w14:paraId="471A5F46" w14:textId="77777777" w:rsidR="008B6D54" w:rsidRPr="008B6D54" w:rsidRDefault="008B6D54" w:rsidP="008B6D54">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6D54">
              <w:rPr>
                <w:rFonts w:eastAsia="Times New Roman" w:cs="Arial"/>
                <w:sz w:val="22"/>
              </w:rPr>
              <w:t>68.12</w:t>
            </w:r>
          </w:p>
        </w:tc>
      </w:tr>
    </w:tbl>
    <w:p w14:paraId="445345EC" w14:textId="19DA60C0" w:rsidR="00585F1E" w:rsidRPr="0005183D" w:rsidRDefault="00585F1E" w:rsidP="00585F1E">
      <w:pPr>
        <w:jc w:val="center"/>
        <w:rPr>
          <w:sz w:val="22"/>
        </w:rPr>
      </w:pPr>
      <w:r w:rsidRPr="0005183D">
        <w:rPr>
          <w:rFonts w:cs="Arial"/>
          <w:sz w:val="22"/>
        </w:rPr>
        <w:t>Source: Author’s Calculations from the dataset and Mercedes-Benz Group financial statements</w:t>
      </w:r>
    </w:p>
    <w:p w14:paraId="50CDCB10" w14:textId="701DDA79" w:rsidR="005508B8" w:rsidRPr="00A553B9" w:rsidRDefault="006D4139" w:rsidP="009E21FB">
      <w:pPr>
        <w:pStyle w:val="Heading2"/>
        <w:rPr>
          <w:rFonts w:ascii="Arial" w:hAnsi="Arial" w:cs="Arial"/>
          <w:color w:val="auto"/>
          <w:szCs w:val="24"/>
        </w:rPr>
      </w:pPr>
      <w:bookmarkStart w:id="24" w:name="_Toc225717176"/>
      <w:r w:rsidRPr="00A553B9">
        <w:rPr>
          <w:rFonts w:ascii="Arial" w:hAnsi="Arial" w:cs="Arial"/>
          <w:color w:val="auto"/>
          <w:szCs w:val="24"/>
        </w:rPr>
        <w:t>3.2 Liquidity Assessment</w:t>
      </w:r>
      <w:bookmarkEnd w:id="24"/>
    </w:p>
    <w:p w14:paraId="5E179493" w14:textId="4AB26619" w:rsidR="00FA538C" w:rsidRPr="00A553B9" w:rsidRDefault="00FA538C" w:rsidP="00FA538C">
      <w:pPr>
        <w:ind w:firstLine="720"/>
        <w:rPr>
          <w:rFonts w:cs="Arial"/>
          <w:szCs w:val="24"/>
        </w:rPr>
      </w:pPr>
      <w:r w:rsidRPr="00A553B9">
        <w:rPr>
          <w:rFonts w:cs="Arial"/>
          <w:szCs w:val="24"/>
        </w:rPr>
        <w:t xml:space="preserve">The liquidity position of Mercedes-Benz has also been deteriorating over time, with the current ratio improving to 1.38 in 2025 and </w:t>
      </w:r>
      <w:r w:rsidR="007B6CBB" w:rsidRPr="00A553B9">
        <w:rPr>
          <w:rFonts w:cs="Arial"/>
          <w:szCs w:val="24"/>
        </w:rPr>
        <w:t xml:space="preserve">the </w:t>
      </w:r>
      <w:r w:rsidRPr="00A553B9">
        <w:rPr>
          <w:rFonts w:cs="Arial"/>
          <w:szCs w:val="24"/>
        </w:rPr>
        <w:t xml:space="preserve">quick ratio improving to 1.06, increasing by 1.17 in 2021. These ratios mean that the company has improved its capacity to cover short-term liabilities and minimized the short-term refinancing risk. In terms of </w:t>
      </w:r>
      <w:r w:rsidR="007B6CBB" w:rsidRPr="00A553B9">
        <w:rPr>
          <w:rFonts w:cs="Arial"/>
          <w:szCs w:val="24"/>
        </w:rPr>
        <w:t xml:space="preserve">the </w:t>
      </w:r>
      <w:r w:rsidRPr="00A553B9">
        <w:rPr>
          <w:rFonts w:cs="Arial"/>
          <w:szCs w:val="24"/>
        </w:rPr>
        <w:t xml:space="preserve">CFO, this offers a certain level of financial flexibility, as the management </w:t>
      </w:r>
      <w:r w:rsidR="007B6CBB" w:rsidRPr="00A553B9">
        <w:rPr>
          <w:rFonts w:cs="Arial"/>
          <w:szCs w:val="24"/>
        </w:rPr>
        <w:t>can</w:t>
      </w:r>
      <w:r w:rsidRPr="00A553B9">
        <w:rPr>
          <w:rFonts w:cs="Arial"/>
          <w:szCs w:val="24"/>
        </w:rPr>
        <w:t xml:space="preserve"> overcome the macroeconomic uncertainty</w:t>
      </w:r>
      <w:r w:rsidR="007B6CBB" w:rsidRPr="00A553B9">
        <w:rPr>
          <w:rFonts w:cs="Arial"/>
          <w:szCs w:val="24"/>
        </w:rPr>
        <w:t xml:space="preserve"> and</w:t>
      </w:r>
      <w:r w:rsidRPr="00A553B9">
        <w:rPr>
          <w:rFonts w:cs="Arial"/>
          <w:szCs w:val="24"/>
        </w:rPr>
        <w:t xml:space="preserve"> cyclical fluctuations without being limited by the liquidity requirements in the short run.</w:t>
      </w:r>
    </w:p>
    <w:p w14:paraId="0A268B34" w14:textId="4FF01791" w:rsidR="005508B8" w:rsidRPr="00A553B9" w:rsidRDefault="00FA538C" w:rsidP="00FA538C">
      <w:pPr>
        <w:ind w:firstLine="720"/>
        <w:rPr>
          <w:rFonts w:cs="Arial"/>
          <w:szCs w:val="24"/>
        </w:rPr>
      </w:pPr>
      <w:r w:rsidRPr="00A553B9">
        <w:rPr>
          <w:rFonts w:cs="Arial"/>
          <w:szCs w:val="24"/>
        </w:rPr>
        <w:t>This liquidity improvement</w:t>
      </w:r>
      <w:r w:rsidR="007B6CBB" w:rsidRPr="00A553B9">
        <w:rPr>
          <w:rFonts w:cs="Arial"/>
          <w:szCs w:val="24"/>
        </w:rPr>
        <w:t>,</w:t>
      </w:r>
      <w:r w:rsidRPr="00A553B9">
        <w:rPr>
          <w:rFonts w:cs="Arial"/>
          <w:szCs w:val="24"/>
        </w:rPr>
        <w:t xml:space="preserve"> however</w:t>
      </w:r>
      <w:r w:rsidR="007B6CBB" w:rsidRPr="00A553B9">
        <w:rPr>
          <w:rFonts w:cs="Arial"/>
          <w:szCs w:val="24"/>
        </w:rPr>
        <w:t>,</w:t>
      </w:r>
      <w:r w:rsidRPr="00A553B9">
        <w:rPr>
          <w:rFonts w:cs="Arial"/>
          <w:szCs w:val="24"/>
        </w:rPr>
        <w:t xml:space="preserve"> should be taken with caution. Growth rate in current assets has been significantly helped by the growth in inventory and receivables</w:t>
      </w:r>
      <w:r w:rsidR="007B6CBB" w:rsidRPr="00A553B9">
        <w:rPr>
          <w:rFonts w:cs="Arial"/>
          <w:szCs w:val="24"/>
        </w:rPr>
        <w:t>,</w:t>
      </w:r>
      <w:r w:rsidRPr="00A553B9">
        <w:rPr>
          <w:rFonts w:cs="Arial"/>
          <w:szCs w:val="24"/>
        </w:rPr>
        <w:t xml:space="preserve"> and not due to better operations. This implies that the company is not utilizing all the working capital as it should, and this can be an indication of weakness, not strength. Specifically, surplus inventory holds up cash that would otherwise be invested in superior-yielding assets, and augmented accounts receivable slows the cash flow and raises the risk of credit</w:t>
      </w:r>
      <w:r w:rsidR="00730567" w:rsidRPr="00730567">
        <w:t xml:space="preserve"> </w:t>
      </w:r>
      <w:r w:rsidR="00730567" w:rsidRPr="00730567">
        <w:rPr>
          <w:rFonts w:cs="Arial"/>
          <w:szCs w:val="24"/>
        </w:rPr>
        <w:t xml:space="preserve">(Akbar </w:t>
      </w:r>
      <w:r w:rsidR="00C63FEC" w:rsidRPr="00104E34">
        <w:rPr>
          <w:rFonts w:cs="Arial"/>
          <w:i/>
          <w:iCs/>
          <w:szCs w:val="24"/>
        </w:rPr>
        <w:t>et al</w:t>
      </w:r>
      <w:r w:rsidR="00730567" w:rsidRPr="00730567">
        <w:rPr>
          <w:rFonts w:cs="Arial"/>
          <w:szCs w:val="24"/>
        </w:rPr>
        <w:t>., 2021)</w:t>
      </w:r>
      <w:r w:rsidRPr="00A553B9">
        <w:rPr>
          <w:rFonts w:cs="Arial"/>
          <w:szCs w:val="24"/>
        </w:rPr>
        <w:t>. Moreover, although good liquidity minimizes short</w:t>
      </w:r>
      <w:r w:rsidR="00D40C34" w:rsidRPr="00A553B9">
        <w:rPr>
          <w:rFonts w:cs="Arial"/>
          <w:szCs w:val="24"/>
        </w:rPr>
        <w:t>-</w:t>
      </w:r>
      <w:r w:rsidRPr="00A553B9">
        <w:rPr>
          <w:rFonts w:cs="Arial"/>
          <w:szCs w:val="24"/>
        </w:rPr>
        <w:t>term financial risk, opportunity costs are also created. The retention of large working capital in a deteriorating profitability level diminishes the return on assets and equity, thus ultimately deteriorating financial results. Liquidity, therefore, cannot be measured in isolation but as an addition of efficiency and profitability measures.</w:t>
      </w:r>
    </w:p>
    <w:p w14:paraId="03B700D2" w14:textId="77777777" w:rsidR="005508B8" w:rsidRPr="00A553B9" w:rsidRDefault="006D4139" w:rsidP="009E21FB">
      <w:pPr>
        <w:pStyle w:val="Heading2"/>
        <w:rPr>
          <w:rFonts w:ascii="Arial" w:hAnsi="Arial" w:cs="Arial"/>
          <w:color w:val="auto"/>
          <w:szCs w:val="24"/>
        </w:rPr>
      </w:pPr>
      <w:bookmarkStart w:id="25" w:name="_Toc225717177"/>
      <w:r w:rsidRPr="00A553B9">
        <w:rPr>
          <w:rFonts w:ascii="Arial" w:hAnsi="Arial" w:cs="Arial"/>
          <w:color w:val="auto"/>
          <w:szCs w:val="24"/>
        </w:rPr>
        <w:t>3.3 Working Capital Issues</w:t>
      </w:r>
      <w:bookmarkEnd w:id="25"/>
    </w:p>
    <w:p w14:paraId="1BF6E3A4" w14:textId="26ED05E4" w:rsidR="001B5F5E" w:rsidRPr="001B5F5E" w:rsidRDefault="00D72B74" w:rsidP="001B5F5E">
      <w:pPr>
        <w:ind w:firstLine="720"/>
        <w:rPr>
          <w:rFonts w:cs="Arial"/>
          <w:szCs w:val="24"/>
        </w:rPr>
      </w:pPr>
      <w:r w:rsidRPr="00A553B9">
        <w:rPr>
          <w:rFonts w:cs="Arial"/>
          <w:szCs w:val="24"/>
        </w:rPr>
        <w:t xml:space="preserve">The analysis points out a number of fundamental working capital problems </w:t>
      </w:r>
      <w:r w:rsidR="00D40C34" w:rsidRPr="00A553B9">
        <w:rPr>
          <w:rFonts w:cs="Arial"/>
          <w:szCs w:val="24"/>
        </w:rPr>
        <w:t>that</w:t>
      </w:r>
      <w:r w:rsidRPr="00A553B9">
        <w:rPr>
          <w:rFonts w:cs="Arial"/>
          <w:szCs w:val="24"/>
        </w:rPr>
        <w:t xml:space="preserve"> are causing the decline in the performance of operations. The biggest problem is the high growth in the inventory levels</w:t>
      </w:r>
      <w:r w:rsidR="00D40C34" w:rsidRPr="00A553B9">
        <w:rPr>
          <w:rFonts w:cs="Arial"/>
          <w:szCs w:val="24"/>
        </w:rPr>
        <w:t>,</w:t>
      </w:r>
      <w:r w:rsidRPr="00A553B9">
        <w:rPr>
          <w:rFonts w:cs="Arial"/>
          <w:szCs w:val="24"/>
        </w:rPr>
        <w:t xml:space="preserve"> as it is shown by </w:t>
      </w:r>
      <w:r w:rsidR="00D40C34" w:rsidRPr="00A553B9">
        <w:rPr>
          <w:rFonts w:cs="Arial"/>
          <w:szCs w:val="24"/>
        </w:rPr>
        <w:t xml:space="preserve">the </w:t>
      </w:r>
      <w:r w:rsidRPr="00A553B9">
        <w:rPr>
          <w:rFonts w:cs="Arial"/>
          <w:szCs w:val="24"/>
        </w:rPr>
        <w:t xml:space="preserve">doubling of inventory days. </w:t>
      </w:r>
      <w:r w:rsidRPr="00A553B9">
        <w:rPr>
          <w:rFonts w:cs="Arial"/>
          <w:szCs w:val="24"/>
        </w:rPr>
        <w:lastRenderedPageBreak/>
        <w:t>This implies that there may be overproduction, inefficiency in supply chain management</w:t>
      </w:r>
      <w:r w:rsidR="00D40C34" w:rsidRPr="00A553B9">
        <w:rPr>
          <w:rFonts w:cs="Arial"/>
          <w:szCs w:val="24"/>
        </w:rPr>
        <w:t>,</w:t>
      </w:r>
      <w:r w:rsidRPr="00A553B9">
        <w:rPr>
          <w:rFonts w:cs="Arial"/>
          <w:szCs w:val="24"/>
        </w:rPr>
        <w:t xml:space="preserve"> or demand mismatch</w:t>
      </w:r>
      <w:r w:rsidR="00A86964" w:rsidRPr="00A86964">
        <w:t xml:space="preserve"> </w:t>
      </w:r>
      <w:r w:rsidR="00A86964" w:rsidRPr="00A86964">
        <w:rPr>
          <w:rFonts w:cs="Arial"/>
          <w:szCs w:val="24"/>
        </w:rPr>
        <w:t xml:space="preserve">(Kling </w:t>
      </w:r>
      <w:r w:rsidR="00C63FEC" w:rsidRPr="00104E34">
        <w:rPr>
          <w:rFonts w:cs="Arial"/>
          <w:i/>
          <w:iCs/>
          <w:szCs w:val="24"/>
        </w:rPr>
        <w:t>et al</w:t>
      </w:r>
      <w:r w:rsidR="00A86964" w:rsidRPr="00A86964">
        <w:rPr>
          <w:rFonts w:cs="Arial"/>
          <w:szCs w:val="24"/>
        </w:rPr>
        <w:t>., 2020)</w:t>
      </w:r>
      <w:r w:rsidRPr="00A553B9">
        <w:rPr>
          <w:rFonts w:cs="Arial"/>
          <w:szCs w:val="24"/>
        </w:rPr>
        <w:t xml:space="preserve">. </w:t>
      </w:r>
      <w:r w:rsidR="001B5F5E" w:rsidRPr="001B5F5E">
        <w:rPr>
          <w:rFonts w:cs="Arial"/>
          <w:szCs w:val="24"/>
        </w:rPr>
        <w:t>Being a capital</w:t>
      </w:r>
      <w:r w:rsidR="00D510C4">
        <w:rPr>
          <w:rFonts w:cs="Arial"/>
          <w:szCs w:val="24"/>
        </w:rPr>
        <w:t>-</w:t>
      </w:r>
      <w:r w:rsidR="001B5F5E" w:rsidRPr="001B5F5E">
        <w:rPr>
          <w:rFonts w:cs="Arial"/>
          <w:szCs w:val="24"/>
        </w:rPr>
        <w:t>intensive and technologically volatile commodity, excess inventory in the automotive market is one of the key threats</w:t>
      </w:r>
      <w:r w:rsidR="00D510C4">
        <w:rPr>
          <w:rFonts w:cs="Arial"/>
          <w:szCs w:val="24"/>
        </w:rPr>
        <w:t>, such as</w:t>
      </w:r>
      <w:r w:rsidR="001B5F5E" w:rsidRPr="001B5F5E">
        <w:rPr>
          <w:rFonts w:cs="Arial"/>
          <w:szCs w:val="24"/>
        </w:rPr>
        <w:t xml:space="preserve"> obsolescence and lowering of prices.</w:t>
      </w:r>
    </w:p>
    <w:p w14:paraId="6987CC5D" w14:textId="0DB649E7" w:rsidR="001B5F5E" w:rsidRPr="001B5F5E" w:rsidRDefault="001B5F5E" w:rsidP="001B5F5E">
      <w:pPr>
        <w:ind w:firstLine="720"/>
        <w:rPr>
          <w:rFonts w:cs="Arial"/>
          <w:szCs w:val="24"/>
        </w:rPr>
      </w:pPr>
      <w:r w:rsidRPr="001B5F5E">
        <w:rPr>
          <w:rFonts w:cs="Arial"/>
          <w:szCs w:val="24"/>
        </w:rPr>
        <w:t xml:space="preserve">The second issue is aggravation of receivables management. The increasing receivable days are </w:t>
      </w:r>
      <w:r w:rsidR="00D510C4">
        <w:rPr>
          <w:rFonts w:cs="Arial"/>
          <w:szCs w:val="24"/>
        </w:rPr>
        <w:t>an</w:t>
      </w:r>
      <w:r w:rsidRPr="001B5F5E">
        <w:rPr>
          <w:rFonts w:cs="Arial"/>
          <w:szCs w:val="24"/>
        </w:rPr>
        <w:t xml:space="preserve"> indication that they are not collecting cash as fast, and it may be related to the long credit terms or the inability to enforce </w:t>
      </w:r>
      <w:r w:rsidR="00D510C4">
        <w:rPr>
          <w:rFonts w:cs="Arial"/>
          <w:szCs w:val="24"/>
        </w:rPr>
        <w:t>their</w:t>
      </w:r>
      <w:r w:rsidRPr="001B5F5E">
        <w:rPr>
          <w:rFonts w:cs="Arial"/>
          <w:szCs w:val="24"/>
        </w:rPr>
        <w:t xml:space="preserve"> payment policies. This not only reduce</w:t>
      </w:r>
      <w:r w:rsidR="00D510C4">
        <w:rPr>
          <w:rFonts w:cs="Arial"/>
          <w:szCs w:val="24"/>
        </w:rPr>
        <w:t>s</w:t>
      </w:r>
      <w:r w:rsidRPr="001B5F5E">
        <w:rPr>
          <w:rFonts w:cs="Arial"/>
          <w:szCs w:val="24"/>
        </w:rPr>
        <w:t xml:space="preserve"> the slow inflow of cash but also increases exposure to customer default risk.</w:t>
      </w:r>
    </w:p>
    <w:p w14:paraId="19B7F80F" w14:textId="253DC96F" w:rsidR="001B5F5E" w:rsidRPr="001B5F5E" w:rsidRDefault="001B5F5E" w:rsidP="001B5F5E">
      <w:pPr>
        <w:ind w:firstLine="720"/>
        <w:rPr>
          <w:rFonts w:cs="Arial"/>
          <w:szCs w:val="24"/>
        </w:rPr>
      </w:pPr>
      <w:r w:rsidRPr="001B5F5E">
        <w:rPr>
          <w:rFonts w:cs="Arial"/>
          <w:szCs w:val="24"/>
        </w:rPr>
        <w:t>The third issue has been linked to the lop-sidedness of receivables and payables. Payable days have also increased</w:t>
      </w:r>
      <w:r w:rsidR="00D510C4">
        <w:rPr>
          <w:rFonts w:cs="Arial"/>
          <w:szCs w:val="24"/>
        </w:rPr>
        <w:t>,</w:t>
      </w:r>
      <w:r w:rsidRPr="001B5F5E">
        <w:rPr>
          <w:rFonts w:cs="Arial"/>
          <w:szCs w:val="24"/>
        </w:rPr>
        <w:t xml:space="preserve"> although that is not enough to offset the increase in the inventory and receivables. This has compelled the net working capital requirement of the company to increase further and put more pressure on the cash flows.</w:t>
      </w:r>
    </w:p>
    <w:p w14:paraId="638A36F8" w14:textId="41B41CFC" w:rsidR="005508B8" w:rsidRPr="00A553B9" w:rsidRDefault="001B5F5E" w:rsidP="001B5F5E">
      <w:pPr>
        <w:ind w:firstLine="720"/>
        <w:rPr>
          <w:rFonts w:cs="Arial"/>
          <w:szCs w:val="24"/>
        </w:rPr>
      </w:pPr>
      <w:r w:rsidRPr="001B5F5E">
        <w:rPr>
          <w:rFonts w:cs="Arial"/>
          <w:szCs w:val="24"/>
        </w:rPr>
        <w:t>All this leads to a more significant issue of worsening operational discipline. The preliminary information about the development of the cash conversion cycle reveals that Mercedes-Benz is becoming less efficient in terms of using short-term assets and liabilities, which directly affects the liquidity, profitability, and financial performance.</w:t>
      </w:r>
    </w:p>
    <w:p w14:paraId="486BAD9F" w14:textId="4D9BD037" w:rsidR="005508B8" w:rsidRPr="00A553B9" w:rsidRDefault="006D4139" w:rsidP="009E21FB">
      <w:pPr>
        <w:pStyle w:val="Heading2"/>
        <w:rPr>
          <w:rFonts w:ascii="Arial" w:hAnsi="Arial" w:cs="Arial"/>
          <w:color w:val="auto"/>
          <w:szCs w:val="24"/>
        </w:rPr>
      </w:pPr>
      <w:bookmarkStart w:id="26" w:name="_Toc225717178"/>
      <w:r w:rsidRPr="00A553B9">
        <w:rPr>
          <w:rFonts w:ascii="Arial" w:hAnsi="Arial" w:cs="Arial"/>
          <w:color w:val="auto"/>
          <w:szCs w:val="24"/>
        </w:rPr>
        <w:t>3.4 Recommendations for Improvement</w:t>
      </w:r>
      <w:bookmarkEnd w:id="26"/>
    </w:p>
    <w:p w14:paraId="6BFEDF69" w14:textId="231412FF" w:rsidR="00FC0483" w:rsidRPr="00FC0483" w:rsidRDefault="00FC0483" w:rsidP="00FC0483">
      <w:pPr>
        <w:ind w:firstLine="720"/>
        <w:rPr>
          <w:rFonts w:cs="Arial"/>
          <w:szCs w:val="24"/>
        </w:rPr>
      </w:pPr>
      <w:r w:rsidRPr="00FC0483">
        <w:rPr>
          <w:rFonts w:cs="Arial"/>
          <w:szCs w:val="24"/>
        </w:rPr>
        <w:t xml:space="preserve">To address these issues, a holistic working capital optimisation model in which the focus is put on efficiency and the minimisation of capital stored by the operations must be adopted at Mercedes-Benz. One is the just-in-time inventory management system used by the company to reduce the inventory holding time and bring production </w:t>
      </w:r>
      <w:r w:rsidR="00D510C4">
        <w:rPr>
          <w:rFonts w:cs="Arial"/>
          <w:szCs w:val="24"/>
        </w:rPr>
        <w:t>closer</w:t>
      </w:r>
      <w:r w:rsidRPr="00FC0483">
        <w:rPr>
          <w:rFonts w:cs="Arial"/>
          <w:szCs w:val="24"/>
        </w:rPr>
        <w:t xml:space="preserve"> to the demand. This would decrease them on excess stock and </w:t>
      </w:r>
      <w:r w:rsidR="00D510C4">
        <w:rPr>
          <w:rFonts w:cs="Arial"/>
          <w:szCs w:val="24"/>
        </w:rPr>
        <w:t>improve</w:t>
      </w:r>
      <w:r w:rsidRPr="00FC0483">
        <w:rPr>
          <w:rFonts w:cs="Arial"/>
          <w:szCs w:val="24"/>
        </w:rPr>
        <w:t xml:space="preserve"> turnover.</w:t>
      </w:r>
    </w:p>
    <w:p w14:paraId="2BCDA99F" w14:textId="542986EB" w:rsidR="00FC0483" w:rsidRPr="00FC0483" w:rsidRDefault="00FC0483" w:rsidP="00FC0483">
      <w:pPr>
        <w:ind w:firstLine="720"/>
        <w:rPr>
          <w:rFonts w:cs="Arial"/>
          <w:szCs w:val="24"/>
        </w:rPr>
      </w:pPr>
      <w:r w:rsidRPr="00FC0483">
        <w:rPr>
          <w:rFonts w:cs="Arial"/>
          <w:szCs w:val="24"/>
        </w:rPr>
        <w:t>Second, the company should enhance its receivables management through tightening its credit policy, adding more restrictive payment terms, and digital invoice</w:t>
      </w:r>
      <w:r w:rsidR="00D510C4">
        <w:rPr>
          <w:rFonts w:cs="Arial"/>
          <w:szCs w:val="24"/>
        </w:rPr>
        <w:t>s</w:t>
      </w:r>
      <w:r w:rsidRPr="00FC0483">
        <w:rPr>
          <w:rFonts w:cs="Arial"/>
          <w:szCs w:val="24"/>
        </w:rPr>
        <w:t xml:space="preserve"> and automated collection systems. These measures would enhance cash inflows and reduce the chances of credit risk.</w:t>
      </w:r>
    </w:p>
    <w:p w14:paraId="0BF0F096" w14:textId="77777777" w:rsidR="00FC0483" w:rsidRPr="00FC0483" w:rsidRDefault="00FC0483" w:rsidP="00FC0483">
      <w:pPr>
        <w:ind w:firstLine="720"/>
        <w:rPr>
          <w:rFonts w:cs="Arial"/>
          <w:szCs w:val="24"/>
        </w:rPr>
      </w:pPr>
      <w:r w:rsidRPr="00FC0483">
        <w:rPr>
          <w:rFonts w:cs="Arial"/>
          <w:szCs w:val="24"/>
        </w:rPr>
        <w:t>Third, Mercedes-Benz would have to optimise the payables strategy by compromising with suppliers by negotiating favourable terms of payment without losing relationships. Another possible solution is to extend payable periods where feasible as an additional source of short-term financing and overcome working capital pressures.</w:t>
      </w:r>
    </w:p>
    <w:p w14:paraId="0547FCE7" w14:textId="5829CDBF" w:rsidR="005508B8" w:rsidRPr="00A553B9" w:rsidRDefault="00FC0483" w:rsidP="00FC0483">
      <w:pPr>
        <w:ind w:firstLine="720"/>
        <w:rPr>
          <w:rFonts w:cs="Arial"/>
          <w:szCs w:val="24"/>
        </w:rPr>
      </w:pPr>
      <w:r w:rsidRPr="00FC0483">
        <w:rPr>
          <w:rFonts w:cs="Arial"/>
          <w:szCs w:val="24"/>
        </w:rPr>
        <w:lastRenderedPageBreak/>
        <w:t xml:space="preserve">Finally, the company must use better data analytics in its working capital management activities. Predictive analytics can be used to improve demand forecasting, inventory planning, and credit risk assessment to ensure </w:t>
      </w:r>
      <w:r w:rsidR="00D510C4">
        <w:rPr>
          <w:rFonts w:cs="Arial"/>
          <w:szCs w:val="24"/>
        </w:rPr>
        <w:t xml:space="preserve">that </w:t>
      </w:r>
      <w:r w:rsidRPr="00FC0483">
        <w:rPr>
          <w:rFonts w:cs="Arial"/>
          <w:szCs w:val="24"/>
        </w:rPr>
        <w:t>overall efficiency is reliable.</w:t>
      </w:r>
    </w:p>
    <w:p w14:paraId="35BDE962" w14:textId="77777777" w:rsidR="005508B8" w:rsidRPr="00A553B9" w:rsidRDefault="006D4139" w:rsidP="009E21FB">
      <w:pPr>
        <w:pStyle w:val="Heading2"/>
        <w:rPr>
          <w:rFonts w:ascii="Arial" w:hAnsi="Arial" w:cs="Arial"/>
          <w:color w:val="auto"/>
          <w:szCs w:val="24"/>
        </w:rPr>
      </w:pPr>
      <w:bookmarkStart w:id="27" w:name="_Toc225717179"/>
      <w:r w:rsidRPr="00A553B9">
        <w:rPr>
          <w:rFonts w:ascii="Arial" w:hAnsi="Arial" w:cs="Arial"/>
          <w:color w:val="auto"/>
          <w:szCs w:val="24"/>
        </w:rPr>
        <w:t>3.5 Financing Options Comparison</w:t>
      </w:r>
      <w:bookmarkEnd w:id="27"/>
    </w:p>
    <w:p w14:paraId="2510DE65" w14:textId="6C7BBDA4" w:rsidR="0017283A" w:rsidRPr="00A553B9" w:rsidRDefault="0017283A" w:rsidP="0017283A">
      <w:pPr>
        <w:ind w:firstLine="720"/>
        <w:rPr>
          <w:rFonts w:cs="Arial"/>
          <w:szCs w:val="24"/>
        </w:rPr>
      </w:pPr>
      <w:r w:rsidRPr="00A553B9">
        <w:rPr>
          <w:rFonts w:cs="Arial"/>
          <w:szCs w:val="24"/>
        </w:rPr>
        <w:t>Mercedes-Benz can avail of the short and long</w:t>
      </w:r>
      <w:r w:rsidR="00F837F3" w:rsidRPr="00A553B9">
        <w:rPr>
          <w:rFonts w:cs="Arial"/>
          <w:szCs w:val="24"/>
        </w:rPr>
        <w:t>-</w:t>
      </w:r>
      <w:r w:rsidRPr="00A553B9">
        <w:rPr>
          <w:rFonts w:cs="Arial"/>
          <w:szCs w:val="24"/>
        </w:rPr>
        <w:t>term financing schemes, each having its own benefits and risks. Temporary working capital can be well managed through short-term financing options that include trade credit and bank overdrafts</w:t>
      </w:r>
      <w:r w:rsidR="00F837F3" w:rsidRPr="00A553B9">
        <w:rPr>
          <w:rFonts w:cs="Arial"/>
          <w:szCs w:val="24"/>
        </w:rPr>
        <w:t>, which</w:t>
      </w:r>
      <w:r w:rsidRPr="00A553B9">
        <w:rPr>
          <w:rFonts w:cs="Arial"/>
          <w:szCs w:val="24"/>
        </w:rPr>
        <w:t xml:space="preserve"> are flexible and able to accommodate temporary changes in working capital</w:t>
      </w:r>
      <w:r w:rsidR="008D24D9" w:rsidRPr="008D24D9">
        <w:t xml:space="preserve"> </w:t>
      </w:r>
      <w:r w:rsidR="008D24D9" w:rsidRPr="008D24D9">
        <w:rPr>
          <w:rFonts w:cs="Arial"/>
          <w:szCs w:val="24"/>
        </w:rPr>
        <w:t>(Rejison, 2025)</w:t>
      </w:r>
      <w:r w:rsidRPr="00A553B9">
        <w:rPr>
          <w:rFonts w:cs="Arial"/>
          <w:szCs w:val="24"/>
        </w:rPr>
        <w:t>. Nevertheless, they subject the company to refinancing risk and interest rate volatility. Conversely, long-term sources of finance</w:t>
      </w:r>
      <w:r w:rsidR="00F837F3" w:rsidRPr="00A553B9">
        <w:rPr>
          <w:rFonts w:cs="Arial"/>
          <w:szCs w:val="24"/>
        </w:rPr>
        <w:t>,</w:t>
      </w:r>
      <w:r w:rsidRPr="00A553B9">
        <w:rPr>
          <w:rFonts w:cs="Arial"/>
          <w:szCs w:val="24"/>
        </w:rPr>
        <w:t xml:space="preserve"> such as the issue of equity and long</w:t>
      </w:r>
      <w:r w:rsidR="00F837F3" w:rsidRPr="00A553B9">
        <w:rPr>
          <w:rFonts w:cs="Arial"/>
          <w:szCs w:val="24"/>
        </w:rPr>
        <w:t>-</w:t>
      </w:r>
      <w:r w:rsidRPr="00A553B9">
        <w:rPr>
          <w:rFonts w:cs="Arial"/>
          <w:szCs w:val="24"/>
        </w:rPr>
        <w:t>term debts</w:t>
      </w:r>
      <w:r w:rsidR="00F837F3" w:rsidRPr="00A553B9">
        <w:rPr>
          <w:rFonts w:cs="Arial"/>
          <w:szCs w:val="24"/>
        </w:rPr>
        <w:t>,</w:t>
      </w:r>
      <w:r w:rsidRPr="00A553B9">
        <w:rPr>
          <w:rFonts w:cs="Arial"/>
          <w:szCs w:val="24"/>
        </w:rPr>
        <w:t xml:space="preserve"> are stable and minimize the risk of refinancing, but they could be costly and dilute the value of the shareholders.</w:t>
      </w:r>
    </w:p>
    <w:p w14:paraId="41AB9D78" w14:textId="39227436" w:rsidR="0017283A" w:rsidRPr="00A553B9" w:rsidRDefault="0017283A" w:rsidP="0017283A">
      <w:pPr>
        <w:ind w:firstLine="720"/>
        <w:rPr>
          <w:rFonts w:cs="Arial"/>
          <w:szCs w:val="24"/>
        </w:rPr>
      </w:pPr>
      <w:r w:rsidRPr="00A553B9">
        <w:rPr>
          <w:rFonts w:cs="Arial"/>
          <w:szCs w:val="24"/>
        </w:rPr>
        <w:t xml:space="preserve">A balanced financing strategy is necessary as a CFO. Mercedes-Benz needs to use </w:t>
      </w:r>
      <w:r w:rsidR="00F837F3" w:rsidRPr="00A553B9">
        <w:rPr>
          <w:rFonts w:cs="Arial"/>
          <w:szCs w:val="24"/>
        </w:rPr>
        <w:t>short-</w:t>
      </w:r>
      <w:r w:rsidRPr="00A553B9">
        <w:rPr>
          <w:rFonts w:cs="Arial"/>
          <w:szCs w:val="24"/>
        </w:rPr>
        <w:t>term financing to provide it with flexibility in its operations</w:t>
      </w:r>
      <w:r w:rsidR="00F837F3" w:rsidRPr="00A553B9">
        <w:rPr>
          <w:rFonts w:cs="Arial"/>
          <w:szCs w:val="24"/>
        </w:rPr>
        <w:t>,</w:t>
      </w:r>
      <w:r w:rsidRPr="00A553B9">
        <w:rPr>
          <w:rFonts w:cs="Arial"/>
          <w:szCs w:val="24"/>
        </w:rPr>
        <w:t xml:space="preserve"> but maintain a more stable base of long-term financing to accommodate strategic investments. The hybrid solution will guarantee the company experience</w:t>
      </w:r>
      <w:r w:rsidR="00F837F3" w:rsidRPr="00A553B9">
        <w:rPr>
          <w:rFonts w:cs="Arial"/>
          <w:szCs w:val="24"/>
        </w:rPr>
        <w:t>s</w:t>
      </w:r>
      <w:r w:rsidRPr="00A553B9">
        <w:rPr>
          <w:rFonts w:cs="Arial"/>
          <w:szCs w:val="24"/>
        </w:rPr>
        <w:t xml:space="preserve"> no adverse effects on its financial stability or a greater exposure to risk as a result of figuring out how to fulfill its working capital requirements.</w:t>
      </w:r>
    </w:p>
    <w:p w14:paraId="41B1E675" w14:textId="46C887D8" w:rsidR="005508B8" w:rsidRPr="00A553B9" w:rsidRDefault="0017283A" w:rsidP="0017283A">
      <w:pPr>
        <w:ind w:firstLine="720"/>
        <w:rPr>
          <w:rFonts w:cs="Arial"/>
          <w:szCs w:val="24"/>
        </w:rPr>
      </w:pPr>
      <w:r w:rsidRPr="00A553B9">
        <w:rPr>
          <w:rFonts w:cs="Arial"/>
          <w:szCs w:val="24"/>
        </w:rPr>
        <w:t xml:space="preserve">Conclusively, although Mercedes-Benz has sufficient liquidity, its working capital management has been declining considerably, as it is reflected in the growth of the cash conversion cycle. The most significant issue is </w:t>
      </w:r>
      <w:r w:rsidR="00F837F3" w:rsidRPr="00A553B9">
        <w:rPr>
          <w:rFonts w:cs="Arial"/>
          <w:szCs w:val="24"/>
        </w:rPr>
        <w:t xml:space="preserve">the </w:t>
      </w:r>
      <w:r w:rsidRPr="00A553B9">
        <w:rPr>
          <w:rFonts w:cs="Arial"/>
          <w:szCs w:val="24"/>
        </w:rPr>
        <w:t>enhancement of operational efficiency, but not liquidity. With specific inventory, receivables, and payables management improvement, backed by a well-balanced financing strategy, the company will be able to boost the efficiency of cash flow and minimize capital restrictions, as well as promote financial sustainability in the long run.</w:t>
      </w:r>
    </w:p>
    <w:p w14:paraId="60E2EC25" w14:textId="77777777" w:rsidR="005508B8" w:rsidRPr="00A553B9" w:rsidRDefault="006D4139" w:rsidP="009E21FB">
      <w:pPr>
        <w:pStyle w:val="Heading1"/>
        <w:jc w:val="center"/>
        <w:rPr>
          <w:rFonts w:ascii="Arial" w:hAnsi="Arial" w:cs="Arial"/>
          <w:color w:val="auto"/>
          <w:sz w:val="24"/>
          <w:szCs w:val="24"/>
        </w:rPr>
      </w:pPr>
      <w:bookmarkStart w:id="28" w:name="_Toc225717180"/>
      <w:r w:rsidRPr="00A553B9">
        <w:rPr>
          <w:rFonts w:ascii="Arial" w:hAnsi="Arial" w:cs="Arial"/>
          <w:color w:val="auto"/>
          <w:sz w:val="24"/>
          <w:szCs w:val="24"/>
        </w:rPr>
        <w:t>4. Strategic Financial Restructuring Plan</w:t>
      </w:r>
      <w:bookmarkEnd w:id="28"/>
    </w:p>
    <w:p w14:paraId="7C8A38E1" w14:textId="77777777" w:rsidR="005508B8" w:rsidRPr="00A553B9" w:rsidRDefault="006D4139" w:rsidP="009E21FB">
      <w:pPr>
        <w:pStyle w:val="Heading2"/>
        <w:rPr>
          <w:rFonts w:ascii="Arial" w:hAnsi="Arial" w:cs="Arial"/>
          <w:color w:val="auto"/>
          <w:szCs w:val="24"/>
        </w:rPr>
      </w:pPr>
      <w:bookmarkStart w:id="29" w:name="_Toc225717181"/>
      <w:r w:rsidRPr="00A553B9">
        <w:rPr>
          <w:rFonts w:ascii="Arial" w:hAnsi="Arial" w:cs="Arial"/>
          <w:color w:val="auto"/>
          <w:szCs w:val="24"/>
        </w:rPr>
        <w:t>4.1 Need for Restructuring</w:t>
      </w:r>
      <w:bookmarkEnd w:id="29"/>
    </w:p>
    <w:p w14:paraId="4F8FFF7B" w14:textId="56C6F333" w:rsidR="004B2185" w:rsidRPr="004B2185" w:rsidRDefault="00403B6B" w:rsidP="004B2185">
      <w:pPr>
        <w:ind w:firstLine="720"/>
        <w:rPr>
          <w:rFonts w:cs="Arial"/>
          <w:szCs w:val="24"/>
        </w:rPr>
      </w:pPr>
      <w:r w:rsidRPr="00A553B9">
        <w:rPr>
          <w:rFonts w:cs="Arial"/>
          <w:szCs w:val="24"/>
        </w:rPr>
        <w:t xml:space="preserve">The financial performance of Mercedes-Benz Group AG in 2021-25 can be outlined as having a definite necessity </w:t>
      </w:r>
      <w:r w:rsidR="00F837F3" w:rsidRPr="00A553B9">
        <w:rPr>
          <w:rFonts w:cs="Arial"/>
          <w:szCs w:val="24"/>
        </w:rPr>
        <w:t>for</w:t>
      </w:r>
      <w:r w:rsidRPr="00A553B9">
        <w:rPr>
          <w:rFonts w:cs="Arial"/>
          <w:szCs w:val="24"/>
        </w:rPr>
        <w:t xml:space="preserve"> strategic financial restructuring. Though the company is well-capitalised and has a stable liquidity and a manageable leverage, its profitability and operational efficiency have deteriorated considerably. Both gross and net profit margins have tightened, returns on assets and equities have been poor, </w:t>
      </w:r>
      <w:r w:rsidRPr="00A553B9">
        <w:rPr>
          <w:rFonts w:cs="Arial"/>
          <w:szCs w:val="24"/>
        </w:rPr>
        <w:lastRenderedPageBreak/>
        <w:t xml:space="preserve">indicating a decrease in capital productivity. </w:t>
      </w:r>
      <w:r w:rsidR="004B2185" w:rsidRPr="004B2185">
        <w:rPr>
          <w:rFonts w:cs="Arial"/>
          <w:szCs w:val="24"/>
        </w:rPr>
        <w:t>At the same time, the rise in the cash conversion cycle is a sign of an inefficient approach towards working capital regulation because more funds are invested in inventory and accounts receivable.</w:t>
      </w:r>
    </w:p>
    <w:p w14:paraId="0637220B" w14:textId="5B6796FF" w:rsidR="005508B8" w:rsidRPr="00A553B9" w:rsidRDefault="004B2185" w:rsidP="004B2185">
      <w:pPr>
        <w:ind w:firstLine="720"/>
        <w:rPr>
          <w:rFonts w:cs="Arial"/>
          <w:szCs w:val="24"/>
        </w:rPr>
      </w:pPr>
      <w:r w:rsidRPr="004B2185">
        <w:rPr>
          <w:rFonts w:cs="Arial"/>
          <w:szCs w:val="24"/>
        </w:rPr>
        <w:t>It is worth noting that dilution of returns is another cause of such restructuring requirement</w:t>
      </w:r>
      <w:r w:rsidR="00D510C4">
        <w:rPr>
          <w:rFonts w:cs="Arial"/>
          <w:szCs w:val="24"/>
        </w:rPr>
        <w:t>s,</w:t>
      </w:r>
      <w:r w:rsidRPr="004B2185">
        <w:rPr>
          <w:rFonts w:cs="Arial"/>
          <w:szCs w:val="24"/>
        </w:rPr>
        <w:t xml:space="preserve"> rather than financial distress. The good cash flow producing and a good balance sheet ha</w:t>
      </w:r>
      <w:r w:rsidR="00D510C4">
        <w:rPr>
          <w:rFonts w:cs="Arial"/>
          <w:szCs w:val="24"/>
        </w:rPr>
        <w:t>ve</w:t>
      </w:r>
      <w:r w:rsidRPr="004B2185">
        <w:rPr>
          <w:rFonts w:cs="Arial"/>
          <w:szCs w:val="24"/>
        </w:rPr>
        <w:t xml:space="preserve"> been maintained by Mercedes-Benz, but </w:t>
      </w:r>
      <w:r w:rsidR="00E34A45">
        <w:rPr>
          <w:rFonts w:cs="Arial"/>
          <w:szCs w:val="24"/>
        </w:rPr>
        <w:t xml:space="preserve">the </w:t>
      </w:r>
      <w:r w:rsidRPr="004B2185">
        <w:rPr>
          <w:rFonts w:cs="Arial"/>
          <w:szCs w:val="24"/>
        </w:rPr>
        <w:t>conversion of the strengths into sustainable returns has been declining. The most crucial situation as a Chief Financial Officer is to ensure that they should be able to get back to profitability, improve efficiency, and ensure that the capital is invested in areas that can enable value creation long-term. Without restructuring, the shareholder value can be ruined by additional pressure o</w:t>
      </w:r>
      <w:r w:rsidR="00E34A45">
        <w:rPr>
          <w:rFonts w:cs="Arial"/>
          <w:szCs w:val="24"/>
        </w:rPr>
        <w:t>n</w:t>
      </w:r>
      <w:r w:rsidRPr="004B2185">
        <w:rPr>
          <w:rFonts w:cs="Arial"/>
          <w:szCs w:val="24"/>
        </w:rPr>
        <w:t xml:space="preserve"> the margin and inefficiency that will make the company lose its competitive power in the dynamic electric cars market.</w:t>
      </w:r>
    </w:p>
    <w:p w14:paraId="0C21B1C1" w14:textId="77777777" w:rsidR="005508B8" w:rsidRPr="00A553B9" w:rsidRDefault="006D4139" w:rsidP="009E21FB">
      <w:pPr>
        <w:pStyle w:val="Heading2"/>
        <w:rPr>
          <w:rFonts w:ascii="Arial" w:hAnsi="Arial" w:cs="Arial"/>
          <w:color w:val="auto"/>
          <w:szCs w:val="24"/>
        </w:rPr>
      </w:pPr>
      <w:bookmarkStart w:id="30" w:name="_Toc225717182"/>
      <w:r w:rsidRPr="00A553B9">
        <w:rPr>
          <w:rFonts w:ascii="Arial" w:hAnsi="Arial" w:cs="Arial"/>
          <w:color w:val="auto"/>
          <w:szCs w:val="24"/>
        </w:rPr>
        <w:t>4.2 Proposed Strategies</w:t>
      </w:r>
      <w:bookmarkEnd w:id="30"/>
    </w:p>
    <w:p w14:paraId="03ACDD9B" w14:textId="76EDC6DD" w:rsidR="005508B8" w:rsidRPr="00A553B9" w:rsidRDefault="008263BE" w:rsidP="009E21FB">
      <w:pPr>
        <w:pStyle w:val="Heading3"/>
        <w:rPr>
          <w:rFonts w:ascii="Arial" w:hAnsi="Arial" w:cs="Arial"/>
          <w:color w:val="auto"/>
          <w:szCs w:val="24"/>
        </w:rPr>
      </w:pPr>
      <w:bookmarkStart w:id="31" w:name="_Toc225717183"/>
      <w:r w:rsidRPr="00A553B9">
        <w:rPr>
          <w:rFonts w:ascii="Arial" w:hAnsi="Arial" w:cs="Arial"/>
          <w:color w:val="auto"/>
          <w:szCs w:val="24"/>
        </w:rPr>
        <w:t>Targeted Divestiture and Portfolio Rationalisation</w:t>
      </w:r>
      <w:bookmarkEnd w:id="31"/>
    </w:p>
    <w:p w14:paraId="70E40126" w14:textId="75AF6DBB" w:rsidR="005A4E1F" w:rsidRPr="009348C0" w:rsidRDefault="00EE5287" w:rsidP="008263BE">
      <w:pPr>
        <w:ind w:firstLine="720"/>
        <w:rPr>
          <w:rFonts w:cs="Arial"/>
          <w:szCs w:val="24"/>
          <w:highlight w:val="yellow"/>
        </w:rPr>
      </w:pPr>
      <w:r w:rsidRPr="00EE5287">
        <w:rPr>
          <w:rFonts w:cs="Arial"/>
          <w:szCs w:val="24"/>
        </w:rPr>
        <w:t xml:space="preserve">Mercedes-Benz should think about </w:t>
      </w:r>
      <w:r w:rsidR="000A0EF3">
        <w:rPr>
          <w:rFonts w:cs="Arial"/>
          <w:szCs w:val="24"/>
        </w:rPr>
        <w:t xml:space="preserve">the </w:t>
      </w:r>
      <w:r w:rsidRPr="00EE5287">
        <w:rPr>
          <w:rFonts w:cs="Arial"/>
          <w:szCs w:val="24"/>
        </w:rPr>
        <w:t xml:space="preserve">selective divestiture of </w:t>
      </w:r>
      <w:r w:rsidR="000A0EF3">
        <w:rPr>
          <w:rFonts w:cs="Arial"/>
          <w:szCs w:val="24"/>
        </w:rPr>
        <w:t>under</w:t>
      </w:r>
      <w:r w:rsidRPr="00EE5287">
        <w:rPr>
          <w:rFonts w:cs="Arial"/>
          <w:szCs w:val="24"/>
        </w:rPr>
        <w:t>performing and non-core sectors of its business, particularly the areas of operation of internal combustion engine (ICE) that do not a</w:t>
      </w:r>
      <w:r w:rsidR="000A0EF3">
        <w:rPr>
          <w:rFonts w:cs="Arial"/>
          <w:szCs w:val="24"/>
        </w:rPr>
        <w:t>lign</w:t>
      </w:r>
      <w:r w:rsidRPr="00EE5287">
        <w:rPr>
          <w:rFonts w:cs="Arial"/>
          <w:szCs w:val="24"/>
        </w:rPr>
        <w:t xml:space="preserve"> well with the electrification strategy of the company. These divisions are typically not very profitable and require more capital to invest. Their s</w:t>
      </w:r>
      <w:r w:rsidR="000A0EF3">
        <w:rPr>
          <w:rFonts w:cs="Arial"/>
          <w:szCs w:val="24"/>
        </w:rPr>
        <w:t>ale</w:t>
      </w:r>
      <w:r w:rsidRPr="00EE5287">
        <w:rPr>
          <w:rFonts w:cs="Arial"/>
          <w:szCs w:val="24"/>
        </w:rPr>
        <w:t xml:space="preserve"> will allow the company to allocate funds to more lucrative and even more lucrative EV development and will make it even more lucrative and operation-oriented. Portfolio rationalisation should also streamline the product</w:t>
      </w:r>
      <w:r w:rsidR="000A0EF3">
        <w:rPr>
          <w:rFonts w:cs="Arial"/>
          <w:szCs w:val="24"/>
        </w:rPr>
        <w:t>,</w:t>
      </w:r>
      <w:r w:rsidRPr="00EE5287">
        <w:rPr>
          <w:rFonts w:cs="Arial"/>
          <w:szCs w:val="24"/>
        </w:rPr>
        <w:t xml:space="preserve"> which makes it easier to manage its cost as well as to manufacture it with more efficiency.</w:t>
      </w:r>
    </w:p>
    <w:p w14:paraId="6C76035F" w14:textId="44115EC4" w:rsidR="005A4E1F" w:rsidRPr="007C2A3B" w:rsidRDefault="003B5699" w:rsidP="003B5699">
      <w:pPr>
        <w:pStyle w:val="Heading3"/>
        <w:rPr>
          <w:rFonts w:ascii="Arial" w:hAnsi="Arial" w:cs="Arial"/>
          <w:color w:val="auto"/>
          <w:sz w:val="22"/>
        </w:rPr>
      </w:pPr>
      <w:bookmarkStart w:id="32" w:name="_Toc225717184"/>
      <w:r w:rsidRPr="007C2A3B">
        <w:rPr>
          <w:rFonts w:ascii="Arial" w:hAnsi="Arial" w:cs="Arial"/>
          <w:color w:val="auto"/>
          <w:sz w:val="22"/>
        </w:rPr>
        <w:t>Selective Acquisitions and Partnerships</w:t>
      </w:r>
      <w:bookmarkEnd w:id="32"/>
    </w:p>
    <w:p w14:paraId="04616A67" w14:textId="75E111B9" w:rsidR="005A4E1F" w:rsidRPr="009348C0" w:rsidRDefault="00D051B6" w:rsidP="009142FC">
      <w:pPr>
        <w:ind w:firstLine="720"/>
        <w:rPr>
          <w:rFonts w:cs="Arial"/>
          <w:szCs w:val="24"/>
          <w:highlight w:val="yellow"/>
        </w:rPr>
      </w:pPr>
      <w:r w:rsidRPr="00D051B6">
        <w:rPr>
          <w:rFonts w:cs="Arial"/>
          <w:szCs w:val="24"/>
        </w:rPr>
        <w:t xml:space="preserve">In the character of the capital-intensive nurturing of EVs, Mercedes-Benz has to center on picky purchase and joint ventures rather than depend solely on in-house funding. The cooperation with battery manufacturers, software, and technology can decrease the </w:t>
      </w:r>
      <w:r w:rsidR="000A0EF3">
        <w:rPr>
          <w:rFonts w:cs="Arial"/>
          <w:szCs w:val="24"/>
        </w:rPr>
        <w:t>amount</w:t>
      </w:r>
      <w:r w:rsidRPr="00D051B6">
        <w:rPr>
          <w:rFonts w:cs="Arial"/>
          <w:szCs w:val="24"/>
        </w:rPr>
        <w:t xml:space="preserve"> of money required by them in capital expenditure and accelerate innovation. The partnerships allow the company to diversify the risk, obtain some specialisation experience, and increase the time to market new products. This is most critical in an industry where technological advancement is very high</w:t>
      </w:r>
      <w:r w:rsidR="000A0EF3">
        <w:rPr>
          <w:rFonts w:cs="Arial"/>
          <w:szCs w:val="24"/>
        </w:rPr>
        <w:t>,</w:t>
      </w:r>
      <w:r w:rsidRPr="00D051B6">
        <w:rPr>
          <w:rFonts w:cs="Arial"/>
          <w:szCs w:val="24"/>
        </w:rPr>
        <w:t xml:space="preserve"> and competition is intense.</w:t>
      </w:r>
    </w:p>
    <w:p w14:paraId="15E0B7F5" w14:textId="1809DFB4" w:rsidR="005A4E1F" w:rsidRPr="007C2A3B" w:rsidRDefault="009142FC" w:rsidP="009142FC">
      <w:pPr>
        <w:pStyle w:val="Heading3"/>
        <w:rPr>
          <w:rFonts w:ascii="Arial" w:hAnsi="Arial" w:cs="Arial"/>
          <w:color w:val="auto"/>
          <w:sz w:val="22"/>
        </w:rPr>
      </w:pPr>
      <w:bookmarkStart w:id="33" w:name="_Toc225717185"/>
      <w:r w:rsidRPr="007C2A3B">
        <w:rPr>
          <w:rFonts w:ascii="Arial" w:hAnsi="Arial" w:cs="Arial"/>
          <w:color w:val="auto"/>
          <w:sz w:val="22"/>
        </w:rPr>
        <w:lastRenderedPageBreak/>
        <w:t>Equity Injection as a Contingent Option</w:t>
      </w:r>
      <w:bookmarkEnd w:id="33"/>
    </w:p>
    <w:p w14:paraId="39CA3FCC" w14:textId="145D47B1" w:rsidR="005A4E1F" w:rsidRPr="00A553B9" w:rsidRDefault="00D051B6" w:rsidP="009142FC">
      <w:pPr>
        <w:ind w:firstLine="720"/>
        <w:rPr>
          <w:rFonts w:cs="Arial"/>
          <w:szCs w:val="24"/>
        </w:rPr>
      </w:pPr>
      <w:r w:rsidRPr="00D051B6">
        <w:rPr>
          <w:rFonts w:cs="Arial"/>
          <w:szCs w:val="24"/>
        </w:rPr>
        <w:t>The equity injection is a potential contingency measure</w:t>
      </w:r>
      <w:r w:rsidR="000A0EF3">
        <w:rPr>
          <w:rFonts w:cs="Arial"/>
          <w:szCs w:val="24"/>
        </w:rPr>
        <w:t>,</w:t>
      </w:r>
      <w:r w:rsidRPr="00D051B6">
        <w:rPr>
          <w:rFonts w:cs="Arial"/>
          <w:szCs w:val="24"/>
        </w:rPr>
        <w:t xml:space="preserve"> unlike Mercedes-Benz</w:t>
      </w:r>
      <w:r w:rsidR="000A0EF3">
        <w:rPr>
          <w:rFonts w:cs="Arial"/>
          <w:szCs w:val="24"/>
        </w:rPr>
        <w:t>, which</w:t>
      </w:r>
      <w:r w:rsidRPr="00D051B6">
        <w:rPr>
          <w:rFonts w:cs="Arial"/>
          <w:szCs w:val="24"/>
        </w:rPr>
        <w:t xml:space="preserve"> is well-positioned as far as equity is concerned. To increase the financial leverage of the company, an increase in equity can be made in case the profitability is declining or the firm requires a significant strategic investment.</w:t>
      </w:r>
      <w:r w:rsidR="005A4E1F" w:rsidRPr="00A553B9">
        <w:rPr>
          <w:rFonts w:cs="Arial"/>
          <w:szCs w:val="24"/>
        </w:rPr>
        <w:t xml:space="preserve"> Nevertheless, this alternative should be approached with a lot of care, because it can water</w:t>
      </w:r>
      <w:r w:rsidR="00253E22" w:rsidRPr="00A553B9">
        <w:rPr>
          <w:rFonts w:cs="Arial"/>
          <w:szCs w:val="24"/>
        </w:rPr>
        <w:t xml:space="preserve"> </w:t>
      </w:r>
      <w:r w:rsidR="005A4E1F" w:rsidRPr="00A553B9">
        <w:rPr>
          <w:rFonts w:cs="Arial"/>
          <w:szCs w:val="24"/>
        </w:rPr>
        <w:t xml:space="preserve">down the shareholder value. As a CFO, equity financing must be </w:t>
      </w:r>
      <w:r w:rsidR="00253E22" w:rsidRPr="00A553B9">
        <w:rPr>
          <w:rFonts w:cs="Arial"/>
          <w:szCs w:val="24"/>
        </w:rPr>
        <w:t>done only</w:t>
      </w:r>
      <w:r w:rsidR="005A4E1F" w:rsidRPr="00A553B9">
        <w:rPr>
          <w:rFonts w:cs="Arial"/>
          <w:szCs w:val="24"/>
        </w:rPr>
        <w:t xml:space="preserve"> on strategic investments with high returns that are worth the dilution.</w:t>
      </w:r>
    </w:p>
    <w:p w14:paraId="5BF7235C" w14:textId="77777777" w:rsidR="00AE1C7A" w:rsidRPr="00A553B9" w:rsidRDefault="00AE1C7A" w:rsidP="00AE1C7A">
      <w:pPr>
        <w:pStyle w:val="Heading3"/>
        <w:rPr>
          <w:rFonts w:ascii="Arial" w:hAnsi="Arial" w:cs="Arial"/>
          <w:color w:val="auto"/>
          <w:sz w:val="22"/>
        </w:rPr>
      </w:pPr>
      <w:bookmarkStart w:id="34" w:name="_Toc225717186"/>
      <w:r w:rsidRPr="00A553B9">
        <w:rPr>
          <w:rFonts w:ascii="Arial" w:hAnsi="Arial" w:cs="Arial"/>
          <w:color w:val="auto"/>
          <w:sz w:val="22"/>
        </w:rPr>
        <w:t>Debt Restructuring and Refinancing</w:t>
      </w:r>
      <w:bookmarkEnd w:id="34"/>
    </w:p>
    <w:p w14:paraId="333C65DF" w14:textId="23C9427D" w:rsidR="005508B8" w:rsidRPr="00A553B9" w:rsidRDefault="005A4E1F" w:rsidP="005A4E1F">
      <w:pPr>
        <w:ind w:firstLine="720"/>
        <w:rPr>
          <w:rFonts w:cs="Arial"/>
          <w:szCs w:val="24"/>
        </w:rPr>
      </w:pPr>
      <w:r w:rsidRPr="00A553B9">
        <w:rPr>
          <w:rFonts w:cs="Arial"/>
          <w:szCs w:val="24"/>
        </w:rPr>
        <w:t>In the case of the company</w:t>
      </w:r>
      <w:r w:rsidR="00A553B9" w:rsidRPr="00A553B9">
        <w:rPr>
          <w:rFonts w:cs="Arial"/>
          <w:szCs w:val="24"/>
        </w:rPr>
        <w:t>,</w:t>
      </w:r>
      <w:r w:rsidRPr="00A553B9">
        <w:rPr>
          <w:rFonts w:cs="Arial"/>
          <w:szCs w:val="24"/>
        </w:rPr>
        <w:t xml:space="preserve"> already a sl</w:t>
      </w:r>
      <w:r w:rsidR="00A553B9" w:rsidRPr="00A553B9">
        <w:rPr>
          <w:rFonts w:cs="Arial"/>
          <w:szCs w:val="24"/>
        </w:rPr>
        <w:t>ight</w:t>
      </w:r>
      <w:r w:rsidRPr="00A553B9">
        <w:rPr>
          <w:rFonts w:cs="Arial"/>
          <w:szCs w:val="24"/>
        </w:rPr>
        <w:t xml:space="preserve"> decrease in leverage has been observed</w:t>
      </w:r>
      <w:r w:rsidR="00A553B9" w:rsidRPr="00A553B9">
        <w:rPr>
          <w:rFonts w:cs="Arial"/>
          <w:szCs w:val="24"/>
        </w:rPr>
        <w:t>;</w:t>
      </w:r>
      <w:r w:rsidRPr="00A553B9">
        <w:rPr>
          <w:rFonts w:cs="Arial"/>
          <w:szCs w:val="24"/>
        </w:rPr>
        <w:t xml:space="preserve"> additional optimisation of </w:t>
      </w:r>
      <w:r w:rsidR="00A553B9" w:rsidRPr="00A553B9">
        <w:rPr>
          <w:rFonts w:cs="Arial"/>
          <w:szCs w:val="24"/>
        </w:rPr>
        <w:t xml:space="preserve">the </w:t>
      </w:r>
      <w:r w:rsidRPr="00A553B9">
        <w:rPr>
          <w:rFonts w:cs="Arial"/>
          <w:szCs w:val="24"/>
        </w:rPr>
        <w:t>debt structure can further increase financial efficiency. Refinancing current debt at l</w:t>
      </w:r>
      <w:r w:rsidR="00A553B9" w:rsidRPr="00A553B9">
        <w:rPr>
          <w:rFonts w:cs="Arial"/>
          <w:szCs w:val="24"/>
        </w:rPr>
        <w:t>ow</w:t>
      </w:r>
      <w:r w:rsidRPr="00A553B9">
        <w:rPr>
          <w:rFonts w:cs="Arial"/>
          <w:szCs w:val="24"/>
        </w:rPr>
        <w:t xml:space="preserve">er rates and also increasing maturities can lower financing expenses and enhance </w:t>
      </w:r>
      <w:r w:rsidR="00A553B9" w:rsidRPr="00A553B9">
        <w:rPr>
          <w:rFonts w:cs="Arial"/>
          <w:szCs w:val="24"/>
        </w:rPr>
        <w:t xml:space="preserve">the </w:t>
      </w:r>
      <w:r w:rsidRPr="00A553B9">
        <w:rPr>
          <w:rFonts w:cs="Arial"/>
          <w:szCs w:val="24"/>
        </w:rPr>
        <w:t xml:space="preserve">stability of cash flows. Also, it is important to match debt financing with high-paying projects so that the capital borrowed can be used in the most effective way. Considering that the coverage of the interest is quite high, Mercedes-Benz will still be able to use the debt </w:t>
      </w:r>
      <w:r w:rsidR="00A553B9" w:rsidRPr="00A553B9">
        <w:rPr>
          <w:rFonts w:cs="Arial"/>
          <w:szCs w:val="24"/>
        </w:rPr>
        <w:t>strategically</w:t>
      </w:r>
      <w:r w:rsidRPr="00A553B9">
        <w:rPr>
          <w:rFonts w:cs="Arial"/>
          <w:szCs w:val="24"/>
        </w:rPr>
        <w:t xml:space="preserve"> without the need to increase the risk of finances that much.</w:t>
      </w:r>
    </w:p>
    <w:p w14:paraId="2DE60BD8" w14:textId="33055729" w:rsidR="00AB2A30" w:rsidRPr="00AB3D39" w:rsidRDefault="006D4139" w:rsidP="00AB3D39">
      <w:pPr>
        <w:pStyle w:val="Heading2"/>
        <w:rPr>
          <w:rFonts w:ascii="Arial" w:hAnsi="Arial" w:cs="Arial"/>
          <w:color w:val="auto"/>
          <w:szCs w:val="24"/>
        </w:rPr>
      </w:pPr>
      <w:bookmarkStart w:id="35" w:name="_Toc225717187"/>
      <w:r w:rsidRPr="00A553B9">
        <w:rPr>
          <w:rFonts w:ascii="Arial" w:hAnsi="Arial" w:cs="Arial"/>
          <w:color w:val="auto"/>
          <w:szCs w:val="24"/>
        </w:rPr>
        <w:t>4.3 Impact Analysis</w:t>
      </w:r>
      <w:bookmarkEnd w:id="35"/>
    </w:p>
    <w:p w14:paraId="25478C5E" w14:textId="5045A08E" w:rsidR="00EE3C93" w:rsidRPr="00EE3C93" w:rsidRDefault="00AB2A30" w:rsidP="00EE3C93">
      <w:pPr>
        <w:ind w:firstLine="720"/>
        <w:rPr>
          <w:rFonts w:cs="Arial"/>
          <w:szCs w:val="24"/>
        </w:rPr>
      </w:pPr>
      <w:r w:rsidRPr="00A553B9">
        <w:rPr>
          <w:rFonts w:cs="Arial"/>
          <w:szCs w:val="24"/>
        </w:rPr>
        <w:t>The suggested reorganization plans will enhance the financial results as well as the strategic standings. Diversification and rationalisation of the portfolio will optimise margins by dropping the operations that do not generate returns and concentrat</w:t>
      </w:r>
      <w:r w:rsidR="00A553B9" w:rsidRPr="00A553B9">
        <w:rPr>
          <w:rFonts w:cs="Arial"/>
          <w:szCs w:val="24"/>
        </w:rPr>
        <w:t>ing</w:t>
      </w:r>
      <w:r w:rsidRPr="00A553B9">
        <w:rPr>
          <w:rFonts w:cs="Arial"/>
          <w:szCs w:val="24"/>
        </w:rPr>
        <w:t xml:space="preserve"> on the high-value segments. This will also help in improving the returns on assets and equity. </w:t>
      </w:r>
      <w:r w:rsidR="00EE3C93" w:rsidRPr="00EE3C93">
        <w:rPr>
          <w:rFonts w:cs="Arial"/>
          <w:szCs w:val="24"/>
        </w:rPr>
        <w:t xml:space="preserve">Strategic alliances and ventures will reduce the level of capital intensity and increase the level of innovation that will aid Mercedes-Benz </w:t>
      </w:r>
      <w:r w:rsidR="000A0EF3">
        <w:rPr>
          <w:rFonts w:cs="Arial"/>
          <w:szCs w:val="24"/>
        </w:rPr>
        <w:t>in remaining</w:t>
      </w:r>
      <w:r w:rsidR="00EE3C93" w:rsidRPr="00EE3C93">
        <w:rPr>
          <w:rFonts w:cs="Arial"/>
          <w:szCs w:val="24"/>
        </w:rPr>
        <w:t xml:space="preserve"> competitive in the EV market. The programs also enhance operational flexibility by reducing reliance on internal resources.</w:t>
      </w:r>
    </w:p>
    <w:p w14:paraId="064DAD23" w14:textId="57250DE5" w:rsidR="005508B8" w:rsidRPr="00A61537" w:rsidRDefault="00EE3C93" w:rsidP="00EE3C93">
      <w:pPr>
        <w:ind w:firstLine="720"/>
        <w:rPr>
          <w:rFonts w:cs="Arial"/>
          <w:szCs w:val="24"/>
          <w:highlight w:val="yellow"/>
        </w:rPr>
      </w:pPr>
      <w:r w:rsidRPr="00EE3C93">
        <w:rPr>
          <w:rFonts w:cs="Arial"/>
          <w:szCs w:val="24"/>
        </w:rPr>
        <w:t xml:space="preserve">Equity injection will be more beneficial to the balance sheet and reduce the risks in the financial statements, and the debt restructuring will reduce the cost of financing and improve the cash flow. Overall, the strategies will cause the increment of shareholder value due to the increase </w:t>
      </w:r>
      <w:r w:rsidR="000A0EF3">
        <w:rPr>
          <w:rFonts w:cs="Arial"/>
          <w:szCs w:val="24"/>
        </w:rPr>
        <w:t>in</w:t>
      </w:r>
      <w:r w:rsidRPr="00EE3C93">
        <w:rPr>
          <w:rFonts w:cs="Arial"/>
          <w:szCs w:val="24"/>
        </w:rPr>
        <w:t xml:space="preserve"> profitability, decrease in risk, and capital efficient use.</w:t>
      </w:r>
    </w:p>
    <w:p w14:paraId="6CF7DC92" w14:textId="77777777" w:rsidR="005508B8" w:rsidRPr="007C2A3B" w:rsidRDefault="006D4139" w:rsidP="009E21FB">
      <w:pPr>
        <w:pStyle w:val="Heading2"/>
        <w:rPr>
          <w:rFonts w:ascii="Arial" w:hAnsi="Arial" w:cs="Arial"/>
          <w:color w:val="auto"/>
          <w:szCs w:val="24"/>
        </w:rPr>
      </w:pPr>
      <w:bookmarkStart w:id="36" w:name="_Toc225717188"/>
      <w:r w:rsidRPr="007C2A3B">
        <w:rPr>
          <w:rFonts w:ascii="Arial" w:hAnsi="Arial" w:cs="Arial"/>
          <w:color w:val="auto"/>
          <w:szCs w:val="24"/>
        </w:rPr>
        <w:t>4.4 International Considerations</w:t>
      </w:r>
      <w:bookmarkEnd w:id="36"/>
    </w:p>
    <w:p w14:paraId="74E73791" w14:textId="4B6B1E86" w:rsidR="00EE3C93" w:rsidRPr="00EE3C93" w:rsidRDefault="00EE3C93" w:rsidP="00EE3C93">
      <w:pPr>
        <w:ind w:firstLine="720"/>
        <w:rPr>
          <w:rFonts w:cs="Arial"/>
          <w:szCs w:val="24"/>
        </w:rPr>
      </w:pPr>
      <w:r w:rsidRPr="00EE3C93">
        <w:rPr>
          <w:rFonts w:cs="Arial"/>
          <w:szCs w:val="24"/>
        </w:rPr>
        <w:t>Mercedes-Benz is a business that operates within the global environment</w:t>
      </w:r>
      <w:r w:rsidR="000A0EF3">
        <w:rPr>
          <w:rFonts w:cs="Arial"/>
          <w:szCs w:val="24"/>
        </w:rPr>
        <w:t>,</w:t>
      </w:r>
      <w:r w:rsidRPr="00EE3C93">
        <w:rPr>
          <w:rFonts w:cs="Arial"/>
          <w:szCs w:val="24"/>
        </w:rPr>
        <w:t xml:space="preserve"> and its restructuring plan must take into account the international risks. The fluctuation of </w:t>
      </w:r>
      <w:r w:rsidRPr="00EE3C93">
        <w:rPr>
          <w:rFonts w:cs="Arial"/>
          <w:szCs w:val="24"/>
        </w:rPr>
        <w:lastRenderedPageBreak/>
        <w:t>the exchange rates could present certain grave consequences on the profitability</w:t>
      </w:r>
      <w:r w:rsidR="000A0EF3">
        <w:rPr>
          <w:rFonts w:cs="Arial"/>
          <w:szCs w:val="24"/>
        </w:rPr>
        <w:t>,</w:t>
      </w:r>
      <w:r w:rsidRPr="00EE3C93">
        <w:rPr>
          <w:rFonts w:cs="Arial"/>
          <w:szCs w:val="24"/>
        </w:rPr>
        <w:t xml:space="preserve"> particularly in the case where there is an export market</w:t>
      </w:r>
      <w:r w:rsidR="000A0EF3">
        <w:rPr>
          <w:rFonts w:cs="Arial"/>
          <w:szCs w:val="24"/>
        </w:rPr>
        <w:t>,</w:t>
      </w:r>
      <w:r w:rsidRPr="00EE3C93">
        <w:rPr>
          <w:rFonts w:cs="Arial"/>
          <w:szCs w:val="24"/>
        </w:rPr>
        <w:t xml:space="preserve"> and this requires appropriate hedging measures. The variations in rules across states, especially regarding the rules of the emissions regulations and the incentives of EVs, can affect the prices and market penetration.</w:t>
      </w:r>
    </w:p>
    <w:p w14:paraId="53C53A21" w14:textId="060DD69D" w:rsidR="005508B8" w:rsidRPr="00A61537" w:rsidRDefault="00EE3C93" w:rsidP="00EE3C93">
      <w:pPr>
        <w:ind w:firstLine="720"/>
        <w:rPr>
          <w:rFonts w:cs="Arial"/>
          <w:szCs w:val="24"/>
          <w:highlight w:val="yellow"/>
        </w:rPr>
      </w:pPr>
      <w:r w:rsidRPr="00EE3C93">
        <w:rPr>
          <w:rFonts w:cs="Arial"/>
          <w:szCs w:val="24"/>
        </w:rPr>
        <w:t>The risks in the supply chain in the world are also significant. The use of foreign suppliers endangers the firm because it can be easily derailed by geopolitical conflicts and scarcity of resources. Diversification of suppliers and</w:t>
      </w:r>
      <w:r w:rsidR="000A0EF3">
        <w:rPr>
          <w:rFonts w:cs="Arial"/>
          <w:szCs w:val="24"/>
        </w:rPr>
        <w:t>,</w:t>
      </w:r>
      <w:r w:rsidRPr="00EE3C93">
        <w:rPr>
          <w:rFonts w:cs="Arial"/>
          <w:szCs w:val="24"/>
        </w:rPr>
        <w:t xml:space="preserve"> where feasible</w:t>
      </w:r>
      <w:r w:rsidR="000A0EF3">
        <w:rPr>
          <w:rFonts w:cs="Arial"/>
          <w:szCs w:val="24"/>
        </w:rPr>
        <w:t>,</w:t>
      </w:r>
      <w:r w:rsidRPr="00EE3C93">
        <w:rPr>
          <w:rFonts w:cs="Arial"/>
          <w:szCs w:val="24"/>
        </w:rPr>
        <w:t xml:space="preserve"> localisation of production can help to ensure resilience and reduced exposure to risk.</w:t>
      </w:r>
    </w:p>
    <w:p w14:paraId="5053EA6A" w14:textId="77777777" w:rsidR="005508B8" w:rsidRPr="007C2A3B" w:rsidRDefault="006D4139" w:rsidP="009E21FB">
      <w:pPr>
        <w:pStyle w:val="Heading2"/>
        <w:rPr>
          <w:rFonts w:ascii="Arial" w:hAnsi="Arial" w:cs="Arial"/>
          <w:color w:val="auto"/>
          <w:szCs w:val="24"/>
        </w:rPr>
      </w:pPr>
      <w:bookmarkStart w:id="37" w:name="_Toc225717189"/>
      <w:r w:rsidRPr="007C2A3B">
        <w:rPr>
          <w:rFonts w:ascii="Arial" w:hAnsi="Arial" w:cs="Arial"/>
          <w:color w:val="auto"/>
          <w:szCs w:val="24"/>
        </w:rPr>
        <w:t>4.5 Ethical Considerations</w:t>
      </w:r>
      <w:bookmarkEnd w:id="37"/>
    </w:p>
    <w:p w14:paraId="06120D63" w14:textId="5BEF0A0B" w:rsidR="00BF011D" w:rsidRPr="00BF011D" w:rsidRDefault="00BF011D" w:rsidP="00BF011D">
      <w:pPr>
        <w:ind w:firstLine="720"/>
        <w:rPr>
          <w:rFonts w:cs="Arial"/>
          <w:szCs w:val="24"/>
        </w:rPr>
      </w:pPr>
      <w:r w:rsidRPr="00BF011D">
        <w:rPr>
          <w:rFonts w:cs="Arial"/>
          <w:szCs w:val="24"/>
        </w:rPr>
        <w:t>There is also a growing concern in the automotive industry regarding matters of ethics, in particular, the shift to electric mobility. Mercedes-Benz must make an effort to obtain raw materials such as lithium and cobalt in a responsible way because they are associated with the problems of the environment and social concerns. Trust in the stakeholders can greatly expose the supply chain practices and, as such, it should be transparent.</w:t>
      </w:r>
    </w:p>
    <w:p w14:paraId="5CEED2CE" w14:textId="7D51A2DC" w:rsidR="005508B8" w:rsidRPr="00A553B9" w:rsidRDefault="00BF011D" w:rsidP="00BF011D">
      <w:pPr>
        <w:ind w:firstLine="720"/>
        <w:rPr>
          <w:rFonts w:cs="Arial"/>
          <w:szCs w:val="24"/>
        </w:rPr>
      </w:pPr>
      <w:r w:rsidRPr="00BF011D">
        <w:rPr>
          <w:rFonts w:cs="Arial"/>
          <w:szCs w:val="24"/>
        </w:rPr>
        <w:t xml:space="preserve">Selling off, particularly, the restructuring processes can </w:t>
      </w:r>
      <w:r w:rsidR="000A0EF3">
        <w:rPr>
          <w:rFonts w:cs="Arial"/>
          <w:szCs w:val="24"/>
        </w:rPr>
        <w:t>apply</w:t>
      </w:r>
      <w:r w:rsidRPr="00BF011D">
        <w:rPr>
          <w:rFonts w:cs="Arial"/>
          <w:szCs w:val="24"/>
        </w:rPr>
        <w:t xml:space="preserve"> to the workforce. The company is obliged to manage them </w:t>
      </w:r>
      <w:r w:rsidR="000A0EF3">
        <w:rPr>
          <w:rFonts w:cs="Arial"/>
          <w:szCs w:val="24"/>
        </w:rPr>
        <w:t>responsibly</w:t>
      </w:r>
      <w:r w:rsidRPr="00BF011D">
        <w:rPr>
          <w:rFonts w:cs="Arial"/>
          <w:szCs w:val="24"/>
        </w:rPr>
        <w:t xml:space="preserve"> by supporting and training the affected employees. In addition, tax transparency and regulatory standards are critical to reputation risk prevention.</w:t>
      </w:r>
    </w:p>
    <w:p w14:paraId="4AAACEBC" w14:textId="3A81193D" w:rsidR="00E715D8" w:rsidRPr="00FE5DAC" w:rsidRDefault="00E715D8" w:rsidP="009E21FB">
      <w:pPr>
        <w:pStyle w:val="Caption"/>
        <w:keepNext/>
        <w:spacing w:line="360" w:lineRule="auto"/>
        <w:rPr>
          <w:rFonts w:cs="Arial"/>
          <w:i/>
          <w:iCs/>
          <w:color w:val="auto"/>
          <w:sz w:val="24"/>
          <w:szCs w:val="24"/>
        </w:rPr>
      </w:pPr>
      <w:bookmarkStart w:id="38" w:name="_Toc225721359"/>
      <w:r w:rsidRPr="00FE5DAC">
        <w:rPr>
          <w:rFonts w:cs="Arial"/>
          <w:i/>
          <w:iCs/>
          <w:color w:val="auto"/>
          <w:sz w:val="24"/>
          <w:szCs w:val="24"/>
        </w:rPr>
        <w:t xml:space="preserve">Table </w:t>
      </w:r>
      <w:r w:rsidRPr="00FE5DAC">
        <w:rPr>
          <w:rFonts w:cs="Arial"/>
          <w:i/>
          <w:iCs/>
          <w:color w:val="auto"/>
          <w:sz w:val="24"/>
          <w:szCs w:val="24"/>
        </w:rPr>
        <w:fldChar w:fldCharType="begin"/>
      </w:r>
      <w:r w:rsidRPr="00FE5DAC">
        <w:rPr>
          <w:rFonts w:cs="Arial"/>
          <w:i/>
          <w:iCs/>
          <w:color w:val="auto"/>
          <w:sz w:val="24"/>
          <w:szCs w:val="24"/>
        </w:rPr>
        <w:instrText xml:space="preserve"> SEQ Table \* ARABIC </w:instrText>
      </w:r>
      <w:r w:rsidRPr="00FE5DAC">
        <w:rPr>
          <w:rFonts w:cs="Arial"/>
          <w:i/>
          <w:iCs/>
          <w:color w:val="auto"/>
          <w:sz w:val="24"/>
          <w:szCs w:val="24"/>
        </w:rPr>
        <w:fldChar w:fldCharType="separate"/>
      </w:r>
      <w:r w:rsidR="00FD0624" w:rsidRPr="00FE5DAC">
        <w:rPr>
          <w:rFonts w:cs="Arial"/>
          <w:i/>
          <w:iCs/>
          <w:noProof/>
          <w:color w:val="auto"/>
          <w:sz w:val="24"/>
          <w:szCs w:val="24"/>
        </w:rPr>
        <w:t>3</w:t>
      </w:r>
      <w:r w:rsidRPr="00FE5DAC">
        <w:rPr>
          <w:rFonts w:cs="Arial"/>
          <w:i/>
          <w:iCs/>
          <w:color w:val="auto"/>
          <w:sz w:val="24"/>
          <w:szCs w:val="24"/>
        </w:rPr>
        <w:fldChar w:fldCharType="end"/>
      </w:r>
      <w:r w:rsidRPr="00FE5DAC">
        <w:rPr>
          <w:rFonts w:cs="Arial"/>
          <w:i/>
          <w:iCs/>
          <w:color w:val="auto"/>
          <w:sz w:val="24"/>
          <w:szCs w:val="24"/>
        </w:rPr>
        <w:t>: Strategic restructuring plan summary</w:t>
      </w:r>
      <w:bookmarkEnd w:id="38"/>
    </w:p>
    <w:tbl>
      <w:tblPr>
        <w:tblStyle w:val="PlainTable1"/>
        <w:tblW w:w="0" w:type="auto"/>
        <w:tblInd w:w="250" w:type="dxa"/>
        <w:tblLook w:val="04A0" w:firstRow="1" w:lastRow="0" w:firstColumn="1" w:lastColumn="0" w:noHBand="0" w:noVBand="1"/>
      </w:tblPr>
      <w:tblGrid>
        <w:gridCol w:w="2417"/>
        <w:gridCol w:w="3053"/>
        <w:gridCol w:w="1872"/>
        <w:gridCol w:w="1938"/>
      </w:tblGrid>
      <w:tr w:rsidR="008B473B" w:rsidRPr="008B473B" w14:paraId="4461A703" w14:textId="77777777" w:rsidTr="006C15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7" w:type="dxa"/>
            <w:hideMark/>
          </w:tcPr>
          <w:p w14:paraId="6B15D2E9" w14:textId="77777777" w:rsidR="008B473B" w:rsidRPr="008B473B" w:rsidRDefault="008B473B" w:rsidP="008B473B">
            <w:pPr>
              <w:spacing w:after="0" w:line="240" w:lineRule="auto"/>
              <w:jc w:val="center"/>
              <w:rPr>
                <w:rFonts w:eastAsia="Times New Roman" w:cs="Arial"/>
                <w:sz w:val="22"/>
              </w:rPr>
            </w:pPr>
            <w:r w:rsidRPr="008B473B">
              <w:rPr>
                <w:rFonts w:eastAsia="Times New Roman" w:cs="Arial"/>
                <w:sz w:val="22"/>
              </w:rPr>
              <w:t>Strategy</w:t>
            </w:r>
          </w:p>
        </w:tc>
        <w:tc>
          <w:tcPr>
            <w:tcW w:w="0" w:type="auto"/>
            <w:hideMark/>
          </w:tcPr>
          <w:p w14:paraId="3F4925C9" w14:textId="77777777" w:rsidR="008B473B" w:rsidRPr="008B473B" w:rsidRDefault="008B473B" w:rsidP="008B473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22"/>
              </w:rPr>
            </w:pPr>
            <w:r w:rsidRPr="008B473B">
              <w:rPr>
                <w:rFonts w:eastAsia="Times New Roman" w:cs="Arial"/>
                <w:sz w:val="22"/>
              </w:rPr>
              <w:t>Objective</w:t>
            </w:r>
          </w:p>
        </w:tc>
        <w:tc>
          <w:tcPr>
            <w:tcW w:w="0" w:type="auto"/>
            <w:hideMark/>
          </w:tcPr>
          <w:p w14:paraId="743B74A5" w14:textId="77777777" w:rsidR="008B473B" w:rsidRPr="008B473B" w:rsidRDefault="008B473B" w:rsidP="008B473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22"/>
              </w:rPr>
            </w:pPr>
            <w:r w:rsidRPr="008B473B">
              <w:rPr>
                <w:rFonts w:eastAsia="Times New Roman" w:cs="Arial"/>
                <w:sz w:val="22"/>
              </w:rPr>
              <w:t>Financial Impact</w:t>
            </w:r>
          </w:p>
        </w:tc>
        <w:tc>
          <w:tcPr>
            <w:tcW w:w="1938" w:type="dxa"/>
            <w:hideMark/>
          </w:tcPr>
          <w:p w14:paraId="27F6DBF9" w14:textId="77777777" w:rsidR="008B473B" w:rsidRPr="008B473B" w:rsidRDefault="008B473B" w:rsidP="008B473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22"/>
              </w:rPr>
            </w:pPr>
            <w:r w:rsidRPr="008B473B">
              <w:rPr>
                <w:rFonts w:eastAsia="Times New Roman" w:cs="Arial"/>
                <w:sz w:val="22"/>
              </w:rPr>
              <w:t>Risk</w:t>
            </w:r>
          </w:p>
        </w:tc>
      </w:tr>
      <w:tr w:rsidR="008B473B" w:rsidRPr="008B473B" w14:paraId="1A5EF516" w14:textId="77777777" w:rsidTr="006C1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7" w:type="dxa"/>
            <w:hideMark/>
          </w:tcPr>
          <w:p w14:paraId="715109D6" w14:textId="77777777" w:rsidR="008B473B" w:rsidRPr="008B473B" w:rsidRDefault="008B473B" w:rsidP="008B473B">
            <w:pPr>
              <w:spacing w:after="0" w:line="240" w:lineRule="auto"/>
              <w:rPr>
                <w:rFonts w:eastAsia="Times New Roman" w:cs="Arial"/>
                <w:b w:val="0"/>
                <w:bCs w:val="0"/>
                <w:sz w:val="22"/>
              </w:rPr>
            </w:pPr>
            <w:r w:rsidRPr="008B473B">
              <w:rPr>
                <w:rFonts w:eastAsia="Times New Roman" w:cs="Arial"/>
                <w:b w:val="0"/>
                <w:bCs w:val="0"/>
                <w:sz w:val="22"/>
              </w:rPr>
              <w:t>Divestiture &amp; Rationalisation</w:t>
            </w:r>
          </w:p>
        </w:tc>
        <w:tc>
          <w:tcPr>
            <w:tcW w:w="0" w:type="auto"/>
            <w:hideMark/>
          </w:tcPr>
          <w:p w14:paraId="4CF33839" w14:textId="77777777" w:rsidR="008B473B" w:rsidRPr="008B473B" w:rsidRDefault="008B473B" w:rsidP="008B473B">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473B">
              <w:rPr>
                <w:rFonts w:eastAsia="Times New Roman" w:cs="Arial"/>
                <w:sz w:val="22"/>
              </w:rPr>
              <w:t>Improve margins</w:t>
            </w:r>
          </w:p>
        </w:tc>
        <w:tc>
          <w:tcPr>
            <w:tcW w:w="0" w:type="auto"/>
            <w:hideMark/>
          </w:tcPr>
          <w:p w14:paraId="29C0C8B0" w14:textId="77777777" w:rsidR="008B473B" w:rsidRPr="008B473B" w:rsidRDefault="008B473B" w:rsidP="008B473B">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473B">
              <w:rPr>
                <w:rFonts w:eastAsia="Times New Roman" w:cs="Arial"/>
                <w:sz w:val="22"/>
              </w:rPr>
              <w:t>Higher ROE, ROA</w:t>
            </w:r>
          </w:p>
        </w:tc>
        <w:tc>
          <w:tcPr>
            <w:tcW w:w="1938" w:type="dxa"/>
            <w:hideMark/>
          </w:tcPr>
          <w:p w14:paraId="63DFC394" w14:textId="77777777" w:rsidR="008B473B" w:rsidRPr="008B473B" w:rsidRDefault="008B473B" w:rsidP="008B473B">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473B">
              <w:rPr>
                <w:rFonts w:eastAsia="Times New Roman" w:cs="Arial"/>
                <w:sz w:val="22"/>
              </w:rPr>
              <w:t>Loss of legacy revenue</w:t>
            </w:r>
          </w:p>
        </w:tc>
      </w:tr>
      <w:tr w:rsidR="008B473B" w:rsidRPr="008B473B" w14:paraId="72DA466E" w14:textId="77777777" w:rsidTr="006C1595">
        <w:tc>
          <w:tcPr>
            <w:cnfStyle w:val="001000000000" w:firstRow="0" w:lastRow="0" w:firstColumn="1" w:lastColumn="0" w:oddVBand="0" w:evenVBand="0" w:oddHBand="0" w:evenHBand="0" w:firstRowFirstColumn="0" w:firstRowLastColumn="0" w:lastRowFirstColumn="0" w:lastRowLastColumn="0"/>
            <w:tcW w:w="2417" w:type="dxa"/>
            <w:hideMark/>
          </w:tcPr>
          <w:p w14:paraId="47ED0B2F" w14:textId="77777777" w:rsidR="008B473B" w:rsidRPr="008B473B" w:rsidRDefault="008B473B" w:rsidP="008B473B">
            <w:pPr>
              <w:spacing w:after="0" w:line="240" w:lineRule="auto"/>
              <w:rPr>
                <w:rFonts w:eastAsia="Times New Roman" w:cs="Arial"/>
                <w:b w:val="0"/>
                <w:bCs w:val="0"/>
                <w:sz w:val="22"/>
              </w:rPr>
            </w:pPr>
            <w:r w:rsidRPr="008B473B">
              <w:rPr>
                <w:rFonts w:eastAsia="Times New Roman" w:cs="Arial"/>
                <w:b w:val="0"/>
                <w:bCs w:val="0"/>
                <w:sz w:val="22"/>
              </w:rPr>
              <w:t>Partnerships &amp; Acquisitions</w:t>
            </w:r>
          </w:p>
        </w:tc>
        <w:tc>
          <w:tcPr>
            <w:tcW w:w="0" w:type="auto"/>
            <w:hideMark/>
          </w:tcPr>
          <w:p w14:paraId="6BD2DAC5" w14:textId="77777777" w:rsidR="008B473B" w:rsidRPr="008B473B" w:rsidRDefault="008B473B" w:rsidP="008B473B">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473B">
              <w:rPr>
                <w:rFonts w:eastAsia="Times New Roman" w:cs="Arial"/>
                <w:sz w:val="22"/>
              </w:rPr>
              <w:t>Reduce capex, enhance innovation</w:t>
            </w:r>
          </w:p>
        </w:tc>
        <w:tc>
          <w:tcPr>
            <w:tcW w:w="0" w:type="auto"/>
            <w:hideMark/>
          </w:tcPr>
          <w:p w14:paraId="131FA976" w14:textId="77777777" w:rsidR="008B473B" w:rsidRPr="008B473B" w:rsidRDefault="008B473B" w:rsidP="008B473B">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473B">
              <w:rPr>
                <w:rFonts w:eastAsia="Times New Roman" w:cs="Arial"/>
                <w:sz w:val="22"/>
              </w:rPr>
              <w:t>Improved efficiency</w:t>
            </w:r>
          </w:p>
        </w:tc>
        <w:tc>
          <w:tcPr>
            <w:tcW w:w="1938" w:type="dxa"/>
            <w:hideMark/>
          </w:tcPr>
          <w:p w14:paraId="40B4CAF1" w14:textId="77777777" w:rsidR="008B473B" w:rsidRPr="008B473B" w:rsidRDefault="008B473B" w:rsidP="008B473B">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473B">
              <w:rPr>
                <w:rFonts w:eastAsia="Times New Roman" w:cs="Arial"/>
                <w:sz w:val="22"/>
              </w:rPr>
              <w:t>Integration risk</w:t>
            </w:r>
          </w:p>
        </w:tc>
      </w:tr>
      <w:tr w:rsidR="008B473B" w:rsidRPr="008B473B" w14:paraId="275A5775" w14:textId="77777777" w:rsidTr="006C1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7" w:type="dxa"/>
            <w:hideMark/>
          </w:tcPr>
          <w:p w14:paraId="3ACCE3B8" w14:textId="77777777" w:rsidR="008B473B" w:rsidRPr="008B473B" w:rsidRDefault="008B473B" w:rsidP="008B473B">
            <w:pPr>
              <w:spacing w:after="0" w:line="240" w:lineRule="auto"/>
              <w:rPr>
                <w:rFonts w:eastAsia="Times New Roman" w:cs="Arial"/>
                <w:b w:val="0"/>
                <w:bCs w:val="0"/>
                <w:sz w:val="22"/>
              </w:rPr>
            </w:pPr>
            <w:r w:rsidRPr="008B473B">
              <w:rPr>
                <w:rFonts w:eastAsia="Times New Roman" w:cs="Arial"/>
                <w:b w:val="0"/>
                <w:bCs w:val="0"/>
                <w:sz w:val="22"/>
              </w:rPr>
              <w:t>Equity Injection</w:t>
            </w:r>
          </w:p>
        </w:tc>
        <w:tc>
          <w:tcPr>
            <w:tcW w:w="0" w:type="auto"/>
            <w:hideMark/>
          </w:tcPr>
          <w:p w14:paraId="6148EA20" w14:textId="2A9FC7D8" w:rsidR="008B473B" w:rsidRPr="008B473B" w:rsidRDefault="008B473B" w:rsidP="008B473B">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473B">
              <w:rPr>
                <w:rFonts w:eastAsia="Times New Roman" w:cs="Arial"/>
                <w:sz w:val="22"/>
              </w:rPr>
              <w:t xml:space="preserve">Strengthen </w:t>
            </w:r>
            <w:r w:rsidR="00A553B9" w:rsidRPr="00A553B9">
              <w:rPr>
                <w:rFonts w:eastAsia="Times New Roman" w:cs="Arial"/>
                <w:sz w:val="22"/>
              </w:rPr>
              <w:t xml:space="preserve">the </w:t>
            </w:r>
            <w:r w:rsidRPr="008B473B">
              <w:rPr>
                <w:rFonts w:eastAsia="Times New Roman" w:cs="Arial"/>
                <w:sz w:val="22"/>
              </w:rPr>
              <w:t>balance sheet</w:t>
            </w:r>
          </w:p>
        </w:tc>
        <w:tc>
          <w:tcPr>
            <w:tcW w:w="0" w:type="auto"/>
            <w:hideMark/>
          </w:tcPr>
          <w:p w14:paraId="454AB720" w14:textId="77777777" w:rsidR="008B473B" w:rsidRPr="008B473B" w:rsidRDefault="008B473B" w:rsidP="008B473B">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473B">
              <w:rPr>
                <w:rFonts w:eastAsia="Times New Roman" w:cs="Arial"/>
                <w:sz w:val="22"/>
              </w:rPr>
              <w:t>Lower leverage</w:t>
            </w:r>
          </w:p>
        </w:tc>
        <w:tc>
          <w:tcPr>
            <w:tcW w:w="1938" w:type="dxa"/>
            <w:hideMark/>
          </w:tcPr>
          <w:p w14:paraId="5E6016DF" w14:textId="77777777" w:rsidR="008B473B" w:rsidRPr="008B473B" w:rsidRDefault="008B473B" w:rsidP="008B473B">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sz w:val="22"/>
              </w:rPr>
            </w:pPr>
            <w:r w:rsidRPr="008B473B">
              <w:rPr>
                <w:rFonts w:eastAsia="Times New Roman" w:cs="Arial"/>
                <w:sz w:val="22"/>
              </w:rPr>
              <w:t>Dilution risk</w:t>
            </w:r>
          </w:p>
        </w:tc>
      </w:tr>
      <w:tr w:rsidR="008B473B" w:rsidRPr="008B473B" w14:paraId="250CB00B" w14:textId="77777777" w:rsidTr="006C1595">
        <w:tc>
          <w:tcPr>
            <w:cnfStyle w:val="001000000000" w:firstRow="0" w:lastRow="0" w:firstColumn="1" w:lastColumn="0" w:oddVBand="0" w:evenVBand="0" w:oddHBand="0" w:evenHBand="0" w:firstRowFirstColumn="0" w:firstRowLastColumn="0" w:lastRowFirstColumn="0" w:lastRowLastColumn="0"/>
            <w:tcW w:w="2417" w:type="dxa"/>
            <w:hideMark/>
          </w:tcPr>
          <w:p w14:paraId="4FD9F34D" w14:textId="77777777" w:rsidR="008B473B" w:rsidRPr="008B473B" w:rsidRDefault="008B473B" w:rsidP="008B473B">
            <w:pPr>
              <w:spacing w:after="0" w:line="240" w:lineRule="auto"/>
              <w:rPr>
                <w:rFonts w:eastAsia="Times New Roman" w:cs="Arial"/>
                <w:b w:val="0"/>
                <w:bCs w:val="0"/>
                <w:sz w:val="22"/>
              </w:rPr>
            </w:pPr>
            <w:r w:rsidRPr="008B473B">
              <w:rPr>
                <w:rFonts w:eastAsia="Times New Roman" w:cs="Arial"/>
                <w:b w:val="0"/>
                <w:bCs w:val="0"/>
                <w:sz w:val="22"/>
              </w:rPr>
              <w:t>Debt Restructuring</w:t>
            </w:r>
          </w:p>
        </w:tc>
        <w:tc>
          <w:tcPr>
            <w:tcW w:w="0" w:type="auto"/>
            <w:hideMark/>
          </w:tcPr>
          <w:p w14:paraId="7757BBF8" w14:textId="77777777" w:rsidR="008B473B" w:rsidRPr="008B473B" w:rsidRDefault="008B473B" w:rsidP="008B473B">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473B">
              <w:rPr>
                <w:rFonts w:eastAsia="Times New Roman" w:cs="Arial"/>
                <w:sz w:val="22"/>
              </w:rPr>
              <w:t>Reduce financing cost</w:t>
            </w:r>
          </w:p>
        </w:tc>
        <w:tc>
          <w:tcPr>
            <w:tcW w:w="0" w:type="auto"/>
            <w:hideMark/>
          </w:tcPr>
          <w:p w14:paraId="7BD3019E" w14:textId="77777777" w:rsidR="008B473B" w:rsidRPr="008B473B" w:rsidRDefault="008B473B" w:rsidP="008B473B">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473B">
              <w:rPr>
                <w:rFonts w:eastAsia="Times New Roman" w:cs="Arial"/>
                <w:sz w:val="22"/>
              </w:rPr>
              <w:t>Improved cash flow</w:t>
            </w:r>
          </w:p>
        </w:tc>
        <w:tc>
          <w:tcPr>
            <w:tcW w:w="1938" w:type="dxa"/>
            <w:hideMark/>
          </w:tcPr>
          <w:p w14:paraId="68F1F339" w14:textId="77777777" w:rsidR="008B473B" w:rsidRPr="008B473B" w:rsidRDefault="008B473B" w:rsidP="008B473B">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sz w:val="22"/>
              </w:rPr>
            </w:pPr>
            <w:r w:rsidRPr="008B473B">
              <w:rPr>
                <w:rFonts w:eastAsia="Times New Roman" w:cs="Arial"/>
                <w:sz w:val="22"/>
              </w:rPr>
              <w:t>Interest rate exposure</w:t>
            </w:r>
          </w:p>
        </w:tc>
      </w:tr>
    </w:tbl>
    <w:p w14:paraId="3D19518C" w14:textId="3EE8B932" w:rsidR="005508B8" w:rsidRPr="0005183D" w:rsidRDefault="006D4139" w:rsidP="008B473B">
      <w:pPr>
        <w:jc w:val="center"/>
        <w:rPr>
          <w:rFonts w:cs="Arial"/>
          <w:sz w:val="22"/>
        </w:rPr>
      </w:pPr>
      <w:r w:rsidRPr="0005183D">
        <w:rPr>
          <w:rFonts w:cs="Arial"/>
          <w:sz w:val="22"/>
        </w:rPr>
        <w:t xml:space="preserve">Source: </w:t>
      </w:r>
      <w:r w:rsidR="0048471E" w:rsidRPr="0005183D">
        <w:rPr>
          <w:rFonts w:cs="Arial"/>
          <w:sz w:val="22"/>
        </w:rPr>
        <w:t>A</w:t>
      </w:r>
      <w:r w:rsidRPr="0005183D">
        <w:rPr>
          <w:rFonts w:cs="Arial"/>
          <w:sz w:val="22"/>
        </w:rPr>
        <w:t>uthor’s synthesis from the ratio and working-capital analysis</w:t>
      </w:r>
    </w:p>
    <w:p w14:paraId="468751A2" w14:textId="17230026" w:rsidR="00CD27B8" w:rsidRPr="00A553B9" w:rsidRDefault="00CD27B8" w:rsidP="00CD27B8">
      <w:pPr>
        <w:ind w:firstLine="720"/>
        <w:rPr>
          <w:rFonts w:cs="Arial"/>
          <w:szCs w:val="24"/>
        </w:rPr>
      </w:pPr>
      <w:r w:rsidRPr="00A553B9">
        <w:rPr>
          <w:rFonts w:cs="Arial"/>
          <w:szCs w:val="24"/>
        </w:rPr>
        <w:t xml:space="preserve">To sum up, the restructuring plan of Mercedes-Benz must aim at regaining profitability, enhancing efficiency, and becoming financially resilient. The company is financially sound, but decreased returns point </w:t>
      </w:r>
      <w:r w:rsidR="00A553B9" w:rsidRPr="00A553B9">
        <w:rPr>
          <w:rFonts w:cs="Arial"/>
          <w:szCs w:val="24"/>
        </w:rPr>
        <w:t xml:space="preserve">to </w:t>
      </w:r>
      <w:r w:rsidRPr="00A553B9">
        <w:rPr>
          <w:rFonts w:cs="Arial"/>
          <w:szCs w:val="24"/>
        </w:rPr>
        <w:t xml:space="preserve">the necessity of rigorous capital management and re-strategizing. Mercedes-Benz can become more competitive and </w:t>
      </w:r>
      <w:r w:rsidRPr="00A553B9">
        <w:rPr>
          <w:rFonts w:cs="Arial"/>
          <w:szCs w:val="24"/>
        </w:rPr>
        <w:lastRenderedPageBreak/>
        <w:t>guarantee the long-term value creation sustainability by applying specific restructuring initiatives.</w:t>
      </w:r>
    </w:p>
    <w:p w14:paraId="0F5A4F6A" w14:textId="77777777" w:rsidR="005508B8" w:rsidRPr="00A553B9" w:rsidRDefault="006D4139" w:rsidP="009E21FB">
      <w:pPr>
        <w:pStyle w:val="Heading1"/>
        <w:jc w:val="center"/>
        <w:rPr>
          <w:rFonts w:ascii="Arial" w:hAnsi="Arial" w:cs="Arial"/>
          <w:color w:val="auto"/>
          <w:sz w:val="24"/>
          <w:szCs w:val="24"/>
        </w:rPr>
      </w:pPr>
      <w:bookmarkStart w:id="39" w:name="_Toc225717190"/>
      <w:r w:rsidRPr="00A553B9">
        <w:rPr>
          <w:rFonts w:ascii="Arial" w:hAnsi="Arial" w:cs="Arial"/>
          <w:color w:val="auto"/>
          <w:sz w:val="24"/>
          <w:szCs w:val="24"/>
        </w:rPr>
        <w:t>5. Investment Appraisal and Capital Budgeting</w:t>
      </w:r>
      <w:bookmarkEnd w:id="39"/>
    </w:p>
    <w:p w14:paraId="16A54A09" w14:textId="77777777" w:rsidR="005508B8" w:rsidRPr="00A553B9" w:rsidRDefault="006D4139" w:rsidP="009E21FB">
      <w:pPr>
        <w:pStyle w:val="Heading2"/>
        <w:rPr>
          <w:rFonts w:ascii="Arial" w:hAnsi="Arial" w:cs="Arial"/>
          <w:color w:val="auto"/>
          <w:szCs w:val="24"/>
        </w:rPr>
      </w:pPr>
      <w:bookmarkStart w:id="40" w:name="_Toc225717191"/>
      <w:r w:rsidRPr="00A553B9">
        <w:rPr>
          <w:rFonts w:ascii="Arial" w:hAnsi="Arial" w:cs="Arial"/>
          <w:color w:val="auto"/>
          <w:szCs w:val="24"/>
        </w:rPr>
        <w:t>5.1 Overview of Projects</w:t>
      </w:r>
      <w:bookmarkEnd w:id="40"/>
    </w:p>
    <w:p w14:paraId="1C196AAD" w14:textId="77777777" w:rsidR="009570A3" w:rsidRPr="00A553B9" w:rsidRDefault="008B535C" w:rsidP="009E21FB">
      <w:pPr>
        <w:ind w:firstLine="720"/>
        <w:rPr>
          <w:rFonts w:cs="Arial"/>
          <w:szCs w:val="24"/>
        </w:rPr>
      </w:pPr>
      <w:r w:rsidRPr="00A553B9">
        <w:rPr>
          <w:rFonts w:cs="Arial"/>
          <w:szCs w:val="24"/>
        </w:rPr>
        <w:t xml:space="preserve">There are three projects that are </w:t>
      </w:r>
      <w:r w:rsidR="00BD5DBA" w:rsidRPr="00A553B9">
        <w:rPr>
          <w:rFonts w:cs="Arial"/>
          <w:szCs w:val="24"/>
        </w:rPr>
        <w:t>under</w:t>
      </w:r>
      <w:r w:rsidRPr="00A553B9">
        <w:rPr>
          <w:rFonts w:cs="Arial"/>
          <w:szCs w:val="24"/>
        </w:rPr>
        <w:t xml:space="preserve"> consideration that would need a starting investment in the form of £50 million and a lifespan of five years each. Inflows in project A are £10 million, 12 million, 14 million, 10 million</w:t>
      </w:r>
      <w:r w:rsidR="00BD5DBA" w:rsidRPr="00A553B9">
        <w:rPr>
          <w:rFonts w:cs="Arial"/>
          <w:szCs w:val="24"/>
        </w:rPr>
        <w:t>,</w:t>
      </w:r>
      <w:r w:rsidRPr="00A553B9">
        <w:rPr>
          <w:rFonts w:cs="Arial"/>
          <w:szCs w:val="24"/>
        </w:rPr>
        <w:t xml:space="preserve"> and 8 million. Project B generates an average of 11 million pounds in the next five years. Project C is also more of a back-loaded project with the amounts of £5 million, 10 million, 20 million, 25 million</w:t>
      </w:r>
      <w:r w:rsidR="00BD5DBA" w:rsidRPr="00A553B9">
        <w:rPr>
          <w:rFonts w:cs="Arial"/>
          <w:szCs w:val="24"/>
        </w:rPr>
        <w:t>,</w:t>
      </w:r>
      <w:r w:rsidRPr="00A553B9">
        <w:rPr>
          <w:rFonts w:cs="Arial"/>
          <w:szCs w:val="24"/>
        </w:rPr>
        <w:t xml:space="preserve"> and 5 million. The annual depreciation of the projects under straight-line to zero is the depreciation of 10 million pounds, and the discount rate required is 10 percent.</w:t>
      </w:r>
    </w:p>
    <w:p w14:paraId="4285EB9D" w14:textId="5CA423E3" w:rsidR="008B535C" w:rsidRPr="00A553B9" w:rsidRDefault="008B535C" w:rsidP="009E21FB">
      <w:pPr>
        <w:ind w:firstLine="720"/>
        <w:rPr>
          <w:rFonts w:cs="Arial"/>
          <w:szCs w:val="24"/>
        </w:rPr>
      </w:pPr>
      <w:r w:rsidRPr="00A553B9">
        <w:rPr>
          <w:rFonts w:cs="Arial"/>
          <w:szCs w:val="24"/>
        </w:rPr>
        <w:t>The projects are helpful to investigate as they possess varying cash-flow profiles. Project A is a front</w:t>
      </w:r>
      <w:r w:rsidR="00BD5DBA" w:rsidRPr="00A553B9">
        <w:rPr>
          <w:rFonts w:cs="Arial"/>
          <w:szCs w:val="24"/>
        </w:rPr>
        <w:t>-to-</w:t>
      </w:r>
      <w:r w:rsidRPr="00A553B9">
        <w:rPr>
          <w:rFonts w:cs="Arial"/>
          <w:szCs w:val="24"/>
        </w:rPr>
        <w:t>middle weighted, Project B is stable</w:t>
      </w:r>
      <w:r w:rsidR="00BD5DBA" w:rsidRPr="00A553B9">
        <w:rPr>
          <w:rFonts w:cs="Arial"/>
          <w:szCs w:val="24"/>
        </w:rPr>
        <w:t>,</w:t>
      </w:r>
      <w:r w:rsidRPr="00A553B9">
        <w:rPr>
          <w:rFonts w:cs="Arial"/>
          <w:szCs w:val="24"/>
        </w:rPr>
        <w:t xml:space="preserve"> and Project C is heavily back-loaded. A CFO is therefore expected to weigh various possibilities of appraisal</w:t>
      </w:r>
      <w:r w:rsidR="00BD5DBA" w:rsidRPr="00A553B9">
        <w:rPr>
          <w:rFonts w:cs="Arial"/>
          <w:szCs w:val="24"/>
        </w:rPr>
        <w:t>,</w:t>
      </w:r>
      <w:r w:rsidRPr="00A553B9">
        <w:rPr>
          <w:rFonts w:cs="Arial"/>
          <w:szCs w:val="24"/>
        </w:rPr>
        <w:t xml:space="preserve"> which should be followed by a decision on who should prevail</w:t>
      </w:r>
      <w:r w:rsidR="008B4B76" w:rsidRPr="00A553B9">
        <w:t xml:space="preserve"> </w:t>
      </w:r>
      <w:r w:rsidR="008B4B76" w:rsidRPr="00A553B9">
        <w:rPr>
          <w:rFonts w:cs="Arial"/>
          <w:szCs w:val="24"/>
        </w:rPr>
        <w:t>(Mang’ana, Ndyetabula</w:t>
      </w:r>
      <w:r w:rsidR="007D627A" w:rsidRPr="00A553B9">
        <w:rPr>
          <w:rFonts w:cs="Arial"/>
          <w:szCs w:val="24"/>
        </w:rPr>
        <w:t>,</w:t>
      </w:r>
      <w:r w:rsidR="008B4B76" w:rsidRPr="00A553B9">
        <w:rPr>
          <w:rFonts w:cs="Arial"/>
          <w:szCs w:val="24"/>
        </w:rPr>
        <w:t xml:space="preserve"> and Hokororo, 2023)</w:t>
      </w:r>
      <w:r w:rsidRPr="00A553B9">
        <w:rPr>
          <w:rFonts w:cs="Arial"/>
          <w:szCs w:val="24"/>
        </w:rPr>
        <w:t xml:space="preserve">. Ideally, NPV is supposed to be first in line as it quantifies </w:t>
      </w:r>
      <w:r w:rsidR="00BD5DBA" w:rsidRPr="00A553B9">
        <w:rPr>
          <w:rFonts w:cs="Arial"/>
          <w:szCs w:val="24"/>
        </w:rPr>
        <w:t xml:space="preserve">the </w:t>
      </w:r>
      <w:r w:rsidRPr="00A553B9">
        <w:rPr>
          <w:rFonts w:cs="Arial"/>
          <w:szCs w:val="24"/>
        </w:rPr>
        <w:t>creation of value directly, yet payback, ARR, PI</w:t>
      </w:r>
      <w:r w:rsidR="00BD5DBA" w:rsidRPr="00A553B9">
        <w:rPr>
          <w:rFonts w:cs="Arial"/>
          <w:szCs w:val="24"/>
        </w:rPr>
        <w:t>,</w:t>
      </w:r>
      <w:r w:rsidRPr="00A553B9">
        <w:rPr>
          <w:rFonts w:cs="Arial"/>
          <w:szCs w:val="24"/>
        </w:rPr>
        <w:t xml:space="preserve"> and IRR may also provide additional information about liquidity, accounting performance</w:t>
      </w:r>
      <w:r w:rsidR="00BD5DBA" w:rsidRPr="00A553B9">
        <w:rPr>
          <w:rFonts w:cs="Arial"/>
          <w:szCs w:val="24"/>
        </w:rPr>
        <w:t>,</w:t>
      </w:r>
      <w:r w:rsidRPr="00A553B9">
        <w:rPr>
          <w:rFonts w:cs="Arial"/>
          <w:szCs w:val="24"/>
        </w:rPr>
        <w:t xml:space="preserve"> and ranking </w:t>
      </w:r>
      <w:r w:rsidR="005B4BD7" w:rsidRPr="00A553B9">
        <w:rPr>
          <w:rFonts w:cs="Arial"/>
          <w:szCs w:val="24"/>
        </w:rPr>
        <w:t xml:space="preserve">(Parrino </w:t>
      </w:r>
      <w:r w:rsidR="00C63FEC">
        <w:rPr>
          <w:rFonts w:cs="Arial"/>
          <w:i/>
          <w:iCs/>
          <w:szCs w:val="24"/>
        </w:rPr>
        <w:t>et al</w:t>
      </w:r>
      <w:r w:rsidR="005B4BD7" w:rsidRPr="00A553B9">
        <w:rPr>
          <w:rFonts w:cs="Arial"/>
          <w:szCs w:val="24"/>
        </w:rPr>
        <w:t>., 2021</w:t>
      </w:r>
      <w:r w:rsidRPr="00A553B9">
        <w:rPr>
          <w:rFonts w:cs="Arial"/>
          <w:szCs w:val="24"/>
        </w:rPr>
        <w:t xml:space="preserve">; </w:t>
      </w:r>
      <w:r w:rsidR="0014232F" w:rsidRPr="00A553B9">
        <w:rPr>
          <w:rFonts w:cs="Arial"/>
          <w:szCs w:val="24"/>
        </w:rPr>
        <w:t>Gherghina, 2021</w:t>
      </w:r>
      <w:r w:rsidRPr="00A553B9">
        <w:rPr>
          <w:rFonts w:cs="Arial"/>
          <w:szCs w:val="24"/>
        </w:rPr>
        <w:t>).</w:t>
      </w:r>
    </w:p>
    <w:p w14:paraId="0E4CEB5D" w14:textId="77777777" w:rsidR="005508B8" w:rsidRPr="00A553B9" w:rsidRDefault="006D4139" w:rsidP="009E21FB">
      <w:pPr>
        <w:pStyle w:val="Heading2"/>
        <w:rPr>
          <w:rFonts w:ascii="Arial" w:hAnsi="Arial" w:cs="Arial"/>
          <w:color w:val="auto"/>
          <w:szCs w:val="24"/>
        </w:rPr>
      </w:pPr>
      <w:bookmarkStart w:id="41" w:name="_Toc225717192"/>
      <w:r w:rsidRPr="00A553B9">
        <w:rPr>
          <w:rFonts w:ascii="Arial" w:hAnsi="Arial" w:cs="Arial"/>
          <w:color w:val="auto"/>
          <w:szCs w:val="24"/>
        </w:rPr>
        <w:t>5.2 Investment Appraisal Techniques</w:t>
      </w:r>
      <w:bookmarkEnd w:id="41"/>
    </w:p>
    <w:p w14:paraId="37EE0F99" w14:textId="77777777" w:rsidR="005508B8" w:rsidRPr="00A553B9" w:rsidRDefault="006D4139" w:rsidP="009E21FB">
      <w:pPr>
        <w:pStyle w:val="Heading3"/>
        <w:rPr>
          <w:rFonts w:ascii="Arial" w:hAnsi="Arial" w:cs="Arial"/>
          <w:color w:val="auto"/>
          <w:szCs w:val="24"/>
        </w:rPr>
      </w:pPr>
      <w:bookmarkStart w:id="42" w:name="_Toc225717193"/>
      <w:r w:rsidRPr="00A553B9">
        <w:rPr>
          <w:rFonts w:ascii="Arial" w:hAnsi="Arial" w:cs="Arial"/>
          <w:color w:val="auto"/>
          <w:szCs w:val="24"/>
        </w:rPr>
        <w:t>Payback Period (PBP)</w:t>
      </w:r>
      <w:bookmarkEnd w:id="42"/>
    </w:p>
    <w:p w14:paraId="23526B05" w14:textId="66B4980D" w:rsidR="005508B8" w:rsidRPr="00A553B9" w:rsidRDefault="00095017" w:rsidP="009E21FB">
      <w:pPr>
        <w:ind w:firstLine="720"/>
        <w:rPr>
          <w:rFonts w:cs="Arial"/>
          <w:szCs w:val="24"/>
        </w:rPr>
      </w:pPr>
      <w:r w:rsidRPr="00A553B9">
        <w:rPr>
          <w:rFonts w:cs="Arial"/>
          <w:szCs w:val="24"/>
        </w:rPr>
        <w:t>Project A breaks even in year 4.50 since at the end of year 4, the project recovers the investment of £46 million. Project B breaks even within the 4th year and breaks even in 4.55 years. Project C breaks even later in year 3 and breaks even completely in the middle of year 4, which means that the payback period is 3.60 years.</w:t>
      </w:r>
      <w:r w:rsidR="00C34E37" w:rsidRPr="00A553B9">
        <w:rPr>
          <w:rFonts w:cs="Arial"/>
          <w:szCs w:val="24"/>
        </w:rPr>
        <w:t xml:space="preserve"> </w:t>
      </w:r>
      <w:r w:rsidRPr="00A553B9">
        <w:rPr>
          <w:rFonts w:cs="Arial"/>
          <w:szCs w:val="24"/>
        </w:rPr>
        <w:t xml:space="preserve">Project C stands out best on the payback criterion as it yields cash in </w:t>
      </w:r>
      <w:r w:rsidR="00BD5DBA" w:rsidRPr="00A553B9">
        <w:rPr>
          <w:rFonts w:cs="Arial"/>
          <w:szCs w:val="24"/>
        </w:rPr>
        <w:t xml:space="preserve">the </w:t>
      </w:r>
      <w:r w:rsidRPr="00A553B9">
        <w:rPr>
          <w:rFonts w:cs="Arial"/>
          <w:szCs w:val="24"/>
        </w:rPr>
        <w:t xml:space="preserve">least time. That applies to </w:t>
      </w:r>
      <w:r w:rsidR="00F84EDC" w:rsidRPr="00A553B9">
        <w:rPr>
          <w:rFonts w:cs="Arial"/>
          <w:szCs w:val="24"/>
        </w:rPr>
        <w:t>Mercedes-Benz Group</w:t>
      </w:r>
      <w:r w:rsidRPr="00A553B9">
        <w:rPr>
          <w:rFonts w:cs="Arial"/>
          <w:szCs w:val="24"/>
        </w:rPr>
        <w:t xml:space="preserve"> since the firm is attempting to cushion itself amid a less-marginalized setting. Payback</w:t>
      </w:r>
      <w:r w:rsidR="00BD5DBA" w:rsidRPr="00A553B9">
        <w:rPr>
          <w:rFonts w:cs="Arial"/>
          <w:szCs w:val="24"/>
        </w:rPr>
        <w:t>,</w:t>
      </w:r>
      <w:r w:rsidRPr="00A553B9">
        <w:rPr>
          <w:rFonts w:cs="Arial"/>
          <w:szCs w:val="24"/>
        </w:rPr>
        <w:t xml:space="preserve"> however</w:t>
      </w:r>
      <w:r w:rsidR="00BD5DBA" w:rsidRPr="00A553B9">
        <w:rPr>
          <w:rFonts w:cs="Arial"/>
          <w:szCs w:val="24"/>
        </w:rPr>
        <w:t>,</w:t>
      </w:r>
      <w:r w:rsidRPr="00A553B9">
        <w:rPr>
          <w:rFonts w:cs="Arial"/>
          <w:szCs w:val="24"/>
        </w:rPr>
        <w:t xml:space="preserve"> does not consider </w:t>
      </w:r>
      <w:r w:rsidR="00BD5DBA" w:rsidRPr="00A553B9">
        <w:rPr>
          <w:rFonts w:cs="Arial"/>
          <w:szCs w:val="24"/>
        </w:rPr>
        <w:t xml:space="preserve">the </w:t>
      </w:r>
      <w:r w:rsidRPr="00A553B9">
        <w:rPr>
          <w:rFonts w:cs="Arial"/>
          <w:szCs w:val="24"/>
        </w:rPr>
        <w:t>time value of money and cash flows after the payback period</w:t>
      </w:r>
      <w:r w:rsidR="00BD5DBA" w:rsidRPr="00A553B9">
        <w:rPr>
          <w:rFonts w:cs="Arial"/>
          <w:szCs w:val="24"/>
        </w:rPr>
        <w:t>,</w:t>
      </w:r>
      <w:r w:rsidRPr="00A553B9">
        <w:rPr>
          <w:rFonts w:cs="Arial"/>
          <w:szCs w:val="24"/>
        </w:rPr>
        <w:t xml:space="preserve"> and therefore</w:t>
      </w:r>
      <w:r w:rsidR="00BD5DBA" w:rsidRPr="00A553B9">
        <w:rPr>
          <w:rFonts w:cs="Arial"/>
          <w:szCs w:val="24"/>
        </w:rPr>
        <w:t>,</w:t>
      </w:r>
      <w:r w:rsidRPr="00A553B9">
        <w:rPr>
          <w:rFonts w:cs="Arial"/>
          <w:szCs w:val="24"/>
        </w:rPr>
        <w:t xml:space="preserve"> it must not be relied upon as a primary screening measure.</w:t>
      </w:r>
    </w:p>
    <w:p w14:paraId="2BE06301" w14:textId="77777777" w:rsidR="005508B8" w:rsidRPr="00A553B9" w:rsidRDefault="006D4139" w:rsidP="009E21FB">
      <w:pPr>
        <w:pStyle w:val="Heading3"/>
        <w:rPr>
          <w:rFonts w:ascii="Arial" w:hAnsi="Arial" w:cs="Arial"/>
          <w:color w:val="auto"/>
          <w:szCs w:val="24"/>
        </w:rPr>
      </w:pPr>
      <w:bookmarkStart w:id="43" w:name="_Toc225717194"/>
      <w:r w:rsidRPr="00A553B9">
        <w:rPr>
          <w:rFonts w:ascii="Arial" w:hAnsi="Arial" w:cs="Arial"/>
          <w:color w:val="auto"/>
          <w:szCs w:val="24"/>
        </w:rPr>
        <w:lastRenderedPageBreak/>
        <w:t>Accounting Rate of Return (ARR)</w:t>
      </w:r>
      <w:bookmarkEnd w:id="43"/>
    </w:p>
    <w:p w14:paraId="5A42DC14" w14:textId="5AEDB0AD" w:rsidR="005508B8" w:rsidRPr="00A553B9" w:rsidRDefault="006E08C8" w:rsidP="009E21FB">
      <w:pPr>
        <w:ind w:firstLine="720"/>
        <w:rPr>
          <w:rFonts w:cs="Arial"/>
          <w:szCs w:val="24"/>
        </w:rPr>
      </w:pPr>
      <w:r w:rsidRPr="00A553B9">
        <w:rPr>
          <w:rFonts w:cs="Arial"/>
          <w:szCs w:val="24"/>
        </w:rPr>
        <w:t>Applying average annual accounting profit/initial investment, the ARR of Project A is 1.60%, Project B is 2.00%</w:t>
      </w:r>
      <w:r w:rsidR="00BD5DBA" w:rsidRPr="00A553B9">
        <w:rPr>
          <w:rFonts w:cs="Arial"/>
          <w:szCs w:val="24"/>
        </w:rPr>
        <w:t>,</w:t>
      </w:r>
      <w:r w:rsidRPr="00A553B9">
        <w:rPr>
          <w:rFonts w:cs="Arial"/>
          <w:szCs w:val="24"/>
        </w:rPr>
        <w:t xml:space="preserve"> and Project C is 6.00%. This once again puts Project C </w:t>
      </w:r>
      <w:r w:rsidR="00BD5DBA" w:rsidRPr="00A553B9">
        <w:rPr>
          <w:rFonts w:cs="Arial"/>
          <w:szCs w:val="24"/>
        </w:rPr>
        <w:t>i</w:t>
      </w:r>
      <w:r w:rsidRPr="00A553B9">
        <w:rPr>
          <w:rFonts w:cs="Arial"/>
          <w:szCs w:val="24"/>
        </w:rPr>
        <w:t>n the lead. The technique is helpful as it converts the performance of projects into an accounting-return language that is understood by boards and managers. Its limitation is that it is based on profit as opposed to discounted cash flow and is subject to the accounting assumptions, like depreciation.</w:t>
      </w:r>
    </w:p>
    <w:p w14:paraId="5201C661" w14:textId="77777777" w:rsidR="005508B8" w:rsidRPr="00A553B9" w:rsidRDefault="006D4139" w:rsidP="009E21FB">
      <w:pPr>
        <w:pStyle w:val="Heading3"/>
        <w:rPr>
          <w:rFonts w:ascii="Arial" w:hAnsi="Arial" w:cs="Arial"/>
          <w:color w:val="auto"/>
          <w:szCs w:val="24"/>
        </w:rPr>
      </w:pPr>
      <w:bookmarkStart w:id="44" w:name="_Toc225717195"/>
      <w:r w:rsidRPr="00A553B9">
        <w:rPr>
          <w:rFonts w:ascii="Arial" w:hAnsi="Arial" w:cs="Arial"/>
          <w:color w:val="auto"/>
          <w:szCs w:val="24"/>
        </w:rPr>
        <w:t>Net Present Value (NPV)</w:t>
      </w:r>
      <w:bookmarkEnd w:id="44"/>
    </w:p>
    <w:p w14:paraId="708F4636" w14:textId="6B76EF89" w:rsidR="005508B8" w:rsidRPr="00A553B9" w:rsidRDefault="009709F2" w:rsidP="009E21FB">
      <w:pPr>
        <w:ind w:firstLine="720"/>
        <w:rPr>
          <w:rFonts w:cs="Arial"/>
          <w:szCs w:val="24"/>
        </w:rPr>
      </w:pPr>
      <w:r w:rsidRPr="00A553B9">
        <w:rPr>
          <w:rFonts w:cs="Arial"/>
          <w:szCs w:val="24"/>
        </w:rPr>
        <w:t>The discount rate of 10% would give the present value of future inflows of £41.324 million, project A, 41.699 million, project B</w:t>
      </w:r>
      <w:r w:rsidR="00BD5DBA" w:rsidRPr="00A553B9">
        <w:rPr>
          <w:rFonts w:cs="Arial"/>
          <w:szCs w:val="24"/>
        </w:rPr>
        <w:t>,</w:t>
      </w:r>
      <w:r w:rsidRPr="00A553B9">
        <w:rPr>
          <w:rFonts w:cs="Arial"/>
          <w:szCs w:val="24"/>
        </w:rPr>
        <w:t xml:space="preserve"> and C</w:t>
      </w:r>
      <w:r w:rsidR="00BD5DBA" w:rsidRPr="00A553B9">
        <w:rPr>
          <w:rFonts w:cs="Arial"/>
          <w:szCs w:val="24"/>
        </w:rPr>
        <w:t>,</w:t>
      </w:r>
      <w:r w:rsidRPr="00A553B9">
        <w:rPr>
          <w:rFonts w:cs="Arial"/>
          <w:szCs w:val="24"/>
        </w:rPr>
        <w:t xml:space="preserve"> respectively, minus the investment of 50 million would give the NPV of -8.676 million, -8.301 million</w:t>
      </w:r>
      <w:r w:rsidR="00BD5DBA" w:rsidRPr="00A553B9">
        <w:rPr>
          <w:rFonts w:cs="Arial"/>
          <w:szCs w:val="24"/>
        </w:rPr>
        <w:t>,</w:t>
      </w:r>
      <w:r w:rsidRPr="00A553B9">
        <w:rPr>
          <w:rFonts w:cs="Arial"/>
          <w:szCs w:val="24"/>
        </w:rPr>
        <w:t xml:space="preserve"> and -1.984 million for project A, B</w:t>
      </w:r>
      <w:r w:rsidR="00BD5DBA" w:rsidRPr="00A553B9">
        <w:rPr>
          <w:rFonts w:cs="Arial"/>
          <w:szCs w:val="24"/>
        </w:rPr>
        <w:t>,</w:t>
      </w:r>
      <w:r w:rsidRPr="00A553B9">
        <w:rPr>
          <w:rFonts w:cs="Arial"/>
          <w:szCs w:val="24"/>
        </w:rPr>
        <w:t xml:space="preserve"> and C</w:t>
      </w:r>
      <w:r w:rsidR="00BD5DBA" w:rsidRPr="00A553B9">
        <w:rPr>
          <w:rFonts w:cs="Arial"/>
          <w:szCs w:val="24"/>
        </w:rPr>
        <w:t>,</w:t>
      </w:r>
      <w:r w:rsidRPr="00A553B9">
        <w:rPr>
          <w:rFonts w:cs="Arial"/>
          <w:szCs w:val="24"/>
        </w:rPr>
        <w:t xml:space="preserve"> respectively.</w:t>
      </w:r>
      <w:r w:rsidR="00C34E37" w:rsidRPr="00A553B9">
        <w:rPr>
          <w:rFonts w:cs="Arial"/>
          <w:szCs w:val="24"/>
        </w:rPr>
        <w:t xml:space="preserve"> </w:t>
      </w:r>
      <w:r w:rsidRPr="00A553B9">
        <w:rPr>
          <w:rFonts w:cs="Arial"/>
          <w:szCs w:val="24"/>
        </w:rPr>
        <w:t>This is the decisive result. Both the negative NPVs in all three projects indicate that none of them provide</w:t>
      </w:r>
      <w:r w:rsidR="00BD5DBA" w:rsidRPr="00A553B9">
        <w:rPr>
          <w:rFonts w:cs="Arial"/>
          <w:szCs w:val="24"/>
        </w:rPr>
        <w:t>s</w:t>
      </w:r>
      <w:r w:rsidRPr="00A553B9">
        <w:rPr>
          <w:rFonts w:cs="Arial"/>
          <w:szCs w:val="24"/>
        </w:rPr>
        <w:t xml:space="preserve"> the necessary 10 percent return. All of them are supposed to be rejected on strict shareholder-value grounds. Project C is the least unattractive</w:t>
      </w:r>
      <w:r w:rsidR="00BD5DBA" w:rsidRPr="00A553B9">
        <w:rPr>
          <w:rFonts w:cs="Arial"/>
          <w:szCs w:val="24"/>
        </w:rPr>
        <w:t>,</w:t>
      </w:r>
      <w:r w:rsidRPr="00A553B9">
        <w:rPr>
          <w:rFonts w:cs="Arial"/>
          <w:szCs w:val="24"/>
        </w:rPr>
        <w:t xml:space="preserve"> though it also annihilates value as compared to the hurdle rate.</w:t>
      </w:r>
    </w:p>
    <w:p w14:paraId="43858093" w14:textId="77777777" w:rsidR="005508B8" w:rsidRPr="00A553B9" w:rsidRDefault="006D4139" w:rsidP="009E21FB">
      <w:pPr>
        <w:pStyle w:val="Heading3"/>
        <w:rPr>
          <w:rFonts w:ascii="Arial" w:hAnsi="Arial" w:cs="Arial"/>
          <w:color w:val="auto"/>
          <w:szCs w:val="24"/>
        </w:rPr>
      </w:pPr>
      <w:bookmarkStart w:id="45" w:name="_Toc225717196"/>
      <w:r w:rsidRPr="00A553B9">
        <w:rPr>
          <w:rFonts w:ascii="Arial" w:hAnsi="Arial" w:cs="Arial"/>
          <w:color w:val="auto"/>
          <w:szCs w:val="24"/>
        </w:rPr>
        <w:t>Profitability Index (PI)</w:t>
      </w:r>
      <w:bookmarkEnd w:id="45"/>
    </w:p>
    <w:p w14:paraId="73A26416" w14:textId="7D8D43EA" w:rsidR="005508B8" w:rsidRPr="00A553B9" w:rsidRDefault="00C36A35" w:rsidP="009E21FB">
      <w:pPr>
        <w:ind w:firstLine="720"/>
        <w:rPr>
          <w:rFonts w:cs="Arial"/>
          <w:szCs w:val="24"/>
        </w:rPr>
      </w:pPr>
      <w:r w:rsidRPr="00A553B9">
        <w:rPr>
          <w:rFonts w:cs="Arial"/>
          <w:szCs w:val="24"/>
        </w:rPr>
        <w:t>Project A has a profitability index of 0.8265, 0.8340</w:t>
      </w:r>
      <w:r w:rsidR="00BD5DBA" w:rsidRPr="00A553B9">
        <w:rPr>
          <w:rFonts w:cs="Arial"/>
          <w:szCs w:val="24"/>
        </w:rPr>
        <w:t>,</w:t>
      </w:r>
      <w:r w:rsidRPr="00A553B9">
        <w:rPr>
          <w:rFonts w:cs="Arial"/>
          <w:szCs w:val="24"/>
        </w:rPr>
        <w:t xml:space="preserve"> and 0.9603</w:t>
      </w:r>
      <w:r w:rsidR="00BD5DBA" w:rsidRPr="00A553B9">
        <w:rPr>
          <w:rFonts w:cs="Arial"/>
          <w:szCs w:val="24"/>
        </w:rPr>
        <w:t>,</w:t>
      </w:r>
      <w:r w:rsidRPr="00A553B9">
        <w:rPr>
          <w:rFonts w:cs="Arial"/>
          <w:szCs w:val="24"/>
        </w:rPr>
        <w:t xml:space="preserve"> respectively. The PI test accepts the NPV conclusion since the values of all the measures fall below the threshold of 1.0. Project C remains the first project since it has the best present value per pound invested.</w:t>
      </w:r>
    </w:p>
    <w:p w14:paraId="37E69448" w14:textId="77777777" w:rsidR="005508B8" w:rsidRPr="00A553B9" w:rsidRDefault="006D4139" w:rsidP="009E21FB">
      <w:pPr>
        <w:pStyle w:val="Heading3"/>
        <w:rPr>
          <w:rFonts w:ascii="Arial" w:hAnsi="Arial" w:cs="Arial"/>
          <w:color w:val="auto"/>
          <w:szCs w:val="24"/>
        </w:rPr>
      </w:pPr>
      <w:bookmarkStart w:id="46" w:name="_Toc225717197"/>
      <w:r w:rsidRPr="00A553B9">
        <w:rPr>
          <w:rFonts w:ascii="Arial" w:hAnsi="Arial" w:cs="Arial"/>
          <w:color w:val="auto"/>
          <w:szCs w:val="24"/>
        </w:rPr>
        <w:t>Internal Rate of Return (IRR)</w:t>
      </w:r>
      <w:bookmarkEnd w:id="46"/>
    </w:p>
    <w:p w14:paraId="23D36467" w14:textId="52BD8F12" w:rsidR="005508B8" w:rsidRPr="00A553B9" w:rsidRDefault="00076E71" w:rsidP="009E21FB">
      <w:pPr>
        <w:ind w:firstLine="720"/>
        <w:rPr>
          <w:rFonts w:cs="Arial"/>
          <w:szCs w:val="24"/>
        </w:rPr>
      </w:pPr>
      <w:r w:rsidRPr="00A553B9">
        <w:rPr>
          <w:rFonts w:cs="Arial"/>
          <w:szCs w:val="24"/>
        </w:rPr>
        <w:t xml:space="preserve">Re-calculation of the IRR using the cash flows provides </w:t>
      </w:r>
      <w:r w:rsidR="00BD5DBA" w:rsidRPr="00A553B9">
        <w:rPr>
          <w:rFonts w:cs="Arial"/>
          <w:szCs w:val="24"/>
        </w:rPr>
        <w:t>an</w:t>
      </w:r>
      <w:r w:rsidRPr="00A553B9">
        <w:rPr>
          <w:rFonts w:cs="Arial"/>
          <w:szCs w:val="24"/>
        </w:rPr>
        <w:t xml:space="preserve"> approximate of </w:t>
      </w:r>
      <w:r w:rsidR="00D4387F" w:rsidRPr="00A553B9">
        <w:rPr>
          <w:rFonts w:cs="Arial"/>
          <w:szCs w:val="24"/>
        </w:rPr>
        <w:t>6.6</w:t>
      </w:r>
      <w:r w:rsidRPr="00A553B9">
        <w:rPr>
          <w:rFonts w:cs="Arial"/>
          <w:szCs w:val="24"/>
        </w:rPr>
        <w:t xml:space="preserve">2% of Project A, </w:t>
      </w:r>
      <w:r w:rsidR="00D4387F" w:rsidRPr="00A553B9">
        <w:rPr>
          <w:rFonts w:cs="Arial"/>
          <w:szCs w:val="24"/>
        </w:rPr>
        <w:t xml:space="preserve">6.12% </w:t>
      </w:r>
      <w:r w:rsidRPr="00A553B9">
        <w:rPr>
          <w:rFonts w:cs="Arial"/>
          <w:szCs w:val="24"/>
        </w:rPr>
        <w:t>of Project B</w:t>
      </w:r>
      <w:r w:rsidR="00BD5DBA" w:rsidRPr="00A553B9">
        <w:rPr>
          <w:rFonts w:cs="Arial"/>
          <w:szCs w:val="24"/>
        </w:rPr>
        <w:t>,</w:t>
      </w:r>
      <w:r w:rsidRPr="00A553B9">
        <w:rPr>
          <w:rFonts w:cs="Arial"/>
          <w:szCs w:val="24"/>
        </w:rPr>
        <w:t xml:space="preserve"> and </w:t>
      </w:r>
      <w:r w:rsidR="00D4387F" w:rsidRPr="00A553B9">
        <w:rPr>
          <w:rFonts w:cs="Arial"/>
          <w:szCs w:val="24"/>
        </w:rPr>
        <w:t xml:space="preserve">1.28% </w:t>
      </w:r>
      <w:r w:rsidRPr="00A553B9">
        <w:rPr>
          <w:rFonts w:cs="Arial"/>
          <w:szCs w:val="24"/>
        </w:rPr>
        <w:t>Project C. They are all below the 10</w:t>
      </w:r>
      <w:r w:rsidR="00D4387F" w:rsidRPr="00A553B9">
        <w:rPr>
          <w:rFonts w:cs="Arial"/>
          <w:szCs w:val="24"/>
        </w:rPr>
        <w:t>%</w:t>
      </w:r>
      <w:r w:rsidRPr="00A553B9">
        <w:rPr>
          <w:rFonts w:cs="Arial"/>
          <w:szCs w:val="24"/>
        </w:rPr>
        <w:t xml:space="preserve"> hurdle rate, and therefore</w:t>
      </w:r>
      <w:r w:rsidR="00BD5DBA" w:rsidRPr="00A553B9">
        <w:rPr>
          <w:rFonts w:cs="Arial"/>
          <w:szCs w:val="24"/>
        </w:rPr>
        <w:t>,</w:t>
      </w:r>
      <w:r w:rsidRPr="00A553B9">
        <w:rPr>
          <w:rFonts w:cs="Arial"/>
          <w:szCs w:val="24"/>
        </w:rPr>
        <w:t xml:space="preserve"> they also fail the IRR rule. The IRR </w:t>
      </w:r>
      <w:r w:rsidR="009715E6" w:rsidRPr="00A553B9">
        <w:rPr>
          <w:rFonts w:cs="Arial"/>
          <w:szCs w:val="24"/>
        </w:rPr>
        <w:t>results</w:t>
      </w:r>
      <w:r w:rsidRPr="00A553B9">
        <w:rPr>
          <w:rFonts w:cs="Arial"/>
          <w:szCs w:val="24"/>
        </w:rPr>
        <w:t xml:space="preserve"> </w:t>
      </w:r>
      <w:r w:rsidR="00CB02BB" w:rsidRPr="00A553B9">
        <w:rPr>
          <w:rFonts w:cs="Arial"/>
          <w:szCs w:val="24"/>
        </w:rPr>
        <w:t>are</w:t>
      </w:r>
      <w:r w:rsidRPr="00A553B9">
        <w:rPr>
          <w:rFonts w:cs="Arial"/>
          <w:szCs w:val="24"/>
        </w:rPr>
        <w:t xml:space="preserve"> found to be in support of the NPV and PI tests after correction.</w:t>
      </w:r>
    </w:p>
    <w:p w14:paraId="7FBF7983" w14:textId="77777777" w:rsidR="005508B8" w:rsidRPr="00A553B9" w:rsidRDefault="006D4139" w:rsidP="009E21FB">
      <w:pPr>
        <w:pStyle w:val="Heading2"/>
        <w:rPr>
          <w:rFonts w:ascii="Arial" w:hAnsi="Arial" w:cs="Arial"/>
          <w:color w:val="auto"/>
          <w:szCs w:val="24"/>
        </w:rPr>
      </w:pPr>
      <w:bookmarkStart w:id="47" w:name="_Toc225717198"/>
      <w:r w:rsidRPr="00A553B9">
        <w:rPr>
          <w:rFonts w:ascii="Arial" w:hAnsi="Arial" w:cs="Arial"/>
          <w:color w:val="auto"/>
          <w:szCs w:val="24"/>
        </w:rPr>
        <w:t>5.3 Project Evaluation</w:t>
      </w:r>
      <w:bookmarkEnd w:id="47"/>
    </w:p>
    <w:p w14:paraId="23E7333A" w14:textId="77777777" w:rsidR="00C34E37" w:rsidRPr="00A553B9" w:rsidRDefault="00DE16C2" w:rsidP="009E21FB">
      <w:pPr>
        <w:ind w:firstLine="720"/>
        <w:rPr>
          <w:rFonts w:cs="Arial"/>
          <w:szCs w:val="24"/>
        </w:rPr>
      </w:pPr>
      <w:r w:rsidRPr="00A553B9">
        <w:rPr>
          <w:rFonts w:cs="Arial"/>
          <w:szCs w:val="24"/>
        </w:rPr>
        <w:t>The ranking between the methods is generally consistent. Project C will favor best on payback, ARR, NPV, PI</w:t>
      </w:r>
      <w:r w:rsidR="00CB02BB" w:rsidRPr="00A553B9">
        <w:rPr>
          <w:rFonts w:cs="Arial"/>
          <w:szCs w:val="24"/>
        </w:rPr>
        <w:t>,</w:t>
      </w:r>
      <w:r w:rsidRPr="00A553B9">
        <w:rPr>
          <w:rFonts w:cs="Arial"/>
          <w:szCs w:val="24"/>
        </w:rPr>
        <w:t xml:space="preserve"> and IRR. Generally, Project B is second</w:t>
      </w:r>
      <w:r w:rsidR="00CB02BB" w:rsidRPr="00A553B9">
        <w:rPr>
          <w:rFonts w:cs="Arial"/>
          <w:szCs w:val="24"/>
        </w:rPr>
        <w:t>,</w:t>
      </w:r>
      <w:r w:rsidRPr="00A553B9">
        <w:rPr>
          <w:rFonts w:cs="Arial"/>
          <w:szCs w:val="24"/>
        </w:rPr>
        <w:t xml:space="preserve"> with Project A performing the worst on most discounted measures. The only slight opposition between A and B in terms of payback is that A is slightly faster. More importantly</w:t>
      </w:r>
      <w:r w:rsidR="00CB02BB" w:rsidRPr="00A553B9">
        <w:rPr>
          <w:rFonts w:cs="Arial"/>
          <w:szCs w:val="24"/>
        </w:rPr>
        <w:t>,</w:t>
      </w:r>
      <w:r w:rsidRPr="00A553B9">
        <w:rPr>
          <w:rFonts w:cs="Arial"/>
          <w:szCs w:val="24"/>
        </w:rPr>
        <w:t xml:space="preserve"> is that ranking is different as well as </w:t>
      </w:r>
      <w:r w:rsidR="00CB02BB" w:rsidRPr="00A553B9">
        <w:rPr>
          <w:rFonts w:cs="Arial"/>
          <w:szCs w:val="24"/>
        </w:rPr>
        <w:t xml:space="preserve">the </w:t>
      </w:r>
      <w:r w:rsidRPr="00A553B9">
        <w:rPr>
          <w:rFonts w:cs="Arial"/>
          <w:szCs w:val="24"/>
        </w:rPr>
        <w:t>acceptability</w:t>
      </w:r>
      <w:r w:rsidR="00605713" w:rsidRPr="00A553B9">
        <w:t xml:space="preserve"> </w:t>
      </w:r>
      <w:r w:rsidR="00605713" w:rsidRPr="00A553B9">
        <w:rPr>
          <w:rFonts w:cs="Arial"/>
          <w:szCs w:val="24"/>
        </w:rPr>
        <w:t>(Sergi, Sari and Senapati, 2021)</w:t>
      </w:r>
      <w:r w:rsidRPr="00A553B9">
        <w:rPr>
          <w:rFonts w:cs="Arial"/>
          <w:szCs w:val="24"/>
        </w:rPr>
        <w:t>. Project C can be value</w:t>
      </w:r>
      <w:r w:rsidR="000C26DF" w:rsidRPr="00A553B9">
        <w:rPr>
          <w:rFonts w:cs="Arial"/>
          <w:szCs w:val="24"/>
        </w:rPr>
        <w:t>-</w:t>
      </w:r>
      <w:r w:rsidRPr="00A553B9">
        <w:rPr>
          <w:rFonts w:cs="Arial"/>
          <w:szCs w:val="24"/>
        </w:rPr>
        <w:t>creating, although not first.</w:t>
      </w:r>
    </w:p>
    <w:p w14:paraId="3F6B71EC" w14:textId="02F5ECAB" w:rsidR="005508B8" w:rsidRPr="00A553B9" w:rsidRDefault="00DE16C2" w:rsidP="009E21FB">
      <w:pPr>
        <w:ind w:firstLine="720"/>
        <w:rPr>
          <w:rFonts w:cs="Arial"/>
          <w:szCs w:val="24"/>
        </w:rPr>
      </w:pPr>
      <w:r w:rsidRPr="00A553B9">
        <w:rPr>
          <w:rFonts w:cs="Arial"/>
          <w:szCs w:val="24"/>
        </w:rPr>
        <w:lastRenderedPageBreak/>
        <w:t xml:space="preserve">This difference is important to the current case of </w:t>
      </w:r>
      <w:r w:rsidR="00F84EDC" w:rsidRPr="00A553B9">
        <w:rPr>
          <w:rFonts w:cs="Arial"/>
          <w:szCs w:val="24"/>
        </w:rPr>
        <w:t>Mercedes-Benz Group</w:t>
      </w:r>
      <w:r w:rsidRPr="00A553B9">
        <w:rPr>
          <w:rFonts w:cs="Arial"/>
          <w:szCs w:val="24"/>
        </w:rPr>
        <w:t>. Due to the weaknesses in both profitability and capital productivity, the company should not accept investments solely because it is better than other weak alternatives. The issue diagnosed in the financial-health analysis would be aggravated by a negative-NPV project.</w:t>
      </w:r>
    </w:p>
    <w:p w14:paraId="17FE4D1E" w14:textId="77777777" w:rsidR="005508B8" w:rsidRPr="00A553B9" w:rsidRDefault="006D4139" w:rsidP="009E21FB">
      <w:pPr>
        <w:pStyle w:val="Heading2"/>
        <w:rPr>
          <w:rFonts w:ascii="Arial" w:hAnsi="Arial" w:cs="Arial"/>
          <w:color w:val="auto"/>
          <w:szCs w:val="24"/>
        </w:rPr>
      </w:pPr>
      <w:bookmarkStart w:id="48" w:name="_Toc225717199"/>
      <w:r w:rsidRPr="00A553B9">
        <w:rPr>
          <w:rFonts w:ascii="Arial" w:hAnsi="Arial" w:cs="Arial"/>
          <w:color w:val="auto"/>
          <w:szCs w:val="24"/>
        </w:rPr>
        <w:t>5.4 Recommended Project</w:t>
      </w:r>
      <w:bookmarkEnd w:id="48"/>
    </w:p>
    <w:p w14:paraId="092112D5" w14:textId="1E44174D" w:rsidR="005508B8" w:rsidRPr="00A553B9" w:rsidRDefault="00096DC3" w:rsidP="009E21FB">
      <w:pPr>
        <w:ind w:firstLine="720"/>
        <w:rPr>
          <w:rFonts w:cs="Arial"/>
          <w:szCs w:val="24"/>
        </w:rPr>
      </w:pPr>
      <w:r w:rsidRPr="00A553B9">
        <w:rPr>
          <w:rFonts w:cs="Arial"/>
          <w:szCs w:val="24"/>
        </w:rPr>
        <w:t>The recommendation that is financially right is to turn down all three projects in the event that the board is free not to invest. None of them satisf</w:t>
      </w:r>
      <w:r w:rsidR="000C26DF" w:rsidRPr="00A553B9">
        <w:rPr>
          <w:rFonts w:cs="Arial"/>
          <w:szCs w:val="24"/>
        </w:rPr>
        <w:t>ies</w:t>
      </w:r>
      <w:r w:rsidRPr="00A553B9">
        <w:rPr>
          <w:rFonts w:cs="Arial"/>
          <w:szCs w:val="24"/>
        </w:rPr>
        <w:t xml:space="preserve"> the target 10% minimum return, all of them have negative NPV</w:t>
      </w:r>
      <w:r w:rsidR="000C26DF" w:rsidRPr="00A553B9">
        <w:rPr>
          <w:rFonts w:cs="Arial"/>
          <w:szCs w:val="24"/>
        </w:rPr>
        <w:t>,</w:t>
      </w:r>
      <w:r w:rsidRPr="00A553B9">
        <w:rPr>
          <w:rFonts w:cs="Arial"/>
          <w:szCs w:val="24"/>
        </w:rPr>
        <w:t xml:space="preserve"> and their PI is less than 1. This is the stance that is most in line with shareholder-value maximisation and with the requirement of </w:t>
      </w:r>
      <w:r w:rsidR="00F84EDC" w:rsidRPr="00A553B9">
        <w:rPr>
          <w:rFonts w:cs="Arial"/>
          <w:szCs w:val="24"/>
        </w:rPr>
        <w:t>Mercedes-Benz Group</w:t>
      </w:r>
      <w:r w:rsidRPr="00A553B9">
        <w:rPr>
          <w:rFonts w:cs="Arial"/>
          <w:szCs w:val="24"/>
        </w:rPr>
        <w:t xml:space="preserve"> to regain returns on capital.</w:t>
      </w:r>
      <w:r w:rsidR="00C34E37" w:rsidRPr="00A553B9">
        <w:rPr>
          <w:rFonts w:cs="Arial"/>
          <w:szCs w:val="24"/>
        </w:rPr>
        <w:t xml:space="preserve"> </w:t>
      </w:r>
      <w:r w:rsidRPr="00A553B9">
        <w:rPr>
          <w:rFonts w:cs="Arial"/>
          <w:szCs w:val="24"/>
        </w:rPr>
        <w:t>Provided that the board sticks to selecting a single project because of strategic reasons, Project C stands out the most. Its payback rate is the quickest, ARR the greatest, IRR the greatest</w:t>
      </w:r>
      <w:r w:rsidR="000C26DF" w:rsidRPr="00A553B9">
        <w:rPr>
          <w:rFonts w:cs="Arial"/>
          <w:szCs w:val="24"/>
        </w:rPr>
        <w:t>,</w:t>
      </w:r>
      <w:r w:rsidRPr="00A553B9">
        <w:rPr>
          <w:rFonts w:cs="Arial"/>
          <w:szCs w:val="24"/>
        </w:rPr>
        <w:t xml:space="preserve"> and has the smallest negative NPV. It is hence the optimum choice that is constraint-optimal. The argument in favor of C would be better when the management consider</w:t>
      </w:r>
      <w:r w:rsidR="000C26DF" w:rsidRPr="00A553B9">
        <w:rPr>
          <w:rFonts w:cs="Arial"/>
          <w:szCs w:val="24"/>
        </w:rPr>
        <w:t>s</w:t>
      </w:r>
      <w:r w:rsidRPr="00A553B9">
        <w:rPr>
          <w:rFonts w:cs="Arial"/>
          <w:szCs w:val="24"/>
        </w:rPr>
        <w:t xml:space="preserve"> that the project has also strategic value not entirely reflected in the cash-flow projection, like learning about technology, regulatory position, control in supply-chain</w:t>
      </w:r>
      <w:r w:rsidR="000C26DF" w:rsidRPr="00A553B9">
        <w:rPr>
          <w:rFonts w:cs="Arial"/>
          <w:szCs w:val="24"/>
        </w:rPr>
        <w:t>,</w:t>
      </w:r>
      <w:r w:rsidRPr="00A553B9">
        <w:rPr>
          <w:rFonts w:cs="Arial"/>
          <w:szCs w:val="24"/>
        </w:rPr>
        <w:t xml:space="preserve"> or </w:t>
      </w:r>
      <w:r w:rsidR="000C26DF" w:rsidRPr="00A553B9">
        <w:rPr>
          <w:rFonts w:cs="Arial"/>
          <w:szCs w:val="24"/>
        </w:rPr>
        <w:t xml:space="preserve">an </w:t>
      </w:r>
      <w:r w:rsidRPr="00A553B9">
        <w:rPr>
          <w:rFonts w:cs="Arial"/>
          <w:szCs w:val="24"/>
        </w:rPr>
        <w:t>enhanced customer ecosystem.</w:t>
      </w:r>
    </w:p>
    <w:p w14:paraId="54DC2196" w14:textId="77777777" w:rsidR="005508B8" w:rsidRPr="00A553B9" w:rsidRDefault="006D4139" w:rsidP="009E21FB">
      <w:pPr>
        <w:pStyle w:val="Heading2"/>
        <w:rPr>
          <w:rFonts w:ascii="Arial" w:hAnsi="Arial" w:cs="Arial"/>
          <w:color w:val="auto"/>
          <w:szCs w:val="24"/>
        </w:rPr>
      </w:pPr>
      <w:bookmarkStart w:id="49" w:name="_Toc225717200"/>
      <w:r w:rsidRPr="00A553B9">
        <w:rPr>
          <w:rFonts w:ascii="Arial" w:hAnsi="Arial" w:cs="Arial"/>
          <w:color w:val="auto"/>
          <w:szCs w:val="24"/>
        </w:rPr>
        <w:t>5.5 Capital Rationing Decision</w:t>
      </w:r>
      <w:bookmarkEnd w:id="49"/>
    </w:p>
    <w:p w14:paraId="79415D5A" w14:textId="79593107" w:rsidR="00C34E37" w:rsidRPr="00A553B9" w:rsidRDefault="008B124B" w:rsidP="009E21FB">
      <w:pPr>
        <w:ind w:firstLine="720"/>
        <w:rPr>
          <w:rFonts w:cs="Arial"/>
          <w:szCs w:val="24"/>
        </w:rPr>
      </w:pPr>
      <w:r w:rsidRPr="00A553B9">
        <w:rPr>
          <w:rFonts w:cs="Arial"/>
          <w:szCs w:val="24"/>
        </w:rPr>
        <w:t>The maximum amount of capital that can be funded is £100 million by the board</w:t>
      </w:r>
      <w:r w:rsidR="000C26DF" w:rsidRPr="00A553B9">
        <w:rPr>
          <w:rFonts w:cs="Arial"/>
          <w:szCs w:val="24"/>
        </w:rPr>
        <w:t>;</w:t>
      </w:r>
      <w:r w:rsidRPr="00A553B9">
        <w:rPr>
          <w:rFonts w:cs="Arial"/>
          <w:szCs w:val="24"/>
        </w:rPr>
        <w:t xml:space="preserve"> not more than two projects can be funded. The potential alternatives are A+B, A+C</w:t>
      </w:r>
      <w:r w:rsidR="000C26DF" w:rsidRPr="00A553B9">
        <w:rPr>
          <w:rFonts w:cs="Arial"/>
          <w:szCs w:val="24"/>
        </w:rPr>
        <w:t>,</w:t>
      </w:r>
      <w:r w:rsidRPr="00A553B9">
        <w:rPr>
          <w:rFonts w:cs="Arial"/>
          <w:szCs w:val="24"/>
        </w:rPr>
        <w:t xml:space="preserve"> and B+C. They have a cumulative NPV of -16.977 million, -10.660 million</w:t>
      </w:r>
      <w:r w:rsidR="000C26DF" w:rsidRPr="00A553B9">
        <w:rPr>
          <w:rFonts w:cs="Arial"/>
          <w:szCs w:val="24"/>
        </w:rPr>
        <w:t>,</w:t>
      </w:r>
      <w:r w:rsidRPr="00A553B9">
        <w:rPr>
          <w:rFonts w:cs="Arial"/>
          <w:szCs w:val="24"/>
        </w:rPr>
        <w:t xml:space="preserve"> and -10.285 million</w:t>
      </w:r>
      <w:r w:rsidR="000C26DF" w:rsidRPr="00A553B9">
        <w:rPr>
          <w:rFonts w:cs="Arial"/>
          <w:szCs w:val="24"/>
        </w:rPr>
        <w:t>,</w:t>
      </w:r>
      <w:r w:rsidRPr="00A553B9">
        <w:rPr>
          <w:rFonts w:cs="Arial"/>
          <w:szCs w:val="24"/>
        </w:rPr>
        <w:t xml:space="preserve"> respectively.</w:t>
      </w:r>
      <w:r w:rsidR="00C34E37" w:rsidRPr="00A553B9">
        <w:rPr>
          <w:rFonts w:cs="Arial"/>
          <w:szCs w:val="24"/>
        </w:rPr>
        <w:t xml:space="preserve"> </w:t>
      </w:r>
      <w:r w:rsidRPr="00A553B9">
        <w:rPr>
          <w:rFonts w:cs="Arial"/>
          <w:szCs w:val="24"/>
        </w:rPr>
        <w:t>Assuming that the management is obliged to pay the whole amount of £100 million, the least harmful combination will be B+C, assuming that this NPV is negative. However, economically, the best decision that can be arrived at in terms of capital-rationing is to invest in none. Capital rationing ought to be value maximisation and not budg</w:t>
      </w:r>
      <w:r w:rsidR="00C63FEC">
        <w:rPr>
          <w:rFonts w:cs="Arial"/>
          <w:szCs w:val="24"/>
        </w:rPr>
        <w:t>et al</w:t>
      </w:r>
      <w:r w:rsidRPr="00A553B9">
        <w:rPr>
          <w:rFonts w:cs="Arial"/>
          <w:szCs w:val="24"/>
        </w:rPr>
        <w:t>location. Given the fact that all of the available projects cause a value destruction at the necessary level, maintaining the capital is the best option.</w:t>
      </w:r>
    </w:p>
    <w:p w14:paraId="2EFBBC36" w14:textId="41E351FA" w:rsidR="005508B8" w:rsidRPr="00A553B9" w:rsidRDefault="008B124B" w:rsidP="009E21FB">
      <w:pPr>
        <w:ind w:firstLine="720"/>
        <w:rPr>
          <w:rFonts w:cs="Arial"/>
          <w:szCs w:val="24"/>
        </w:rPr>
      </w:pPr>
      <w:r w:rsidRPr="00A553B9">
        <w:rPr>
          <w:rFonts w:cs="Arial"/>
          <w:szCs w:val="24"/>
        </w:rPr>
        <w:t xml:space="preserve">This conclusion suits the overall financial situation of </w:t>
      </w:r>
      <w:r w:rsidR="00F84EDC" w:rsidRPr="00A553B9">
        <w:rPr>
          <w:rFonts w:cs="Arial"/>
          <w:szCs w:val="24"/>
        </w:rPr>
        <w:t>Mercedes-Benz Group</w:t>
      </w:r>
      <w:r w:rsidRPr="00A553B9">
        <w:rPr>
          <w:rFonts w:cs="Arial"/>
          <w:szCs w:val="24"/>
        </w:rPr>
        <w:t xml:space="preserve">. The company is liquid enough and can be picky. It should increase and not decrease investment discipline because ROA and ROE are on the decline. It is better to withhold capital to invest in superior projects or to deploy it to enhance </w:t>
      </w:r>
      <w:r w:rsidR="000C26DF" w:rsidRPr="00A553B9">
        <w:rPr>
          <w:rFonts w:cs="Arial"/>
          <w:szCs w:val="24"/>
        </w:rPr>
        <w:t xml:space="preserve">the </w:t>
      </w:r>
      <w:r w:rsidRPr="00A553B9">
        <w:rPr>
          <w:rFonts w:cs="Arial"/>
          <w:szCs w:val="24"/>
        </w:rPr>
        <w:t xml:space="preserve">flexibility of </w:t>
      </w:r>
      <w:r w:rsidR="000C26DF" w:rsidRPr="00A553B9">
        <w:rPr>
          <w:rFonts w:cs="Arial"/>
          <w:szCs w:val="24"/>
        </w:rPr>
        <w:t xml:space="preserve">the balance </w:t>
      </w:r>
      <w:r w:rsidRPr="00A553B9">
        <w:rPr>
          <w:rFonts w:cs="Arial"/>
          <w:szCs w:val="24"/>
        </w:rPr>
        <w:t>sheet than give the green light to negative-NPV suggestions.</w:t>
      </w:r>
    </w:p>
    <w:p w14:paraId="0A702BC7" w14:textId="77777777" w:rsidR="005508B8" w:rsidRPr="00A553B9" w:rsidRDefault="006D4139" w:rsidP="009E21FB">
      <w:pPr>
        <w:pStyle w:val="Heading2"/>
        <w:rPr>
          <w:rFonts w:ascii="Arial" w:hAnsi="Arial" w:cs="Arial"/>
          <w:color w:val="auto"/>
          <w:szCs w:val="24"/>
        </w:rPr>
      </w:pPr>
      <w:bookmarkStart w:id="50" w:name="_Toc225717201"/>
      <w:r w:rsidRPr="00A553B9">
        <w:rPr>
          <w:rFonts w:ascii="Arial" w:hAnsi="Arial" w:cs="Arial"/>
          <w:color w:val="auto"/>
          <w:szCs w:val="24"/>
        </w:rPr>
        <w:lastRenderedPageBreak/>
        <w:t>5.6 Non-Financial Considerations</w:t>
      </w:r>
      <w:bookmarkEnd w:id="50"/>
    </w:p>
    <w:p w14:paraId="3652B149" w14:textId="56F31497" w:rsidR="00745CE2" w:rsidRPr="00745CE2" w:rsidRDefault="00E61A01" w:rsidP="00745CE2">
      <w:pPr>
        <w:ind w:firstLine="720"/>
        <w:rPr>
          <w:rFonts w:cs="Arial"/>
          <w:szCs w:val="24"/>
        </w:rPr>
      </w:pPr>
      <w:r w:rsidRPr="00E61A01">
        <w:rPr>
          <w:rFonts w:cs="Arial"/>
          <w:szCs w:val="24"/>
        </w:rPr>
        <w:t>Other non-monetary considerations can have a material effect on capital investment decisions</w:t>
      </w:r>
      <w:r w:rsidR="001C194B">
        <w:rPr>
          <w:rFonts w:cs="Arial"/>
          <w:szCs w:val="24"/>
        </w:rPr>
        <w:t>,</w:t>
      </w:r>
      <w:r w:rsidRPr="00E61A01">
        <w:rPr>
          <w:rFonts w:cs="Arial"/>
          <w:szCs w:val="24"/>
        </w:rPr>
        <w:t xml:space="preserve"> especially in the EV industry</w:t>
      </w:r>
      <w:r w:rsidR="001C194B">
        <w:rPr>
          <w:rFonts w:cs="Arial"/>
          <w:szCs w:val="24"/>
        </w:rPr>
        <w:t>, where</w:t>
      </w:r>
      <w:r w:rsidRPr="00E61A01">
        <w:rPr>
          <w:rFonts w:cs="Arial"/>
          <w:szCs w:val="24"/>
        </w:rPr>
        <w:t xml:space="preserve"> political and regulatory risks are high. Any modifications to tariffs, local-content requirements</w:t>
      </w:r>
      <w:r w:rsidR="001C194B">
        <w:rPr>
          <w:rFonts w:cs="Arial"/>
          <w:szCs w:val="24"/>
        </w:rPr>
        <w:t>,</w:t>
      </w:r>
      <w:r w:rsidRPr="00E61A01">
        <w:rPr>
          <w:rFonts w:cs="Arial"/>
          <w:szCs w:val="24"/>
        </w:rPr>
        <w:t xml:space="preserve"> or subsidy policy can have a rapid effect on the viability of the project</w:t>
      </w:r>
      <w:r w:rsidR="00F86F80">
        <w:rPr>
          <w:rFonts w:cs="Arial"/>
          <w:szCs w:val="24"/>
        </w:rPr>
        <w:t>,</w:t>
      </w:r>
      <w:r w:rsidRPr="00E61A01">
        <w:rPr>
          <w:rFonts w:cs="Arial"/>
          <w:szCs w:val="24"/>
        </w:rPr>
        <w:t xml:space="preserve"> such that an investment with lower financial characteristics can be a strategically important one as long as it can mitigate policy risk or allow the company to gain access to the market. </w:t>
      </w:r>
      <w:r w:rsidR="00745CE2" w:rsidRPr="00745CE2">
        <w:rPr>
          <w:rFonts w:cs="Arial"/>
          <w:szCs w:val="24"/>
        </w:rPr>
        <w:t xml:space="preserve">Customer loyalty and integration into the ecosystem </w:t>
      </w:r>
      <w:r w:rsidR="000A0EF3">
        <w:rPr>
          <w:rFonts w:cs="Arial"/>
          <w:szCs w:val="24"/>
        </w:rPr>
        <w:t>are</w:t>
      </w:r>
      <w:r w:rsidR="00745CE2" w:rsidRPr="00745CE2">
        <w:rPr>
          <w:rFonts w:cs="Arial"/>
          <w:szCs w:val="24"/>
        </w:rPr>
        <w:t xml:space="preserve"> also very important aspect</w:t>
      </w:r>
      <w:r w:rsidR="000A0EF3">
        <w:rPr>
          <w:rFonts w:cs="Arial"/>
          <w:szCs w:val="24"/>
        </w:rPr>
        <w:t>s</w:t>
      </w:r>
      <w:r w:rsidR="00745CE2" w:rsidRPr="00745CE2">
        <w:rPr>
          <w:rFonts w:cs="Arial"/>
          <w:szCs w:val="24"/>
        </w:rPr>
        <w:t xml:space="preserve">. An indirect value generated by the brand strength, digital ecosystem, charging infrastructure, and services </w:t>
      </w:r>
      <w:r w:rsidR="008C752A">
        <w:rPr>
          <w:rFonts w:cs="Arial"/>
          <w:szCs w:val="24"/>
        </w:rPr>
        <w:t>related to</w:t>
      </w:r>
      <w:r w:rsidR="00745CE2" w:rsidRPr="00745CE2">
        <w:rPr>
          <w:rFonts w:cs="Arial"/>
          <w:szCs w:val="24"/>
        </w:rPr>
        <w:t xml:space="preserve"> energy </w:t>
      </w:r>
      <w:r w:rsidR="008C752A">
        <w:rPr>
          <w:rFonts w:cs="Arial"/>
          <w:szCs w:val="24"/>
        </w:rPr>
        <w:t>is</w:t>
      </w:r>
      <w:r w:rsidR="00745CE2" w:rsidRPr="00745CE2">
        <w:rPr>
          <w:rFonts w:cs="Arial"/>
          <w:szCs w:val="24"/>
        </w:rPr>
        <w:t xml:space="preserve"> not entirely captured in the traditional capital budgeting models at Mercedes-Benz. Investment opportunities that can be exploited to increase this ecosystem can increase future flows of income and competitiveness.</w:t>
      </w:r>
    </w:p>
    <w:p w14:paraId="30A71867" w14:textId="636B0EC0" w:rsidR="005508B8" w:rsidRPr="00A553B9" w:rsidRDefault="00745CE2" w:rsidP="00745CE2">
      <w:pPr>
        <w:ind w:firstLine="720"/>
        <w:rPr>
          <w:rFonts w:cs="Arial"/>
          <w:szCs w:val="24"/>
        </w:rPr>
      </w:pPr>
      <w:r w:rsidRPr="00745CE2">
        <w:rPr>
          <w:rFonts w:cs="Arial"/>
          <w:szCs w:val="24"/>
        </w:rPr>
        <w:t>These considerations must</w:t>
      </w:r>
      <w:r w:rsidR="008C752A">
        <w:rPr>
          <w:rFonts w:cs="Arial"/>
          <w:szCs w:val="24"/>
        </w:rPr>
        <w:t>,</w:t>
      </w:r>
      <w:r w:rsidRPr="00745CE2">
        <w:rPr>
          <w:rFonts w:cs="Arial"/>
          <w:szCs w:val="24"/>
        </w:rPr>
        <w:t xml:space="preserve"> however</w:t>
      </w:r>
      <w:r w:rsidR="008C752A">
        <w:rPr>
          <w:rFonts w:cs="Arial"/>
          <w:szCs w:val="24"/>
        </w:rPr>
        <w:t>,</w:t>
      </w:r>
      <w:r w:rsidRPr="00745CE2">
        <w:rPr>
          <w:rFonts w:cs="Arial"/>
          <w:szCs w:val="24"/>
        </w:rPr>
        <w:t xml:space="preserve"> be cautiously done. Financial discipline should be held on the frontline</w:t>
      </w:r>
      <w:r w:rsidR="008C752A">
        <w:rPr>
          <w:rFonts w:cs="Arial"/>
          <w:szCs w:val="24"/>
        </w:rPr>
        <w:t>,</w:t>
      </w:r>
      <w:r w:rsidRPr="00745CE2">
        <w:rPr>
          <w:rFonts w:cs="Arial"/>
          <w:szCs w:val="24"/>
        </w:rPr>
        <w:t xml:space="preserve"> and non-financi</w:t>
      </w:r>
      <w:r w:rsidR="008C752A">
        <w:rPr>
          <w:rFonts w:cs="Arial"/>
          <w:szCs w:val="24"/>
        </w:rPr>
        <w:t>al consider</w:t>
      </w:r>
      <w:r w:rsidRPr="00745CE2">
        <w:rPr>
          <w:rFonts w:cs="Arial"/>
          <w:szCs w:val="24"/>
        </w:rPr>
        <w:t xml:space="preserve">ations should serve as the only basis to justify investments where </w:t>
      </w:r>
      <w:r w:rsidR="008C752A">
        <w:rPr>
          <w:rFonts w:cs="Arial"/>
          <w:szCs w:val="24"/>
        </w:rPr>
        <w:t xml:space="preserve">the </w:t>
      </w:r>
      <w:r w:rsidRPr="00745CE2">
        <w:rPr>
          <w:rFonts w:cs="Arial"/>
          <w:szCs w:val="24"/>
        </w:rPr>
        <w:t>strategic argument is highly understandable and believable. All the projects are, on balance, ugly in terms of their financial aspects, but Project C is the most feasible one in itself, and Projects B and C can be thought of as the least destructive option, given that there is a constraint on capital.</w:t>
      </w:r>
    </w:p>
    <w:p w14:paraId="4570D318" w14:textId="7A9536EE" w:rsidR="00E715D8" w:rsidRPr="0089388F" w:rsidRDefault="00E715D8" w:rsidP="009E21FB">
      <w:pPr>
        <w:pStyle w:val="Caption"/>
        <w:keepNext/>
        <w:spacing w:line="360" w:lineRule="auto"/>
        <w:rPr>
          <w:rFonts w:cs="Arial"/>
          <w:i/>
          <w:iCs/>
          <w:color w:val="auto"/>
          <w:sz w:val="24"/>
          <w:szCs w:val="24"/>
        </w:rPr>
      </w:pPr>
      <w:bookmarkStart w:id="51" w:name="_Toc225721360"/>
      <w:r w:rsidRPr="0089388F">
        <w:rPr>
          <w:rFonts w:cs="Arial"/>
          <w:i/>
          <w:iCs/>
          <w:color w:val="auto"/>
          <w:sz w:val="24"/>
          <w:szCs w:val="24"/>
        </w:rPr>
        <w:t xml:space="preserve">Table </w:t>
      </w:r>
      <w:r w:rsidRPr="0089388F">
        <w:rPr>
          <w:rFonts w:cs="Arial"/>
          <w:i/>
          <w:iCs/>
          <w:color w:val="auto"/>
          <w:sz w:val="24"/>
          <w:szCs w:val="24"/>
        </w:rPr>
        <w:fldChar w:fldCharType="begin"/>
      </w:r>
      <w:r w:rsidRPr="0089388F">
        <w:rPr>
          <w:rFonts w:cs="Arial"/>
          <w:i/>
          <w:iCs/>
          <w:color w:val="auto"/>
          <w:sz w:val="24"/>
          <w:szCs w:val="24"/>
        </w:rPr>
        <w:instrText xml:space="preserve"> SEQ Table \* ARABIC </w:instrText>
      </w:r>
      <w:r w:rsidRPr="0089388F">
        <w:rPr>
          <w:rFonts w:cs="Arial"/>
          <w:i/>
          <w:iCs/>
          <w:color w:val="auto"/>
          <w:sz w:val="24"/>
          <w:szCs w:val="24"/>
        </w:rPr>
        <w:fldChar w:fldCharType="separate"/>
      </w:r>
      <w:r w:rsidR="00FD0624" w:rsidRPr="0089388F">
        <w:rPr>
          <w:rFonts w:cs="Arial"/>
          <w:i/>
          <w:iCs/>
          <w:noProof/>
          <w:color w:val="auto"/>
          <w:sz w:val="24"/>
          <w:szCs w:val="24"/>
        </w:rPr>
        <w:t>4</w:t>
      </w:r>
      <w:r w:rsidRPr="0089388F">
        <w:rPr>
          <w:rFonts w:cs="Arial"/>
          <w:i/>
          <w:iCs/>
          <w:color w:val="auto"/>
          <w:sz w:val="24"/>
          <w:szCs w:val="24"/>
        </w:rPr>
        <w:fldChar w:fldCharType="end"/>
      </w:r>
      <w:r w:rsidRPr="0089388F">
        <w:rPr>
          <w:rFonts w:cs="Arial"/>
          <w:i/>
          <w:iCs/>
          <w:color w:val="auto"/>
          <w:sz w:val="24"/>
          <w:szCs w:val="24"/>
        </w:rPr>
        <w:t>: Capital budgeting appraisal summary</w:t>
      </w:r>
      <w:bookmarkEnd w:id="51"/>
    </w:p>
    <w:tbl>
      <w:tblPr>
        <w:tblStyle w:val="PlainTable1"/>
        <w:tblW w:w="0" w:type="auto"/>
        <w:jc w:val="center"/>
        <w:tblLook w:val="04A0" w:firstRow="1" w:lastRow="0" w:firstColumn="1" w:lastColumn="0" w:noHBand="0" w:noVBand="1"/>
      </w:tblPr>
      <w:tblGrid>
        <w:gridCol w:w="993"/>
        <w:gridCol w:w="2223"/>
        <w:gridCol w:w="1003"/>
        <w:gridCol w:w="1276"/>
        <w:gridCol w:w="992"/>
        <w:gridCol w:w="851"/>
      </w:tblGrid>
      <w:tr w:rsidR="00AE6309" w:rsidRPr="0089388F" w14:paraId="5A682CD0" w14:textId="77777777" w:rsidTr="008938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3" w:type="dxa"/>
          </w:tcPr>
          <w:p w14:paraId="155FF439" w14:textId="77777777" w:rsidR="005508B8" w:rsidRPr="0089388F" w:rsidRDefault="006D4139" w:rsidP="009E21FB">
            <w:pPr>
              <w:spacing w:after="0"/>
              <w:rPr>
                <w:rFonts w:cs="Arial"/>
                <w:b w:val="0"/>
                <w:bCs w:val="0"/>
                <w:sz w:val="22"/>
              </w:rPr>
            </w:pPr>
            <w:r w:rsidRPr="0089388F">
              <w:rPr>
                <w:rFonts w:cs="Arial"/>
                <w:sz w:val="22"/>
              </w:rPr>
              <w:t>Project</w:t>
            </w:r>
          </w:p>
        </w:tc>
        <w:tc>
          <w:tcPr>
            <w:tcW w:w="2223" w:type="dxa"/>
          </w:tcPr>
          <w:p w14:paraId="1D28E927" w14:textId="77777777" w:rsidR="005508B8" w:rsidRPr="0089388F" w:rsidRDefault="006D4139" w:rsidP="009E21FB">
            <w:pPr>
              <w:spacing w:after="0"/>
              <w:cnfStyle w:val="100000000000" w:firstRow="1" w:lastRow="0" w:firstColumn="0" w:lastColumn="0" w:oddVBand="0" w:evenVBand="0" w:oddHBand="0" w:evenHBand="0" w:firstRowFirstColumn="0" w:firstRowLastColumn="0" w:lastRowFirstColumn="0" w:lastRowLastColumn="0"/>
              <w:rPr>
                <w:rFonts w:cs="Arial"/>
                <w:b w:val="0"/>
                <w:bCs w:val="0"/>
                <w:sz w:val="22"/>
              </w:rPr>
            </w:pPr>
            <w:r w:rsidRPr="0089388F">
              <w:rPr>
                <w:rFonts w:cs="Arial"/>
                <w:sz w:val="22"/>
              </w:rPr>
              <w:t>Payback (years)</w:t>
            </w:r>
          </w:p>
        </w:tc>
        <w:tc>
          <w:tcPr>
            <w:tcW w:w="1003" w:type="dxa"/>
          </w:tcPr>
          <w:p w14:paraId="45854AB8" w14:textId="77777777" w:rsidR="005508B8" w:rsidRPr="0089388F" w:rsidRDefault="006D4139" w:rsidP="009E21FB">
            <w:pPr>
              <w:spacing w:after="0"/>
              <w:cnfStyle w:val="100000000000" w:firstRow="1" w:lastRow="0" w:firstColumn="0" w:lastColumn="0" w:oddVBand="0" w:evenVBand="0" w:oddHBand="0" w:evenHBand="0" w:firstRowFirstColumn="0" w:firstRowLastColumn="0" w:lastRowFirstColumn="0" w:lastRowLastColumn="0"/>
              <w:rPr>
                <w:rFonts w:cs="Arial"/>
                <w:b w:val="0"/>
                <w:bCs w:val="0"/>
                <w:sz w:val="22"/>
              </w:rPr>
            </w:pPr>
            <w:r w:rsidRPr="0089388F">
              <w:rPr>
                <w:rFonts w:cs="Arial"/>
                <w:sz w:val="22"/>
              </w:rPr>
              <w:t>ARR</w:t>
            </w:r>
          </w:p>
        </w:tc>
        <w:tc>
          <w:tcPr>
            <w:tcW w:w="1276" w:type="dxa"/>
          </w:tcPr>
          <w:p w14:paraId="25904E9C" w14:textId="77777777" w:rsidR="005508B8" w:rsidRPr="0089388F" w:rsidRDefault="006D4139" w:rsidP="009E21FB">
            <w:pPr>
              <w:spacing w:after="0"/>
              <w:cnfStyle w:val="100000000000" w:firstRow="1" w:lastRow="0" w:firstColumn="0" w:lastColumn="0" w:oddVBand="0" w:evenVBand="0" w:oddHBand="0" w:evenHBand="0" w:firstRowFirstColumn="0" w:firstRowLastColumn="0" w:lastRowFirstColumn="0" w:lastRowLastColumn="0"/>
              <w:rPr>
                <w:rFonts w:cs="Arial"/>
                <w:b w:val="0"/>
                <w:bCs w:val="0"/>
                <w:sz w:val="22"/>
              </w:rPr>
            </w:pPr>
            <w:r w:rsidRPr="0089388F">
              <w:rPr>
                <w:rFonts w:cs="Arial"/>
                <w:sz w:val="22"/>
              </w:rPr>
              <w:t>NPV (£m)</w:t>
            </w:r>
          </w:p>
        </w:tc>
        <w:tc>
          <w:tcPr>
            <w:tcW w:w="992" w:type="dxa"/>
          </w:tcPr>
          <w:p w14:paraId="2C248160" w14:textId="77777777" w:rsidR="005508B8" w:rsidRPr="0089388F" w:rsidRDefault="006D4139" w:rsidP="009E21FB">
            <w:pPr>
              <w:spacing w:after="0"/>
              <w:cnfStyle w:val="100000000000" w:firstRow="1" w:lastRow="0" w:firstColumn="0" w:lastColumn="0" w:oddVBand="0" w:evenVBand="0" w:oddHBand="0" w:evenHBand="0" w:firstRowFirstColumn="0" w:firstRowLastColumn="0" w:lastRowFirstColumn="0" w:lastRowLastColumn="0"/>
              <w:rPr>
                <w:rFonts w:cs="Arial"/>
                <w:b w:val="0"/>
                <w:bCs w:val="0"/>
                <w:sz w:val="22"/>
              </w:rPr>
            </w:pPr>
            <w:r w:rsidRPr="0089388F">
              <w:rPr>
                <w:rFonts w:cs="Arial"/>
                <w:sz w:val="22"/>
              </w:rPr>
              <w:t>PI</w:t>
            </w:r>
          </w:p>
        </w:tc>
        <w:tc>
          <w:tcPr>
            <w:tcW w:w="851" w:type="dxa"/>
          </w:tcPr>
          <w:p w14:paraId="0F841D64" w14:textId="77777777" w:rsidR="005508B8" w:rsidRPr="0089388F" w:rsidRDefault="006D4139" w:rsidP="009E21FB">
            <w:pPr>
              <w:spacing w:after="0"/>
              <w:cnfStyle w:val="100000000000" w:firstRow="1" w:lastRow="0" w:firstColumn="0" w:lastColumn="0" w:oddVBand="0" w:evenVBand="0" w:oddHBand="0" w:evenHBand="0" w:firstRowFirstColumn="0" w:firstRowLastColumn="0" w:lastRowFirstColumn="0" w:lastRowLastColumn="0"/>
              <w:rPr>
                <w:rFonts w:cs="Arial"/>
                <w:b w:val="0"/>
                <w:bCs w:val="0"/>
                <w:sz w:val="22"/>
              </w:rPr>
            </w:pPr>
            <w:r w:rsidRPr="0089388F">
              <w:rPr>
                <w:rFonts w:cs="Arial"/>
                <w:sz w:val="22"/>
              </w:rPr>
              <w:t>IRR</w:t>
            </w:r>
          </w:p>
        </w:tc>
      </w:tr>
      <w:tr w:rsidR="00AE6309" w:rsidRPr="0089388F" w14:paraId="577EBE7F" w14:textId="77777777" w:rsidTr="00893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3" w:type="dxa"/>
          </w:tcPr>
          <w:p w14:paraId="698C1D33" w14:textId="77777777" w:rsidR="005508B8" w:rsidRPr="0089388F" w:rsidRDefault="006D4139" w:rsidP="009E21FB">
            <w:pPr>
              <w:spacing w:after="0"/>
              <w:rPr>
                <w:rFonts w:cs="Arial"/>
                <w:sz w:val="22"/>
              </w:rPr>
            </w:pPr>
            <w:r w:rsidRPr="0089388F">
              <w:rPr>
                <w:rFonts w:cs="Arial"/>
                <w:sz w:val="22"/>
              </w:rPr>
              <w:t>A</w:t>
            </w:r>
          </w:p>
        </w:tc>
        <w:tc>
          <w:tcPr>
            <w:tcW w:w="2223" w:type="dxa"/>
          </w:tcPr>
          <w:p w14:paraId="3F490E1C" w14:textId="77777777" w:rsidR="005508B8" w:rsidRPr="0089388F" w:rsidRDefault="006D4139" w:rsidP="009E21FB">
            <w:pPr>
              <w:spacing w:after="0"/>
              <w:cnfStyle w:val="000000100000" w:firstRow="0" w:lastRow="0" w:firstColumn="0" w:lastColumn="0" w:oddVBand="0" w:evenVBand="0" w:oddHBand="1" w:evenHBand="0" w:firstRowFirstColumn="0" w:firstRowLastColumn="0" w:lastRowFirstColumn="0" w:lastRowLastColumn="0"/>
              <w:rPr>
                <w:rFonts w:cs="Arial"/>
                <w:sz w:val="22"/>
              </w:rPr>
            </w:pPr>
            <w:r w:rsidRPr="0089388F">
              <w:rPr>
                <w:rFonts w:cs="Arial"/>
                <w:sz w:val="22"/>
              </w:rPr>
              <w:t>4.50</w:t>
            </w:r>
          </w:p>
        </w:tc>
        <w:tc>
          <w:tcPr>
            <w:tcW w:w="1003" w:type="dxa"/>
          </w:tcPr>
          <w:p w14:paraId="70AF272E" w14:textId="77777777" w:rsidR="005508B8" w:rsidRPr="0089388F" w:rsidRDefault="006D4139" w:rsidP="009E21FB">
            <w:pPr>
              <w:spacing w:after="0"/>
              <w:cnfStyle w:val="000000100000" w:firstRow="0" w:lastRow="0" w:firstColumn="0" w:lastColumn="0" w:oddVBand="0" w:evenVBand="0" w:oddHBand="1" w:evenHBand="0" w:firstRowFirstColumn="0" w:firstRowLastColumn="0" w:lastRowFirstColumn="0" w:lastRowLastColumn="0"/>
              <w:rPr>
                <w:rFonts w:cs="Arial"/>
                <w:sz w:val="22"/>
              </w:rPr>
            </w:pPr>
            <w:r w:rsidRPr="0089388F">
              <w:rPr>
                <w:rFonts w:cs="Arial"/>
                <w:sz w:val="22"/>
              </w:rPr>
              <w:t>1.60%</w:t>
            </w:r>
          </w:p>
        </w:tc>
        <w:tc>
          <w:tcPr>
            <w:tcW w:w="1276" w:type="dxa"/>
          </w:tcPr>
          <w:p w14:paraId="0A7EF5D8" w14:textId="77777777" w:rsidR="005508B8" w:rsidRPr="0089388F" w:rsidRDefault="006D4139" w:rsidP="009E21FB">
            <w:pPr>
              <w:spacing w:after="0"/>
              <w:cnfStyle w:val="000000100000" w:firstRow="0" w:lastRow="0" w:firstColumn="0" w:lastColumn="0" w:oddVBand="0" w:evenVBand="0" w:oddHBand="1" w:evenHBand="0" w:firstRowFirstColumn="0" w:firstRowLastColumn="0" w:lastRowFirstColumn="0" w:lastRowLastColumn="0"/>
              <w:rPr>
                <w:rFonts w:cs="Arial"/>
                <w:sz w:val="22"/>
              </w:rPr>
            </w:pPr>
            <w:r w:rsidRPr="0089388F">
              <w:rPr>
                <w:rFonts w:cs="Arial"/>
                <w:sz w:val="22"/>
              </w:rPr>
              <w:t>-8.676</w:t>
            </w:r>
          </w:p>
        </w:tc>
        <w:tc>
          <w:tcPr>
            <w:tcW w:w="992" w:type="dxa"/>
          </w:tcPr>
          <w:p w14:paraId="43AA02C3" w14:textId="77777777" w:rsidR="005508B8" w:rsidRPr="0089388F" w:rsidRDefault="006D4139" w:rsidP="009E21FB">
            <w:pPr>
              <w:spacing w:after="0"/>
              <w:cnfStyle w:val="000000100000" w:firstRow="0" w:lastRow="0" w:firstColumn="0" w:lastColumn="0" w:oddVBand="0" w:evenVBand="0" w:oddHBand="1" w:evenHBand="0" w:firstRowFirstColumn="0" w:firstRowLastColumn="0" w:lastRowFirstColumn="0" w:lastRowLastColumn="0"/>
              <w:rPr>
                <w:rFonts w:cs="Arial"/>
                <w:sz w:val="22"/>
              </w:rPr>
            </w:pPr>
            <w:r w:rsidRPr="0089388F">
              <w:rPr>
                <w:rFonts w:cs="Arial"/>
                <w:sz w:val="22"/>
              </w:rPr>
              <w:t>0.8265</w:t>
            </w:r>
          </w:p>
        </w:tc>
        <w:tc>
          <w:tcPr>
            <w:tcW w:w="851" w:type="dxa"/>
          </w:tcPr>
          <w:p w14:paraId="6C38BB85" w14:textId="77777777" w:rsidR="005508B8" w:rsidRPr="0089388F" w:rsidRDefault="006D4139" w:rsidP="009E21FB">
            <w:pPr>
              <w:spacing w:after="0"/>
              <w:cnfStyle w:val="000000100000" w:firstRow="0" w:lastRow="0" w:firstColumn="0" w:lastColumn="0" w:oddVBand="0" w:evenVBand="0" w:oddHBand="1" w:evenHBand="0" w:firstRowFirstColumn="0" w:firstRowLastColumn="0" w:lastRowFirstColumn="0" w:lastRowLastColumn="0"/>
              <w:rPr>
                <w:rFonts w:cs="Arial"/>
                <w:sz w:val="22"/>
              </w:rPr>
            </w:pPr>
            <w:r w:rsidRPr="0089388F">
              <w:rPr>
                <w:rFonts w:cs="Arial"/>
                <w:sz w:val="22"/>
              </w:rPr>
              <w:t>2.72%</w:t>
            </w:r>
          </w:p>
        </w:tc>
      </w:tr>
      <w:tr w:rsidR="00AE6309" w:rsidRPr="0089388F" w14:paraId="54EF7E4E" w14:textId="77777777" w:rsidTr="0089388F">
        <w:trPr>
          <w:jc w:val="center"/>
        </w:trPr>
        <w:tc>
          <w:tcPr>
            <w:cnfStyle w:val="001000000000" w:firstRow="0" w:lastRow="0" w:firstColumn="1" w:lastColumn="0" w:oddVBand="0" w:evenVBand="0" w:oddHBand="0" w:evenHBand="0" w:firstRowFirstColumn="0" w:firstRowLastColumn="0" w:lastRowFirstColumn="0" w:lastRowLastColumn="0"/>
            <w:tcW w:w="993" w:type="dxa"/>
          </w:tcPr>
          <w:p w14:paraId="345EFE9B" w14:textId="77777777" w:rsidR="005508B8" w:rsidRPr="0089388F" w:rsidRDefault="006D4139" w:rsidP="009E21FB">
            <w:pPr>
              <w:spacing w:after="0"/>
              <w:rPr>
                <w:rFonts w:cs="Arial"/>
                <w:sz w:val="22"/>
              </w:rPr>
            </w:pPr>
            <w:r w:rsidRPr="0089388F">
              <w:rPr>
                <w:rFonts w:cs="Arial"/>
                <w:sz w:val="22"/>
              </w:rPr>
              <w:t>B</w:t>
            </w:r>
          </w:p>
        </w:tc>
        <w:tc>
          <w:tcPr>
            <w:tcW w:w="2223" w:type="dxa"/>
          </w:tcPr>
          <w:p w14:paraId="3B5A4C70" w14:textId="77777777" w:rsidR="005508B8" w:rsidRPr="0089388F" w:rsidRDefault="006D4139" w:rsidP="009E21FB">
            <w:pPr>
              <w:spacing w:after="0"/>
              <w:cnfStyle w:val="000000000000" w:firstRow="0" w:lastRow="0" w:firstColumn="0" w:lastColumn="0" w:oddVBand="0" w:evenVBand="0" w:oddHBand="0" w:evenHBand="0" w:firstRowFirstColumn="0" w:firstRowLastColumn="0" w:lastRowFirstColumn="0" w:lastRowLastColumn="0"/>
              <w:rPr>
                <w:rFonts w:cs="Arial"/>
                <w:sz w:val="22"/>
              </w:rPr>
            </w:pPr>
            <w:r w:rsidRPr="0089388F">
              <w:rPr>
                <w:rFonts w:cs="Arial"/>
                <w:sz w:val="22"/>
              </w:rPr>
              <w:t>4.55</w:t>
            </w:r>
          </w:p>
        </w:tc>
        <w:tc>
          <w:tcPr>
            <w:tcW w:w="1003" w:type="dxa"/>
          </w:tcPr>
          <w:p w14:paraId="12332D25" w14:textId="77777777" w:rsidR="005508B8" w:rsidRPr="0089388F" w:rsidRDefault="006D4139" w:rsidP="009E21FB">
            <w:pPr>
              <w:spacing w:after="0"/>
              <w:cnfStyle w:val="000000000000" w:firstRow="0" w:lastRow="0" w:firstColumn="0" w:lastColumn="0" w:oddVBand="0" w:evenVBand="0" w:oddHBand="0" w:evenHBand="0" w:firstRowFirstColumn="0" w:firstRowLastColumn="0" w:lastRowFirstColumn="0" w:lastRowLastColumn="0"/>
              <w:rPr>
                <w:rFonts w:cs="Arial"/>
                <w:sz w:val="22"/>
              </w:rPr>
            </w:pPr>
            <w:r w:rsidRPr="0089388F">
              <w:rPr>
                <w:rFonts w:cs="Arial"/>
                <w:sz w:val="22"/>
              </w:rPr>
              <w:t>2.00%</w:t>
            </w:r>
          </w:p>
        </w:tc>
        <w:tc>
          <w:tcPr>
            <w:tcW w:w="1276" w:type="dxa"/>
          </w:tcPr>
          <w:p w14:paraId="5057B0B8" w14:textId="77777777" w:rsidR="005508B8" w:rsidRPr="0089388F" w:rsidRDefault="006D4139" w:rsidP="009E21FB">
            <w:pPr>
              <w:spacing w:after="0"/>
              <w:cnfStyle w:val="000000000000" w:firstRow="0" w:lastRow="0" w:firstColumn="0" w:lastColumn="0" w:oddVBand="0" w:evenVBand="0" w:oddHBand="0" w:evenHBand="0" w:firstRowFirstColumn="0" w:firstRowLastColumn="0" w:lastRowFirstColumn="0" w:lastRowLastColumn="0"/>
              <w:rPr>
                <w:rFonts w:cs="Arial"/>
                <w:sz w:val="22"/>
              </w:rPr>
            </w:pPr>
            <w:r w:rsidRPr="0089388F">
              <w:rPr>
                <w:rFonts w:cs="Arial"/>
                <w:sz w:val="22"/>
              </w:rPr>
              <w:t>-8.301</w:t>
            </w:r>
          </w:p>
        </w:tc>
        <w:tc>
          <w:tcPr>
            <w:tcW w:w="992" w:type="dxa"/>
          </w:tcPr>
          <w:p w14:paraId="4F23593C" w14:textId="77777777" w:rsidR="005508B8" w:rsidRPr="0089388F" w:rsidRDefault="006D4139" w:rsidP="009E21FB">
            <w:pPr>
              <w:spacing w:after="0"/>
              <w:cnfStyle w:val="000000000000" w:firstRow="0" w:lastRow="0" w:firstColumn="0" w:lastColumn="0" w:oddVBand="0" w:evenVBand="0" w:oddHBand="0" w:evenHBand="0" w:firstRowFirstColumn="0" w:firstRowLastColumn="0" w:lastRowFirstColumn="0" w:lastRowLastColumn="0"/>
              <w:rPr>
                <w:rFonts w:cs="Arial"/>
                <w:sz w:val="22"/>
              </w:rPr>
            </w:pPr>
            <w:r w:rsidRPr="0089388F">
              <w:rPr>
                <w:rFonts w:cs="Arial"/>
                <w:sz w:val="22"/>
              </w:rPr>
              <w:t>0.8340</w:t>
            </w:r>
          </w:p>
        </w:tc>
        <w:tc>
          <w:tcPr>
            <w:tcW w:w="851" w:type="dxa"/>
          </w:tcPr>
          <w:p w14:paraId="1A233D33" w14:textId="77777777" w:rsidR="005508B8" w:rsidRPr="0089388F" w:rsidRDefault="006D4139" w:rsidP="009E21FB">
            <w:pPr>
              <w:spacing w:after="0"/>
              <w:cnfStyle w:val="000000000000" w:firstRow="0" w:lastRow="0" w:firstColumn="0" w:lastColumn="0" w:oddVBand="0" w:evenVBand="0" w:oddHBand="0" w:evenHBand="0" w:firstRowFirstColumn="0" w:firstRowLastColumn="0" w:lastRowFirstColumn="0" w:lastRowLastColumn="0"/>
              <w:rPr>
                <w:rFonts w:cs="Arial"/>
                <w:sz w:val="22"/>
              </w:rPr>
            </w:pPr>
            <w:r w:rsidRPr="0089388F">
              <w:rPr>
                <w:rFonts w:cs="Arial"/>
                <w:sz w:val="22"/>
              </w:rPr>
              <w:t>3.26%</w:t>
            </w:r>
          </w:p>
        </w:tc>
      </w:tr>
      <w:tr w:rsidR="00AE6309" w:rsidRPr="0089388F" w14:paraId="4A34EE81" w14:textId="77777777" w:rsidTr="00893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3" w:type="dxa"/>
          </w:tcPr>
          <w:p w14:paraId="02CD59B2" w14:textId="77777777" w:rsidR="005508B8" w:rsidRPr="0089388F" w:rsidRDefault="006D4139" w:rsidP="009E21FB">
            <w:pPr>
              <w:spacing w:after="0"/>
              <w:rPr>
                <w:rFonts w:cs="Arial"/>
                <w:sz w:val="22"/>
              </w:rPr>
            </w:pPr>
            <w:r w:rsidRPr="0089388F">
              <w:rPr>
                <w:rFonts w:cs="Arial"/>
                <w:sz w:val="22"/>
              </w:rPr>
              <w:t>C</w:t>
            </w:r>
          </w:p>
        </w:tc>
        <w:tc>
          <w:tcPr>
            <w:tcW w:w="2223" w:type="dxa"/>
          </w:tcPr>
          <w:p w14:paraId="1AF6AF99" w14:textId="77777777" w:rsidR="005508B8" w:rsidRPr="0089388F" w:rsidRDefault="006D4139" w:rsidP="009E21FB">
            <w:pPr>
              <w:spacing w:after="0"/>
              <w:cnfStyle w:val="000000100000" w:firstRow="0" w:lastRow="0" w:firstColumn="0" w:lastColumn="0" w:oddVBand="0" w:evenVBand="0" w:oddHBand="1" w:evenHBand="0" w:firstRowFirstColumn="0" w:firstRowLastColumn="0" w:lastRowFirstColumn="0" w:lastRowLastColumn="0"/>
              <w:rPr>
                <w:rFonts w:cs="Arial"/>
                <w:sz w:val="22"/>
              </w:rPr>
            </w:pPr>
            <w:r w:rsidRPr="0089388F">
              <w:rPr>
                <w:rFonts w:cs="Arial"/>
                <w:sz w:val="22"/>
              </w:rPr>
              <w:t>3.60</w:t>
            </w:r>
          </w:p>
        </w:tc>
        <w:tc>
          <w:tcPr>
            <w:tcW w:w="1003" w:type="dxa"/>
          </w:tcPr>
          <w:p w14:paraId="04BB4154" w14:textId="77777777" w:rsidR="005508B8" w:rsidRPr="0089388F" w:rsidRDefault="006D4139" w:rsidP="009E21FB">
            <w:pPr>
              <w:spacing w:after="0"/>
              <w:cnfStyle w:val="000000100000" w:firstRow="0" w:lastRow="0" w:firstColumn="0" w:lastColumn="0" w:oddVBand="0" w:evenVBand="0" w:oddHBand="1" w:evenHBand="0" w:firstRowFirstColumn="0" w:firstRowLastColumn="0" w:lastRowFirstColumn="0" w:lastRowLastColumn="0"/>
              <w:rPr>
                <w:rFonts w:cs="Arial"/>
                <w:sz w:val="22"/>
              </w:rPr>
            </w:pPr>
            <w:r w:rsidRPr="0089388F">
              <w:rPr>
                <w:rFonts w:cs="Arial"/>
                <w:sz w:val="22"/>
              </w:rPr>
              <w:t>6.00%</w:t>
            </w:r>
          </w:p>
        </w:tc>
        <w:tc>
          <w:tcPr>
            <w:tcW w:w="1276" w:type="dxa"/>
          </w:tcPr>
          <w:p w14:paraId="1EC5D53C" w14:textId="77777777" w:rsidR="005508B8" w:rsidRPr="0089388F" w:rsidRDefault="006D4139" w:rsidP="009E21FB">
            <w:pPr>
              <w:spacing w:after="0"/>
              <w:cnfStyle w:val="000000100000" w:firstRow="0" w:lastRow="0" w:firstColumn="0" w:lastColumn="0" w:oddVBand="0" w:evenVBand="0" w:oddHBand="1" w:evenHBand="0" w:firstRowFirstColumn="0" w:firstRowLastColumn="0" w:lastRowFirstColumn="0" w:lastRowLastColumn="0"/>
              <w:rPr>
                <w:rFonts w:cs="Arial"/>
                <w:sz w:val="22"/>
              </w:rPr>
            </w:pPr>
            <w:r w:rsidRPr="0089388F">
              <w:rPr>
                <w:rFonts w:cs="Arial"/>
                <w:sz w:val="22"/>
              </w:rPr>
              <w:t>-1.984</w:t>
            </w:r>
          </w:p>
        </w:tc>
        <w:tc>
          <w:tcPr>
            <w:tcW w:w="992" w:type="dxa"/>
          </w:tcPr>
          <w:p w14:paraId="26922E99" w14:textId="77777777" w:rsidR="005508B8" w:rsidRPr="0089388F" w:rsidRDefault="006D4139" w:rsidP="009E21FB">
            <w:pPr>
              <w:spacing w:after="0"/>
              <w:cnfStyle w:val="000000100000" w:firstRow="0" w:lastRow="0" w:firstColumn="0" w:lastColumn="0" w:oddVBand="0" w:evenVBand="0" w:oddHBand="1" w:evenHBand="0" w:firstRowFirstColumn="0" w:firstRowLastColumn="0" w:lastRowFirstColumn="0" w:lastRowLastColumn="0"/>
              <w:rPr>
                <w:rFonts w:cs="Arial"/>
                <w:sz w:val="22"/>
              </w:rPr>
            </w:pPr>
            <w:r w:rsidRPr="0089388F">
              <w:rPr>
                <w:rFonts w:cs="Arial"/>
                <w:sz w:val="22"/>
              </w:rPr>
              <w:t>0.9603</w:t>
            </w:r>
          </w:p>
        </w:tc>
        <w:tc>
          <w:tcPr>
            <w:tcW w:w="851" w:type="dxa"/>
          </w:tcPr>
          <w:p w14:paraId="51126837" w14:textId="77777777" w:rsidR="005508B8" w:rsidRPr="0089388F" w:rsidRDefault="006D4139" w:rsidP="009E21FB">
            <w:pPr>
              <w:spacing w:after="0"/>
              <w:cnfStyle w:val="000000100000" w:firstRow="0" w:lastRow="0" w:firstColumn="0" w:lastColumn="0" w:oddVBand="0" w:evenVBand="0" w:oddHBand="1" w:evenHBand="0" w:firstRowFirstColumn="0" w:firstRowLastColumn="0" w:lastRowFirstColumn="0" w:lastRowLastColumn="0"/>
              <w:rPr>
                <w:rFonts w:cs="Arial"/>
                <w:sz w:val="22"/>
              </w:rPr>
            </w:pPr>
            <w:r w:rsidRPr="0089388F">
              <w:rPr>
                <w:rFonts w:cs="Arial"/>
                <w:sz w:val="22"/>
              </w:rPr>
              <w:t>8.59%</w:t>
            </w:r>
          </w:p>
        </w:tc>
      </w:tr>
    </w:tbl>
    <w:p w14:paraId="282D6554" w14:textId="41CAF5B1" w:rsidR="005508B8" w:rsidRPr="00A553B9" w:rsidRDefault="006D4139" w:rsidP="009E21FB">
      <w:pPr>
        <w:jc w:val="center"/>
        <w:rPr>
          <w:rFonts w:cs="Arial"/>
          <w:szCs w:val="24"/>
        </w:rPr>
      </w:pPr>
      <w:r w:rsidRPr="00A553B9">
        <w:rPr>
          <w:rFonts w:cs="Arial"/>
          <w:szCs w:val="24"/>
        </w:rPr>
        <w:t xml:space="preserve">Source: </w:t>
      </w:r>
      <w:r w:rsidR="00B121F5" w:rsidRPr="00A553B9">
        <w:rPr>
          <w:rFonts w:cs="Arial"/>
          <w:szCs w:val="24"/>
        </w:rPr>
        <w:t>A</w:t>
      </w:r>
      <w:r w:rsidRPr="00A553B9">
        <w:rPr>
          <w:rFonts w:cs="Arial"/>
          <w:szCs w:val="24"/>
        </w:rPr>
        <w:t xml:space="preserve">uthor’s </w:t>
      </w:r>
      <w:r w:rsidR="00B121F5" w:rsidRPr="00A553B9">
        <w:rPr>
          <w:rFonts w:cs="Arial"/>
          <w:szCs w:val="24"/>
        </w:rPr>
        <w:t>C</w:t>
      </w:r>
      <w:r w:rsidRPr="00A553B9">
        <w:rPr>
          <w:rFonts w:cs="Arial"/>
          <w:szCs w:val="24"/>
        </w:rPr>
        <w:t>alculations using the project cash flows and a 10% discount rate</w:t>
      </w:r>
    </w:p>
    <w:p w14:paraId="3A85391F" w14:textId="77777777" w:rsidR="00E715D8" w:rsidRPr="00A553B9" w:rsidRDefault="005D1FD2" w:rsidP="009E21FB">
      <w:pPr>
        <w:keepNext/>
        <w:jc w:val="center"/>
        <w:rPr>
          <w:rFonts w:cs="Arial"/>
          <w:szCs w:val="24"/>
        </w:rPr>
      </w:pPr>
      <w:r w:rsidRPr="00A553B9">
        <w:rPr>
          <w:rFonts w:cs="Arial"/>
          <w:noProof/>
          <w:szCs w:val="24"/>
        </w:rPr>
        <w:lastRenderedPageBreak/>
        <w:drawing>
          <wp:inline distT="0" distB="0" distL="0" distR="0" wp14:anchorId="3A3B266D" wp14:editId="1C61B5C2">
            <wp:extent cx="4572000" cy="2743200"/>
            <wp:effectExtent l="0" t="0" r="0" b="0"/>
            <wp:docPr id="350328194" name="Chart 1">
              <a:extLst xmlns:a="http://schemas.openxmlformats.org/drawingml/2006/main">
                <a:ext uri="{FF2B5EF4-FFF2-40B4-BE49-F238E27FC236}">
                  <a16:creationId xmlns:a16="http://schemas.microsoft.com/office/drawing/2014/main" id="{6F7C58CA-1F48-C503-5E7B-36C19E4064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0951284" w14:textId="7661650F" w:rsidR="005508B8" w:rsidRPr="00A553B9" w:rsidRDefault="00E715D8" w:rsidP="009E21FB">
      <w:pPr>
        <w:pStyle w:val="Caption"/>
        <w:spacing w:line="360" w:lineRule="auto"/>
        <w:jc w:val="center"/>
        <w:rPr>
          <w:rFonts w:cs="Arial"/>
          <w:color w:val="auto"/>
          <w:sz w:val="24"/>
          <w:szCs w:val="24"/>
        </w:rPr>
      </w:pPr>
      <w:bookmarkStart w:id="52" w:name="_Toc225717216"/>
      <w:r w:rsidRPr="00A553B9">
        <w:rPr>
          <w:rFonts w:cs="Arial"/>
          <w:color w:val="auto"/>
          <w:sz w:val="24"/>
          <w:szCs w:val="24"/>
        </w:rPr>
        <w:t xml:space="preserve">Figure </w:t>
      </w:r>
      <w:r w:rsidRPr="00A553B9">
        <w:rPr>
          <w:rFonts w:cs="Arial"/>
          <w:color w:val="auto"/>
          <w:sz w:val="24"/>
          <w:szCs w:val="24"/>
        </w:rPr>
        <w:fldChar w:fldCharType="begin"/>
      </w:r>
      <w:r w:rsidRPr="00A553B9">
        <w:rPr>
          <w:rFonts w:cs="Arial"/>
          <w:color w:val="auto"/>
          <w:sz w:val="24"/>
          <w:szCs w:val="24"/>
        </w:rPr>
        <w:instrText xml:space="preserve"> SEQ Figure \* ARABIC </w:instrText>
      </w:r>
      <w:r w:rsidRPr="00A553B9">
        <w:rPr>
          <w:rFonts w:cs="Arial"/>
          <w:color w:val="auto"/>
          <w:sz w:val="24"/>
          <w:szCs w:val="24"/>
        </w:rPr>
        <w:fldChar w:fldCharType="separate"/>
      </w:r>
      <w:r w:rsidR="00671256">
        <w:rPr>
          <w:rFonts w:cs="Arial"/>
          <w:noProof/>
          <w:color w:val="auto"/>
          <w:sz w:val="24"/>
          <w:szCs w:val="24"/>
        </w:rPr>
        <w:t>8</w:t>
      </w:r>
      <w:r w:rsidRPr="00A553B9">
        <w:rPr>
          <w:rFonts w:cs="Arial"/>
          <w:color w:val="auto"/>
          <w:sz w:val="24"/>
          <w:szCs w:val="24"/>
        </w:rPr>
        <w:fldChar w:fldCharType="end"/>
      </w:r>
      <w:r w:rsidRPr="00A553B9">
        <w:rPr>
          <w:rFonts w:cs="Arial"/>
          <w:color w:val="auto"/>
          <w:sz w:val="24"/>
          <w:szCs w:val="24"/>
        </w:rPr>
        <w:t>: Project NPVs at 10% discount rate</w:t>
      </w:r>
      <w:bookmarkEnd w:id="52"/>
    </w:p>
    <w:p w14:paraId="21F44B57" w14:textId="0F60DF77" w:rsidR="005508B8" w:rsidRPr="00A553B9" w:rsidRDefault="006D4139" w:rsidP="009E21FB">
      <w:pPr>
        <w:jc w:val="center"/>
        <w:rPr>
          <w:rFonts w:cs="Arial"/>
          <w:szCs w:val="24"/>
        </w:rPr>
      </w:pPr>
      <w:r w:rsidRPr="00A553B9">
        <w:rPr>
          <w:rFonts w:cs="Arial"/>
          <w:szCs w:val="24"/>
        </w:rPr>
        <w:t xml:space="preserve">Source: </w:t>
      </w:r>
      <w:r w:rsidR="005D1FD2" w:rsidRPr="00A553B9">
        <w:rPr>
          <w:rFonts w:cs="Arial"/>
          <w:szCs w:val="24"/>
        </w:rPr>
        <w:t>A</w:t>
      </w:r>
      <w:r w:rsidRPr="00A553B9">
        <w:rPr>
          <w:rFonts w:cs="Arial"/>
          <w:szCs w:val="24"/>
        </w:rPr>
        <w:t>uthor’s chart based on capital-budgeting calculations</w:t>
      </w:r>
    </w:p>
    <w:p w14:paraId="33FB05F9" w14:textId="47189A5E" w:rsidR="005508B8" w:rsidRPr="00A553B9" w:rsidRDefault="00657ADA" w:rsidP="009E21FB">
      <w:pPr>
        <w:pStyle w:val="Heading1"/>
        <w:jc w:val="center"/>
        <w:rPr>
          <w:rFonts w:ascii="Arial" w:hAnsi="Arial" w:cs="Arial"/>
          <w:color w:val="auto"/>
          <w:sz w:val="24"/>
          <w:szCs w:val="24"/>
        </w:rPr>
      </w:pPr>
      <w:bookmarkStart w:id="53" w:name="_Toc225717202"/>
      <w:r w:rsidRPr="00A553B9">
        <w:rPr>
          <w:rFonts w:ascii="Arial" w:hAnsi="Arial" w:cs="Arial"/>
          <w:color w:val="auto"/>
          <w:sz w:val="24"/>
          <w:szCs w:val="24"/>
        </w:rPr>
        <w:t>6. Conclusion</w:t>
      </w:r>
      <w:bookmarkEnd w:id="53"/>
    </w:p>
    <w:p w14:paraId="006DBFCF" w14:textId="175B5889" w:rsidR="00C34E37" w:rsidRPr="00A553B9" w:rsidRDefault="001A3A4D" w:rsidP="009E21FB">
      <w:pPr>
        <w:ind w:firstLine="720"/>
        <w:rPr>
          <w:rFonts w:cs="Arial"/>
          <w:szCs w:val="24"/>
        </w:rPr>
      </w:pPr>
      <w:r w:rsidRPr="00A553B9">
        <w:rPr>
          <w:rFonts w:cs="Arial"/>
          <w:szCs w:val="24"/>
        </w:rPr>
        <w:t xml:space="preserve">As this report demonstrates, </w:t>
      </w:r>
      <w:r w:rsidR="00F84EDC" w:rsidRPr="00A553B9">
        <w:rPr>
          <w:rFonts w:cs="Arial"/>
          <w:szCs w:val="24"/>
        </w:rPr>
        <w:t>Mercedes-Benz Group</w:t>
      </w:r>
      <w:r w:rsidRPr="00A553B9">
        <w:rPr>
          <w:rFonts w:cs="Arial"/>
          <w:szCs w:val="24"/>
        </w:rPr>
        <w:t xml:space="preserve"> is still financially significant, solvent</w:t>
      </w:r>
      <w:r w:rsidR="00D34C31" w:rsidRPr="00A553B9">
        <w:rPr>
          <w:rFonts w:cs="Arial"/>
          <w:szCs w:val="24"/>
        </w:rPr>
        <w:t>,</w:t>
      </w:r>
      <w:r w:rsidRPr="00A553B9">
        <w:rPr>
          <w:rFonts w:cs="Arial"/>
          <w:szCs w:val="24"/>
        </w:rPr>
        <w:t xml:space="preserve"> and relevant in the strategy, but </w:t>
      </w:r>
      <w:r w:rsidR="00D34C31" w:rsidRPr="00A553B9">
        <w:rPr>
          <w:rFonts w:cs="Arial"/>
          <w:szCs w:val="24"/>
        </w:rPr>
        <w:t xml:space="preserve">its </w:t>
      </w:r>
      <w:r w:rsidRPr="00A553B9">
        <w:rPr>
          <w:rFonts w:cs="Arial"/>
          <w:szCs w:val="24"/>
        </w:rPr>
        <w:t>financial profile has deteriorated significantly since the peak of 2022. The level of revenue has been held constant, operating cash flow is positive</w:t>
      </w:r>
      <w:r w:rsidR="00D34C31" w:rsidRPr="00A553B9">
        <w:rPr>
          <w:rFonts w:cs="Arial"/>
          <w:szCs w:val="24"/>
        </w:rPr>
        <w:t>,</w:t>
      </w:r>
      <w:r w:rsidRPr="00A553B9">
        <w:rPr>
          <w:rFonts w:cs="Arial"/>
          <w:szCs w:val="24"/>
        </w:rPr>
        <w:t xml:space="preserve"> and leverage is moderate. These are significant strengths. Nevertheless, the overwhelming tendency is not the increase in value quality but the decrease in value quality. All indicators of gross margin, net margin, ROA, ROE</w:t>
      </w:r>
      <w:r w:rsidR="00D34C31" w:rsidRPr="00A553B9">
        <w:rPr>
          <w:rFonts w:cs="Arial"/>
          <w:szCs w:val="24"/>
        </w:rPr>
        <w:t>,</w:t>
      </w:r>
      <w:r w:rsidRPr="00A553B9">
        <w:rPr>
          <w:rFonts w:cs="Arial"/>
          <w:szCs w:val="24"/>
        </w:rPr>
        <w:t xml:space="preserve"> and asset turnover declined, which means that </w:t>
      </w:r>
      <w:r w:rsidR="00F84EDC" w:rsidRPr="00A553B9">
        <w:rPr>
          <w:rFonts w:cs="Arial"/>
          <w:szCs w:val="24"/>
        </w:rPr>
        <w:t>Mercedes-Benz Group</w:t>
      </w:r>
      <w:r w:rsidRPr="00A553B9">
        <w:rPr>
          <w:rFonts w:cs="Arial"/>
          <w:szCs w:val="24"/>
        </w:rPr>
        <w:t xml:space="preserve"> is making lower returns on </w:t>
      </w:r>
      <w:r w:rsidR="00D34C31" w:rsidRPr="00A553B9">
        <w:rPr>
          <w:rFonts w:cs="Arial"/>
          <w:szCs w:val="24"/>
        </w:rPr>
        <w:t xml:space="preserve">a </w:t>
      </w:r>
      <w:r w:rsidRPr="00A553B9">
        <w:rPr>
          <w:rFonts w:cs="Arial"/>
          <w:szCs w:val="24"/>
        </w:rPr>
        <w:t xml:space="preserve">greater capital base. The strategic finance issue </w:t>
      </w:r>
      <w:r w:rsidR="00D34C31" w:rsidRPr="00A553B9">
        <w:rPr>
          <w:rFonts w:cs="Arial"/>
          <w:szCs w:val="24"/>
        </w:rPr>
        <w:t xml:space="preserve">is </w:t>
      </w:r>
      <w:r w:rsidRPr="00A553B9">
        <w:rPr>
          <w:rFonts w:cs="Arial"/>
          <w:szCs w:val="24"/>
        </w:rPr>
        <w:t xml:space="preserve">that the company is suffering a downward trend </w:t>
      </w:r>
      <w:r w:rsidR="00D34C31" w:rsidRPr="00A553B9">
        <w:rPr>
          <w:rFonts w:cs="Arial"/>
          <w:szCs w:val="24"/>
        </w:rPr>
        <w:t>i</w:t>
      </w:r>
      <w:r w:rsidRPr="00A553B9">
        <w:rPr>
          <w:rFonts w:cs="Arial"/>
          <w:szCs w:val="24"/>
        </w:rPr>
        <w:t>n capital productivity as opposed to a solvency issue.</w:t>
      </w:r>
    </w:p>
    <w:p w14:paraId="33D61A95" w14:textId="561EAC97" w:rsidR="00A31B8F" w:rsidRPr="00A553B9" w:rsidRDefault="001A3A4D" w:rsidP="00A31B8F">
      <w:pPr>
        <w:ind w:firstLine="720"/>
        <w:rPr>
          <w:rFonts w:cs="Arial"/>
          <w:szCs w:val="24"/>
        </w:rPr>
      </w:pPr>
      <w:r w:rsidRPr="00A553B9">
        <w:rPr>
          <w:rFonts w:cs="Arial"/>
          <w:szCs w:val="24"/>
        </w:rPr>
        <w:t xml:space="preserve">This conclusion is supported in the working-capital analysis. </w:t>
      </w:r>
      <w:r w:rsidR="00F84EDC" w:rsidRPr="00A553B9">
        <w:rPr>
          <w:rFonts w:cs="Arial"/>
          <w:szCs w:val="24"/>
        </w:rPr>
        <w:t>Mercedes-Benz Group</w:t>
      </w:r>
      <w:r w:rsidR="00A31B8F" w:rsidRPr="00A553B9">
        <w:rPr>
          <w:rFonts w:cs="Arial"/>
          <w:szCs w:val="24"/>
        </w:rPr>
        <w:t>’s cash operating cycle is not a problem, but it is already higher than what it was in 2022 because the rate of inventory turnover has slowed</w:t>
      </w:r>
      <w:r w:rsidR="007D627A" w:rsidRPr="00A553B9">
        <w:rPr>
          <w:rFonts w:cs="Arial"/>
          <w:szCs w:val="24"/>
        </w:rPr>
        <w:t>,</w:t>
      </w:r>
      <w:r w:rsidR="00A31B8F" w:rsidRPr="00A553B9">
        <w:rPr>
          <w:rFonts w:cs="Arial"/>
          <w:szCs w:val="24"/>
        </w:rPr>
        <w:t xml:space="preserve"> and the rate of receivables collection is slower. This does not threaten its survival in the short term</w:t>
      </w:r>
      <w:r w:rsidR="007D627A" w:rsidRPr="00A553B9">
        <w:rPr>
          <w:rFonts w:cs="Arial"/>
          <w:szCs w:val="24"/>
        </w:rPr>
        <w:t>;</w:t>
      </w:r>
      <w:r w:rsidR="00A31B8F" w:rsidRPr="00A553B9">
        <w:rPr>
          <w:rFonts w:cs="Arial"/>
          <w:szCs w:val="24"/>
        </w:rPr>
        <w:t xml:space="preserve"> however</w:t>
      </w:r>
      <w:r w:rsidR="007D627A" w:rsidRPr="00A553B9">
        <w:rPr>
          <w:rFonts w:cs="Arial"/>
          <w:szCs w:val="24"/>
        </w:rPr>
        <w:t>,</w:t>
      </w:r>
      <w:r w:rsidR="00A31B8F" w:rsidRPr="00A553B9">
        <w:rPr>
          <w:rFonts w:cs="Arial"/>
          <w:szCs w:val="24"/>
        </w:rPr>
        <w:t xml:space="preserve"> it reduces its cash efficiency during a period when profitability is under stress. The solution, which contains the greatest water, is tightened inventory segmentation, prevention of receivables in advance, and more sophisticated schemes of supply-chain funding rather than relying on short-term external financing.</w:t>
      </w:r>
    </w:p>
    <w:p w14:paraId="37C68598" w14:textId="51CAA140" w:rsidR="00A31B8F" w:rsidRPr="00A553B9" w:rsidRDefault="00A31B8F" w:rsidP="00A31B8F">
      <w:pPr>
        <w:ind w:firstLine="720"/>
        <w:rPr>
          <w:rFonts w:cs="Arial"/>
          <w:szCs w:val="24"/>
        </w:rPr>
      </w:pPr>
      <w:r w:rsidRPr="00A553B9">
        <w:rPr>
          <w:rFonts w:cs="Arial"/>
          <w:szCs w:val="24"/>
        </w:rPr>
        <w:t xml:space="preserve">This reorganization plan proposed is not radical but concentrated. </w:t>
      </w:r>
      <w:r w:rsidR="00F84EDC" w:rsidRPr="00A553B9">
        <w:rPr>
          <w:rFonts w:cs="Arial"/>
          <w:szCs w:val="24"/>
        </w:rPr>
        <w:t>Mercedes-Benz Group</w:t>
      </w:r>
      <w:r w:rsidRPr="00A553B9">
        <w:rPr>
          <w:rFonts w:cs="Arial"/>
          <w:szCs w:val="24"/>
        </w:rPr>
        <w:t xml:space="preserve"> should rationalize low-value assets, selective technolog</w:t>
      </w:r>
      <w:r w:rsidR="007D627A" w:rsidRPr="00A553B9">
        <w:rPr>
          <w:rFonts w:cs="Arial"/>
          <w:szCs w:val="24"/>
        </w:rPr>
        <w:t>y-</w:t>
      </w:r>
      <w:r w:rsidRPr="00A553B9">
        <w:rPr>
          <w:rFonts w:cs="Arial"/>
          <w:szCs w:val="24"/>
        </w:rPr>
        <w:t xml:space="preserve">based </w:t>
      </w:r>
      <w:r w:rsidRPr="00A553B9">
        <w:rPr>
          <w:rFonts w:cs="Arial"/>
          <w:szCs w:val="24"/>
        </w:rPr>
        <w:lastRenderedPageBreak/>
        <w:t>partnerships, equity as a contingency</w:t>
      </w:r>
      <w:r w:rsidR="007D627A" w:rsidRPr="00A553B9">
        <w:rPr>
          <w:rFonts w:cs="Arial"/>
          <w:szCs w:val="24"/>
        </w:rPr>
        <w:t>,</w:t>
      </w:r>
      <w:r w:rsidRPr="00A553B9">
        <w:rPr>
          <w:rFonts w:cs="Arial"/>
          <w:szCs w:val="24"/>
        </w:rPr>
        <w:t xml:space="preserve"> and not an immediate tool</w:t>
      </w:r>
      <w:r w:rsidR="007D627A" w:rsidRPr="00A553B9">
        <w:rPr>
          <w:rFonts w:cs="Arial"/>
          <w:szCs w:val="24"/>
        </w:rPr>
        <w:t>,</w:t>
      </w:r>
      <w:r w:rsidRPr="00A553B9">
        <w:rPr>
          <w:rFonts w:cs="Arial"/>
          <w:szCs w:val="24"/>
        </w:rPr>
        <w:t xml:space="preserve"> and maximi</w:t>
      </w:r>
      <w:r w:rsidR="00381F70" w:rsidRPr="00A553B9">
        <w:rPr>
          <w:rFonts w:cs="Arial"/>
          <w:szCs w:val="24"/>
        </w:rPr>
        <w:t>z</w:t>
      </w:r>
      <w:r w:rsidRPr="00A553B9">
        <w:rPr>
          <w:rFonts w:cs="Arial"/>
          <w:szCs w:val="24"/>
        </w:rPr>
        <w:t>e debt structure in order to maintain flexibility. All the international exposure, ethical sourcing, tax transparency</w:t>
      </w:r>
      <w:r w:rsidR="00381F70" w:rsidRPr="00A553B9">
        <w:rPr>
          <w:rFonts w:cs="Arial"/>
          <w:szCs w:val="24"/>
        </w:rPr>
        <w:t>,</w:t>
      </w:r>
      <w:r w:rsidRPr="00A553B9">
        <w:rPr>
          <w:rFonts w:cs="Arial"/>
          <w:szCs w:val="24"/>
        </w:rPr>
        <w:t xml:space="preserve"> and sustainability governance should be retained in the plan because they will define the operating resilience and cost of capital.</w:t>
      </w:r>
    </w:p>
    <w:p w14:paraId="24FC03C6" w14:textId="2D157C3F" w:rsidR="001454B7" w:rsidRPr="0089388F" w:rsidRDefault="00A31B8F" w:rsidP="0089388F">
      <w:pPr>
        <w:ind w:firstLine="720"/>
        <w:rPr>
          <w:rFonts w:cs="Arial"/>
          <w:szCs w:val="24"/>
        </w:rPr>
      </w:pPr>
      <w:r w:rsidRPr="00A553B9">
        <w:rPr>
          <w:rFonts w:cs="Arial"/>
          <w:szCs w:val="24"/>
        </w:rPr>
        <w:t>Finally, it is reflected in the evidence of the capital</w:t>
      </w:r>
      <w:r w:rsidR="00381F70" w:rsidRPr="00A553B9">
        <w:rPr>
          <w:rFonts w:cs="Arial"/>
          <w:szCs w:val="24"/>
        </w:rPr>
        <w:t xml:space="preserve"> </w:t>
      </w:r>
      <w:r w:rsidRPr="00A553B9">
        <w:rPr>
          <w:rFonts w:cs="Arial"/>
          <w:szCs w:val="24"/>
        </w:rPr>
        <w:t>budgeting.</w:t>
      </w:r>
      <w:r w:rsidR="001A3A4D" w:rsidRPr="00A553B9">
        <w:rPr>
          <w:rFonts w:cs="Arial"/>
          <w:szCs w:val="24"/>
        </w:rPr>
        <w:t xml:space="preserve"> Projects A, B</w:t>
      </w:r>
      <w:r w:rsidR="00D34C31" w:rsidRPr="00A553B9">
        <w:rPr>
          <w:rFonts w:cs="Arial"/>
          <w:szCs w:val="24"/>
        </w:rPr>
        <w:t>,</w:t>
      </w:r>
      <w:r w:rsidR="001A3A4D" w:rsidRPr="00A553B9">
        <w:rPr>
          <w:rFonts w:cs="Arial"/>
          <w:szCs w:val="24"/>
        </w:rPr>
        <w:t xml:space="preserve"> and C all have negative NPV at 10% discount rate, and therefore, the decision taken that is financially right is to reject them all. In case of strategic compulsion</w:t>
      </w:r>
      <w:r w:rsidR="00D34C31" w:rsidRPr="00A553B9">
        <w:rPr>
          <w:rFonts w:cs="Arial"/>
          <w:szCs w:val="24"/>
        </w:rPr>
        <w:t>,</w:t>
      </w:r>
      <w:r w:rsidR="001A3A4D" w:rsidRPr="00A553B9">
        <w:rPr>
          <w:rFonts w:cs="Arial"/>
          <w:szCs w:val="24"/>
        </w:rPr>
        <w:t xml:space="preserve"> when one has to invest, Project C is the best individual project, and B plus C is the weakest combination of two projects when one is forced to keep the damaging investment of £100 million. Disciplined selectivity is the general CFO recommendation: guard the liquidity, recover returns</w:t>
      </w:r>
      <w:r w:rsidR="00D34C31" w:rsidRPr="00A553B9">
        <w:rPr>
          <w:rFonts w:cs="Arial"/>
          <w:szCs w:val="24"/>
        </w:rPr>
        <w:t>,</w:t>
      </w:r>
      <w:r w:rsidR="001A3A4D" w:rsidRPr="00A553B9">
        <w:rPr>
          <w:rFonts w:cs="Arial"/>
          <w:szCs w:val="24"/>
        </w:rPr>
        <w:t xml:space="preserve"> and only invest where capital can be made to earn its price in a clear strategic purpose</w:t>
      </w:r>
      <w:r w:rsidR="0089388F">
        <w:rPr>
          <w:rFonts w:cs="Arial"/>
          <w:szCs w:val="24"/>
        </w:rPr>
        <w:t>.</w:t>
      </w:r>
    </w:p>
    <w:p w14:paraId="55C2CAD5" w14:textId="25502745" w:rsidR="005508B8" w:rsidRPr="00A553B9" w:rsidRDefault="00657ADA" w:rsidP="009E21FB">
      <w:pPr>
        <w:pStyle w:val="Heading1"/>
        <w:jc w:val="center"/>
        <w:rPr>
          <w:rFonts w:ascii="Arial" w:hAnsi="Arial" w:cs="Arial"/>
          <w:color w:val="auto"/>
          <w:sz w:val="24"/>
          <w:szCs w:val="24"/>
        </w:rPr>
      </w:pPr>
      <w:bookmarkStart w:id="54" w:name="_Toc225717203"/>
      <w:r w:rsidRPr="00A553B9">
        <w:rPr>
          <w:rFonts w:ascii="Arial" w:hAnsi="Arial" w:cs="Arial"/>
          <w:color w:val="auto"/>
          <w:sz w:val="24"/>
          <w:szCs w:val="24"/>
        </w:rPr>
        <w:t>7. References</w:t>
      </w:r>
      <w:bookmarkEnd w:id="54"/>
    </w:p>
    <w:p w14:paraId="21D8EE22" w14:textId="6D5211BC" w:rsidR="007E30F9" w:rsidRDefault="003C3321" w:rsidP="007E30F9">
      <w:pPr>
        <w:pStyle w:val="NormalWeb"/>
        <w:spacing w:before="0" w:beforeAutospacing="0" w:after="0" w:afterAutospacing="0" w:line="480" w:lineRule="auto"/>
        <w:ind w:left="720" w:hanging="720"/>
        <w:rPr>
          <w:rFonts w:ascii="Arial" w:hAnsi="Arial" w:cs="Arial"/>
        </w:rPr>
      </w:pPr>
      <w:r>
        <w:rPr>
          <w:rFonts w:ascii="Arial" w:hAnsi="Arial" w:cs="Arial"/>
        </w:rPr>
        <w:t xml:space="preserve">Akbar, A. </w:t>
      </w:r>
      <w:r>
        <w:rPr>
          <w:rFonts w:ascii="Arial" w:hAnsi="Arial" w:cs="Arial"/>
          <w:i/>
          <w:iCs/>
        </w:rPr>
        <w:t>et al.</w:t>
      </w:r>
      <w:r>
        <w:rPr>
          <w:rFonts w:ascii="Arial" w:hAnsi="Arial" w:cs="Arial"/>
        </w:rPr>
        <w:t xml:space="preserve"> (2021) 'Does working capital management influence operating and market risk of firms?,' </w:t>
      </w:r>
      <w:r>
        <w:rPr>
          <w:rFonts w:ascii="Arial" w:hAnsi="Arial" w:cs="Arial"/>
          <w:i/>
          <w:iCs/>
        </w:rPr>
        <w:t>Risks</w:t>
      </w:r>
      <w:r>
        <w:rPr>
          <w:rFonts w:ascii="Arial" w:hAnsi="Arial" w:cs="Arial"/>
        </w:rPr>
        <w:t xml:space="preserve">, 9(11), p. 201. </w:t>
      </w:r>
      <w:hyperlink r:id="rId17" w:history="1">
        <w:r w:rsidR="007E30F9" w:rsidRPr="00706F52">
          <w:rPr>
            <w:rStyle w:val="Hyperlink"/>
            <w:rFonts w:ascii="Arial" w:hAnsi="Arial" w:cs="Arial"/>
          </w:rPr>
          <w:t>https://doi.org/10.3390/risks9110201</w:t>
        </w:r>
      </w:hyperlink>
      <w:r>
        <w:rPr>
          <w:rFonts w:ascii="Arial" w:hAnsi="Arial" w:cs="Arial"/>
        </w:rPr>
        <w:t>.</w:t>
      </w:r>
    </w:p>
    <w:p w14:paraId="4C19E1F2" w14:textId="21F3D256" w:rsidR="007E30F9" w:rsidRPr="007E30F9" w:rsidRDefault="003C3321" w:rsidP="007E30F9">
      <w:pPr>
        <w:pStyle w:val="NormalWeb"/>
        <w:spacing w:before="0" w:beforeAutospacing="0" w:after="0" w:afterAutospacing="0" w:line="480" w:lineRule="auto"/>
        <w:ind w:left="720" w:hanging="720"/>
        <w:rPr>
          <w:rFonts w:ascii="Arial" w:hAnsi="Arial" w:cs="Arial"/>
        </w:rPr>
      </w:pPr>
      <w:r>
        <w:rPr>
          <w:rFonts w:ascii="Arial" w:hAnsi="Arial" w:cs="Arial"/>
        </w:rPr>
        <w:t xml:space="preserve">Alarussi, A.S.A. (2021) 'Financial ratios and efficiency in Malaysian listed companies,' </w:t>
      </w:r>
      <w:r>
        <w:rPr>
          <w:rFonts w:ascii="Arial" w:hAnsi="Arial" w:cs="Arial"/>
          <w:i/>
          <w:iCs/>
        </w:rPr>
        <w:t>Asian Journal of Economics and Banking</w:t>
      </w:r>
      <w:r>
        <w:rPr>
          <w:rFonts w:ascii="Arial" w:hAnsi="Arial" w:cs="Arial"/>
        </w:rPr>
        <w:t xml:space="preserve">, 5(2), pp. 116–135. </w:t>
      </w:r>
      <w:hyperlink r:id="rId18" w:history="1">
        <w:r w:rsidR="007E30F9" w:rsidRPr="00706F52">
          <w:rPr>
            <w:rStyle w:val="Hyperlink"/>
            <w:rFonts w:ascii="Arial" w:hAnsi="Arial" w:cs="Arial"/>
          </w:rPr>
          <w:t>https://doi.org/10.1108/ajeb-06-2020-0014</w:t>
        </w:r>
      </w:hyperlink>
      <w:r>
        <w:rPr>
          <w:rFonts w:ascii="Arial" w:hAnsi="Arial" w:cs="Arial"/>
        </w:rPr>
        <w:t>.</w:t>
      </w:r>
    </w:p>
    <w:p w14:paraId="7C043B13" w14:textId="1D511EDE" w:rsidR="007E30F9" w:rsidRDefault="003C3321" w:rsidP="007E30F9">
      <w:pPr>
        <w:pStyle w:val="NormalWeb"/>
        <w:spacing w:before="0" w:beforeAutospacing="0" w:after="0" w:afterAutospacing="0" w:line="480" w:lineRule="auto"/>
        <w:ind w:left="720" w:hanging="720"/>
        <w:rPr>
          <w:rFonts w:ascii="Arial" w:hAnsi="Arial" w:cs="Arial"/>
        </w:rPr>
      </w:pPr>
      <w:r>
        <w:rPr>
          <w:rFonts w:ascii="Arial" w:hAnsi="Arial" w:cs="Arial"/>
        </w:rPr>
        <w:t xml:space="preserve">Arhinful, R. and Radmehr, M. (2023) 'The effect of financial leverage on financial performance: evidence from non-financial institutions listed on the Tokyo stock market,' </w:t>
      </w:r>
      <w:r>
        <w:rPr>
          <w:rFonts w:ascii="Arial" w:hAnsi="Arial" w:cs="Arial"/>
          <w:i/>
          <w:iCs/>
        </w:rPr>
        <w:t>Journal of Capital Markets Studies</w:t>
      </w:r>
      <w:r>
        <w:rPr>
          <w:rFonts w:ascii="Arial" w:hAnsi="Arial" w:cs="Arial"/>
        </w:rPr>
        <w:t xml:space="preserve">, 7(1), pp. 53–71. </w:t>
      </w:r>
      <w:hyperlink r:id="rId19" w:history="1">
        <w:r w:rsidR="007E30F9" w:rsidRPr="00706F52">
          <w:rPr>
            <w:rStyle w:val="Hyperlink"/>
            <w:rFonts w:ascii="Arial" w:hAnsi="Arial" w:cs="Arial"/>
          </w:rPr>
          <w:t>https://doi.org/10.1108/jcms-10-2022-0038</w:t>
        </w:r>
      </w:hyperlink>
      <w:r>
        <w:rPr>
          <w:rFonts w:ascii="Arial" w:hAnsi="Arial" w:cs="Arial"/>
        </w:rPr>
        <w:t>.</w:t>
      </w:r>
    </w:p>
    <w:p w14:paraId="2B0BB71C" w14:textId="763C227E" w:rsidR="00C027FD" w:rsidRDefault="003C3321" w:rsidP="007E30F9">
      <w:pPr>
        <w:pStyle w:val="NormalWeb"/>
        <w:spacing w:before="0" w:beforeAutospacing="0" w:after="0" w:afterAutospacing="0" w:line="480" w:lineRule="auto"/>
        <w:ind w:left="720" w:hanging="720"/>
        <w:rPr>
          <w:rFonts w:ascii="Arial" w:hAnsi="Arial" w:cs="Arial"/>
        </w:rPr>
      </w:pPr>
      <w:r w:rsidRPr="003C3321">
        <w:rPr>
          <w:rFonts w:ascii="Arial" w:hAnsi="Arial" w:cs="Arial"/>
        </w:rPr>
        <w:t xml:space="preserve">Basyith, A., Djazuli, A. and Fauzi, F. (2021) 'Does Working Capital Management Affect Profitability? Empirical Evidence from Indonesia Listed Firms,' Asian Economic and Financial Review, 11(3), pp. 236–251. </w:t>
      </w:r>
      <w:hyperlink r:id="rId20" w:history="1">
        <w:r w:rsidR="00C027FD" w:rsidRPr="00706F52">
          <w:rPr>
            <w:rStyle w:val="Hyperlink"/>
            <w:rFonts w:ascii="Arial" w:hAnsi="Arial" w:cs="Arial"/>
          </w:rPr>
          <w:t>https://doi.org/10.18488/journal.aefr.2021.113.236.251</w:t>
        </w:r>
      </w:hyperlink>
    </w:p>
    <w:p w14:paraId="05102C15" w14:textId="0A291887" w:rsidR="007E30F9" w:rsidRDefault="003C3321" w:rsidP="007E30F9">
      <w:pPr>
        <w:pStyle w:val="NormalWeb"/>
        <w:spacing w:before="0" w:beforeAutospacing="0" w:after="0" w:afterAutospacing="0" w:line="480" w:lineRule="auto"/>
        <w:ind w:left="720" w:hanging="720"/>
        <w:rPr>
          <w:rFonts w:ascii="Arial" w:hAnsi="Arial" w:cs="Arial"/>
        </w:rPr>
      </w:pPr>
      <w:r>
        <w:rPr>
          <w:rFonts w:ascii="Arial" w:hAnsi="Arial" w:cs="Arial"/>
        </w:rPr>
        <w:t xml:space="preserve">Boisjoly, R.P., Conine, T.E. and McDonald, M.B. (2019) 'Working capital management: Financial and valuation impacts,' </w:t>
      </w:r>
      <w:r>
        <w:rPr>
          <w:rFonts w:ascii="Arial" w:hAnsi="Arial" w:cs="Arial"/>
          <w:i/>
          <w:iCs/>
        </w:rPr>
        <w:t>Journal of Business Research</w:t>
      </w:r>
      <w:r>
        <w:rPr>
          <w:rFonts w:ascii="Arial" w:hAnsi="Arial" w:cs="Arial"/>
        </w:rPr>
        <w:t xml:space="preserve">, 108, pp. 1–8. </w:t>
      </w:r>
      <w:hyperlink r:id="rId21" w:history="1">
        <w:r w:rsidR="007E30F9" w:rsidRPr="00706F52">
          <w:rPr>
            <w:rStyle w:val="Hyperlink"/>
            <w:rFonts w:ascii="Arial" w:hAnsi="Arial" w:cs="Arial"/>
          </w:rPr>
          <w:t>https://doi.org/10.1016/j.jbusres.2019.09.025</w:t>
        </w:r>
      </w:hyperlink>
      <w:r>
        <w:rPr>
          <w:rFonts w:ascii="Arial" w:hAnsi="Arial" w:cs="Arial"/>
        </w:rPr>
        <w:t>.</w:t>
      </w:r>
    </w:p>
    <w:p w14:paraId="1BB590DB" w14:textId="6FCC20B8" w:rsidR="007E30F9" w:rsidRDefault="00C027FD" w:rsidP="007E30F9">
      <w:pPr>
        <w:pStyle w:val="NormalWeb"/>
        <w:spacing w:before="0" w:beforeAutospacing="0" w:after="0" w:afterAutospacing="0" w:line="480" w:lineRule="auto"/>
        <w:ind w:left="720" w:hanging="720"/>
        <w:rPr>
          <w:rFonts w:ascii="Arial" w:hAnsi="Arial" w:cs="Arial"/>
        </w:rPr>
      </w:pPr>
      <w:r w:rsidRPr="00C027FD">
        <w:rPr>
          <w:rFonts w:ascii="Arial" w:hAnsi="Arial" w:cs="Arial"/>
        </w:rPr>
        <w:lastRenderedPageBreak/>
        <w:t>International Energy Agency (IEA) (2025) Global EV Outlook 2025. Paris: IEA.</w:t>
      </w:r>
    </w:p>
    <w:p w14:paraId="08828F07" w14:textId="09018E1C" w:rsidR="00C027FD" w:rsidRDefault="003C3321" w:rsidP="007E30F9">
      <w:pPr>
        <w:pStyle w:val="NormalWeb"/>
        <w:spacing w:before="0" w:beforeAutospacing="0" w:after="0" w:afterAutospacing="0" w:line="480" w:lineRule="auto"/>
        <w:ind w:left="720" w:hanging="720"/>
        <w:rPr>
          <w:rFonts w:ascii="Arial" w:hAnsi="Arial" w:cs="Arial"/>
        </w:rPr>
      </w:pPr>
      <w:r>
        <w:rPr>
          <w:rFonts w:ascii="Arial" w:hAnsi="Arial" w:cs="Arial"/>
        </w:rPr>
        <w:t>Jones, B., Nguyen</w:t>
      </w:r>
      <w:r>
        <w:rPr>
          <w:rFonts w:ascii="Cambria Math" w:hAnsi="Cambria Math" w:cs="Cambria Math"/>
        </w:rPr>
        <w:t>‐</w:t>
      </w:r>
      <w:r>
        <w:rPr>
          <w:rFonts w:ascii="Arial" w:hAnsi="Arial" w:cs="Arial"/>
        </w:rPr>
        <w:t xml:space="preserve">Tien, V. and Elliott, R.J.R. (2022) 'The electric vehicle revolution: Critical material supply chains, trade and development,' </w:t>
      </w:r>
      <w:r>
        <w:rPr>
          <w:rFonts w:ascii="Arial" w:hAnsi="Arial" w:cs="Arial"/>
          <w:i/>
          <w:iCs/>
        </w:rPr>
        <w:t>World Economy</w:t>
      </w:r>
      <w:r>
        <w:rPr>
          <w:rFonts w:ascii="Arial" w:hAnsi="Arial" w:cs="Arial"/>
        </w:rPr>
        <w:t xml:space="preserve">, 46(1), pp. 2–26. </w:t>
      </w:r>
      <w:hyperlink r:id="rId22" w:history="1">
        <w:r w:rsidR="00C027FD" w:rsidRPr="00706F52">
          <w:rPr>
            <w:rStyle w:val="Hyperlink"/>
            <w:rFonts w:ascii="Arial" w:hAnsi="Arial" w:cs="Arial"/>
          </w:rPr>
          <w:t>https://doi.org/10.1111/twec.13345</w:t>
        </w:r>
      </w:hyperlink>
      <w:r>
        <w:rPr>
          <w:rFonts w:ascii="Arial" w:hAnsi="Arial" w:cs="Arial"/>
        </w:rPr>
        <w:t>.</w:t>
      </w:r>
    </w:p>
    <w:p w14:paraId="70AFEAA2" w14:textId="1FA5E92B" w:rsidR="00C027FD" w:rsidRDefault="003C3321" w:rsidP="00C027FD">
      <w:pPr>
        <w:pStyle w:val="NormalWeb"/>
        <w:spacing w:before="0" w:beforeAutospacing="0" w:after="0" w:afterAutospacing="0" w:line="480" w:lineRule="auto"/>
        <w:ind w:left="720" w:hanging="720"/>
        <w:rPr>
          <w:rFonts w:ascii="Arial" w:hAnsi="Arial" w:cs="Arial"/>
        </w:rPr>
      </w:pPr>
      <w:r>
        <w:rPr>
          <w:rFonts w:ascii="Arial" w:hAnsi="Arial" w:cs="Arial"/>
        </w:rPr>
        <w:t xml:space="preserve">Kling, G. </w:t>
      </w:r>
      <w:r>
        <w:rPr>
          <w:rFonts w:ascii="Arial" w:hAnsi="Arial" w:cs="Arial"/>
          <w:i/>
          <w:iCs/>
        </w:rPr>
        <w:t>et al.</w:t>
      </w:r>
      <w:r>
        <w:rPr>
          <w:rFonts w:ascii="Arial" w:hAnsi="Arial" w:cs="Arial"/>
        </w:rPr>
        <w:t xml:space="preserve"> (2020) 'The impact of climate vulnerability on firms’ cost of capital and access to finance,' </w:t>
      </w:r>
      <w:r>
        <w:rPr>
          <w:rFonts w:ascii="Arial" w:hAnsi="Arial" w:cs="Arial"/>
          <w:i/>
          <w:iCs/>
        </w:rPr>
        <w:t>World Development</w:t>
      </w:r>
      <w:r>
        <w:rPr>
          <w:rFonts w:ascii="Arial" w:hAnsi="Arial" w:cs="Arial"/>
        </w:rPr>
        <w:t xml:space="preserve">, 137, p. 105131. </w:t>
      </w:r>
      <w:hyperlink r:id="rId23" w:history="1">
        <w:r w:rsidR="00C027FD" w:rsidRPr="00706F52">
          <w:rPr>
            <w:rStyle w:val="Hyperlink"/>
            <w:rFonts w:ascii="Arial" w:hAnsi="Arial" w:cs="Arial"/>
          </w:rPr>
          <w:t>https://doi.org/10.1016/j.worlddev.2020.105131</w:t>
        </w:r>
      </w:hyperlink>
      <w:r>
        <w:rPr>
          <w:rFonts w:ascii="Arial" w:hAnsi="Arial" w:cs="Arial"/>
        </w:rPr>
        <w:t>.</w:t>
      </w:r>
    </w:p>
    <w:p w14:paraId="258E1782" w14:textId="77777777" w:rsidR="007E30F9" w:rsidRPr="007E30F9" w:rsidRDefault="007E30F9" w:rsidP="007E30F9">
      <w:pPr>
        <w:pStyle w:val="NormalWeb"/>
        <w:spacing w:after="0" w:line="480" w:lineRule="auto"/>
        <w:ind w:left="720" w:hanging="720"/>
        <w:rPr>
          <w:rFonts w:ascii="Arial" w:hAnsi="Arial" w:cs="Arial"/>
        </w:rPr>
      </w:pPr>
      <w:r w:rsidRPr="007E30F9">
        <w:rPr>
          <w:rFonts w:ascii="Arial" w:hAnsi="Arial" w:cs="Arial"/>
        </w:rPr>
        <w:t>Mejorado, A. and Roman, M., (2023) ‘Declining profitability and the evolution of the US economy: A classical perspective’, Routledge.</w:t>
      </w:r>
    </w:p>
    <w:p w14:paraId="40D506DF" w14:textId="36F80B7B" w:rsidR="007E30F9" w:rsidRDefault="007E30F9" w:rsidP="007E30F9">
      <w:pPr>
        <w:pStyle w:val="NormalWeb"/>
        <w:spacing w:after="0" w:line="480" w:lineRule="auto"/>
        <w:ind w:left="720" w:hanging="720"/>
        <w:rPr>
          <w:rFonts w:ascii="Arial" w:hAnsi="Arial" w:cs="Arial"/>
        </w:rPr>
      </w:pPr>
      <w:r w:rsidRPr="007E30F9">
        <w:rPr>
          <w:rFonts w:ascii="Arial" w:hAnsi="Arial" w:cs="Arial"/>
        </w:rPr>
        <w:t xml:space="preserve">Mercedes-Benz Group (2026) ‘Full Year Results 2025: Mercedes-Benz Group’, Available at: </w:t>
      </w:r>
      <w:hyperlink r:id="rId24" w:history="1">
        <w:r w:rsidRPr="00706F52">
          <w:rPr>
            <w:rStyle w:val="Hyperlink"/>
            <w:rFonts w:ascii="Arial" w:hAnsi="Arial" w:cs="Arial"/>
          </w:rPr>
          <w:t>https://group.mercedes-benz.com/investors/reports-news/annual-reports/2025/</w:t>
        </w:r>
      </w:hyperlink>
      <w:r w:rsidRPr="007E30F9">
        <w:rPr>
          <w:rFonts w:ascii="Arial" w:hAnsi="Arial" w:cs="Arial"/>
        </w:rPr>
        <w:t>.</w:t>
      </w:r>
    </w:p>
    <w:p w14:paraId="4F8D4913" w14:textId="729BBD88" w:rsidR="007E30F9" w:rsidRDefault="007E30F9" w:rsidP="007E30F9">
      <w:pPr>
        <w:pStyle w:val="NormalWeb"/>
        <w:spacing w:after="0" w:line="480" w:lineRule="auto"/>
        <w:ind w:left="720" w:hanging="720"/>
        <w:rPr>
          <w:rFonts w:ascii="Arial" w:hAnsi="Arial" w:cs="Arial"/>
        </w:rPr>
      </w:pPr>
      <w:r w:rsidRPr="007E30F9">
        <w:rPr>
          <w:rFonts w:ascii="Arial" w:hAnsi="Arial" w:cs="Arial"/>
        </w:rPr>
        <w:t xml:space="preserve">Mercedes-Benz Group (2025) ‘Full Year Results 2024: Mercedes-Benz Group’, Available at: </w:t>
      </w:r>
      <w:hyperlink r:id="rId25" w:history="1">
        <w:r w:rsidRPr="00706F52">
          <w:rPr>
            <w:rStyle w:val="Hyperlink"/>
            <w:rFonts w:ascii="Arial" w:hAnsi="Arial" w:cs="Arial"/>
          </w:rPr>
          <w:t>https://group.mercedes-benz.com/investors/reports-news/annual-reports/2024/</w:t>
        </w:r>
      </w:hyperlink>
      <w:r w:rsidRPr="007E30F9">
        <w:rPr>
          <w:rFonts w:ascii="Arial" w:hAnsi="Arial" w:cs="Arial"/>
        </w:rPr>
        <w:t>.</w:t>
      </w:r>
    </w:p>
    <w:p w14:paraId="1709DDA7" w14:textId="1B588442" w:rsidR="007E30F9" w:rsidRDefault="007E30F9" w:rsidP="007E30F9">
      <w:pPr>
        <w:pStyle w:val="NormalWeb"/>
        <w:spacing w:after="0" w:line="480" w:lineRule="auto"/>
        <w:ind w:left="720" w:hanging="720"/>
        <w:rPr>
          <w:rFonts w:ascii="Arial" w:hAnsi="Arial" w:cs="Arial"/>
        </w:rPr>
      </w:pPr>
      <w:r w:rsidRPr="007E30F9">
        <w:rPr>
          <w:rFonts w:ascii="Arial" w:hAnsi="Arial" w:cs="Arial"/>
        </w:rPr>
        <w:t xml:space="preserve">Mercedes-Benz Group (2024) ‘Full Year Results 2023: Mercedes-Benz Group’, Available at: </w:t>
      </w:r>
      <w:hyperlink r:id="rId26" w:history="1">
        <w:r w:rsidRPr="00706F52">
          <w:rPr>
            <w:rStyle w:val="Hyperlink"/>
            <w:rFonts w:ascii="Arial" w:hAnsi="Arial" w:cs="Arial"/>
          </w:rPr>
          <w:t>https://group.mercedes-benz.com/documents/investors/reports/annual-report/mercedes-benz/mercedes-benz-annual-report-2024-incl-combined-management-report-mbg-ag.pdf</w:t>
        </w:r>
      </w:hyperlink>
      <w:r w:rsidRPr="007E30F9">
        <w:rPr>
          <w:rFonts w:ascii="Arial" w:hAnsi="Arial" w:cs="Arial"/>
        </w:rPr>
        <w:t>.</w:t>
      </w:r>
    </w:p>
    <w:p w14:paraId="0DD3E817" w14:textId="6558E1C8" w:rsidR="007E30F9" w:rsidRDefault="007E30F9" w:rsidP="007E30F9">
      <w:pPr>
        <w:pStyle w:val="NormalWeb"/>
        <w:spacing w:after="0" w:line="480" w:lineRule="auto"/>
        <w:ind w:left="720" w:hanging="720"/>
        <w:rPr>
          <w:rFonts w:ascii="Arial" w:hAnsi="Arial" w:cs="Arial"/>
        </w:rPr>
      </w:pPr>
      <w:r w:rsidRPr="007E30F9">
        <w:rPr>
          <w:rFonts w:ascii="Arial" w:hAnsi="Arial" w:cs="Arial"/>
        </w:rPr>
        <w:t xml:space="preserve">Mercedes-Benz Group (2023) ‘Full Year Results 2022: Mercedes-Benz Group’, Available at: </w:t>
      </w:r>
      <w:hyperlink r:id="rId27" w:history="1">
        <w:r w:rsidRPr="00706F52">
          <w:rPr>
            <w:rStyle w:val="Hyperlink"/>
            <w:rFonts w:ascii="Arial" w:hAnsi="Arial" w:cs="Arial"/>
          </w:rPr>
          <w:t>https://group.mercedes-benz.com/investors/reports-news/annual-reports/2022/</w:t>
        </w:r>
      </w:hyperlink>
      <w:r w:rsidRPr="007E30F9">
        <w:rPr>
          <w:rFonts w:ascii="Arial" w:hAnsi="Arial" w:cs="Arial"/>
        </w:rPr>
        <w:t>.</w:t>
      </w:r>
    </w:p>
    <w:p w14:paraId="51C55D2E" w14:textId="43E39B91" w:rsidR="007E30F9" w:rsidRDefault="007E30F9" w:rsidP="007E30F9">
      <w:pPr>
        <w:pStyle w:val="NormalWeb"/>
        <w:spacing w:line="480" w:lineRule="auto"/>
        <w:ind w:left="720" w:hanging="720"/>
        <w:rPr>
          <w:rFonts w:ascii="Arial" w:hAnsi="Arial" w:cs="Arial"/>
        </w:rPr>
      </w:pPr>
      <w:r w:rsidRPr="007E30F9">
        <w:rPr>
          <w:rFonts w:ascii="Arial" w:hAnsi="Arial" w:cs="Arial"/>
        </w:rPr>
        <w:lastRenderedPageBreak/>
        <w:t xml:space="preserve">Mercedes-Benz Group (2022) ‘Full Year Results 2021: Mercedes-Benz Group’, Available at: </w:t>
      </w:r>
      <w:hyperlink r:id="rId28" w:history="1">
        <w:r w:rsidRPr="00706F52">
          <w:rPr>
            <w:rStyle w:val="Hyperlink"/>
            <w:rFonts w:ascii="Arial" w:hAnsi="Arial" w:cs="Arial"/>
          </w:rPr>
          <w:t>https://group.mercedes-benz.com/investors/reports-news/annual-reports/2021/</w:t>
        </w:r>
      </w:hyperlink>
    </w:p>
    <w:p w14:paraId="24405A0E" w14:textId="20C57279" w:rsidR="007E30F9" w:rsidRDefault="003C3321" w:rsidP="007E30F9">
      <w:pPr>
        <w:pStyle w:val="NormalWeb"/>
        <w:spacing w:after="0" w:line="480" w:lineRule="auto"/>
        <w:ind w:left="720" w:hanging="720"/>
        <w:rPr>
          <w:rFonts w:ascii="Arial" w:hAnsi="Arial" w:cs="Arial"/>
        </w:rPr>
      </w:pPr>
      <w:r>
        <w:rPr>
          <w:rFonts w:ascii="Arial" w:hAnsi="Arial" w:cs="Arial"/>
        </w:rPr>
        <w:t xml:space="preserve">Nukala, V.B. and Rao, S.S.P. (2021) 'Role of debt-to-equity ratio in project investment valuation, assessing risk and return in capital markets,' </w:t>
      </w:r>
      <w:r>
        <w:rPr>
          <w:rFonts w:ascii="Arial" w:hAnsi="Arial" w:cs="Arial"/>
          <w:i/>
          <w:iCs/>
        </w:rPr>
        <w:t>Future Business Journal</w:t>
      </w:r>
      <w:r>
        <w:rPr>
          <w:rFonts w:ascii="Arial" w:hAnsi="Arial" w:cs="Arial"/>
        </w:rPr>
        <w:t xml:space="preserve">, 7(1). </w:t>
      </w:r>
      <w:hyperlink r:id="rId29" w:history="1">
        <w:r w:rsidR="007E30F9" w:rsidRPr="00706F52">
          <w:rPr>
            <w:rStyle w:val="Hyperlink"/>
            <w:rFonts w:ascii="Arial" w:hAnsi="Arial" w:cs="Arial"/>
          </w:rPr>
          <w:t>https://doi.org/10.1186/s43093-021-00058-9</w:t>
        </w:r>
      </w:hyperlink>
      <w:r>
        <w:rPr>
          <w:rFonts w:ascii="Arial" w:hAnsi="Arial" w:cs="Arial"/>
        </w:rPr>
        <w:t>.</w:t>
      </w:r>
    </w:p>
    <w:p w14:paraId="26535B24" w14:textId="6F7630F0" w:rsidR="007E30F9" w:rsidRDefault="003C3321" w:rsidP="007E30F9">
      <w:pPr>
        <w:pStyle w:val="NormalWeb"/>
        <w:spacing w:before="0" w:beforeAutospacing="0" w:after="0" w:afterAutospacing="0" w:line="480" w:lineRule="auto"/>
        <w:ind w:left="720" w:hanging="720"/>
        <w:rPr>
          <w:rFonts w:ascii="Arial" w:hAnsi="Arial" w:cs="Arial"/>
        </w:rPr>
      </w:pPr>
      <w:r>
        <w:rPr>
          <w:rFonts w:ascii="Arial" w:hAnsi="Arial" w:cs="Arial"/>
        </w:rPr>
        <w:t xml:space="preserve">Ogundu, P.G. (2025) 'The strategic implications of financial derivatives in hedging corporate exposure to global economic volatility,' </w:t>
      </w:r>
      <w:r>
        <w:rPr>
          <w:rFonts w:ascii="Arial" w:hAnsi="Arial" w:cs="Arial"/>
          <w:i/>
          <w:iCs/>
        </w:rPr>
        <w:t>World Journal of Advanced Research and Reviews</w:t>
      </w:r>
      <w:r>
        <w:rPr>
          <w:rFonts w:ascii="Arial" w:hAnsi="Arial" w:cs="Arial"/>
        </w:rPr>
        <w:t xml:space="preserve">, 25(2), pp. 1218–1234. </w:t>
      </w:r>
      <w:hyperlink r:id="rId30" w:history="1">
        <w:r w:rsidR="007E30F9" w:rsidRPr="00706F52">
          <w:rPr>
            <w:rStyle w:val="Hyperlink"/>
            <w:rFonts w:ascii="Arial" w:hAnsi="Arial" w:cs="Arial"/>
          </w:rPr>
          <w:t>https://doi.org/10.30574/wjarr.2025.25.2.0482</w:t>
        </w:r>
      </w:hyperlink>
      <w:r>
        <w:rPr>
          <w:rFonts w:ascii="Arial" w:hAnsi="Arial" w:cs="Arial"/>
        </w:rPr>
        <w:t>.</w:t>
      </w:r>
    </w:p>
    <w:p w14:paraId="0BC3C2CB" w14:textId="3FE3EEF7" w:rsidR="007E30F9" w:rsidRDefault="003C3321" w:rsidP="007E30F9">
      <w:pPr>
        <w:pStyle w:val="NormalWeb"/>
        <w:spacing w:before="0" w:beforeAutospacing="0" w:after="0" w:afterAutospacing="0" w:line="480" w:lineRule="auto"/>
        <w:ind w:left="720" w:hanging="720"/>
        <w:rPr>
          <w:rFonts w:ascii="Arial" w:hAnsi="Arial" w:cs="Arial"/>
        </w:rPr>
      </w:pPr>
      <w:r>
        <w:rPr>
          <w:rFonts w:ascii="Arial" w:hAnsi="Arial" w:cs="Arial"/>
        </w:rPr>
        <w:t xml:space="preserve">Patel, J. (2021) 'Financial performance in manufacturing: Analyzing cost structures and profitability metrics,' </w:t>
      </w:r>
      <w:r>
        <w:rPr>
          <w:rFonts w:ascii="Arial" w:hAnsi="Arial" w:cs="Arial"/>
          <w:i/>
          <w:iCs/>
        </w:rPr>
        <w:t>Zenodo (CERN European Organization for Nuclear Research)</w:t>
      </w:r>
      <w:r>
        <w:rPr>
          <w:rFonts w:ascii="Arial" w:hAnsi="Arial" w:cs="Arial"/>
        </w:rPr>
        <w:t xml:space="preserve"> [Preprint]. </w:t>
      </w:r>
      <w:hyperlink r:id="rId31" w:history="1">
        <w:r w:rsidR="007E30F9" w:rsidRPr="00706F52">
          <w:rPr>
            <w:rStyle w:val="Hyperlink"/>
            <w:rFonts w:ascii="Arial" w:hAnsi="Arial" w:cs="Arial"/>
          </w:rPr>
          <w:t>https://doi.org/10.5281/zenodo.15104218</w:t>
        </w:r>
      </w:hyperlink>
      <w:r>
        <w:rPr>
          <w:rFonts w:ascii="Arial" w:hAnsi="Arial" w:cs="Arial"/>
        </w:rPr>
        <w:t>.</w:t>
      </w:r>
    </w:p>
    <w:p w14:paraId="3CFB477F" w14:textId="3E9F992A" w:rsidR="007E30F9" w:rsidRDefault="003C3321" w:rsidP="007E30F9">
      <w:pPr>
        <w:pStyle w:val="NormalWeb"/>
        <w:spacing w:before="0" w:beforeAutospacing="0" w:after="0" w:afterAutospacing="0" w:line="480" w:lineRule="auto"/>
        <w:ind w:left="720" w:hanging="720"/>
        <w:rPr>
          <w:rFonts w:ascii="Arial" w:hAnsi="Arial" w:cs="Arial"/>
        </w:rPr>
      </w:pPr>
      <w:r>
        <w:rPr>
          <w:rFonts w:ascii="Arial" w:hAnsi="Arial" w:cs="Arial"/>
        </w:rPr>
        <w:t xml:space="preserve">Rejison, P. (2025) 'Alternative financing options available to business,' </w:t>
      </w:r>
      <w:r>
        <w:rPr>
          <w:rFonts w:ascii="Arial" w:hAnsi="Arial" w:cs="Arial"/>
          <w:i/>
          <w:iCs/>
        </w:rPr>
        <w:t>SSRN Electronic Journal</w:t>
      </w:r>
      <w:r>
        <w:rPr>
          <w:rFonts w:ascii="Arial" w:hAnsi="Arial" w:cs="Arial"/>
        </w:rPr>
        <w:t xml:space="preserve"> [Preprint]. </w:t>
      </w:r>
      <w:hyperlink r:id="rId32" w:history="1">
        <w:r w:rsidR="007E30F9" w:rsidRPr="00706F52">
          <w:rPr>
            <w:rStyle w:val="Hyperlink"/>
            <w:rFonts w:ascii="Arial" w:hAnsi="Arial" w:cs="Arial"/>
          </w:rPr>
          <w:t>https://doi.org/10.2139/ssrn.5063815</w:t>
        </w:r>
      </w:hyperlink>
      <w:r>
        <w:rPr>
          <w:rFonts w:ascii="Arial" w:hAnsi="Arial" w:cs="Arial"/>
        </w:rPr>
        <w:t>.</w:t>
      </w:r>
    </w:p>
    <w:p w14:paraId="3D724D6D" w14:textId="453C7FAF" w:rsidR="00C027FD" w:rsidRDefault="003C3321" w:rsidP="007E30F9">
      <w:pPr>
        <w:pStyle w:val="NormalWeb"/>
        <w:spacing w:before="0" w:beforeAutospacing="0" w:after="0" w:afterAutospacing="0" w:line="480" w:lineRule="auto"/>
        <w:ind w:left="720" w:hanging="720"/>
        <w:rPr>
          <w:rFonts w:ascii="Arial" w:hAnsi="Arial" w:cs="Arial"/>
        </w:rPr>
      </w:pPr>
      <w:r>
        <w:rPr>
          <w:rFonts w:ascii="Arial" w:hAnsi="Arial" w:cs="Arial"/>
        </w:rPr>
        <w:t xml:space="preserve">Renaldo, N. </w:t>
      </w:r>
      <w:r>
        <w:rPr>
          <w:rFonts w:ascii="Arial" w:hAnsi="Arial" w:cs="Arial"/>
          <w:i/>
          <w:iCs/>
        </w:rPr>
        <w:t>et al.</w:t>
      </w:r>
      <w:r>
        <w:rPr>
          <w:rFonts w:ascii="Arial" w:hAnsi="Arial" w:cs="Arial"/>
        </w:rPr>
        <w:t xml:space="preserve"> (2023) 'Capital Structure, Profitability, and Block Holder Ownership on Dividend Policy using Free Cash Flow as Moderation Variable,' </w:t>
      </w:r>
      <w:r>
        <w:rPr>
          <w:rFonts w:ascii="Arial" w:hAnsi="Arial" w:cs="Arial"/>
          <w:i/>
          <w:iCs/>
        </w:rPr>
        <w:t>Journal of Applied Business and Technology</w:t>
      </w:r>
      <w:r>
        <w:rPr>
          <w:rFonts w:ascii="Arial" w:hAnsi="Arial" w:cs="Arial"/>
        </w:rPr>
        <w:t xml:space="preserve">, 4(2), pp. 168–180. </w:t>
      </w:r>
      <w:hyperlink r:id="rId33" w:history="1">
        <w:r w:rsidR="00C027FD" w:rsidRPr="00706F52">
          <w:rPr>
            <w:rStyle w:val="Hyperlink"/>
            <w:rFonts w:ascii="Arial" w:hAnsi="Arial" w:cs="Arial"/>
          </w:rPr>
          <w:t>https://doi.org/10.35145/jabt.v4i2.132</w:t>
        </w:r>
      </w:hyperlink>
      <w:r>
        <w:rPr>
          <w:rFonts w:ascii="Arial" w:hAnsi="Arial" w:cs="Arial"/>
        </w:rPr>
        <w:t>.</w:t>
      </w:r>
    </w:p>
    <w:p w14:paraId="2236493A" w14:textId="77777777" w:rsidR="007E30F9" w:rsidRDefault="007E30F9">
      <w:pPr>
        <w:spacing w:after="200" w:line="276" w:lineRule="auto"/>
        <w:rPr>
          <w:rFonts w:eastAsiaTheme="majorEastAsia" w:cs="Arial"/>
          <w:b/>
          <w:bCs/>
          <w:szCs w:val="24"/>
        </w:rPr>
      </w:pPr>
      <w:bookmarkStart w:id="55" w:name="_Toc225717204"/>
      <w:r>
        <w:rPr>
          <w:rFonts w:cs="Arial"/>
          <w:szCs w:val="24"/>
        </w:rPr>
        <w:br w:type="page"/>
      </w:r>
    </w:p>
    <w:p w14:paraId="4A5A9F97" w14:textId="67F44CE1" w:rsidR="005508B8" w:rsidRPr="00A553B9" w:rsidRDefault="006D4139" w:rsidP="009E21FB">
      <w:pPr>
        <w:pStyle w:val="Heading1"/>
        <w:jc w:val="center"/>
        <w:rPr>
          <w:rFonts w:ascii="Arial" w:hAnsi="Arial" w:cs="Arial"/>
          <w:color w:val="auto"/>
          <w:sz w:val="24"/>
          <w:szCs w:val="24"/>
        </w:rPr>
      </w:pPr>
      <w:r w:rsidRPr="00A553B9">
        <w:rPr>
          <w:rFonts w:ascii="Arial" w:hAnsi="Arial" w:cs="Arial"/>
          <w:color w:val="auto"/>
          <w:sz w:val="24"/>
          <w:szCs w:val="24"/>
        </w:rPr>
        <w:lastRenderedPageBreak/>
        <w:t>Appendices</w:t>
      </w:r>
      <w:bookmarkEnd w:id="55"/>
    </w:p>
    <w:p w14:paraId="11A94723" w14:textId="77777777" w:rsidR="005508B8" w:rsidRPr="00A553B9" w:rsidRDefault="006D4139" w:rsidP="009E21FB">
      <w:pPr>
        <w:pStyle w:val="Heading2"/>
        <w:rPr>
          <w:rFonts w:ascii="Arial" w:hAnsi="Arial" w:cs="Arial"/>
          <w:color w:val="auto"/>
          <w:szCs w:val="24"/>
        </w:rPr>
      </w:pPr>
      <w:bookmarkStart w:id="56" w:name="_Toc225717205"/>
      <w:r w:rsidRPr="00A553B9">
        <w:rPr>
          <w:rFonts w:ascii="Arial" w:hAnsi="Arial" w:cs="Arial"/>
          <w:color w:val="auto"/>
          <w:szCs w:val="24"/>
        </w:rPr>
        <w:t>Appendix A. Selected financial statement data and ratio summary</w:t>
      </w:r>
      <w:bookmarkEnd w:id="56"/>
    </w:p>
    <w:tbl>
      <w:tblPr>
        <w:tblStyle w:val="PlainTable1"/>
        <w:tblW w:w="0" w:type="auto"/>
        <w:tblLook w:val="04A0" w:firstRow="1" w:lastRow="0" w:firstColumn="1" w:lastColumn="0" w:noHBand="0" w:noVBand="1"/>
      </w:tblPr>
      <w:tblGrid>
        <w:gridCol w:w="4930"/>
        <w:gridCol w:w="995"/>
        <w:gridCol w:w="621"/>
        <w:gridCol w:w="621"/>
        <w:gridCol w:w="621"/>
        <w:gridCol w:w="621"/>
        <w:gridCol w:w="901"/>
        <w:gridCol w:w="220"/>
      </w:tblGrid>
      <w:tr w:rsidR="000C10A2" w:rsidRPr="00A553B9" w14:paraId="357C02BF" w14:textId="77777777" w:rsidTr="00A553B9">
        <w:trPr>
          <w:gridAfter w:val="1"/>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0" w:type="auto"/>
            <w:gridSpan w:val="7"/>
            <w:vMerge w:val="restart"/>
            <w:hideMark/>
          </w:tcPr>
          <w:p w14:paraId="4A2CD88A" w14:textId="77777777" w:rsidR="000C10A2" w:rsidRPr="00A553B9" w:rsidRDefault="000C10A2" w:rsidP="007054BE">
            <w:pPr>
              <w:spacing w:after="0" w:line="240" w:lineRule="auto"/>
              <w:jc w:val="center"/>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Mercedes-Benz Group</w:t>
            </w:r>
            <w:r w:rsidRPr="00A553B9">
              <w:rPr>
                <w:rFonts w:ascii="Times New Roman" w:eastAsia="Times New Roman" w:hAnsi="Times New Roman" w:cs="Times New Roman"/>
                <w:color w:val="000000"/>
                <w:sz w:val="18"/>
                <w:szCs w:val="18"/>
              </w:rPr>
              <w:br/>
              <w:t xml:space="preserve">Consolidated Financial Statements </w:t>
            </w:r>
            <w:r w:rsidRPr="00A553B9">
              <w:rPr>
                <w:rFonts w:ascii="Times New Roman" w:eastAsia="Times New Roman" w:hAnsi="Times New Roman" w:cs="Times New Roman"/>
                <w:color w:val="000000"/>
                <w:sz w:val="18"/>
                <w:szCs w:val="18"/>
              </w:rPr>
              <w:br/>
              <w:t>(in millions)</w:t>
            </w:r>
          </w:p>
        </w:tc>
      </w:tr>
      <w:tr w:rsidR="000C10A2" w:rsidRPr="00A553B9" w14:paraId="61D65B1D"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gridSpan w:val="7"/>
            <w:vMerge/>
            <w:hideMark/>
          </w:tcPr>
          <w:p w14:paraId="71822057"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p>
        </w:tc>
        <w:tc>
          <w:tcPr>
            <w:tcW w:w="0" w:type="auto"/>
            <w:noWrap/>
            <w:hideMark/>
          </w:tcPr>
          <w:p w14:paraId="281FAA56"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r>
      <w:tr w:rsidR="000C10A2" w:rsidRPr="00A553B9" w14:paraId="5DDEBDC1"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gridSpan w:val="7"/>
            <w:vMerge/>
            <w:hideMark/>
          </w:tcPr>
          <w:p w14:paraId="77725860"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p>
        </w:tc>
        <w:tc>
          <w:tcPr>
            <w:tcW w:w="0" w:type="auto"/>
            <w:noWrap/>
            <w:hideMark/>
          </w:tcPr>
          <w:p w14:paraId="78B549D7"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5B20BA3"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52290AC" w14:textId="77777777" w:rsidR="000C10A2" w:rsidRPr="00A553B9" w:rsidRDefault="000C10A2" w:rsidP="007054BE">
            <w:pPr>
              <w:spacing w:after="0" w:line="240" w:lineRule="auto"/>
              <w:jc w:val="center"/>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Item</w:t>
            </w:r>
          </w:p>
        </w:tc>
        <w:tc>
          <w:tcPr>
            <w:tcW w:w="0" w:type="auto"/>
            <w:hideMark/>
          </w:tcPr>
          <w:p w14:paraId="5A14DE1D" w14:textId="35A3E471"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w:t>
            </w:r>
            <w:r w:rsidR="00C93AC1">
              <w:rPr>
                <w:rFonts w:ascii="Times New Roman" w:eastAsia="Times New Roman" w:hAnsi="Times New Roman" w:cs="Times New Roman"/>
                <w:color w:val="000000"/>
                <w:sz w:val="18"/>
                <w:szCs w:val="18"/>
              </w:rPr>
              <w:t>s</w:t>
            </w:r>
            <w:r w:rsidRPr="00A553B9">
              <w:rPr>
                <w:rFonts w:ascii="Times New Roman" w:eastAsia="Times New Roman" w:hAnsi="Times New Roman" w:cs="Times New Roman"/>
                <w:color w:val="000000"/>
                <w:sz w:val="18"/>
                <w:szCs w:val="18"/>
              </w:rPr>
              <w:t>20 (€)</w:t>
            </w:r>
          </w:p>
        </w:tc>
        <w:tc>
          <w:tcPr>
            <w:tcW w:w="0" w:type="auto"/>
            <w:hideMark/>
          </w:tcPr>
          <w:p w14:paraId="6D99F13F"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2021 (€)</w:t>
            </w:r>
          </w:p>
        </w:tc>
        <w:tc>
          <w:tcPr>
            <w:tcW w:w="0" w:type="auto"/>
            <w:hideMark/>
          </w:tcPr>
          <w:p w14:paraId="45C9019C"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2022 (€)</w:t>
            </w:r>
          </w:p>
        </w:tc>
        <w:tc>
          <w:tcPr>
            <w:tcW w:w="0" w:type="auto"/>
            <w:hideMark/>
          </w:tcPr>
          <w:p w14:paraId="4B4FA419"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2023 (€)</w:t>
            </w:r>
          </w:p>
        </w:tc>
        <w:tc>
          <w:tcPr>
            <w:tcW w:w="0" w:type="auto"/>
            <w:hideMark/>
          </w:tcPr>
          <w:p w14:paraId="49573889"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2024 (€)</w:t>
            </w:r>
          </w:p>
        </w:tc>
        <w:tc>
          <w:tcPr>
            <w:tcW w:w="0" w:type="auto"/>
            <w:hideMark/>
          </w:tcPr>
          <w:p w14:paraId="3220B75D"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2025 (€)</w:t>
            </w:r>
          </w:p>
        </w:tc>
        <w:tc>
          <w:tcPr>
            <w:tcW w:w="0" w:type="auto"/>
            <w:hideMark/>
          </w:tcPr>
          <w:p w14:paraId="2C272B3A"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0B02CD3B"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A755590"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Assets</w:t>
            </w:r>
          </w:p>
        </w:tc>
        <w:tc>
          <w:tcPr>
            <w:tcW w:w="0" w:type="auto"/>
            <w:hideMark/>
          </w:tcPr>
          <w:p w14:paraId="12605E2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160842FA"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55FE37A0"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14A8E7E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2ED5E057"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5E0C2566"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130391F3"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163E489B"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0587FB85"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Intangible assets</w:t>
            </w:r>
          </w:p>
        </w:tc>
        <w:tc>
          <w:tcPr>
            <w:tcW w:w="0" w:type="auto"/>
            <w:hideMark/>
          </w:tcPr>
          <w:p w14:paraId="4CC8E1CD"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518B500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15005</w:t>
            </w:r>
          </w:p>
        </w:tc>
        <w:tc>
          <w:tcPr>
            <w:tcW w:w="0" w:type="auto"/>
            <w:hideMark/>
          </w:tcPr>
          <w:p w14:paraId="688B4070"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15869</w:t>
            </w:r>
          </w:p>
        </w:tc>
        <w:tc>
          <w:tcPr>
            <w:tcW w:w="0" w:type="auto"/>
            <w:hideMark/>
          </w:tcPr>
          <w:p w14:paraId="4134059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17593</w:t>
            </w:r>
          </w:p>
        </w:tc>
        <w:tc>
          <w:tcPr>
            <w:tcW w:w="0" w:type="auto"/>
            <w:hideMark/>
          </w:tcPr>
          <w:p w14:paraId="03C76A32"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19436</w:t>
            </w:r>
          </w:p>
        </w:tc>
        <w:tc>
          <w:tcPr>
            <w:tcW w:w="0" w:type="auto"/>
            <w:hideMark/>
          </w:tcPr>
          <w:p w14:paraId="1441A8B4"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20547</w:t>
            </w:r>
          </w:p>
        </w:tc>
        <w:tc>
          <w:tcPr>
            <w:tcW w:w="0" w:type="auto"/>
            <w:hideMark/>
          </w:tcPr>
          <w:p w14:paraId="35F1BF22"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623BDC6D"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6E742032" w14:textId="2D5426DC"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Property, plant</w:t>
            </w:r>
            <w:r w:rsidR="00A553B9" w:rsidRPr="00A553B9">
              <w:rPr>
                <w:rFonts w:ascii="Times New Roman" w:eastAsia="Times New Roman" w:hAnsi="Times New Roman" w:cs="Times New Roman"/>
                <w:color w:val="000000"/>
                <w:sz w:val="18"/>
                <w:szCs w:val="18"/>
              </w:rPr>
              <w:t>,</w:t>
            </w:r>
            <w:r w:rsidRPr="00A553B9">
              <w:rPr>
                <w:rFonts w:ascii="Times New Roman" w:eastAsia="Times New Roman" w:hAnsi="Times New Roman" w:cs="Times New Roman"/>
                <w:color w:val="000000"/>
                <w:sz w:val="18"/>
                <w:szCs w:val="18"/>
              </w:rPr>
              <w:t xml:space="preserve"> and equipment</w:t>
            </w:r>
            <w:r w:rsidR="00A553B9" w:rsidRPr="00A553B9">
              <w:rPr>
                <w:rFonts w:ascii="Times New Roman" w:eastAsia="Times New Roman" w:hAnsi="Times New Roman" w:cs="Times New Roman"/>
                <w:color w:val="000000"/>
                <w:sz w:val="18"/>
                <w:szCs w:val="18"/>
              </w:rPr>
              <w:t>,</w:t>
            </w:r>
            <w:r w:rsidRPr="00A553B9">
              <w:rPr>
                <w:rFonts w:ascii="Times New Roman" w:eastAsia="Times New Roman" w:hAnsi="Times New Roman" w:cs="Times New Roman"/>
                <w:color w:val="000000"/>
                <w:sz w:val="18"/>
                <w:szCs w:val="18"/>
              </w:rPr>
              <w:t xml:space="preserve"> including right-of-use assets</w:t>
            </w:r>
          </w:p>
        </w:tc>
        <w:tc>
          <w:tcPr>
            <w:tcW w:w="0" w:type="auto"/>
            <w:hideMark/>
          </w:tcPr>
          <w:p w14:paraId="78041FB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27859</w:t>
            </w:r>
          </w:p>
        </w:tc>
        <w:tc>
          <w:tcPr>
            <w:tcW w:w="0" w:type="auto"/>
            <w:hideMark/>
          </w:tcPr>
          <w:p w14:paraId="51418B91"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27250</w:t>
            </w:r>
          </w:p>
        </w:tc>
        <w:tc>
          <w:tcPr>
            <w:tcW w:w="0" w:type="auto"/>
            <w:hideMark/>
          </w:tcPr>
          <w:p w14:paraId="5A941CA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26090</w:t>
            </w:r>
          </w:p>
        </w:tc>
        <w:tc>
          <w:tcPr>
            <w:tcW w:w="0" w:type="auto"/>
            <w:hideMark/>
          </w:tcPr>
          <w:p w14:paraId="7F1C30D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26,537</w:t>
            </w:r>
          </w:p>
        </w:tc>
        <w:tc>
          <w:tcPr>
            <w:tcW w:w="0" w:type="auto"/>
            <w:hideMark/>
          </w:tcPr>
          <w:p w14:paraId="778ACA2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27,340</w:t>
            </w:r>
          </w:p>
        </w:tc>
        <w:tc>
          <w:tcPr>
            <w:tcW w:w="0" w:type="auto"/>
            <w:hideMark/>
          </w:tcPr>
          <w:p w14:paraId="227AF5F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29AFCCA8"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2D84228E"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Equipment on operating leases</w:t>
            </w:r>
          </w:p>
        </w:tc>
        <w:tc>
          <w:tcPr>
            <w:tcW w:w="0" w:type="auto"/>
            <w:hideMark/>
          </w:tcPr>
          <w:p w14:paraId="412E7D1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2F81136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44471</w:t>
            </w:r>
          </w:p>
        </w:tc>
        <w:tc>
          <w:tcPr>
            <w:tcW w:w="0" w:type="auto"/>
            <w:hideMark/>
          </w:tcPr>
          <w:p w14:paraId="05D3080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41552</w:t>
            </w:r>
          </w:p>
        </w:tc>
        <w:tc>
          <w:tcPr>
            <w:tcW w:w="0" w:type="auto"/>
            <w:hideMark/>
          </w:tcPr>
          <w:p w14:paraId="0BE8B132"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41712</w:t>
            </w:r>
          </w:p>
        </w:tc>
        <w:tc>
          <w:tcPr>
            <w:tcW w:w="0" w:type="auto"/>
            <w:hideMark/>
          </w:tcPr>
          <w:p w14:paraId="78E26FC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45,220</w:t>
            </w:r>
          </w:p>
        </w:tc>
        <w:tc>
          <w:tcPr>
            <w:tcW w:w="0" w:type="auto"/>
            <w:hideMark/>
          </w:tcPr>
          <w:p w14:paraId="21E804D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39,472</w:t>
            </w:r>
          </w:p>
        </w:tc>
        <w:tc>
          <w:tcPr>
            <w:tcW w:w="0" w:type="auto"/>
            <w:hideMark/>
          </w:tcPr>
          <w:p w14:paraId="5D0F2949"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27AEE27C"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84B1B87"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Equity-method investments</w:t>
            </w:r>
          </w:p>
        </w:tc>
        <w:tc>
          <w:tcPr>
            <w:tcW w:w="0" w:type="auto"/>
            <w:hideMark/>
          </w:tcPr>
          <w:p w14:paraId="546BE35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49FE07AE"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13588</w:t>
            </w:r>
          </w:p>
        </w:tc>
        <w:tc>
          <w:tcPr>
            <w:tcW w:w="0" w:type="auto"/>
            <w:hideMark/>
          </w:tcPr>
          <w:p w14:paraId="31796E1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13530</w:t>
            </w:r>
          </w:p>
        </w:tc>
        <w:tc>
          <w:tcPr>
            <w:tcW w:w="0" w:type="auto"/>
            <w:hideMark/>
          </w:tcPr>
          <w:p w14:paraId="1A810D99"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13104</w:t>
            </w:r>
          </w:p>
        </w:tc>
        <w:tc>
          <w:tcPr>
            <w:tcW w:w="0" w:type="auto"/>
            <w:hideMark/>
          </w:tcPr>
          <w:p w14:paraId="63F3649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12,786</w:t>
            </w:r>
          </w:p>
        </w:tc>
        <w:tc>
          <w:tcPr>
            <w:tcW w:w="0" w:type="auto"/>
            <w:hideMark/>
          </w:tcPr>
          <w:p w14:paraId="0B6810E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10,037</w:t>
            </w:r>
          </w:p>
        </w:tc>
        <w:tc>
          <w:tcPr>
            <w:tcW w:w="0" w:type="auto"/>
            <w:hideMark/>
          </w:tcPr>
          <w:p w14:paraId="325CA83C"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10A404EF"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7B337CF8"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Receivables from financial services (non-current)</w:t>
            </w:r>
          </w:p>
        </w:tc>
        <w:tc>
          <w:tcPr>
            <w:tcW w:w="0" w:type="auto"/>
            <w:hideMark/>
          </w:tcPr>
          <w:p w14:paraId="014E32B4"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2FFBD99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46955</w:t>
            </w:r>
          </w:p>
        </w:tc>
        <w:tc>
          <w:tcPr>
            <w:tcW w:w="0" w:type="auto"/>
            <w:hideMark/>
          </w:tcPr>
          <w:p w14:paraId="6BD64FAA"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48237</w:t>
            </w:r>
          </w:p>
        </w:tc>
        <w:tc>
          <w:tcPr>
            <w:tcW w:w="0" w:type="auto"/>
            <w:hideMark/>
          </w:tcPr>
          <w:p w14:paraId="17BB16B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49742</w:t>
            </w:r>
          </w:p>
        </w:tc>
        <w:tc>
          <w:tcPr>
            <w:tcW w:w="0" w:type="auto"/>
            <w:hideMark/>
          </w:tcPr>
          <w:p w14:paraId="7F64617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48,547</w:t>
            </w:r>
          </w:p>
        </w:tc>
        <w:tc>
          <w:tcPr>
            <w:tcW w:w="0" w:type="auto"/>
            <w:hideMark/>
          </w:tcPr>
          <w:p w14:paraId="48FD233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41,902</w:t>
            </w:r>
          </w:p>
        </w:tc>
        <w:tc>
          <w:tcPr>
            <w:tcW w:w="0" w:type="auto"/>
            <w:hideMark/>
          </w:tcPr>
          <w:p w14:paraId="323E071F"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6C53BF21"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7F5E0209"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Marketable debt securities and similar investments (non-current)</w:t>
            </w:r>
          </w:p>
        </w:tc>
        <w:tc>
          <w:tcPr>
            <w:tcW w:w="0" w:type="auto"/>
            <w:hideMark/>
          </w:tcPr>
          <w:p w14:paraId="548122D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873</w:t>
            </w:r>
          </w:p>
        </w:tc>
        <w:tc>
          <w:tcPr>
            <w:tcW w:w="0" w:type="auto"/>
            <w:hideMark/>
          </w:tcPr>
          <w:p w14:paraId="7922201D"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823</w:t>
            </w:r>
          </w:p>
        </w:tc>
        <w:tc>
          <w:tcPr>
            <w:tcW w:w="0" w:type="auto"/>
            <w:hideMark/>
          </w:tcPr>
          <w:p w14:paraId="2D36F777"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699</w:t>
            </w:r>
          </w:p>
        </w:tc>
        <w:tc>
          <w:tcPr>
            <w:tcW w:w="0" w:type="auto"/>
            <w:hideMark/>
          </w:tcPr>
          <w:p w14:paraId="30C05EA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644</w:t>
            </w:r>
          </w:p>
        </w:tc>
        <w:tc>
          <w:tcPr>
            <w:tcW w:w="0" w:type="auto"/>
            <w:hideMark/>
          </w:tcPr>
          <w:p w14:paraId="5EFD19DE"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626</w:t>
            </w:r>
          </w:p>
        </w:tc>
        <w:tc>
          <w:tcPr>
            <w:tcW w:w="0" w:type="auto"/>
            <w:hideMark/>
          </w:tcPr>
          <w:p w14:paraId="2ED63FA1"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2D9A90F4"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63D8454E"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financial assets (non-current)</w:t>
            </w:r>
          </w:p>
        </w:tc>
        <w:tc>
          <w:tcPr>
            <w:tcW w:w="0" w:type="auto"/>
            <w:hideMark/>
          </w:tcPr>
          <w:p w14:paraId="7AE7A5F6"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23D6CC6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3181</w:t>
            </w:r>
          </w:p>
        </w:tc>
        <w:tc>
          <w:tcPr>
            <w:tcW w:w="0" w:type="auto"/>
            <w:hideMark/>
          </w:tcPr>
          <w:p w14:paraId="026C2C9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4478</w:t>
            </w:r>
          </w:p>
        </w:tc>
        <w:tc>
          <w:tcPr>
            <w:tcW w:w="0" w:type="auto"/>
            <w:hideMark/>
          </w:tcPr>
          <w:p w14:paraId="0AF8486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4340</w:t>
            </w:r>
          </w:p>
        </w:tc>
        <w:tc>
          <w:tcPr>
            <w:tcW w:w="0" w:type="auto"/>
            <w:hideMark/>
          </w:tcPr>
          <w:p w14:paraId="71FF125A"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3020</w:t>
            </w:r>
          </w:p>
        </w:tc>
        <w:tc>
          <w:tcPr>
            <w:tcW w:w="0" w:type="auto"/>
            <w:hideMark/>
          </w:tcPr>
          <w:p w14:paraId="6170039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2953</w:t>
            </w:r>
          </w:p>
        </w:tc>
        <w:tc>
          <w:tcPr>
            <w:tcW w:w="0" w:type="auto"/>
            <w:hideMark/>
          </w:tcPr>
          <w:p w14:paraId="2146A0FB"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B7BF018"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1DB7BD54"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Deferred tax assets</w:t>
            </w:r>
          </w:p>
        </w:tc>
        <w:tc>
          <w:tcPr>
            <w:tcW w:w="0" w:type="auto"/>
            <w:hideMark/>
          </w:tcPr>
          <w:p w14:paraId="2CE70D71"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36FB7E4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3434</w:t>
            </w:r>
          </w:p>
        </w:tc>
        <w:tc>
          <w:tcPr>
            <w:tcW w:w="0" w:type="auto"/>
            <w:hideMark/>
          </w:tcPr>
          <w:p w14:paraId="6928DFB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3725</w:t>
            </w:r>
          </w:p>
        </w:tc>
        <w:tc>
          <w:tcPr>
            <w:tcW w:w="0" w:type="auto"/>
            <w:hideMark/>
          </w:tcPr>
          <w:p w14:paraId="601B022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4127</w:t>
            </w:r>
          </w:p>
        </w:tc>
        <w:tc>
          <w:tcPr>
            <w:tcW w:w="0" w:type="auto"/>
            <w:hideMark/>
          </w:tcPr>
          <w:p w14:paraId="072DDB5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4,335</w:t>
            </w:r>
          </w:p>
        </w:tc>
        <w:tc>
          <w:tcPr>
            <w:tcW w:w="0" w:type="auto"/>
            <w:hideMark/>
          </w:tcPr>
          <w:p w14:paraId="0543B421"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6,090</w:t>
            </w:r>
          </w:p>
        </w:tc>
        <w:tc>
          <w:tcPr>
            <w:tcW w:w="0" w:type="auto"/>
            <w:hideMark/>
          </w:tcPr>
          <w:p w14:paraId="1162199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289CE1F8"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CB6C4CC"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Income tax assets (non-current)</w:t>
            </w:r>
          </w:p>
        </w:tc>
        <w:tc>
          <w:tcPr>
            <w:tcW w:w="0" w:type="auto"/>
            <w:hideMark/>
          </w:tcPr>
          <w:p w14:paraId="6AA8BE84"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66A1CA2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1536</w:t>
            </w:r>
          </w:p>
        </w:tc>
        <w:tc>
          <w:tcPr>
            <w:tcW w:w="0" w:type="auto"/>
            <w:hideMark/>
          </w:tcPr>
          <w:p w14:paraId="67D64D0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1677</w:t>
            </w:r>
          </w:p>
        </w:tc>
        <w:tc>
          <w:tcPr>
            <w:tcW w:w="0" w:type="auto"/>
            <w:hideMark/>
          </w:tcPr>
          <w:p w14:paraId="23570614"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1583</w:t>
            </w:r>
          </w:p>
        </w:tc>
        <w:tc>
          <w:tcPr>
            <w:tcW w:w="0" w:type="auto"/>
            <w:hideMark/>
          </w:tcPr>
          <w:p w14:paraId="5C90E7A2"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327</w:t>
            </w:r>
          </w:p>
        </w:tc>
        <w:tc>
          <w:tcPr>
            <w:tcW w:w="0" w:type="auto"/>
            <w:hideMark/>
          </w:tcPr>
          <w:p w14:paraId="3E131EC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426</w:t>
            </w:r>
          </w:p>
        </w:tc>
        <w:tc>
          <w:tcPr>
            <w:tcW w:w="0" w:type="auto"/>
            <w:hideMark/>
          </w:tcPr>
          <w:p w14:paraId="7E9155FE"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218A99BF"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2595A1C4"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assets (non-current)</w:t>
            </w:r>
          </w:p>
        </w:tc>
        <w:tc>
          <w:tcPr>
            <w:tcW w:w="0" w:type="auto"/>
            <w:hideMark/>
          </w:tcPr>
          <w:p w14:paraId="786B984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52BE6902"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0</w:t>
            </w:r>
          </w:p>
        </w:tc>
        <w:tc>
          <w:tcPr>
            <w:tcW w:w="0" w:type="auto"/>
            <w:hideMark/>
          </w:tcPr>
          <w:p w14:paraId="6DCF63FD"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0</w:t>
            </w:r>
          </w:p>
        </w:tc>
        <w:tc>
          <w:tcPr>
            <w:tcW w:w="0" w:type="auto"/>
            <w:hideMark/>
          </w:tcPr>
          <w:p w14:paraId="483BE130"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0</w:t>
            </w:r>
          </w:p>
        </w:tc>
        <w:tc>
          <w:tcPr>
            <w:tcW w:w="0" w:type="auto"/>
            <w:hideMark/>
          </w:tcPr>
          <w:p w14:paraId="3C3AC71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2,391</w:t>
            </w:r>
          </w:p>
        </w:tc>
        <w:tc>
          <w:tcPr>
            <w:tcW w:w="0" w:type="auto"/>
            <w:hideMark/>
          </w:tcPr>
          <w:p w14:paraId="35F41F89"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3,941</w:t>
            </w:r>
          </w:p>
        </w:tc>
        <w:tc>
          <w:tcPr>
            <w:tcW w:w="0" w:type="auto"/>
            <w:hideMark/>
          </w:tcPr>
          <w:p w14:paraId="716A995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2C90FECF"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D38EBC2"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Total non-current assets</w:t>
            </w:r>
          </w:p>
        </w:tc>
        <w:tc>
          <w:tcPr>
            <w:tcW w:w="0" w:type="auto"/>
            <w:hideMark/>
          </w:tcPr>
          <w:p w14:paraId="6BB9543B"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0</w:t>
            </w:r>
          </w:p>
        </w:tc>
        <w:tc>
          <w:tcPr>
            <w:tcW w:w="0" w:type="auto"/>
            <w:hideMark/>
          </w:tcPr>
          <w:p w14:paraId="3FE144B5"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156,902</w:t>
            </w:r>
          </w:p>
        </w:tc>
        <w:tc>
          <w:tcPr>
            <w:tcW w:w="0" w:type="auto"/>
            <w:hideMark/>
          </w:tcPr>
          <w:p w14:paraId="4015B589"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157,141</w:t>
            </w:r>
          </w:p>
        </w:tc>
        <w:tc>
          <w:tcPr>
            <w:tcW w:w="0" w:type="auto"/>
            <w:hideMark/>
          </w:tcPr>
          <w:p w14:paraId="1BE2242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158,990</w:t>
            </w:r>
          </w:p>
        </w:tc>
        <w:tc>
          <w:tcPr>
            <w:tcW w:w="0" w:type="auto"/>
            <w:hideMark/>
          </w:tcPr>
          <w:p w14:paraId="4D92E9A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163,243</w:t>
            </w:r>
          </w:p>
        </w:tc>
        <w:tc>
          <w:tcPr>
            <w:tcW w:w="0" w:type="auto"/>
            <w:hideMark/>
          </w:tcPr>
          <w:p w14:paraId="1819951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153,334</w:t>
            </w:r>
          </w:p>
        </w:tc>
        <w:tc>
          <w:tcPr>
            <w:tcW w:w="0" w:type="auto"/>
            <w:hideMark/>
          </w:tcPr>
          <w:p w14:paraId="28785CE8"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55E21206"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18C0C76"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Inventories</w:t>
            </w:r>
          </w:p>
        </w:tc>
        <w:tc>
          <w:tcPr>
            <w:tcW w:w="0" w:type="auto"/>
            <w:hideMark/>
          </w:tcPr>
          <w:p w14:paraId="04C6ECBA"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5E74579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21466</w:t>
            </w:r>
          </w:p>
        </w:tc>
        <w:tc>
          <w:tcPr>
            <w:tcW w:w="0" w:type="auto"/>
            <w:hideMark/>
          </w:tcPr>
          <w:p w14:paraId="3051024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25621</w:t>
            </w:r>
          </w:p>
        </w:tc>
        <w:tc>
          <w:tcPr>
            <w:tcW w:w="0" w:type="auto"/>
            <w:hideMark/>
          </w:tcPr>
          <w:p w14:paraId="2ED1A0D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27,294</w:t>
            </w:r>
          </w:p>
        </w:tc>
        <w:tc>
          <w:tcPr>
            <w:tcW w:w="0" w:type="auto"/>
            <w:hideMark/>
          </w:tcPr>
          <w:p w14:paraId="3B13DDF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26,234</w:t>
            </w:r>
          </w:p>
        </w:tc>
        <w:tc>
          <w:tcPr>
            <w:tcW w:w="0" w:type="auto"/>
            <w:hideMark/>
          </w:tcPr>
          <w:p w14:paraId="04369390"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23,933</w:t>
            </w:r>
          </w:p>
        </w:tc>
        <w:tc>
          <w:tcPr>
            <w:tcW w:w="0" w:type="auto"/>
            <w:hideMark/>
          </w:tcPr>
          <w:p w14:paraId="3CC7BE73"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0AEDC41F"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CDA5E9F"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Trade receivables</w:t>
            </w:r>
          </w:p>
        </w:tc>
        <w:tc>
          <w:tcPr>
            <w:tcW w:w="0" w:type="auto"/>
            <w:hideMark/>
          </w:tcPr>
          <w:p w14:paraId="406CEFED"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2E3D1BB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7673</w:t>
            </w:r>
          </w:p>
        </w:tc>
        <w:tc>
          <w:tcPr>
            <w:tcW w:w="0" w:type="auto"/>
            <w:hideMark/>
          </w:tcPr>
          <w:p w14:paraId="795DBD75"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8100</w:t>
            </w:r>
          </w:p>
        </w:tc>
        <w:tc>
          <w:tcPr>
            <w:tcW w:w="0" w:type="auto"/>
            <w:hideMark/>
          </w:tcPr>
          <w:p w14:paraId="1C3A1A42"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7281</w:t>
            </w:r>
          </w:p>
        </w:tc>
        <w:tc>
          <w:tcPr>
            <w:tcW w:w="0" w:type="auto"/>
            <w:hideMark/>
          </w:tcPr>
          <w:p w14:paraId="7C0E070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6,973</w:t>
            </w:r>
          </w:p>
        </w:tc>
        <w:tc>
          <w:tcPr>
            <w:tcW w:w="0" w:type="auto"/>
            <w:hideMark/>
          </w:tcPr>
          <w:p w14:paraId="41317CF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5,851</w:t>
            </w:r>
          </w:p>
        </w:tc>
        <w:tc>
          <w:tcPr>
            <w:tcW w:w="0" w:type="auto"/>
            <w:hideMark/>
          </w:tcPr>
          <w:p w14:paraId="2293609A"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140C1E7F"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E899A5F"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Receivables from financial services (current)</w:t>
            </w:r>
          </w:p>
        </w:tc>
        <w:tc>
          <w:tcPr>
            <w:tcW w:w="0" w:type="auto"/>
            <w:hideMark/>
          </w:tcPr>
          <w:p w14:paraId="5FF428C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34CDDE5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33670</w:t>
            </w:r>
          </w:p>
        </w:tc>
        <w:tc>
          <w:tcPr>
            <w:tcW w:w="0" w:type="auto"/>
            <w:hideMark/>
          </w:tcPr>
          <w:p w14:paraId="58D8A832"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37312</w:t>
            </w:r>
          </w:p>
        </w:tc>
        <w:tc>
          <w:tcPr>
            <w:tcW w:w="0" w:type="auto"/>
            <w:hideMark/>
          </w:tcPr>
          <w:p w14:paraId="0AB95D29"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38469</w:t>
            </w:r>
          </w:p>
        </w:tc>
        <w:tc>
          <w:tcPr>
            <w:tcW w:w="0" w:type="auto"/>
            <w:hideMark/>
          </w:tcPr>
          <w:p w14:paraId="04379CF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39,320</w:t>
            </w:r>
          </w:p>
        </w:tc>
        <w:tc>
          <w:tcPr>
            <w:tcW w:w="0" w:type="auto"/>
            <w:hideMark/>
          </w:tcPr>
          <w:p w14:paraId="648CF2D0"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34,387</w:t>
            </w:r>
          </w:p>
        </w:tc>
        <w:tc>
          <w:tcPr>
            <w:tcW w:w="0" w:type="auto"/>
            <w:hideMark/>
          </w:tcPr>
          <w:p w14:paraId="0E4BFBE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40DF0FA"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2FFAA37D"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Cash and cash equivalents</w:t>
            </w:r>
          </w:p>
        </w:tc>
        <w:tc>
          <w:tcPr>
            <w:tcW w:w="0" w:type="auto"/>
            <w:hideMark/>
          </w:tcPr>
          <w:p w14:paraId="3D5EB279"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74F1B16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23120</w:t>
            </w:r>
          </w:p>
        </w:tc>
        <w:tc>
          <w:tcPr>
            <w:tcW w:w="0" w:type="auto"/>
            <w:hideMark/>
          </w:tcPr>
          <w:p w14:paraId="772FE0B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17679</w:t>
            </w:r>
          </w:p>
        </w:tc>
        <w:tc>
          <w:tcPr>
            <w:tcW w:w="0" w:type="auto"/>
            <w:hideMark/>
          </w:tcPr>
          <w:p w14:paraId="02CD732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15962</w:t>
            </w:r>
          </w:p>
        </w:tc>
        <w:tc>
          <w:tcPr>
            <w:tcW w:w="0" w:type="auto"/>
            <w:hideMark/>
          </w:tcPr>
          <w:p w14:paraId="1EC847F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14511</w:t>
            </w:r>
          </w:p>
        </w:tc>
        <w:tc>
          <w:tcPr>
            <w:tcW w:w="0" w:type="auto"/>
            <w:hideMark/>
          </w:tcPr>
          <w:p w14:paraId="047D6E35"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12254</w:t>
            </w:r>
          </w:p>
        </w:tc>
        <w:tc>
          <w:tcPr>
            <w:tcW w:w="0" w:type="auto"/>
            <w:hideMark/>
          </w:tcPr>
          <w:p w14:paraId="5AF99675"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2736630A"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15E284EF"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Marketable debt securities and similar investments (current)</w:t>
            </w:r>
          </w:p>
        </w:tc>
        <w:tc>
          <w:tcPr>
            <w:tcW w:w="0" w:type="auto"/>
            <w:hideMark/>
          </w:tcPr>
          <w:p w14:paraId="2E127DB2"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6706</w:t>
            </w:r>
          </w:p>
        </w:tc>
        <w:tc>
          <w:tcPr>
            <w:tcW w:w="0" w:type="auto"/>
            <w:hideMark/>
          </w:tcPr>
          <w:p w14:paraId="166CEA5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6237</w:t>
            </w:r>
          </w:p>
        </w:tc>
        <w:tc>
          <w:tcPr>
            <w:tcW w:w="0" w:type="auto"/>
            <w:hideMark/>
          </w:tcPr>
          <w:p w14:paraId="6B66A27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6159</w:t>
            </w:r>
          </w:p>
        </w:tc>
        <w:tc>
          <w:tcPr>
            <w:tcW w:w="0" w:type="auto"/>
            <w:hideMark/>
          </w:tcPr>
          <w:p w14:paraId="5B734BB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7086</w:t>
            </w:r>
          </w:p>
        </w:tc>
        <w:tc>
          <w:tcPr>
            <w:tcW w:w="0" w:type="auto"/>
            <w:hideMark/>
          </w:tcPr>
          <w:p w14:paraId="712C1320"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6940</w:t>
            </w:r>
          </w:p>
        </w:tc>
        <w:tc>
          <w:tcPr>
            <w:tcW w:w="0" w:type="auto"/>
            <w:hideMark/>
          </w:tcPr>
          <w:p w14:paraId="42E6B18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2B454FCB"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6C8230ED"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financial assets (current)</w:t>
            </w:r>
          </w:p>
        </w:tc>
        <w:tc>
          <w:tcPr>
            <w:tcW w:w="0" w:type="auto"/>
            <w:hideMark/>
          </w:tcPr>
          <w:p w14:paraId="599BDA1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4B09ECF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3079</w:t>
            </w:r>
          </w:p>
        </w:tc>
        <w:tc>
          <w:tcPr>
            <w:tcW w:w="0" w:type="auto"/>
            <w:hideMark/>
          </w:tcPr>
          <w:p w14:paraId="56D5507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3453</w:t>
            </w:r>
          </w:p>
        </w:tc>
        <w:tc>
          <w:tcPr>
            <w:tcW w:w="0" w:type="auto"/>
            <w:hideMark/>
          </w:tcPr>
          <w:p w14:paraId="507CEC0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3599</w:t>
            </w:r>
          </w:p>
        </w:tc>
        <w:tc>
          <w:tcPr>
            <w:tcW w:w="0" w:type="auto"/>
            <w:hideMark/>
          </w:tcPr>
          <w:p w14:paraId="6377999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2868</w:t>
            </w:r>
          </w:p>
        </w:tc>
        <w:tc>
          <w:tcPr>
            <w:tcW w:w="0" w:type="auto"/>
            <w:hideMark/>
          </w:tcPr>
          <w:p w14:paraId="7E4D0A6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2852</w:t>
            </w:r>
          </w:p>
        </w:tc>
        <w:tc>
          <w:tcPr>
            <w:tcW w:w="0" w:type="auto"/>
            <w:hideMark/>
          </w:tcPr>
          <w:p w14:paraId="6C95009C"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2324AE5D"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1D12E09C"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Income tax assets (current)</w:t>
            </w:r>
          </w:p>
        </w:tc>
        <w:tc>
          <w:tcPr>
            <w:tcW w:w="0" w:type="auto"/>
            <w:hideMark/>
          </w:tcPr>
          <w:p w14:paraId="783F8D8C"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39261BA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4073</w:t>
            </w:r>
          </w:p>
        </w:tc>
        <w:tc>
          <w:tcPr>
            <w:tcW w:w="0" w:type="auto"/>
            <w:hideMark/>
          </w:tcPr>
          <w:p w14:paraId="05FF05B9"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4472</w:t>
            </w:r>
          </w:p>
        </w:tc>
        <w:tc>
          <w:tcPr>
            <w:tcW w:w="0" w:type="auto"/>
            <w:hideMark/>
          </w:tcPr>
          <w:p w14:paraId="238B44F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4473</w:t>
            </w:r>
          </w:p>
        </w:tc>
        <w:tc>
          <w:tcPr>
            <w:tcW w:w="0" w:type="auto"/>
            <w:hideMark/>
          </w:tcPr>
          <w:p w14:paraId="30E107B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1034</w:t>
            </w:r>
          </w:p>
        </w:tc>
        <w:tc>
          <w:tcPr>
            <w:tcW w:w="0" w:type="auto"/>
            <w:hideMark/>
          </w:tcPr>
          <w:p w14:paraId="43F14DA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1257</w:t>
            </w:r>
          </w:p>
        </w:tc>
        <w:tc>
          <w:tcPr>
            <w:tcW w:w="0" w:type="auto"/>
            <w:hideMark/>
          </w:tcPr>
          <w:p w14:paraId="1B3D8BB0"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0137AFC4"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141EDF1"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assets (current)</w:t>
            </w:r>
          </w:p>
        </w:tc>
        <w:tc>
          <w:tcPr>
            <w:tcW w:w="0" w:type="auto"/>
            <w:hideMark/>
          </w:tcPr>
          <w:p w14:paraId="69520D51"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0BD5C34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3142</w:t>
            </w:r>
          </w:p>
        </w:tc>
        <w:tc>
          <w:tcPr>
            <w:tcW w:w="0" w:type="auto"/>
            <w:hideMark/>
          </w:tcPr>
          <w:p w14:paraId="22B249E0"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w:t>
            </w:r>
          </w:p>
        </w:tc>
        <w:tc>
          <w:tcPr>
            <w:tcW w:w="0" w:type="auto"/>
            <w:hideMark/>
          </w:tcPr>
          <w:p w14:paraId="2CC8D53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795</w:t>
            </w:r>
          </w:p>
        </w:tc>
        <w:tc>
          <w:tcPr>
            <w:tcW w:w="0" w:type="auto"/>
            <w:hideMark/>
          </w:tcPr>
          <w:p w14:paraId="2FA96E3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3,581</w:t>
            </w:r>
          </w:p>
        </w:tc>
        <w:tc>
          <w:tcPr>
            <w:tcW w:w="0" w:type="auto"/>
            <w:hideMark/>
          </w:tcPr>
          <w:p w14:paraId="11F5DA6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3,645</w:t>
            </w:r>
          </w:p>
        </w:tc>
        <w:tc>
          <w:tcPr>
            <w:tcW w:w="0" w:type="auto"/>
            <w:hideMark/>
          </w:tcPr>
          <w:p w14:paraId="1FC91BAE"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7E3B8AF"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05EA59A"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Assets held for sale</w:t>
            </w:r>
          </w:p>
        </w:tc>
        <w:tc>
          <w:tcPr>
            <w:tcW w:w="0" w:type="auto"/>
            <w:hideMark/>
          </w:tcPr>
          <w:p w14:paraId="5A03F603"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6501BA10"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w:t>
            </w:r>
          </w:p>
        </w:tc>
        <w:tc>
          <w:tcPr>
            <w:tcW w:w="0" w:type="auto"/>
            <w:hideMark/>
          </w:tcPr>
          <w:p w14:paraId="0E4BE403"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w:t>
            </w:r>
          </w:p>
        </w:tc>
        <w:tc>
          <w:tcPr>
            <w:tcW w:w="0" w:type="auto"/>
            <w:hideMark/>
          </w:tcPr>
          <w:p w14:paraId="107705A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0</w:t>
            </w:r>
          </w:p>
        </w:tc>
        <w:tc>
          <w:tcPr>
            <w:tcW w:w="0" w:type="auto"/>
            <w:hideMark/>
          </w:tcPr>
          <w:p w14:paraId="4120CB3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160</w:t>
            </w:r>
          </w:p>
        </w:tc>
        <w:tc>
          <w:tcPr>
            <w:tcW w:w="0" w:type="auto"/>
            <w:hideMark/>
          </w:tcPr>
          <w:p w14:paraId="22208D8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11,013</w:t>
            </w:r>
          </w:p>
        </w:tc>
        <w:tc>
          <w:tcPr>
            <w:tcW w:w="0" w:type="auto"/>
            <w:hideMark/>
          </w:tcPr>
          <w:p w14:paraId="55E2C671"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2581476B"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76311765"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Total current assets</w:t>
            </w:r>
          </w:p>
        </w:tc>
        <w:tc>
          <w:tcPr>
            <w:tcW w:w="0" w:type="auto"/>
            <w:hideMark/>
          </w:tcPr>
          <w:p w14:paraId="545B676A"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0</w:t>
            </w:r>
          </w:p>
        </w:tc>
        <w:tc>
          <w:tcPr>
            <w:tcW w:w="0" w:type="auto"/>
            <w:hideMark/>
          </w:tcPr>
          <w:p w14:paraId="519B32B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102,929</w:t>
            </w:r>
          </w:p>
        </w:tc>
        <w:tc>
          <w:tcPr>
            <w:tcW w:w="0" w:type="auto"/>
            <w:hideMark/>
          </w:tcPr>
          <w:p w14:paraId="49F63F59"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102,874</w:t>
            </w:r>
          </w:p>
        </w:tc>
        <w:tc>
          <w:tcPr>
            <w:tcW w:w="0" w:type="auto"/>
            <w:hideMark/>
          </w:tcPr>
          <w:p w14:paraId="06E9062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104,032</w:t>
            </w:r>
          </w:p>
        </w:tc>
        <w:tc>
          <w:tcPr>
            <w:tcW w:w="0" w:type="auto"/>
            <w:hideMark/>
          </w:tcPr>
          <w:p w14:paraId="349D2729"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101,767</w:t>
            </w:r>
          </w:p>
        </w:tc>
        <w:tc>
          <w:tcPr>
            <w:tcW w:w="0" w:type="auto"/>
            <w:hideMark/>
          </w:tcPr>
          <w:p w14:paraId="0BF41D7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102,132</w:t>
            </w:r>
          </w:p>
        </w:tc>
        <w:tc>
          <w:tcPr>
            <w:tcW w:w="0" w:type="auto"/>
            <w:hideMark/>
          </w:tcPr>
          <w:p w14:paraId="2F1A782E"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0F6A8ED9" w14:textId="77777777" w:rsidTr="00A553B9">
        <w:trPr>
          <w:trHeight w:val="270"/>
        </w:trPr>
        <w:tc>
          <w:tcPr>
            <w:cnfStyle w:val="001000000000" w:firstRow="0" w:lastRow="0" w:firstColumn="1" w:lastColumn="0" w:oddVBand="0" w:evenVBand="0" w:oddHBand="0" w:evenHBand="0" w:firstRowFirstColumn="0" w:firstRowLastColumn="0" w:lastRowFirstColumn="0" w:lastRowLastColumn="0"/>
            <w:tcW w:w="0" w:type="auto"/>
            <w:hideMark/>
          </w:tcPr>
          <w:p w14:paraId="6B9D8B04"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Total assets</w:t>
            </w:r>
          </w:p>
        </w:tc>
        <w:tc>
          <w:tcPr>
            <w:tcW w:w="0" w:type="auto"/>
            <w:hideMark/>
          </w:tcPr>
          <w:p w14:paraId="15EB0CA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0</w:t>
            </w:r>
          </w:p>
        </w:tc>
        <w:tc>
          <w:tcPr>
            <w:tcW w:w="0" w:type="auto"/>
            <w:hideMark/>
          </w:tcPr>
          <w:p w14:paraId="7551CB7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259,831</w:t>
            </w:r>
          </w:p>
        </w:tc>
        <w:tc>
          <w:tcPr>
            <w:tcW w:w="0" w:type="auto"/>
            <w:hideMark/>
          </w:tcPr>
          <w:p w14:paraId="5DF7A22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260,015</w:t>
            </w:r>
          </w:p>
        </w:tc>
        <w:tc>
          <w:tcPr>
            <w:tcW w:w="0" w:type="auto"/>
            <w:hideMark/>
          </w:tcPr>
          <w:p w14:paraId="0014407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263,022</w:t>
            </w:r>
          </w:p>
        </w:tc>
        <w:tc>
          <w:tcPr>
            <w:tcW w:w="0" w:type="auto"/>
            <w:hideMark/>
          </w:tcPr>
          <w:p w14:paraId="23FA7CC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265,010</w:t>
            </w:r>
          </w:p>
        </w:tc>
        <w:tc>
          <w:tcPr>
            <w:tcW w:w="0" w:type="auto"/>
            <w:hideMark/>
          </w:tcPr>
          <w:p w14:paraId="5B9102A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255,466</w:t>
            </w:r>
          </w:p>
        </w:tc>
        <w:tc>
          <w:tcPr>
            <w:tcW w:w="0" w:type="auto"/>
            <w:hideMark/>
          </w:tcPr>
          <w:p w14:paraId="651FC8E3"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5B67CCC5" w14:textId="77777777" w:rsidTr="00A553B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auto"/>
            <w:hideMark/>
          </w:tcPr>
          <w:p w14:paraId="05F6E145" w14:textId="77777777" w:rsidR="000C10A2" w:rsidRPr="00A553B9" w:rsidRDefault="000C10A2" w:rsidP="007054BE">
            <w:pPr>
              <w:spacing w:after="0" w:line="240" w:lineRule="auto"/>
              <w:jc w:val="right"/>
              <w:rPr>
                <w:rFonts w:ascii="Times New Roman" w:eastAsia="Times New Roman" w:hAnsi="Times New Roman" w:cs="Times New Roman"/>
                <w:color w:val="000000"/>
                <w:sz w:val="18"/>
                <w:szCs w:val="18"/>
              </w:rPr>
            </w:pPr>
          </w:p>
        </w:tc>
        <w:tc>
          <w:tcPr>
            <w:tcW w:w="0" w:type="auto"/>
            <w:hideMark/>
          </w:tcPr>
          <w:p w14:paraId="6B2CBDA6"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2E74823E"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46B53E98"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322F1E4B"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54A9EB40"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15B2E572"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0B190F2C"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76BF33E"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38278DD7"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Equity and Liabilities</w:t>
            </w:r>
          </w:p>
        </w:tc>
        <w:tc>
          <w:tcPr>
            <w:tcW w:w="0" w:type="auto"/>
            <w:hideMark/>
          </w:tcPr>
          <w:p w14:paraId="607936A3"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2531FAA3"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0968F68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1AC5DB61"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337DDF45"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7EEB3B65"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21529006"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9982D69"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035F9327"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Share capital</w:t>
            </w:r>
          </w:p>
        </w:tc>
        <w:tc>
          <w:tcPr>
            <w:tcW w:w="0" w:type="auto"/>
            <w:hideMark/>
          </w:tcPr>
          <w:p w14:paraId="049CFBF0"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1579E594"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3070</w:t>
            </w:r>
          </w:p>
        </w:tc>
        <w:tc>
          <w:tcPr>
            <w:tcW w:w="0" w:type="auto"/>
            <w:hideMark/>
          </w:tcPr>
          <w:p w14:paraId="00692BD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3070</w:t>
            </w:r>
          </w:p>
        </w:tc>
        <w:tc>
          <w:tcPr>
            <w:tcW w:w="0" w:type="auto"/>
            <w:hideMark/>
          </w:tcPr>
          <w:p w14:paraId="5DC4B9F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3070</w:t>
            </w:r>
          </w:p>
        </w:tc>
        <w:tc>
          <w:tcPr>
            <w:tcW w:w="0" w:type="auto"/>
            <w:hideMark/>
          </w:tcPr>
          <w:p w14:paraId="5F1F1C29"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3,070</w:t>
            </w:r>
          </w:p>
        </w:tc>
        <w:tc>
          <w:tcPr>
            <w:tcW w:w="0" w:type="auto"/>
            <w:hideMark/>
          </w:tcPr>
          <w:p w14:paraId="47883A8B"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3,070</w:t>
            </w:r>
          </w:p>
        </w:tc>
        <w:tc>
          <w:tcPr>
            <w:tcW w:w="0" w:type="auto"/>
            <w:hideMark/>
          </w:tcPr>
          <w:p w14:paraId="503AC4AE"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630FA763"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E130C0E"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Capital reserves</w:t>
            </w:r>
          </w:p>
        </w:tc>
        <w:tc>
          <w:tcPr>
            <w:tcW w:w="0" w:type="auto"/>
            <w:hideMark/>
          </w:tcPr>
          <w:p w14:paraId="1BC2591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09E19A2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11723</w:t>
            </w:r>
          </w:p>
        </w:tc>
        <w:tc>
          <w:tcPr>
            <w:tcW w:w="0" w:type="auto"/>
            <w:hideMark/>
          </w:tcPr>
          <w:p w14:paraId="2EE4BF1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11718</w:t>
            </w:r>
          </w:p>
        </w:tc>
        <w:tc>
          <w:tcPr>
            <w:tcW w:w="0" w:type="auto"/>
            <w:hideMark/>
          </w:tcPr>
          <w:p w14:paraId="188389C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11718</w:t>
            </w:r>
          </w:p>
        </w:tc>
        <w:tc>
          <w:tcPr>
            <w:tcW w:w="0" w:type="auto"/>
            <w:hideMark/>
          </w:tcPr>
          <w:p w14:paraId="094A8360"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11,718</w:t>
            </w:r>
          </w:p>
        </w:tc>
        <w:tc>
          <w:tcPr>
            <w:tcW w:w="0" w:type="auto"/>
            <w:hideMark/>
          </w:tcPr>
          <w:p w14:paraId="0A9E9DB2"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11,718</w:t>
            </w:r>
          </w:p>
        </w:tc>
        <w:tc>
          <w:tcPr>
            <w:tcW w:w="0" w:type="auto"/>
            <w:hideMark/>
          </w:tcPr>
          <w:p w14:paraId="02146266"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6ED0F1B9"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6A9573FB"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Retained earnings</w:t>
            </w:r>
          </w:p>
        </w:tc>
        <w:tc>
          <w:tcPr>
            <w:tcW w:w="0" w:type="auto"/>
            <w:hideMark/>
          </w:tcPr>
          <w:p w14:paraId="028F4E10"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4EB2622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55926</w:t>
            </w:r>
          </w:p>
        </w:tc>
        <w:tc>
          <w:tcPr>
            <w:tcW w:w="0" w:type="auto"/>
            <w:hideMark/>
          </w:tcPr>
          <w:p w14:paraId="2C6D323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67695</w:t>
            </w:r>
          </w:p>
        </w:tc>
        <w:tc>
          <w:tcPr>
            <w:tcW w:w="0" w:type="auto"/>
            <w:hideMark/>
          </w:tcPr>
          <w:p w14:paraId="742B441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76670</w:t>
            </w:r>
          </w:p>
        </w:tc>
        <w:tc>
          <w:tcPr>
            <w:tcW w:w="0" w:type="auto"/>
            <w:hideMark/>
          </w:tcPr>
          <w:p w14:paraId="3AE0DCD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75469</w:t>
            </w:r>
          </w:p>
        </w:tc>
        <w:tc>
          <w:tcPr>
            <w:tcW w:w="0" w:type="auto"/>
            <w:hideMark/>
          </w:tcPr>
          <w:p w14:paraId="5F85B2F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77631</w:t>
            </w:r>
          </w:p>
        </w:tc>
        <w:tc>
          <w:tcPr>
            <w:tcW w:w="0" w:type="auto"/>
            <w:hideMark/>
          </w:tcPr>
          <w:p w14:paraId="272FC62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45FCCBEC"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60D62B35"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reserves</w:t>
            </w:r>
          </w:p>
        </w:tc>
        <w:tc>
          <w:tcPr>
            <w:tcW w:w="0" w:type="auto"/>
            <w:hideMark/>
          </w:tcPr>
          <w:p w14:paraId="13448AC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478C3401"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1232</w:t>
            </w:r>
          </w:p>
        </w:tc>
        <w:tc>
          <w:tcPr>
            <w:tcW w:w="0" w:type="auto"/>
            <w:hideMark/>
          </w:tcPr>
          <w:p w14:paraId="68B3EA0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2932</w:t>
            </w:r>
          </w:p>
        </w:tc>
        <w:tc>
          <w:tcPr>
            <w:tcW w:w="0" w:type="auto"/>
            <w:hideMark/>
          </w:tcPr>
          <w:p w14:paraId="5926A679"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2571</w:t>
            </w:r>
          </w:p>
        </w:tc>
        <w:tc>
          <w:tcPr>
            <w:tcW w:w="0" w:type="auto"/>
            <w:hideMark/>
          </w:tcPr>
          <w:p w14:paraId="3ACD612D"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2368</w:t>
            </w:r>
          </w:p>
        </w:tc>
        <w:tc>
          <w:tcPr>
            <w:tcW w:w="0" w:type="auto"/>
            <w:hideMark/>
          </w:tcPr>
          <w:p w14:paraId="7415C06E"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1163</w:t>
            </w:r>
          </w:p>
        </w:tc>
        <w:tc>
          <w:tcPr>
            <w:tcW w:w="0" w:type="auto"/>
            <w:hideMark/>
          </w:tcPr>
          <w:p w14:paraId="018427F0"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14B58271"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0E27FD3F"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Treasury shares</w:t>
            </w:r>
          </w:p>
        </w:tc>
        <w:tc>
          <w:tcPr>
            <w:tcW w:w="0" w:type="auto"/>
            <w:hideMark/>
          </w:tcPr>
          <w:p w14:paraId="2F2B1708"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231F49C7"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w:t>
            </w:r>
          </w:p>
        </w:tc>
        <w:tc>
          <w:tcPr>
            <w:tcW w:w="0" w:type="auto"/>
            <w:hideMark/>
          </w:tcPr>
          <w:p w14:paraId="025E0FCB"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w:t>
            </w:r>
          </w:p>
        </w:tc>
        <w:tc>
          <w:tcPr>
            <w:tcW w:w="0" w:type="auto"/>
            <w:hideMark/>
          </w:tcPr>
          <w:p w14:paraId="6D909092"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-2256</w:t>
            </w:r>
          </w:p>
        </w:tc>
        <w:tc>
          <w:tcPr>
            <w:tcW w:w="0" w:type="auto"/>
            <w:hideMark/>
          </w:tcPr>
          <w:p w14:paraId="5E07293A"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0</w:t>
            </w:r>
          </w:p>
        </w:tc>
        <w:tc>
          <w:tcPr>
            <w:tcW w:w="0" w:type="auto"/>
            <w:hideMark/>
          </w:tcPr>
          <w:p w14:paraId="53C56E1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-325</w:t>
            </w:r>
          </w:p>
        </w:tc>
        <w:tc>
          <w:tcPr>
            <w:tcW w:w="0" w:type="auto"/>
            <w:hideMark/>
          </w:tcPr>
          <w:p w14:paraId="581E126B"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76600441"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1259EE4A"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Equity attributable to shareholders of Mercedes-Benz Group AG</w:t>
            </w:r>
          </w:p>
        </w:tc>
        <w:tc>
          <w:tcPr>
            <w:tcW w:w="0" w:type="auto"/>
            <w:hideMark/>
          </w:tcPr>
          <w:p w14:paraId="1F173A11"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71,951</w:t>
            </w:r>
          </w:p>
        </w:tc>
        <w:tc>
          <w:tcPr>
            <w:tcW w:w="0" w:type="auto"/>
            <w:hideMark/>
          </w:tcPr>
          <w:p w14:paraId="591B65F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85,415</w:t>
            </w:r>
          </w:p>
        </w:tc>
        <w:tc>
          <w:tcPr>
            <w:tcW w:w="0" w:type="auto"/>
            <w:hideMark/>
          </w:tcPr>
          <w:p w14:paraId="0B23424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91,773</w:t>
            </w:r>
          </w:p>
        </w:tc>
        <w:tc>
          <w:tcPr>
            <w:tcW w:w="0" w:type="auto"/>
            <w:hideMark/>
          </w:tcPr>
          <w:p w14:paraId="62B30C5D"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92,625</w:t>
            </w:r>
          </w:p>
        </w:tc>
        <w:tc>
          <w:tcPr>
            <w:tcW w:w="0" w:type="auto"/>
            <w:hideMark/>
          </w:tcPr>
          <w:p w14:paraId="09EE32D1"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93,257</w:t>
            </w:r>
          </w:p>
        </w:tc>
        <w:tc>
          <w:tcPr>
            <w:tcW w:w="0" w:type="auto"/>
            <w:hideMark/>
          </w:tcPr>
          <w:p w14:paraId="1220260A"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018BE2D7"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C901B69"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Non-controlling interests</w:t>
            </w:r>
          </w:p>
        </w:tc>
        <w:tc>
          <w:tcPr>
            <w:tcW w:w="0" w:type="auto"/>
            <w:hideMark/>
          </w:tcPr>
          <w:p w14:paraId="1F787745"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6B8449A9"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1216</w:t>
            </w:r>
          </w:p>
        </w:tc>
        <w:tc>
          <w:tcPr>
            <w:tcW w:w="0" w:type="auto"/>
            <w:hideMark/>
          </w:tcPr>
          <w:p w14:paraId="4D0AD00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1125</w:t>
            </w:r>
          </w:p>
        </w:tc>
        <w:tc>
          <w:tcPr>
            <w:tcW w:w="0" w:type="auto"/>
            <w:hideMark/>
          </w:tcPr>
          <w:p w14:paraId="32DC861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1043</w:t>
            </w:r>
          </w:p>
        </w:tc>
        <w:tc>
          <w:tcPr>
            <w:tcW w:w="0" w:type="auto"/>
            <w:hideMark/>
          </w:tcPr>
          <w:p w14:paraId="51104A5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1005</w:t>
            </w:r>
          </w:p>
        </w:tc>
        <w:tc>
          <w:tcPr>
            <w:tcW w:w="0" w:type="auto"/>
            <w:hideMark/>
          </w:tcPr>
          <w:p w14:paraId="7900B15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983</w:t>
            </w:r>
          </w:p>
        </w:tc>
        <w:tc>
          <w:tcPr>
            <w:tcW w:w="0" w:type="auto"/>
            <w:hideMark/>
          </w:tcPr>
          <w:p w14:paraId="2AA11ABF"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497F82B1"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6E89F039"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Total equity</w:t>
            </w:r>
          </w:p>
        </w:tc>
        <w:tc>
          <w:tcPr>
            <w:tcW w:w="0" w:type="auto"/>
            <w:hideMark/>
          </w:tcPr>
          <w:p w14:paraId="3CD1BBA9"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w:t>
            </w:r>
          </w:p>
        </w:tc>
        <w:tc>
          <w:tcPr>
            <w:tcW w:w="0" w:type="auto"/>
            <w:hideMark/>
          </w:tcPr>
          <w:p w14:paraId="551918A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73,167</w:t>
            </w:r>
          </w:p>
        </w:tc>
        <w:tc>
          <w:tcPr>
            <w:tcW w:w="0" w:type="auto"/>
            <w:hideMark/>
          </w:tcPr>
          <w:p w14:paraId="3ED301AD"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86,540</w:t>
            </w:r>
          </w:p>
        </w:tc>
        <w:tc>
          <w:tcPr>
            <w:tcW w:w="0" w:type="auto"/>
            <w:hideMark/>
          </w:tcPr>
          <w:p w14:paraId="3FF4293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92,816</w:t>
            </w:r>
          </w:p>
        </w:tc>
        <w:tc>
          <w:tcPr>
            <w:tcW w:w="0" w:type="auto"/>
            <w:hideMark/>
          </w:tcPr>
          <w:p w14:paraId="14DE9F0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93,630</w:t>
            </w:r>
          </w:p>
        </w:tc>
        <w:tc>
          <w:tcPr>
            <w:tcW w:w="0" w:type="auto"/>
            <w:hideMark/>
          </w:tcPr>
          <w:p w14:paraId="3B881DF9"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94,240</w:t>
            </w:r>
          </w:p>
        </w:tc>
        <w:tc>
          <w:tcPr>
            <w:tcW w:w="0" w:type="auto"/>
            <w:hideMark/>
          </w:tcPr>
          <w:p w14:paraId="6FF29D0A"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1196EC30"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3BC59618"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Provisions for pensions and similar obligations</w:t>
            </w:r>
          </w:p>
        </w:tc>
        <w:tc>
          <w:tcPr>
            <w:tcW w:w="0" w:type="auto"/>
            <w:hideMark/>
          </w:tcPr>
          <w:p w14:paraId="261BEFBC"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18C8D10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5359</w:t>
            </w:r>
          </w:p>
        </w:tc>
        <w:tc>
          <w:tcPr>
            <w:tcW w:w="0" w:type="auto"/>
            <w:hideMark/>
          </w:tcPr>
          <w:p w14:paraId="6B08735A"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1021</w:t>
            </w:r>
          </w:p>
        </w:tc>
        <w:tc>
          <w:tcPr>
            <w:tcW w:w="0" w:type="auto"/>
            <w:hideMark/>
          </w:tcPr>
          <w:p w14:paraId="3E3E342A"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1090</w:t>
            </w:r>
          </w:p>
        </w:tc>
        <w:tc>
          <w:tcPr>
            <w:tcW w:w="0" w:type="auto"/>
            <w:hideMark/>
          </w:tcPr>
          <w:p w14:paraId="7363FB75"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952</w:t>
            </w:r>
          </w:p>
        </w:tc>
        <w:tc>
          <w:tcPr>
            <w:tcW w:w="0" w:type="auto"/>
            <w:hideMark/>
          </w:tcPr>
          <w:p w14:paraId="5DB2AD4A"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807</w:t>
            </w:r>
          </w:p>
        </w:tc>
        <w:tc>
          <w:tcPr>
            <w:tcW w:w="0" w:type="auto"/>
            <w:hideMark/>
          </w:tcPr>
          <w:p w14:paraId="2AAEDE67"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1002986A"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65EFADF3"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Provisions for other risks (non-current)</w:t>
            </w:r>
          </w:p>
        </w:tc>
        <w:tc>
          <w:tcPr>
            <w:tcW w:w="0" w:type="auto"/>
            <w:hideMark/>
          </w:tcPr>
          <w:p w14:paraId="36F12C2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5D389F9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7909</w:t>
            </w:r>
          </w:p>
        </w:tc>
        <w:tc>
          <w:tcPr>
            <w:tcW w:w="0" w:type="auto"/>
            <w:hideMark/>
          </w:tcPr>
          <w:p w14:paraId="604EB37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6438</w:t>
            </w:r>
          </w:p>
        </w:tc>
        <w:tc>
          <w:tcPr>
            <w:tcW w:w="0" w:type="auto"/>
            <w:hideMark/>
          </w:tcPr>
          <w:p w14:paraId="464735F1"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7345</w:t>
            </w:r>
          </w:p>
        </w:tc>
        <w:tc>
          <w:tcPr>
            <w:tcW w:w="0" w:type="auto"/>
            <w:hideMark/>
          </w:tcPr>
          <w:p w14:paraId="34ED3F5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7,332</w:t>
            </w:r>
          </w:p>
        </w:tc>
        <w:tc>
          <w:tcPr>
            <w:tcW w:w="0" w:type="auto"/>
            <w:hideMark/>
          </w:tcPr>
          <w:p w14:paraId="0CA479F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7,612</w:t>
            </w:r>
          </w:p>
        </w:tc>
        <w:tc>
          <w:tcPr>
            <w:tcW w:w="0" w:type="auto"/>
            <w:hideMark/>
          </w:tcPr>
          <w:p w14:paraId="1CE81F39"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DC0560B"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E9DD1A8"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Financing liabilities (non-current)</w:t>
            </w:r>
          </w:p>
        </w:tc>
        <w:tc>
          <w:tcPr>
            <w:tcW w:w="0" w:type="auto"/>
            <w:hideMark/>
          </w:tcPr>
          <w:p w14:paraId="1780E7E2"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474C9860"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7354</w:t>
            </w:r>
            <w:r w:rsidRPr="00A553B9">
              <w:rPr>
                <w:rFonts w:ascii="Times New Roman" w:eastAsia="Times New Roman" w:hAnsi="Times New Roman" w:cs="Times New Roman"/>
                <w:color w:val="000000"/>
                <w:sz w:val="18"/>
                <w:szCs w:val="18"/>
              </w:rPr>
              <w:lastRenderedPageBreak/>
              <w:t>3</w:t>
            </w:r>
          </w:p>
        </w:tc>
        <w:tc>
          <w:tcPr>
            <w:tcW w:w="0" w:type="auto"/>
            <w:hideMark/>
          </w:tcPr>
          <w:p w14:paraId="607E7B75"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lastRenderedPageBreak/>
              <w:t>6205</w:t>
            </w:r>
            <w:r w:rsidRPr="00A553B9">
              <w:rPr>
                <w:rFonts w:ascii="Times New Roman" w:eastAsia="Times New Roman" w:hAnsi="Times New Roman" w:cs="Times New Roman"/>
                <w:color w:val="000000"/>
                <w:sz w:val="18"/>
                <w:szCs w:val="18"/>
              </w:rPr>
              <w:lastRenderedPageBreak/>
              <w:t>1</w:t>
            </w:r>
          </w:p>
        </w:tc>
        <w:tc>
          <w:tcPr>
            <w:tcW w:w="0" w:type="auto"/>
            <w:hideMark/>
          </w:tcPr>
          <w:p w14:paraId="6F53168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lastRenderedPageBreak/>
              <w:t>6372</w:t>
            </w:r>
            <w:r w:rsidRPr="00A553B9">
              <w:rPr>
                <w:rFonts w:ascii="Times New Roman" w:eastAsia="Times New Roman" w:hAnsi="Times New Roman" w:cs="Times New Roman"/>
                <w:color w:val="000000"/>
                <w:sz w:val="18"/>
                <w:szCs w:val="18"/>
              </w:rPr>
              <w:lastRenderedPageBreak/>
              <w:t>4</w:t>
            </w:r>
          </w:p>
        </w:tc>
        <w:tc>
          <w:tcPr>
            <w:tcW w:w="0" w:type="auto"/>
            <w:hideMark/>
          </w:tcPr>
          <w:p w14:paraId="619385B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lastRenderedPageBreak/>
              <w:t>7348</w:t>
            </w:r>
            <w:r w:rsidRPr="00A553B9">
              <w:rPr>
                <w:rFonts w:ascii="Times New Roman" w:eastAsia="Times New Roman" w:hAnsi="Times New Roman" w:cs="Times New Roman"/>
                <w:color w:val="000000"/>
                <w:sz w:val="18"/>
                <w:szCs w:val="18"/>
              </w:rPr>
              <w:lastRenderedPageBreak/>
              <w:t>7</w:t>
            </w:r>
          </w:p>
        </w:tc>
        <w:tc>
          <w:tcPr>
            <w:tcW w:w="0" w:type="auto"/>
            <w:hideMark/>
          </w:tcPr>
          <w:p w14:paraId="737DAD7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lastRenderedPageBreak/>
              <w:t>62410</w:t>
            </w:r>
          </w:p>
        </w:tc>
        <w:tc>
          <w:tcPr>
            <w:tcW w:w="0" w:type="auto"/>
            <w:hideMark/>
          </w:tcPr>
          <w:p w14:paraId="3775D02E"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AF41E6F"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16B1BBF7"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financial liabilities (non-current)</w:t>
            </w:r>
          </w:p>
        </w:tc>
        <w:tc>
          <w:tcPr>
            <w:tcW w:w="0" w:type="auto"/>
            <w:hideMark/>
          </w:tcPr>
          <w:p w14:paraId="3B84AFA6"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6C5340A1"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1808</w:t>
            </w:r>
          </w:p>
        </w:tc>
        <w:tc>
          <w:tcPr>
            <w:tcW w:w="0" w:type="auto"/>
            <w:hideMark/>
          </w:tcPr>
          <w:p w14:paraId="50E34BB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2524</w:t>
            </w:r>
          </w:p>
        </w:tc>
        <w:tc>
          <w:tcPr>
            <w:tcW w:w="0" w:type="auto"/>
            <w:hideMark/>
          </w:tcPr>
          <w:p w14:paraId="3ADC5C42"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1642</w:t>
            </w:r>
          </w:p>
        </w:tc>
        <w:tc>
          <w:tcPr>
            <w:tcW w:w="0" w:type="auto"/>
            <w:hideMark/>
          </w:tcPr>
          <w:p w14:paraId="32CC335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1,490</w:t>
            </w:r>
          </w:p>
        </w:tc>
        <w:tc>
          <w:tcPr>
            <w:tcW w:w="0" w:type="auto"/>
            <w:hideMark/>
          </w:tcPr>
          <w:p w14:paraId="5EDA182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1,278</w:t>
            </w:r>
          </w:p>
        </w:tc>
        <w:tc>
          <w:tcPr>
            <w:tcW w:w="0" w:type="auto"/>
            <w:hideMark/>
          </w:tcPr>
          <w:p w14:paraId="6FDE3715"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D9E0B22"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2406144"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Deferred tax liabilities</w:t>
            </w:r>
          </w:p>
        </w:tc>
        <w:tc>
          <w:tcPr>
            <w:tcW w:w="0" w:type="auto"/>
            <w:hideMark/>
          </w:tcPr>
          <w:p w14:paraId="3AE0387B"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46E3AB2A"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4488</w:t>
            </w:r>
          </w:p>
        </w:tc>
        <w:tc>
          <w:tcPr>
            <w:tcW w:w="0" w:type="auto"/>
            <w:hideMark/>
          </w:tcPr>
          <w:p w14:paraId="272A33F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6910</w:t>
            </w:r>
          </w:p>
        </w:tc>
        <w:tc>
          <w:tcPr>
            <w:tcW w:w="0" w:type="auto"/>
            <w:hideMark/>
          </w:tcPr>
          <w:p w14:paraId="19194090"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7714</w:t>
            </w:r>
          </w:p>
        </w:tc>
        <w:tc>
          <w:tcPr>
            <w:tcW w:w="0" w:type="auto"/>
            <w:hideMark/>
          </w:tcPr>
          <w:p w14:paraId="78CE8B02"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7497</w:t>
            </w:r>
          </w:p>
        </w:tc>
        <w:tc>
          <w:tcPr>
            <w:tcW w:w="0" w:type="auto"/>
            <w:hideMark/>
          </w:tcPr>
          <w:p w14:paraId="26B7BC7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10201</w:t>
            </w:r>
          </w:p>
        </w:tc>
        <w:tc>
          <w:tcPr>
            <w:tcW w:w="0" w:type="auto"/>
            <w:hideMark/>
          </w:tcPr>
          <w:p w14:paraId="71C715D9"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1D8404B1"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331E075F"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Contract and refund liabilities (non-current)</w:t>
            </w:r>
          </w:p>
        </w:tc>
        <w:tc>
          <w:tcPr>
            <w:tcW w:w="0" w:type="auto"/>
            <w:hideMark/>
          </w:tcPr>
          <w:p w14:paraId="220D9045"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7D6468D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1175</w:t>
            </w:r>
          </w:p>
        </w:tc>
        <w:tc>
          <w:tcPr>
            <w:tcW w:w="0" w:type="auto"/>
            <w:hideMark/>
          </w:tcPr>
          <w:p w14:paraId="10175F7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1234</w:t>
            </w:r>
          </w:p>
        </w:tc>
        <w:tc>
          <w:tcPr>
            <w:tcW w:w="0" w:type="auto"/>
            <w:hideMark/>
          </w:tcPr>
          <w:p w14:paraId="6BB6443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1223</w:t>
            </w:r>
          </w:p>
        </w:tc>
        <w:tc>
          <w:tcPr>
            <w:tcW w:w="0" w:type="auto"/>
            <w:hideMark/>
          </w:tcPr>
          <w:p w14:paraId="4A634EE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3100</w:t>
            </w:r>
          </w:p>
        </w:tc>
        <w:tc>
          <w:tcPr>
            <w:tcW w:w="0" w:type="auto"/>
            <w:hideMark/>
          </w:tcPr>
          <w:p w14:paraId="5ED7408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2942</w:t>
            </w:r>
          </w:p>
        </w:tc>
        <w:tc>
          <w:tcPr>
            <w:tcW w:w="0" w:type="auto"/>
            <w:hideMark/>
          </w:tcPr>
          <w:p w14:paraId="02D41706"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16219B0E"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6CB4C707"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Income tax liabilities (non-current)</w:t>
            </w:r>
          </w:p>
        </w:tc>
        <w:tc>
          <w:tcPr>
            <w:tcW w:w="0" w:type="auto"/>
            <w:hideMark/>
          </w:tcPr>
          <w:p w14:paraId="6E444862"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4C99C6B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3980</w:t>
            </w:r>
          </w:p>
        </w:tc>
        <w:tc>
          <w:tcPr>
            <w:tcW w:w="0" w:type="auto"/>
            <w:hideMark/>
          </w:tcPr>
          <w:p w14:paraId="42696912"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3656</w:t>
            </w:r>
          </w:p>
        </w:tc>
        <w:tc>
          <w:tcPr>
            <w:tcW w:w="0" w:type="auto"/>
            <w:hideMark/>
          </w:tcPr>
          <w:p w14:paraId="60F0A46A"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3514</w:t>
            </w:r>
          </w:p>
        </w:tc>
        <w:tc>
          <w:tcPr>
            <w:tcW w:w="0" w:type="auto"/>
            <w:hideMark/>
          </w:tcPr>
          <w:p w14:paraId="0AE05E49"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1342</w:t>
            </w:r>
          </w:p>
        </w:tc>
        <w:tc>
          <w:tcPr>
            <w:tcW w:w="0" w:type="auto"/>
            <w:hideMark/>
          </w:tcPr>
          <w:p w14:paraId="5C8DDFF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1020</w:t>
            </w:r>
          </w:p>
        </w:tc>
        <w:tc>
          <w:tcPr>
            <w:tcW w:w="0" w:type="auto"/>
            <w:hideMark/>
          </w:tcPr>
          <w:p w14:paraId="49D5476A"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1D81A15F"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224630FE"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liabilities (non-current)</w:t>
            </w:r>
          </w:p>
        </w:tc>
        <w:tc>
          <w:tcPr>
            <w:tcW w:w="0" w:type="auto"/>
            <w:hideMark/>
          </w:tcPr>
          <w:p w14:paraId="79D24FF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1453CDA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727</w:t>
            </w:r>
          </w:p>
        </w:tc>
        <w:tc>
          <w:tcPr>
            <w:tcW w:w="0" w:type="auto"/>
            <w:hideMark/>
          </w:tcPr>
          <w:p w14:paraId="6E05DF7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1238</w:t>
            </w:r>
          </w:p>
        </w:tc>
        <w:tc>
          <w:tcPr>
            <w:tcW w:w="0" w:type="auto"/>
            <w:hideMark/>
          </w:tcPr>
          <w:p w14:paraId="725B3AA9"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1520</w:t>
            </w:r>
          </w:p>
        </w:tc>
        <w:tc>
          <w:tcPr>
            <w:tcW w:w="0" w:type="auto"/>
            <w:hideMark/>
          </w:tcPr>
          <w:p w14:paraId="30E6629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1354</w:t>
            </w:r>
          </w:p>
        </w:tc>
        <w:tc>
          <w:tcPr>
            <w:tcW w:w="0" w:type="auto"/>
            <w:hideMark/>
          </w:tcPr>
          <w:p w14:paraId="11617581"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1188</w:t>
            </w:r>
          </w:p>
        </w:tc>
        <w:tc>
          <w:tcPr>
            <w:tcW w:w="0" w:type="auto"/>
            <w:hideMark/>
          </w:tcPr>
          <w:p w14:paraId="62E59B3F"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48AD2CD"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1118790E"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Total non-current liabilities</w:t>
            </w:r>
          </w:p>
        </w:tc>
        <w:tc>
          <w:tcPr>
            <w:tcW w:w="0" w:type="auto"/>
            <w:hideMark/>
          </w:tcPr>
          <w:p w14:paraId="72E8C2C2"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   </w:t>
            </w:r>
          </w:p>
        </w:tc>
        <w:tc>
          <w:tcPr>
            <w:tcW w:w="0" w:type="auto"/>
            <w:hideMark/>
          </w:tcPr>
          <w:p w14:paraId="668480EA"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98,989 </w:t>
            </w:r>
          </w:p>
        </w:tc>
        <w:tc>
          <w:tcPr>
            <w:tcW w:w="0" w:type="auto"/>
            <w:hideMark/>
          </w:tcPr>
          <w:p w14:paraId="04527557"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85,072 </w:t>
            </w:r>
          </w:p>
        </w:tc>
        <w:tc>
          <w:tcPr>
            <w:tcW w:w="0" w:type="auto"/>
            <w:hideMark/>
          </w:tcPr>
          <w:p w14:paraId="6A6C4665"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87,772 </w:t>
            </w:r>
          </w:p>
        </w:tc>
        <w:tc>
          <w:tcPr>
            <w:tcW w:w="0" w:type="auto"/>
            <w:hideMark/>
          </w:tcPr>
          <w:p w14:paraId="56D58EF2"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96,554 </w:t>
            </w:r>
          </w:p>
        </w:tc>
        <w:tc>
          <w:tcPr>
            <w:tcW w:w="0" w:type="auto"/>
            <w:hideMark/>
          </w:tcPr>
          <w:p w14:paraId="59D9B639"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87,458 </w:t>
            </w:r>
          </w:p>
        </w:tc>
        <w:tc>
          <w:tcPr>
            <w:tcW w:w="0" w:type="auto"/>
            <w:hideMark/>
          </w:tcPr>
          <w:p w14:paraId="1030A085"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1107B73"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CC5DD0F"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Trade payables</w:t>
            </w:r>
          </w:p>
        </w:tc>
        <w:tc>
          <w:tcPr>
            <w:tcW w:w="0" w:type="auto"/>
            <w:hideMark/>
          </w:tcPr>
          <w:p w14:paraId="5DBE7971"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6F45BA97"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10655</w:t>
            </w:r>
          </w:p>
        </w:tc>
        <w:tc>
          <w:tcPr>
            <w:tcW w:w="0" w:type="auto"/>
            <w:hideMark/>
          </w:tcPr>
          <w:p w14:paraId="61142B30"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12204</w:t>
            </w:r>
          </w:p>
        </w:tc>
        <w:tc>
          <w:tcPr>
            <w:tcW w:w="0" w:type="auto"/>
            <w:hideMark/>
          </w:tcPr>
          <w:p w14:paraId="5DC9C5D9"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12828</w:t>
            </w:r>
          </w:p>
        </w:tc>
        <w:tc>
          <w:tcPr>
            <w:tcW w:w="0" w:type="auto"/>
            <w:hideMark/>
          </w:tcPr>
          <w:p w14:paraId="20B807E0"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11,312 </w:t>
            </w:r>
          </w:p>
        </w:tc>
        <w:tc>
          <w:tcPr>
            <w:tcW w:w="0" w:type="auto"/>
            <w:hideMark/>
          </w:tcPr>
          <w:p w14:paraId="4F12E162"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10,665 </w:t>
            </w:r>
          </w:p>
        </w:tc>
        <w:tc>
          <w:tcPr>
            <w:tcW w:w="0" w:type="auto"/>
            <w:hideMark/>
          </w:tcPr>
          <w:p w14:paraId="225D519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FDCB0F2"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205CEA4F"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Provisions for other risks (current)</w:t>
            </w:r>
          </w:p>
        </w:tc>
        <w:tc>
          <w:tcPr>
            <w:tcW w:w="0" w:type="auto"/>
            <w:hideMark/>
          </w:tcPr>
          <w:p w14:paraId="2795922C"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301561A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8053</w:t>
            </w:r>
          </w:p>
        </w:tc>
        <w:tc>
          <w:tcPr>
            <w:tcW w:w="0" w:type="auto"/>
            <w:hideMark/>
          </w:tcPr>
          <w:p w14:paraId="3F50EC7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9585</w:t>
            </w:r>
          </w:p>
        </w:tc>
        <w:tc>
          <w:tcPr>
            <w:tcW w:w="0" w:type="auto"/>
            <w:hideMark/>
          </w:tcPr>
          <w:p w14:paraId="1E8C30B4"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7955</w:t>
            </w:r>
          </w:p>
        </w:tc>
        <w:tc>
          <w:tcPr>
            <w:tcW w:w="0" w:type="auto"/>
            <w:hideMark/>
          </w:tcPr>
          <w:p w14:paraId="033527F6"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7,688 </w:t>
            </w:r>
          </w:p>
        </w:tc>
        <w:tc>
          <w:tcPr>
            <w:tcW w:w="0" w:type="auto"/>
            <w:hideMark/>
          </w:tcPr>
          <w:p w14:paraId="294AAF2F"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7,846 </w:t>
            </w:r>
          </w:p>
        </w:tc>
        <w:tc>
          <w:tcPr>
            <w:tcW w:w="0" w:type="auto"/>
            <w:hideMark/>
          </w:tcPr>
          <w:p w14:paraId="312F5500"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5CE8A88F"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07D2CD9"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Financing liabilities (current)</w:t>
            </w:r>
          </w:p>
        </w:tc>
        <w:tc>
          <w:tcPr>
            <w:tcW w:w="0" w:type="auto"/>
            <w:hideMark/>
          </w:tcPr>
          <w:p w14:paraId="6D2E6143"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27563EC7"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52300</w:t>
            </w:r>
          </w:p>
        </w:tc>
        <w:tc>
          <w:tcPr>
            <w:tcW w:w="0" w:type="auto"/>
            <w:hideMark/>
          </w:tcPr>
          <w:p w14:paraId="32B3207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49786</w:t>
            </w:r>
          </w:p>
        </w:tc>
        <w:tc>
          <w:tcPr>
            <w:tcW w:w="0" w:type="auto"/>
            <w:hideMark/>
          </w:tcPr>
          <w:p w14:paraId="1CF0B28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44914</w:t>
            </w:r>
          </w:p>
        </w:tc>
        <w:tc>
          <w:tcPr>
            <w:tcW w:w="0" w:type="auto"/>
            <w:hideMark/>
          </w:tcPr>
          <w:p w14:paraId="58FE655F"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39,311 </w:t>
            </w:r>
          </w:p>
        </w:tc>
        <w:tc>
          <w:tcPr>
            <w:tcW w:w="0" w:type="auto"/>
            <w:hideMark/>
          </w:tcPr>
          <w:p w14:paraId="3283D66A"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37,596 </w:t>
            </w:r>
          </w:p>
        </w:tc>
        <w:tc>
          <w:tcPr>
            <w:tcW w:w="0" w:type="auto"/>
            <w:hideMark/>
          </w:tcPr>
          <w:p w14:paraId="06C55F60"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A67CA21"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6497691D"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financial liabilities (current)</w:t>
            </w:r>
          </w:p>
        </w:tc>
        <w:tc>
          <w:tcPr>
            <w:tcW w:w="0" w:type="auto"/>
            <w:hideMark/>
          </w:tcPr>
          <w:p w14:paraId="1FA85E58"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1938238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5997</w:t>
            </w:r>
          </w:p>
        </w:tc>
        <w:tc>
          <w:tcPr>
            <w:tcW w:w="0" w:type="auto"/>
            <w:hideMark/>
          </w:tcPr>
          <w:p w14:paraId="19B77F15"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5404</w:t>
            </w:r>
          </w:p>
        </w:tc>
        <w:tc>
          <w:tcPr>
            <w:tcW w:w="0" w:type="auto"/>
            <w:hideMark/>
          </w:tcPr>
          <w:p w14:paraId="2F931355"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5476</w:t>
            </w:r>
          </w:p>
        </w:tc>
        <w:tc>
          <w:tcPr>
            <w:tcW w:w="0" w:type="auto"/>
            <w:hideMark/>
          </w:tcPr>
          <w:p w14:paraId="38598164"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4,071 </w:t>
            </w:r>
          </w:p>
        </w:tc>
        <w:tc>
          <w:tcPr>
            <w:tcW w:w="0" w:type="auto"/>
            <w:hideMark/>
          </w:tcPr>
          <w:p w14:paraId="5CC5A72D"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4,277 </w:t>
            </w:r>
          </w:p>
        </w:tc>
        <w:tc>
          <w:tcPr>
            <w:tcW w:w="0" w:type="auto"/>
            <w:hideMark/>
          </w:tcPr>
          <w:p w14:paraId="25AB5EFD"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649266CD"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3AC232FF"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Contract and refund liabilities (current)</w:t>
            </w:r>
          </w:p>
        </w:tc>
        <w:tc>
          <w:tcPr>
            <w:tcW w:w="0" w:type="auto"/>
            <w:hideMark/>
          </w:tcPr>
          <w:p w14:paraId="472B46C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624696C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1486</w:t>
            </w:r>
          </w:p>
        </w:tc>
        <w:tc>
          <w:tcPr>
            <w:tcW w:w="0" w:type="auto"/>
            <w:hideMark/>
          </w:tcPr>
          <w:p w14:paraId="49135EB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1391</w:t>
            </w:r>
          </w:p>
        </w:tc>
        <w:tc>
          <w:tcPr>
            <w:tcW w:w="0" w:type="auto"/>
            <w:hideMark/>
          </w:tcPr>
          <w:p w14:paraId="0726113E"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1478</w:t>
            </w:r>
          </w:p>
        </w:tc>
        <w:tc>
          <w:tcPr>
            <w:tcW w:w="0" w:type="auto"/>
            <w:hideMark/>
          </w:tcPr>
          <w:p w14:paraId="5A701AD0"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8,146 </w:t>
            </w:r>
          </w:p>
        </w:tc>
        <w:tc>
          <w:tcPr>
            <w:tcW w:w="0" w:type="auto"/>
            <w:hideMark/>
          </w:tcPr>
          <w:p w14:paraId="19C18C9C"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7,955 </w:t>
            </w:r>
          </w:p>
        </w:tc>
        <w:tc>
          <w:tcPr>
            <w:tcW w:w="0" w:type="auto"/>
            <w:hideMark/>
          </w:tcPr>
          <w:p w14:paraId="313BF77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564EF06"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F7EB1FE"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Income tax liabilities (current)</w:t>
            </w:r>
          </w:p>
        </w:tc>
        <w:tc>
          <w:tcPr>
            <w:tcW w:w="0" w:type="auto"/>
            <w:hideMark/>
          </w:tcPr>
          <w:p w14:paraId="1A7F5037"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213519E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5929</w:t>
            </w:r>
          </w:p>
        </w:tc>
        <w:tc>
          <w:tcPr>
            <w:tcW w:w="0" w:type="auto"/>
            <w:hideMark/>
          </w:tcPr>
          <w:p w14:paraId="0D2ECD05"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6898</w:t>
            </w:r>
          </w:p>
        </w:tc>
        <w:tc>
          <w:tcPr>
            <w:tcW w:w="0" w:type="auto"/>
            <w:hideMark/>
          </w:tcPr>
          <w:p w14:paraId="577BEB1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6877</w:t>
            </w:r>
          </w:p>
        </w:tc>
        <w:tc>
          <w:tcPr>
            <w:tcW w:w="0" w:type="auto"/>
            <w:hideMark/>
          </w:tcPr>
          <w:p w14:paraId="47F6CCFD"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705 </w:t>
            </w:r>
          </w:p>
        </w:tc>
        <w:tc>
          <w:tcPr>
            <w:tcW w:w="0" w:type="auto"/>
            <w:hideMark/>
          </w:tcPr>
          <w:p w14:paraId="6222D482"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646 </w:t>
            </w:r>
          </w:p>
        </w:tc>
        <w:tc>
          <w:tcPr>
            <w:tcW w:w="0" w:type="auto"/>
            <w:hideMark/>
          </w:tcPr>
          <w:p w14:paraId="6D3F6DD1"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4F57AA9E"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7C329C02"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liabilities (current)</w:t>
            </w:r>
          </w:p>
        </w:tc>
        <w:tc>
          <w:tcPr>
            <w:tcW w:w="0" w:type="auto"/>
            <w:hideMark/>
          </w:tcPr>
          <w:p w14:paraId="3C97E8F8"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2AD14FD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3086</w:t>
            </w:r>
          </w:p>
        </w:tc>
        <w:tc>
          <w:tcPr>
            <w:tcW w:w="0" w:type="auto"/>
            <w:hideMark/>
          </w:tcPr>
          <w:p w14:paraId="3AF05AC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3135</w:t>
            </w:r>
          </w:p>
        </w:tc>
        <w:tc>
          <w:tcPr>
            <w:tcW w:w="0" w:type="auto"/>
            <w:hideMark/>
          </w:tcPr>
          <w:p w14:paraId="31D720D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2682</w:t>
            </w:r>
          </w:p>
        </w:tc>
        <w:tc>
          <w:tcPr>
            <w:tcW w:w="0" w:type="auto"/>
            <w:hideMark/>
          </w:tcPr>
          <w:p w14:paraId="2513B9D0"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3,547 </w:t>
            </w:r>
          </w:p>
        </w:tc>
        <w:tc>
          <w:tcPr>
            <w:tcW w:w="0" w:type="auto"/>
            <w:hideMark/>
          </w:tcPr>
          <w:p w14:paraId="00CC3503"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3,443 </w:t>
            </w:r>
          </w:p>
        </w:tc>
        <w:tc>
          <w:tcPr>
            <w:tcW w:w="0" w:type="auto"/>
            <w:hideMark/>
          </w:tcPr>
          <w:p w14:paraId="351A5C67"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1B605650"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71395483"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Liabilities held for sale</w:t>
            </w:r>
          </w:p>
        </w:tc>
        <w:tc>
          <w:tcPr>
            <w:tcW w:w="0" w:type="auto"/>
            <w:hideMark/>
          </w:tcPr>
          <w:p w14:paraId="3F6C1755"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30C7E78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169</w:t>
            </w:r>
          </w:p>
        </w:tc>
        <w:tc>
          <w:tcPr>
            <w:tcW w:w="0" w:type="auto"/>
            <w:hideMark/>
          </w:tcPr>
          <w:p w14:paraId="000A031C"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w:t>
            </w:r>
          </w:p>
        </w:tc>
        <w:tc>
          <w:tcPr>
            <w:tcW w:w="0" w:type="auto"/>
            <w:hideMark/>
          </w:tcPr>
          <w:p w14:paraId="1B25ED3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224</w:t>
            </w:r>
          </w:p>
        </w:tc>
        <w:tc>
          <w:tcPr>
            <w:tcW w:w="0" w:type="auto"/>
            <w:hideMark/>
          </w:tcPr>
          <w:p w14:paraId="190A189F"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46 </w:t>
            </w:r>
          </w:p>
        </w:tc>
        <w:tc>
          <w:tcPr>
            <w:tcW w:w="0" w:type="auto"/>
            <w:hideMark/>
          </w:tcPr>
          <w:p w14:paraId="335F515F"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1,340 </w:t>
            </w:r>
          </w:p>
        </w:tc>
        <w:tc>
          <w:tcPr>
            <w:tcW w:w="0" w:type="auto"/>
            <w:hideMark/>
          </w:tcPr>
          <w:p w14:paraId="6AC17988"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19DA1890"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9DBF0DC"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Total current liabilities</w:t>
            </w:r>
          </w:p>
        </w:tc>
        <w:tc>
          <w:tcPr>
            <w:tcW w:w="0" w:type="auto"/>
            <w:hideMark/>
          </w:tcPr>
          <w:p w14:paraId="65B411C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   </w:t>
            </w:r>
          </w:p>
        </w:tc>
        <w:tc>
          <w:tcPr>
            <w:tcW w:w="0" w:type="auto"/>
            <w:hideMark/>
          </w:tcPr>
          <w:p w14:paraId="481B8BD6"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87,675 </w:t>
            </w:r>
          </w:p>
        </w:tc>
        <w:tc>
          <w:tcPr>
            <w:tcW w:w="0" w:type="auto"/>
            <w:hideMark/>
          </w:tcPr>
          <w:p w14:paraId="63D06A9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88,403 </w:t>
            </w:r>
          </w:p>
        </w:tc>
        <w:tc>
          <w:tcPr>
            <w:tcW w:w="0" w:type="auto"/>
            <w:hideMark/>
          </w:tcPr>
          <w:p w14:paraId="4D95A7CD"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82,434 </w:t>
            </w:r>
          </w:p>
        </w:tc>
        <w:tc>
          <w:tcPr>
            <w:tcW w:w="0" w:type="auto"/>
            <w:hideMark/>
          </w:tcPr>
          <w:p w14:paraId="01533CD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74,826 </w:t>
            </w:r>
          </w:p>
        </w:tc>
        <w:tc>
          <w:tcPr>
            <w:tcW w:w="0" w:type="auto"/>
            <w:hideMark/>
          </w:tcPr>
          <w:p w14:paraId="7152B882"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73,768 </w:t>
            </w:r>
          </w:p>
        </w:tc>
        <w:tc>
          <w:tcPr>
            <w:tcW w:w="0" w:type="auto"/>
            <w:hideMark/>
          </w:tcPr>
          <w:p w14:paraId="0D7D4559"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2EB5D7C" w14:textId="77777777" w:rsidTr="00A553B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auto"/>
            <w:hideMark/>
          </w:tcPr>
          <w:p w14:paraId="5EED0CC0"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Total equity and liabilities</w:t>
            </w:r>
          </w:p>
        </w:tc>
        <w:tc>
          <w:tcPr>
            <w:tcW w:w="0" w:type="auto"/>
            <w:hideMark/>
          </w:tcPr>
          <w:p w14:paraId="470F03AE"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   </w:t>
            </w:r>
          </w:p>
        </w:tc>
        <w:tc>
          <w:tcPr>
            <w:tcW w:w="0" w:type="auto"/>
            <w:hideMark/>
          </w:tcPr>
          <w:p w14:paraId="260D1390"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259,831 </w:t>
            </w:r>
          </w:p>
        </w:tc>
        <w:tc>
          <w:tcPr>
            <w:tcW w:w="0" w:type="auto"/>
            <w:hideMark/>
          </w:tcPr>
          <w:p w14:paraId="5EB43D9F"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260,015 </w:t>
            </w:r>
          </w:p>
        </w:tc>
        <w:tc>
          <w:tcPr>
            <w:tcW w:w="0" w:type="auto"/>
            <w:hideMark/>
          </w:tcPr>
          <w:p w14:paraId="43ACF37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263,022 </w:t>
            </w:r>
          </w:p>
        </w:tc>
        <w:tc>
          <w:tcPr>
            <w:tcW w:w="0" w:type="auto"/>
            <w:hideMark/>
          </w:tcPr>
          <w:p w14:paraId="5D0451D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265,010 </w:t>
            </w:r>
          </w:p>
        </w:tc>
        <w:tc>
          <w:tcPr>
            <w:tcW w:w="0" w:type="auto"/>
            <w:hideMark/>
          </w:tcPr>
          <w:p w14:paraId="09C3FDB2"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255,466 </w:t>
            </w:r>
          </w:p>
        </w:tc>
        <w:tc>
          <w:tcPr>
            <w:tcW w:w="0" w:type="auto"/>
            <w:hideMark/>
          </w:tcPr>
          <w:p w14:paraId="3EE85AAC"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0B57EF6" w14:textId="77777777" w:rsidTr="00A553B9">
        <w:trPr>
          <w:trHeight w:val="270"/>
        </w:trPr>
        <w:tc>
          <w:tcPr>
            <w:cnfStyle w:val="001000000000" w:firstRow="0" w:lastRow="0" w:firstColumn="1" w:lastColumn="0" w:oddVBand="0" w:evenVBand="0" w:oddHBand="0" w:evenHBand="0" w:firstRowFirstColumn="0" w:firstRowLastColumn="0" w:lastRowFirstColumn="0" w:lastRowLastColumn="0"/>
            <w:tcW w:w="0" w:type="auto"/>
            <w:hideMark/>
          </w:tcPr>
          <w:p w14:paraId="4A6E588E"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p>
        </w:tc>
        <w:tc>
          <w:tcPr>
            <w:tcW w:w="0" w:type="auto"/>
            <w:hideMark/>
          </w:tcPr>
          <w:p w14:paraId="064818D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16ED3D4F"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2655AD55"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3FE7611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2A8530BC"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52AB73AA"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168112A8"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58900105"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7DD48B97" w14:textId="77777777" w:rsidR="000C10A2" w:rsidRPr="00A553B9" w:rsidRDefault="000C10A2" w:rsidP="007054BE">
            <w:pPr>
              <w:spacing w:after="0" w:line="240" w:lineRule="auto"/>
              <w:rPr>
                <w:rFonts w:ascii="Times New Roman" w:eastAsia="Times New Roman" w:hAnsi="Times New Roman" w:cs="Times New Roman"/>
                <w:sz w:val="18"/>
                <w:szCs w:val="18"/>
              </w:rPr>
            </w:pPr>
          </w:p>
        </w:tc>
        <w:tc>
          <w:tcPr>
            <w:tcW w:w="0" w:type="auto"/>
            <w:hideMark/>
          </w:tcPr>
          <w:p w14:paraId="5DFC132B"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2A784771"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6359865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7C831AE8"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4CAC20AE"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026E8A5B"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65BE820C"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092FA9D8"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gridSpan w:val="7"/>
            <w:hideMark/>
          </w:tcPr>
          <w:p w14:paraId="2783F48F" w14:textId="77777777" w:rsidR="000C10A2" w:rsidRPr="00A553B9" w:rsidRDefault="000C10A2" w:rsidP="007054BE">
            <w:pPr>
              <w:spacing w:after="0" w:line="240" w:lineRule="auto"/>
              <w:jc w:val="center"/>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Income Statement</w:t>
            </w:r>
          </w:p>
        </w:tc>
        <w:tc>
          <w:tcPr>
            <w:tcW w:w="0" w:type="auto"/>
            <w:hideMark/>
          </w:tcPr>
          <w:p w14:paraId="0C49E05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0A058CC1"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04938735" w14:textId="77777777" w:rsidR="000C10A2" w:rsidRPr="00A553B9" w:rsidRDefault="000C10A2" w:rsidP="007054BE">
            <w:pPr>
              <w:spacing w:after="0" w:line="240" w:lineRule="auto"/>
              <w:jc w:val="center"/>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Item</w:t>
            </w:r>
          </w:p>
        </w:tc>
        <w:tc>
          <w:tcPr>
            <w:tcW w:w="0" w:type="auto"/>
            <w:hideMark/>
          </w:tcPr>
          <w:p w14:paraId="2AB6B786"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w:t>
            </w:r>
          </w:p>
        </w:tc>
        <w:tc>
          <w:tcPr>
            <w:tcW w:w="0" w:type="auto"/>
            <w:hideMark/>
          </w:tcPr>
          <w:p w14:paraId="3EAB5D28"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2021 (€)</w:t>
            </w:r>
          </w:p>
        </w:tc>
        <w:tc>
          <w:tcPr>
            <w:tcW w:w="0" w:type="auto"/>
            <w:hideMark/>
          </w:tcPr>
          <w:p w14:paraId="4F219A54"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2022 (€)</w:t>
            </w:r>
          </w:p>
        </w:tc>
        <w:tc>
          <w:tcPr>
            <w:tcW w:w="0" w:type="auto"/>
            <w:hideMark/>
          </w:tcPr>
          <w:p w14:paraId="572A5757"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2023 (€)</w:t>
            </w:r>
          </w:p>
        </w:tc>
        <w:tc>
          <w:tcPr>
            <w:tcW w:w="0" w:type="auto"/>
            <w:hideMark/>
          </w:tcPr>
          <w:p w14:paraId="0E6581BF"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2024 (€)</w:t>
            </w:r>
          </w:p>
        </w:tc>
        <w:tc>
          <w:tcPr>
            <w:tcW w:w="0" w:type="auto"/>
            <w:hideMark/>
          </w:tcPr>
          <w:p w14:paraId="672F2765"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2025 (€)</w:t>
            </w:r>
          </w:p>
        </w:tc>
        <w:tc>
          <w:tcPr>
            <w:tcW w:w="0" w:type="auto"/>
            <w:hideMark/>
          </w:tcPr>
          <w:p w14:paraId="1707319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4EB93071"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11F56C02"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Revenue</w:t>
            </w:r>
          </w:p>
        </w:tc>
        <w:tc>
          <w:tcPr>
            <w:tcW w:w="0" w:type="auto"/>
            <w:hideMark/>
          </w:tcPr>
          <w:p w14:paraId="0F3D3C6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3B44082D"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133893</w:t>
            </w:r>
          </w:p>
        </w:tc>
        <w:tc>
          <w:tcPr>
            <w:tcW w:w="0" w:type="auto"/>
            <w:hideMark/>
          </w:tcPr>
          <w:p w14:paraId="3BFA7360"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150017</w:t>
            </w:r>
          </w:p>
        </w:tc>
        <w:tc>
          <w:tcPr>
            <w:tcW w:w="0" w:type="auto"/>
            <w:hideMark/>
          </w:tcPr>
          <w:p w14:paraId="1228F93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153218</w:t>
            </w:r>
          </w:p>
        </w:tc>
        <w:tc>
          <w:tcPr>
            <w:tcW w:w="0" w:type="auto"/>
            <w:hideMark/>
          </w:tcPr>
          <w:p w14:paraId="48EDE742"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145,594</w:t>
            </w:r>
          </w:p>
        </w:tc>
        <w:tc>
          <w:tcPr>
            <w:tcW w:w="0" w:type="auto"/>
            <w:hideMark/>
          </w:tcPr>
          <w:p w14:paraId="69CDA9DD"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132,214</w:t>
            </w:r>
          </w:p>
        </w:tc>
        <w:tc>
          <w:tcPr>
            <w:tcW w:w="0" w:type="auto"/>
            <w:hideMark/>
          </w:tcPr>
          <w:p w14:paraId="11FA69CA"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5CE508E4"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31843286"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Cost of sales</w:t>
            </w:r>
          </w:p>
        </w:tc>
        <w:tc>
          <w:tcPr>
            <w:tcW w:w="0" w:type="auto"/>
            <w:hideMark/>
          </w:tcPr>
          <w:p w14:paraId="3792FF7E"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1D60632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-103218</w:t>
            </w:r>
          </w:p>
        </w:tc>
        <w:tc>
          <w:tcPr>
            <w:tcW w:w="0" w:type="auto"/>
            <w:hideMark/>
          </w:tcPr>
          <w:p w14:paraId="15C9D6D2"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-115997</w:t>
            </w:r>
          </w:p>
        </w:tc>
        <w:tc>
          <w:tcPr>
            <w:tcW w:w="0" w:type="auto"/>
            <w:hideMark/>
          </w:tcPr>
          <w:p w14:paraId="7B42FA7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-118839</w:t>
            </w:r>
          </w:p>
        </w:tc>
        <w:tc>
          <w:tcPr>
            <w:tcW w:w="0" w:type="auto"/>
            <w:hideMark/>
          </w:tcPr>
          <w:p w14:paraId="538FD909"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-117,018</w:t>
            </w:r>
          </w:p>
        </w:tc>
        <w:tc>
          <w:tcPr>
            <w:tcW w:w="0" w:type="auto"/>
            <w:hideMark/>
          </w:tcPr>
          <w:p w14:paraId="50860975"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-109,881</w:t>
            </w:r>
          </w:p>
        </w:tc>
        <w:tc>
          <w:tcPr>
            <w:tcW w:w="0" w:type="auto"/>
            <w:hideMark/>
          </w:tcPr>
          <w:p w14:paraId="4125A984"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07FE8B1D"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992E7CC"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Gross profit in relation to revenue</w:t>
            </w:r>
          </w:p>
        </w:tc>
        <w:tc>
          <w:tcPr>
            <w:tcW w:w="0" w:type="auto"/>
            <w:hideMark/>
          </w:tcPr>
          <w:p w14:paraId="73D35632"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0D9EBB3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30675</w:t>
            </w:r>
          </w:p>
        </w:tc>
        <w:tc>
          <w:tcPr>
            <w:tcW w:w="0" w:type="auto"/>
            <w:hideMark/>
          </w:tcPr>
          <w:p w14:paraId="1D8215C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34020</w:t>
            </w:r>
          </w:p>
        </w:tc>
        <w:tc>
          <w:tcPr>
            <w:tcW w:w="0" w:type="auto"/>
            <w:hideMark/>
          </w:tcPr>
          <w:p w14:paraId="2289A452"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34379</w:t>
            </w:r>
          </w:p>
        </w:tc>
        <w:tc>
          <w:tcPr>
            <w:tcW w:w="0" w:type="auto"/>
            <w:hideMark/>
          </w:tcPr>
          <w:p w14:paraId="1571A66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28,576</w:t>
            </w:r>
          </w:p>
        </w:tc>
        <w:tc>
          <w:tcPr>
            <w:tcW w:w="0" w:type="auto"/>
            <w:hideMark/>
          </w:tcPr>
          <w:p w14:paraId="44094AE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22,333</w:t>
            </w:r>
          </w:p>
        </w:tc>
        <w:tc>
          <w:tcPr>
            <w:tcW w:w="0" w:type="auto"/>
            <w:hideMark/>
          </w:tcPr>
          <w:p w14:paraId="338B746F"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43960798"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B2B8145"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Selling expenses</w:t>
            </w:r>
          </w:p>
        </w:tc>
        <w:tc>
          <w:tcPr>
            <w:tcW w:w="0" w:type="auto"/>
            <w:hideMark/>
          </w:tcPr>
          <w:p w14:paraId="5F0B149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4721237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-9194</w:t>
            </w:r>
          </w:p>
        </w:tc>
        <w:tc>
          <w:tcPr>
            <w:tcW w:w="0" w:type="auto"/>
            <w:hideMark/>
          </w:tcPr>
          <w:p w14:paraId="5D59904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-9482</w:t>
            </w:r>
          </w:p>
        </w:tc>
        <w:tc>
          <w:tcPr>
            <w:tcW w:w="0" w:type="auto"/>
            <w:hideMark/>
          </w:tcPr>
          <w:p w14:paraId="5001A32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-9728</w:t>
            </w:r>
          </w:p>
        </w:tc>
        <w:tc>
          <w:tcPr>
            <w:tcW w:w="0" w:type="auto"/>
            <w:hideMark/>
          </w:tcPr>
          <w:p w14:paraId="69DDE0F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-9,993</w:t>
            </w:r>
          </w:p>
        </w:tc>
        <w:tc>
          <w:tcPr>
            <w:tcW w:w="0" w:type="auto"/>
            <w:hideMark/>
          </w:tcPr>
          <w:p w14:paraId="000B777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-9718</w:t>
            </w:r>
          </w:p>
        </w:tc>
        <w:tc>
          <w:tcPr>
            <w:tcW w:w="0" w:type="auto"/>
            <w:hideMark/>
          </w:tcPr>
          <w:p w14:paraId="52F2B1A6"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4E3BB3F4"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6DAE34F9"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General administrative expenses</w:t>
            </w:r>
          </w:p>
        </w:tc>
        <w:tc>
          <w:tcPr>
            <w:tcW w:w="0" w:type="auto"/>
            <w:hideMark/>
          </w:tcPr>
          <w:p w14:paraId="4F331DB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770870B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-2808</w:t>
            </w:r>
          </w:p>
        </w:tc>
        <w:tc>
          <w:tcPr>
            <w:tcW w:w="0" w:type="auto"/>
            <w:hideMark/>
          </w:tcPr>
          <w:p w14:paraId="19D8F7E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-2584</w:t>
            </w:r>
          </w:p>
        </w:tc>
        <w:tc>
          <w:tcPr>
            <w:tcW w:w="0" w:type="auto"/>
            <w:hideMark/>
          </w:tcPr>
          <w:p w14:paraId="33AAD6B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-2688</w:t>
            </w:r>
          </w:p>
        </w:tc>
        <w:tc>
          <w:tcPr>
            <w:tcW w:w="0" w:type="auto"/>
            <w:hideMark/>
          </w:tcPr>
          <w:p w14:paraId="3BFD2CF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-2,529</w:t>
            </w:r>
          </w:p>
        </w:tc>
        <w:tc>
          <w:tcPr>
            <w:tcW w:w="0" w:type="auto"/>
            <w:hideMark/>
          </w:tcPr>
          <w:p w14:paraId="7AB2AF7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-2,477</w:t>
            </w:r>
          </w:p>
        </w:tc>
        <w:tc>
          <w:tcPr>
            <w:tcW w:w="0" w:type="auto"/>
            <w:hideMark/>
          </w:tcPr>
          <w:p w14:paraId="34021065"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57426109"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6373797F"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Research and non-capitalized development costs</w:t>
            </w:r>
          </w:p>
        </w:tc>
        <w:tc>
          <w:tcPr>
            <w:tcW w:w="0" w:type="auto"/>
            <w:hideMark/>
          </w:tcPr>
          <w:p w14:paraId="6008DF84"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4F73B7C0"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-5467</w:t>
            </w:r>
          </w:p>
        </w:tc>
        <w:tc>
          <w:tcPr>
            <w:tcW w:w="0" w:type="auto"/>
            <w:hideMark/>
          </w:tcPr>
          <w:p w14:paraId="255D10B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-5602</w:t>
            </w:r>
          </w:p>
        </w:tc>
        <w:tc>
          <w:tcPr>
            <w:tcW w:w="0" w:type="auto"/>
            <w:hideMark/>
          </w:tcPr>
          <w:p w14:paraId="7E56759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-6230</w:t>
            </w:r>
          </w:p>
        </w:tc>
        <w:tc>
          <w:tcPr>
            <w:tcW w:w="0" w:type="auto"/>
            <w:hideMark/>
          </w:tcPr>
          <w:p w14:paraId="55EA4ED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-5,580</w:t>
            </w:r>
          </w:p>
        </w:tc>
        <w:tc>
          <w:tcPr>
            <w:tcW w:w="0" w:type="auto"/>
            <w:hideMark/>
          </w:tcPr>
          <w:p w14:paraId="18E05DD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-6,055</w:t>
            </w:r>
          </w:p>
        </w:tc>
        <w:tc>
          <w:tcPr>
            <w:tcW w:w="0" w:type="auto"/>
            <w:hideMark/>
          </w:tcPr>
          <w:p w14:paraId="727D982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5994DB61"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28918CE2"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operating income</w:t>
            </w:r>
          </w:p>
        </w:tc>
        <w:tc>
          <w:tcPr>
            <w:tcW w:w="0" w:type="auto"/>
            <w:hideMark/>
          </w:tcPr>
          <w:p w14:paraId="72D6822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2A4D14E0"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2888</w:t>
            </w:r>
          </w:p>
        </w:tc>
        <w:tc>
          <w:tcPr>
            <w:tcW w:w="0" w:type="auto"/>
            <w:hideMark/>
          </w:tcPr>
          <w:p w14:paraId="6A269A1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3323</w:t>
            </w:r>
          </w:p>
        </w:tc>
        <w:tc>
          <w:tcPr>
            <w:tcW w:w="0" w:type="auto"/>
            <w:hideMark/>
          </w:tcPr>
          <w:p w14:paraId="65F2071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2206</w:t>
            </w:r>
          </w:p>
        </w:tc>
        <w:tc>
          <w:tcPr>
            <w:tcW w:w="0" w:type="auto"/>
            <w:hideMark/>
          </w:tcPr>
          <w:p w14:paraId="110814E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2507</w:t>
            </w:r>
          </w:p>
        </w:tc>
        <w:tc>
          <w:tcPr>
            <w:tcW w:w="0" w:type="auto"/>
            <w:hideMark/>
          </w:tcPr>
          <w:p w14:paraId="7E16467E"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1551</w:t>
            </w:r>
          </w:p>
        </w:tc>
        <w:tc>
          <w:tcPr>
            <w:tcW w:w="0" w:type="auto"/>
            <w:hideMark/>
          </w:tcPr>
          <w:p w14:paraId="379B3D8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4335AB57"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3EB108EE"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operating expense</w:t>
            </w:r>
          </w:p>
        </w:tc>
        <w:tc>
          <w:tcPr>
            <w:tcW w:w="0" w:type="auto"/>
            <w:hideMark/>
          </w:tcPr>
          <w:p w14:paraId="28B0737F"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144B8B3B"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-1735</w:t>
            </w:r>
          </w:p>
        </w:tc>
        <w:tc>
          <w:tcPr>
            <w:tcW w:w="0" w:type="auto"/>
            <w:hideMark/>
          </w:tcPr>
          <w:p w14:paraId="312923D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-1289</w:t>
            </w:r>
          </w:p>
        </w:tc>
        <w:tc>
          <w:tcPr>
            <w:tcW w:w="0" w:type="auto"/>
            <w:hideMark/>
          </w:tcPr>
          <w:p w14:paraId="1250949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-516</w:t>
            </w:r>
          </w:p>
        </w:tc>
        <w:tc>
          <w:tcPr>
            <w:tcW w:w="0" w:type="auto"/>
            <w:hideMark/>
          </w:tcPr>
          <w:p w14:paraId="386077F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-483</w:t>
            </w:r>
          </w:p>
        </w:tc>
        <w:tc>
          <w:tcPr>
            <w:tcW w:w="0" w:type="auto"/>
            <w:hideMark/>
          </w:tcPr>
          <w:p w14:paraId="67E7DB4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-1025</w:t>
            </w:r>
          </w:p>
        </w:tc>
        <w:tc>
          <w:tcPr>
            <w:tcW w:w="0" w:type="auto"/>
            <w:hideMark/>
          </w:tcPr>
          <w:p w14:paraId="44D53A98"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E46E658"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7CFB0570"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Gains/losses on equity-method investments, net</w:t>
            </w:r>
          </w:p>
        </w:tc>
        <w:tc>
          <w:tcPr>
            <w:tcW w:w="0" w:type="auto"/>
            <w:hideMark/>
          </w:tcPr>
          <w:p w14:paraId="450C9BEA"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0FC62E29"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1352</w:t>
            </w:r>
          </w:p>
        </w:tc>
        <w:tc>
          <w:tcPr>
            <w:tcW w:w="0" w:type="auto"/>
            <w:hideMark/>
          </w:tcPr>
          <w:p w14:paraId="40E59FAE"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1732</w:t>
            </w:r>
          </w:p>
        </w:tc>
        <w:tc>
          <w:tcPr>
            <w:tcW w:w="0" w:type="auto"/>
            <w:hideMark/>
          </w:tcPr>
          <w:p w14:paraId="442BA64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2129</w:t>
            </w:r>
          </w:p>
        </w:tc>
        <w:tc>
          <w:tcPr>
            <w:tcW w:w="0" w:type="auto"/>
            <w:hideMark/>
          </w:tcPr>
          <w:p w14:paraId="5998053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1138</w:t>
            </w:r>
          </w:p>
        </w:tc>
        <w:tc>
          <w:tcPr>
            <w:tcW w:w="0" w:type="auto"/>
            <w:hideMark/>
          </w:tcPr>
          <w:p w14:paraId="380C9A4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1118</w:t>
            </w:r>
          </w:p>
        </w:tc>
        <w:tc>
          <w:tcPr>
            <w:tcW w:w="0" w:type="auto"/>
            <w:hideMark/>
          </w:tcPr>
          <w:p w14:paraId="5688197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230C0B35"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0FF8334"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financial income/expense, net</w:t>
            </w:r>
          </w:p>
        </w:tc>
        <w:tc>
          <w:tcPr>
            <w:tcW w:w="0" w:type="auto"/>
            <w:hideMark/>
          </w:tcPr>
          <w:p w14:paraId="25593570"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6A63D17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317</w:t>
            </w:r>
          </w:p>
        </w:tc>
        <w:tc>
          <w:tcPr>
            <w:tcW w:w="0" w:type="auto"/>
            <w:hideMark/>
          </w:tcPr>
          <w:p w14:paraId="1267C2E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340</w:t>
            </w:r>
          </w:p>
        </w:tc>
        <w:tc>
          <w:tcPr>
            <w:tcW w:w="0" w:type="auto"/>
            <w:hideMark/>
          </w:tcPr>
          <w:p w14:paraId="31AC2D39"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108</w:t>
            </w:r>
          </w:p>
        </w:tc>
        <w:tc>
          <w:tcPr>
            <w:tcW w:w="0" w:type="auto"/>
            <w:hideMark/>
          </w:tcPr>
          <w:p w14:paraId="354FA45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37</w:t>
            </w:r>
          </w:p>
        </w:tc>
        <w:tc>
          <w:tcPr>
            <w:tcW w:w="0" w:type="auto"/>
            <w:hideMark/>
          </w:tcPr>
          <w:p w14:paraId="4B61A0F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93</w:t>
            </w:r>
          </w:p>
        </w:tc>
        <w:tc>
          <w:tcPr>
            <w:tcW w:w="0" w:type="auto"/>
            <w:hideMark/>
          </w:tcPr>
          <w:p w14:paraId="7B69C088"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E6C8822"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2016B604"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Earnings before interest and taxes (EBIT)</w:t>
            </w:r>
          </w:p>
        </w:tc>
        <w:tc>
          <w:tcPr>
            <w:tcW w:w="0" w:type="auto"/>
            <w:hideMark/>
          </w:tcPr>
          <w:p w14:paraId="22516F0D"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291E170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16028</w:t>
            </w:r>
          </w:p>
        </w:tc>
        <w:tc>
          <w:tcPr>
            <w:tcW w:w="0" w:type="auto"/>
            <w:hideMark/>
          </w:tcPr>
          <w:p w14:paraId="0265F7B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20458</w:t>
            </w:r>
          </w:p>
        </w:tc>
        <w:tc>
          <w:tcPr>
            <w:tcW w:w="0" w:type="auto"/>
            <w:hideMark/>
          </w:tcPr>
          <w:p w14:paraId="1CDD7D67"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19660</w:t>
            </w:r>
          </w:p>
        </w:tc>
        <w:tc>
          <w:tcPr>
            <w:tcW w:w="0" w:type="auto"/>
            <w:hideMark/>
          </w:tcPr>
          <w:p w14:paraId="7820A24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13599</w:t>
            </w:r>
          </w:p>
        </w:tc>
        <w:tc>
          <w:tcPr>
            <w:tcW w:w="0" w:type="auto"/>
            <w:hideMark/>
          </w:tcPr>
          <w:p w14:paraId="16FF323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5,820</w:t>
            </w:r>
          </w:p>
        </w:tc>
        <w:tc>
          <w:tcPr>
            <w:tcW w:w="0" w:type="auto"/>
            <w:hideMark/>
          </w:tcPr>
          <w:p w14:paraId="57359A47"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091363C"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64AF613B"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Interest income</w:t>
            </w:r>
          </w:p>
        </w:tc>
        <w:tc>
          <w:tcPr>
            <w:tcW w:w="0" w:type="auto"/>
            <w:hideMark/>
          </w:tcPr>
          <w:p w14:paraId="37320F51"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16826C12"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212</w:t>
            </w:r>
          </w:p>
        </w:tc>
        <w:tc>
          <w:tcPr>
            <w:tcW w:w="0" w:type="auto"/>
            <w:hideMark/>
          </w:tcPr>
          <w:p w14:paraId="2478B99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273</w:t>
            </w:r>
          </w:p>
        </w:tc>
        <w:tc>
          <w:tcPr>
            <w:tcW w:w="0" w:type="auto"/>
            <w:hideMark/>
          </w:tcPr>
          <w:p w14:paraId="4675BC6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678</w:t>
            </w:r>
          </w:p>
        </w:tc>
        <w:tc>
          <w:tcPr>
            <w:tcW w:w="0" w:type="auto"/>
            <w:hideMark/>
          </w:tcPr>
          <w:p w14:paraId="2DC9019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738</w:t>
            </w:r>
          </w:p>
        </w:tc>
        <w:tc>
          <w:tcPr>
            <w:tcW w:w="0" w:type="auto"/>
            <w:hideMark/>
          </w:tcPr>
          <w:p w14:paraId="134E358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623</w:t>
            </w:r>
          </w:p>
        </w:tc>
        <w:tc>
          <w:tcPr>
            <w:tcW w:w="0" w:type="auto"/>
            <w:hideMark/>
          </w:tcPr>
          <w:p w14:paraId="3A69313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21DB8AE1"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0DDA8B4B"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Interest expense</w:t>
            </w:r>
          </w:p>
        </w:tc>
        <w:tc>
          <w:tcPr>
            <w:tcW w:w="0" w:type="auto"/>
            <w:hideMark/>
          </w:tcPr>
          <w:p w14:paraId="141E7A8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704ECB41"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-429</w:t>
            </w:r>
          </w:p>
        </w:tc>
        <w:tc>
          <w:tcPr>
            <w:tcW w:w="0" w:type="auto"/>
            <w:hideMark/>
          </w:tcPr>
          <w:p w14:paraId="19D86A6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-427</w:t>
            </w:r>
          </w:p>
        </w:tc>
        <w:tc>
          <w:tcPr>
            <w:tcW w:w="0" w:type="auto"/>
            <w:hideMark/>
          </w:tcPr>
          <w:p w14:paraId="1E760F7D"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-254</w:t>
            </w:r>
          </w:p>
        </w:tc>
        <w:tc>
          <w:tcPr>
            <w:tcW w:w="0" w:type="auto"/>
            <w:hideMark/>
          </w:tcPr>
          <w:p w14:paraId="323CF8BD"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-190</w:t>
            </w:r>
          </w:p>
        </w:tc>
        <w:tc>
          <w:tcPr>
            <w:tcW w:w="0" w:type="auto"/>
            <w:hideMark/>
          </w:tcPr>
          <w:p w14:paraId="681F4BB1"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-159</w:t>
            </w:r>
          </w:p>
        </w:tc>
        <w:tc>
          <w:tcPr>
            <w:tcW w:w="0" w:type="auto"/>
            <w:hideMark/>
          </w:tcPr>
          <w:p w14:paraId="13A7A7C2"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55C7E651"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7E6BA590"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Profit before income taxes</w:t>
            </w:r>
          </w:p>
        </w:tc>
        <w:tc>
          <w:tcPr>
            <w:tcW w:w="0" w:type="auto"/>
            <w:hideMark/>
          </w:tcPr>
          <w:p w14:paraId="02BB7EA0"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6DF5769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15811</w:t>
            </w:r>
          </w:p>
        </w:tc>
        <w:tc>
          <w:tcPr>
            <w:tcW w:w="0" w:type="auto"/>
            <w:hideMark/>
          </w:tcPr>
          <w:p w14:paraId="7CD3A77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20304</w:t>
            </w:r>
          </w:p>
        </w:tc>
        <w:tc>
          <w:tcPr>
            <w:tcW w:w="0" w:type="auto"/>
            <w:hideMark/>
          </w:tcPr>
          <w:p w14:paraId="5ECBA57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20084</w:t>
            </w:r>
          </w:p>
        </w:tc>
        <w:tc>
          <w:tcPr>
            <w:tcW w:w="0" w:type="auto"/>
            <w:hideMark/>
          </w:tcPr>
          <w:p w14:paraId="4598ADF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14,147</w:t>
            </w:r>
          </w:p>
        </w:tc>
        <w:tc>
          <w:tcPr>
            <w:tcW w:w="0" w:type="auto"/>
            <w:hideMark/>
          </w:tcPr>
          <w:p w14:paraId="0D569262"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6,284</w:t>
            </w:r>
          </w:p>
        </w:tc>
        <w:tc>
          <w:tcPr>
            <w:tcW w:w="0" w:type="auto"/>
            <w:hideMark/>
          </w:tcPr>
          <w:p w14:paraId="4D3A6F2D"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65E36EF3"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70DB8A83"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Income taxes</w:t>
            </w:r>
          </w:p>
        </w:tc>
        <w:tc>
          <w:tcPr>
            <w:tcW w:w="0" w:type="auto"/>
            <w:hideMark/>
          </w:tcPr>
          <w:p w14:paraId="315DC2A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7501F65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-4761</w:t>
            </w:r>
          </w:p>
        </w:tc>
        <w:tc>
          <w:tcPr>
            <w:tcW w:w="0" w:type="auto"/>
            <w:hideMark/>
          </w:tcPr>
          <w:p w14:paraId="6754F1E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-5495</w:t>
            </w:r>
          </w:p>
        </w:tc>
        <w:tc>
          <w:tcPr>
            <w:tcW w:w="0" w:type="auto"/>
            <w:hideMark/>
          </w:tcPr>
          <w:p w14:paraId="40D0F3A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-5553</w:t>
            </w:r>
          </w:p>
        </w:tc>
        <w:tc>
          <w:tcPr>
            <w:tcW w:w="0" w:type="auto"/>
            <w:hideMark/>
          </w:tcPr>
          <w:p w14:paraId="2B20F5A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3738</w:t>
            </w:r>
          </w:p>
        </w:tc>
        <w:tc>
          <w:tcPr>
            <w:tcW w:w="0" w:type="auto"/>
            <w:hideMark/>
          </w:tcPr>
          <w:p w14:paraId="2A7C3420"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953</w:t>
            </w:r>
          </w:p>
        </w:tc>
        <w:tc>
          <w:tcPr>
            <w:tcW w:w="0" w:type="auto"/>
            <w:hideMark/>
          </w:tcPr>
          <w:p w14:paraId="79E87528"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CB6228F"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61243E03"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Profit from continuing operations</w:t>
            </w:r>
          </w:p>
        </w:tc>
        <w:tc>
          <w:tcPr>
            <w:tcW w:w="0" w:type="auto"/>
            <w:hideMark/>
          </w:tcPr>
          <w:p w14:paraId="466BDBD8"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32DDD6B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1105</w:t>
            </w:r>
            <w:r w:rsidRPr="00A553B9">
              <w:rPr>
                <w:rFonts w:ascii="Times New Roman" w:eastAsia="Times New Roman" w:hAnsi="Times New Roman" w:cs="Times New Roman"/>
                <w:color w:val="000000"/>
                <w:sz w:val="18"/>
                <w:szCs w:val="18"/>
              </w:rPr>
              <w:lastRenderedPageBreak/>
              <w:t>0</w:t>
            </w:r>
          </w:p>
        </w:tc>
        <w:tc>
          <w:tcPr>
            <w:tcW w:w="0" w:type="auto"/>
            <w:hideMark/>
          </w:tcPr>
          <w:p w14:paraId="038418B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lastRenderedPageBreak/>
              <w:t>1480</w:t>
            </w:r>
            <w:r w:rsidRPr="00A553B9">
              <w:rPr>
                <w:rFonts w:ascii="Times New Roman" w:eastAsia="Times New Roman" w:hAnsi="Times New Roman" w:cs="Times New Roman"/>
                <w:color w:val="000000"/>
                <w:sz w:val="18"/>
                <w:szCs w:val="18"/>
              </w:rPr>
              <w:lastRenderedPageBreak/>
              <w:t>9</w:t>
            </w:r>
          </w:p>
        </w:tc>
        <w:tc>
          <w:tcPr>
            <w:tcW w:w="0" w:type="auto"/>
            <w:hideMark/>
          </w:tcPr>
          <w:p w14:paraId="7DB59260"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lastRenderedPageBreak/>
              <w:t>-</w:t>
            </w:r>
          </w:p>
        </w:tc>
        <w:tc>
          <w:tcPr>
            <w:tcW w:w="0" w:type="auto"/>
            <w:hideMark/>
          </w:tcPr>
          <w:p w14:paraId="39BD61EA"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w:t>
            </w:r>
          </w:p>
        </w:tc>
        <w:tc>
          <w:tcPr>
            <w:tcW w:w="0" w:type="auto"/>
            <w:hideMark/>
          </w:tcPr>
          <w:p w14:paraId="31621D5C"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w:t>
            </w:r>
          </w:p>
        </w:tc>
        <w:tc>
          <w:tcPr>
            <w:tcW w:w="0" w:type="auto"/>
            <w:hideMark/>
          </w:tcPr>
          <w:p w14:paraId="1C0D139D"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2AD8A84C"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3258AE74"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Discontinued operations</w:t>
            </w:r>
          </w:p>
        </w:tc>
        <w:tc>
          <w:tcPr>
            <w:tcW w:w="0" w:type="auto"/>
            <w:hideMark/>
          </w:tcPr>
          <w:p w14:paraId="0F295E3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410F9DF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12346</w:t>
            </w:r>
          </w:p>
        </w:tc>
        <w:tc>
          <w:tcPr>
            <w:tcW w:w="0" w:type="auto"/>
            <w:hideMark/>
          </w:tcPr>
          <w:p w14:paraId="0F2D26D1"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w:t>
            </w:r>
          </w:p>
        </w:tc>
        <w:tc>
          <w:tcPr>
            <w:tcW w:w="0" w:type="auto"/>
            <w:hideMark/>
          </w:tcPr>
          <w:p w14:paraId="5236D7F9"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w:t>
            </w:r>
          </w:p>
        </w:tc>
        <w:tc>
          <w:tcPr>
            <w:tcW w:w="0" w:type="auto"/>
            <w:hideMark/>
          </w:tcPr>
          <w:p w14:paraId="1D08403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w:t>
            </w:r>
          </w:p>
        </w:tc>
        <w:tc>
          <w:tcPr>
            <w:tcW w:w="0" w:type="auto"/>
            <w:hideMark/>
          </w:tcPr>
          <w:p w14:paraId="6093CF13"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w:t>
            </w:r>
          </w:p>
        </w:tc>
        <w:tc>
          <w:tcPr>
            <w:tcW w:w="0" w:type="auto"/>
            <w:hideMark/>
          </w:tcPr>
          <w:p w14:paraId="217BF0FC"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1D1AB37D"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4BD40A7"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Net profit</w:t>
            </w:r>
          </w:p>
        </w:tc>
        <w:tc>
          <w:tcPr>
            <w:tcW w:w="0" w:type="auto"/>
            <w:hideMark/>
          </w:tcPr>
          <w:p w14:paraId="7B6626B9"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w:t>
            </w:r>
          </w:p>
        </w:tc>
        <w:tc>
          <w:tcPr>
            <w:tcW w:w="0" w:type="auto"/>
            <w:hideMark/>
          </w:tcPr>
          <w:p w14:paraId="18E8822B"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23396</w:t>
            </w:r>
          </w:p>
        </w:tc>
        <w:tc>
          <w:tcPr>
            <w:tcW w:w="0" w:type="auto"/>
            <w:hideMark/>
          </w:tcPr>
          <w:p w14:paraId="2AD661F2"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14809</w:t>
            </w:r>
          </w:p>
        </w:tc>
        <w:tc>
          <w:tcPr>
            <w:tcW w:w="0" w:type="auto"/>
            <w:hideMark/>
          </w:tcPr>
          <w:p w14:paraId="7D784ED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14531</w:t>
            </w:r>
          </w:p>
        </w:tc>
        <w:tc>
          <w:tcPr>
            <w:tcW w:w="0" w:type="auto"/>
            <w:hideMark/>
          </w:tcPr>
          <w:p w14:paraId="0B75645A"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10409</w:t>
            </w:r>
          </w:p>
        </w:tc>
        <w:tc>
          <w:tcPr>
            <w:tcW w:w="0" w:type="auto"/>
            <w:hideMark/>
          </w:tcPr>
          <w:p w14:paraId="319786D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5331</w:t>
            </w:r>
          </w:p>
        </w:tc>
        <w:tc>
          <w:tcPr>
            <w:tcW w:w="0" w:type="auto"/>
            <w:hideMark/>
          </w:tcPr>
          <w:p w14:paraId="1D1DD901"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6EADE121"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246477C3"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Profit attributable to non-controlling interests</w:t>
            </w:r>
          </w:p>
        </w:tc>
        <w:tc>
          <w:tcPr>
            <w:tcW w:w="0" w:type="auto"/>
            <w:hideMark/>
          </w:tcPr>
          <w:p w14:paraId="3D5333E7"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3BFB0A5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23006</w:t>
            </w:r>
          </w:p>
        </w:tc>
        <w:tc>
          <w:tcPr>
            <w:tcW w:w="0" w:type="auto"/>
            <w:hideMark/>
          </w:tcPr>
          <w:p w14:paraId="28C9B61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14501</w:t>
            </w:r>
          </w:p>
        </w:tc>
        <w:tc>
          <w:tcPr>
            <w:tcW w:w="0" w:type="auto"/>
            <w:hideMark/>
          </w:tcPr>
          <w:p w14:paraId="5D5BEA3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14261</w:t>
            </w:r>
          </w:p>
        </w:tc>
        <w:tc>
          <w:tcPr>
            <w:tcW w:w="0" w:type="auto"/>
            <w:hideMark/>
          </w:tcPr>
          <w:p w14:paraId="2A3654D2"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w:t>
            </w:r>
          </w:p>
        </w:tc>
        <w:tc>
          <w:tcPr>
            <w:tcW w:w="0" w:type="auto"/>
            <w:hideMark/>
          </w:tcPr>
          <w:p w14:paraId="0160BF47"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190</w:t>
            </w:r>
          </w:p>
        </w:tc>
        <w:tc>
          <w:tcPr>
            <w:tcW w:w="0" w:type="auto"/>
            <w:hideMark/>
          </w:tcPr>
          <w:p w14:paraId="7796C91A"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018A2CD1"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1FA2AFF1"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Profit attributable to shareholders of Mercedes-Benz Group AG</w:t>
            </w:r>
          </w:p>
        </w:tc>
        <w:tc>
          <w:tcPr>
            <w:tcW w:w="0" w:type="auto"/>
            <w:hideMark/>
          </w:tcPr>
          <w:p w14:paraId="3F447B4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390</w:t>
            </w:r>
          </w:p>
        </w:tc>
        <w:tc>
          <w:tcPr>
            <w:tcW w:w="0" w:type="auto"/>
            <w:hideMark/>
          </w:tcPr>
          <w:p w14:paraId="41394A20"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308</w:t>
            </w:r>
          </w:p>
        </w:tc>
        <w:tc>
          <w:tcPr>
            <w:tcW w:w="0" w:type="auto"/>
            <w:hideMark/>
          </w:tcPr>
          <w:p w14:paraId="4DDD7B7A"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270</w:t>
            </w:r>
          </w:p>
        </w:tc>
        <w:tc>
          <w:tcPr>
            <w:tcW w:w="0" w:type="auto"/>
            <w:hideMark/>
          </w:tcPr>
          <w:p w14:paraId="44D6C69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10207</w:t>
            </w:r>
          </w:p>
        </w:tc>
        <w:tc>
          <w:tcPr>
            <w:tcW w:w="0" w:type="auto"/>
            <w:hideMark/>
          </w:tcPr>
          <w:p w14:paraId="7E8D95C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5141</w:t>
            </w:r>
          </w:p>
        </w:tc>
        <w:tc>
          <w:tcPr>
            <w:tcW w:w="0" w:type="auto"/>
            <w:hideMark/>
          </w:tcPr>
          <w:p w14:paraId="18B8B87C"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61D33ED5"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2CE5F125"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Earnings per share (Basic, €)</w:t>
            </w:r>
          </w:p>
        </w:tc>
        <w:tc>
          <w:tcPr>
            <w:tcW w:w="0" w:type="auto"/>
            <w:hideMark/>
          </w:tcPr>
          <w:p w14:paraId="0C60DA28"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7A9DFAF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21.5</w:t>
            </w:r>
          </w:p>
        </w:tc>
        <w:tc>
          <w:tcPr>
            <w:tcW w:w="0" w:type="auto"/>
            <w:hideMark/>
          </w:tcPr>
          <w:p w14:paraId="19B1FAC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13.55</w:t>
            </w:r>
          </w:p>
        </w:tc>
        <w:tc>
          <w:tcPr>
            <w:tcW w:w="0" w:type="auto"/>
            <w:hideMark/>
          </w:tcPr>
          <w:p w14:paraId="5BEDD40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13.46</w:t>
            </w:r>
          </w:p>
        </w:tc>
        <w:tc>
          <w:tcPr>
            <w:tcW w:w="0" w:type="auto"/>
            <w:hideMark/>
          </w:tcPr>
          <w:p w14:paraId="4DEC959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10.19</w:t>
            </w:r>
          </w:p>
        </w:tc>
        <w:tc>
          <w:tcPr>
            <w:tcW w:w="0" w:type="auto"/>
            <w:hideMark/>
          </w:tcPr>
          <w:p w14:paraId="0833BBC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5.34</w:t>
            </w:r>
          </w:p>
        </w:tc>
        <w:tc>
          <w:tcPr>
            <w:tcW w:w="0" w:type="auto"/>
            <w:hideMark/>
          </w:tcPr>
          <w:p w14:paraId="43B715FC"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0D496347"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001E6CDD"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Earnings per share (Diluted, €)</w:t>
            </w:r>
          </w:p>
        </w:tc>
        <w:tc>
          <w:tcPr>
            <w:tcW w:w="0" w:type="auto"/>
            <w:hideMark/>
          </w:tcPr>
          <w:p w14:paraId="2A431AF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6B6DACC0"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21.5</w:t>
            </w:r>
          </w:p>
        </w:tc>
        <w:tc>
          <w:tcPr>
            <w:tcW w:w="0" w:type="auto"/>
            <w:hideMark/>
          </w:tcPr>
          <w:p w14:paraId="69892D1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13.55</w:t>
            </w:r>
          </w:p>
        </w:tc>
        <w:tc>
          <w:tcPr>
            <w:tcW w:w="0" w:type="auto"/>
            <w:hideMark/>
          </w:tcPr>
          <w:p w14:paraId="4E94E35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13.46</w:t>
            </w:r>
          </w:p>
        </w:tc>
        <w:tc>
          <w:tcPr>
            <w:tcW w:w="0" w:type="auto"/>
            <w:hideMark/>
          </w:tcPr>
          <w:p w14:paraId="40E25BB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10.19</w:t>
            </w:r>
          </w:p>
        </w:tc>
        <w:tc>
          <w:tcPr>
            <w:tcW w:w="0" w:type="auto"/>
            <w:hideMark/>
          </w:tcPr>
          <w:p w14:paraId="46E576E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5.34</w:t>
            </w:r>
          </w:p>
        </w:tc>
        <w:tc>
          <w:tcPr>
            <w:tcW w:w="0" w:type="auto"/>
            <w:hideMark/>
          </w:tcPr>
          <w:p w14:paraId="6C0EC285"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28F7D05B"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372511D"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Market Price Per Share</w:t>
            </w:r>
          </w:p>
        </w:tc>
        <w:tc>
          <w:tcPr>
            <w:tcW w:w="0" w:type="auto"/>
            <w:hideMark/>
          </w:tcPr>
          <w:p w14:paraId="639EB9D2"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5B4BA9E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67.72</w:t>
            </w:r>
          </w:p>
        </w:tc>
        <w:tc>
          <w:tcPr>
            <w:tcW w:w="0" w:type="auto"/>
            <w:hideMark/>
          </w:tcPr>
          <w:p w14:paraId="00C192A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61.51</w:t>
            </w:r>
          </w:p>
        </w:tc>
        <w:tc>
          <w:tcPr>
            <w:tcW w:w="0" w:type="auto"/>
            <w:hideMark/>
          </w:tcPr>
          <w:p w14:paraId="1D23F00E"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62.60</w:t>
            </w:r>
          </w:p>
        </w:tc>
        <w:tc>
          <w:tcPr>
            <w:tcW w:w="0" w:type="auto"/>
            <w:hideMark/>
          </w:tcPr>
          <w:p w14:paraId="06BD055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53.62</w:t>
            </w:r>
          </w:p>
        </w:tc>
        <w:tc>
          <w:tcPr>
            <w:tcW w:w="0" w:type="auto"/>
            <w:hideMark/>
          </w:tcPr>
          <w:p w14:paraId="1C824E5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53.10</w:t>
            </w:r>
          </w:p>
        </w:tc>
        <w:tc>
          <w:tcPr>
            <w:tcW w:w="0" w:type="auto"/>
            <w:hideMark/>
          </w:tcPr>
          <w:p w14:paraId="4E04CB4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14B0C5F3" w14:textId="77777777" w:rsidTr="00A553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600F598"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Market Capitalization</w:t>
            </w:r>
          </w:p>
        </w:tc>
        <w:tc>
          <w:tcPr>
            <w:tcW w:w="0" w:type="auto"/>
            <w:hideMark/>
          </w:tcPr>
          <w:p w14:paraId="2DDAAD7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393CD77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rPr>
            </w:pPr>
            <w:r w:rsidRPr="00A553B9">
              <w:rPr>
                <w:rFonts w:ascii="Calibri" w:eastAsia="Times New Roman" w:hAnsi="Calibri" w:cs="Calibri"/>
                <w:color w:val="000000"/>
                <w:sz w:val="18"/>
                <w:szCs w:val="18"/>
              </w:rPr>
              <w:t>72,461</w:t>
            </w:r>
          </w:p>
        </w:tc>
        <w:tc>
          <w:tcPr>
            <w:tcW w:w="0" w:type="auto"/>
            <w:noWrap/>
            <w:hideMark/>
          </w:tcPr>
          <w:p w14:paraId="6E22BD0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rPr>
            </w:pPr>
            <w:r w:rsidRPr="00A553B9">
              <w:rPr>
                <w:rFonts w:ascii="Calibri" w:eastAsia="Times New Roman" w:hAnsi="Calibri" w:cs="Calibri"/>
                <w:color w:val="000000"/>
                <w:sz w:val="18"/>
                <w:szCs w:val="18"/>
              </w:rPr>
              <w:t>65,816</w:t>
            </w:r>
          </w:p>
        </w:tc>
        <w:tc>
          <w:tcPr>
            <w:tcW w:w="0" w:type="auto"/>
            <w:noWrap/>
            <w:hideMark/>
          </w:tcPr>
          <w:p w14:paraId="45BABCB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rPr>
            </w:pPr>
            <w:r w:rsidRPr="00A553B9">
              <w:rPr>
                <w:rFonts w:ascii="Calibri" w:eastAsia="Times New Roman" w:hAnsi="Calibri" w:cs="Calibri"/>
                <w:color w:val="000000"/>
                <w:sz w:val="18"/>
                <w:szCs w:val="18"/>
              </w:rPr>
              <w:t>66,982</w:t>
            </w:r>
          </w:p>
        </w:tc>
        <w:tc>
          <w:tcPr>
            <w:tcW w:w="0" w:type="auto"/>
            <w:noWrap/>
            <w:hideMark/>
          </w:tcPr>
          <w:p w14:paraId="27E6860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rPr>
            </w:pPr>
            <w:r w:rsidRPr="00A553B9">
              <w:rPr>
                <w:rFonts w:ascii="Calibri" w:eastAsia="Times New Roman" w:hAnsi="Calibri" w:cs="Calibri"/>
                <w:color w:val="000000"/>
                <w:sz w:val="18"/>
                <w:szCs w:val="18"/>
              </w:rPr>
              <w:t>57,910</w:t>
            </w:r>
          </w:p>
        </w:tc>
        <w:tc>
          <w:tcPr>
            <w:tcW w:w="0" w:type="auto"/>
            <w:noWrap/>
            <w:hideMark/>
          </w:tcPr>
          <w:p w14:paraId="51B0BAAB"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rPr>
            </w:pPr>
            <w:r w:rsidRPr="00A553B9">
              <w:rPr>
                <w:rFonts w:ascii="Calibri" w:eastAsia="Times New Roman" w:hAnsi="Calibri" w:cs="Calibri"/>
                <w:color w:val="000000"/>
                <w:sz w:val="18"/>
                <w:szCs w:val="18"/>
              </w:rPr>
              <w:t>57,348</w:t>
            </w:r>
          </w:p>
        </w:tc>
        <w:tc>
          <w:tcPr>
            <w:tcW w:w="0" w:type="auto"/>
            <w:hideMark/>
          </w:tcPr>
          <w:p w14:paraId="03F62331"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972CCEA"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CA6C920" w14:textId="77777777" w:rsidR="000C10A2" w:rsidRPr="00A553B9" w:rsidRDefault="000C10A2" w:rsidP="007054BE">
            <w:pPr>
              <w:spacing w:after="0" w:line="240" w:lineRule="auto"/>
              <w:jc w:val="right"/>
              <w:rPr>
                <w:rFonts w:ascii="Calibri" w:eastAsia="Times New Roman" w:hAnsi="Calibri" w:cs="Calibri"/>
                <w:color w:val="000000"/>
                <w:sz w:val="18"/>
                <w:szCs w:val="18"/>
              </w:rPr>
            </w:pPr>
          </w:p>
        </w:tc>
        <w:tc>
          <w:tcPr>
            <w:tcW w:w="0" w:type="auto"/>
            <w:hideMark/>
          </w:tcPr>
          <w:p w14:paraId="057EC64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6B88D8EC"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7BF6B4BD"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4280C327"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60CB78D2"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78E6FF5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50DE410F"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02C6BB70"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42C1F80" w14:textId="77777777" w:rsidR="000C10A2" w:rsidRPr="00A553B9" w:rsidRDefault="000C10A2" w:rsidP="007054BE">
            <w:pPr>
              <w:spacing w:after="0" w:line="240" w:lineRule="auto"/>
              <w:rPr>
                <w:rFonts w:ascii="Times New Roman" w:eastAsia="Times New Roman" w:hAnsi="Times New Roman" w:cs="Times New Roman"/>
                <w:sz w:val="18"/>
                <w:szCs w:val="18"/>
              </w:rPr>
            </w:pPr>
          </w:p>
        </w:tc>
        <w:tc>
          <w:tcPr>
            <w:tcW w:w="0" w:type="auto"/>
            <w:hideMark/>
          </w:tcPr>
          <w:p w14:paraId="6BC139F4"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6ED93847"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1E50F8B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2361BD1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779F57C4"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36F7008D"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3CDCEEEC"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71F883FC"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gridSpan w:val="7"/>
            <w:hideMark/>
          </w:tcPr>
          <w:p w14:paraId="1D117A27" w14:textId="77777777" w:rsidR="000C10A2" w:rsidRPr="00A553B9" w:rsidRDefault="000C10A2" w:rsidP="007054BE">
            <w:pPr>
              <w:spacing w:after="0" w:line="240" w:lineRule="auto"/>
              <w:jc w:val="center"/>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Statement of Cash Flows</w:t>
            </w:r>
          </w:p>
        </w:tc>
        <w:tc>
          <w:tcPr>
            <w:tcW w:w="0" w:type="auto"/>
            <w:hideMark/>
          </w:tcPr>
          <w:p w14:paraId="4287E211"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F3438BF"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65EC4445" w14:textId="77777777" w:rsidR="000C10A2" w:rsidRPr="00A553B9" w:rsidRDefault="000C10A2" w:rsidP="007054BE">
            <w:pPr>
              <w:spacing w:after="0" w:line="240" w:lineRule="auto"/>
              <w:jc w:val="center"/>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Item</w:t>
            </w:r>
          </w:p>
        </w:tc>
        <w:tc>
          <w:tcPr>
            <w:tcW w:w="0" w:type="auto"/>
            <w:hideMark/>
          </w:tcPr>
          <w:p w14:paraId="3403F04C"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w:t>
            </w:r>
          </w:p>
        </w:tc>
        <w:tc>
          <w:tcPr>
            <w:tcW w:w="0" w:type="auto"/>
            <w:hideMark/>
          </w:tcPr>
          <w:p w14:paraId="1626564C"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2021 (€)</w:t>
            </w:r>
          </w:p>
        </w:tc>
        <w:tc>
          <w:tcPr>
            <w:tcW w:w="0" w:type="auto"/>
            <w:hideMark/>
          </w:tcPr>
          <w:p w14:paraId="57C96E69"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2022 (€)</w:t>
            </w:r>
          </w:p>
        </w:tc>
        <w:tc>
          <w:tcPr>
            <w:tcW w:w="0" w:type="auto"/>
            <w:hideMark/>
          </w:tcPr>
          <w:p w14:paraId="659D92F3"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2023 (€)</w:t>
            </w:r>
          </w:p>
        </w:tc>
        <w:tc>
          <w:tcPr>
            <w:tcW w:w="0" w:type="auto"/>
            <w:hideMark/>
          </w:tcPr>
          <w:p w14:paraId="691B6830"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2024 (€)</w:t>
            </w:r>
          </w:p>
        </w:tc>
        <w:tc>
          <w:tcPr>
            <w:tcW w:w="0" w:type="auto"/>
            <w:hideMark/>
          </w:tcPr>
          <w:p w14:paraId="5B78F990" w14:textId="77777777" w:rsidR="000C10A2" w:rsidRPr="00A553B9" w:rsidRDefault="000C10A2" w:rsidP="007054B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2025 (€)</w:t>
            </w:r>
          </w:p>
        </w:tc>
        <w:tc>
          <w:tcPr>
            <w:tcW w:w="0" w:type="auto"/>
            <w:hideMark/>
          </w:tcPr>
          <w:p w14:paraId="4B0AFA61"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03BEC708"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1171EB9B"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Profit before income taxes</w:t>
            </w:r>
          </w:p>
        </w:tc>
        <w:tc>
          <w:tcPr>
            <w:tcW w:w="0" w:type="auto"/>
            <w:hideMark/>
          </w:tcPr>
          <w:p w14:paraId="5A68424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6CC41EC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28,775</w:t>
            </w:r>
          </w:p>
        </w:tc>
        <w:tc>
          <w:tcPr>
            <w:tcW w:w="0" w:type="auto"/>
            <w:hideMark/>
          </w:tcPr>
          <w:p w14:paraId="3ADE52F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20304</w:t>
            </w:r>
          </w:p>
        </w:tc>
        <w:tc>
          <w:tcPr>
            <w:tcW w:w="0" w:type="auto"/>
            <w:noWrap/>
            <w:hideMark/>
          </w:tcPr>
          <w:p w14:paraId="7E22E73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20,084</w:t>
            </w:r>
          </w:p>
        </w:tc>
        <w:tc>
          <w:tcPr>
            <w:tcW w:w="0" w:type="auto"/>
            <w:hideMark/>
          </w:tcPr>
          <w:p w14:paraId="1C0CF602"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14147</w:t>
            </w:r>
          </w:p>
        </w:tc>
        <w:tc>
          <w:tcPr>
            <w:tcW w:w="0" w:type="auto"/>
            <w:noWrap/>
            <w:hideMark/>
          </w:tcPr>
          <w:p w14:paraId="38467A1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6284</w:t>
            </w:r>
          </w:p>
        </w:tc>
        <w:tc>
          <w:tcPr>
            <w:tcW w:w="0" w:type="auto"/>
            <w:hideMark/>
          </w:tcPr>
          <w:p w14:paraId="02C61275"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B22D89C"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8E63E0C"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Depreciation and amortization/impairments</w:t>
            </w:r>
          </w:p>
        </w:tc>
        <w:tc>
          <w:tcPr>
            <w:tcW w:w="0" w:type="auto"/>
            <w:hideMark/>
          </w:tcPr>
          <w:p w14:paraId="43E72F69"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1712B0A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6,980</w:t>
            </w:r>
          </w:p>
        </w:tc>
        <w:tc>
          <w:tcPr>
            <w:tcW w:w="0" w:type="auto"/>
            <w:hideMark/>
          </w:tcPr>
          <w:p w14:paraId="430ED00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6521</w:t>
            </w:r>
          </w:p>
        </w:tc>
        <w:tc>
          <w:tcPr>
            <w:tcW w:w="0" w:type="auto"/>
            <w:noWrap/>
            <w:hideMark/>
          </w:tcPr>
          <w:p w14:paraId="2A4F7795"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6,663</w:t>
            </w:r>
          </w:p>
        </w:tc>
        <w:tc>
          <w:tcPr>
            <w:tcW w:w="0" w:type="auto"/>
            <w:hideMark/>
          </w:tcPr>
          <w:p w14:paraId="45AB5D34"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6,772</w:t>
            </w:r>
          </w:p>
        </w:tc>
        <w:tc>
          <w:tcPr>
            <w:tcW w:w="0" w:type="auto"/>
            <w:noWrap/>
            <w:hideMark/>
          </w:tcPr>
          <w:p w14:paraId="5A237812"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7223</w:t>
            </w:r>
          </w:p>
        </w:tc>
        <w:tc>
          <w:tcPr>
            <w:tcW w:w="0" w:type="auto"/>
            <w:hideMark/>
          </w:tcPr>
          <w:p w14:paraId="1DC21EC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189C12F"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42DCB43C" w14:textId="106399EB"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non-cash expense</w:t>
            </w:r>
            <w:r w:rsidR="00A553B9" w:rsidRPr="00A553B9">
              <w:rPr>
                <w:rFonts w:ascii="Times New Roman" w:eastAsia="Times New Roman" w:hAnsi="Times New Roman" w:cs="Times New Roman"/>
                <w:color w:val="000000"/>
                <w:sz w:val="18"/>
                <w:szCs w:val="18"/>
              </w:rPr>
              <w:t>s</w:t>
            </w:r>
            <w:r w:rsidRPr="00A553B9">
              <w:rPr>
                <w:rFonts w:ascii="Times New Roman" w:eastAsia="Times New Roman" w:hAnsi="Times New Roman" w:cs="Times New Roman"/>
                <w:color w:val="000000"/>
                <w:sz w:val="18"/>
                <w:szCs w:val="18"/>
              </w:rPr>
              <w:t xml:space="preserve"> and income</w:t>
            </w:r>
          </w:p>
        </w:tc>
        <w:tc>
          <w:tcPr>
            <w:tcW w:w="0" w:type="auto"/>
            <w:hideMark/>
          </w:tcPr>
          <w:p w14:paraId="27FB3A4A"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6BF7F03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-11,503</w:t>
            </w:r>
          </w:p>
        </w:tc>
        <w:tc>
          <w:tcPr>
            <w:tcW w:w="0" w:type="auto"/>
            <w:hideMark/>
          </w:tcPr>
          <w:p w14:paraId="21C744D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-1296</w:t>
            </w:r>
          </w:p>
        </w:tc>
        <w:tc>
          <w:tcPr>
            <w:tcW w:w="0" w:type="auto"/>
            <w:noWrap/>
            <w:hideMark/>
          </w:tcPr>
          <w:p w14:paraId="74A81A3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-2,369</w:t>
            </w:r>
          </w:p>
        </w:tc>
        <w:tc>
          <w:tcPr>
            <w:tcW w:w="0" w:type="auto"/>
            <w:hideMark/>
          </w:tcPr>
          <w:p w14:paraId="70024F00"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-1362</w:t>
            </w:r>
          </w:p>
        </w:tc>
        <w:tc>
          <w:tcPr>
            <w:tcW w:w="0" w:type="auto"/>
            <w:noWrap/>
            <w:hideMark/>
          </w:tcPr>
          <w:p w14:paraId="239D94A2"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-1204</w:t>
            </w:r>
          </w:p>
        </w:tc>
        <w:tc>
          <w:tcPr>
            <w:tcW w:w="0" w:type="auto"/>
            <w:hideMark/>
          </w:tcPr>
          <w:p w14:paraId="6F5BD866"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6FC0E3AB"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0CC4F2EE"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Gains (-)/losses (+) from disposals of non-current assets</w:t>
            </w:r>
          </w:p>
        </w:tc>
        <w:tc>
          <w:tcPr>
            <w:tcW w:w="0" w:type="auto"/>
            <w:hideMark/>
          </w:tcPr>
          <w:p w14:paraId="7AA8598B"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2780157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-695</w:t>
            </w:r>
          </w:p>
        </w:tc>
        <w:tc>
          <w:tcPr>
            <w:tcW w:w="0" w:type="auto"/>
            <w:hideMark/>
          </w:tcPr>
          <w:p w14:paraId="77C46CB0"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-990</w:t>
            </w:r>
          </w:p>
        </w:tc>
        <w:tc>
          <w:tcPr>
            <w:tcW w:w="0" w:type="auto"/>
            <w:noWrap/>
            <w:hideMark/>
          </w:tcPr>
          <w:p w14:paraId="458AA2C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-92</w:t>
            </w:r>
          </w:p>
        </w:tc>
        <w:tc>
          <w:tcPr>
            <w:tcW w:w="0" w:type="auto"/>
            <w:hideMark/>
          </w:tcPr>
          <w:p w14:paraId="7294B73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18</w:t>
            </w:r>
          </w:p>
        </w:tc>
        <w:tc>
          <w:tcPr>
            <w:tcW w:w="0" w:type="auto"/>
            <w:noWrap/>
            <w:hideMark/>
          </w:tcPr>
          <w:p w14:paraId="4E46896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65</w:t>
            </w:r>
          </w:p>
        </w:tc>
        <w:tc>
          <w:tcPr>
            <w:tcW w:w="0" w:type="auto"/>
            <w:hideMark/>
          </w:tcPr>
          <w:p w14:paraId="03124A81"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08D3B23E"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5EB08CA"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Change in operating assets and liabilities</w:t>
            </w:r>
          </w:p>
        </w:tc>
        <w:tc>
          <w:tcPr>
            <w:tcW w:w="0" w:type="auto"/>
            <w:hideMark/>
          </w:tcPr>
          <w:p w14:paraId="34BD0CE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53A55D8D"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0A02BD52"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2625B720"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0FEF1348"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noWrap/>
            <w:hideMark/>
          </w:tcPr>
          <w:p w14:paraId="61C35DA9"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1EED188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30C7A43"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3C699FE8"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Inventories</w:t>
            </w:r>
          </w:p>
        </w:tc>
        <w:tc>
          <w:tcPr>
            <w:tcW w:w="0" w:type="auto"/>
            <w:hideMark/>
          </w:tcPr>
          <w:p w14:paraId="3B2867A4"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181CC8A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-2,561</w:t>
            </w:r>
          </w:p>
        </w:tc>
        <w:tc>
          <w:tcPr>
            <w:tcW w:w="0" w:type="auto"/>
            <w:hideMark/>
          </w:tcPr>
          <w:p w14:paraId="234BADB4"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-4111</w:t>
            </w:r>
          </w:p>
        </w:tc>
        <w:tc>
          <w:tcPr>
            <w:tcW w:w="0" w:type="auto"/>
            <w:noWrap/>
            <w:hideMark/>
          </w:tcPr>
          <w:p w14:paraId="29539AD9"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-2,733</w:t>
            </w:r>
          </w:p>
        </w:tc>
        <w:tc>
          <w:tcPr>
            <w:tcW w:w="0" w:type="auto"/>
            <w:hideMark/>
          </w:tcPr>
          <w:p w14:paraId="0768431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737</w:t>
            </w:r>
          </w:p>
        </w:tc>
        <w:tc>
          <w:tcPr>
            <w:tcW w:w="0" w:type="auto"/>
            <w:noWrap/>
            <w:hideMark/>
          </w:tcPr>
          <w:p w14:paraId="45E35F90"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724</w:t>
            </w:r>
          </w:p>
        </w:tc>
        <w:tc>
          <w:tcPr>
            <w:tcW w:w="0" w:type="auto"/>
            <w:hideMark/>
          </w:tcPr>
          <w:p w14:paraId="3ED601B6"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48BE556E"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noWrap/>
            <w:hideMark/>
          </w:tcPr>
          <w:p w14:paraId="00BB1956"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Trade receivables and trade payables</w:t>
            </w:r>
          </w:p>
        </w:tc>
        <w:tc>
          <w:tcPr>
            <w:tcW w:w="0" w:type="auto"/>
            <w:noWrap/>
            <w:hideMark/>
          </w:tcPr>
          <w:p w14:paraId="24C7A62D"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1A3ECD17"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1,694</w:t>
            </w:r>
          </w:p>
        </w:tc>
        <w:tc>
          <w:tcPr>
            <w:tcW w:w="0" w:type="auto"/>
            <w:hideMark/>
          </w:tcPr>
          <w:p w14:paraId="764EA7E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1029</w:t>
            </w:r>
          </w:p>
        </w:tc>
        <w:tc>
          <w:tcPr>
            <w:tcW w:w="0" w:type="auto"/>
            <w:noWrap/>
            <w:hideMark/>
          </w:tcPr>
          <w:p w14:paraId="428D635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1,310</w:t>
            </w:r>
          </w:p>
        </w:tc>
        <w:tc>
          <w:tcPr>
            <w:tcW w:w="0" w:type="auto"/>
            <w:hideMark/>
          </w:tcPr>
          <w:p w14:paraId="4528C4DD"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-1199</w:t>
            </w:r>
          </w:p>
        </w:tc>
        <w:tc>
          <w:tcPr>
            <w:tcW w:w="0" w:type="auto"/>
            <w:noWrap/>
            <w:hideMark/>
          </w:tcPr>
          <w:p w14:paraId="48153E5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895</w:t>
            </w:r>
          </w:p>
        </w:tc>
        <w:tc>
          <w:tcPr>
            <w:tcW w:w="0" w:type="auto"/>
            <w:hideMark/>
          </w:tcPr>
          <w:p w14:paraId="720519D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EA263F1"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8E0397F"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Receivables from financial services</w:t>
            </w:r>
          </w:p>
        </w:tc>
        <w:tc>
          <w:tcPr>
            <w:tcW w:w="0" w:type="auto"/>
            <w:hideMark/>
          </w:tcPr>
          <w:p w14:paraId="5D0AA37D"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7C2ED0E4"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3,879</w:t>
            </w:r>
          </w:p>
        </w:tc>
        <w:tc>
          <w:tcPr>
            <w:tcW w:w="0" w:type="auto"/>
            <w:hideMark/>
          </w:tcPr>
          <w:p w14:paraId="2B10BCE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-5327</w:t>
            </w:r>
          </w:p>
        </w:tc>
        <w:tc>
          <w:tcPr>
            <w:tcW w:w="0" w:type="auto"/>
            <w:noWrap/>
            <w:hideMark/>
          </w:tcPr>
          <w:p w14:paraId="3C2BD05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-5,812</w:t>
            </w:r>
          </w:p>
        </w:tc>
        <w:tc>
          <w:tcPr>
            <w:tcW w:w="0" w:type="auto"/>
            <w:hideMark/>
          </w:tcPr>
          <w:p w14:paraId="77E4A56B"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3280</w:t>
            </w:r>
          </w:p>
        </w:tc>
        <w:tc>
          <w:tcPr>
            <w:tcW w:w="0" w:type="auto"/>
            <w:noWrap/>
            <w:hideMark/>
          </w:tcPr>
          <w:p w14:paraId="19AAF7D4"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5,828</w:t>
            </w:r>
          </w:p>
        </w:tc>
        <w:tc>
          <w:tcPr>
            <w:tcW w:w="0" w:type="auto"/>
            <w:hideMark/>
          </w:tcPr>
          <w:p w14:paraId="4EF24087"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64BB02E4"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76E0F9C7"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Vehicles on operating leases</w:t>
            </w:r>
          </w:p>
        </w:tc>
        <w:tc>
          <w:tcPr>
            <w:tcW w:w="0" w:type="auto"/>
            <w:hideMark/>
          </w:tcPr>
          <w:p w14:paraId="2FDB3058"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06DA6CED"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1,428</w:t>
            </w:r>
          </w:p>
        </w:tc>
        <w:tc>
          <w:tcPr>
            <w:tcW w:w="0" w:type="auto"/>
            <w:hideMark/>
          </w:tcPr>
          <w:p w14:paraId="0491621E"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3810</w:t>
            </w:r>
          </w:p>
        </w:tc>
        <w:tc>
          <w:tcPr>
            <w:tcW w:w="0" w:type="auto"/>
            <w:noWrap/>
            <w:hideMark/>
          </w:tcPr>
          <w:p w14:paraId="586DDE3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-640</w:t>
            </w:r>
          </w:p>
        </w:tc>
        <w:tc>
          <w:tcPr>
            <w:tcW w:w="0" w:type="auto"/>
            <w:hideMark/>
          </w:tcPr>
          <w:p w14:paraId="09F271C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-3110</w:t>
            </w:r>
          </w:p>
        </w:tc>
        <w:tc>
          <w:tcPr>
            <w:tcW w:w="0" w:type="auto"/>
            <w:noWrap/>
            <w:hideMark/>
          </w:tcPr>
          <w:p w14:paraId="3503563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-4,060</w:t>
            </w:r>
          </w:p>
        </w:tc>
        <w:tc>
          <w:tcPr>
            <w:tcW w:w="0" w:type="auto"/>
            <w:hideMark/>
          </w:tcPr>
          <w:p w14:paraId="5C0FC9B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5CE46D0F"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756ADD9C"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operating assets and liabilities</w:t>
            </w:r>
          </w:p>
        </w:tc>
        <w:tc>
          <w:tcPr>
            <w:tcW w:w="0" w:type="auto"/>
            <w:hideMark/>
          </w:tcPr>
          <w:p w14:paraId="1FC4A262"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5596550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-1,261</w:t>
            </w:r>
          </w:p>
        </w:tc>
        <w:tc>
          <w:tcPr>
            <w:tcW w:w="0" w:type="auto"/>
            <w:hideMark/>
          </w:tcPr>
          <w:p w14:paraId="0349D08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358</w:t>
            </w:r>
          </w:p>
        </w:tc>
        <w:tc>
          <w:tcPr>
            <w:tcW w:w="0" w:type="auto"/>
            <w:noWrap/>
            <w:hideMark/>
          </w:tcPr>
          <w:p w14:paraId="41D2A29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1,624</w:t>
            </w:r>
          </w:p>
        </w:tc>
        <w:tc>
          <w:tcPr>
            <w:tcW w:w="0" w:type="auto"/>
            <w:hideMark/>
          </w:tcPr>
          <w:p w14:paraId="48B44DE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986</w:t>
            </w:r>
          </w:p>
        </w:tc>
        <w:tc>
          <w:tcPr>
            <w:tcW w:w="0" w:type="auto"/>
            <w:noWrap/>
            <w:hideMark/>
          </w:tcPr>
          <w:p w14:paraId="481C851B"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2,585</w:t>
            </w:r>
          </w:p>
        </w:tc>
        <w:tc>
          <w:tcPr>
            <w:tcW w:w="0" w:type="auto"/>
            <w:hideMark/>
          </w:tcPr>
          <w:p w14:paraId="092B4AE2"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18F42695"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238B1B0"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Dividends received from equity-method investments</w:t>
            </w:r>
          </w:p>
        </w:tc>
        <w:tc>
          <w:tcPr>
            <w:tcW w:w="0" w:type="auto"/>
            <w:hideMark/>
          </w:tcPr>
          <w:p w14:paraId="14059398"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34FBDBD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1,625</w:t>
            </w:r>
          </w:p>
        </w:tc>
        <w:tc>
          <w:tcPr>
            <w:tcW w:w="0" w:type="auto"/>
            <w:hideMark/>
          </w:tcPr>
          <w:p w14:paraId="3D2E056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1605</w:t>
            </w:r>
          </w:p>
        </w:tc>
        <w:tc>
          <w:tcPr>
            <w:tcW w:w="0" w:type="auto"/>
            <w:noWrap/>
            <w:hideMark/>
          </w:tcPr>
          <w:p w14:paraId="2992E829"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2,056</w:t>
            </w:r>
          </w:p>
        </w:tc>
        <w:tc>
          <w:tcPr>
            <w:tcW w:w="0" w:type="auto"/>
            <w:hideMark/>
          </w:tcPr>
          <w:p w14:paraId="03E1444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1918</w:t>
            </w:r>
          </w:p>
        </w:tc>
        <w:tc>
          <w:tcPr>
            <w:tcW w:w="0" w:type="auto"/>
            <w:noWrap/>
            <w:hideMark/>
          </w:tcPr>
          <w:p w14:paraId="7404903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1,330</w:t>
            </w:r>
          </w:p>
        </w:tc>
        <w:tc>
          <w:tcPr>
            <w:tcW w:w="0" w:type="auto"/>
            <w:hideMark/>
          </w:tcPr>
          <w:p w14:paraId="6E1E3C17"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9C4E431"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6978EF14"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Income taxes paid</w:t>
            </w:r>
          </w:p>
        </w:tc>
        <w:tc>
          <w:tcPr>
            <w:tcW w:w="0" w:type="auto"/>
            <w:hideMark/>
          </w:tcPr>
          <w:p w14:paraId="5F78C102"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3691556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-3,812</w:t>
            </w:r>
          </w:p>
        </w:tc>
        <w:tc>
          <w:tcPr>
            <w:tcW w:w="0" w:type="auto"/>
            <w:hideMark/>
          </w:tcPr>
          <w:p w14:paraId="00860492"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-5009</w:t>
            </w:r>
          </w:p>
        </w:tc>
        <w:tc>
          <w:tcPr>
            <w:tcW w:w="0" w:type="auto"/>
            <w:noWrap/>
            <w:hideMark/>
          </w:tcPr>
          <w:p w14:paraId="306A18B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-5,621</w:t>
            </w:r>
          </w:p>
        </w:tc>
        <w:tc>
          <w:tcPr>
            <w:tcW w:w="0" w:type="auto"/>
            <w:hideMark/>
          </w:tcPr>
          <w:p w14:paraId="714265B0"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-4,452</w:t>
            </w:r>
          </w:p>
        </w:tc>
        <w:tc>
          <w:tcPr>
            <w:tcW w:w="0" w:type="auto"/>
            <w:noWrap/>
            <w:hideMark/>
          </w:tcPr>
          <w:p w14:paraId="1B44146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-1,664</w:t>
            </w:r>
          </w:p>
        </w:tc>
        <w:tc>
          <w:tcPr>
            <w:tcW w:w="0" w:type="auto"/>
            <w:hideMark/>
          </w:tcPr>
          <w:p w14:paraId="1DCF6E3D"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41FFF05E"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172F0F5"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Cash flow from operating activities</w:t>
            </w:r>
          </w:p>
        </w:tc>
        <w:tc>
          <w:tcPr>
            <w:tcW w:w="0" w:type="auto"/>
            <w:noWrap/>
            <w:hideMark/>
          </w:tcPr>
          <w:p w14:paraId="4192D9F2"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0</w:t>
            </w:r>
          </w:p>
        </w:tc>
        <w:tc>
          <w:tcPr>
            <w:tcW w:w="0" w:type="auto"/>
            <w:noWrap/>
            <w:hideMark/>
          </w:tcPr>
          <w:p w14:paraId="39BFE4D1"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24549</w:t>
            </w:r>
          </w:p>
        </w:tc>
        <w:tc>
          <w:tcPr>
            <w:tcW w:w="0" w:type="auto"/>
            <w:noWrap/>
            <w:hideMark/>
          </w:tcPr>
          <w:p w14:paraId="11B9FFD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16894</w:t>
            </w:r>
          </w:p>
        </w:tc>
        <w:tc>
          <w:tcPr>
            <w:tcW w:w="0" w:type="auto"/>
            <w:noWrap/>
            <w:hideMark/>
          </w:tcPr>
          <w:p w14:paraId="2798B3B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14470</w:t>
            </w:r>
          </w:p>
        </w:tc>
        <w:tc>
          <w:tcPr>
            <w:tcW w:w="0" w:type="auto"/>
            <w:noWrap/>
            <w:hideMark/>
          </w:tcPr>
          <w:p w14:paraId="28347BA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17735</w:t>
            </w:r>
          </w:p>
        </w:tc>
        <w:tc>
          <w:tcPr>
            <w:tcW w:w="0" w:type="auto"/>
            <w:noWrap/>
            <w:hideMark/>
          </w:tcPr>
          <w:p w14:paraId="0078AAA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18006</w:t>
            </w:r>
          </w:p>
        </w:tc>
        <w:tc>
          <w:tcPr>
            <w:tcW w:w="0" w:type="auto"/>
            <w:hideMark/>
          </w:tcPr>
          <w:p w14:paraId="3036D115"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1678675F"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12B50E0C" w14:textId="77777777" w:rsidR="000C10A2" w:rsidRPr="00A553B9" w:rsidRDefault="000C10A2" w:rsidP="007054BE">
            <w:pPr>
              <w:spacing w:after="0" w:line="240" w:lineRule="auto"/>
              <w:jc w:val="right"/>
              <w:rPr>
                <w:rFonts w:ascii="Times New Roman" w:eastAsia="Times New Roman" w:hAnsi="Times New Roman" w:cs="Times New Roman"/>
                <w:color w:val="000000"/>
                <w:sz w:val="18"/>
                <w:szCs w:val="18"/>
              </w:rPr>
            </w:pPr>
          </w:p>
        </w:tc>
        <w:tc>
          <w:tcPr>
            <w:tcW w:w="0" w:type="auto"/>
            <w:hideMark/>
          </w:tcPr>
          <w:p w14:paraId="46E88D85"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6289F2C4"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61334608"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07129247"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6E825A7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noWrap/>
            <w:hideMark/>
          </w:tcPr>
          <w:p w14:paraId="19D4D182"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14763914"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473882A"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24225658"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Acquisitions of property, plant and equipment</w:t>
            </w:r>
          </w:p>
        </w:tc>
        <w:tc>
          <w:tcPr>
            <w:tcW w:w="0" w:type="auto"/>
            <w:hideMark/>
          </w:tcPr>
          <w:p w14:paraId="54573599"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30B0214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-4,579</w:t>
            </w:r>
          </w:p>
        </w:tc>
        <w:tc>
          <w:tcPr>
            <w:tcW w:w="0" w:type="auto"/>
            <w:hideMark/>
          </w:tcPr>
          <w:p w14:paraId="6FFA3DF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-3481</w:t>
            </w:r>
          </w:p>
        </w:tc>
        <w:tc>
          <w:tcPr>
            <w:tcW w:w="0" w:type="auto"/>
            <w:noWrap/>
            <w:hideMark/>
          </w:tcPr>
          <w:p w14:paraId="6E28395E"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-3,745</w:t>
            </w:r>
          </w:p>
        </w:tc>
        <w:tc>
          <w:tcPr>
            <w:tcW w:w="0" w:type="auto"/>
            <w:hideMark/>
          </w:tcPr>
          <w:p w14:paraId="182DC91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-4,039</w:t>
            </w:r>
          </w:p>
        </w:tc>
        <w:tc>
          <w:tcPr>
            <w:tcW w:w="0" w:type="auto"/>
            <w:noWrap/>
            <w:hideMark/>
          </w:tcPr>
          <w:p w14:paraId="2F88D15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-5,482</w:t>
            </w:r>
          </w:p>
        </w:tc>
        <w:tc>
          <w:tcPr>
            <w:tcW w:w="0" w:type="auto"/>
            <w:hideMark/>
          </w:tcPr>
          <w:p w14:paraId="2ED31FB1"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55738922"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0F3B9C50"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Acquisitions of intangible assets</w:t>
            </w:r>
          </w:p>
        </w:tc>
        <w:tc>
          <w:tcPr>
            <w:tcW w:w="0" w:type="auto"/>
            <w:hideMark/>
          </w:tcPr>
          <w:p w14:paraId="7CE84FA6"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7744820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-2,741</w:t>
            </w:r>
          </w:p>
        </w:tc>
        <w:tc>
          <w:tcPr>
            <w:tcW w:w="0" w:type="auto"/>
            <w:hideMark/>
          </w:tcPr>
          <w:p w14:paraId="1A3DF22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-3418</w:t>
            </w:r>
          </w:p>
        </w:tc>
        <w:tc>
          <w:tcPr>
            <w:tcW w:w="0" w:type="auto"/>
            <w:noWrap/>
            <w:hideMark/>
          </w:tcPr>
          <w:p w14:paraId="5580B73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-4,468</w:t>
            </w:r>
          </w:p>
        </w:tc>
        <w:tc>
          <w:tcPr>
            <w:tcW w:w="0" w:type="auto"/>
            <w:hideMark/>
          </w:tcPr>
          <w:p w14:paraId="4602618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-4,626</w:t>
            </w:r>
          </w:p>
        </w:tc>
        <w:tc>
          <w:tcPr>
            <w:tcW w:w="0" w:type="auto"/>
            <w:noWrap/>
            <w:hideMark/>
          </w:tcPr>
          <w:p w14:paraId="64650F2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-4,260</w:t>
            </w:r>
          </w:p>
        </w:tc>
        <w:tc>
          <w:tcPr>
            <w:tcW w:w="0" w:type="auto"/>
            <w:hideMark/>
          </w:tcPr>
          <w:p w14:paraId="14031619"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3C5AA40C"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4C60C534"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Cash inflows from disposals of property, plant and equipment and intangible assets</w:t>
            </w:r>
          </w:p>
        </w:tc>
        <w:tc>
          <w:tcPr>
            <w:tcW w:w="0" w:type="auto"/>
            <w:noWrap/>
            <w:hideMark/>
          </w:tcPr>
          <w:p w14:paraId="377A2C4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826</w:t>
            </w:r>
          </w:p>
        </w:tc>
        <w:tc>
          <w:tcPr>
            <w:tcW w:w="0" w:type="auto"/>
            <w:hideMark/>
          </w:tcPr>
          <w:p w14:paraId="6501E8E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469</w:t>
            </w:r>
          </w:p>
        </w:tc>
        <w:tc>
          <w:tcPr>
            <w:tcW w:w="0" w:type="auto"/>
            <w:noWrap/>
            <w:hideMark/>
          </w:tcPr>
          <w:p w14:paraId="1550AD7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285</w:t>
            </w:r>
          </w:p>
        </w:tc>
        <w:tc>
          <w:tcPr>
            <w:tcW w:w="0" w:type="auto"/>
            <w:hideMark/>
          </w:tcPr>
          <w:p w14:paraId="531BE6B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188</w:t>
            </w:r>
          </w:p>
        </w:tc>
        <w:tc>
          <w:tcPr>
            <w:tcW w:w="0" w:type="auto"/>
            <w:noWrap/>
            <w:hideMark/>
          </w:tcPr>
          <w:p w14:paraId="706E68D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191</w:t>
            </w:r>
          </w:p>
        </w:tc>
        <w:tc>
          <w:tcPr>
            <w:tcW w:w="0" w:type="auto"/>
            <w:hideMark/>
          </w:tcPr>
          <w:p w14:paraId="56BA18EA"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22F81844"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7C542E6E"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Acquisitions of shareholdings</w:t>
            </w:r>
          </w:p>
        </w:tc>
        <w:tc>
          <w:tcPr>
            <w:tcW w:w="0" w:type="auto"/>
            <w:hideMark/>
          </w:tcPr>
          <w:p w14:paraId="44863C81"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6CCBF52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-573</w:t>
            </w:r>
          </w:p>
        </w:tc>
        <w:tc>
          <w:tcPr>
            <w:tcW w:w="0" w:type="auto"/>
            <w:hideMark/>
          </w:tcPr>
          <w:p w14:paraId="6788E6A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-849</w:t>
            </w:r>
          </w:p>
        </w:tc>
        <w:tc>
          <w:tcPr>
            <w:tcW w:w="0" w:type="auto"/>
            <w:noWrap/>
            <w:hideMark/>
          </w:tcPr>
          <w:p w14:paraId="0A04AC4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-334</w:t>
            </w:r>
          </w:p>
        </w:tc>
        <w:tc>
          <w:tcPr>
            <w:tcW w:w="0" w:type="auto"/>
            <w:hideMark/>
          </w:tcPr>
          <w:p w14:paraId="7052921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-363</w:t>
            </w:r>
          </w:p>
        </w:tc>
        <w:tc>
          <w:tcPr>
            <w:tcW w:w="0" w:type="auto"/>
            <w:noWrap/>
            <w:hideMark/>
          </w:tcPr>
          <w:p w14:paraId="2ABC2659"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-304</w:t>
            </w:r>
          </w:p>
        </w:tc>
        <w:tc>
          <w:tcPr>
            <w:tcW w:w="0" w:type="auto"/>
            <w:hideMark/>
          </w:tcPr>
          <w:p w14:paraId="0F17E6A6"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290AC2E2"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22C7B7C1"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Cash inflows from disposals of shareholdings and other business operations</w:t>
            </w:r>
          </w:p>
        </w:tc>
        <w:tc>
          <w:tcPr>
            <w:tcW w:w="0" w:type="auto"/>
            <w:noWrap/>
            <w:hideMark/>
          </w:tcPr>
          <w:p w14:paraId="62E132C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793</w:t>
            </w:r>
          </w:p>
        </w:tc>
        <w:tc>
          <w:tcPr>
            <w:tcW w:w="0" w:type="auto"/>
            <w:hideMark/>
          </w:tcPr>
          <w:p w14:paraId="74665AC1"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3337</w:t>
            </w:r>
          </w:p>
        </w:tc>
        <w:tc>
          <w:tcPr>
            <w:tcW w:w="0" w:type="auto"/>
            <w:noWrap/>
            <w:hideMark/>
          </w:tcPr>
          <w:p w14:paraId="15B4831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612</w:t>
            </w:r>
          </w:p>
        </w:tc>
        <w:tc>
          <w:tcPr>
            <w:tcW w:w="0" w:type="auto"/>
            <w:hideMark/>
          </w:tcPr>
          <w:p w14:paraId="4916EA0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716</w:t>
            </w:r>
          </w:p>
        </w:tc>
        <w:tc>
          <w:tcPr>
            <w:tcW w:w="0" w:type="auto"/>
            <w:noWrap/>
            <w:hideMark/>
          </w:tcPr>
          <w:p w14:paraId="0F1D812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413</w:t>
            </w:r>
          </w:p>
        </w:tc>
        <w:tc>
          <w:tcPr>
            <w:tcW w:w="0" w:type="auto"/>
            <w:hideMark/>
          </w:tcPr>
          <w:p w14:paraId="79F0E193"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423D8C8E"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1CE322F5"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Acquisitions of marketable debt securities and similar investments</w:t>
            </w:r>
          </w:p>
        </w:tc>
        <w:tc>
          <w:tcPr>
            <w:tcW w:w="0" w:type="auto"/>
            <w:noWrap/>
            <w:hideMark/>
          </w:tcPr>
          <w:p w14:paraId="50C0D61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-5,694</w:t>
            </w:r>
          </w:p>
        </w:tc>
        <w:tc>
          <w:tcPr>
            <w:tcW w:w="0" w:type="auto"/>
            <w:hideMark/>
          </w:tcPr>
          <w:p w14:paraId="10E1F5F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-2622</w:t>
            </w:r>
          </w:p>
        </w:tc>
        <w:tc>
          <w:tcPr>
            <w:tcW w:w="0" w:type="auto"/>
            <w:noWrap/>
            <w:hideMark/>
          </w:tcPr>
          <w:p w14:paraId="47A5D4C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-4,714</w:t>
            </w:r>
          </w:p>
        </w:tc>
        <w:tc>
          <w:tcPr>
            <w:tcW w:w="0" w:type="auto"/>
            <w:hideMark/>
          </w:tcPr>
          <w:p w14:paraId="3FDFC9A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-6785</w:t>
            </w:r>
          </w:p>
        </w:tc>
        <w:tc>
          <w:tcPr>
            <w:tcW w:w="0" w:type="auto"/>
            <w:noWrap/>
            <w:hideMark/>
          </w:tcPr>
          <w:p w14:paraId="0747E7D5"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-12,303</w:t>
            </w:r>
          </w:p>
        </w:tc>
        <w:tc>
          <w:tcPr>
            <w:tcW w:w="0" w:type="auto"/>
            <w:hideMark/>
          </w:tcPr>
          <w:p w14:paraId="6C9599E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110371B8"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4E45FD6D"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Cash inflows from sales of marketable debt securities and similar investments</w:t>
            </w:r>
          </w:p>
        </w:tc>
        <w:tc>
          <w:tcPr>
            <w:tcW w:w="0" w:type="auto"/>
            <w:noWrap/>
            <w:hideMark/>
          </w:tcPr>
          <w:p w14:paraId="6E18104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4,385</w:t>
            </w:r>
          </w:p>
        </w:tc>
        <w:tc>
          <w:tcPr>
            <w:tcW w:w="0" w:type="auto"/>
            <w:hideMark/>
          </w:tcPr>
          <w:p w14:paraId="2C350075"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3084</w:t>
            </w:r>
          </w:p>
        </w:tc>
        <w:tc>
          <w:tcPr>
            <w:tcW w:w="0" w:type="auto"/>
            <w:noWrap/>
            <w:hideMark/>
          </w:tcPr>
          <w:p w14:paraId="085F56C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5,021</w:t>
            </w:r>
          </w:p>
        </w:tc>
        <w:tc>
          <w:tcPr>
            <w:tcW w:w="0" w:type="auto"/>
            <w:hideMark/>
          </w:tcPr>
          <w:p w14:paraId="4C91EF8E"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6,160</w:t>
            </w:r>
          </w:p>
        </w:tc>
        <w:tc>
          <w:tcPr>
            <w:tcW w:w="0" w:type="auto"/>
            <w:noWrap/>
            <w:hideMark/>
          </w:tcPr>
          <w:p w14:paraId="15A008C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12,557</w:t>
            </w:r>
          </w:p>
        </w:tc>
        <w:tc>
          <w:tcPr>
            <w:tcW w:w="0" w:type="auto"/>
            <w:hideMark/>
          </w:tcPr>
          <w:p w14:paraId="377EA818"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42889437"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4C2E60E2"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Repayment of financing of Daimler's commercial vehicles business</w:t>
            </w:r>
          </w:p>
        </w:tc>
        <w:tc>
          <w:tcPr>
            <w:tcW w:w="0" w:type="auto"/>
            <w:noWrap/>
            <w:hideMark/>
          </w:tcPr>
          <w:p w14:paraId="2A478B0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6,853</w:t>
            </w:r>
          </w:p>
        </w:tc>
        <w:tc>
          <w:tcPr>
            <w:tcW w:w="0" w:type="auto"/>
            <w:hideMark/>
          </w:tcPr>
          <w:p w14:paraId="15AE6078"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27</w:t>
            </w:r>
          </w:p>
        </w:tc>
        <w:tc>
          <w:tcPr>
            <w:tcW w:w="0" w:type="auto"/>
            <w:noWrap/>
            <w:hideMark/>
          </w:tcPr>
          <w:p w14:paraId="5DB7A0E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28</w:t>
            </w:r>
          </w:p>
        </w:tc>
        <w:tc>
          <w:tcPr>
            <w:tcW w:w="0" w:type="auto"/>
            <w:hideMark/>
          </w:tcPr>
          <w:p w14:paraId="68A4986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0D789DFD"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6751A735"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21BA243F"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0CAAD468"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Cash and cash equivalents disposed of from the deconsolidation of Daimler’s commercial vehicles business </w:t>
            </w:r>
          </w:p>
        </w:tc>
        <w:tc>
          <w:tcPr>
            <w:tcW w:w="0" w:type="auto"/>
            <w:noWrap/>
            <w:hideMark/>
          </w:tcPr>
          <w:p w14:paraId="10A345C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-5,489</w:t>
            </w:r>
          </w:p>
        </w:tc>
        <w:tc>
          <w:tcPr>
            <w:tcW w:w="0" w:type="auto"/>
            <w:hideMark/>
          </w:tcPr>
          <w:p w14:paraId="62B83B9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50D292A1"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394FF99D"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noWrap/>
            <w:hideMark/>
          </w:tcPr>
          <w:p w14:paraId="4C27CEA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2E30D077"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080F5885"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7D0D5582"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cash flows</w:t>
            </w:r>
          </w:p>
        </w:tc>
        <w:tc>
          <w:tcPr>
            <w:tcW w:w="0" w:type="auto"/>
            <w:hideMark/>
          </w:tcPr>
          <w:p w14:paraId="03964727"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37345E70"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w:t>
            </w:r>
          </w:p>
        </w:tc>
        <w:tc>
          <w:tcPr>
            <w:tcW w:w="0" w:type="auto"/>
            <w:hideMark/>
          </w:tcPr>
          <w:p w14:paraId="6F17BC29"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7C9A6A0D"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4AE369F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w:t>
            </w:r>
          </w:p>
        </w:tc>
        <w:tc>
          <w:tcPr>
            <w:tcW w:w="0" w:type="auto"/>
            <w:noWrap/>
            <w:hideMark/>
          </w:tcPr>
          <w:p w14:paraId="1165CCBB"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w:t>
            </w:r>
          </w:p>
        </w:tc>
        <w:tc>
          <w:tcPr>
            <w:tcW w:w="0" w:type="auto"/>
            <w:hideMark/>
          </w:tcPr>
          <w:p w14:paraId="096BCFCB"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656121AE"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FC39B84"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Cash flow from investing activities</w:t>
            </w:r>
          </w:p>
        </w:tc>
        <w:tc>
          <w:tcPr>
            <w:tcW w:w="0" w:type="auto"/>
            <w:noWrap/>
            <w:hideMark/>
          </w:tcPr>
          <w:p w14:paraId="1E31EF72"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0</w:t>
            </w:r>
          </w:p>
        </w:tc>
        <w:tc>
          <w:tcPr>
            <w:tcW w:w="0" w:type="auto"/>
            <w:noWrap/>
            <w:hideMark/>
          </w:tcPr>
          <w:p w14:paraId="7CBBAFBE"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-6226</w:t>
            </w:r>
          </w:p>
        </w:tc>
        <w:tc>
          <w:tcPr>
            <w:tcW w:w="0" w:type="auto"/>
            <w:noWrap/>
            <w:hideMark/>
          </w:tcPr>
          <w:p w14:paraId="4752093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-3453</w:t>
            </w:r>
          </w:p>
        </w:tc>
        <w:tc>
          <w:tcPr>
            <w:tcW w:w="0" w:type="auto"/>
            <w:noWrap/>
            <w:hideMark/>
          </w:tcPr>
          <w:p w14:paraId="3138E3FE"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-7315</w:t>
            </w:r>
          </w:p>
        </w:tc>
        <w:tc>
          <w:tcPr>
            <w:tcW w:w="0" w:type="auto"/>
            <w:noWrap/>
            <w:hideMark/>
          </w:tcPr>
          <w:p w14:paraId="6E8F4CA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-8750</w:t>
            </w:r>
          </w:p>
        </w:tc>
        <w:tc>
          <w:tcPr>
            <w:tcW w:w="0" w:type="auto"/>
            <w:noWrap/>
            <w:hideMark/>
          </w:tcPr>
          <w:p w14:paraId="0A7CAA8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-9200</w:t>
            </w:r>
          </w:p>
        </w:tc>
        <w:tc>
          <w:tcPr>
            <w:tcW w:w="0" w:type="auto"/>
            <w:hideMark/>
          </w:tcPr>
          <w:p w14:paraId="6BA64991"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9F039F3"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A560087" w14:textId="77777777" w:rsidR="000C10A2" w:rsidRPr="00A553B9" w:rsidRDefault="000C10A2" w:rsidP="007054BE">
            <w:pPr>
              <w:spacing w:after="0" w:line="240" w:lineRule="auto"/>
              <w:jc w:val="right"/>
              <w:rPr>
                <w:rFonts w:ascii="Times New Roman" w:eastAsia="Times New Roman" w:hAnsi="Times New Roman" w:cs="Times New Roman"/>
                <w:color w:val="000000"/>
                <w:sz w:val="18"/>
                <w:szCs w:val="18"/>
              </w:rPr>
            </w:pPr>
          </w:p>
        </w:tc>
        <w:tc>
          <w:tcPr>
            <w:tcW w:w="0" w:type="auto"/>
            <w:hideMark/>
          </w:tcPr>
          <w:p w14:paraId="305F1F99"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4C4C0148"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1AD9F2B0"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36400103"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507396F9"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noWrap/>
            <w:hideMark/>
          </w:tcPr>
          <w:p w14:paraId="7D73A1D9"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58150867"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04DD82E4"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FEBF3A5"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Change in short-term financing liabilities</w:t>
            </w:r>
          </w:p>
        </w:tc>
        <w:tc>
          <w:tcPr>
            <w:tcW w:w="0" w:type="auto"/>
            <w:hideMark/>
          </w:tcPr>
          <w:p w14:paraId="29EEEF03"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4E541969"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1,463</w:t>
            </w:r>
          </w:p>
        </w:tc>
        <w:tc>
          <w:tcPr>
            <w:tcW w:w="0" w:type="auto"/>
            <w:hideMark/>
          </w:tcPr>
          <w:p w14:paraId="0B5FAA6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172</w:t>
            </w:r>
          </w:p>
        </w:tc>
        <w:tc>
          <w:tcPr>
            <w:tcW w:w="0" w:type="auto"/>
            <w:noWrap/>
            <w:hideMark/>
          </w:tcPr>
          <w:p w14:paraId="70185840"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-512</w:t>
            </w:r>
          </w:p>
        </w:tc>
        <w:tc>
          <w:tcPr>
            <w:tcW w:w="0" w:type="auto"/>
            <w:hideMark/>
          </w:tcPr>
          <w:p w14:paraId="70FE899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-3171</w:t>
            </w:r>
          </w:p>
        </w:tc>
        <w:tc>
          <w:tcPr>
            <w:tcW w:w="0" w:type="auto"/>
            <w:noWrap/>
            <w:hideMark/>
          </w:tcPr>
          <w:p w14:paraId="6FF1F0F9"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-3558</w:t>
            </w:r>
          </w:p>
        </w:tc>
        <w:tc>
          <w:tcPr>
            <w:tcW w:w="0" w:type="auto"/>
            <w:hideMark/>
          </w:tcPr>
          <w:p w14:paraId="2FB66F6D"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49B05037"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0F31395"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lastRenderedPageBreak/>
              <w:t>Additions to long-term financing liabilities</w:t>
            </w:r>
          </w:p>
        </w:tc>
        <w:tc>
          <w:tcPr>
            <w:tcW w:w="0" w:type="auto"/>
            <w:hideMark/>
          </w:tcPr>
          <w:p w14:paraId="48432228"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5282290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42,196</w:t>
            </w:r>
          </w:p>
        </w:tc>
        <w:tc>
          <w:tcPr>
            <w:tcW w:w="0" w:type="auto"/>
            <w:noWrap/>
            <w:hideMark/>
          </w:tcPr>
          <w:p w14:paraId="666BE859"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38429</w:t>
            </w:r>
          </w:p>
        </w:tc>
        <w:tc>
          <w:tcPr>
            <w:tcW w:w="0" w:type="auto"/>
            <w:noWrap/>
            <w:hideMark/>
          </w:tcPr>
          <w:p w14:paraId="54BD882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39,288</w:t>
            </w:r>
          </w:p>
        </w:tc>
        <w:tc>
          <w:tcPr>
            <w:tcW w:w="0" w:type="auto"/>
            <w:hideMark/>
          </w:tcPr>
          <w:p w14:paraId="061C461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38,338</w:t>
            </w:r>
          </w:p>
        </w:tc>
        <w:tc>
          <w:tcPr>
            <w:tcW w:w="0" w:type="auto"/>
            <w:noWrap/>
            <w:hideMark/>
          </w:tcPr>
          <w:p w14:paraId="05BA7E2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28598</w:t>
            </w:r>
          </w:p>
        </w:tc>
        <w:tc>
          <w:tcPr>
            <w:tcW w:w="0" w:type="auto"/>
            <w:hideMark/>
          </w:tcPr>
          <w:p w14:paraId="5E85AFA6"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01F7153"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0C0230D0"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Repayment of long-term financing liabilities</w:t>
            </w:r>
          </w:p>
        </w:tc>
        <w:tc>
          <w:tcPr>
            <w:tcW w:w="0" w:type="auto"/>
            <w:hideMark/>
          </w:tcPr>
          <w:p w14:paraId="4B176571"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5B9B7DA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-60,859</w:t>
            </w:r>
          </w:p>
        </w:tc>
        <w:tc>
          <w:tcPr>
            <w:tcW w:w="0" w:type="auto"/>
            <w:hideMark/>
          </w:tcPr>
          <w:p w14:paraId="772FAB0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-51945</w:t>
            </w:r>
          </w:p>
        </w:tc>
        <w:tc>
          <w:tcPr>
            <w:tcW w:w="0" w:type="auto"/>
            <w:noWrap/>
            <w:hideMark/>
          </w:tcPr>
          <w:p w14:paraId="7AC1436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-39,473</w:t>
            </w:r>
          </w:p>
        </w:tc>
        <w:tc>
          <w:tcPr>
            <w:tcW w:w="0" w:type="auto"/>
            <w:hideMark/>
          </w:tcPr>
          <w:p w14:paraId="63446744"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-35355</w:t>
            </w:r>
          </w:p>
        </w:tc>
        <w:tc>
          <w:tcPr>
            <w:tcW w:w="0" w:type="auto"/>
            <w:noWrap/>
            <w:hideMark/>
          </w:tcPr>
          <w:p w14:paraId="523A7E3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-30970</w:t>
            </w:r>
          </w:p>
        </w:tc>
        <w:tc>
          <w:tcPr>
            <w:tcW w:w="0" w:type="auto"/>
            <w:hideMark/>
          </w:tcPr>
          <w:p w14:paraId="2909982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751D7E04"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014B76D7"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Dividend paid to shareholders of Mercedes-Benz Group AG</w:t>
            </w:r>
          </w:p>
        </w:tc>
        <w:tc>
          <w:tcPr>
            <w:tcW w:w="0" w:type="auto"/>
            <w:noWrap/>
            <w:hideMark/>
          </w:tcPr>
          <w:p w14:paraId="471AC8FB"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-1,444</w:t>
            </w:r>
          </w:p>
        </w:tc>
        <w:tc>
          <w:tcPr>
            <w:tcW w:w="0" w:type="auto"/>
            <w:hideMark/>
          </w:tcPr>
          <w:p w14:paraId="699D2BD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-5349</w:t>
            </w:r>
          </w:p>
        </w:tc>
        <w:tc>
          <w:tcPr>
            <w:tcW w:w="0" w:type="auto"/>
            <w:noWrap/>
            <w:hideMark/>
          </w:tcPr>
          <w:p w14:paraId="4DA79033"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-5,556</w:t>
            </w:r>
          </w:p>
        </w:tc>
        <w:tc>
          <w:tcPr>
            <w:tcW w:w="0" w:type="auto"/>
            <w:hideMark/>
          </w:tcPr>
          <w:p w14:paraId="3053DE1A"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-5486</w:t>
            </w:r>
          </w:p>
        </w:tc>
        <w:tc>
          <w:tcPr>
            <w:tcW w:w="0" w:type="auto"/>
            <w:noWrap/>
            <w:hideMark/>
          </w:tcPr>
          <w:p w14:paraId="1C7C62AA"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-4140</w:t>
            </w:r>
          </w:p>
        </w:tc>
        <w:tc>
          <w:tcPr>
            <w:tcW w:w="0" w:type="auto"/>
            <w:hideMark/>
          </w:tcPr>
          <w:p w14:paraId="6AE1D7B7"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68D313E3"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07784715"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Dividends paid to non-controlling interests</w:t>
            </w:r>
          </w:p>
        </w:tc>
        <w:tc>
          <w:tcPr>
            <w:tcW w:w="0" w:type="auto"/>
            <w:hideMark/>
          </w:tcPr>
          <w:p w14:paraId="2C4BAC33"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6E19E38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-366</w:t>
            </w:r>
          </w:p>
        </w:tc>
        <w:tc>
          <w:tcPr>
            <w:tcW w:w="0" w:type="auto"/>
            <w:hideMark/>
          </w:tcPr>
          <w:p w14:paraId="723A014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-320</w:t>
            </w:r>
          </w:p>
        </w:tc>
        <w:tc>
          <w:tcPr>
            <w:tcW w:w="0" w:type="auto"/>
            <w:noWrap/>
            <w:hideMark/>
          </w:tcPr>
          <w:p w14:paraId="364F5E1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-324</w:t>
            </w:r>
          </w:p>
        </w:tc>
        <w:tc>
          <w:tcPr>
            <w:tcW w:w="0" w:type="auto"/>
            <w:hideMark/>
          </w:tcPr>
          <w:p w14:paraId="1DD9E18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-239</w:t>
            </w:r>
          </w:p>
        </w:tc>
        <w:tc>
          <w:tcPr>
            <w:tcW w:w="0" w:type="auto"/>
            <w:noWrap/>
            <w:hideMark/>
          </w:tcPr>
          <w:p w14:paraId="4AAE39A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-183</w:t>
            </w:r>
          </w:p>
        </w:tc>
        <w:tc>
          <w:tcPr>
            <w:tcW w:w="0" w:type="auto"/>
            <w:hideMark/>
          </w:tcPr>
          <w:p w14:paraId="18E6C9A9"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9EAFF6F"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04AECDDA"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Acquisition of treasury shares</w:t>
            </w:r>
          </w:p>
        </w:tc>
        <w:tc>
          <w:tcPr>
            <w:tcW w:w="0" w:type="auto"/>
            <w:hideMark/>
          </w:tcPr>
          <w:p w14:paraId="411BC444"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614534A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-49</w:t>
            </w:r>
          </w:p>
        </w:tc>
        <w:tc>
          <w:tcPr>
            <w:tcW w:w="0" w:type="auto"/>
            <w:hideMark/>
          </w:tcPr>
          <w:p w14:paraId="3701BD3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-19</w:t>
            </w:r>
          </w:p>
        </w:tc>
        <w:tc>
          <w:tcPr>
            <w:tcW w:w="0" w:type="auto"/>
            <w:noWrap/>
            <w:hideMark/>
          </w:tcPr>
          <w:p w14:paraId="58C5AD7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-1,941</w:t>
            </w:r>
          </w:p>
        </w:tc>
        <w:tc>
          <w:tcPr>
            <w:tcW w:w="0" w:type="auto"/>
            <w:hideMark/>
          </w:tcPr>
          <w:p w14:paraId="329BB18D"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-4,921</w:t>
            </w:r>
          </w:p>
        </w:tc>
        <w:tc>
          <w:tcPr>
            <w:tcW w:w="0" w:type="auto"/>
            <w:noWrap/>
            <w:hideMark/>
          </w:tcPr>
          <w:p w14:paraId="19F73E79"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-360</w:t>
            </w:r>
          </w:p>
        </w:tc>
        <w:tc>
          <w:tcPr>
            <w:tcW w:w="0" w:type="auto"/>
            <w:hideMark/>
          </w:tcPr>
          <w:p w14:paraId="3D24700A"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267C521"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075609F6"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Other cash inflows</w:t>
            </w:r>
          </w:p>
        </w:tc>
        <w:tc>
          <w:tcPr>
            <w:tcW w:w="0" w:type="auto"/>
            <w:hideMark/>
          </w:tcPr>
          <w:p w14:paraId="0AC8E488"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57F3F7CB"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4575FE0A"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noWrap/>
            <w:hideMark/>
          </w:tcPr>
          <w:p w14:paraId="5A9F908F"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127</w:t>
            </w:r>
          </w:p>
        </w:tc>
        <w:tc>
          <w:tcPr>
            <w:tcW w:w="0" w:type="auto"/>
            <w:hideMark/>
          </w:tcPr>
          <w:p w14:paraId="3679B05E"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82</w:t>
            </w:r>
          </w:p>
        </w:tc>
        <w:tc>
          <w:tcPr>
            <w:tcW w:w="0" w:type="auto"/>
            <w:noWrap/>
            <w:hideMark/>
          </w:tcPr>
          <w:p w14:paraId="756FC7A2"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160</w:t>
            </w:r>
          </w:p>
        </w:tc>
        <w:tc>
          <w:tcPr>
            <w:tcW w:w="0" w:type="auto"/>
            <w:hideMark/>
          </w:tcPr>
          <w:p w14:paraId="5C4A889D"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1634F295"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52025183"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Cash flow from financing activities</w:t>
            </w:r>
          </w:p>
        </w:tc>
        <w:tc>
          <w:tcPr>
            <w:tcW w:w="0" w:type="auto"/>
            <w:noWrap/>
            <w:hideMark/>
          </w:tcPr>
          <w:p w14:paraId="3DFDF63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0</w:t>
            </w:r>
          </w:p>
        </w:tc>
        <w:tc>
          <w:tcPr>
            <w:tcW w:w="0" w:type="auto"/>
            <w:noWrap/>
            <w:hideMark/>
          </w:tcPr>
          <w:p w14:paraId="52DB7DD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-19059</w:t>
            </w:r>
          </w:p>
        </w:tc>
        <w:tc>
          <w:tcPr>
            <w:tcW w:w="0" w:type="auto"/>
            <w:hideMark/>
          </w:tcPr>
          <w:p w14:paraId="49775D1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-19032</w:t>
            </w:r>
          </w:p>
        </w:tc>
        <w:tc>
          <w:tcPr>
            <w:tcW w:w="0" w:type="auto"/>
            <w:noWrap/>
            <w:hideMark/>
          </w:tcPr>
          <w:p w14:paraId="033C5B10"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-8391</w:t>
            </w:r>
          </w:p>
        </w:tc>
        <w:tc>
          <w:tcPr>
            <w:tcW w:w="0" w:type="auto"/>
            <w:noWrap/>
            <w:hideMark/>
          </w:tcPr>
          <w:p w14:paraId="3D7E1E66"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-10752</w:t>
            </w:r>
          </w:p>
        </w:tc>
        <w:tc>
          <w:tcPr>
            <w:tcW w:w="0" w:type="auto"/>
            <w:noWrap/>
            <w:hideMark/>
          </w:tcPr>
          <w:p w14:paraId="2A6101A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-10453</w:t>
            </w:r>
          </w:p>
        </w:tc>
        <w:tc>
          <w:tcPr>
            <w:tcW w:w="0" w:type="auto"/>
            <w:hideMark/>
          </w:tcPr>
          <w:p w14:paraId="66884E69"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090E18F8"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084AE8D7" w14:textId="77777777" w:rsidR="000C10A2" w:rsidRPr="00A553B9" w:rsidRDefault="000C10A2" w:rsidP="007054BE">
            <w:pPr>
              <w:spacing w:after="0" w:line="240" w:lineRule="auto"/>
              <w:jc w:val="right"/>
              <w:rPr>
                <w:rFonts w:ascii="Times New Roman" w:eastAsia="Times New Roman" w:hAnsi="Times New Roman" w:cs="Times New Roman"/>
                <w:color w:val="000000"/>
                <w:sz w:val="18"/>
                <w:szCs w:val="18"/>
              </w:rPr>
            </w:pPr>
          </w:p>
        </w:tc>
        <w:tc>
          <w:tcPr>
            <w:tcW w:w="0" w:type="auto"/>
            <w:hideMark/>
          </w:tcPr>
          <w:p w14:paraId="3CD3481D"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1082495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714563E7"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0E167D12"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0FC8E19A"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noWrap/>
            <w:hideMark/>
          </w:tcPr>
          <w:p w14:paraId="28837E0E"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57879FE6"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206D8151"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7CE09079"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Effect of foreign exchange-rate changes on cash and cash equivalents</w:t>
            </w:r>
          </w:p>
        </w:tc>
        <w:tc>
          <w:tcPr>
            <w:tcW w:w="0" w:type="auto"/>
            <w:noWrap/>
            <w:hideMark/>
          </w:tcPr>
          <w:p w14:paraId="4E135C8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870</w:t>
            </w:r>
          </w:p>
        </w:tc>
        <w:tc>
          <w:tcPr>
            <w:tcW w:w="0" w:type="auto"/>
            <w:hideMark/>
          </w:tcPr>
          <w:p w14:paraId="57D0A61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88</w:t>
            </w:r>
          </w:p>
        </w:tc>
        <w:tc>
          <w:tcPr>
            <w:tcW w:w="0" w:type="auto"/>
            <w:noWrap/>
            <w:hideMark/>
          </w:tcPr>
          <w:p w14:paraId="7A80A96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-471</w:t>
            </w:r>
          </w:p>
        </w:tc>
        <w:tc>
          <w:tcPr>
            <w:tcW w:w="0" w:type="auto"/>
            <w:hideMark/>
          </w:tcPr>
          <w:p w14:paraId="34EFC795"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311</w:t>
            </w:r>
          </w:p>
        </w:tc>
        <w:tc>
          <w:tcPr>
            <w:tcW w:w="0" w:type="auto"/>
            <w:noWrap/>
            <w:hideMark/>
          </w:tcPr>
          <w:p w14:paraId="6DC88002"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-593</w:t>
            </w:r>
          </w:p>
        </w:tc>
        <w:tc>
          <w:tcPr>
            <w:tcW w:w="0" w:type="auto"/>
            <w:hideMark/>
          </w:tcPr>
          <w:p w14:paraId="3FE3C79C"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4DE247B"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2406CB82"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Change in cash and cash equivalents</w:t>
            </w:r>
          </w:p>
        </w:tc>
        <w:tc>
          <w:tcPr>
            <w:tcW w:w="0" w:type="auto"/>
            <w:hideMark/>
          </w:tcPr>
          <w:p w14:paraId="33B9EDDA"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7EE6A3CD"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134</w:t>
            </w:r>
          </w:p>
        </w:tc>
        <w:tc>
          <w:tcPr>
            <w:tcW w:w="0" w:type="auto"/>
            <w:hideMark/>
          </w:tcPr>
          <w:p w14:paraId="7126E6FB"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-5503</w:t>
            </w:r>
          </w:p>
        </w:tc>
        <w:tc>
          <w:tcPr>
            <w:tcW w:w="0" w:type="auto"/>
            <w:noWrap/>
            <w:hideMark/>
          </w:tcPr>
          <w:p w14:paraId="7C78209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-1,707</w:t>
            </w:r>
          </w:p>
        </w:tc>
        <w:tc>
          <w:tcPr>
            <w:tcW w:w="0" w:type="auto"/>
            <w:hideMark/>
          </w:tcPr>
          <w:p w14:paraId="27875956"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-1456</w:t>
            </w:r>
          </w:p>
        </w:tc>
        <w:tc>
          <w:tcPr>
            <w:tcW w:w="0" w:type="auto"/>
            <w:noWrap/>
            <w:hideMark/>
          </w:tcPr>
          <w:p w14:paraId="0E7B044C"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-2240</w:t>
            </w:r>
          </w:p>
        </w:tc>
        <w:tc>
          <w:tcPr>
            <w:tcW w:w="0" w:type="auto"/>
            <w:hideMark/>
          </w:tcPr>
          <w:p w14:paraId="20609919"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38E72CB6"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492A58B3"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Cash and cash equivalents at beginning of year</w:t>
            </w:r>
          </w:p>
        </w:tc>
        <w:tc>
          <w:tcPr>
            <w:tcW w:w="0" w:type="auto"/>
            <w:hideMark/>
          </w:tcPr>
          <w:p w14:paraId="7899B8F2"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3C5907A9"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3E87C007"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78DE9A04"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0" w:type="auto"/>
            <w:hideMark/>
          </w:tcPr>
          <w:p w14:paraId="0EC7849E"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15972</w:t>
            </w:r>
          </w:p>
        </w:tc>
        <w:tc>
          <w:tcPr>
            <w:tcW w:w="0" w:type="auto"/>
            <w:noWrap/>
            <w:hideMark/>
          </w:tcPr>
          <w:p w14:paraId="173749F0"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14516</w:t>
            </w:r>
          </w:p>
        </w:tc>
        <w:tc>
          <w:tcPr>
            <w:tcW w:w="0" w:type="auto"/>
            <w:hideMark/>
          </w:tcPr>
          <w:p w14:paraId="3F1C39EE"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745916D0"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gridSpan w:val="4"/>
            <w:noWrap/>
            <w:hideMark/>
          </w:tcPr>
          <w:p w14:paraId="17AB2660"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Less cash and cash equivalents classified as assets held for sale at beginning of year</w:t>
            </w:r>
          </w:p>
        </w:tc>
        <w:tc>
          <w:tcPr>
            <w:tcW w:w="0" w:type="auto"/>
            <w:hideMark/>
          </w:tcPr>
          <w:p w14:paraId="1BEBE5B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hideMark/>
          </w:tcPr>
          <w:p w14:paraId="43D7E00A"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10</w:t>
            </w:r>
          </w:p>
        </w:tc>
        <w:tc>
          <w:tcPr>
            <w:tcW w:w="0" w:type="auto"/>
            <w:noWrap/>
            <w:hideMark/>
          </w:tcPr>
          <w:p w14:paraId="4BBABB92"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5</w:t>
            </w:r>
          </w:p>
        </w:tc>
        <w:tc>
          <w:tcPr>
            <w:tcW w:w="0" w:type="auto"/>
            <w:hideMark/>
          </w:tcPr>
          <w:p w14:paraId="55BAA502"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r w:rsidR="000C10A2" w:rsidRPr="00A553B9" w14:paraId="12BD0BA5" w14:textId="77777777" w:rsidTr="00A553B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18CD28A5"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Cash and cash equivalents at beginning of year (Consolidated Statement of Financial Position)</w:t>
            </w:r>
          </w:p>
        </w:tc>
        <w:tc>
          <w:tcPr>
            <w:tcW w:w="0" w:type="auto"/>
            <w:noWrap/>
            <w:hideMark/>
          </w:tcPr>
          <w:p w14:paraId="119CF7D1"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23,048</w:t>
            </w:r>
          </w:p>
        </w:tc>
        <w:tc>
          <w:tcPr>
            <w:tcW w:w="0" w:type="auto"/>
            <w:hideMark/>
          </w:tcPr>
          <w:p w14:paraId="4DDBD767"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23182</w:t>
            </w:r>
          </w:p>
        </w:tc>
        <w:tc>
          <w:tcPr>
            <w:tcW w:w="0" w:type="auto"/>
            <w:noWrap/>
            <w:hideMark/>
          </w:tcPr>
          <w:p w14:paraId="05E37964"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17,679</w:t>
            </w:r>
          </w:p>
        </w:tc>
        <w:tc>
          <w:tcPr>
            <w:tcW w:w="0" w:type="auto"/>
            <w:noWrap/>
            <w:hideMark/>
          </w:tcPr>
          <w:p w14:paraId="02B4A52F"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15962</w:t>
            </w:r>
          </w:p>
        </w:tc>
        <w:tc>
          <w:tcPr>
            <w:tcW w:w="0" w:type="auto"/>
            <w:noWrap/>
            <w:hideMark/>
          </w:tcPr>
          <w:p w14:paraId="6731A3DC" w14:textId="77777777" w:rsidR="000C10A2" w:rsidRPr="00A553B9" w:rsidRDefault="000C10A2" w:rsidP="007054BE">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14511</w:t>
            </w:r>
          </w:p>
        </w:tc>
        <w:tc>
          <w:tcPr>
            <w:tcW w:w="0" w:type="auto"/>
            <w:hideMark/>
          </w:tcPr>
          <w:p w14:paraId="76681A12" w14:textId="77777777" w:rsidR="000C10A2" w:rsidRPr="00A553B9" w:rsidRDefault="000C10A2" w:rsidP="007054B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r>
      <w:tr w:rsidR="007054BE" w:rsidRPr="00A553B9" w14:paraId="7DA5B2AA" w14:textId="77777777" w:rsidTr="00A553B9">
        <w:trPr>
          <w:trHeight w:val="255"/>
        </w:trPr>
        <w:tc>
          <w:tcPr>
            <w:cnfStyle w:val="001000000000" w:firstRow="0" w:lastRow="0" w:firstColumn="1" w:lastColumn="0" w:oddVBand="0" w:evenVBand="0" w:oddHBand="0" w:evenHBand="0" w:firstRowFirstColumn="0" w:firstRowLastColumn="0" w:lastRowFirstColumn="0" w:lastRowLastColumn="0"/>
            <w:tcW w:w="0" w:type="auto"/>
            <w:hideMark/>
          </w:tcPr>
          <w:p w14:paraId="79746A04" w14:textId="77777777" w:rsidR="000C10A2" w:rsidRPr="00A553B9" w:rsidRDefault="000C10A2" w:rsidP="007054BE">
            <w:pPr>
              <w:spacing w:after="0" w:line="240" w:lineRule="auto"/>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Cash and cash equivalents at end of year</w:t>
            </w:r>
          </w:p>
        </w:tc>
        <w:tc>
          <w:tcPr>
            <w:tcW w:w="0" w:type="auto"/>
            <w:hideMark/>
          </w:tcPr>
          <w:p w14:paraId="02141AAF"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
        </w:tc>
        <w:tc>
          <w:tcPr>
            <w:tcW w:w="0" w:type="auto"/>
            <w:noWrap/>
            <w:hideMark/>
          </w:tcPr>
          <w:p w14:paraId="58506F88"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23,182</w:t>
            </w:r>
          </w:p>
        </w:tc>
        <w:tc>
          <w:tcPr>
            <w:tcW w:w="0" w:type="auto"/>
            <w:noWrap/>
            <w:hideMark/>
          </w:tcPr>
          <w:p w14:paraId="20D3AAF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17,679</w:t>
            </w:r>
          </w:p>
        </w:tc>
        <w:tc>
          <w:tcPr>
            <w:tcW w:w="0" w:type="auto"/>
            <w:noWrap/>
            <w:hideMark/>
          </w:tcPr>
          <w:p w14:paraId="7351DE07"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15,972</w:t>
            </w:r>
          </w:p>
        </w:tc>
        <w:tc>
          <w:tcPr>
            <w:tcW w:w="0" w:type="auto"/>
            <w:hideMark/>
          </w:tcPr>
          <w:p w14:paraId="26BFA3C3" w14:textId="77777777" w:rsidR="000C10A2" w:rsidRPr="00A553B9" w:rsidRDefault="000C10A2" w:rsidP="007054BE">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14195</w:t>
            </w:r>
          </w:p>
        </w:tc>
        <w:tc>
          <w:tcPr>
            <w:tcW w:w="0" w:type="auto"/>
            <w:noWrap/>
            <w:hideMark/>
          </w:tcPr>
          <w:p w14:paraId="20FA3500"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r w:rsidRPr="00A553B9">
              <w:rPr>
                <w:rFonts w:ascii="Times New Roman" w:eastAsia="Times New Roman" w:hAnsi="Times New Roman" w:cs="Times New Roman"/>
                <w:color w:val="000000"/>
                <w:sz w:val="18"/>
                <w:szCs w:val="18"/>
              </w:rPr>
              <w:t xml:space="preserve">           12,864 </w:t>
            </w:r>
          </w:p>
        </w:tc>
        <w:tc>
          <w:tcPr>
            <w:tcW w:w="0" w:type="auto"/>
            <w:hideMark/>
          </w:tcPr>
          <w:p w14:paraId="39D00D94" w14:textId="77777777" w:rsidR="000C10A2" w:rsidRPr="00A553B9" w:rsidRDefault="000C10A2" w:rsidP="007054B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r>
    </w:tbl>
    <w:p w14:paraId="066D1344" w14:textId="77777777" w:rsidR="00C34E37" w:rsidRPr="00A553B9" w:rsidRDefault="00C34E37" w:rsidP="009E21FB">
      <w:pPr>
        <w:spacing w:after="200"/>
        <w:rPr>
          <w:rFonts w:eastAsiaTheme="majorEastAsia" w:cs="Arial"/>
          <w:b/>
          <w:bCs/>
          <w:szCs w:val="24"/>
        </w:rPr>
      </w:pPr>
      <w:r w:rsidRPr="00A553B9">
        <w:rPr>
          <w:rFonts w:cs="Arial"/>
          <w:szCs w:val="24"/>
        </w:rPr>
        <w:br w:type="page"/>
      </w:r>
    </w:p>
    <w:p w14:paraId="6EB885DA" w14:textId="265E303B" w:rsidR="005508B8" w:rsidRPr="00A553B9" w:rsidRDefault="006D4139" w:rsidP="009E21FB">
      <w:pPr>
        <w:pStyle w:val="Heading2"/>
        <w:rPr>
          <w:rFonts w:ascii="Arial" w:hAnsi="Arial" w:cs="Arial"/>
          <w:color w:val="auto"/>
          <w:szCs w:val="24"/>
        </w:rPr>
      </w:pPr>
      <w:bookmarkStart w:id="57" w:name="_Toc225717206"/>
      <w:r w:rsidRPr="00A553B9">
        <w:rPr>
          <w:rFonts w:ascii="Arial" w:hAnsi="Arial" w:cs="Arial"/>
          <w:color w:val="auto"/>
          <w:szCs w:val="24"/>
        </w:rPr>
        <w:lastRenderedPageBreak/>
        <w:t>Appendix B. Capital-budgeting notes</w:t>
      </w:r>
      <w:bookmarkEnd w:id="57"/>
    </w:p>
    <w:p w14:paraId="37F3F9A0" w14:textId="7189D726" w:rsidR="005508B8" w:rsidRPr="00A553B9" w:rsidRDefault="006D4139" w:rsidP="009E21FB">
      <w:pPr>
        <w:rPr>
          <w:rFonts w:cs="Arial"/>
          <w:szCs w:val="24"/>
        </w:rPr>
      </w:pPr>
      <w:r w:rsidRPr="00A553B9">
        <w:rPr>
          <w:rFonts w:cs="Arial"/>
          <w:szCs w:val="24"/>
        </w:rPr>
        <w:t>The NPVs were computed using a 10% discount rate. ARR used average annual accounting profit divided by initial investment.</w:t>
      </w:r>
    </w:p>
    <w:tbl>
      <w:tblPr>
        <w:tblW w:w="9767" w:type="dxa"/>
        <w:tblInd w:w="113" w:type="dxa"/>
        <w:tblLayout w:type="fixed"/>
        <w:tblLook w:val="04A0" w:firstRow="1" w:lastRow="0" w:firstColumn="1" w:lastColumn="0" w:noHBand="0" w:noVBand="1"/>
      </w:tblPr>
      <w:tblGrid>
        <w:gridCol w:w="2122"/>
        <w:gridCol w:w="1559"/>
        <w:gridCol w:w="1417"/>
        <w:gridCol w:w="1422"/>
        <w:gridCol w:w="1055"/>
        <w:gridCol w:w="978"/>
        <w:gridCol w:w="978"/>
        <w:gridCol w:w="236"/>
      </w:tblGrid>
      <w:tr w:rsidR="00AE6309" w:rsidRPr="00A553B9" w14:paraId="2312BC7E" w14:textId="77777777" w:rsidTr="007D3DDE">
        <w:trPr>
          <w:gridAfter w:val="1"/>
          <w:wAfter w:w="236" w:type="dxa"/>
          <w:trHeight w:val="300"/>
        </w:trPr>
        <w:tc>
          <w:tcPr>
            <w:tcW w:w="212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F5B9A2"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Project A</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73DF41E8"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Year 0</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56F05B1D"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1</w:t>
            </w:r>
          </w:p>
        </w:tc>
        <w:tc>
          <w:tcPr>
            <w:tcW w:w="1422" w:type="dxa"/>
            <w:tcBorders>
              <w:top w:val="single" w:sz="4" w:space="0" w:color="auto"/>
              <w:left w:val="nil"/>
              <w:bottom w:val="single" w:sz="4" w:space="0" w:color="auto"/>
              <w:right w:val="single" w:sz="4" w:space="0" w:color="auto"/>
            </w:tcBorders>
            <w:shd w:val="clear" w:color="000000" w:fill="FFFFFF"/>
            <w:noWrap/>
            <w:vAlign w:val="bottom"/>
            <w:hideMark/>
          </w:tcPr>
          <w:p w14:paraId="5DE44EDC"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2</w:t>
            </w:r>
          </w:p>
        </w:tc>
        <w:tc>
          <w:tcPr>
            <w:tcW w:w="1055" w:type="dxa"/>
            <w:tcBorders>
              <w:top w:val="single" w:sz="4" w:space="0" w:color="auto"/>
              <w:left w:val="nil"/>
              <w:bottom w:val="single" w:sz="4" w:space="0" w:color="auto"/>
              <w:right w:val="single" w:sz="4" w:space="0" w:color="auto"/>
            </w:tcBorders>
            <w:shd w:val="clear" w:color="000000" w:fill="FFFFFF"/>
            <w:noWrap/>
            <w:vAlign w:val="bottom"/>
            <w:hideMark/>
          </w:tcPr>
          <w:p w14:paraId="1AB23A45"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3</w:t>
            </w:r>
          </w:p>
        </w:tc>
        <w:tc>
          <w:tcPr>
            <w:tcW w:w="978" w:type="dxa"/>
            <w:tcBorders>
              <w:top w:val="single" w:sz="4" w:space="0" w:color="auto"/>
              <w:left w:val="nil"/>
              <w:bottom w:val="single" w:sz="4" w:space="0" w:color="auto"/>
              <w:right w:val="single" w:sz="4" w:space="0" w:color="auto"/>
            </w:tcBorders>
            <w:shd w:val="clear" w:color="000000" w:fill="FFFFFF"/>
            <w:noWrap/>
            <w:vAlign w:val="bottom"/>
            <w:hideMark/>
          </w:tcPr>
          <w:p w14:paraId="42723592"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4</w:t>
            </w:r>
          </w:p>
        </w:tc>
        <w:tc>
          <w:tcPr>
            <w:tcW w:w="978" w:type="dxa"/>
            <w:tcBorders>
              <w:top w:val="single" w:sz="4" w:space="0" w:color="auto"/>
              <w:left w:val="nil"/>
              <w:bottom w:val="single" w:sz="4" w:space="0" w:color="auto"/>
              <w:right w:val="single" w:sz="4" w:space="0" w:color="auto"/>
            </w:tcBorders>
            <w:shd w:val="clear" w:color="000000" w:fill="FFFFFF"/>
            <w:noWrap/>
            <w:vAlign w:val="bottom"/>
            <w:hideMark/>
          </w:tcPr>
          <w:p w14:paraId="327DE6F9"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5</w:t>
            </w:r>
          </w:p>
        </w:tc>
      </w:tr>
      <w:tr w:rsidR="00AE6309" w:rsidRPr="00A553B9" w14:paraId="6311F0C5" w14:textId="77777777" w:rsidTr="007D3DDE">
        <w:trPr>
          <w:gridAfter w:val="1"/>
          <w:wAfter w:w="236" w:type="dxa"/>
          <w:trHeight w:val="300"/>
        </w:trPr>
        <w:tc>
          <w:tcPr>
            <w:tcW w:w="2122" w:type="dxa"/>
            <w:tcBorders>
              <w:top w:val="nil"/>
              <w:left w:val="single" w:sz="4" w:space="0" w:color="auto"/>
              <w:bottom w:val="single" w:sz="4" w:space="0" w:color="auto"/>
              <w:right w:val="single" w:sz="4" w:space="0" w:color="auto"/>
            </w:tcBorders>
            <w:shd w:val="clear" w:color="000000" w:fill="FFFFFF"/>
            <w:noWrap/>
            <w:vAlign w:val="bottom"/>
            <w:hideMark/>
          </w:tcPr>
          <w:p w14:paraId="20D6060B"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Cash Flow ('000)</w:t>
            </w:r>
          </w:p>
        </w:tc>
        <w:tc>
          <w:tcPr>
            <w:tcW w:w="1559" w:type="dxa"/>
            <w:tcBorders>
              <w:top w:val="nil"/>
              <w:left w:val="nil"/>
              <w:bottom w:val="single" w:sz="4" w:space="0" w:color="auto"/>
              <w:right w:val="single" w:sz="4" w:space="0" w:color="auto"/>
            </w:tcBorders>
            <w:shd w:val="clear" w:color="000000" w:fill="FFFFFF"/>
            <w:noWrap/>
            <w:vAlign w:val="bottom"/>
            <w:hideMark/>
          </w:tcPr>
          <w:p w14:paraId="4DB2866C"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54DBC070"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10,000.00 </w:t>
            </w:r>
          </w:p>
        </w:tc>
        <w:tc>
          <w:tcPr>
            <w:tcW w:w="1422" w:type="dxa"/>
            <w:tcBorders>
              <w:top w:val="nil"/>
              <w:left w:val="nil"/>
              <w:bottom w:val="single" w:sz="4" w:space="0" w:color="auto"/>
              <w:right w:val="single" w:sz="4" w:space="0" w:color="auto"/>
            </w:tcBorders>
            <w:shd w:val="clear" w:color="000000" w:fill="FFFFFF"/>
            <w:noWrap/>
            <w:vAlign w:val="bottom"/>
            <w:hideMark/>
          </w:tcPr>
          <w:p w14:paraId="0D727569"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12,000.00 </w:t>
            </w:r>
          </w:p>
        </w:tc>
        <w:tc>
          <w:tcPr>
            <w:tcW w:w="1055" w:type="dxa"/>
            <w:tcBorders>
              <w:top w:val="nil"/>
              <w:left w:val="nil"/>
              <w:bottom w:val="single" w:sz="4" w:space="0" w:color="auto"/>
              <w:right w:val="single" w:sz="4" w:space="0" w:color="auto"/>
            </w:tcBorders>
            <w:shd w:val="clear" w:color="000000" w:fill="FFFFFF"/>
            <w:noWrap/>
            <w:vAlign w:val="bottom"/>
            <w:hideMark/>
          </w:tcPr>
          <w:p w14:paraId="7B0F061F"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14,000.00 </w:t>
            </w:r>
          </w:p>
        </w:tc>
        <w:tc>
          <w:tcPr>
            <w:tcW w:w="978" w:type="dxa"/>
            <w:tcBorders>
              <w:top w:val="nil"/>
              <w:left w:val="nil"/>
              <w:bottom w:val="single" w:sz="4" w:space="0" w:color="auto"/>
              <w:right w:val="single" w:sz="4" w:space="0" w:color="auto"/>
            </w:tcBorders>
            <w:shd w:val="clear" w:color="000000" w:fill="FFFFFF"/>
            <w:noWrap/>
            <w:vAlign w:val="bottom"/>
            <w:hideMark/>
          </w:tcPr>
          <w:p w14:paraId="0A6AD052"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£ 10,000.00 </w:t>
            </w:r>
          </w:p>
        </w:tc>
        <w:tc>
          <w:tcPr>
            <w:tcW w:w="978" w:type="dxa"/>
            <w:tcBorders>
              <w:top w:val="nil"/>
              <w:left w:val="nil"/>
              <w:bottom w:val="single" w:sz="4" w:space="0" w:color="auto"/>
              <w:right w:val="single" w:sz="4" w:space="0" w:color="auto"/>
            </w:tcBorders>
            <w:shd w:val="clear" w:color="000000" w:fill="FFFFFF"/>
            <w:noWrap/>
            <w:vAlign w:val="bottom"/>
            <w:hideMark/>
          </w:tcPr>
          <w:p w14:paraId="3EC69369"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8,000.00 </w:t>
            </w:r>
          </w:p>
        </w:tc>
      </w:tr>
      <w:tr w:rsidR="00AE6309" w:rsidRPr="00A553B9" w14:paraId="5E452DDC" w14:textId="77777777" w:rsidTr="007D3DDE">
        <w:trPr>
          <w:gridAfter w:val="1"/>
          <w:wAfter w:w="236" w:type="dxa"/>
          <w:trHeight w:val="517"/>
        </w:trPr>
        <w:tc>
          <w:tcPr>
            <w:tcW w:w="2122"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24E964D"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 xml:space="preserve">Present Value </w:t>
            </w:r>
          </w:p>
        </w:tc>
        <w:tc>
          <w:tcPr>
            <w:tcW w:w="1559"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5BE8CE8E"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50,000.00 </w:t>
            </w:r>
          </w:p>
        </w:tc>
        <w:tc>
          <w:tcPr>
            <w:tcW w:w="1417"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0D48FB79"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9,090.91 </w:t>
            </w:r>
          </w:p>
        </w:tc>
        <w:tc>
          <w:tcPr>
            <w:tcW w:w="1422"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43E41B49"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9,917.36 </w:t>
            </w:r>
          </w:p>
        </w:tc>
        <w:tc>
          <w:tcPr>
            <w:tcW w:w="1055"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20F7A08E"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10,518.41 </w:t>
            </w:r>
          </w:p>
        </w:tc>
        <w:tc>
          <w:tcPr>
            <w:tcW w:w="978"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56D723AD"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6,830.13 </w:t>
            </w:r>
          </w:p>
        </w:tc>
        <w:tc>
          <w:tcPr>
            <w:tcW w:w="978"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1680979D"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4,967.37 </w:t>
            </w:r>
          </w:p>
        </w:tc>
      </w:tr>
      <w:tr w:rsidR="00AE6309" w:rsidRPr="00A553B9" w14:paraId="42F17721" w14:textId="77777777" w:rsidTr="007D3DDE">
        <w:trPr>
          <w:trHeight w:val="300"/>
        </w:trPr>
        <w:tc>
          <w:tcPr>
            <w:tcW w:w="2122" w:type="dxa"/>
            <w:vMerge/>
            <w:tcBorders>
              <w:top w:val="nil"/>
              <w:left w:val="single" w:sz="4" w:space="0" w:color="auto"/>
              <w:bottom w:val="single" w:sz="4" w:space="0" w:color="000000"/>
              <w:right w:val="single" w:sz="4" w:space="0" w:color="auto"/>
            </w:tcBorders>
            <w:vAlign w:val="center"/>
            <w:hideMark/>
          </w:tcPr>
          <w:p w14:paraId="1EFD4A3C" w14:textId="77777777" w:rsidR="00411F16" w:rsidRPr="00A553B9" w:rsidRDefault="00411F16" w:rsidP="009E21FB">
            <w:pPr>
              <w:spacing w:after="0"/>
              <w:rPr>
                <w:rFonts w:eastAsia="Times New Roman" w:cs="Arial"/>
                <w:b/>
                <w:bCs/>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14:paraId="76159631" w14:textId="77777777" w:rsidR="00411F16" w:rsidRPr="00A553B9" w:rsidRDefault="00411F16" w:rsidP="009E21FB">
            <w:pPr>
              <w:spacing w:after="0"/>
              <w:rPr>
                <w:rFonts w:eastAsia="Times New Roman"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352FD10F" w14:textId="77777777" w:rsidR="00411F16" w:rsidRPr="00A553B9" w:rsidRDefault="00411F16" w:rsidP="009E21FB">
            <w:pPr>
              <w:spacing w:after="0"/>
              <w:rPr>
                <w:rFonts w:eastAsia="Times New Roman" w:cs="Arial"/>
                <w:sz w:val="16"/>
                <w:szCs w:val="16"/>
              </w:rPr>
            </w:pPr>
          </w:p>
        </w:tc>
        <w:tc>
          <w:tcPr>
            <w:tcW w:w="1422" w:type="dxa"/>
            <w:vMerge/>
            <w:tcBorders>
              <w:top w:val="nil"/>
              <w:left w:val="single" w:sz="4" w:space="0" w:color="auto"/>
              <w:bottom w:val="single" w:sz="4" w:space="0" w:color="000000"/>
              <w:right w:val="single" w:sz="4" w:space="0" w:color="auto"/>
            </w:tcBorders>
            <w:vAlign w:val="center"/>
            <w:hideMark/>
          </w:tcPr>
          <w:p w14:paraId="0673FEA6" w14:textId="77777777" w:rsidR="00411F16" w:rsidRPr="00A553B9" w:rsidRDefault="00411F16" w:rsidP="009E21FB">
            <w:pPr>
              <w:spacing w:after="0"/>
              <w:rPr>
                <w:rFonts w:eastAsia="Times New Roman" w:cs="Arial"/>
                <w:sz w:val="16"/>
                <w:szCs w:val="16"/>
              </w:rPr>
            </w:pPr>
          </w:p>
        </w:tc>
        <w:tc>
          <w:tcPr>
            <w:tcW w:w="1055" w:type="dxa"/>
            <w:vMerge/>
            <w:tcBorders>
              <w:top w:val="nil"/>
              <w:left w:val="single" w:sz="4" w:space="0" w:color="auto"/>
              <w:bottom w:val="single" w:sz="4" w:space="0" w:color="000000"/>
              <w:right w:val="single" w:sz="4" w:space="0" w:color="auto"/>
            </w:tcBorders>
            <w:vAlign w:val="center"/>
            <w:hideMark/>
          </w:tcPr>
          <w:p w14:paraId="2AFCE3BF" w14:textId="77777777" w:rsidR="00411F16" w:rsidRPr="00A553B9" w:rsidRDefault="00411F16" w:rsidP="009E21FB">
            <w:pPr>
              <w:spacing w:after="0"/>
              <w:rPr>
                <w:rFonts w:eastAsia="Times New Roman" w:cs="Arial"/>
                <w:sz w:val="16"/>
                <w:szCs w:val="16"/>
              </w:rPr>
            </w:pPr>
          </w:p>
        </w:tc>
        <w:tc>
          <w:tcPr>
            <w:tcW w:w="978" w:type="dxa"/>
            <w:vMerge/>
            <w:tcBorders>
              <w:top w:val="nil"/>
              <w:left w:val="single" w:sz="4" w:space="0" w:color="auto"/>
              <w:bottom w:val="single" w:sz="4" w:space="0" w:color="000000"/>
              <w:right w:val="single" w:sz="4" w:space="0" w:color="auto"/>
            </w:tcBorders>
            <w:vAlign w:val="center"/>
            <w:hideMark/>
          </w:tcPr>
          <w:p w14:paraId="42B9EE21" w14:textId="77777777" w:rsidR="00411F16" w:rsidRPr="00A553B9" w:rsidRDefault="00411F16" w:rsidP="009E21FB">
            <w:pPr>
              <w:spacing w:after="0"/>
              <w:rPr>
                <w:rFonts w:eastAsia="Times New Roman" w:cs="Arial"/>
                <w:sz w:val="16"/>
                <w:szCs w:val="16"/>
              </w:rPr>
            </w:pPr>
          </w:p>
        </w:tc>
        <w:tc>
          <w:tcPr>
            <w:tcW w:w="978" w:type="dxa"/>
            <w:vMerge/>
            <w:tcBorders>
              <w:top w:val="nil"/>
              <w:left w:val="single" w:sz="4" w:space="0" w:color="auto"/>
              <w:bottom w:val="single" w:sz="4" w:space="0" w:color="000000"/>
              <w:right w:val="single" w:sz="4" w:space="0" w:color="auto"/>
            </w:tcBorders>
            <w:vAlign w:val="center"/>
            <w:hideMark/>
          </w:tcPr>
          <w:p w14:paraId="71F1365C" w14:textId="77777777" w:rsidR="00411F16" w:rsidRPr="00A553B9" w:rsidRDefault="00411F16" w:rsidP="009E21FB">
            <w:pPr>
              <w:spacing w:after="0"/>
              <w:rPr>
                <w:rFonts w:eastAsia="Times New Roman" w:cs="Arial"/>
                <w:sz w:val="16"/>
                <w:szCs w:val="16"/>
              </w:rPr>
            </w:pPr>
          </w:p>
        </w:tc>
        <w:tc>
          <w:tcPr>
            <w:tcW w:w="236" w:type="dxa"/>
            <w:tcBorders>
              <w:top w:val="nil"/>
              <w:left w:val="nil"/>
              <w:bottom w:val="nil"/>
              <w:right w:val="nil"/>
            </w:tcBorders>
            <w:noWrap/>
            <w:vAlign w:val="bottom"/>
            <w:hideMark/>
          </w:tcPr>
          <w:p w14:paraId="4DBF6779" w14:textId="77777777" w:rsidR="00411F16" w:rsidRPr="00A553B9" w:rsidRDefault="00411F16" w:rsidP="009E21FB">
            <w:pPr>
              <w:spacing w:after="0"/>
              <w:jc w:val="center"/>
              <w:rPr>
                <w:rFonts w:eastAsia="Times New Roman" w:cs="Arial"/>
                <w:sz w:val="16"/>
                <w:szCs w:val="16"/>
              </w:rPr>
            </w:pPr>
          </w:p>
        </w:tc>
      </w:tr>
      <w:tr w:rsidR="00AE6309" w:rsidRPr="00A553B9" w14:paraId="6C3CB5AF" w14:textId="77777777" w:rsidTr="00411F16">
        <w:trPr>
          <w:trHeight w:val="390"/>
        </w:trPr>
        <w:tc>
          <w:tcPr>
            <w:tcW w:w="2122" w:type="dxa"/>
            <w:tcBorders>
              <w:top w:val="nil"/>
              <w:left w:val="single" w:sz="4" w:space="0" w:color="auto"/>
              <w:bottom w:val="single" w:sz="4" w:space="0" w:color="auto"/>
              <w:right w:val="single" w:sz="4" w:space="0" w:color="auto"/>
            </w:tcBorders>
            <w:shd w:val="clear" w:color="000000" w:fill="FFFFFF"/>
            <w:noWrap/>
            <w:vAlign w:val="center"/>
            <w:hideMark/>
          </w:tcPr>
          <w:p w14:paraId="44741597"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NPV</w:t>
            </w:r>
          </w:p>
        </w:tc>
        <w:tc>
          <w:tcPr>
            <w:tcW w:w="7409" w:type="dxa"/>
            <w:gridSpan w:val="6"/>
            <w:tcBorders>
              <w:top w:val="single" w:sz="4" w:space="0" w:color="auto"/>
              <w:left w:val="nil"/>
              <w:bottom w:val="single" w:sz="4" w:space="0" w:color="auto"/>
              <w:right w:val="single" w:sz="4" w:space="0" w:color="000000"/>
            </w:tcBorders>
            <w:shd w:val="clear" w:color="000000" w:fill="FFFFFF"/>
            <w:vAlign w:val="bottom"/>
            <w:hideMark/>
          </w:tcPr>
          <w:p w14:paraId="346D0B36"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xml:space="preserve">-£                                                                                              8,675.82 </w:t>
            </w:r>
          </w:p>
        </w:tc>
        <w:tc>
          <w:tcPr>
            <w:tcW w:w="236" w:type="dxa"/>
            <w:vAlign w:val="center"/>
            <w:hideMark/>
          </w:tcPr>
          <w:p w14:paraId="5653E9C9" w14:textId="77777777" w:rsidR="00411F16" w:rsidRPr="00A553B9" w:rsidRDefault="00411F16" w:rsidP="009E21FB">
            <w:pPr>
              <w:spacing w:after="0"/>
              <w:rPr>
                <w:rFonts w:eastAsia="Times New Roman" w:cs="Arial"/>
                <w:sz w:val="16"/>
                <w:szCs w:val="16"/>
              </w:rPr>
            </w:pPr>
          </w:p>
        </w:tc>
      </w:tr>
      <w:tr w:rsidR="00AE6309" w:rsidRPr="00A553B9" w14:paraId="3502C86F" w14:textId="77777777" w:rsidTr="007D3DDE">
        <w:trPr>
          <w:trHeight w:val="390"/>
        </w:trPr>
        <w:tc>
          <w:tcPr>
            <w:tcW w:w="2122" w:type="dxa"/>
            <w:tcBorders>
              <w:top w:val="nil"/>
              <w:left w:val="single" w:sz="4" w:space="0" w:color="auto"/>
              <w:bottom w:val="single" w:sz="4" w:space="0" w:color="auto"/>
              <w:right w:val="single" w:sz="4" w:space="0" w:color="auto"/>
            </w:tcBorders>
            <w:shd w:val="clear" w:color="000000" w:fill="00B050"/>
            <w:noWrap/>
            <w:vAlign w:val="center"/>
            <w:hideMark/>
          </w:tcPr>
          <w:p w14:paraId="7012E977"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Sum of Present Value of future Cashflow</w:t>
            </w:r>
          </w:p>
        </w:tc>
        <w:tc>
          <w:tcPr>
            <w:tcW w:w="1559" w:type="dxa"/>
            <w:tcBorders>
              <w:top w:val="nil"/>
              <w:left w:val="nil"/>
              <w:bottom w:val="single" w:sz="4" w:space="0" w:color="auto"/>
              <w:right w:val="single" w:sz="4" w:space="0" w:color="auto"/>
            </w:tcBorders>
            <w:shd w:val="clear" w:color="000000" w:fill="00B050"/>
            <w:vAlign w:val="bottom"/>
            <w:hideMark/>
          </w:tcPr>
          <w:p w14:paraId="209373D7"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xml:space="preserve"> £      41,324.18 </w:t>
            </w:r>
          </w:p>
        </w:tc>
        <w:tc>
          <w:tcPr>
            <w:tcW w:w="1417" w:type="dxa"/>
            <w:tcBorders>
              <w:top w:val="nil"/>
              <w:left w:val="nil"/>
              <w:bottom w:val="nil"/>
              <w:right w:val="nil"/>
            </w:tcBorders>
            <w:shd w:val="clear" w:color="000000" w:fill="FFFFFF"/>
            <w:vAlign w:val="bottom"/>
            <w:hideMark/>
          </w:tcPr>
          <w:p w14:paraId="53CFD173"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422" w:type="dxa"/>
            <w:tcBorders>
              <w:top w:val="nil"/>
              <w:left w:val="nil"/>
              <w:bottom w:val="nil"/>
              <w:right w:val="nil"/>
            </w:tcBorders>
            <w:shd w:val="clear" w:color="000000" w:fill="FFFFFF"/>
            <w:vAlign w:val="bottom"/>
            <w:hideMark/>
          </w:tcPr>
          <w:p w14:paraId="66A31A84"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055" w:type="dxa"/>
            <w:tcBorders>
              <w:top w:val="nil"/>
              <w:left w:val="nil"/>
              <w:bottom w:val="nil"/>
              <w:right w:val="nil"/>
            </w:tcBorders>
            <w:shd w:val="clear" w:color="000000" w:fill="FFFFFF"/>
            <w:vAlign w:val="bottom"/>
            <w:hideMark/>
          </w:tcPr>
          <w:p w14:paraId="1A3D2FD1"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3860340D"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5DB9A95E"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236" w:type="dxa"/>
            <w:vAlign w:val="center"/>
            <w:hideMark/>
          </w:tcPr>
          <w:p w14:paraId="36A36267" w14:textId="77777777" w:rsidR="00411F16" w:rsidRPr="00A553B9" w:rsidRDefault="00411F16" w:rsidP="009E21FB">
            <w:pPr>
              <w:spacing w:after="0"/>
              <w:rPr>
                <w:rFonts w:eastAsia="Times New Roman" w:cs="Arial"/>
                <w:sz w:val="16"/>
                <w:szCs w:val="16"/>
              </w:rPr>
            </w:pPr>
          </w:p>
        </w:tc>
      </w:tr>
      <w:tr w:rsidR="00AE6309" w:rsidRPr="00A553B9" w14:paraId="100D6114" w14:textId="77777777" w:rsidTr="007D3DDE">
        <w:trPr>
          <w:trHeight w:val="390"/>
        </w:trPr>
        <w:tc>
          <w:tcPr>
            <w:tcW w:w="2122" w:type="dxa"/>
            <w:tcBorders>
              <w:top w:val="nil"/>
              <w:left w:val="single" w:sz="4" w:space="0" w:color="auto"/>
              <w:bottom w:val="single" w:sz="4" w:space="0" w:color="auto"/>
              <w:right w:val="single" w:sz="4" w:space="0" w:color="auto"/>
            </w:tcBorders>
            <w:shd w:val="clear" w:color="000000" w:fill="00B050"/>
            <w:noWrap/>
            <w:vAlign w:val="center"/>
            <w:hideMark/>
          </w:tcPr>
          <w:p w14:paraId="46D01AF2"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Initial Cost of Project 1</w:t>
            </w:r>
          </w:p>
        </w:tc>
        <w:tc>
          <w:tcPr>
            <w:tcW w:w="1559" w:type="dxa"/>
            <w:tcBorders>
              <w:top w:val="nil"/>
              <w:left w:val="nil"/>
              <w:bottom w:val="single" w:sz="4" w:space="0" w:color="auto"/>
              <w:right w:val="single" w:sz="4" w:space="0" w:color="auto"/>
            </w:tcBorders>
            <w:shd w:val="clear" w:color="000000" w:fill="00B050"/>
            <w:vAlign w:val="bottom"/>
            <w:hideMark/>
          </w:tcPr>
          <w:p w14:paraId="38A6A0D6"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xml:space="preserve"> £      50,000.00 </w:t>
            </w:r>
          </w:p>
        </w:tc>
        <w:tc>
          <w:tcPr>
            <w:tcW w:w="1417" w:type="dxa"/>
            <w:tcBorders>
              <w:top w:val="nil"/>
              <w:left w:val="nil"/>
              <w:bottom w:val="nil"/>
              <w:right w:val="nil"/>
            </w:tcBorders>
            <w:shd w:val="clear" w:color="000000" w:fill="FFFFFF"/>
            <w:vAlign w:val="bottom"/>
            <w:hideMark/>
          </w:tcPr>
          <w:p w14:paraId="6B75134C"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422" w:type="dxa"/>
            <w:tcBorders>
              <w:top w:val="nil"/>
              <w:left w:val="nil"/>
              <w:bottom w:val="nil"/>
              <w:right w:val="nil"/>
            </w:tcBorders>
            <w:shd w:val="clear" w:color="000000" w:fill="FFFFFF"/>
            <w:vAlign w:val="bottom"/>
            <w:hideMark/>
          </w:tcPr>
          <w:p w14:paraId="0572377C"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055" w:type="dxa"/>
            <w:tcBorders>
              <w:top w:val="nil"/>
              <w:left w:val="nil"/>
              <w:bottom w:val="nil"/>
              <w:right w:val="nil"/>
            </w:tcBorders>
            <w:shd w:val="clear" w:color="000000" w:fill="FFFFFF"/>
            <w:vAlign w:val="bottom"/>
            <w:hideMark/>
          </w:tcPr>
          <w:p w14:paraId="09C740AE"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3C090244"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40A8C73D"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236" w:type="dxa"/>
            <w:vAlign w:val="center"/>
            <w:hideMark/>
          </w:tcPr>
          <w:p w14:paraId="25F05584" w14:textId="77777777" w:rsidR="00411F16" w:rsidRPr="00A553B9" w:rsidRDefault="00411F16" w:rsidP="009E21FB">
            <w:pPr>
              <w:spacing w:after="0"/>
              <w:rPr>
                <w:rFonts w:eastAsia="Times New Roman" w:cs="Arial"/>
                <w:sz w:val="16"/>
                <w:szCs w:val="16"/>
              </w:rPr>
            </w:pPr>
          </w:p>
        </w:tc>
      </w:tr>
      <w:tr w:rsidR="00AE6309" w:rsidRPr="00A553B9" w14:paraId="67100C04" w14:textId="77777777" w:rsidTr="007D3DDE">
        <w:trPr>
          <w:trHeight w:val="390"/>
        </w:trPr>
        <w:tc>
          <w:tcPr>
            <w:tcW w:w="2122" w:type="dxa"/>
            <w:tcBorders>
              <w:top w:val="nil"/>
              <w:left w:val="single" w:sz="4" w:space="0" w:color="auto"/>
              <w:bottom w:val="single" w:sz="4" w:space="0" w:color="auto"/>
              <w:right w:val="single" w:sz="4" w:space="0" w:color="auto"/>
            </w:tcBorders>
            <w:shd w:val="clear" w:color="000000" w:fill="00B050"/>
            <w:noWrap/>
            <w:vAlign w:val="center"/>
            <w:hideMark/>
          </w:tcPr>
          <w:p w14:paraId="6C51F19D"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Profitability Index</w:t>
            </w:r>
          </w:p>
        </w:tc>
        <w:tc>
          <w:tcPr>
            <w:tcW w:w="1559" w:type="dxa"/>
            <w:tcBorders>
              <w:top w:val="nil"/>
              <w:left w:val="nil"/>
              <w:bottom w:val="single" w:sz="4" w:space="0" w:color="auto"/>
              <w:right w:val="single" w:sz="4" w:space="0" w:color="auto"/>
            </w:tcBorders>
            <w:shd w:val="clear" w:color="000000" w:fill="00B050"/>
            <w:vAlign w:val="bottom"/>
            <w:hideMark/>
          </w:tcPr>
          <w:p w14:paraId="1EAEFA77"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0.8265</w:t>
            </w:r>
          </w:p>
        </w:tc>
        <w:tc>
          <w:tcPr>
            <w:tcW w:w="1417" w:type="dxa"/>
            <w:tcBorders>
              <w:top w:val="nil"/>
              <w:left w:val="nil"/>
              <w:bottom w:val="nil"/>
              <w:right w:val="nil"/>
            </w:tcBorders>
            <w:shd w:val="clear" w:color="000000" w:fill="FFFFFF"/>
            <w:vAlign w:val="bottom"/>
            <w:hideMark/>
          </w:tcPr>
          <w:p w14:paraId="39CB6665"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422" w:type="dxa"/>
            <w:tcBorders>
              <w:top w:val="nil"/>
              <w:left w:val="nil"/>
              <w:bottom w:val="nil"/>
              <w:right w:val="nil"/>
            </w:tcBorders>
            <w:shd w:val="clear" w:color="000000" w:fill="FFFFFF"/>
            <w:vAlign w:val="bottom"/>
            <w:hideMark/>
          </w:tcPr>
          <w:p w14:paraId="4B240F40"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055" w:type="dxa"/>
            <w:tcBorders>
              <w:top w:val="nil"/>
              <w:left w:val="nil"/>
              <w:bottom w:val="nil"/>
              <w:right w:val="nil"/>
            </w:tcBorders>
            <w:shd w:val="clear" w:color="000000" w:fill="FFFFFF"/>
            <w:vAlign w:val="bottom"/>
            <w:hideMark/>
          </w:tcPr>
          <w:p w14:paraId="4169ECEE"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17B348C5"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53FB6D08"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236" w:type="dxa"/>
            <w:vAlign w:val="center"/>
            <w:hideMark/>
          </w:tcPr>
          <w:p w14:paraId="6F929FF9" w14:textId="77777777" w:rsidR="00411F16" w:rsidRPr="00A553B9" w:rsidRDefault="00411F16" w:rsidP="009E21FB">
            <w:pPr>
              <w:spacing w:after="0"/>
              <w:rPr>
                <w:rFonts w:eastAsia="Times New Roman" w:cs="Arial"/>
                <w:sz w:val="16"/>
                <w:szCs w:val="16"/>
              </w:rPr>
            </w:pPr>
          </w:p>
        </w:tc>
      </w:tr>
      <w:tr w:rsidR="00AE6309" w:rsidRPr="00A553B9" w14:paraId="13739360" w14:textId="77777777" w:rsidTr="007D3DDE">
        <w:trPr>
          <w:trHeight w:val="390"/>
        </w:trPr>
        <w:tc>
          <w:tcPr>
            <w:tcW w:w="2122" w:type="dxa"/>
            <w:tcBorders>
              <w:top w:val="nil"/>
              <w:left w:val="single" w:sz="4" w:space="0" w:color="auto"/>
              <w:bottom w:val="single" w:sz="4" w:space="0" w:color="auto"/>
              <w:right w:val="single" w:sz="4" w:space="0" w:color="auto"/>
            </w:tcBorders>
            <w:shd w:val="clear" w:color="000000" w:fill="00B050"/>
            <w:noWrap/>
            <w:vAlign w:val="center"/>
            <w:hideMark/>
          </w:tcPr>
          <w:p w14:paraId="6DA9D954"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IRR</w:t>
            </w:r>
          </w:p>
        </w:tc>
        <w:tc>
          <w:tcPr>
            <w:tcW w:w="1559" w:type="dxa"/>
            <w:tcBorders>
              <w:top w:val="nil"/>
              <w:left w:val="nil"/>
              <w:bottom w:val="single" w:sz="4" w:space="0" w:color="auto"/>
              <w:right w:val="single" w:sz="4" w:space="0" w:color="auto"/>
            </w:tcBorders>
            <w:shd w:val="clear" w:color="000000" w:fill="00B050"/>
            <w:vAlign w:val="bottom"/>
            <w:hideMark/>
          </w:tcPr>
          <w:p w14:paraId="28037097"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6.62%</w:t>
            </w:r>
          </w:p>
        </w:tc>
        <w:tc>
          <w:tcPr>
            <w:tcW w:w="1417" w:type="dxa"/>
            <w:tcBorders>
              <w:top w:val="nil"/>
              <w:left w:val="nil"/>
              <w:bottom w:val="nil"/>
              <w:right w:val="nil"/>
            </w:tcBorders>
            <w:shd w:val="clear" w:color="000000" w:fill="FFFFFF"/>
            <w:vAlign w:val="bottom"/>
            <w:hideMark/>
          </w:tcPr>
          <w:p w14:paraId="27031B1C" w14:textId="2188C44A" w:rsidR="00411F16" w:rsidRPr="00A553B9" w:rsidRDefault="00411F16" w:rsidP="009E21FB">
            <w:pPr>
              <w:spacing w:after="0"/>
              <w:jc w:val="center"/>
              <w:rPr>
                <w:rFonts w:eastAsia="Times New Roman" w:cs="Arial"/>
                <w:b/>
                <w:bCs/>
                <w:sz w:val="16"/>
                <w:szCs w:val="16"/>
              </w:rPr>
            </w:pPr>
          </w:p>
        </w:tc>
        <w:tc>
          <w:tcPr>
            <w:tcW w:w="1422" w:type="dxa"/>
            <w:tcBorders>
              <w:top w:val="nil"/>
              <w:left w:val="nil"/>
              <w:bottom w:val="nil"/>
              <w:right w:val="nil"/>
            </w:tcBorders>
            <w:shd w:val="clear" w:color="000000" w:fill="FFFFFF"/>
            <w:vAlign w:val="bottom"/>
            <w:hideMark/>
          </w:tcPr>
          <w:p w14:paraId="3D33DB3C"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055" w:type="dxa"/>
            <w:tcBorders>
              <w:top w:val="nil"/>
              <w:left w:val="nil"/>
              <w:bottom w:val="nil"/>
              <w:right w:val="nil"/>
            </w:tcBorders>
            <w:shd w:val="clear" w:color="000000" w:fill="FFFFFF"/>
            <w:vAlign w:val="bottom"/>
            <w:hideMark/>
          </w:tcPr>
          <w:p w14:paraId="096E7361"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6D4CF6E6"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3CA8CB44"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236" w:type="dxa"/>
            <w:vAlign w:val="center"/>
            <w:hideMark/>
          </w:tcPr>
          <w:p w14:paraId="328AD755" w14:textId="77777777" w:rsidR="00411F16" w:rsidRPr="00A553B9" w:rsidRDefault="00411F16" w:rsidP="009E21FB">
            <w:pPr>
              <w:spacing w:after="0"/>
              <w:rPr>
                <w:rFonts w:eastAsia="Times New Roman" w:cs="Arial"/>
                <w:sz w:val="16"/>
                <w:szCs w:val="16"/>
              </w:rPr>
            </w:pPr>
          </w:p>
        </w:tc>
      </w:tr>
      <w:tr w:rsidR="00AE6309" w:rsidRPr="00A553B9" w14:paraId="16908DB8" w14:textId="77777777" w:rsidTr="007D3DDE">
        <w:trPr>
          <w:trHeight w:val="390"/>
        </w:trPr>
        <w:tc>
          <w:tcPr>
            <w:tcW w:w="2122" w:type="dxa"/>
            <w:tcBorders>
              <w:top w:val="nil"/>
              <w:left w:val="nil"/>
              <w:bottom w:val="nil"/>
              <w:right w:val="nil"/>
            </w:tcBorders>
            <w:noWrap/>
            <w:vAlign w:val="center"/>
            <w:hideMark/>
          </w:tcPr>
          <w:p w14:paraId="53E985E4" w14:textId="77777777" w:rsidR="00411F16" w:rsidRPr="00A553B9" w:rsidRDefault="00411F16" w:rsidP="009E21FB">
            <w:pPr>
              <w:spacing w:after="0"/>
              <w:jc w:val="center"/>
              <w:rPr>
                <w:rFonts w:eastAsia="Times New Roman" w:cs="Arial"/>
                <w:b/>
                <w:bCs/>
                <w:sz w:val="16"/>
                <w:szCs w:val="16"/>
              </w:rPr>
            </w:pPr>
          </w:p>
        </w:tc>
        <w:tc>
          <w:tcPr>
            <w:tcW w:w="1559" w:type="dxa"/>
            <w:tcBorders>
              <w:top w:val="nil"/>
              <w:left w:val="nil"/>
              <w:bottom w:val="nil"/>
              <w:right w:val="nil"/>
            </w:tcBorders>
            <w:vAlign w:val="bottom"/>
            <w:hideMark/>
          </w:tcPr>
          <w:p w14:paraId="40C268A0" w14:textId="77777777" w:rsidR="00411F16" w:rsidRPr="00A553B9" w:rsidRDefault="00411F16" w:rsidP="009E21FB">
            <w:pPr>
              <w:spacing w:after="0"/>
              <w:rPr>
                <w:rFonts w:eastAsia="Times New Roman" w:cs="Arial"/>
                <w:sz w:val="16"/>
                <w:szCs w:val="16"/>
              </w:rPr>
            </w:pPr>
          </w:p>
        </w:tc>
        <w:tc>
          <w:tcPr>
            <w:tcW w:w="1417" w:type="dxa"/>
            <w:tcBorders>
              <w:top w:val="nil"/>
              <w:left w:val="nil"/>
              <w:bottom w:val="nil"/>
              <w:right w:val="nil"/>
            </w:tcBorders>
            <w:shd w:val="clear" w:color="000000" w:fill="FFFFFF"/>
            <w:vAlign w:val="bottom"/>
            <w:hideMark/>
          </w:tcPr>
          <w:p w14:paraId="7D349212"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422" w:type="dxa"/>
            <w:tcBorders>
              <w:top w:val="nil"/>
              <w:left w:val="nil"/>
              <w:bottom w:val="nil"/>
              <w:right w:val="nil"/>
            </w:tcBorders>
            <w:shd w:val="clear" w:color="000000" w:fill="FFFFFF"/>
            <w:vAlign w:val="bottom"/>
            <w:hideMark/>
          </w:tcPr>
          <w:p w14:paraId="64D4B579"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055" w:type="dxa"/>
            <w:tcBorders>
              <w:top w:val="nil"/>
              <w:left w:val="nil"/>
              <w:bottom w:val="nil"/>
              <w:right w:val="nil"/>
            </w:tcBorders>
            <w:shd w:val="clear" w:color="000000" w:fill="FFFFFF"/>
            <w:vAlign w:val="bottom"/>
            <w:hideMark/>
          </w:tcPr>
          <w:p w14:paraId="4F42C364"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4F4EA466"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1705CB6D"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236" w:type="dxa"/>
            <w:vAlign w:val="center"/>
            <w:hideMark/>
          </w:tcPr>
          <w:p w14:paraId="5459DD6D" w14:textId="77777777" w:rsidR="00411F16" w:rsidRPr="00A553B9" w:rsidRDefault="00411F16" w:rsidP="009E21FB">
            <w:pPr>
              <w:spacing w:after="0"/>
              <w:rPr>
                <w:rFonts w:eastAsia="Times New Roman" w:cs="Arial"/>
                <w:sz w:val="16"/>
                <w:szCs w:val="16"/>
              </w:rPr>
            </w:pPr>
          </w:p>
        </w:tc>
      </w:tr>
      <w:tr w:rsidR="00AE6309" w:rsidRPr="00A553B9" w14:paraId="2118E446" w14:textId="77777777" w:rsidTr="007D3DDE">
        <w:trPr>
          <w:trHeight w:val="300"/>
        </w:trPr>
        <w:tc>
          <w:tcPr>
            <w:tcW w:w="2122" w:type="dxa"/>
            <w:tcBorders>
              <w:top w:val="nil"/>
              <w:left w:val="nil"/>
              <w:bottom w:val="nil"/>
              <w:right w:val="nil"/>
            </w:tcBorders>
            <w:shd w:val="clear" w:color="000000" w:fill="FFFFFF"/>
            <w:noWrap/>
            <w:vAlign w:val="center"/>
            <w:hideMark/>
          </w:tcPr>
          <w:p w14:paraId="42998DA2"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 </w:t>
            </w:r>
          </w:p>
        </w:tc>
        <w:tc>
          <w:tcPr>
            <w:tcW w:w="1559" w:type="dxa"/>
            <w:tcBorders>
              <w:top w:val="nil"/>
              <w:left w:val="nil"/>
              <w:bottom w:val="nil"/>
              <w:right w:val="nil"/>
            </w:tcBorders>
            <w:shd w:val="clear" w:color="000000" w:fill="FFFFFF"/>
            <w:vAlign w:val="bottom"/>
            <w:hideMark/>
          </w:tcPr>
          <w:p w14:paraId="17DB45C3"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w:t>
            </w:r>
          </w:p>
        </w:tc>
        <w:tc>
          <w:tcPr>
            <w:tcW w:w="1417" w:type="dxa"/>
            <w:tcBorders>
              <w:top w:val="nil"/>
              <w:left w:val="nil"/>
              <w:bottom w:val="nil"/>
              <w:right w:val="nil"/>
            </w:tcBorders>
            <w:shd w:val="clear" w:color="000000" w:fill="FFFFFF"/>
            <w:vAlign w:val="bottom"/>
            <w:hideMark/>
          </w:tcPr>
          <w:p w14:paraId="52100F5F"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w:t>
            </w:r>
          </w:p>
        </w:tc>
        <w:tc>
          <w:tcPr>
            <w:tcW w:w="1422" w:type="dxa"/>
            <w:tcBorders>
              <w:top w:val="nil"/>
              <w:left w:val="nil"/>
              <w:bottom w:val="nil"/>
              <w:right w:val="nil"/>
            </w:tcBorders>
            <w:shd w:val="clear" w:color="000000" w:fill="FFFFFF"/>
            <w:vAlign w:val="bottom"/>
            <w:hideMark/>
          </w:tcPr>
          <w:p w14:paraId="4D2A9EEE"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w:t>
            </w:r>
          </w:p>
        </w:tc>
        <w:tc>
          <w:tcPr>
            <w:tcW w:w="1055" w:type="dxa"/>
            <w:tcBorders>
              <w:top w:val="nil"/>
              <w:left w:val="nil"/>
              <w:bottom w:val="nil"/>
              <w:right w:val="nil"/>
            </w:tcBorders>
            <w:shd w:val="clear" w:color="000000" w:fill="FFFFFF"/>
            <w:vAlign w:val="bottom"/>
            <w:hideMark/>
          </w:tcPr>
          <w:p w14:paraId="771FEE1E"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w:t>
            </w:r>
          </w:p>
        </w:tc>
        <w:tc>
          <w:tcPr>
            <w:tcW w:w="978" w:type="dxa"/>
            <w:tcBorders>
              <w:top w:val="nil"/>
              <w:left w:val="nil"/>
              <w:bottom w:val="nil"/>
              <w:right w:val="nil"/>
            </w:tcBorders>
            <w:shd w:val="clear" w:color="000000" w:fill="FFFFFF"/>
            <w:vAlign w:val="bottom"/>
            <w:hideMark/>
          </w:tcPr>
          <w:p w14:paraId="1EFEF70D"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w:t>
            </w:r>
          </w:p>
        </w:tc>
        <w:tc>
          <w:tcPr>
            <w:tcW w:w="978" w:type="dxa"/>
            <w:tcBorders>
              <w:top w:val="nil"/>
              <w:left w:val="nil"/>
              <w:bottom w:val="nil"/>
              <w:right w:val="nil"/>
            </w:tcBorders>
            <w:shd w:val="clear" w:color="000000" w:fill="FFFFFF"/>
            <w:vAlign w:val="bottom"/>
            <w:hideMark/>
          </w:tcPr>
          <w:p w14:paraId="365874D5"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w:t>
            </w:r>
          </w:p>
        </w:tc>
        <w:tc>
          <w:tcPr>
            <w:tcW w:w="236" w:type="dxa"/>
            <w:vAlign w:val="center"/>
            <w:hideMark/>
          </w:tcPr>
          <w:p w14:paraId="7A86D150" w14:textId="77777777" w:rsidR="00411F16" w:rsidRPr="00A553B9" w:rsidRDefault="00411F16" w:rsidP="009E21FB">
            <w:pPr>
              <w:spacing w:after="0"/>
              <w:rPr>
                <w:rFonts w:eastAsia="Times New Roman" w:cs="Arial"/>
                <w:sz w:val="16"/>
                <w:szCs w:val="16"/>
              </w:rPr>
            </w:pPr>
          </w:p>
        </w:tc>
      </w:tr>
      <w:tr w:rsidR="00AE6309" w:rsidRPr="00A553B9" w14:paraId="6DFA17A4" w14:textId="77777777" w:rsidTr="007D3DDE">
        <w:trPr>
          <w:trHeight w:val="300"/>
        </w:trPr>
        <w:tc>
          <w:tcPr>
            <w:tcW w:w="212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FA0ECC"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Project B</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5E1678E1"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Year 0</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1F28489A"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1</w:t>
            </w:r>
          </w:p>
        </w:tc>
        <w:tc>
          <w:tcPr>
            <w:tcW w:w="1422" w:type="dxa"/>
            <w:tcBorders>
              <w:top w:val="single" w:sz="4" w:space="0" w:color="auto"/>
              <w:left w:val="nil"/>
              <w:bottom w:val="single" w:sz="4" w:space="0" w:color="auto"/>
              <w:right w:val="single" w:sz="4" w:space="0" w:color="auto"/>
            </w:tcBorders>
            <w:shd w:val="clear" w:color="000000" w:fill="FFFFFF"/>
            <w:noWrap/>
            <w:vAlign w:val="bottom"/>
            <w:hideMark/>
          </w:tcPr>
          <w:p w14:paraId="6775EEE5"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2</w:t>
            </w:r>
          </w:p>
        </w:tc>
        <w:tc>
          <w:tcPr>
            <w:tcW w:w="1055" w:type="dxa"/>
            <w:tcBorders>
              <w:top w:val="single" w:sz="4" w:space="0" w:color="auto"/>
              <w:left w:val="nil"/>
              <w:bottom w:val="single" w:sz="4" w:space="0" w:color="auto"/>
              <w:right w:val="single" w:sz="4" w:space="0" w:color="auto"/>
            </w:tcBorders>
            <w:shd w:val="clear" w:color="000000" w:fill="FFFFFF"/>
            <w:noWrap/>
            <w:vAlign w:val="bottom"/>
            <w:hideMark/>
          </w:tcPr>
          <w:p w14:paraId="325AB4D0"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3</w:t>
            </w:r>
          </w:p>
        </w:tc>
        <w:tc>
          <w:tcPr>
            <w:tcW w:w="978" w:type="dxa"/>
            <w:tcBorders>
              <w:top w:val="single" w:sz="4" w:space="0" w:color="auto"/>
              <w:left w:val="nil"/>
              <w:bottom w:val="single" w:sz="4" w:space="0" w:color="auto"/>
              <w:right w:val="single" w:sz="4" w:space="0" w:color="auto"/>
            </w:tcBorders>
            <w:shd w:val="clear" w:color="000000" w:fill="FFFFFF"/>
            <w:noWrap/>
            <w:vAlign w:val="bottom"/>
            <w:hideMark/>
          </w:tcPr>
          <w:p w14:paraId="5CD75F6F"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4</w:t>
            </w:r>
          </w:p>
        </w:tc>
        <w:tc>
          <w:tcPr>
            <w:tcW w:w="978" w:type="dxa"/>
            <w:tcBorders>
              <w:top w:val="single" w:sz="4" w:space="0" w:color="auto"/>
              <w:left w:val="nil"/>
              <w:bottom w:val="single" w:sz="4" w:space="0" w:color="auto"/>
              <w:right w:val="single" w:sz="4" w:space="0" w:color="auto"/>
            </w:tcBorders>
            <w:shd w:val="clear" w:color="000000" w:fill="FFFFFF"/>
            <w:noWrap/>
            <w:vAlign w:val="bottom"/>
            <w:hideMark/>
          </w:tcPr>
          <w:p w14:paraId="4D75174A"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5</w:t>
            </w:r>
          </w:p>
        </w:tc>
        <w:tc>
          <w:tcPr>
            <w:tcW w:w="236" w:type="dxa"/>
            <w:vAlign w:val="center"/>
            <w:hideMark/>
          </w:tcPr>
          <w:p w14:paraId="200B564A" w14:textId="77777777" w:rsidR="00411F16" w:rsidRPr="00A553B9" w:rsidRDefault="00411F16" w:rsidP="009E21FB">
            <w:pPr>
              <w:spacing w:after="0"/>
              <w:rPr>
                <w:rFonts w:eastAsia="Times New Roman" w:cs="Arial"/>
                <w:sz w:val="16"/>
                <w:szCs w:val="16"/>
              </w:rPr>
            </w:pPr>
          </w:p>
        </w:tc>
      </w:tr>
      <w:tr w:rsidR="00AE6309" w:rsidRPr="00A553B9" w14:paraId="3B9C62B6" w14:textId="77777777" w:rsidTr="007D3DDE">
        <w:trPr>
          <w:trHeight w:val="300"/>
        </w:trPr>
        <w:tc>
          <w:tcPr>
            <w:tcW w:w="2122" w:type="dxa"/>
            <w:tcBorders>
              <w:top w:val="nil"/>
              <w:left w:val="single" w:sz="4" w:space="0" w:color="auto"/>
              <w:bottom w:val="single" w:sz="4" w:space="0" w:color="auto"/>
              <w:right w:val="single" w:sz="4" w:space="0" w:color="auto"/>
            </w:tcBorders>
            <w:shd w:val="clear" w:color="000000" w:fill="FFFFFF"/>
            <w:noWrap/>
            <w:vAlign w:val="bottom"/>
            <w:hideMark/>
          </w:tcPr>
          <w:p w14:paraId="2E69E8B6"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Cash Flow ('000)</w:t>
            </w:r>
          </w:p>
        </w:tc>
        <w:tc>
          <w:tcPr>
            <w:tcW w:w="1559" w:type="dxa"/>
            <w:tcBorders>
              <w:top w:val="nil"/>
              <w:left w:val="nil"/>
              <w:bottom w:val="single" w:sz="4" w:space="0" w:color="auto"/>
              <w:right w:val="single" w:sz="4" w:space="0" w:color="auto"/>
            </w:tcBorders>
            <w:shd w:val="clear" w:color="000000" w:fill="FFFFFF"/>
            <w:noWrap/>
            <w:vAlign w:val="bottom"/>
            <w:hideMark/>
          </w:tcPr>
          <w:p w14:paraId="30116AF4"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2740EE81"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11,000.00 </w:t>
            </w:r>
          </w:p>
        </w:tc>
        <w:tc>
          <w:tcPr>
            <w:tcW w:w="1422" w:type="dxa"/>
            <w:tcBorders>
              <w:top w:val="nil"/>
              <w:left w:val="nil"/>
              <w:bottom w:val="single" w:sz="4" w:space="0" w:color="auto"/>
              <w:right w:val="single" w:sz="4" w:space="0" w:color="auto"/>
            </w:tcBorders>
            <w:shd w:val="clear" w:color="000000" w:fill="FFFFFF"/>
            <w:noWrap/>
            <w:vAlign w:val="bottom"/>
            <w:hideMark/>
          </w:tcPr>
          <w:p w14:paraId="010A98DE"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11,000.00 </w:t>
            </w:r>
          </w:p>
        </w:tc>
        <w:tc>
          <w:tcPr>
            <w:tcW w:w="1055" w:type="dxa"/>
            <w:tcBorders>
              <w:top w:val="nil"/>
              <w:left w:val="nil"/>
              <w:bottom w:val="single" w:sz="4" w:space="0" w:color="auto"/>
              <w:right w:val="single" w:sz="4" w:space="0" w:color="auto"/>
            </w:tcBorders>
            <w:shd w:val="clear" w:color="000000" w:fill="FFFFFF"/>
            <w:noWrap/>
            <w:vAlign w:val="bottom"/>
            <w:hideMark/>
          </w:tcPr>
          <w:p w14:paraId="0E973380"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11,000.00 </w:t>
            </w:r>
          </w:p>
        </w:tc>
        <w:tc>
          <w:tcPr>
            <w:tcW w:w="978" w:type="dxa"/>
            <w:tcBorders>
              <w:top w:val="nil"/>
              <w:left w:val="nil"/>
              <w:bottom w:val="single" w:sz="4" w:space="0" w:color="auto"/>
              <w:right w:val="single" w:sz="4" w:space="0" w:color="auto"/>
            </w:tcBorders>
            <w:shd w:val="clear" w:color="000000" w:fill="FFFFFF"/>
            <w:noWrap/>
            <w:vAlign w:val="bottom"/>
            <w:hideMark/>
          </w:tcPr>
          <w:p w14:paraId="599F677A"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£ 11,000.00 </w:t>
            </w:r>
          </w:p>
        </w:tc>
        <w:tc>
          <w:tcPr>
            <w:tcW w:w="978" w:type="dxa"/>
            <w:tcBorders>
              <w:top w:val="nil"/>
              <w:left w:val="nil"/>
              <w:bottom w:val="single" w:sz="4" w:space="0" w:color="auto"/>
              <w:right w:val="single" w:sz="4" w:space="0" w:color="auto"/>
            </w:tcBorders>
            <w:shd w:val="clear" w:color="000000" w:fill="FFFFFF"/>
            <w:noWrap/>
            <w:vAlign w:val="bottom"/>
            <w:hideMark/>
          </w:tcPr>
          <w:p w14:paraId="53519E94"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£ 11,000.00 </w:t>
            </w:r>
          </w:p>
        </w:tc>
        <w:tc>
          <w:tcPr>
            <w:tcW w:w="236" w:type="dxa"/>
            <w:vAlign w:val="center"/>
            <w:hideMark/>
          </w:tcPr>
          <w:p w14:paraId="7D3D8175" w14:textId="77777777" w:rsidR="00411F16" w:rsidRPr="00A553B9" w:rsidRDefault="00411F16" w:rsidP="009E21FB">
            <w:pPr>
              <w:spacing w:after="0"/>
              <w:rPr>
                <w:rFonts w:eastAsia="Times New Roman" w:cs="Arial"/>
                <w:sz w:val="16"/>
                <w:szCs w:val="16"/>
              </w:rPr>
            </w:pPr>
          </w:p>
        </w:tc>
      </w:tr>
      <w:tr w:rsidR="00AE6309" w:rsidRPr="00A553B9" w14:paraId="0D94E926" w14:textId="77777777" w:rsidTr="007D3DDE">
        <w:trPr>
          <w:trHeight w:val="300"/>
        </w:trPr>
        <w:tc>
          <w:tcPr>
            <w:tcW w:w="2122"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983A7AC"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 xml:space="preserve">Present Value </w:t>
            </w:r>
          </w:p>
        </w:tc>
        <w:tc>
          <w:tcPr>
            <w:tcW w:w="1559"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4AC45D3B"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50,000.00 </w:t>
            </w:r>
          </w:p>
        </w:tc>
        <w:tc>
          <w:tcPr>
            <w:tcW w:w="1417"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6A398210"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10,000.00 </w:t>
            </w:r>
          </w:p>
        </w:tc>
        <w:tc>
          <w:tcPr>
            <w:tcW w:w="1422"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3B3F93A7"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9,090.91 </w:t>
            </w:r>
          </w:p>
        </w:tc>
        <w:tc>
          <w:tcPr>
            <w:tcW w:w="1055"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11104078"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8,264.46 </w:t>
            </w:r>
          </w:p>
        </w:tc>
        <w:tc>
          <w:tcPr>
            <w:tcW w:w="978"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3785E40E"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7,513.15 </w:t>
            </w:r>
          </w:p>
        </w:tc>
        <w:tc>
          <w:tcPr>
            <w:tcW w:w="978"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268ACA39"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6,830.13 </w:t>
            </w:r>
          </w:p>
        </w:tc>
        <w:tc>
          <w:tcPr>
            <w:tcW w:w="236" w:type="dxa"/>
            <w:vAlign w:val="center"/>
            <w:hideMark/>
          </w:tcPr>
          <w:p w14:paraId="357CBE15" w14:textId="77777777" w:rsidR="00411F16" w:rsidRPr="00A553B9" w:rsidRDefault="00411F16" w:rsidP="009E21FB">
            <w:pPr>
              <w:spacing w:after="0"/>
              <w:rPr>
                <w:rFonts w:eastAsia="Times New Roman" w:cs="Arial"/>
                <w:sz w:val="16"/>
                <w:szCs w:val="16"/>
              </w:rPr>
            </w:pPr>
          </w:p>
        </w:tc>
      </w:tr>
      <w:tr w:rsidR="00AE6309" w:rsidRPr="00A553B9" w14:paraId="66BD5490" w14:textId="77777777" w:rsidTr="007D3DDE">
        <w:trPr>
          <w:trHeight w:val="300"/>
        </w:trPr>
        <w:tc>
          <w:tcPr>
            <w:tcW w:w="2122" w:type="dxa"/>
            <w:vMerge/>
            <w:tcBorders>
              <w:top w:val="nil"/>
              <w:left w:val="single" w:sz="4" w:space="0" w:color="auto"/>
              <w:bottom w:val="single" w:sz="4" w:space="0" w:color="000000"/>
              <w:right w:val="single" w:sz="4" w:space="0" w:color="auto"/>
            </w:tcBorders>
            <w:vAlign w:val="center"/>
            <w:hideMark/>
          </w:tcPr>
          <w:p w14:paraId="24C10F27" w14:textId="77777777" w:rsidR="00411F16" w:rsidRPr="00A553B9" w:rsidRDefault="00411F16" w:rsidP="009E21FB">
            <w:pPr>
              <w:spacing w:after="0"/>
              <w:rPr>
                <w:rFonts w:eastAsia="Times New Roman" w:cs="Arial"/>
                <w:b/>
                <w:bCs/>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14:paraId="1D6F156D" w14:textId="77777777" w:rsidR="00411F16" w:rsidRPr="00A553B9" w:rsidRDefault="00411F16" w:rsidP="009E21FB">
            <w:pPr>
              <w:spacing w:after="0"/>
              <w:rPr>
                <w:rFonts w:eastAsia="Times New Roman"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4995AA4C" w14:textId="77777777" w:rsidR="00411F16" w:rsidRPr="00A553B9" w:rsidRDefault="00411F16" w:rsidP="009E21FB">
            <w:pPr>
              <w:spacing w:after="0"/>
              <w:rPr>
                <w:rFonts w:eastAsia="Times New Roman" w:cs="Arial"/>
                <w:sz w:val="16"/>
                <w:szCs w:val="16"/>
              </w:rPr>
            </w:pPr>
          </w:p>
        </w:tc>
        <w:tc>
          <w:tcPr>
            <w:tcW w:w="1422" w:type="dxa"/>
            <w:vMerge/>
            <w:tcBorders>
              <w:top w:val="nil"/>
              <w:left w:val="single" w:sz="4" w:space="0" w:color="auto"/>
              <w:bottom w:val="single" w:sz="4" w:space="0" w:color="000000"/>
              <w:right w:val="single" w:sz="4" w:space="0" w:color="auto"/>
            </w:tcBorders>
            <w:vAlign w:val="center"/>
            <w:hideMark/>
          </w:tcPr>
          <w:p w14:paraId="0DB30C31" w14:textId="77777777" w:rsidR="00411F16" w:rsidRPr="00A553B9" w:rsidRDefault="00411F16" w:rsidP="009E21FB">
            <w:pPr>
              <w:spacing w:after="0"/>
              <w:rPr>
                <w:rFonts w:eastAsia="Times New Roman" w:cs="Arial"/>
                <w:sz w:val="16"/>
                <w:szCs w:val="16"/>
              </w:rPr>
            </w:pPr>
          </w:p>
        </w:tc>
        <w:tc>
          <w:tcPr>
            <w:tcW w:w="1055" w:type="dxa"/>
            <w:vMerge/>
            <w:tcBorders>
              <w:top w:val="nil"/>
              <w:left w:val="single" w:sz="4" w:space="0" w:color="auto"/>
              <w:bottom w:val="single" w:sz="4" w:space="0" w:color="000000"/>
              <w:right w:val="single" w:sz="4" w:space="0" w:color="auto"/>
            </w:tcBorders>
            <w:vAlign w:val="center"/>
            <w:hideMark/>
          </w:tcPr>
          <w:p w14:paraId="28E75A77" w14:textId="77777777" w:rsidR="00411F16" w:rsidRPr="00A553B9" w:rsidRDefault="00411F16" w:rsidP="009E21FB">
            <w:pPr>
              <w:spacing w:after="0"/>
              <w:rPr>
                <w:rFonts w:eastAsia="Times New Roman" w:cs="Arial"/>
                <w:sz w:val="16"/>
                <w:szCs w:val="16"/>
              </w:rPr>
            </w:pPr>
          </w:p>
        </w:tc>
        <w:tc>
          <w:tcPr>
            <w:tcW w:w="978" w:type="dxa"/>
            <w:vMerge/>
            <w:tcBorders>
              <w:top w:val="nil"/>
              <w:left w:val="single" w:sz="4" w:space="0" w:color="auto"/>
              <w:bottom w:val="single" w:sz="4" w:space="0" w:color="000000"/>
              <w:right w:val="single" w:sz="4" w:space="0" w:color="auto"/>
            </w:tcBorders>
            <w:vAlign w:val="center"/>
            <w:hideMark/>
          </w:tcPr>
          <w:p w14:paraId="4E865694" w14:textId="77777777" w:rsidR="00411F16" w:rsidRPr="00A553B9" w:rsidRDefault="00411F16" w:rsidP="009E21FB">
            <w:pPr>
              <w:spacing w:after="0"/>
              <w:rPr>
                <w:rFonts w:eastAsia="Times New Roman" w:cs="Arial"/>
                <w:sz w:val="16"/>
                <w:szCs w:val="16"/>
              </w:rPr>
            </w:pPr>
          </w:p>
        </w:tc>
        <w:tc>
          <w:tcPr>
            <w:tcW w:w="978" w:type="dxa"/>
            <w:vMerge/>
            <w:tcBorders>
              <w:top w:val="nil"/>
              <w:left w:val="single" w:sz="4" w:space="0" w:color="auto"/>
              <w:bottom w:val="single" w:sz="4" w:space="0" w:color="000000"/>
              <w:right w:val="single" w:sz="4" w:space="0" w:color="auto"/>
            </w:tcBorders>
            <w:vAlign w:val="center"/>
            <w:hideMark/>
          </w:tcPr>
          <w:p w14:paraId="12B45352" w14:textId="77777777" w:rsidR="00411F16" w:rsidRPr="00A553B9" w:rsidRDefault="00411F16" w:rsidP="009E21FB">
            <w:pPr>
              <w:spacing w:after="0"/>
              <w:rPr>
                <w:rFonts w:eastAsia="Times New Roman" w:cs="Arial"/>
                <w:sz w:val="16"/>
                <w:szCs w:val="16"/>
              </w:rPr>
            </w:pPr>
          </w:p>
        </w:tc>
        <w:tc>
          <w:tcPr>
            <w:tcW w:w="236" w:type="dxa"/>
            <w:tcBorders>
              <w:top w:val="nil"/>
              <w:left w:val="nil"/>
              <w:bottom w:val="nil"/>
              <w:right w:val="nil"/>
            </w:tcBorders>
            <w:noWrap/>
            <w:vAlign w:val="bottom"/>
            <w:hideMark/>
          </w:tcPr>
          <w:p w14:paraId="2AED2551" w14:textId="77777777" w:rsidR="00411F16" w:rsidRPr="00A553B9" w:rsidRDefault="00411F16" w:rsidP="009E21FB">
            <w:pPr>
              <w:spacing w:after="0"/>
              <w:jc w:val="center"/>
              <w:rPr>
                <w:rFonts w:eastAsia="Times New Roman" w:cs="Arial"/>
                <w:sz w:val="16"/>
                <w:szCs w:val="16"/>
              </w:rPr>
            </w:pPr>
          </w:p>
        </w:tc>
      </w:tr>
      <w:tr w:rsidR="00AE6309" w:rsidRPr="00A553B9" w14:paraId="215820A6" w14:textId="77777777" w:rsidTr="00411F16">
        <w:trPr>
          <w:trHeight w:val="390"/>
        </w:trPr>
        <w:tc>
          <w:tcPr>
            <w:tcW w:w="2122" w:type="dxa"/>
            <w:tcBorders>
              <w:top w:val="nil"/>
              <w:left w:val="single" w:sz="4" w:space="0" w:color="auto"/>
              <w:bottom w:val="single" w:sz="4" w:space="0" w:color="auto"/>
              <w:right w:val="single" w:sz="4" w:space="0" w:color="auto"/>
            </w:tcBorders>
            <w:shd w:val="clear" w:color="000000" w:fill="FFFFFF"/>
            <w:noWrap/>
            <w:vAlign w:val="center"/>
            <w:hideMark/>
          </w:tcPr>
          <w:p w14:paraId="086204BD"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NPV</w:t>
            </w:r>
          </w:p>
        </w:tc>
        <w:tc>
          <w:tcPr>
            <w:tcW w:w="7409" w:type="dxa"/>
            <w:gridSpan w:val="6"/>
            <w:tcBorders>
              <w:top w:val="single" w:sz="4" w:space="0" w:color="auto"/>
              <w:left w:val="nil"/>
              <w:bottom w:val="single" w:sz="4" w:space="0" w:color="auto"/>
              <w:right w:val="single" w:sz="4" w:space="0" w:color="000000"/>
            </w:tcBorders>
            <w:shd w:val="clear" w:color="000000" w:fill="FFFFFF"/>
            <w:vAlign w:val="bottom"/>
            <w:hideMark/>
          </w:tcPr>
          <w:p w14:paraId="335C73C5"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xml:space="preserve">-£                                                                                              8,301.35 </w:t>
            </w:r>
          </w:p>
        </w:tc>
        <w:tc>
          <w:tcPr>
            <w:tcW w:w="236" w:type="dxa"/>
            <w:vAlign w:val="center"/>
            <w:hideMark/>
          </w:tcPr>
          <w:p w14:paraId="7CD20D60" w14:textId="77777777" w:rsidR="00411F16" w:rsidRPr="00A553B9" w:rsidRDefault="00411F16" w:rsidP="009E21FB">
            <w:pPr>
              <w:spacing w:after="0"/>
              <w:rPr>
                <w:rFonts w:eastAsia="Times New Roman" w:cs="Arial"/>
                <w:sz w:val="16"/>
                <w:szCs w:val="16"/>
              </w:rPr>
            </w:pPr>
          </w:p>
        </w:tc>
      </w:tr>
      <w:tr w:rsidR="00AE6309" w:rsidRPr="00A553B9" w14:paraId="0A0BA372" w14:textId="77777777" w:rsidTr="007D3DDE">
        <w:trPr>
          <w:trHeight w:val="390"/>
        </w:trPr>
        <w:tc>
          <w:tcPr>
            <w:tcW w:w="2122" w:type="dxa"/>
            <w:tcBorders>
              <w:top w:val="nil"/>
              <w:left w:val="single" w:sz="4" w:space="0" w:color="auto"/>
              <w:bottom w:val="single" w:sz="4" w:space="0" w:color="auto"/>
              <w:right w:val="single" w:sz="4" w:space="0" w:color="auto"/>
            </w:tcBorders>
            <w:shd w:val="clear" w:color="000000" w:fill="00B050"/>
            <w:noWrap/>
            <w:vAlign w:val="center"/>
            <w:hideMark/>
          </w:tcPr>
          <w:p w14:paraId="4CE9550C"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Sum of Present Value of future Cashflow</w:t>
            </w:r>
          </w:p>
        </w:tc>
        <w:tc>
          <w:tcPr>
            <w:tcW w:w="1559" w:type="dxa"/>
            <w:tcBorders>
              <w:top w:val="nil"/>
              <w:left w:val="nil"/>
              <w:bottom w:val="single" w:sz="4" w:space="0" w:color="auto"/>
              <w:right w:val="single" w:sz="4" w:space="0" w:color="auto"/>
            </w:tcBorders>
            <w:shd w:val="clear" w:color="000000" w:fill="00B050"/>
            <w:vAlign w:val="bottom"/>
            <w:hideMark/>
          </w:tcPr>
          <w:p w14:paraId="2E7097E9"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xml:space="preserve"> £      41,698.65 </w:t>
            </w:r>
          </w:p>
        </w:tc>
        <w:tc>
          <w:tcPr>
            <w:tcW w:w="1417" w:type="dxa"/>
            <w:tcBorders>
              <w:top w:val="nil"/>
              <w:left w:val="nil"/>
              <w:bottom w:val="nil"/>
              <w:right w:val="nil"/>
            </w:tcBorders>
            <w:shd w:val="clear" w:color="000000" w:fill="FFFFFF"/>
            <w:vAlign w:val="bottom"/>
            <w:hideMark/>
          </w:tcPr>
          <w:p w14:paraId="3080845C"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422" w:type="dxa"/>
            <w:tcBorders>
              <w:top w:val="nil"/>
              <w:left w:val="nil"/>
              <w:bottom w:val="nil"/>
              <w:right w:val="nil"/>
            </w:tcBorders>
            <w:shd w:val="clear" w:color="000000" w:fill="FFFFFF"/>
            <w:vAlign w:val="bottom"/>
            <w:hideMark/>
          </w:tcPr>
          <w:p w14:paraId="4D629889"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055" w:type="dxa"/>
            <w:tcBorders>
              <w:top w:val="nil"/>
              <w:left w:val="nil"/>
              <w:bottom w:val="nil"/>
              <w:right w:val="nil"/>
            </w:tcBorders>
            <w:shd w:val="clear" w:color="000000" w:fill="FFFFFF"/>
            <w:vAlign w:val="bottom"/>
            <w:hideMark/>
          </w:tcPr>
          <w:p w14:paraId="5A8294D0"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5E93CF9E"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6790DB5B"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236" w:type="dxa"/>
            <w:vAlign w:val="center"/>
            <w:hideMark/>
          </w:tcPr>
          <w:p w14:paraId="3B3C0EAC" w14:textId="77777777" w:rsidR="00411F16" w:rsidRPr="00A553B9" w:rsidRDefault="00411F16" w:rsidP="009E21FB">
            <w:pPr>
              <w:spacing w:after="0"/>
              <w:rPr>
                <w:rFonts w:eastAsia="Times New Roman" w:cs="Arial"/>
                <w:sz w:val="16"/>
                <w:szCs w:val="16"/>
              </w:rPr>
            </w:pPr>
          </w:p>
        </w:tc>
      </w:tr>
      <w:tr w:rsidR="00AE6309" w:rsidRPr="00A553B9" w14:paraId="7E4CC859" w14:textId="77777777" w:rsidTr="007D3DDE">
        <w:trPr>
          <w:trHeight w:val="390"/>
        </w:trPr>
        <w:tc>
          <w:tcPr>
            <w:tcW w:w="2122" w:type="dxa"/>
            <w:tcBorders>
              <w:top w:val="nil"/>
              <w:left w:val="single" w:sz="4" w:space="0" w:color="auto"/>
              <w:bottom w:val="single" w:sz="4" w:space="0" w:color="auto"/>
              <w:right w:val="single" w:sz="4" w:space="0" w:color="auto"/>
            </w:tcBorders>
            <w:shd w:val="clear" w:color="000000" w:fill="00B050"/>
            <w:noWrap/>
            <w:vAlign w:val="center"/>
            <w:hideMark/>
          </w:tcPr>
          <w:p w14:paraId="7B8A0069"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Initial Cost of Project 1</w:t>
            </w:r>
          </w:p>
        </w:tc>
        <w:tc>
          <w:tcPr>
            <w:tcW w:w="1559" w:type="dxa"/>
            <w:tcBorders>
              <w:top w:val="nil"/>
              <w:left w:val="nil"/>
              <w:bottom w:val="single" w:sz="4" w:space="0" w:color="auto"/>
              <w:right w:val="single" w:sz="4" w:space="0" w:color="auto"/>
            </w:tcBorders>
            <w:shd w:val="clear" w:color="000000" w:fill="00B050"/>
            <w:vAlign w:val="bottom"/>
            <w:hideMark/>
          </w:tcPr>
          <w:p w14:paraId="783EBE97"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xml:space="preserve"> £      50,000.00 </w:t>
            </w:r>
          </w:p>
        </w:tc>
        <w:tc>
          <w:tcPr>
            <w:tcW w:w="1417" w:type="dxa"/>
            <w:tcBorders>
              <w:top w:val="nil"/>
              <w:left w:val="nil"/>
              <w:bottom w:val="nil"/>
              <w:right w:val="nil"/>
            </w:tcBorders>
            <w:shd w:val="clear" w:color="000000" w:fill="FFFFFF"/>
            <w:vAlign w:val="bottom"/>
            <w:hideMark/>
          </w:tcPr>
          <w:p w14:paraId="1A22B034"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422" w:type="dxa"/>
            <w:tcBorders>
              <w:top w:val="nil"/>
              <w:left w:val="nil"/>
              <w:bottom w:val="nil"/>
              <w:right w:val="nil"/>
            </w:tcBorders>
            <w:shd w:val="clear" w:color="000000" w:fill="FFFFFF"/>
            <w:vAlign w:val="bottom"/>
            <w:hideMark/>
          </w:tcPr>
          <w:p w14:paraId="3FCE6C6B"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055" w:type="dxa"/>
            <w:tcBorders>
              <w:top w:val="nil"/>
              <w:left w:val="nil"/>
              <w:bottom w:val="nil"/>
              <w:right w:val="nil"/>
            </w:tcBorders>
            <w:shd w:val="clear" w:color="000000" w:fill="FFFFFF"/>
            <w:vAlign w:val="bottom"/>
            <w:hideMark/>
          </w:tcPr>
          <w:p w14:paraId="6D22212E"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515FD985"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6528AE3D"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236" w:type="dxa"/>
            <w:vAlign w:val="center"/>
            <w:hideMark/>
          </w:tcPr>
          <w:p w14:paraId="64B13BB7" w14:textId="77777777" w:rsidR="00411F16" w:rsidRPr="00A553B9" w:rsidRDefault="00411F16" w:rsidP="009E21FB">
            <w:pPr>
              <w:spacing w:after="0"/>
              <w:rPr>
                <w:rFonts w:eastAsia="Times New Roman" w:cs="Arial"/>
                <w:sz w:val="16"/>
                <w:szCs w:val="16"/>
              </w:rPr>
            </w:pPr>
          </w:p>
        </w:tc>
      </w:tr>
      <w:tr w:rsidR="00AE6309" w:rsidRPr="00A553B9" w14:paraId="1422F449" w14:textId="77777777" w:rsidTr="007D3DDE">
        <w:trPr>
          <w:trHeight w:val="390"/>
        </w:trPr>
        <w:tc>
          <w:tcPr>
            <w:tcW w:w="2122" w:type="dxa"/>
            <w:tcBorders>
              <w:top w:val="nil"/>
              <w:left w:val="single" w:sz="4" w:space="0" w:color="auto"/>
              <w:bottom w:val="single" w:sz="4" w:space="0" w:color="auto"/>
              <w:right w:val="single" w:sz="4" w:space="0" w:color="auto"/>
            </w:tcBorders>
            <w:shd w:val="clear" w:color="000000" w:fill="00B050"/>
            <w:noWrap/>
            <w:vAlign w:val="center"/>
            <w:hideMark/>
          </w:tcPr>
          <w:p w14:paraId="62AEFB9C"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Profitability Index</w:t>
            </w:r>
          </w:p>
        </w:tc>
        <w:tc>
          <w:tcPr>
            <w:tcW w:w="1559" w:type="dxa"/>
            <w:tcBorders>
              <w:top w:val="nil"/>
              <w:left w:val="nil"/>
              <w:bottom w:val="single" w:sz="4" w:space="0" w:color="auto"/>
              <w:right w:val="single" w:sz="4" w:space="0" w:color="auto"/>
            </w:tcBorders>
            <w:shd w:val="clear" w:color="000000" w:fill="00B050"/>
            <w:vAlign w:val="bottom"/>
            <w:hideMark/>
          </w:tcPr>
          <w:p w14:paraId="6DF7847C"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0.8340</w:t>
            </w:r>
          </w:p>
        </w:tc>
        <w:tc>
          <w:tcPr>
            <w:tcW w:w="1417" w:type="dxa"/>
            <w:tcBorders>
              <w:top w:val="nil"/>
              <w:left w:val="nil"/>
              <w:bottom w:val="nil"/>
              <w:right w:val="nil"/>
            </w:tcBorders>
            <w:shd w:val="clear" w:color="000000" w:fill="FFFFFF"/>
            <w:vAlign w:val="bottom"/>
            <w:hideMark/>
          </w:tcPr>
          <w:p w14:paraId="4BA269B4"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422" w:type="dxa"/>
            <w:tcBorders>
              <w:top w:val="nil"/>
              <w:left w:val="nil"/>
              <w:bottom w:val="nil"/>
              <w:right w:val="nil"/>
            </w:tcBorders>
            <w:shd w:val="clear" w:color="000000" w:fill="FFFFFF"/>
            <w:vAlign w:val="bottom"/>
            <w:hideMark/>
          </w:tcPr>
          <w:p w14:paraId="30BE0485"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055" w:type="dxa"/>
            <w:tcBorders>
              <w:top w:val="nil"/>
              <w:left w:val="nil"/>
              <w:bottom w:val="nil"/>
              <w:right w:val="nil"/>
            </w:tcBorders>
            <w:shd w:val="clear" w:color="000000" w:fill="FFFFFF"/>
            <w:vAlign w:val="bottom"/>
            <w:hideMark/>
          </w:tcPr>
          <w:p w14:paraId="04C02BE6"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5B60D844"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2D558E02"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236" w:type="dxa"/>
            <w:vAlign w:val="center"/>
            <w:hideMark/>
          </w:tcPr>
          <w:p w14:paraId="4635AC62" w14:textId="77777777" w:rsidR="00411F16" w:rsidRPr="00A553B9" w:rsidRDefault="00411F16" w:rsidP="009E21FB">
            <w:pPr>
              <w:spacing w:after="0"/>
              <w:rPr>
                <w:rFonts w:eastAsia="Times New Roman" w:cs="Arial"/>
                <w:sz w:val="16"/>
                <w:szCs w:val="16"/>
              </w:rPr>
            </w:pPr>
          </w:p>
        </w:tc>
      </w:tr>
      <w:tr w:rsidR="00AE6309" w:rsidRPr="00A553B9" w14:paraId="41B1DAB9" w14:textId="77777777" w:rsidTr="007D3DDE">
        <w:trPr>
          <w:trHeight w:val="390"/>
        </w:trPr>
        <w:tc>
          <w:tcPr>
            <w:tcW w:w="2122" w:type="dxa"/>
            <w:tcBorders>
              <w:top w:val="nil"/>
              <w:left w:val="single" w:sz="4" w:space="0" w:color="auto"/>
              <w:bottom w:val="single" w:sz="4" w:space="0" w:color="auto"/>
              <w:right w:val="single" w:sz="4" w:space="0" w:color="auto"/>
            </w:tcBorders>
            <w:shd w:val="clear" w:color="000000" w:fill="00B050"/>
            <w:noWrap/>
            <w:vAlign w:val="center"/>
            <w:hideMark/>
          </w:tcPr>
          <w:p w14:paraId="1C024F57"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IRR</w:t>
            </w:r>
          </w:p>
        </w:tc>
        <w:tc>
          <w:tcPr>
            <w:tcW w:w="1559" w:type="dxa"/>
            <w:tcBorders>
              <w:top w:val="nil"/>
              <w:left w:val="nil"/>
              <w:bottom w:val="single" w:sz="4" w:space="0" w:color="auto"/>
              <w:right w:val="single" w:sz="4" w:space="0" w:color="auto"/>
            </w:tcBorders>
            <w:shd w:val="clear" w:color="000000" w:fill="00B050"/>
            <w:vAlign w:val="bottom"/>
            <w:hideMark/>
          </w:tcPr>
          <w:p w14:paraId="1FAA86A3"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6.12%</w:t>
            </w:r>
          </w:p>
        </w:tc>
        <w:tc>
          <w:tcPr>
            <w:tcW w:w="1417" w:type="dxa"/>
            <w:tcBorders>
              <w:top w:val="nil"/>
              <w:left w:val="nil"/>
              <w:bottom w:val="nil"/>
              <w:right w:val="nil"/>
            </w:tcBorders>
            <w:shd w:val="clear" w:color="000000" w:fill="FFFFFF"/>
            <w:vAlign w:val="bottom"/>
            <w:hideMark/>
          </w:tcPr>
          <w:p w14:paraId="6BFBE05F"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422" w:type="dxa"/>
            <w:tcBorders>
              <w:top w:val="nil"/>
              <w:left w:val="nil"/>
              <w:bottom w:val="nil"/>
              <w:right w:val="nil"/>
            </w:tcBorders>
            <w:shd w:val="clear" w:color="000000" w:fill="FFFFFF"/>
            <w:vAlign w:val="bottom"/>
            <w:hideMark/>
          </w:tcPr>
          <w:p w14:paraId="38DB8F74"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055" w:type="dxa"/>
            <w:tcBorders>
              <w:top w:val="nil"/>
              <w:left w:val="nil"/>
              <w:bottom w:val="nil"/>
              <w:right w:val="nil"/>
            </w:tcBorders>
            <w:shd w:val="clear" w:color="000000" w:fill="FFFFFF"/>
            <w:vAlign w:val="bottom"/>
            <w:hideMark/>
          </w:tcPr>
          <w:p w14:paraId="5A1B2131"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5DD53CA6"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5884A311"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236" w:type="dxa"/>
            <w:vAlign w:val="center"/>
            <w:hideMark/>
          </w:tcPr>
          <w:p w14:paraId="73709931" w14:textId="77777777" w:rsidR="00411F16" w:rsidRPr="00A553B9" w:rsidRDefault="00411F16" w:rsidP="009E21FB">
            <w:pPr>
              <w:spacing w:after="0"/>
              <w:rPr>
                <w:rFonts w:eastAsia="Times New Roman" w:cs="Arial"/>
                <w:sz w:val="16"/>
                <w:szCs w:val="16"/>
              </w:rPr>
            </w:pPr>
          </w:p>
        </w:tc>
      </w:tr>
      <w:tr w:rsidR="00AE6309" w:rsidRPr="00A553B9" w14:paraId="7A60A7F5" w14:textId="77777777" w:rsidTr="007D3DDE">
        <w:trPr>
          <w:trHeight w:val="300"/>
        </w:trPr>
        <w:tc>
          <w:tcPr>
            <w:tcW w:w="2122" w:type="dxa"/>
            <w:tcBorders>
              <w:top w:val="nil"/>
              <w:left w:val="nil"/>
              <w:bottom w:val="nil"/>
              <w:right w:val="nil"/>
            </w:tcBorders>
            <w:noWrap/>
            <w:vAlign w:val="bottom"/>
            <w:hideMark/>
          </w:tcPr>
          <w:p w14:paraId="5F20B0AA" w14:textId="77777777" w:rsidR="00411F16" w:rsidRPr="00A553B9" w:rsidRDefault="00411F16" w:rsidP="009E21FB">
            <w:pPr>
              <w:spacing w:after="0"/>
              <w:jc w:val="center"/>
              <w:rPr>
                <w:rFonts w:eastAsia="Times New Roman" w:cs="Arial"/>
                <w:b/>
                <w:bCs/>
                <w:sz w:val="16"/>
                <w:szCs w:val="16"/>
              </w:rPr>
            </w:pPr>
          </w:p>
        </w:tc>
        <w:tc>
          <w:tcPr>
            <w:tcW w:w="1559" w:type="dxa"/>
            <w:tcBorders>
              <w:top w:val="nil"/>
              <w:left w:val="nil"/>
              <w:bottom w:val="nil"/>
              <w:right w:val="nil"/>
            </w:tcBorders>
            <w:noWrap/>
            <w:vAlign w:val="bottom"/>
            <w:hideMark/>
          </w:tcPr>
          <w:p w14:paraId="04265236" w14:textId="77777777" w:rsidR="00411F16" w:rsidRPr="00A553B9" w:rsidRDefault="00411F16" w:rsidP="009E21FB">
            <w:pPr>
              <w:spacing w:after="0"/>
              <w:rPr>
                <w:rFonts w:eastAsia="Times New Roman" w:cs="Arial"/>
                <w:sz w:val="16"/>
                <w:szCs w:val="16"/>
              </w:rPr>
            </w:pPr>
          </w:p>
        </w:tc>
        <w:tc>
          <w:tcPr>
            <w:tcW w:w="1417" w:type="dxa"/>
            <w:tcBorders>
              <w:top w:val="nil"/>
              <w:left w:val="nil"/>
              <w:bottom w:val="nil"/>
              <w:right w:val="nil"/>
            </w:tcBorders>
            <w:noWrap/>
            <w:vAlign w:val="bottom"/>
            <w:hideMark/>
          </w:tcPr>
          <w:p w14:paraId="4D2C9D09" w14:textId="77777777" w:rsidR="00411F16" w:rsidRPr="00A553B9" w:rsidRDefault="00411F16" w:rsidP="009E21FB">
            <w:pPr>
              <w:spacing w:after="0"/>
              <w:rPr>
                <w:rFonts w:eastAsia="Times New Roman" w:cs="Arial"/>
                <w:sz w:val="16"/>
                <w:szCs w:val="16"/>
              </w:rPr>
            </w:pPr>
          </w:p>
        </w:tc>
        <w:tc>
          <w:tcPr>
            <w:tcW w:w="1422" w:type="dxa"/>
            <w:tcBorders>
              <w:top w:val="nil"/>
              <w:left w:val="nil"/>
              <w:bottom w:val="nil"/>
              <w:right w:val="nil"/>
            </w:tcBorders>
            <w:noWrap/>
            <w:vAlign w:val="bottom"/>
            <w:hideMark/>
          </w:tcPr>
          <w:p w14:paraId="43913DAF" w14:textId="77777777" w:rsidR="00411F16" w:rsidRPr="00A553B9" w:rsidRDefault="00411F16" w:rsidP="009E21FB">
            <w:pPr>
              <w:spacing w:after="0"/>
              <w:rPr>
                <w:rFonts w:eastAsia="Times New Roman" w:cs="Arial"/>
                <w:sz w:val="16"/>
                <w:szCs w:val="16"/>
              </w:rPr>
            </w:pPr>
          </w:p>
        </w:tc>
        <w:tc>
          <w:tcPr>
            <w:tcW w:w="1055" w:type="dxa"/>
            <w:tcBorders>
              <w:top w:val="nil"/>
              <w:left w:val="nil"/>
              <w:bottom w:val="nil"/>
              <w:right w:val="nil"/>
            </w:tcBorders>
            <w:noWrap/>
            <w:vAlign w:val="bottom"/>
            <w:hideMark/>
          </w:tcPr>
          <w:p w14:paraId="35F82D21" w14:textId="77777777" w:rsidR="00411F16" w:rsidRPr="00A553B9" w:rsidRDefault="00411F16" w:rsidP="009E21FB">
            <w:pPr>
              <w:spacing w:after="0"/>
              <w:rPr>
                <w:rFonts w:eastAsia="Times New Roman" w:cs="Arial"/>
                <w:sz w:val="16"/>
                <w:szCs w:val="16"/>
              </w:rPr>
            </w:pPr>
          </w:p>
        </w:tc>
        <w:tc>
          <w:tcPr>
            <w:tcW w:w="978" w:type="dxa"/>
            <w:tcBorders>
              <w:top w:val="nil"/>
              <w:left w:val="nil"/>
              <w:bottom w:val="nil"/>
              <w:right w:val="nil"/>
            </w:tcBorders>
            <w:noWrap/>
            <w:vAlign w:val="bottom"/>
            <w:hideMark/>
          </w:tcPr>
          <w:p w14:paraId="0CE81A91" w14:textId="77777777" w:rsidR="00411F16" w:rsidRPr="00A553B9" w:rsidRDefault="00411F16" w:rsidP="009E21FB">
            <w:pPr>
              <w:spacing w:after="0"/>
              <w:rPr>
                <w:rFonts w:eastAsia="Times New Roman" w:cs="Arial"/>
                <w:sz w:val="16"/>
                <w:szCs w:val="16"/>
              </w:rPr>
            </w:pPr>
          </w:p>
        </w:tc>
        <w:tc>
          <w:tcPr>
            <w:tcW w:w="978" w:type="dxa"/>
            <w:tcBorders>
              <w:top w:val="nil"/>
              <w:left w:val="nil"/>
              <w:bottom w:val="nil"/>
              <w:right w:val="nil"/>
            </w:tcBorders>
            <w:noWrap/>
            <w:vAlign w:val="bottom"/>
            <w:hideMark/>
          </w:tcPr>
          <w:p w14:paraId="3F4FDC68" w14:textId="77777777" w:rsidR="00411F16" w:rsidRPr="00A553B9" w:rsidRDefault="00411F16" w:rsidP="009E21FB">
            <w:pPr>
              <w:spacing w:after="0"/>
              <w:rPr>
                <w:rFonts w:eastAsia="Times New Roman" w:cs="Arial"/>
                <w:sz w:val="16"/>
                <w:szCs w:val="16"/>
              </w:rPr>
            </w:pPr>
          </w:p>
        </w:tc>
        <w:tc>
          <w:tcPr>
            <w:tcW w:w="236" w:type="dxa"/>
            <w:vAlign w:val="center"/>
            <w:hideMark/>
          </w:tcPr>
          <w:p w14:paraId="75C7504E" w14:textId="77777777" w:rsidR="00411F16" w:rsidRPr="00A553B9" w:rsidRDefault="00411F16" w:rsidP="009E21FB">
            <w:pPr>
              <w:spacing w:after="0"/>
              <w:rPr>
                <w:rFonts w:eastAsia="Times New Roman" w:cs="Arial"/>
                <w:sz w:val="16"/>
                <w:szCs w:val="16"/>
              </w:rPr>
            </w:pPr>
          </w:p>
        </w:tc>
      </w:tr>
      <w:tr w:rsidR="00AE6309" w:rsidRPr="00A553B9" w14:paraId="3AEADED8" w14:textId="77777777" w:rsidTr="007D3DDE">
        <w:trPr>
          <w:trHeight w:val="300"/>
        </w:trPr>
        <w:tc>
          <w:tcPr>
            <w:tcW w:w="2122" w:type="dxa"/>
            <w:tcBorders>
              <w:top w:val="nil"/>
              <w:left w:val="nil"/>
              <w:bottom w:val="nil"/>
              <w:right w:val="nil"/>
            </w:tcBorders>
            <w:noWrap/>
            <w:vAlign w:val="bottom"/>
            <w:hideMark/>
          </w:tcPr>
          <w:p w14:paraId="69186A4C" w14:textId="77777777" w:rsidR="00411F16" w:rsidRPr="00A553B9" w:rsidRDefault="00411F16" w:rsidP="009E21FB">
            <w:pPr>
              <w:spacing w:after="0"/>
              <w:rPr>
                <w:rFonts w:eastAsia="Times New Roman" w:cs="Arial"/>
                <w:sz w:val="16"/>
                <w:szCs w:val="16"/>
              </w:rPr>
            </w:pPr>
          </w:p>
        </w:tc>
        <w:tc>
          <w:tcPr>
            <w:tcW w:w="1559" w:type="dxa"/>
            <w:tcBorders>
              <w:top w:val="nil"/>
              <w:left w:val="nil"/>
              <w:bottom w:val="nil"/>
              <w:right w:val="nil"/>
            </w:tcBorders>
            <w:noWrap/>
            <w:vAlign w:val="bottom"/>
            <w:hideMark/>
          </w:tcPr>
          <w:p w14:paraId="68B2CF08" w14:textId="77777777" w:rsidR="00411F16" w:rsidRPr="00A553B9" w:rsidRDefault="00411F16" w:rsidP="009E21FB">
            <w:pPr>
              <w:spacing w:after="0"/>
              <w:rPr>
                <w:rFonts w:eastAsia="Times New Roman" w:cs="Arial"/>
                <w:sz w:val="16"/>
                <w:szCs w:val="16"/>
              </w:rPr>
            </w:pPr>
          </w:p>
        </w:tc>
        <w:tc>
          <w:tcPr>
            <w:tcW w:w="1417" w:type="dxa"/>
            <w:tcBorders>
              <w:top w:val="nil"/>
              <w:left w:val="nil"/>
              <w:bottom w:val="nil"/>
              <w:right w:val="nil"/>
            </w:tcBorders>
            <w:noWrap/>
            <w:vAlign w:val="bottom"/>
            <w:hideMark/>
          </w:tcPr>
          <w:p w14:paraId="2EBD558D" w14:textId="77777777" w:rsidR="00411F16" w:rsidRPr="00A553B9" w:rsidRDefault="00411F16" w:rsidP="009E21FB">
            <w:pPr>
              <w:spacing w:after="0"/>
              <w:rPr>
                <w:rFonts w:eastAsia="Times New Roman" w:cs="Arial"/>
                <w:sz w:val="16"/>
                <w:szCs w:val="16"/>
              </w:rPr>
            </w:pPr>
          </w:p>
        </w:tc>
        <w:tc>
          <w:tcPr>
            <w:tcW w:w="1422" w:type="dxa"/>
            <w:tcBorders>
              <w:top w:val="nil"/>
              <w:left w:val="nil"/>
              <w:bottom w:val="nil"/>
              <w:right w:val="nil"/>
            </w:tcBorders>
            <w:noWrap/>
            <w:vAlign w:val="bottom"/>
            <w:hideMark/>
          </w:tcPr>
          <w:p w14:paraId="3087CE6D" w14:textId="77777777" w:rsidR="00411F16" w:rsidRPr="00A553B9" w:rsidRDefault="00411F16" w:rsidP="009E21FB">
            <w:pPr>
              <w:spacing w:after="0"/>
              <w:rPr>
                <w:rFonts w:eastAsia="Times New Roman" w:cs="Arial"/>
                <w:sz w:val="16"/>
                <w:szCs w:val="16"/>
              </w:rPr>
            </w:pPr>
          </w:p>
        </w:tc>
        <w:tc>
          <w:tcPr>
            <w:tcW w:w="1055" w:type="dxa"/>
            <w:tcBorders>
              <w:top w:val="nil"/>
              <w:left w:val="nil"/>
              <w:bottom w:val="nil"/>
              <w:right w:val="nil"/>
            </w:tcBorders>
            <w:noWrap/>
            <w:vAlign w:val="bottom"/>
            <w:hideMark/>
          </w:tcPr>
          <w:p w14:paraId="6506FB05" w14:textId="77777777" w:rsidR="00411F16" w:rsidRPr="00A553B9" w:rsidRDefault="00411F16" w:rsidP="009E21FB">
            <w:pPr>
              <w:spacing w:after="0"/>
              <w:rPr>
                <w:rFonts w:eastAsia="Times New Roman" w:cs="Arial"/>
                <w:sz w:val="16"/>
                <w:szCs w:val="16"/>
              </w:rPr>
            </w:pPr>
          </w:p>
        </w:tc>
        <w:tc>
          <w:tcPr>
            <w:tcW w:w="978" w:type="dxa"/>
            <w:tcBorders>
              <w:top w:val="nil"/>
              <w:left w:val="nil"/>
              <w:bottom w:val="nil"/>
              <w:right w:val="nil"/>
            </w:tcBorders>
            <w:noWrap/>
            <w:vAlign w:val="bottom"/>
            <w:hideMark/>
          </w:tcPr>
          <w:p w14:paraId="57D8DD56" w14:textId="77777777" w:rsidR="00411F16" w:rsidRPr="00A553B9" w:rsidRDefault="00411F16" w:rsidP="009E21FB">
            <w:pPr>
              <w:spacing w:after="0"/>
              <w:rPr>
                <w:rFonts w:eastAsia="Times New Roman" w:cs="Arial"/>
                <w:sz w:val="16"/>
                <w:szCs w:val="16"/>
              </w:rPr>
            </w:pPr>
          </w:p>
        </w:tc>
        <w:tc>
          <w:tcPr>
            <w:tcW w:w="978" w:type="dxa"/>
            <w:tcBorders>
              <w:top w:val="nil"/>
              <w:left w:val="nil"/>
              <w:bottom w:val="nil"/>
              <w:right w:val="nil"/>
            </w:tcBorders>
            <w:noWrap/>
            <w:vAlign w:val="bottom"/>
            <w:hideMark/>
          </w:tcPr>
          <w:p w14:paraId="35B00303" w14:textId="77777777" w:rsidR="00411F16" w:rsidRPr="00A553B9" w:rsidRDefault="00411F16" w:rsidP="009E21FB">
            <w:pPr>
              <w:spacing w:after="0"/>
              <w:rPr>
                <w:rFonts w:eastAsia="Times New Roman" w:cs="Arial"/>
                <w:sz w:val="16"/>
                <w:szCs w:val="16"/>
              </w:rPr>
            </w:pPr>
          </w:p>
        </w:tc>
        <w:tc>
          <w:tcPr>
            <w:tcW w:w="236" w:type="dxa"/>
            <w:vAlign w:val="center"/>
            <w:hideMark/>
          </w:tcPr>
          <w:p w14:paraId="3C704A9B" w14:textId="77777777" w:rsidR="00411F16" w:rsidRPr="00A553B9" w:rsidRDefault="00411F16" w:rsidP="009E21FB">
            <w:pPr>
              <w:spacing w:after="0"/>
              <w:rPr>
                <w:rFonts w:eastAsia="Times New Roman" w:cs="Arial"/>
                <w:sz w:val="16"/>
                <w:szCs w:val="16"/>
              </w:rPr>
            </w:pPr>
          </w:p>
        </w:tc>
      </w:tr>
      <w:tr w:rsidR="00AE6309" w:rsidRPr="00A553B9" w14:paraId="41C85A2D" w14:textId="77777777" w:rsidTr="007D3DDE">
        <w:trPr>
          <w:trHeight w:val="300"/>
        </w:trPr>
        <w:tc>
          <w:tcPr>
            <w:tcW w:w="212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73E9B2"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Project C</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7CD93AB6"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Year 0</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34AE4B48"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1</w:t>
            </w:r>
          </w:p>
        </w:tc>
        <w:tc>
          <w:tcPr>
            <w:tcW w:w="1422" w:type="dxa"/>
            <w:tcBorders>
              <w:top w:val="single" w:sz="4" w:space="0" w:color="auto"/>
              <w:left w:val="nil"/>
              <w:bottom w:val="single" w:sz="4" w:space="0" w:color="auto"/>
              <w:right w:val="single" w:sz="4" w:space="0" w:color="auto"/>
            </w:tcBorders>
            <w:shd w:val="clear" w:color="000000" w:fill="FFFFFF"/>
            <w:noWrap/>
            <w:vAlign w:val="bottom"/>
            <w:hideMark/>
          </w:tcPr>
          <w:p w14:paraId="1D8AEA0A"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2</w:t>
            </w:r>
          </w:p>
        </w:tc>
        <w:tc>
          <w:tcPr>
            <w:tcW w:w="1055" w:type="dxa"/>
            <w:tcBorders>
              <w:top w:val="single" w:sz="4" w:space="0" w:color="auto"/>
              <w:left w:val="nil"/>
              <w:bottom w:val="single" w:sz="4" w:space="0" w:color="auto"/>
              <w:right w:val="single" w:sz="4" w:space="0" w:color="auto"/>
            </w:tcBorders>
            <w:shd w:val="clear" w:color="000000" w:fill="FFFFFF"/>
            <w:noWrap/>
            <w:vAlign w:val="bottom"/>
            <w:hideMark/>
          </w:tcPr>
          <w:p w14:paraId="75415626"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3</w:t>
            </w:r>
          </w:p>
        </w:tc>
        <w:tc>
          <w:tcPr>
            <w:tcW w:w="978" w:type="dxa"/>
            <w:tcBorders>
              <w:top w:val="single" w:sz="4" w:space="0" w:color="auto"/>
              <w:left w:val="nil"/>
              <w:bottom w:val="single" w:sz="4" w:space="0" w:color="auto"/>
              <w:right w:val="single" w:sz="4" w:space="0" w:color="auto"/>
            </w:tcBorders>
            <w:shd w:val="clear" w:color="000000" w:fill="FFFFFF"/>
            <w:noWrap/>
            <w:vAlign w:val="bottom"/>
            <w:hideMark/>
          </w:tcPr>
          <w:p w14:paraId="6692EBCF"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4</w:t>
            </w:r>
          </w:p>
        </w:tc>
        <w:tc>
          <w:tcPr>
            <w:tcW w:w="978" w:type="dxa"/>
            <w:tcBorders>
              <w:top w:val="single" w:sz="4" w:space="0" w:color="auto"/>
              <w:left w:val="nil"/>
              <w:bottom w:val="single" w:sz="4" w:space="0" w:color="auto"/>
              <w:right w:val="single" w:sz="4" w:space="0" w:color="auto"/>
            </w:tcBorders>
            <w:shd w:val="clear" w:color="000000" w:fill="FFFFFF"/>
            <w:noWrap/>
            <w:vAlign w:val="bottom"/>
            <w:hideMark/>
          </w:tcPr>
          <w:p w14:paraId="2D6D55B8"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5</w:t>
            </w:r>
          </w:p>
        </w:tc>
        <w:tc>
          <w:tcPr>
            <w:tcW w:w="236" w:type="dxa"/>
            <w:vAlign w:val="center"/>
            <w:hideMark/>
          </w:tcPr>
          <w:p w14:paraId="567E2E70" w14:textId="77777777" w:rsidR="00411F16" w:rsidRPr="00A553B9" w:rsidRDefault="00411F16" w:rsidP="009E21FB">
            <w:pPr>
              <w:spacing w:after="0"/>
              <w:rPr>
                <w:rFonts w:eastAsia="Times New Roman" w:cs="Arial"/>
                <w:sz w:val="16"/>
                <w:szCs w:val="16"/>
              </w:rPr>
            </w:pPr>
          </w:p>
        </w:tc>
      </w:tr>
      <w:tr w:rsidR="00AE6309" w:rsidRPr="00A553B9" w14:paraId="1872490E" w14:textId="77777777" w:rsidTr="007D3DDE">
        <w:trPr>
          <w:trHeight w:val="300"/>
        </w:trPr>
        <w:tc>
          <w:tcPr>
            <w:tcW w:w="2122" w:type="dxa"/>
            <w:tcBorders>
              <w:top w:val="nil"/>
              <w:left w:val="single" w:sz="4" w:space="0" w:color="auto"/>
              <w:bottom w:val="single" w:sz="4" w:space="0" w:color="auto"/>
              <w:right w:val="single" w:sz="4" w:space="0" w:color="auto"/>
            </w:tcBorders>
            <w:shd w:val="clear" w:color="000000" w:fill="FFFFFF"/>
            <w:noWrap/>
            <w:vAlign w:val="bottom"/>
            <w:hideMark/>
          </w:tcPr>
          <w:p w14:paraId="3E3841DF"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Cash Flow ('000)</w:t>
            </w:r>
          </w:p>
        </w:tc>
        <w:tc>
          <w:tcPr>
            <w:tcW w:w="1559" w:type="dxa"/>
            <w:tcBorders>
              <w:top w:val="nil"/>
              <w:left w:val="nil"/>
              <w:bottom w:val="single" w:sz="4" w:space="0" w:color="auto"/>
              <w:right w:val="single" w:sz="4" w:space="0" w:color="auto"/>
            </w:tcBorders>
            <w:shd w:val="clear" w:color="000000" w:fill="FFFFFF"/>
            <w:noWrap/>
            <w:vAlign w:val="bottom"/>
            <w:hideMark/>
          </w:tcPr>
          <w:p w14:paraId="0F43D378"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81452B3"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5,000.00 </w:t>
            </w:r>
          </w:p>
        </w:tc>
        <w:tc>
          <w:tcPr>
            <w:tcW w:w="1422" w:type="dxa"/>
            <w:tcBorders>
              <w:top w:val="nil"/>
              <w:left w:val="nil"/>
              <w:bottom w:val="single" w:sz="4" w:space="0" w:color="auto"/>
              <w:right w:val="single" w:sz="4" w:space="0" w:color="auto"/>
            </w:tcBorders>
            <w:shd w:val="clear" w:color="000000" w:fill="FFFFFF"/>
            <w:noWrap/>
            <w:vAlign w:val="bottom"/>
            <w:hideMark/>
          </w:tcPr>
          <w:p w14:paraId="7EB56807"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10,000.00 </w:t>
            </w:r>
          </w:p>
        </w:tc>
        <w:tc>
          <w:tcPr>
            <w:tcW w:w="1055" w:type="dxa"/>
            <w:tcBorders>
              <w:top w:val="nil"/>
              <w:left w:val="nil"/>
              <w:bottom w:val="single" w:sz="4" w:space="0" w:color="auto"/>
              <w:right w:val="single" w:sz="4" w:space="0" w:color="auto"/>
            </w:tcBorders>
            <w:shd w:val="clear" w:color="000000" w:fill="FFFFFF"/>
            <w:noWrap/>
            <w:vAlign w:val="bottom"/>
            <w:hideMark/>
          </w:tcPr>
          <w:p w14:paraId="1064CDEE"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20,000.00 </w:t>
            </w:r>
          </w:p>
        </w:tc>
        <w:tc>
          <w:tcPr>
            <w:tcW w:w="978" w:type="dxa"/>
            <w:tcBorders>
              <w:top w:val="nil"/>
              <w:left w:val="nil"/>
              <w:bottom w:val="single" w:sz="4" w:space="0" w:color="auto"/>
              <w:right w:val="single" w:sz="4" w:space="0" w:color="auto"/>
            </w:tcBorders>
            <w:shd w:val="clear" w:color="000000" w:fill="FFFFFF"/>
            <w:noWrap/>
            <w:vAlign w:val="bottom"/>
            <w:hideMark/>
          </w:tcPr>
          <w:p w14:paraId="063CE0D5"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£ 25,000.00 </w:t>
            </w:r>
          </w:p>
        </w:tc>
        <w:tc>
          <w:tcPr>
            <w:tcW w:w="978" w:type="dxa"/>
            <w:tcBorders>
              <w:top w:val="nil"/>
              <w:left w:val="nil"/>
              <w:bottom w:val="single" w:sz="4" w:space="0" w:color="auto"/>
              <w:right w:val="single" w:sz="4" w:space="0" w:color="auto"/>
            </w:tcBorders>
            <w:shd w:val="clear" w:color="000000" w:fill="FFFFFF"/>
            <w:noWrap/>
            <w:vAlign w:val="bottom"/>
            <w:hideMark/>
          </w:tcPr>
          <w:p w14:paraId="6889F5C9" w14:textId="77777777" w:rsidR="00411F16" w:rsidRPr="00A553B9" w:rsidRDefault="00411F16" w:rsidP="009E21FB">
            <w:pPr>
              <w:spacing w:after="0"/>
              <w:rPr>
                <w:rFonts w:eastAsia="Times New Roman" w:cs="Arial"/>
                <w:sz w:val="16"/>
                <w:szCs w:val="16"/>
              </w:rPr>
            </w:pPr>
            <w:r w:rsidRPr="00A553B9">
              <w:rPr>
                <w:rFonts w:eastAsia="Times New Roman" w:cs="Arial"/>
                <w:sz w:val="16"/>
                <w:szCs w:val="16"/>
              </w:rPr>
              <w:t xml:space="preserve"> £  5,000.00 </w:t>
            </w:r>
          </w:p>
        </w:tc>
        <w:tc>
          <w:tcPr>
            <w:tcW w:w="236" w:type="dxa"/>
            <w:vAlign w:val="center"/>
            <w:hideMark/>
          </w:tcPr>
          <w:p w14:paraId="0FA718E2" w14:textId="77777777" w:rsidR="00411F16" w:rsidRPr="00A553B9" w:rsidRDefault="00411F16" w:rsidP="009E21FB">
            <w:pPr>
              <w:spacing w:after="0"/>
              <w:rPr>
                <w:rFonts w:eastAsia="Times New Roman" w:cs="Arial"/>
                <w:sz w:val="16"/>
                <w:szCs w:val="16"/>
              </w:rPr>
            </w:pPr>
          </w:p>
        </w:tc>
      </w:tr>
      <w:tr w:rsidR="00AE6309" w:rsidRPr="00A553B9" w14:paraId="411F0AEC" w14:textId="77777777" w:rsidTr="007D3DDE">
        <w:trPr>
          <w:trHeight w:val="300"/>
        </w:trPr>
        <w:tc>
          <w:tcPr>
            <w:tcW w:w="2122"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3696557"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 xml:space="preserve">Present Value </w:t>
            </w:r>
          </w:p>
        </w:tc>
        <w:tc>
          <w:tcPr>
            <w:tcW w:w="1559"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2D61B0D8"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50,000.00 </w:t>
            </w:r>
          </w:p>
        </w:tc>
        <w:tc>
          <w:tcPr>
            <w:tcW w:w="1417"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17CA1A39"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4,545.45 </w:t>
            </w:r>
          </w:p>
        </w:tc>
        <w:tc>
          <w:tcPr>
            <w:tcW w:w="1422"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3F5CC8AF"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8,264.46 </w:t>
            </w:r>
          </w:p>
        </w:tc>
        <w:tc>
          <w:tcPr>
            <w:tcW w:w="1055"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658BC274"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15,026.30 </w:t>
            </w:r>
          </w:p>
        </w:tc>
        <w:tc>
          <w:tcPr>
            <w:tcW w:w="978"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3DAFD706"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£ 17,075.34 </w:t>
            </w:r>
          </w:p>
        </w:tc>
        <w:tc>
          <w:tcPr>
            <w:tcW w:w="978"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14:paraId="1DD8D6D3" w14:textId="77777777" w:rsidR="00411F16" w:rsidRPr="00A553B9" w:rsidRDefault="00411F16" w:rsidP="009E21FB">
            <w:pPr>
              <w:spacing w:after="0"/>
              <w:jc w:val="center"/>
              <w:rPr>
                <w:rFonts w:eastAsia="Times New Roman" w:cs="Arial"/>
                <w:sz w:val="16"/>
                <w:szCs w:val="16"/>
              </w:rPr>
            </w:pPr>
            <w:r w:rsidRPr="00A553B9">
              <w:rPr>
                <w:rFonts w:eastAsia="Times New Roman" w:cs="Arial"/>
                <w:sz w:val="16"/>
                <w:szCs w:val="16"/>
              </w:rPr>
              <w:t xml:space="preserve"> £  3,104.61 </w:t>
            </w:r>
          </w:p>
        </w:tc>
        <w:tc>
          <w:tcPr>
            <w:tcW w:w="236" w:type="dxa"/>
            <w:vAlign w:val="center"/>
            <w:hideMark/>
          </w:tcPr>
          <w:p w14:paraId="22B627BC" w14:textId="77777777" w:rsidR="00411F16" w:rsidRPr="00A553B9" w:rsidRDefault="00411F16" w:rsidP="009E21FB">
            <w:pPr>
              <w:spacing w:after="0"/>
              <w:rPr>
                <w:rFonts w:eastAsia="Times New Roman" w:cs="Arial"/>
                <w:sz w:val="16"/>
                <w:szCs w:val="16"/>
              </w:rPr>
            </w:pPr>
          </w:p>
        </w:tc>
      </w:tr>
      <w:tr w:rsidR="00AE6309" w:rsidRPr="00A553B9" w14:paraId="5165C061" w14:textId="77777777" w:rsidTr="007D3DDE">
        <w:trPr>
          <w:trHeight w:val="300"/>
        </w:trPr>
        <w:tc>
          <w:tcPr>
            <w:tcW w:w="2122" w:type="dxa"/>
            <w:vMerge/>
            <w:tcBorders>
              <w:top w:val="nil"/>
              <w:left w:val="single" w:sz="4" w:space="0" w:color="auto"/>
              <w:bottom w:val="single" w:sz="4" w:space="0" w:color="000000"/>
              <w:right w:val="single" w:sz="4" w:space="0" w:color="auto"/>
            </w:tcBorders>
            <w:vAlign w:val="center"/>
            <w:hideMark/>
          </w:tcPr>
          <w:p w14:paraId="5EF2DF57" w14:textId="77777777" w:rsidR="00411F16" w:rsidRPr="00A553B9" w:rsidRDefault="00411F16" w:rsidP="009E21FB">
            <w:pPr>
              <w:spacing w:after="0"/>
              <w:rPr>
                <w:rFonts w:eastAsia="Times New Roman" w:cs="Arial"/>
                <w:b/>
                <w:bCs/>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14:paraId="266F041E" w14:textId="77777777" w:rsidR="00411F16" w:rsidRPr="00A553B9" w:rsidRDefault="00411F16" w:rsidP="009E21FB">
            <w:pPr>
              <w:spacing w:after="0"/>
              <w:rPr>
                <w:rFonts w:eastAsia="Times New Roman"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0BFDC1E0" w14:textId="77777777" w:rsidR="00411F16" w:rsidRPr="00A553B9" w:rsidRDefault="00411F16" w:rsidP="009E21FB">
            <w:pPr>
              <w:spacing w:after="0"/>
              <w:rPr>
                <w:rFonts w:eastAsia="Times New Roman" w:cs="Arial"/>
                <w:sz w:val="16"/>
                <w:szCs w:val="16"/>
              </w:rPr>
            </w:pPr>
          </w:p>
        </w:tc>
        <w:tc>
          <w:tcPr>
            <w:tcW w:w="1422" w:type="dxa"/>
            <w:vMerge/>
            <w:tcBorders>
              <w:top w:val="nil"/>
              <w:left w:val="single" w:sz="4" w:space="0" w:color="auto"/>
              <w:bottom w:val="single" w:sz="4" w:space="0" w:color="000000"/>
              <w:right w:val="single" w:sz="4" w:space="0" w:color="auto"/>
            </w:tcBorders>
            <w:vAlign w:val="center"/>
            <w:hideMark/>
          </w:tcPr>
          <w:p w14:paraId="21037316" w14:textId="77777777" w:rsidR="00411F16" w:rsidRPr="00A553B9" w:rsidRDefault="00411F16" w:rsidP="009E21FB">
            <w:pPr>
              <w:spacing w:after="0"/>
              <w:rPr>
                <w:rFonts w:eastAsia="Times New Roman" w:cs="Arial"/>
                <w:sz w:val="16"/>
                <w:szCs w:val="16"/>
              </w:rPr>
            </w:pPr>
          </w:p>
        </w:tc>
        <w:tc>
          <w:tcPr>
            <w:tcW w:w="1055" w:type="dxa"/>
            <w:vMerge/>
            <w:tcBorders>
              <w:top w:val="nil"/>
              <w:left w:val="single" w:sz="4" w:space="0" w:color="auto"/>
              <w:bottom w:val="single" w:sz="4" w:space="0" w:color="000000"/>
              <w:right w:val="single" w:sz="4" w:space="0" w:color="auto"/>
            </w:tcBorders>
            <w:vAlign w:val="center"/>
            <w:hideMark/>
          </w:tcPr>
          <w:p w14:paraId="1C62DC20" w14:textId="77777777" w:rsidR="00411F16" w:rsidRPr="00A553B9" w:rsidRDefault="00411F16" w:rsidP="009E21FB">
            <w:pPr>
              <w:spacing w:after="0"/>
              <w:rPr>
                <w:rFonts w:eastAsia="Times New Roman" w:cs="Arial"/>
                <w:sz w:val="16"/>
                <w:szCs w:val="16"/>
              </w:rPr>
            </w:pPr>
          </w:p>
        </w:tc>
        <w:tc>
          <w:tcPr>
            <w:tcW w:w="978" w:type="dxa"/>
            <w:vMerge/>
            <w:tcBorders>
              <w:top w:val="nil"/>
              <w:left w:val="single" w:sz="4" w:space="0" w:color="auto"/>
              <w:bottom w:val="single" w:sz="4" w:space="0" w:color="000000"/>
              <w:right w:val="single" w:sz="4" w:space="0" w:color="auto"/>
            </w:tcBorders>
            <w:vAlign w:val="center"/>
            <w:hideMark/>
          </w:tcPr>
          <w:p w14:paraId="17A375E5" w14:textId="77777777" w:rsidR="00411F16" w:rsidRPr="00A553B9" w:rsidRDefault="00411F16" w:rsidP="009E21FB">
            <w:pPr>
              <w:spacing w:after="0"/>
              <w:rPr>
                <w:rFonts w:eastAsia="Times New Roman" w:cs="Arial"/>
                <w:sz w:val="16"/>
                <w:szCs w:val="16"/>
              </w:rPr>
            </w:pPr>
          </w:p>
        </w:tc>
        <w:tc>
          <w:tcPr>
            <w:tcW w:w="978" w:type="dxa"/>
            <w:vMerge/>
            <w:tcBorders>
              <w:top w:val="nil"/>
              <w:left w:val="single" w:sz="4" w:space="0" w:color="auto"/>
              <w:bottom w:val="single" w:sz="4" w:space="0" w:color="000000"/>
              <w:right w:val="single" w:sz="4" w:space="0" w:color="auto"/>
            </w:tcBorders>
            <w:vAlign w:val="center"/>
            <w:hideMark/>
          </w:tcPr>
          <w:p w14:paraId="74EE837E" w14:textId="77777777" w:rsidR="00411F16" w:rsidRPr="00A553B9" w:rsidRDefault="00411F16" w:rsidP="009E21FB">
            <w:pPr>
              <w:spacing w:after="0"/>
              <w:rPr>
                <w:rFonts w:eastAsia="Times New Roman" w:cs="Arial"/>
                <w:sz w:val="16"/>
                <w:szCs w:val="16"/>
              </w:rPr>
            </w:pPr>
          </w:p>
        </w:tc>
        <w:tc>
          <w:tcPr>
            <w:tcW w:w="236" w:type="dxa"/>
            <w:tcBorders>
              <w:top w:val="nil"/>
              <w:left w:val="nil"/>
              <w:bottom w:val="nil"/>
              <w:right w:val="nil"/>
            </w:tcBorders>
            <w:noWrap/>
            <w:vAlign w:val="bottom"/>
            <w:hideMark/>
          </w:tcPr>
          <w:p w14:paraId="7D37668A" w14:textId="77777777" w:rsidR="00411F16" w:rsidRPr="00A553B9" w:rsidRDefault="00411F16" w:rsidP="009E21FB">
            <w:pPr>
              <w:spacing w:after="0"/>
              <w:jc w:val="center"/>
              <w:rPr>
                <w:rFonts w:eastAsia="Times New Roman" w:cs="Arial"/>
                <w:sz w:val="16"/>
                <w:szCs w:val="16"/>
              </w:rPr>
            </w:pPr>
          </w:p>
        </w:tc>
      </w:tr>
      <w:tr w:rsidR="00AE6309" w:rsidRPr="00A553B9" w14:paraId="3223690A" w14:textId="77777777" w:rsidTr="00411F16">
        <w:trPr>
          <w:trHeight w:val="390"/>
        </w:trPr>
        <w:tc>
          <w:tcPr>
            <w:tcW w:w="2122" w:type="dxa"/>
            <w:tcBorders>
              <w:top w:val="nil"/>
              <w:left w:val="single" w:sz="4" w:space="0" w:color="auto"/>
              <w:bottom w:val="single" w:sz="4" w:space="0" w:color="auto"/>
              <w:right w:val="single" w:sz="4" w:space="0" w:color="auto"/>
            </w:tcBorders>
            <w:shd w:val="clear" w:color="000000" w:fill="FFFFFF"/>
            <w:noWrap/>
            <w:vAlign w:val="center"/>
            <w:hideMark/>
          </w:tcPr>
          <w:p w14:paraId="47923A01"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NPV</w:t>
            </w:r>
          </w:p>
        </w:tc>
        <w:tc>
          <w:tcPr>
            <w:tcW w:w="7409" w:type="dxa"/>
            <w:gridSpan w:val="6"/>
            <w:tcBorders>
              <w:top w:val="single" w:sz="4" w:space="0" w:color="auto"/>
              <w:left w:val="nil"/>
              <w:bottom w:val="single" w:sz="4" w:space="0" w:color="auto"/>
              <w:right w:val="single" w:sz="4" w:space="0" w:color="000000"/>
            </w:tcBorders>
            <w:shd w:val="clear" w:color="000000" w:fill="FFFFFF"/>
            <w:vAlign w:val="bottom"/>
            <w:hideMark/>
          </w:tcPr>
          <w:p w14:paraId="4FC8205D"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xml:space="preserve">-£                                                                                              1,983.84 </w:t>
            </w:r>
          </w:p>
        </w:tc>
        <w:tc>
          <w:tcPr>
            <w:tcW w:w="236" w:type="dxa"/>
            <w:vAlign w:val="center"/>
            <w:hideMark/>
          </w:tcPr>
          <w:p w14:paraId="4B8E6E1F" w14:textId="77777777" w:rsidR="00411F16" w:rsidRPr="00A553B9" w:rsidRDefault="00411F16" w:rsidP="009E21FB">
            <w:pPr>
              <w:spacing w:after="0"/>
              <w:rPr>
                <w:rFonts w:eastAsia="Times New Roman" w:cs="Arial"/>
                <w:sz w:val="16"/>
                <w:szCs w:val="16"/>
              </w:rPr>
            </w:pPr>
          </w:p>
        </w:tc>
      </w:tr>
      <w:tr w:rsidR="00AE6309" w:rsidRPr="00A553B9" w14:paraId="4F5859D4" w14:textId="77777777" w:rsidTr="007D3DDE">
        <w:trPr>
          <w:trHeight w:val="390"/>
        </w:trPr>
        <w:tc>
          <w:tcPr>
            <w:tcW w:w="2122" w:type="dxa"/>
            <w:tcBorders>
              <w:top w:val="nil"/>
              <w:left w:val="single" w:sz="4" w:space="0" w:color="auto"/>
              <w:bottom w:val="single" w:sz="4" w:space="0" w:color="auto"/>
              <w:right w:val="single" w:sz="4" w:space="0" w:color="auto"/>
            </w:tcBorders>
            <w:shd w:val="clear" w:color="000000" w:fill="00B050"/>
            <w:noWrap/>
            <w:vAlign w:val="center"/>
            <w:hideMark/>
          </w:tcPr>
          <w:p w14:paraId="13816CF1"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Sum of Present Value of future Cashflow</w:t>
            </w:r>
          </w:p>
        </w:tc>
        <w:tc>
          <w:tcPr>
            <w:tcW w:w="1559" w:type="dxa"/>
            <w:tcBorders>
              <w:top w:val="nil"/>
              <w:left w:val="nil"/>
              <w:bottom w:val="single" w:sz="4" w:space="0" w:color="auto"/>
              <w:right w:val="single" w:sz="4" w:space="0" w:color="auto"/>
            </w:tcBorders>
            <w:shd w:val="clear" w:color="000000" w:fill="00B050"/>
            <w:vAlign w:val="bottom"/>
            <w:hideMark/>
          </w:tcPr>
          <w:p w14:paraId="673D17E4"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xml:space="preserve"> £      48,016.16 </w:t>
            </w:r>
          </w:p>
        </w:tc>
        <w:tc>
          <w:tcPr>
            <w:tcW w:w="1417" w:type="dxa"/>
            <w:tcBorders>
              <w:top w:val="nil"/>
              <w:left w:val="nil"/>
              <w:bottom w:val="nil"/>
              <w:right w:val="nil"/>
            </w:tcBorders>
            <w:shd w:val="clear" w:color="000000" w:fill="FFFFFF"/>
            <w:vAlign w:val="bottom"/>
            <w:hideMark/>
          </w:tcPr>
          <w:p w14:paraId="2DCA6477"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422" w:type="dxa"/>
            <w:tcBorders>
              <w:top w:val="nil"/>
              <w:left w:val="nil"/>
              <w:bottom w:val="nil"/>
              <w:right w:val="nil"/>
            </w:tcBorders>
            <w:shd w:val="clear" w:color="000000" w:fill="FFFFFF"/>
            <w:vAlign w:val="bottom"/>
            <w:hideMark/>
          </w:tcPr>
          <w:p w14:paraId="487CEC84"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055" w:type="dxa"/>
            <w:tcBorders>
              <w:top w:val="nil"/>
              <w:left w:val="nil"/>
              <w:bottom w:val="nil"/>
              <w:right w:val="nil"/>
            </w:tcBorders>
            <w:shd w:val="clear" w:color="000000" w:fill="FFFFFF"/>
            <w:vAlign w:val="bottom"/>
            <w:hideMark/>
          </w:tcPr>
          <w:p w14:paraId="7B8A6222"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06E3BEEC"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6A200DEB"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236" w:type="dxa"/>
            <w:vAlign w:val="center"/>
            <w:hideMark/>
          </w:tcPr>
          <w:p w14:paraId="6AC2D453" w14:textId="77777777" w:rsidR="00411F16" w:rsidRPr="00A553B9" w:rsidRDefault="00411F16" w:rsidP="009E21FB">
            <w:pPr>
              <w:spacing w:after="0"/>
              <w:rPr>
                <w:rFonts w:eastAsia="Times New Roman" w:cs="Arial"/>
                <w:sz w:val="16"/>
                <w:szCs w:val="16"/>
              </w:rPr>
            </w:pPr>
          </w:p>
        </w:tc>
      </w:tr>
      <w:tr w:rsidR="00AE6309" w:rsidRPr="00A553B9" w14:paraId="629D6CD0" w14:textId="77777777" w:rsidTr="007D3DDE">
        <w:trPr>
          <w:trHeight w:val="390"/>
        </w:trPr>
        <w:tc>
          <w:tcPr>
            <w:tcW w:w="2122" w:type="dxa"/>
            <w:tcBorders>
              <w:top w:val="nil"/>
              <w:left w:val="single" w:sz="4" w:space="0" w:color="auto"/>
              <w:bottom w:val="single" w:sz="4" w:space="0" w:color="auto"/>
              <w:right w:val="single" w:sz="4" w:space="0" w:color="auto"/>
            </w:tcBorders>
            <w:shd w:val="clear" w:color="000000" w:fill="00B050"/>
            <w:noWrap/>
            <w:vAlign w:val="center"/>
            <w:hideMark/>
          </w:tcPr>
          <w:p w14:paraId="0B7B0684"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Initial Cost of Project 1</w:t>
            </w:r>
          </w:p>
        </w:tc>
        <w:tc>
          <w:tcPr>
            <w:tcW w:w="1559" w:type="dxa"/>
            <w:tcBorders>
              <w:top w:val="nil"/>
              <w:left w:val="nil"/>
              <w:bottom w:val="single" w:sz="4" w:space="0" w:color="auto"/>
              <w:right w:val="single" w:sz="4" w:space="0" w:color="auto"/>
            </w:tcBorders>
            <w:shd w:val="clear" w:color="000000" w:fill="00B050"/>
            <w:vAlign w:val="bottom"/>
            <w:hideMark/>
          </w:tcPr>
          <w:p w14:paraId="09B5AA08"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xml:space="preserve"> £      50,000.00 </w:t>
            </w:r>
          </w:p>
        </w:tc>
        <w:tc>
          <w:tcPr>
            <w:tcW w:w="1417" w:type="dxa"/>
            <w:tcBorders>
              <w:top w:val="nil"/>
              <w:left w:val="nil"/>
              <w:bottom w:val="nil"/>
              <w:right w:val="nil"/>
            </w:tcBorders>
            <w:shd w:val="clear" w:color="000000" w:fill="FFFFFF"/>
            <w:vAlign w:val="bottom"/>
            <w:hideMark/>
          </w:tcPr>
          <w:p w14:paraId="1948B19A"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422" w:type="dxa"/>
            <w:tcBorders>
              <w:top w:val="nil"/>
              <w:left w:val="nil"/>
              <w:bottom w:val="nil"/>
              <w:right w:val="nil"/>
            </w:tcBorders>
            <w:shd w:val="clear" w:color="000000" w:fill="FFFFFF"/>
            <w:vAlign w:val="bottom"/>
            <w:hideMark/>
          </w:tcPr>
          <w:p w14:paraId="14D2195F"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055" w:type="dxa"/>
            <w:tcBorders>
              <w:top w:val="nil"/>
              <w:left w:val="nil"/>
              <w:bottom w:val="nil"/>
              <w:right w:val="nil"/>
            </w:tcBorders>
            <w:shd w:val="clear" w:color="000000" w:fill="FFFFFF"/>
            <w:vAlign w:val="bottom"/>
            <w:hideMark/>
          </w:tcPr>
          <w:p w14:paraId="5B23FC5F"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0E959E75"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1CECAF18"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236" w:type="dxa"/>
            <w:vAlign w:val="center"/>
            <w:hideMark/>
          </w:tcPr>
          <w:p w14:paraId="3F05F539" w14:textId="77777777" w:rsidR="00411F16" w:rsidRPr="00A553B9" w:rsidRDefault="00411F16" w:rsidP="009E21FB">
            <w:pPr>
              <w:spacing w:after="0"/>
              <w:rPr>
                <w:rFonts w:eastAsia="Times New Roman" w:cs="Arial"/>
                <w:sz w:val="16"/>
                <w:szCs w:val="16"/>
              </w:rPr>
            </w:pPr>
          </w:p>
        </w:tc>
      </w:tr>
      <w:tr w:rsidR="00AE6309" w:rsidRPr="00A553B9" w14:paraId="11908427" w14:textId="77777777" w:rsidTr="007D3DDE">
        <w:trPr>
          <w:trHeight w:val="390"/>
        </w:trPr>
        <w:tc>
          <w:tcPr>
            <w:tcW w:w="2122" w:type="dxa"/>
            <w:tcBorders>
              <w:top w:val="nil"/>
              <w:left w:val="single" w:sz="4" w:space="0" w:color="auto"/>
              <w:bottom w:val="single" w:sz="4" w:space="0" w:color="auto"/>
              <w:right w:val="single" w:sz="4" w:space="0" w:color="auto"/>
            </w:tcBorders>
            <w:shd w:val="clear" w:color="000000" w:fill="00B050"/>
            <w:noWrap/>
            <w:vAlign w:val="center"/>
            <w:hideMark/>
          </w:tcPr>
          <w:p w14:paraId="4C6450FC"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Profitability Index</w:t>
            </w:r>
          </w:p>
        </w:tc>
        <w:tc>
          <w:tcPr>
            <w:tcW w:w="1559" w:type="dxa"/>
            <w:tcBorders>
              <w:top w:val="nil"/>
              <w:left w:val="nil"/>
              <w:bottom w:val="single" w:sz="4" w:space="0" w:color="auto"/>
              <w:right w:val="single" w:sz="4" w:space="0" w:color="auto"/>
            </w:tcBorders>
            <w:shd w:val="clear" w:color="000000" w:fill="00B050"/>
            <w:vAlign w:val="bottom"/>
            <w:hideMark/>
          </w:tcPr>
          <w:p w14:paraId="3F83C331"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0.9603</w:t>
            </w:r>
          </w:p>
        </w:tc>
        <w:tc>
          <w:tcPr>
            <w:tcW w:w="1417" w:type="dxa"/>
            <w:tcBorders>
              <w:top w:val="nil"/>
              <w:left w:val="nil"/>
              <w:bottom w:val="nil"/>
              <w:right w:val="nil"/>
            </w:tcBorders>
            <w:shd w:val="clear" w:color="000000" w:fill="FFFFFF"/>
            <w:vAlign w:val="bottom"/>
            <w:hideMark/>
          </w:tcPr>
          <w:p w14:paraId="3CE3FB01"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422" w:type="dxa"/>
            <w:tcBorders>
              <w:top w:val="nil"/>
              <w:left w:val="nil"/>
              <w:bottom w:val="nil"/>
              <w:right w:val="nil"/>
            </w:tcBorders>
            <w:shd w:val="clear" w:color="000000" w:fill="FFFFFF"/>
            <w:vAlign w:val="bottom"/>
            <w:hideMark/>
          </w:tcPr>
          <w:p w14:paraId="112124CA"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1055" w:type="dxa"/>
            <w:tcBorders>
              <w:top w:val="nil"/>
              <w:left w:val="nil"/>
              <w:bottom w:val="nil"/>
              <w:right w:val="nil"/>
            </w:tcBorders>
            <w:shd w:val="clear" w:color="000000" w:fill="FFFFFF"/>
            <w:vAlign w:val="bottom"/>
            <w:hideMark/>
          </w:tcPr>
          <w:p w14:paraId="3F8D218A"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244C81E7"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978" w:type="dxa"/>
            <w:tcBorders>
              <w:top w:val="nil"/>
              <w:left w:val="nil"/>
              <w:bottom w:val="nil"/>
              <w:right w:val="nil"/>
            </w:tcBorders>
            <w:shd w:val="clear" w:color="000000" w:fill="FFFFFF"/>
            <w:vAlign w:val="bottom"/>
            <w:hideMark/>
          </w:tcPr>
          <w:p w14:paraId="26203B6F"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 </w:t>
            </w:r>
          </w:p>
        </w:tc>
        <w:tc>
          <w:tcPr>
            <w:tcW w:w="236" w:type="dxa"/>
            <w:vAlign w:val="center"/>
            <w:hideMark/>
          </w:tcPr>
          <w:p w14:paraId="3D94D3DC" w14:textId="77777777" w:rsidR="00411F16" w:rsidRPr="00A553B9" w:rsidRDefault="00411F16" w:rsidP="009E21FB">
            <w:pPr>
              <w:spacing w:after="0"/>
              <w:rPr>
                <w:rFonts w:eastAsia="Times New Roman" w:cs="Arial"/>
                <w:sz w:val="16"/>
                <w:szCs w:val="16"/>
              </w:rPr>
            </w:pPr>
          </w:p>
        </w:tc>
      </w:tr>
      <w:tr w:rsidR="00AE6309" w:rsidRPr="00A553B9" w14:paraId="7C971C2D" w14:textId="77777777" w:rsidTr="007D3DDE">
        <w:trPr>
          <w:trHeight w:val="390"/>
        </w:trPr>
        <w:tc>
          <w:tcPr>
            <w:tcW w:w="2122" w:type="dxa"/>
            <w:tcBorders>
              <w:top w:val="nil"/>
              <w:left w:val="single" w:sz="4" w:space="0" w:color="auto"/>
              <w:bottom w:val="single" w:sz="4" w:space="0" w:color="auto"/>
              <w:right w:val="single" w:sz="4" w:space="0" w:color="auto"/>
            </w:tcBorders>
            <w:shd w:val="clear" w:color="000000" w:fill="00B050"/>
            <w:noWrap/>
            <w:vAlign w:val="center"/>
            <w:hideMark/>
          </w:tcPr>
          <w:p w14:paraId="702A8EDA" w14:textId="77777777" w:rsidR="00411F16" w:rsidRPr="00A553B9" w:rsidRDefault="00411F16" w:rsidP="009E21FB">
            <w:pPr>
              <w:spacing w:after="0"/>
              <w:rPr>
                <w:rFonts w:eastAsia="Times New Roman" w:cs="Arial"/>
                <w:b/>
                <w:bCs/>
                <w:sz w:val="16"/>
                <w:szCs w:val="16"/>
              </w:rPr>
            </w:pPr>
            <w:r w:rsidRPr="00A553B9">
              <w:rPr>
                <w:rFonts w:eastAsia="Times New Roman" w:cs="Arial"/>
                <w:b/>
                <w:bCs/>
                <w:sz w:val="16"/>
                <w:szCs w:val="16"/>
              </w:rPr>
              <w:t>IRR</w:t>
            </w:r>
          </w:p>
        </w:tc>
        <w:tc>
          <w:tcPr>
            <w:tcW w:w="1559" w:type="dxa"/>
            <w:tcBorders>
              <w:top w:val="nil"/>
              <w:left w:val="nil"/>
              <w:bottom w:val="single" w:sz="4" w:space="0" w:color="auto"/>
              <w:right w:val="single" w:sz="4" w:space="0" w:color="auto"/>
            </w:tcBorders>
            <w:shd w:val="clear" w:color="000000" w:fill="00B050"/>
            <w:vAlign w:val="bottom"/>
            <w:hideMark/>
          </w:tcPr>
          <w:p w14:paraId="2BB7345D" w14:textId="77777777" w:rsidR="00411F16" w:rsidRPr="00A553B9" w:rsidRDefault="00411F16" w:rsidP="009E21FB">
            <w:pPr>
              <w:spacing w:after="0"/>
              <w:jc w:val="center"/>
              <w:rPr>
                <w:rFonts w:eastAsia="Times New Roman" w:cs="Arial"/>
                <w:b/>
                <w:bCs/>
                <w:sz w:val="16"/>
                <w:szCs w:val="16"/>
              </w:rPr>
            </w:pPr>
            <w:r w:rsidRPr="00A553B9">
              <w:rPr>
                <w:rFonts w:eastAsia="Times New Roman" w:cs="Arial"/>
                <w:b/>
                <w:bCs/>
                <w:sz w:val="16"/>
                <w:szCs w:val="16"/>
              </w:rPr>
              <w:t>1.28%</w:t>
            </w:r>
          </w:p>
        </w:tc>
        <w:tc>
          <w:tcPr>
            <w:tcW w:w="1417" w:type="dxa"/>
            <w:tcBorders>
              <w:top w:val="nil"/>
              <w:left w:val="nil"/>
              <w:bottom w:val="nil"/>
              <w:right w:val="nil"/>
            </w:tcBorders>
            <w:noWrap/>
            <w:vAlign w:val="bottom"/>
            <w:hideMark/>
          </w:tcPr>
          <w:p w14:paraId="2E608E4E" w14:textId="77777777" w:rsidR="00411F16" w:rsidRPr="00A553B9" w:rsidRDefault="00411F16" w:rsidP="009E21FB">
            <w:pPr>
              <w:spacing w:after="0"/>
              <w:jc w:val="center"/>
              <w:rPr>
                <w:rFonts w:eastAsia="Times New Roman" w:cs="Arial"/>
                <w:b/>
                <w:bCs/>
                <w:sz w:val="16"/>
                <w:szCs w:val="16"/>
              </w:rPr>
            </w:pPr>
          </w:p>
        </w:tc>
        <w:tc>
          <w:tcPr>
            <w:tcW w:w="1422" w:type="dxa"/>
            <w:tcBorders>
              <w:top w:val="nil"/>
              <w:left w:val="nil"/>
              <w:bottom w:val="nil"/>
              <w:right w:val="nil"/>
            </w:tcBorders>
            <w:noWrap/>
            <w:vAlign w:val="bottom"/>
            <w:hideMark/>
          </w:tcPr>
          <w:p w14:paraId="49401ADB" w14:textId="77777777" w:rsidR="00411F16" w:rsidRPr="00A553B9" w:rsidRDefault="00411F16" w:rsidP="009E21FB">
            <w:pPr>
              <w:spacing w:after="0"/>
              <w:rPr>
                <w:rFonts w:eastAsia="Times New Roman" w:cs="Arial"/>
                <w:sz w:val="16"/>
                <w:szCs w:val="16"/>
              </w:rPr>
            </w:pPr>
          </w:p>
        </w:tc>
        <w:tc>
          <w:tcPr>
            <w:tcW w:w="1055" w:type="dxa"/>
            <w:tcBorders>
              <w:top w:val="nil"/>
              <w:left w:val="nil"/>
              <w:bottom w:val="nil"/>
              <w:right w:val="nil"/>
            </w:tcBorders>
            <w:noWrap/>
            <w:vAlign w:val="bottom"/>
            <w:hideMark/>
          </w:tcPr>
          <w:p w14:paraId="3B531934" w14:textId="77777777" w:rsidR="00411F16" w:rsidRPr="00A553B9" w:rsidRDefault="00411F16" w:rsidP="009E21FB">
            <w:pPr>
              <w:spacing w:after="0"/>
              <w:rPr>
                <w:rFonts w:eastAsia="Times New Roman" w:cs="Arial"/>
                <w:sz w:val="16"/>
                <w:szCs w:val="16"/>
              </w:rPr>
            </w:pPr>
          </w:p>
        </w:tc>
        <w:tc>
          <w:tcPr>
            <w:tcW w:w="978" w:type="dxa"/>
            <w:tcBorders>
              <w:top w:val="nil"/>
              <w:left w:val="nil"/>
              <w:bottom w:val="nil"/>
              <w:right w:val="nil"/>
            </w:tcBorders>
            <w:noWrap/>
            <w:vAlign w:val="bottom"/>
            <w:hideMark/>
          </w:tcPr>
          <w:p w14:paraId="7DFAAAF7" w14:textId="77777777" w:rsidR="00411F16" w:rsidRPr="00A553B9" w:rsidRDefault="00411F16" w:rsidP="009E21FB">
            <w:pPr>
              <w:spacing w:after="0"/>
              <w:rPr>
                <w:rFonts w:eastAsia="Times New Roman" w:cs="Arial"/>
                <w:sz w:val="16"/>
                <w:szCs w:val="16"/>
              </w:rPr>
            </w:pPr>
          </w:p>
        </w:tc>
        <w:tc>
          <w:tcPr>
            <w:tcW w:w="978" w:type="dxa"/>
            <w:tcBorders>
              <w:top w:val="nil"/>
              <w:left w:val="nil"/>
              <w:bottom w:val="nil"/>
              <w:right w:val="nil"/>
            </w:tcBorders>
            <w:noWrap/>
            <w:vAlign w:val="bottom"/>
            <w:hideMark/>
          </w:tcPr>
          <w:p w14:paraId="147DC616" w14:textId="77777777" w:rsidR="00411F16" w:rsidRPr="00A553B9" w:rsidRDefault="00411F16" w:rsidP="009E21FB">
            <w:pPr>
              <w:spacing w:after="0"/>
              <w:rPr>
                <w:rFonts w:eastAsia="Times New Roman" w:cs="Arial"/>
                <w:sz w:val="16"/>
                <w:szCs w:val="16"/>
              </w:rPr>
            </w:pPr>
          </w:p>
        </w:tc>
        <w:tc>
          <w:tcPr>
            <w:tcW w:w="236" w:type="dxa"/>
            <w:vAlign w:val="center"/>
            <w:hideMark/>
          </w:tcPr>
          <w:p w14:paraId="3824F350" w14:textId="77777777" w:rsidR="00411F16" w:rsidRPr="00A553B9" w:rsidRDefault="00411F16" w:rsidP="009E21FB">
            <w:pPr>
              <w:spacing w:after="0"/>
              <w:rPr>
                <w:rFonts w:eastAsia="Times New Roman" w:cs="Arial"/>
                <w:sz w:val="16"/>
                <w:szCs w:val="16"/>
              </w:rPr>
            </w:pPr>
          </w:p>
        </w:tc>
      </w:tr>
    </w:tbl>
    <w:p w14:paraId="09949357" w14:textId="77777777" w:rsidR="007C544A" w:rsidRPr="00A553B9" w:rsidRDefault="007C544A" w:rsidP="009E21FB">
      <w:pPr>
        <w:rPr>
          <w:rFonts w:cs="Arial"/>
          <w:sz w:val="18"/>
          <w:szCs w:val="18"/>
        </w:rPr>
      </w:pPr>
    </w:p>
    <w:p w14:paraId="25BC4BAA" w14:textId="166F37BB" w:rsidR="005508B8" w:rsidRPr="00A553B9" w:rsidRDefault="006D4139" w:rsidP="009E21FB">
      <w:pPr>
        <w:pStyle w:val="Heading2"/>
        <w:rPr>
          <w:rFonts w:ascii="Arial" w:hAnsi="Arial" w:cs="Arial"/>
          <w:color w:val="auto"/>
          <w:szCs w:val="24"/>
        </w:rPr>
      </w:pPr>
      <w:bookmarkStart w:id="58" w:name="_Toc225717207"/>
      <w:r w:rsidRPr="00A553B9">
        <w:rPr>
          <w:rFonts w:ascii="Arial" w:hAnsi="Arial" w:cs="Arial"/>
          <w:color w:val="auto"/>
          <w:szCs w:val="24"/>
        </w:rPr>
        <w:lastRenderedPageBreak/>
        <w:t xml:space="preserve">Appendix C. </w:t>
      </w:r>
      <w:r w:rsidR="00411F16" w:rsidRPr="00A553B9">
        <w:rPr>
          <w:rFonts w:ascii="Arial" w:hAnsi="Arial" w:cs="Arial"/>
          <w:color w:val="auto"/>
          <w:szCs w:val="24"/>
        </w:rPr>
        <w:t>Financial Ratios</w:t>
      </w:r>
      <w:bookmarkEnd w:id="58"/>
    </w:p>
    <w:tbl>
      <w:tblPr>
        <w:tblW w:w="9480" w:type="dxa"/>
        <w:tblInd w:w="108" w:type="dxa"/>
        <w:tblLook w:val="04A0" w:firstRow="1" w:lastRow="0" w:firstColumn="1" w:lastColumn="0" w:noHBand="0" w:noVBand="1"/>
      </w:tblPr>
      <w:tblGrid>
        <w:gridCol w:w="4340"/>
        <w:gridCol w:w="1220"/>
        <w:gridCol w:w="980"/>
        <w:gridCol w:w="980"/>
        <w:gridCol w:w="980"/>
        <w:gridCol w:w="980"/>
      </w:tblGrid>
      <w:tr w:rsidR="00C91732" w:rsidRPr="00A553B9" w14:paraId="4DFF0BBB" w14:textId="77777777" w:rsidTr="00C91732">
        <w:trPr>
          <w:trHeight w:val="300"/>
        </w:trPr>
        <w:tc>
          <w:tcPr>
            <w:tcW w:w="4340" w:type="dxa"/>
            <w:tcBorders>
              <w:top w:val="nil"/>
              <w:left w:val="nil"/>
              <w:bottom w:val="nil"/>
              <w:right w:val="nil"/>
            </w:tcBorders>
            <w:noWrap/>
            <w:vAlign w:val="bottom"/>
            <w:hideMark/>
          </w:tcPr>
          <w:p w14:paraId="1BEF9E81" w14:textId="77777777" w:rsidR="00C91732" w:rsidRPr="00A553B9" w:rsidRDefault="00C91732" w:rsidP="00C91732">
            <w:pPr>
              <w:spacing w:after="0" w:line="240" w:lineRule="auto"/>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Profitability Ratios</w:t>
            </w:r>
          </w:p>
        </w:tc>
        <w:tc>
          <w:tcPr>
            <w:tcW w:w="1220" w:type="dxa"/>
            <w:tcBorders>
              <w:top w:val="nil"/>
              <w:left w:val="nil"/>
              <w:bottom w:val="nil"/>
              <w:right w:val="nil"/>
            </w:tcBorders>
            <w:vAlign w:val="bottom"/>
            <w:hideMark/>
          </w:tcPr>
          <w:p w14:paraId="52A07FB9"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2021</w:t>
            </w:r>
          </w:p>
        </w:tc>
        <w:tc>
          <w:tcPr>
            <w:tcW w:w="980" w:type="dxa"/>
            <w:tcBorders>
              <w:top w:val="nil"/>
              <w:left w:val="nil"/>
              <w:bottom w:val="nil"/>
              <w:right w:val="nil"/>
            </w:tcBorders>
            <w:vAlign w:val="bottom"/>
            <w:hideMark/>
          </w:tcPr>
          <w:p w14:paraId="7250B345"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2022</w:t>
            </w:r>
          </w:p>
        </w:tc>
        <w:tc>
          <w:tcPr>
            <w:tcW w:w="980" w:type="dxa"/>
            <w:tcBorders>
              <w:top w:val="nil"/>
              <w:left w:val="nil"/>
              <w:bottom w:val="nil"/>
              <w:right w:val="nil"/>
            </w:tcBorders>
            <w:vAlign w:val="bottom"/>
            <w:hideMark/>
          </w:tcPr>
          <w:p w14:paraId="1CFA60D2"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2023</w:t>
            </w:r>
          </w:p>
        </w:tc>
        <w:tc>
          <w:tcPr>
            <w:tcW w:w="980" w:type="dxa"/>
            <w:tcBorders>
              <w:top w:val="nil"/>
              <w:left w:val="nil"/>
              <w:bottom w:val="nil"/>
              <w:right w:val="nil"/>
            </w:tcBorders>
            <w:vAlign w:val="bottom"/>
            <w:hideMark/>
          </w:tcPr>
          <w:p w14:paraId="4C610A6A"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2024</w:t>
            </w:r>
          </w:p>
        </w:tc>
        <w:tc>
          <w:tcPr>
            <w:tcW w:w="980" w:type="dxa"/>
            <w:tcBorders>
              <w:top w:val="nil"/>
              <w:left w:val="nil"/>
              <w:bottom w:val="nil"/>
              <w:right w:val="nil"/>
            </w:tcBorders>
            <w:vAlign w:val="bottom"/>
            <w:hideMark/>
          </w:tcPr>
          <w:p w14:paraId="41D97234"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2025</w:t>
            </w:r>
          </w:p>
        </w:tc>
      </w:tr>
      <w:tr w:rsidR="00C91732" w:rsidRPr="00A553B9" w14:paraId="0B7512D3" w14:textId="77777777" w:rsidTr="00C91732">
        <w:trPr>
          <w:trHeight w:val="255"/>
        </w:trPr>
        <w:tc>
          <w:tcPr>
            <w:tcW w:w="4340" w:type="dxa"/>
            <w:tcBorders>
              <w:top w:val="nil"/>
              <w:left w:val="nil"/>
              <w:bottom w:val="nil"/>
              <w:right w:val="nil"/>
            </w:tcBorders>
            <w:noWrap/>
            <w:vAlign w:val="bottom"/>
            <w:hideMark/>
          </w:tcPr>
          <w:p w14:paraId="4C71F2C7"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Gross Profit Margin</w:t>
            </w:r>
          </w:p>
        </w:tc>
        <w:tc>
          <w:tcPr>
            <w:tcW w:w="1220" w:type="dxa"/>
            <w:tcBorders>
              <w:top w:val="nil"/>
              <w:left w:val="nil"/>
              <w:bottom w:val="nil"/>
              <w:right w:val="nil"/>
            </w:tcBorders>
            <w:vAlign w:val="bottom"/>
            <w:hideMark/>
          </w:tcPr>
          <w:p w14:paraId="4A7BA112"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22.91%</w:t>
            </w:r>
          </w:p>
        </w:tc>
        <w:tc>
          <w:tcPr>
            <w:tcW w:w="980" w:type="dxa"/>
            <w:tcBorders>
              <w:top w:val="nil"/>
              <w:left w:val="nil"/>
              <w:bottom w:val="nil"/>
              <w:right w:val="nil"/>
            </w:tcBorders>
            <w:vAlign w:val="bottom"/>
            <w:hideMark/>
          </w:tcPr>
          <w:p w14:paraId="03DF1525"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22.68%</w:t>
            </w:r>
          </w:p>
        </w:tc>
        <w:tc>
          <w:tcPr>
            <w:tcW w:w="980" w:type="dxa"/>
            <w:tcBorders>
              <w:top w:val="nil"/>
              <w:left w:val="nil"/>
              <w:bottom w:val="nil"/>
              <w:right w:val="nil"/>
            </w:tcBorders>
            <w:vAlign w:val="bottom"/>
            <w:hideMark/>
          </w:tcPr>
          <w:p w14:paraId="203AEB9C"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22.44%</w:t>
            </w:r>
          </w:p>
        </w:tc>
        <w:tc>
          <w:tcPr>
            <w:tcW w:w="980" w:type="dxa"/>
            <w:tcBorders>
              <w:top w:val="nil"/>
              <w:left w:val="nil"/>
              <w:bottom w:val="nil"/>
              <w:right w:val="nil"/>
            </w:tcBorders>
            <w:vAlign w:val="bottom"/>
            <w:hideMark/>
          </w:tcPr>
          <w:p w14:paraId="0F6D77DF"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19.63%</w:t>
            </w:r>
          </w:p>
        </w:tc>
        <w:tc>
          <w:tcPr>
            <w:tcW w:w="980" w:type="dxa"/>
            <w:tcBorders>
              <w:top w:val="nil"/>
              <w:left w:val="nil"/>
              <w:bottom w:val="nil"/>
              <w:right w:val="nil"/>
            </w:tcBorders>
            <w:vAlign w:val="bottom"/>
            <w:hideMark/>
          </w:tcPr>
          <w:p w14:paraId="759C6253"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16.89%</w:t>
            </w:r>
          </w:p>
        </w:tc>
      </w:tr>
      <w:tr w:rsidR="00C91732" w:rsidRPr="00A553B9" w14:paraId="4E73C062" w14:textId="77777777" w:rsidTr="00C91732">
        <w:trPr>
          <w:trHeight w:val="255"/>
        </w:trPr>
        <w:tc>
          <w:tcPr>
            <w:tcW w:w="4340" w:type="dxa"/>
            <w:tcBorders>
              <w:top w:val="nil"/>
              <w:left w:val="nil"/>
              <w:bottom w:val="nil"/>
              <w:right w:val="nil"/>
            </w:tcBorders>
            <w:vAlign w:val="bottom"/>
            <w:hideMark/>
          </w:tcPr>
          <w:p w14:paraId="255FE81E"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Net Profit Margin</w:t>
            </w:r>
          </w:p>
        </w:tc>
        <w:tc>
          <w:tcPr>
            <w:tcW w:w="1220" w:type="dxa"/>
            <w:tcBorders>
              <w:top w:val="nil"/>
              <w:left w:val="nil"/>
              <w:bottom w:val="nil"/>
              <w:right w:val="nil"/>
            </w:tcBorders>
            <w:vAlign w:val="bottom"/>
            <w:hideMark/>
          </w:tcPr>
          <w:p w14:paraId="6B589AF7"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17.47%</w:t>
            </w:r>
          </w:p>
        </w:tc>
        <w:tc>
          <w:tcPr>
            <w:tcW w:w="980" w:type="dxa"/>
            <w:tcBorders>
              <w:top w:val="nil"/>
              <w:left w:val="nil"/>
              <w:bottom w:val="nil"/>
              <w:right w:val="nil"/>
            </w:tcBorders>
            <w:vAlign w:val="bottom"/>
            <w:hideMark/>
          </w:tcPr>
          <w:p w14:paraId="413DEE4A"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9.87%</w:t>
            </w:r>
          </w:p>
        </w:tc>
        <w:tc>
          <w:tcPr>
            <w:tcW w:w="980" w:type="dxa"/>
            <w:tcBorders>
              <w:top w:val="nil"/>
              <w:left w:val="nil"/>
              <w:bottom w:val="nil"/>
              <w:right w:val="nil"/>
            </w:tcBorders>
            <w:vAlign w:val="bottom"/>
            <w:hideMark/>
          </w:tcPr>
          <w:p w14:paraId="7FEB70C2"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9.48%</w:t>
            </w:r>
          </w:p>
        </w:tc>
        <w:tc>
          <w:tcPr>
            <w:tcW w:w="980" w:type="dxa"/>
            <w:tcBorders>
              <w:top w:val="nil"/>
              <w:left w:val="nil"/>
              <w:bottom w:val="nil"/>
              <w:right w:val="nil"/>
            </w:tcBorders>
            <w:vAlign w:val="bottom"/>
            <w:hideMark/>
          </w:tcPr>
          <w:p w14:paraId="0651C78E"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7.15%</w:t>
            </w:r>
          </w:p>
        </w:tc>
        <w:tc>
          <w:tcPr>
            <w:tcW w:w="980" w:type="dxa"/>
            <w:tcBorders>
              <w:top w:val="nil"/>
              <w:left w:val="nil"/>
              <w:bottom w:val="nil"/>
              <w:right w:val="nil"/>
            </w:tcBorders>
            <w:vAlign w:val="bottom"/>
            <w:hideMark/>
          </w:tcPr>
          <w:p w14:paraId="0A61367B"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4.03%</w:t>
            </w:r>
          </w:p>
        </w:tc>
      </w:tr>
      <w:tr w:rsidR="00C91732" w:rsidRPr="00A553B9" w14:paraId="086A9E8B" w14:textId="77777777" w:rsidTr="00C91732">
        <w:trPr>
          <w:trHeight w:val="255"/>
        </w:trPr>
        <w:tc>
          <w:tcPr>
            <w:tcW w:w="4340" w:type="dxa"/>
            <w:tcBorders>
              <w:top w:val="nil"/>
              <w:left w:val="nil"/>
              <w:bottom w:val="nil"/>
              <w:right w:val="nil"/>
            </w:tcBorders>
            <w:noWrap/>
            <w:vAlign w:val="bottom"/>
            <w:hideMark/>
          </w:tcPr>
          <w:p w14:paraId="49A8562E"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Return on Assets (ROA)</w:t>
            </w:r>
          </w:p>
        </w:tc>
        <w:tc>
          <w:tcPr>
            <w:tcW w:w="1220" w:type="dxa"/>
            <w:tcBorders>
              <w:top w:val="nil"/>
              <w:left w:val="nil"/>
              <w:bottom w:val="nil"/>
              <w:right w:val="nil"/>
            </w:tcBorders>
            <w:vAlign w:val="bottom"/>
            <w:hideMark/>
          </w:tcPr>
          <w:p w14:paraId="59FEEFBC"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9.00%</w:t>
            </w:r>
          </w:p>
        </w:tc>
        <w:tc>
          <w:tcPr>
            <w:tcW w:w="980" w:type="dxa"/>
            <w:tcBorders>
              <w:top w:val="nil"/>
              <w:left w:val="nil"/>
              <w:bottom w:val="nil"/>
              <w:right w:val="nil"/>
            </w:tcBorders>
            <w:vAlign w:val="bottom"/>
            <w:hideMark/>
          </w:tcPr>
          <w:p w14:paraId="243FF503"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5.70%</w:t>
            </w:r>
          </w:p>
        </w:tc>
        <w:tc>
          <w:tcPr>
            <w:tcW w:w="980" w:type="dxa"/>
            <w:tcBorders>
              <w:top w:val="nil"/>
              <w:left w:val="nil"/>
              <w:bottom w:val="nil"/>
              <w:right w:val="nil"/>
            </w:tcBorders>
            <w:vAlign w:val="bottom"/>
            <w:hideMark/>
          </w:tcPr>
          <w:p w14:paraId="44A73547"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5.52%</w:t>
            </w:r>
          </w:p>
        </w:tc>
        <w:tc>
          <w:tcPr>
            <w:tcW w:w="980" w:type="dxa"/>
            <w:tcBorders>
              <w:top w:val="nil"/>
              <w:left w:val="nil"/>
              <w:bottom w:val="nil"/>
              <w:right w:val="nil"/>
            </w:tcBorders>
            <w:vAlign w:val="bottom"/>
            <w:hideMark/>
          </w:tcPr>
          <w:p w14:paraId="5DB3BFAE"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3.93%</w:t>
            </w:r>
          </w:p>
        </w:tc>
        <w:tc>
          <w:tcPr>
            <w:tcW w:w="980" w:type="dxa"/>
            <w:tcBorders>
              <w:top w:val="nil"/>
              <w:left w:val="nil"/>
              <w:bottom w:val="nil"/>
              <w:right w:val="nil"/>
            </w:tcBorders>
            <w:vAlign w:val="bottom"/>
            <w:hideMark/>
          </w:tcPr>
          <w:p w14:paraId="53CD5CB6"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2.09%</w:t>
            </w:r>
          </w:p>
        </w:tc>
      </w:tr>
      <w:tr w:rsidR="00C91732" w:rsidRPr="00A553B9" w14:paraId="612E9FCD" w14:textId="77777777" w:rsidTr="00C91732">
        <w:trPr>
          <w:trHeight w:val="255"/>
        </w:trPr>
        <w:tc>
          <w:tcPr>
            <w:tcW w:w="4340" w:type="dxa"/>
            <w:tcBorders>
              <w:top w:val="nil"/>
              <w:left w:val="nil"/>
              <w:bottom w:val="nil"/>
              <w:right w:val="nil"/>
            </w:tcBorders>
            <w:noWrap/>
            <w:vAlign w:val="bottom"/>
            <w:hideMark/>
          </w:tcPr>
          <w:p w14:paraId="7D50E799"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Return on Equity (ROE)</w:t>
            </w:r>
          </w:p>
        </w:tc>
        <w:tc>
          <w:tcPr>
            <w:tcW w:w="1220" w:type="dxa"/>
            <w:tcBorders>
              <w:top w:val="nil"/>
              <w:left w:val="nil"/>
              <w:bottom w:val="nil"/>
              <w:right w:val="nil"/>
            </w:tcBorders>
            <w:vAlign w:val="bottom"/>
            <w:hideMark/>
          </w:tcPr>
          <w:p w14:paraId="23D1E620"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31.98%</w:t>
            </w:r>
          </w:p>
        </w:tc>
        <w:tc>
          <w:tcPr>
            <w:tcW w:w="980" w:type="dxa"/>
            <w:tcBorders>
              <w:top w:val="nil"/>
              <w:left w:val="nil"/>
              <w:bottom w:val="nil"/>
              <w:right w:val="nil"/>
            </w:tcBorders>
            <w:vAlign w:val="bottom"/>
            <w:hideMark/>
          </w:tcPr>
          <w:p w14:paraId="467611BF"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17.11%</w:t>
            </w:r>
          </w:p>
        </w:tc>
        <w:tc>
          <w:tcPr>
            <w:tcW w:w="980" w:type="dxa"/>
            <w:tcBorders>
              <w:top w:val="nil"/>
              <w:left w:val="nil"/>
              <w:bottom w:val="nil"/>
              <w:right w:val="nil"/>
            </w:tcBorders>
            <w:vAlign w:val="bottom"/>
            <w:hideMark/>
          </w:tcPr>
          <w:p w14:paraId="3A93A819"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15.66%</w:t>
            </w:r>
          </w:p>
        </w:tc>
        <w:tc>
          <w:tcPr>
            <w:tcW w:w="980" w:type="dxa"/>
            <w:tcBorders>
              <w:top w:val="nil"/>
              <w:left w:val="nil"/>
              <w:bottom w:val="nil"/>
              <w:right w:val="nil"/>
            </w:tcBorders>
            <w:vAlign w:val="bottom"/>
            <w:hideMark/>
          </w:tcPr>
          <w:p w14:paraId="4DA4AD82"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11.12%</w:t>
            </w:r>
          </w:p>
        </w:tc>
        <w:tc>
          <w:tcPr>
            <w:tcW w:w="980" w:type="dxa"/>
            <w:tcBorders>
              <w:top w:val="nil"/>
              <w:left w:val="nil"/>
              <w:bottom w:val="nil"/>
              <w:right w:val="nil"/>
            </w:tcBorders>
            <w:vAlign w:val="bottom"/>
            <w:hideMark/>
          </w:tcPr>
          <w:p w14:paraId="41A139AE"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5.66%</w:t>
            </w:r>
          </w:p>
        </w:tc>
      </w:tr>
      <w:tr w:rsidR="00C91732" w:rsidRPr="00A553B9" w14:paraId="74B8818A" w14:textId="77777777" w:rsidTr="00C91732">
        <w:trPr>
          <w:trHeight w:val="255"/>
        </w:trPr>
        <w:tc>
          <w:tcPr>
            <w:tcW w:w="4340" w:type="dxa"/>
            <w:tcBorders>
              <w:top w:val="nil"/>
              <w:left w:val="nil"/>
              <w:bottom w:val="nil"/>
              <w:right w:val="nil"/>
            </w:tcBorders>
            <w:vAlign w:val="bottom"/>
            <w:hideMark/>
          </w:tcPr>
          <w:p w14:paraId="54B56246"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p>
        </w:tc>
        <w:tc>
          <w:tcPr>
            <w:tcW w:w="1220" w:type="dxa"/>
            <w:tcBorders>
              <w:top w:val="nil"/>
              <w:left w:val="nil"/>
              <w:bottom w:val="nil"/>
              <w:right w:val="nil"/>
            </w:tcBorders>
            <w:vAlign w:val="bottom"/>
            <w:hideMark/>
          </w:tcPr>
          <w:p w14:paraId="4D87F95C"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747627C5"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73E0993D"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0A63AFED"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2D60C6D4" w14:textId="77777777" w:rsidR="00C91732" w:rsidRPr="00A553B9" w:rsidRDefault="00C91732" w:rsidP="00C91732">
            <w:pPr>
              <w:spacing w:after="0" w:line="240" w:lineRule="auto"/>
              <w:rPr>
                <w:rFonts w:ascii="Times New Roman" w:eastAsia="Times New Roman" w:hAnsi="Times New Roman" w:cs="Times New Roman"/>
                <w:sz w:val="20"/>
                <w:szCs w:val="20"/>
              </w:rPr>
            </w:pPr>
          </w:p>
        </w:tc>
      </w:tr>
      <w:tr w:rsidR="00C91732" w:rsidRPr="00A553B9" w14:paraId="633293E3" w14:textId="77777777" w:rsidTr="00C91732">
        <w:trPr>
          <w:trHeight w:val="255"/>
        </w:trPr>
        <w:tc>
          <w:tcPr>
            <w:tcW w:w="4340" w:type="dxa"/>
            <w:tcBorders>
              <w:top w:val="nil"/>
              <w:left w:val="nil"/>
              <w:bottom w:val="nil"/>
              <w:right w:val="nil"/>
            </w:tcBorders>
            <w:noWrap/>
            <w:vAlign w:val="bottom"/>
            <w:hideMark/>
          </w:tcPr>
          <w:p w14:paraId="654E72C2" w14:textId="77777777" w:rsidR="00C91732" w:rsidRPr="00A553B9" w:rsidRDefault="00C91732" w:rsidP="00C91732">
            <w:pPr>
              <w:spacing w:after="0" w:line="240" w:lineRule="auto"/>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Liquidity Ratios</w:t>
            </w:r>
          </w:p>
        </w:tc>
        <w:tc>
          <w:tcPr>
            <w:tcW w:w="1220" w:type="dxa"/>
            <w:tcBorders>
              <w:top w:val="nil"/>
              <w:left w:val="nil"/>
              <w:bottom w:val="nil"/>
              <w:right w:val="nil"/>
            </w:tcBorders>
            <w:vAlign w:val="bottom"/>
            <w:hideMark/>
          </w:tcPr>
          <w:p w14:paraId="0D955E69"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2021</w:t>
            </w:r>
          </w:p>
        </w:tc>
        <w:tc>
          <w:tcPr>
            <w:tcW w:w="980" w:type="dxa"/>
            <w:tcBorders>
              <w:top w:val="nil"/>
              <w:left w:val="nil"/>
              <w:bottom w:val="nil"/>
              <w:right w:val="nil"/>
            </w:tcBorders>
            <w:vAlign w:val="bottom"/>
            <w:hideMark/>
          </w:tcPr>
          <w:p w14:paraId="3653A522"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2022</w:t>
            </w:r>
          </w:p>
        </w:tc>
        <w:tc>
          <w:tcPr>
            <w:tcW w:w="980" w:type="dxa"/>
            <w:tcBorders>
              <w:top w:val="nil"/>
              <w:left w:val="nil"/>
              <w:bottom w:val="nil"/>
              <w:right w:val="nil"/>
            </w:tcBorders>
            <w:vAlign w:val="bottom"/>
            <w:hideMark/>
          </w:tcPr>
          <w:p w14:paraId="41F2CBAA"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2023</w:t>
            </w:r>
          </w:p>
        </w:tc>
        <w:tc>
          <w:tcPr>
            <w:tcW w:w="980" w:type="dxa"/>
            <w:tcBorders>
              <w:top w:val="nil"/>
              <w:left w:val="nil"/>
              <w:bottom w:val="nil"/>
              <w:right w:val="nil"/>
            </w:tcBorders>
            <w:vAlign w:val="bottom"/>
            <w:hideMark/>
          </w:tcPr>
          <w:p w14:paraId="1A7C0915"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2024</w:t>
            </w:r>
          </w:p>
        </w:tc>
        <w:tc>
          <w:tcPr>
            <w:tcW w:w="980" w:type="dxa"/>
            <w:tcBorders>
              <w:top w:val="nil"/>
              <w:left w:val="nil"/>
              <w:bottom w:val="nil"/>
              <w:right w:val="nil"/>
            </w:tcBorders>
            <w:vAlign w:val="bottom"/>
            <w:hideMark/>
          </w:tcPr>
          <w:p w14:paraId="237539AE"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2025</w:t>
            </w:r>
          </w:p>
        </w:tc>
      </w:tr>
      <w:tr w:rsidR="00C91732" w:rsidRPr="00A553B9" w14:paraId="4E06D101" w14:textId="77777777" w:rsidTr="00C91732">
        <w:trPr>
          <w:trHeight w:val="255"/>
        </w:trPr>
        <w:tc>
          <w:tcPr>
            <w:tcW w:w="4340" w:type="dxa"/>
            <w:tcBorders>
              <w:top w:val="nil"/>
              <w:left w:val="nil"/>
              <w:bottom w:val="nil"/>
              <w:right w:val="nil"/>
            </w:tcBorders>
            <w:noWrap/>
            <w:vAlign w:val="bottom"/>
            <w:hideMark/>
          </w:tcPr>
          <w:p w14:paraId="266056D7"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Current Ratio</w:t>
            </w:r>
          </w:p>
        </w:tc>
        <w:tc>
          <w:tcPr>
            <w:tcW w:w="1220" w:type="dxa"/>
            <w:tcBorders>
              <w:top w:val="nil"/>
              <w:left w:val="nil"/>
              <w:bottom w:val="nil"/>
              <w:right w:val="nil"/>
            </w:tcBorders>
            <w:vAlign w:val="bottom"/>
            <w:hideMark/>
          </w:tcPr>
          <w:p w14:paraId="58F034BF"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1.17 </w:t>
            </w:r>
          </w:p>
        </w:tc>
        <w:tc>
          <w:tcPr>
            <w:tcW w:w="980" w:type="dxa"/>
            <w:tcBorders>
              <w:top w:val="nil"/>
              <w:left w:val="nil"/>
              <w:bottom w:val="nil"/>
              <w:right w:val="nil"/>
            </w:tcBorders>
            <w:vAlign w:val="bottom"/>
            <w:hideMark/>
          </w:tcPr>
          <w:p w14:paraId="12245789"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1.16 </w:t>
            </w:r>
          </w:p>
        </w:tc>
        <w:tc>
          <w:tcPr>
            <w:tcW w:w="980" w:type="dxa"/>
            <w:tcBorders>
              <w:top w:val="nil"/>
              <w:left w:val="nil"/>
              <w:bottom w:val="nil"/>
              <w:right w:val="nil"/>
            </w:tcBorders>
            <w:vAlign w:val="bottom"/>
            <w:hideMark/>
          </w:tcPr>
          <w:p w14:paraId="173ED593"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1.26 </w:t>
            </w:r>
          </w:p>
        </w:tc>
        <w:tc>
          <w:tcPr>
            <w:tcW w:w="980" w:type="dxa"/>
            <w:tcBorders>
              <w:top w:val="nil"/>
              <w:left w:val="nil"/>
              <w:bottom w:val="nil"/>
              <w:right w:val="nil"/>
            </w:tcBorders>
            <w:vAlign w:val="bottom"/>
            <w:hideMark/>
          </w:tcPr>
          <w:p w14:paraId="609421B9"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1.36 </w:t>
            </w:r>
          </w:p>
        </w:tc>
        <w:tc>
          <w:tcPr>
            <w:tcW w:w="980" w:type="dxa"/>
            <w:tcBorders>
              <w:top w:val="nil"/>
              <w:left w:val="nil"/>
              <w:bottom w:val="nil"/>
              <w:right w:val="nil"/>
            </w:tcBorders>
            <w:vAlign w:val="bottom"/>
            <w:hideMark/>
          </w:tcPr>
          <w:p w14:paraId="2DDE8E53"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1.38 </w:t>
            </w:r>
          </w:p>
        </w:tc>
      </w:tr>
      <w:tr w:rsidR="00C91732" w:rsidRPr="00A553B9" w14:paraId="6F01ADFD" w14:textId="77777777" w:rsidTr="00C91732">
        <w:trPr>
          <w:trHeight w:val="255"/>
        </w:trPr>
        <w:tc>
          <w:tcPr>
            <w:tcW w:w="4340" w:type="dxa"/>
            <w:tcBorders>
              <w:top w:val="nil"/>
              <w:left w:val="nil"/>
              <w:bottom w:val="nil"/>
              <w:right w:val="nil"/>
            </w:tcBorders>
            <w:noWrap/>
            <w:vAlign w:val="bottom"/>
            <w:hideMark/>
          </w:tcPr>
          <w:p w14:paraId="768CFECF"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Quick Ratio</w:t>
            </w:r>
          </w:p>
        </w:tc>
        <w:tc>
          <w:tcPr>
            <w:tcW w:w="1220" w:type="dxa"/>
            <w:tcBorders>
              <w:top w:val="nil"/>
              <w:left w:val="nil"/>
              <w:bottom w:val="nil"/>
              <w:right w:val="nil"/>
            </w:tcBorders>
            <w:vAlign w:val="bottom"/>
            <w:hideMark/>
          </w:tcPr>
          <w:p w14:paraId="1A18372C"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0.93 </w:t>
            </w:r>
          </w:p>
        </w:tc>
        <w:tc>
          <w:tcPr>
            <w:tcW w:w="980" w:type="dxa"/>
            <w:tcBorders>
              <w:top w:val="nil"/>
              <w:left w:val="nil"/>
              <w:bottom w:val="nil"/>
              <w:right w:val="nil"/>
            </w:tcBorders>
            <w:vAlign w:val="bottom"/>
            <w:hideMark/>
          </w:tcPr>
          <w:p w14:paraId="2E096316"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0.87 </w:t>
            </w:r>
          </w:p>
        </w:tc>
        <w:tc>
          <w:tcPr>
            <w:tcW w:w="980" w:type="dxa"/>
            <w:tcBorders>
              <w:top w:val="nil"/>
              <w:left w:val="nil"/>
              <w:bottom w:val="nil"/>
              <w:right w:val="nil"/>
            </w:tcBorders>
            <w:vAlign w:val="bottom"/>
            <w:hideMark/>
          </w:tcPr>
          <w:p w14:paraId="392AFD23"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0.93 </w:t>
            </w:r>
          </w:p>
        </w:tc>
        <w:tc>
          <w:tcPr>
            <w:tcW w:w="980" w:type="dxa"/>
            <w:tcBorders>
              <w:top w:val="nil"/>
              <w:left w:val="nil"/>
              <w:bottom w:val="nil"/>
              <w:right w:val="nil"/>
            </w:tcBorders>
            <w:vAlign w:val="bottom"/>
            <w:hideMark/>
          </w:tcPr>
          <w:p w14:paraId="413DFFC1"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1.01 </w:t>
            </w:r>
          </w:p>
        </w:tc>
        <w:tc>
          <w:tcPr>
            <w:tcW w:w="980" w:type="dxa"/>
            <w:tcBorders>
              <w:top w:val="nil"/>
              <w:left w:val="nil"/>
              <w:bottom w:val="nil"/>
              <w:right w:val="nil"/>
            </w:tcBorders>
            <w:vAlign w:val="bottom"/>
            <w:hideMark/>
          </w:tcPr>
          <w:p w14:paraId="0289795E"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1.06 </w:t>
            </w:r>
          </w:p>
        </w:tc>
      </w:tr>
      <w:tr w:rsidR="00C91732" w:rsidRPr="00A553B9" w14:paraId="272825CB" w14:textId="77777777" w:rsidTr="00C91732">
        <w:trPr>
          <w:trHeight w:val="255"/>
        </w:trPr>
        <w:tc>
          <w:tcPr>
            <w:tcW w:w="4340" w:type="dxa"/>
            <w:tcBorders>
              <w:top w:val="nil"/>
              <w:left w:val="nil"/>
              <w:bottom w:val="nil"/>
              <w:right w:val="nil"/>
            </w:tcBorders>
            <w:vAlign w:val="bottom"/>
            <w:hideMark/>
          </w:tcPr>
          <w:p w14:paraId="2E7CAE83"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p>
        </w:tc>
        <w:tc>
          <w:tcPr>
            <w:tcW w:w="1220" w:type="dxa"/>
            <w:tcBorders>
              <w:top w:val="nil"/>
              <w:left w:val="nil"/>
              <w:bottom w:val="nil"/>
              <w:right w:val="nil"/>
            </w:tcBorders>
            <w:vAlign w:val="bottom"/>
            <w:hideMark/>
          </w:tcPr>
          <w:p w14:paraId="003F9BDB"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234ABFE1"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05AFF1BC"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49D976BD"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36AD0867" w14:textId="77777777" w:rsidR="00C91732" w:rsidRPr="00A553B9" w:rsidRDefault="00C91732" w:rsidP="00C91732">
            <w:pPr>
              <w:spacing w:after="0" w:line="240" w:lineRule="auto"/>
              <w:rPr>
                <w:rFonts w:ascii="Times New Roman" w:eastAsia="Times New Roman" w:hAnsi="Times New Roman" w:cs="Times New Roman"/>
                <w:sz w:val="20"/>
                <w:szCs w:val="20"/>
              </w:rPr>
            </w:pPr>
          </w:p>
        </w:tc>
      </w:tr>
      <w:tr w:rsidR="00C91732" w:rsidRPr="00A553B9" w14:paraId="4E113C96" w14:textId="77777777" w:rsidTr="00C91732">
        <w:trPr>
          <w:trHeight w:val="255"/>
        </w:trPr>
        <w:tc>
          <w:tcPr>
            <w:tcW w:w="4340" w:type="dxa"/>
            <w:tcBorders>
              <w:top w:val="nil"/>
              <w:left w:val="nil"/>
              <w:bottom w:val="nil"/>
              <w:right w:val="nil"/>
            </w:tcBorders>
            <w:noWrap/>
            <w:vAlign w:val="bottom"/>
            <w:hideMark/>
          </w:tcPr>
          <w:p w14:paraId="4A3EB66F" w14:textId="77777777" w:rsidR="00C91732" w:rsidRPr="00A553B9" w:rsidRDefault="00C91732" w:rsidP="00C91732">
            <w:pPr>
              <w:spacing w:after="0" w:line="240" w:lineRule="auto"/>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Efficiency Ratios</w:t>
            </w:r>
          </w:p>
        </w:tc>
        <w:tc>
          <w:tcPr>
            <w:tcW w:w="1220" w:type="dxa"/>
            <w:tcBorders>
              <w:top w:val="nil"/>
              <w:left w:val="nil"/>
              <w:bottom w:val="nil"/>
              <w:right w:val="nil"/>
            </w:tcBorders>
            <w:vAlign w:val="bottom"/>
            <w:hideMark/>
          </w:tcPr>
          <w:p w14:paraId="62E9AA6C"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2021</w:t>
            </w:r>
          </w:p>
        </w:tc>
        <w:tc>
          <w:tcPr>
            <w:tcW w:w="980" w:type="dxa"/>
            <w:tcBorders>
              <w:top w:val="nil"/>
              <w:left w:val="nil"/>
              <w:bottom w:val="nil"/>
              <w:right w:val="nil"/>
            </w:tcBorders>
            <w:vAlign w:val="bottom"/>
            <w:hideMark/>
          </w:tcPr>
          <w:p w14:paraId="393BD2DE"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2022</w:t>
            </w:r>
          </w:p>
        </w:tc>
        <w:tc>
          <w:tcPr>
            <w:tcW w:w="980" w:type="dxa"/>
            <w:tcBorders>
              <w:top w:val="nil"/>
              <w:left w:val="nil"/>
              <w:bottom w:val="nil"/>
              <w:right w:val="nil"/>
            </w:tcBorders>
            <w:vAlign w:val="bottom"/>
            <w:hideMark/>
          </w:tcPr>
          <w:p w14:paraId="47155C20"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2023</w:t>
            </w:r>
          </w:p>
        </w:tc>
        <w:tc>
          <w:tcPr>
            <w:tcW w:w="980" w:type="dxa"/>
            <w:tcBorders>
              <w:top w:val="nil"/>
              <w:left w:val="nil"/>
              <w:bottom w:val="nil"/>
              <w:right w:val="nil"/>
            </w:tcBorders>
            <w:vAlign w:val="bottom"/>
            <w:hideMark/>
          </w:tcPr>
          <w:p w14:paraId="197C0A6C"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2024</w:t>
            </w:r>
          </w:p>
        </w:tc>
        <w:tc>
          <w:tcPr>
            <w:tcW w:w="980" w:type="dxa"/>
            <w:tcBorders>
              <w:top w:val="nil"/>
              <w:left w:val="nil"/>
              <w:bottom w:val="nil"/>
              <w:right w:val="nil"/>
            </w:tcBorders>
            <w:vAlign w:val="bottom"/>
            <w:hideMark/>
          </w:tcPr>
          <w:p w14:paraId="46A8A00F"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2025</w:t>
            </w:r>
          </w:p>
        </w:tc>
      </w:tr>
      <w:tr w:rsidR="00C91732" w:rsidRPr="00A553B9" w14:paraId="77B96F2A" w14:textId="77777777" w:rsidTr="00C91732">
        <w:trPr>
          <w:trHeight w:val="255"/>
        </w:trPr>
        <w:tc>
          <w:tcPr>
            <w:tcW w:w="4340" w:type="dxa"/>
            <w:tcBorders>
              <w:top w:val="nil"/>
              <w:left w:val="nil"/>
              <w:bottom w:val="nil"/>
              <w:right w:val="nil"/>
            </w:tcBorders>
            <w:noWrap/>
            <w:vAlign w:val="bottom"/>
            <w:hideMark/>
          </w:tcPr>
          <w:p w14:paraId="064E17DE"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Inventory Turnover</w:t>
            </w:r>
          </w:p>
        </w:tc>
        <w:tc>
          <w:tcPr>
            <w:tcW w:w="1220" w:type="dxa"/>
            <w:tcBorders>
              <w:top w:val="nil"/>
              <w:left w:val="nil"/>
              <w:bottom w:val="nil"/>
              <w:right w:val="nil"/>
            </w:tcBorders>
            <w:vAlign w:val="bottom"/>
            <w:hideMark/>
          </w:tcPr>
          <w:p w14:paraId="7CF65D29"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9.62 </w:t>
            </w:r>
          </w:p>
        </w:tc>
        <w:tc>
          <w:tcPr>
            <w:tcW w:w="980" w:type="dxa"/>
            <w:tcBorders>
              <w:top w:val="nil"/>
              <w:left w:val="nil"/>
              <w:bottom w:val="nil"/>
              <w:right w:val="nil"/>
            </w:tcBorders>
            <w:vAlign w:val="bottom"/>
            <w:hideMark/>
          </w:tcPr>
          <w:p w14:paraId="1260F2F8"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4.93 </w:t>
            </w:r>
          </w:p>
        </w:tc>
        <w:tc>
          <w:tcPr>
            <w:tcW w:w="980" w:type="dxa"/>
            <w:tcBorders>
              <w:top w:val="nil"/>
              <w:left w:val="nil"/>
              <w:bottom w:val="nil"/>
              <w:right w:val="nil"/>
            </w:tcBorders>
            <w:vAlign w:val="bottom"/>
            <w:hideMark/>
          </w:tcPr>
          <w:p w14:paraId="2C55DE59"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4.49 </w:t>
            </w:r>
          </w:p>
        </w:tc>
        <w:tc>
          <w:tcPr>
            <w:tcW w:w="980" w:type="dxa"/>
            <w:tcBorders>
              <w:top w:val="nil"/>
              <w:left w:val="nil"/>
              <w:bottom w:val="nil"/>
              <w:right w:val="nil"/>
            </w:tcBorders>
            <w:vAlign w:val="bottom"/>
            <w:hideMark/>
          </w:tcPr>
          <w:p w14:paraId="753FD665"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4.37 </w:t>
            </w:r>
          </w:p>
        </w:tc>
        <w:tc>
          <w:tcPr>
            <w:tcW w:w="980" w:type="dxa"/>
            <w:tcBorders>
              <w:top w:val="nil"/>
              <w:left w:val="nil"/>
              <w:bottom w:val="nil"/>
              <w:right w:val="nil"/>
            </w:tcBorders>
            <w:vAlign w:val="bottom"/>
            <w:hideMark/>
          </w:tcPr>
          <w:p w14:paraId="2D10C745"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4.38 </w:t>
            </w:r>
          </w:p>
        </w:tc>
      </w:tr>
      <w:tr w:rsidR="00C91732" w:rsidRPr="00A553B9" w14:paraId="2CFB1A96" w14:textId="77777777" w:rsidTr="00C91732">
        <w:trPr>
          <w:trHeight w:val="255"/>
        </w:trPr>
        <w:tc>
          <w:tcPr>
            <w:tcW w:w="4340" w:type="dxa"/>
            <w:tcBorders>
              <w:top w:val="nil"/>
              <w:left w:val="nil"/>
              <w:bottom w:val="nil"/>
              <w:right w:val="nil"/>
            </w:tcBorders>
            <w:noWrap/>
            <w:vAlign w:val="bottom"/>
            <w:hideMark/>
          </w:tcPr>
          <w:p w14:paraId="1FEA9AF1"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Receivables Turnover</w:t>
            </w:r>
          </w:p>
        </w:tc>
        <w:tc>
          <w:tcPr>
            <w:tcW w:w="1220" w:type="dxa"/>
            <w:tcBorders>
              <w:top w:val="nil"/>
              <w:left w:val="nil"/>
              <w:bottom w:val="nil"/>
              <w:right w:val="nil"/>
            </w:tcBorders>
            <w:vAlign w:val="bottom"/>
            <w:hideMark/>
          </w:tcPr>
          <w:p w14:paraId="0646CC9F"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34.90 </w:t>
            </w:r>
          </w:p>
        </w:tc>
        <w:tc>
          <w:tcPr>
            <w:tcW w:w="980" w:type="dxa"/>
            <w:tcBorders>
              <w:top w:val="nil"/>
              <w:left w:val="nil"/>
              <w:bottom w:val="nil"/>
              <w:right w:val="nil"/>
            </w:tcBorders>
            <w:vAlign w:val="bottom"/>
            <w:hideMark/>
          </w:tcPr>
          <w:p w14:paraId="6524A4A9"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19.02 </w:t>
            </w:r>
          </w:p>
        </w:tc>
        <w:tc>
          <w:tcPr>
            <w:tcW w:w="980" w:type="dxa"/>
            <w:tcBorders>
              <w:top w:val="nil"/>
              <w:left w:val="nil"/>
              <w:bottom w:val="nil"/>
              <w:right w:val="nil"/>
            </w:tcBorders>
            <w:vAlign w:val="bottom"/>
            <w:hideMark/>
          </w:tcPr>
          <w:p w14:paraId="49CDCA60"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19.92 </w:t>
            </w:r>
          </w:p>
        </w:tc>
        <w:tc>
          <w:tcPr>
            <w:tcW w:w="980" w:type="dxa"/>
            <w:tcBorders>
              <w:top w:val="nil"/>
              <w:left w:val="nil"/>
              <w:bottom w:val="nil"/>
              <w:right w:val="nil"/>
            </w:tcBorders>
            <w:vAlign w:val="bottom"/>
            <w:hideMark/>
          </w:tcPr>
          <w:p w14:paraId="76D99CB0"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20.43 </w:t>
            </w:r>
          </w:p>
        </w:tc>
        <w:tc>
          <w:tcPr>
            <w:tcW w:w="980" w:type="dxa"/>
            <w:tcBorders>
              <w:top w:val="nil"/>
              <w:left w:val="nil"/>
              <w:bottom w:val="nil"/>
              <w:right w:val="nil"/>
            </w:tcBorders>
            <w:vAlign w:val="bottom"/>
            <w:hideMark/>
          </w:tcPr>
          <w:p w14:paraId="155D07A6"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20.62 </w:t>
            </w:r>
          </w:p>
        </w:tc>
      </w:tr>
      <w:tr w:rsidR="00C91732" w:rsidRPr="00A553B9" w14:paraId="77E4E1E0" w14:textId="77777777" w:rsidTr="00C91732">
        <w:trPr>
          <w:trHeight w:val="255"/>
        </w:trPr>
        <w:tc>
          <w:tcPr>
            <w:tcW w:w="4340" w:type="dxa"/>
            <w:tcBorders>
              <w:top w:val="nil"/>
              <w:left w:val="nil"/>
              <w:bottom w:val="nil"/>
              <w:right w:val="nil"/>
            </w:tcBorders>
            <w:noWrap/>
            <w:vAlign w:val="bottom"/>
            <w:hideMark/>
          </w:tcPr>
          <w:p w14:paraId="3837B792"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Asset Turnover</w:t>
            </w:r>
          </w:p>
        </w:tc>
        <w:tc>
          <w:tcPr>
            <w:tcW w:w="1220" w:type="dxa"/>
            <w:tcBorders>
              <w:top w:val="nil"/>
              <w:left w:val="nil"/>
              <w:bottom w:val="nil"/>
              <w:right w:val="nil"/>
            </w:tcBorders>
            <w:vAlign w:val="bottom"/>
            <w:hideMark/>
          </w:tcPr>
          <w:p w14:paraId="4C8A3607"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1.03 </w:t>
            </w:r>
          </w:p>
        </w:tc>
        <w:tc>
          <w:tcPr>
            <w:tcW w:w="980" w:type="dxa"/>
            <w:tcBorders>
              <w:top w:val="nil"/>
              <w:left w:val="nil"/>
              <w:bottom w:val="nil"/>
              <w:right w:val="nil"/>
            </w:tcBorders>
            <w:vAlign w:val="bottom"/>
            <w:hideMark/>
          </w:tcPr>
          <w:p w14:paraId="6D478A26"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0.58 </w:t>
            </w:r>
          </w:p>
        </w:tc>
        <w:tc>
          <w:tcPr>
            <w:tcW w:w="980" w:type="dxa"/>
            <w:tcBorders>
              <w:top w:val="nil"/>
              <w:left w:val="nil"/>
              <w:bottom w:val="nil"/>
              <w:right w:val="nil"/>
            </w:tcBorders>
            <w:vAlign w:val="bottom"/>
            <w:hideMark/>
          </w:tcPr>
          <w:p w14:paraId="6C8BCB50"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0.59 </w:t>
            </w:r>
          </w:p>
        </w:tc>
        <w:tc>
          <w:tcPr>
            <w:tcW w:w="980" w:type="dxa"/>
            <w:tcBorders>
              <w:top w:val="nil"/>
              <w:left w:val="nil"/>
              <w:bottom w:val="nil"/>
              <w:right w:val="nil"/>
            </w:tcBorders>
            <w:vAlign w:val="bottom"/>
            <w:hideMark/>
          </w:tcPr>
          <w:p w14:paraId="4A03B17A"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0.55 </w:t>
            </w:r>
          </w:p>
        </w:tc>
        <w:tc>
          <w:tcPr>
            <w:tcW w:w="980" w:type="dxa"/>
            <w:tcBorders>
              <w:top w:val="nil"/>
              <w:left w:val="nil"/>
              <w:bottom w:val="nil"/>
              <w:right w:val="nil"/>
            </w:tcBorders>
            <w:vAlign w:val="bottom"/>
            <w:hideMark/>
          </w:tcPr>
          <w:p w14:paraId="0ABC6114"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0.51 </w:t>
            </w:r>
          </w:p>
        </w:tc>
      </w:tr>
      <w:tr w:rsidR="00C91732" w:rsidRPr="00A553B9" w14:paraId="2CC5C620" w14:textId="77777777" w:rsidTr="00C91732">
        <w:trPr>
          <w:trHeight w:val="255"/>
        </w:trPr>
        <w:tc>
          <w:tcPr>
            <w:tcW w:w="4340" w:type="dxa"/>
            <w:tcBorders>
              <w:top w:val="nil"/>
              <w:left w:val="nil"/>
              <w:bottom w:val="nil"/>
              <w:right w:val="nil"/>
            </w:tcBorders>
            <w:noWrap/>
            <w:vAlign w:val="bottom"/>
            <w:hideMark/>
          </w:tcPr>
          <w:p w14:paraId="22BA559F"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Inventory Days (Days Inventory Outstanding - DIO)</w:t>
            </w:r>
          </w:p>
        </w:tc>
        <w:tc>
          <w:tcPr>
            <w:tcW w:w="1220" w:type="dxa"/>
            <w:tcBorders>
              <w:top w:val="nil"/>
              <w:left w:val="nil"/>
              <w:bottom w:val="nil"/>
              <w:right w:val="nil"/>
            </w:tcBorders>
            <w:vAlign w:val="bottom"/>
            <w:hideMark/>
          </w:tcPr>
          <w:p w14:paraId="6173895B"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37.95 </w:t>
            </w:r>
          </w:p>
        </w:tc>
        <w:tc>
          <w:tcPr>
            <w:tcW w:w="980" w:type="dxa"/>
            <w:tcBorders>
              <w:top w:val="nil"/>
              <w:left w:val="nil"/>
              <w:bottom w:val="nil"/>
              <w:right w:val="nil"/>
            </w:tcBorders>
            <w:vAlign w:val="bottom"/>
            <w:hideMark/>
          </w:tcPr>
          <w:p w14:paraId="286944AC"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74.08 </w:t>
            </w:r>
          </w:p>
        </w:tc>
        <w:tc>
          <w:tcPr>
            <w:tcW w:w="980" w:type="dxa"/>
            <w:tcBorders>
              <w:top w:val="nil"/>
              <w:left w:val="nil"/>
              <w:bottom w:val="nil"/>
              <w:right w:val="nil"/>
            </w:tcBorders>
            <w:vAlign w:val="bottom"/>
            <w:hideMark/>
          </w:tcPr>
          <w:p w14:paraId="697C4170"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81.26 </w:t>
            </w:r>
          </w:p>
        </w:tc>
        <w:tc>
          <w:tcPr>
            <w:tcW w:w="980" w:type="dxa"/>
            <w:tcBorders>
              <w:top w:val="nil"/>
              <w:left w:val="nil"/>
              <w:bottom w:val="nil"/>
              <w:right w:val="nil"/>
            </w:tcBorders>
            <w:vAlign w:val="bottom"/>
            <w:hideMark/>
          </w:tcPr>
          <w:p w14:paraId="5EE7666A"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83.48 </w:t>
            </w:r>
          </w:p>
        </w:tc>
        <w:tc>
          <w:tcPr>
            <w:tcW w:w="980" w:type="dxa"/>
            <w:tcBorders>
              <w:top w:val="nil"/>
              <w:left w:val="nil"/>
              <w:bottom w:val="nil"/>
              <w:right w:val="nil"/>
            </w:tcBorders>
            <w:vAlign w:val="bottom"/>
            <w:hideMark/>
          </w:tcPr>
          <w:p w14:paraId="6E50CC98"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83.32 </w:t>
            </w:r>
          </w:p>
        </w:tc>
      </w:tr>
      <w:tr w:rsidR="00C91732" w:rsidRPr="00A553B9" w14:paraId="77B55C88" w14:textId="77777777" w:rsidTr="00C91732">
        <w:trPr>
          <w:trHeight w:val="255"/>
        </w:trPr>
        <w:tc>
          <w:tcPr>
            <w:tcW w:w="4340" w:type="dxa"/>
            <w:tcBorders>
              <w:top w:val="nil"/>
              <w:left w:val="nil"/>
              <w:bottom w:val="nil"/>
              <w:right w:val="nil"/>
            </w:tcBorders>
            <w:noWrap/>
            <w:vAlign w:val="bottom"/>
            <w:hideMark/>
          </w:tcPr>
          <w:p w14:paraId="3A4E8A79"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Payable Days (Days Payable Outstanding - DPO)</w:t>
            </w:r>
          </w:p>
        </w:tc>
        <w:tc>
          <w:tcPr>
            <w:tcW w:w="1220" w:type="dxa"/>
            <w:tcBorders>
              <w:top w:val="nil"/>
              <w:left w:val="nil"/>
              <w:bottom w:val="nil"/>
              <w:right w:val="nil"/>
            </w:tcBorders>
            <w:vAlign w:val="bottom"/>
            <w:hideMark/>
          </w:tcPr>
          <w:p w14:paraId="72231D6B"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18.84 </w:t>
            </w:r>
          </w:p>
        </w:tc>
        <w:tc>
          <w:tcPr>
            <w:tcW w:w="980" w:type="dxa"/>
            <w:tcBorders>
              <w:top w:val="nil"/>
              <w:left w:val="nil"/>
              <w:bottom w:val="nil"/>
              <w:right w:val="nil"/>
            </w:tcBorders>
            <w:vAlign w:val="bottom"/>
            <w:hideMark/>
          </w:tcPr>
          <w:p w14:paraId="482C8D6D"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35.96 </w:t>
            </w:r>
          </w:p>
        </w:tc>
        <w:tc>
          <w:tcPr>
            <w:tcW w:w="980" w:type="dxa"/>
            <w:tcBorders>
              <w:top w:val="nil"/>
              <w:left w:val="nil"/>
              <w:bottom w:val="nil"/>
              <w:right w:val="nil"/>
            </w:tcBorders>
            <w:vAlign w:val="bottom"/>
            <w:hideMark/>
          </w:tcPr>
          <w:p w14:paraId="703A7CAA"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38.44 </w:t>
            </w:r>
          </w:p>
        </w:tc>
        <w:tc>
          <w:tcPr>
            <w:tcW w:w="980" w:type="dxa"/>
            <w:tcBorders>
              <w:top w:val="nil"/>
              <w:left w:val="nil"/>
              <w:bottom w:val="nil"/>
              <w:right w:val="nil"/>
            </w:tcBorders>
            <w:vAlign w:val="bottom"/>
            <w:hideMark/>
          </w:tcPr>
          <w:p w14:paraId="0ECD7F72"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37.65 </w:t>
            </w:r>
          </w:p>
        </w:tc>
        <w:tc>
          <w:tcPr>
            <w:tcW w:w="980" w:type="dxa"/>
            <w:tcBorders>
              <w:top w:val="nil"/>
              <w:left w:val="nil"/>
              <w:bottom w:val="nil"/>
              <w:right w:val="nil"/>
            </w:tcBorders>
            <w:vAlign w:val="bottom"/>
            <w:hideMark/>
          </w:tcPr>
          <w:p w14:paraId="7C9EEB49"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36.50 </w:t>
            </w:r>
          </w:p>
        </w:tc>
      </w:tr>
      <w:tr w:rsidR="00C91732" w:rsidRPr="00A553B9" w14:paraId="058AB422" w14:textId="77777777" w:rsidTr="00C91732">
        <w:trPr>
          <w:trHeight w:val="255"/>
        </w:trPr>
        <w:tc>
          <w:tcPr>
            <w:tcW w:w="4340" w:type="dxa"/>
            <w:tcBorders>
              <w:top w:val="nil"/>
              <w:left w:val="nil"/>
              <w:bottom w:val="nil"/>
              <w:right w:val="nil"/>
            </w:tcBorders>
            <w:vAlign w:val="bottom"/>
            <w:hideMark/>
          </w:tcPr>
          <w:p w14:paraId="03ABC7EB"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Receivable Days (Days Sales Outstanding - DSO)</w:t>
            </w:r>
          </w:p>
        </w:tc>
        <w:tc>
          <w:tcPr>
            <w:tcW w:w="1220" w:type="dxa"/>
            <w:tcBorders>
              <w:top w:val="nil"/>
              <w:left w:val="nil"/>
              <w:bottom w:val="nil"/>
              <w:right w:val="nil"/>
            </w:tcBorders>
            <w:vAlign w:val="bottom"/>
            <w:hideMark/>
          </w:tcPr>
          <w:p w14:paraId="7021353F"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13.57 </w:t>
            </w:r>
          </w:p>
        </w:tc>
        <w:tc>
          <w:tcPr>
            <w:tcW w:w="980" w:type="dxa"/>
            <w:tcBorders>
              <w:top w:val="nil"/>
              <w:left w:val="nil"/>
              <w:bottom w:val="nil"/>
              <w:right w:val="nil"/>
            </w:tcBorders>
            <w:vAlign w:val="bottom"/>
            <w:hideMark/>
          </w:tcPr>
          <w:p w14:paraId="4504988A"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24.82 </w:t>
            </w:r>
          </w:p>
        </w:tc>
        <w:tc>
          <w:tcPr>
            <w:tcW w:w="980" w:type="dxa"/>
            <w:tcBorders>
              <w:top w:val="nil"/>
              <w:left w:val="nil"/>
              <w:bottom w:val="nil"/>
              <w:right w:val="nil"/>
            </w:tcBorders>
            <w:vAlign w:val="bottom"/>
            <w:hideMark/>
          </w:tcPr>
          <w:p w14:paraId="5C5CBA47"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23.62 </w:t>
            </w:r>
          </w:p>
        </w:tc>
        <w:tc>
          <w:tcPr>
            <w:tcW w:w="980" w:type="dxa"/>
            <w:tcBorders>
              <w:top w:val="nil"/>
              <w:left w:val="nil"/>
              <w:bottom w:val="nil"/>
              <w:right w:val="nil"/>
            </w:tcBorders>
            <w:vAlign w:val="bottom"/>
            <w:hideMark/>
          </w:tcPr>
          <w:p w14:paraId="6C630EF5"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22.23 </w:t>
            </w:r>
          </w:p>
        </w:tc>
        <w:tc>
          <w:tcPr>
            <w:tcW w:w="980" w:type="dxa"/>
            <w:tcBorders>
              <w:top w:val="nil"/>
              <w:left w:val="nil"/>
              <w:bottom w:val="nil"/>
              <w:right w:val="nil"/>
            </w:tcBorders>
            <w:vAlign w:val="bottom"/>
            <w:hideMark/>
          </w:tcPr>
          <w:p w14:paraId="2F41ACB0"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21.30 </w:t>
            </w:r>
          </w:p>
        </w:tc>
      </w:tr>
      <w:tr w:rsidR="00C91732" w:rsidRPr="00A553B9" w14:paraId="6B90A36B" w14:textId="77777777" w:rsidTr="00C91732">
        <w:trPr>
          <w:trHeight w:val="255"/>
        </w:trPr>
        <w:tc>
          <w:tcPr>
            <w:tcW w:w="4340" w:type="dxa"/>
            <w:tcBorders>
              <w:top w:val="nil"/>
              <w:left w:val="nil"/>
              <w:bottom w:val="nil"/>
              <w:right w:val="nil"/>
            </w:tcBorders>
            <w:vAlign w:val="bottom"/>
            <w:hideMark/>
          </w:tcPr>
          <w:p w14:paraId="352D27D0"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Cash Conversion Cycle (CCC)</w:t>
            </w:r>
          </w:p>
        </w:tc>
        <w:tc>
          <w:tcPr>
            <w:tcW w:w="1220" w:type="dxa"/>
            <w:tcBorders>
              <w:top w:val="nil"/>
              <w:left w:val="nil"/>
              <w:bottom w:val="nil"/>
              <w:right w:val="nil"/>
            </w:tcBorders>
            <w:vAlign w:val="bottom"/>
            <w:hideMark/>
          </w:tcPr>
          <w:p w14:paraId="205D1787"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32.68 </w:t>
            </w:r>
          </w:p>
        </w:tc>
        <w:tc>
          <w:tcPr>
            <w:tcW w:w="980" w:type="dxa"/>
            <w:tcBorders>
              <w:top w:val="nil"/>
              <w:left w:val="nil"/>
              <w:bottom w:val="nil"/>
              <w:right w:val="nil"/>
            </w:tcBorders>
            <w:vAlign w:val="bottom"/>
            <w:hideMark/>
          </w:tcPr>
          <w:p w14:paraId="2E5C5C07"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62.93 </w:t>
            </w:r>
          </w:p>
        </w:tc>
        <w:tc>
          <w:tcPr>
            <w:tcW w:w="980" w:type="dxa"/>
            <w:tcBorders>
              <w:top w:val="nil"/>
              <w:left w:val="nil"/>
              <w:bottom w:val="nil"/>
              <w:right w:val="nil"/>
            </w:tcBorders>
            <w:vAlign w:val="bottom"/>
            <w:hideMark/>
          </w:tcPr>
          <w:p w14:paraId="2843450C"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66.44 </w:t>
            </w:r>
          </w:p>
        </w:tc>
        <w:tc>
          <w:tcPr>
            <w:tcW w:w="980" w:type="dxa"/>
            <w:tcBorders>
              <w:top w:val="nil"/>
              <w:left w:val="nil"/>
              <w:bottom w:val="nil"/>
              <w:right w:val="nil"/>
            </w:tcBorders>
            <w:vAlign w:val="bottom"/>
            <w:hideMark/>
          </w:tcPr>
          <w:p w14:paraId="37BCA24B"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68.06 </w:t>
            </w:r>
          </w:p>
        </w:tc>
        <w:tc>
          <w:tcPr>
            <w:tcW w:w="980" w:type="dxa"/>
            <w:tcBorders>
              <w:top w:val="nil"/>
              <w:left w:val="nil"/>
              <w:bottom w:val="nil"/>
              <w:right w:val="nil"/>
            </w:tcBorders>
            <w:vAlign w:val="bottom"/>
            <w:hideMark/>
          </w:tcPr>
          <w:p w14:paraId="5AAAF548"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68.12 </w:t>
            </w:r>
          </w:p>
        </w:tc>
      </w:tr>
      <w:tr w:rsidR="00C91732" w:rsidRPr="00A553B9" w14:paraId="46557AD8" w14:textId="77777777" w:rsidTr="00C91732">
        <w:trPr>
          <w:trHeight w:val="255"/>
        </w:trPr>
        <w:tc>
          <w:tcPr>
            <w:tcW w:w="4340" w:type="dxa"/>
            <w:tcBorders>
              <w:top w:val="nil"/>
              <w:left w:val="nil"/>
              <w:bottom w:val="nil"/>
              <w:right w:val="nil"/>
            </w:tcBorders>
            <w:vAlign w:val="bottom"/>
            <w:hideMark/>
          </w:tcPr>
          <w:p w14:paraId="26DA3F07"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p>
        </w:tc>
        <w:tc>
          <w:tcPr>
            <w:tcW w:w="1220" w:type="dxa"/>
            <w:tcBorders>
              <w:top w:val="nil"/>
              <w:left w:val="nil"/>
              <w:bottom w:val="nil"/>
              <w:right w:val="nil"/>
            </w:tcBorders>
            <w:vAlign w:val="bottom"/>
            <w:hideMark/>
          </w:tcPr>
          <w:p w14:paraId="1DB0AC76"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1DD4F832"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0E425B07"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22AACC40"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0D6A6947" w14:textId="77777777" w:rsidR="00C91732" w:rsidRPr="00A553B9" w:rsidRDefault="00C91732" w:rsidP="00C91732">
            <w:pPr>
              <w:spacing w:after="0" w:line="240" w:lineRule="auto"/>
              <w:rPr>
                <w:rFonts w:ascii="Times New Roman" w:eastAsia="Times New Roman" w:hAnsi="Times New Roman" w:cs="Times New Roman"/>
                <w:sz w:val="20"/>
                <w:szCs w:val="20"/>
              </w:rPr>
            </w:pPr>
          </w:p>
        </w:tc>
      </w:tr>
      <w:tr w:rsidR="00C91732" w:rsidRPr="00A553B9" w14:paraId="1DA2D488" w14:textId="77777777" w:rsidTr="00C91732">
        <w:trPr>
          <w:trHeight w:val="255"/>
        </w:trPr>
        <w:tc>
          <w:tcPr>
            <w:tcW w:w="4340" w:type="dxa"/>
            <w:tcBorders>
              <w:top w:val="nil"/>
              <w:left w:val="nil"/>
              <w:bottom w:val="nil"/>
              <w:right w:val="nil"/>
            </w:tcBorders>
            <w:vAlign w:val="bottom"/>
            <w:hideMark/>
          </w:tcPr>
          <w:p w14:paraId="58569732"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1220" w:type="dxa"/>
            <w:tcBorders>
              <w:top w:val="nil"/>
              <w:left w:val="nil"/>
              <w:bottom w:val="nil"/>
              <w:right w:val="nil"/>
            </w:tcBorders>
            <w:vAlign w:val="bottom"/>
            <w:hideMark/>
          </w:tcPr>
          <w:p w14:paraId="0CF33421"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69239D18"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164E8A06"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5E11B5A9"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6872F80C" w14:textId="77777777" w:rsidR="00C91732" w:rsidRPr="00A553B9" w:rsidRDefault="00C91732" w:rsidP="00C91732">
            <w:pPr>
              <w:spacing w:after="0" w:line="240" w:lineRule="auto"/>
              <w:rPr>
                <w:rFonts w:ascii="Times New Roman" w:eastAsia="Times New Roman" w:hAnsi="Times New Roman" w:cs="Times New Roman"/>
                <w:sz w:val="20"/>
                <w:szCs w:val="20"/>
              </w:rPr>
            </w:pPr>
          </w:p>
        </w:tc>
      </w:tr>
      <w:tr w:rsidR="00C91732" w:rsidRPr="00A553B9" w14:paraId="25BACFAD" w14:textId="77777777" w:rsidTr="00C91732">
        <w:trPr>
          <w:trHeight w:val="255"/>
        </w:trPr>
        <w:tc>
          <w:tcPr>
            <w:tcW w:w="4340" w:type="dxa"/>
            <w:tcBorders>
              <w:top w:val="nil"/>
              <w:left w:val="nil"/>
              <w:bottom w:val="nil"/>
              <w:right w:val="nil"/>
            </w:tcBorders>
            <w:vAlign w:val="bottom"/>
            <w:hideMark/>
          </w:tcPr>
          <w:p w14:paraId="0AC015AA"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1220" w:type="dxa"/>
            <w:tcBorders>
              <w:top w:val="nil"/>
              <w:left w:val="nil"/>
              <w:bottom w:val="nil"/>
              <w:right w:val="nil"/>
            </w:tcBorders>
            <w:vAlign w:val="bottom"/>
            <w:hideMark/>
          </w:tcPr>
          <w:p w14:paraId="060BCD57"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0DD12706"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2BD2CF4C"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51676057"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05E7B942" w14:textId="77777777" w:rsidR="00C91732" w:rsidRPr="00A553B9" w:rsidRDefault="00C91732" w:rsidP="00C91732">
            <w:pPr>
              <w:spacing w:after="0" w:line="240" w:lineRule="auto"/>
              <w:rPr>
                <w:rFonts w:ascii="Times New Roman" w:eastAsia="Times New Roman" w:hAnsi="Times New Roman" w:cs="Times New Roman"/>
                <w:sz w:val="20"/>
                <w:szCs w:val="20"/>
              </w:rPr>
            </w:pPr>
          </w:p>
        </w:tc>
      </w:tr>
      <w:tr w:rsidR="00C91732" w:rsidRPr="00A553B9" w14:paraId="00FCCA9E" w14:textId="77777777" w:rsidTr="00C91732">
        <w:trPr>
          <w:trHeight w:val="255"/>
        </w:trPr>
        <w:tc>
          <w:tcPr>
            <w:tcW w:w="4340" w:type="dxa"/>
            <w:tcBorders>
              <w:top w:val="nil"/>
              <w:left w:val="nil"/>
              <w:bottom w:val="nil"/>
              <w:right w:val="nil"/>
            </w:tcBorders>
            <w:noWrap/>
            <w:vAlign w:val="bottom"/>
            <w:hideMark/>
          </w:tcPr>
          <w:p w14:paraId="0ABDEA41" w14:textId="77777777" w:rsidR="00C91732" w:rsidRPr="00A553B9" w:rsidRDefault="00C91732" w:rsidP="00C91732">
            <w:pPr>
              <w:spacing w:after="0" w:line="240" w:lineRule="auto"/>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Gearing Ratios</w:t>
            </w:r>
          </w:p>
        </w:tc>
        <w:tc>
          <w:tcPr>
            <w:tcW w:w="1220" w:type="dxa"/>
            <w:tcBorders>
              <w:top w:val="nil"/>
              <w:left w:val="nil"/>
              <w:bottom w:val="nil"/>
              <w:right w:val="nil"/>
            </w:tcBorders>
            <w:vAlign w:val="bottom"/>
            <w:hideMark/>
          </w:tcPr>
          <w:p w14:paraId="32D08140"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2021</w:t>
            </w:r>
          </w:p>
        </w:tc>
        <w:tc>
          <w:tcPr>
            <w:tcW w:w="980" w:type="dxa"/>
            <w:tcBorders>
              <w:top w:val="nil"/>
              <w:left w:val="nil"/>
              <w:bottom w:val="nil"/>
              <w:right w:val="nil"/>
            </w:tcBorders>
            <w:vAlign w:val="bottom"/>
            <w:hideMark/>
          </w:tcPr>
          <w:p w14:paraId="03FB5297"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2022</w:t>
            </w:r>
          </w:p>
        </w:tc>
        <w:tc>
          <w:tcPr>
            <w:tcW w:w="980" w:type="dxa"/>
            <w:tcBorders>
              <w:top w:val="nil"/>
              <w:left w:val="nil"/>
              <w:bottom w:val="nil"/>
              <w:right w:val="nil"/>
            </w:tcBorders>
            <w:vAlign w:val="bottom"/>
            <w:hideMark/>
          </w:tcPr>
          <w:p w14:paraId="5B9C1244"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2023</w:t>
            </w:r>
          </w:p>
        </w:tc>
        <w:tc>
          <w:tcPr>
            <w:tcW w:w="980" w:type="dxa"/>
            <w:tcBorders>
              <w:top w:val="nil"/>
              <w:left w:val="nil"/>
              <w:bottom w:val="nil"/>
              <w:right w:val="nil"/>
            </w:tcBorders>
            <w:vAlign w:val="bottom"/>
            <w:hideMark/>
          </w:tcPr>
          <w:p w14:paraId="0D75A960"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2024</w:t>
            </w:r>
          </w:p>
        </w:tc>
        <w:tc>
          <w:tcPr>
            <w:tcW w:w="980" w:type="dxa"/>
            <w:tcBorders>
              <w:top w:val="nil"/>
              <w:left w:val="nil"/>
              <w:bottom w:val="nil"/>
              <w:right w:val="nil"/>
            </w:tcBorders>
            <w:vAlign w:val="bottom"/>
            <w:hideMark/>
          </w:tcPr>
          <w:p w14:paraId="75EF8636"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2025</w:t>
            </w:r>
          </w:p>
        </w:tc>
      </w:tr>
      <w:tr w:rsidR="00C91732" w:rsidRPr="00A553B9" w14:paraId="280C79C9" w14:textId="77777777" w:rsidTr="00C91732">
        <w:trPr>
          <w:trHeight w:val="255"/>
        </w:trPr>
        <w:tc>
          <w:tcPr>
            <w:tcW w:w="4340" w:type="dxa"/>
            <w:tcBorders>
              <w:top w:val="nil"/>
              <w:left w:val="nil"/>
              <w:bottom w:val="nil"/>
              <w:right w:val="nil"/>
            </w:tcBorders>
            <w:noWrap/>
            <w:vAlign w:val="bottom"/>
            <w:hideMark/>
          </w:tcPr>
          <w:p w14:paraId="7CF5D2C1"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Debt-to-Equity</w:t>
            </w:r>
          </w:p>
        </w:tc>
        <w:tc>
          <w:tcPr>
            <w:tcW w:w="1220" w:type="dxa"/>
            <w:tcBorders>
              <w:top w:val="nil"/>
              <w:left w:val="nil"/>
              <w:bottom w:val="nil"/>
              <w:right w:val="nil"/>
            </w:tcBorders>
            <w:vAlign w:val="bottom"/>
            <w:hideMark/>
          </w:tcPr>
          <w:p w14:paraId="7DA341A1"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2.55 </w:t>
            </w:r>
          </w:p>
        </w:tc>
        <w:tc>
          <w:tcPr>
            <w:tcW w:w="980" w:type="dxa"/>
            <w:tcBorders>
              <w:top w:val="nil"/>
              <w:left w:val="nil"/>
              <w:bottom w:val="nil"/>
              <w:right w:val="nil"/>
            </w:tcBorders>
            <w:vAlign w:val="bottom"/>
            <w:hideMark/>
          </w:tcPr>
          <w:p w14:paraId="7B19AB1B"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2.00 </w:t>
            </w:r>
          </w:p>
        </w:tc>
        <w:tc>
          <w:tcPr>
            <w:tcW w:w="980" w:type="dxa"/>
            <w:tcBorders>
              <w:top w:val="nil"/>
              <w:left w:val="nil"/>
              <w:bottom w:val="nil"/>
              <w:right w:val="nil"/>
            </w:tcBorders>
            <w:vAlign w:val="bottom"/>
            <w:hideMark/>
          </w:tcPr>
          <w:p w14:paraId="22C6211F"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1.83 </w:t>
            </w:r>
          </w:p>
        </w:tc>
        <w:tc>
          <w:tcPr>
            <w:tcW w:w="980" w:type="dxa"/>
            <w:tcBorders>
              <w:top w:val="nil"/>
              <w:left w:val="nil"/>
              <w:bottom w:val="nil"/>
              <w:right w:val="nil"/>
            </w:tcBorders>
            <w:vAlign w:val="bottom"/>
            <w:hideMark/>
          </w:tcPr>
          <w:p w14:paraId="25F174E9"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1.83 </w:t>
            </w:r>
          </w:p>
        </w:tc>
        <w:tc>
          <w:tcPr>
            <w:tcW w:w="980" w:type="dxa"/>
            <w:tcBorders>
              <w:top w:val="nil"/>
              <w:left w:val="nil"/>
              <w:bottom w:val="nil"/>
              <w:right w:val="nil"/>
            </w:tcBorders>
            <w:vAlign w:val="bottom"/>
            <w:hideMark/>
          </w:tcPr>
          <w:p w14:paraId="3B1ECF88"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1.71 </w:t>
            </w:r>
          </w:p>
        </w:tc>
      </w:tr>
      <w:tr w:rsidR="00C91732" w:rsidRPr="00A553B9" w14:paraId="4F849EC1" w14:textId="77777777" w:rsidTr="00C91732">
        <w:trPr>
          <w:trHeight w:val="255"/>
        </w:trPr>
        <w:tc>
          <w:tcPr>
            <w:tcW w:w="4340" w:type="dxa"/>
            <w:tcBorders>
              <w:top w:val="nil"/>
              <w:left w:val="nil"/>
              <w:bottom w:val="nil"/>
              <w:right w:val="nil"/>
            </w:tcBorders>
            <w:noWrap/>
            <w:vAlign w:val="bottom"/>
            <w:hideMark/>
          </w:tcPr>
          <w:p w14:paraId="01A8E4A6"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Interest Coverage</w:t>
            </w:r>
          </w:p>
        </w:tc>
        <w:tc>
          <w:tcPr>
            <w:tcW w:w="1220" w:type="dxa"/>
            <w:tcBorders>
              <w:top w:val="nil"/>
              <w:left w:val="nil"/>
              <w:bottom w:val="nil"/>
              <w:right w:val="nil"/>
            </w:tcBorders>
            <w:vAlign w:val="bottom"/>
            <w:hideMark/>
          </w:tcPr>
          <w:p w14:paraId="47585280"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37.36 </w:t>
            </w:r>
          </w:p>
        </w:tc>
        <w:tc>
          <w:tcPr>
            <w:tcW w:w="980" w:type="dxa"/>
            <w:tcBorders>
              <w:top w:val="nil"/>
              <w:left w:val="nil"/>
              <w:bottom w:val="nil"/>
              <w:right w:val="nil"/>
            </w:tcBorders>
            <w:vAlign w:val="bottom"/>
            <w:hideMark/>
          </w:tcPr>
          <w:p w14:paraId="2261DA0F"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47.91 </w:t>
            </w:r>
          </w:p>
        </w:tc>
        <w:tc>
          <w:tcPr>
            <w:tcW w:w="980" w:type="dxa"/>
            <w:tcBorders>
              <w:top w:val="nil"/>
              <w:left w:val="nil"/>
              <w:bottom w:val="nil"/>
              <w:right w:val="nil"/>
            </w:tcBorders>
            <w:vAlign w:val="bottom"/>
            <w:hideMark/>
          </w:tcPr>
          <w:p w14:paraId="1EF7436C"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77.40 </w:t>
            </w:r>
          </w:p>
        </w:tc>
        <w:tc>
          <w:tcPr>
            <w:tcW w:w="980" w:type="dxa"/>
            <w:tcBorders>
              <w:top w:val="nil"/>
              <w:left w:val="nil"/>
              <w:bottom w:val="nil"/>
              <w:right w:val="nil"/>
            </w:tcBorders>
            <w:vAlign w:val="bottom"/>
            <w:hideMark/>
          </w:tcPr>
          <w:p w14:paraId="0EE25523"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71.57 </w:t>
            </w:r>
          </w:p>
        </w:tc>
        <w:tc>
          <w:tcPr>
            <w:tcW w:w="980" w:type="dxa"/>
            <w:tcBorders>
              <w:top w:val="nil"/>
              <w:left w:val="nil"/>
              <w:bottom w:val="nil"/>
              <w:right w:val="nil"/>
            </w:tcBorders>
            <w:vAlign w:val="bottom"/>
            <w:hideMark/>
          </w:tcPr>
          <w:p w14:paraId="1BE8DD75"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36.60 </w:t>
            </w:r>
          </w:p>
        </w:tc>
      </w:tr>
      <w:tr w:rsidR="00C91732" w:rsidRPr="00A553B9" w14:paraId="5268E88B" w14:textId="77777777" w:rsidTr="00C91732">
        <w:trPr>
          <w:trHeight w:val="255"/>
        </w:trPr>
        <w:tc>
          <w:tcPr>
            <w:tcW w:w="4340" w:type="dxa"/>
            <w:tcBorders>
              <w:top w:val="nil"/>
              <w:left w:val="nil"/>
              <w:bottom w:val="nil"/>
              <w:right w:val="nil"/>
            </w:tcBorders>
            <w:vAlign w:val="bottom"/>
            <w:hideMark/>
          </w:tcPr>
          <w:p w14:paraId="2DCB365E"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p>
        </w:tc>
        <w:tc>
          <w:tcPr>
            <w:tcW w:w="1220" w:type="dxa"/>
            <w:tcBorders>
              <w:top w:val="nil"/>
              <w:left w:val="nil"/>
              <w:bottom w:val="nil"/>
              <w:right w:val="nil"/>
            </w:tcBorders>
            <w:vAlign w:val="bottom"/>
            <w:hideMark/>
          </w:tcPr>
          <w:p w14:paraId="67F18F56"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3914B241"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6A07438C"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33B74D31"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1A1929E5" w14:textId="77777777" w:rsidR="00C91732" w:rsidRPr="00A553B9" w:rsidRDefault="00C91732" w:rsidP="00C91732">
            <w:pPr>
              <w:spacing w:after="0" w:line="240" w:lineRule="auto"/>
              <w:rPr>
                <w:rFonts w:ascii="Times New Roman" w:eastAsia="Times New Roman" w:hAnsi="Times New Roman" w:cs="Times New Roman"/>
                <w:sz w:val="20"/>
                <w:szCs w:val="20"/>
              </w:rPr>
            </w:pPr>
          </w:p>
        </w:tc>
      </w:tr>
      <w:tr w:rsidR="00C91732" w:rsidRPr="00A553B9" w14:paraId="4F3BFB96" w14:textId="77777777" w:rsidTr="00C91732">
        <w:trPr>
          <w:trHeight w:val="255"/>
        </w:trPr>
        <w:tc>
          <w:tcPr>
            <w:tcW w:w="4340" w:type="dxa"/>
            <w:tcBorders>
              <w:top w:val="nil"/>
              <w:left w:val="nil"/>
              <w:bottom w:val="nil"/>
              <w:right w:val="nil"/>
            </w:tcBorders>
            <w:vAlign w:val="bottom"/>
            <w:hideMark/>
          </w:tcPr>
          <w:p w14:paraId="1DADF8BC" w14:textId="77777777" w:rsidR="00C91732" w:rsidRPr="00A553B9" w:rsidRDefault="00C91732" w:rsidP="00C91732">
            <w:pPr>
              <w:spacing w:after="0" w:line="240" w:lineRule="auto"/>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Investment Ratios</w:t>
            </w:r>
          </w:p>
        </w:tc>
        <w:tc>
          <w:tcPr>
            <w:tcW w:w="1220" w:type="dxa"/>
            <w:tcBorders>
              <w:top w:val="nil"/>
              <w:left w:val="nil"/>
              <w:bottom w:val="nil"/>
              <w:right w:val="nil"/>
            </w:tcBorders>
            <w:vAlign w:val="bottom"/>
            <w:hideMark/>
          </w:tcPr>
          <w:p w14:paraId="362C0EC7"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2021</w:t>
            </w:r>
          </w:p>
        </w:tc>
        <w:tc>
          <w:tcPr>
            <w:tcW w:w="980" w:type="dxa"/>
            <w:tcBorders>
              <w:top w:val="nil"/>
              <w:left w:val="nil"/>
              <w:bottom w:val="nil"/>
              <w:right w:val="nil"/>
            </w:tcBorders>
            <w:vAlign w:val="bottom"/>
            <w:hideMark/>
          </w:tcPr>
          <w:p w14:paraId="533FB0E6"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2022</w:t>
            </w:r>
          </w:p>
        </w:tc>
        <w:tc>
          <w:tcPr>
            <w:tcW w:w="980" w:type="dxa"/>
            <w:tcBorders>
              <w:top w:val="nil"/>
              <w:left w:val="nil"/>
              <w:bottom w:val="nil"/>
              <w:right w:val="nil"/>
            </w:tcBorders>
            <w:vAlign w:val="bottom"/>
            <w:hideMark/>
          </w:tcPr>
          <w:p w14:paraId="4D7241C5"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2023</w:t>
            </w:r>
          </w:p>
        </w:tc>
        <w:tc>
          <w:tcPr>
            <w:tcW w:w="980" w:type="dxa"/>
            <w:tcBorders>
              <w:top w:val="nil"/>
              <w:left w:val="nil"/>
              <w:bottom w:val="nil"/>
              <w:right w:val="nil"/>
            </w:tcBorders>
            <w:vAlign w:val="bottom"/>
            <w:hideMark/>
          </w:tcPr>
          <w:p w14:paraId="3351F0B8"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2024</w:t>
            </w:r>
          </w:p>
        </w:tc>
        <w:tc>
          <w:tcPr>
            <w:tcW w:w="980" w:type="dxa"/>
            <w:tcBorders>
              <w:top w:val="nil"/>
              <w:left w:val="nil"/>
              <w:bottom w:val="nil"/>
              <w:right w:val="nil"/>
            </w:tcBorders>
            <w:vAlign w:val="bottom"/>
            <w:hideMark/>
          </w:tcPr>
          <w:p w14:paraId="698C87A0"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2025</w:t>
            </w:r>
          </w:p>
        </w:tc>
      </w:tr>
      <w:tr w:rsidR="00C91732" w:rsidRPr="00A553B9" w14:paraId="546AC3BD" w14:textId="77777777" w:rsidTr="00C91732">
        <w:trPr>
          <w:trHeight w:val="270"/>
        </w:trPr>
        <w:tc>
          <w:tcPr>
            <w:tcW w:w="4340" w:type="dxa"/>
            <w:tcBorders>
              <w:top w:val="nil"/>
              <w:left w:val="nil"/>
              <w:bottom w:val="nil"/>
              <w:right w:val="nil"/>
            </w:tcBorders>
            <w:vAlign w:val="bottom"/>
            <w:hideMark/>
          </w:tcPr>
          <w:p w14:paraId="4B2F8A00"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Earnings Per Share (EPS)</w:t>
            </w:r>
          </w:p>
        </w:tc>
        <w:tc>
          <w:tcPr>
            <w:tcW w:w="1220" w:type="dxa"/>
            <w:tcBorders>
              <w:top w:val="nil"/>
              <w:left w:val="nil"/>
              <w:bottom w:val="nil"/>
              <w:right w:val="nil"/>
            </w:tcBorders>
            <w:vAlign w:val="bottom"/>
            <w:hideMark/>
          </w:tcPr>
          <w:p w14:paraId="79CDFA0A"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21.5</w:t>
            </w:r>
          </w:p>
        </w:tc>
        <w:tc>
          <w:tcPr>
            <w:tcW w:w="980" w:type="dxa"/>
            <w:tcBorders>
              <w:top w:val="nil"/>
              <w:left w:val="nil"/>
              <w:bottom w:val="nil"/>
              <w:right w:val="nil"/>
            </w:tcBorders>
            <w:vAlign w:val="bottom"/>
            <w:hideMark/>
          </w:tcPr>
          <w:p w14:paraId="6DFE3BE1"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13.55</w:t>
            </w:r>
          </w:p>
        </w:tc>
        <w:tc>
          <w:tcPr>
            <w:tcW w:w="980" w:type="dxa"/>
            <w:tcBorders>
              <w:top w:val="nil"/>
              <w:left w:val="nil"/>
              <w:bottom w:val="nil"/>
              <w:right w:val="nil"/>
            </w:tcBorders>
            <w:vAlign w:val="bottom"/>
            <w:hideMark/>
          </w:tcPr>
          <w:p w14:paraId="4D4C1675"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13.46</w:t>
            </w:r>
          </w:p>
        </w:tc>
        <w:tc>
          <w:tcPr>
            <w:tcW w:w="980" w:type="dxa"/>
            <w:tcBorders>
              <w:top w:val="nil"/>
              <w:left w:val="nil"/>
              <w:bottom w:val="nil"/>
              <w:right w:val="nil"/>
            </w:tcBorders>
            <w:vAlign w:val="bottom"/>
            <w:hideMark/>
          </w:tcPr>
          <w:p w14:paraId="7B0659BF"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10.19</w:t>
            </w:r>
          </w:p>
        </w:tc>
        <w:tc>
          <w:tcPr>
            <w:tcW w:w="980" w:type="dxa"/>
            <w:tcBorders>
              <w:top w:val="nil"/>
              <w:left w:val="nil"/>
              <w:bottom w:val="nil"/>
              <w:right w:val="nil"/>
            </w:tcBorders>
            <w:vAlign w:val="bottom"/>
            <w:hideMark/>
          </w:tcPr>
          <w:p w14:paraId="3DADED06"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5.34</w:t>
            </w:r>
          </w:p>
        </w:tc>
      </w:tr>
      <w:tr w:rsidR="00C91732" w:rsidRPr="00A553B9" w14:paraId="49C8AFBB" w14:textId="77777777" w:rsidTr="00C91732">
        <w:trPr>
          <w:trHeight w:val="270"/>
        </w:trPr>
        <w:tc>
          <w:tcPr>
            <w:tcW w:w="4340" w:type="dxa"/>
            <w:tcBorders>
              <w:top w:val="nil"/>
              <w:left w:val="nil"/>
              <w:bottom w:val="nil"/>
              <w:right w:val="nil"/>
            </w:tcBorders>
            <w:noWrap/>
            <w:vAlign w:val="bottom"/>
            <w:hideMark/>
          </w:tcPr>
          <w:p w14:paraId="1EE40B38"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Price-to-Earnings Ratio (P/E)</w:t>
            </w:r>
          </w:p>
        </w:tc>
        <w:tc>
          <w:tcPr>
            <w:tcW w:w="1220" w:type="dxa"/>
            <w:tcBorders>
              <w:top w:val="nil"/>
              <w:left w:val="nil"/>
              <w:bottom w:val="nil"/>
              <w:right w:val="nil"/>
            </w:tcBorders>
            <w:vAlign w:val="bottom"/>
            <w:hideMark/>
          </w:tcPr>
          <w:p w14:paraId="2D8F29DA"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3.15 </w:t>
            </w:r>
          </w:p>
        </w:tc>
        <w:tc>
          <w:tcPr>
            <w:tcW w:w="980" w:type="dxa"/>
            <w:tcBorders>
              <w:top w:val="nil"/>
              <w:left w:val="nil"/>
              <w:bottom w:val="nil"/>
              <w:right w:val="nil"/>
            </w:tcBorders>
            <w:vAlign w:val="bottom"/>
            <w:hideMark/>
          </w:tcPr>
          <w:p w14:paraId="6845671C"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4.54 </w:t>
            </w:r>
          </w:p>
        </w:tc>
        <w:tc>
          <w:tcPr>
            <w:tcW w:w="980" w:type="dxa"/>
            <w:tcBorders>
              <w:top w:val="nil"/>
              <w:left w:val="nil"/>
              <w:bottom w:val="nil"/>
              <w:right w:val="nil"/>
            </w:tcBorders>
            <w:vAlign w:val="bottom"/>
            <w:hideMark/>
          </w:tcPr>
          <w:p w14:paraId="499191FC"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4.65 </w:t>
            </w:r>
          </w:p>
        </w:tc>
        <w:tc>
          <w:tcPr>
            <w:tcW w:w="980" w:type="dxa"/>
            <w:tcBorders>
              <w:top w:val="nil"/>
              <w:left w:val="nil"/>
              <w:bottom w:val="nil"/>
              <w:right w:val="nil"/>
            </w:tcBorders>
            <w:vAlign w:val="bottom"/>
            <w:hideMark/>
          </w:tcPr>
          <w:p w14:paraId="709A5134"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5.26 </w:t>
            </w:r>
          </w:p>
        </w:tc>
        <w:tc>
          <w:tcPr>
            <w:tcW w:w="980" w:type="dxa"/>
            <w:tcBorders>
              <w:top w:val="nil"/>
              <w:left w:val="nil"/>
              <w:bottom w:val="nil"/>
              <w:right w:val="nil"/>
            </w:tcBorders>
            <w:vAlign w:val="bottom"/>
            <w:hideMark/>
          </w:tcPr>
          <w:p w14:paraId="6B2A1DDE"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 xml:space="preserve">            9.94 </w:t>
            </w:r>
          </w:p>
        </w:tc>
      </w:tr>
      <w:tr w:rsidR="00C91732" w:rsidRPr="00A553B9" w14:paraId="52668B5B" w14:textId="77777777" w:rsidTr="00C91732">
        <w:trPr>
          <w:trHeight w:val="255"/>
        </w:trPr>
        <w:tc>
          <w:tcPr>
            <w:tcW w:w="4340" w:type="dxa"/>
            <w:tcBorders>
              <w:top w:val="nil"/>
              <w:left w:val="nil"/>
              <w:bottom w:val="nil"/>
              <w:right w:val="nil"/>
            </w:tcBorders>
            <w:vAlign w:val="bottom"/>
            <w:hideMark/>
          </w:tcPr>
          <w:p w14:paraId="330A69EF"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p>
        </w:tc>
        <w:tc>
          <w:tcPr>
            <w:tcW w:w="1220" w:type="dxa"/>
            <w:tcBorders>
              <w:top w:val="nil"/>
              <w:left w:val="nil"/>
              <w:bottom w:val="nil"/>
              <w:right w:val="nil"/>
            </w:tcBorders>
            <w:vAlign w:val="bottom"/>
            <w:hideMark/>
          </w:tcPr>
          <w:p w14:paraId="318EB6DD"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4B0A093C"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5B11318A"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3DA666CE" w14:textId="77777777" w:rsidR="00C91732" w:rsidRPr="00A553B9" w:rsidRDefault="00C91732" w:rsidP="00C91732">
            <w:pPr>
              <w:spacing w:after="0" w:line="240" w:lineRule="auto"/>
              <w:rPr>
                <w:rFonts w:ascii="Times New Roman" w:eastAsia="Times New Roman" w:hAnsi="Times New Roman" w:cs="Times New Roman"/>
                <w:sz w:val="20"/>
                <w:szCs w:val="20"/>
              </w:rPr>
            </w:pPr>
          </w:p>
        </w:tc>
        <w:tc>
          <w:tcPr>
            <w:tcW w:w="980" w:type="dxa"/>
            <w:tcBorders>
              <w:top w:val="nil"/>
              <w:left w:val="nil"/>
              <w:bottom w:val="nil"/>
              <w:right w:val="nil"/>
            </w:tcBorders>
            <w:vAlign w:val="bottom"/>
            <w:hideMark/>
          </w:tcPr>
          <w:p w14:paraId="33C2C75A" w14:textId="77777777" w:rsidR="00C91732" w:rsidRPr="00A553B9" w:rsidRDefault="00C91732" w:rsidP="00C91732">
            <w:pPr>
              <w:spacing w:after="0" w:line="240" w:lineRule="auto"/>
              <w:rPr>
                <w:rFonts w:ascii="Times New Roman" w:eastAsia="Times New Roman" w:hAnsi="Times New Roman" w:cs="Times New Roman"/>
                <w:sz w:val="20"/>
                <w:szCs w:val="20"/>
              </w:rPr>
            </w:pPr>
          </w:p>
        </w:tc>
      </w:tr>
      <w:tr w:rsidR="00C91732" w:rsidRPr="00A553B9" w14:paraId="3394C368" w14:textId="77777777" w:rsidTr="00C91732">
        <w:trPr>
          <w:trHeight w:val="255"/>
        </w:trPr>
        <w:tc>
          <w:tcPr>
            <w:tcW w:w="4340" w:type="dxa"/>
            <w:tcBorders>
              <w:top w:val="nil"/>
              <w:left w:val="nil"/>
              <w:bottom w:val="nil"/>
              <w:right w:val="nil"/>
            </w:tcBorders>
            <w:noWrap/>
            <w:vAlign w:val="bottom"/>
            <w:hideMark/>
          </w:tcPr>
          <w:p w14:paraId="42FCFCB9" w14:textId="77777777" w:rsidR="00C91732" w:rsidRPr="00A553B9" w:rsidRDefault="00C91732" w:rsidP="00C91732">
            <w:pPr>
              <w:spacing w:after="0" w:line="240" w:lineRule="auto"/>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Cash Flow</w:t>
            </w:r>
          </w:p>
        </w:tc>
        <w:tc>
          <w:tcPr>
            <w:tcW w:w="1220" w:type="dxa"/>
            <w:tcBorders>
              <w:top w:val="nil"/>
              <w:left w:val="nil"/>
              <w:bottom w:val="nil"/>
              <w:right w:val="nil"/>
            </w:tcBorders>
            <w:vAlign w:val="bottom"/>
            <w:hideMark/>
          </w:tcPr>
          <w:p w14:paraId="7E7816CD"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2021</w:t>
            </w:r>
          </w:p>
        </w:tc>
        <w:tc>
          <w:tcPr>
            <w:tcW w:w="980" w:type="dxa"/>
            <w:tcBorders>
              <w:top w:val="nil"/>
              <w:left w:val="nil"/>
              <w:bottom w:val="nil"/>
              <w:right w:val="nil"/>
            </w:tcBorders>
            <w:vAlign w:val="bottom"/>
            <w:hideMark/>
          </w:tcPr>
          <w:p w14:paraId="600FAF41"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2022</w:t>
            </w:r>
          </w:p>
        </w:tc>
        <w:tc>
          <w:tcPr>
            <w:tcW w:w="980" w:type="dxa"/>
            <w:tcBorders>
              <w:top w:val="nil"/>
              <w:left w:val="nil"/>
              <w:bottom w:val="nil"/>
              <w:right w:val="nil"/>
            </w:tcBorders>
            <w:vAlign w:val="bottom"/>
            <w:hideMark/>
          </w:tcPr>
          <w:p w14:paraId="54C34952"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2023</w:t>
            </w:r>
          </w:p>
        </w:tc>
        <w:tc>
          <w:tcPr>
            <w:tcW w:w="980" w:type="dxa"/>
            <w:tcBorders>
              <w:top w:val="nil"/>
              <w:left w:val="nil"/>
              <w:bottom w:val="nil"/>
              <w:right w:val="nil"/>
            </w:tcBorders>
            <w:vAlign w:val="bottom"/>
            <w:hideMark/>
          </w:tcPr>
          <w:p w14:paraId="62E0C087"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2024</w:t>
            </w:r>
          </w:p>
        </w:tc>
        <w:tc>
          <w:tcPr>
            <w:tcW w:w="980" w:type="dxa"/>
            <w:tcBorders>
              <w:top w:val="nil"/>
              <w:left w:val="nil"/>
              <w:bottom w:val="nil"/>
              <w:right w:val="nil"/>
            </w:tcBorders>
            <w:vAlign w:val="bottom"/>
            <w:hideMark/>
          </w:tcPr>
          <w:p w14:paraId="6346F0E7" w14:textId="77777777" w:rsidR="00C91732" w:rsidRPr="00A553B9" w:rsidRDefault="00C91732" w:rsidP="00C91732">
            <w:pPr>
              <w:spacing w:after="0" w:line="240" w:lineRule="auto"/>
              <w:jc w:val="right"/>
              <w:rPr>
                <w:rFonts w:ascii="Times New Roman" w:eastAsia="Times New Roman" w:hAnsi="Times New Roman" w:cs="Times New Roman"/>
                <w:b/>
                <w:bCs/>
                <w:color w:val="000000"/>
                <w:sz w:val="20"/>
                <w:szCs w:val="20"/>
              </w:rPr>
            </w:pPr>
            <w:r w:rsidRPr="00A553B9">
              <w:rPr>
                <w:rFonts w:ascii="Times New Roman" w:eastAsia="Times New Roman" w:hAnsi="Times New Roman" w:cs="Times New Roman"/>
                <w:b/>
                <w:bCs/>
                <w:color w:val="000000"/>
                <w:sz w:val="20"/>
                <w:szCs w:val="20"/>
              </w:rPr>
              <w:t>2025</w:t>
            </w:r>
          </w:p>
        </w:tc>
      </w:tr>
      <w:tr w:rsidR="00C91732" w:rsidRPr="00A553B9" w14:paraId="2A0D0DE3" w14:textId="77777777" w:rsidTr="00C91732">
        <w:trPr>
          <w:trHeight w:val="255"/>
        </w:trPr>
        <w:tc>
          <w:tcPr>
            <w:tcW w:w="4340" w:type="dxa"/>
            <w:tcBorders>
              <w:top w:val="nil"/>
              <w:left w:val="nil"/>
              <w:bottom w:val="nil"/>
              <w:right w:val="nil"/>
            </w:tcBorders>
            <w:noWrap/>
            <w:vAlign w:val="bottom"/>
            <w:hideMark/>
          </w:tcPr>
          <w:p w14:paraId="6D193F6D"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Free Cash Flow (FCF)</w:t>
            </w:r>
          </w:p>
        </w:tc>
        <w:tc>
          <w:tcPr>
            <w:tcW w:w="1220" w:type="dxa"/>
            <w:tcBorders>
              <w:top w:val="nil"/>
              <w:left w:val="nil"/>
              <w:bottom w:val="nil"/>
              <w:right w:val="nil"/>
            </w:tcBorders>
            <w:vAlign w:val="bottom"/>
            <w:hideMark/>
          </w:tcPr>
          <w:p w14:paraId="7CA31FD8"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19,970</w:t>
            </w:r>
          </w:p>
        </w:tc>
        <w:tc>
          <w:tcPr>
            <w:tcW w:w="980" w:type="dxa"/>
            <w:tcBorders>
              <w:top w:val="nil"/>
              <w:left w:val="nil"/>
              <w:bottom w:val="nil"/>
              <w:right w:val="nil"/>
            </w:tcBorders>
            <w:vAlign w:val="bottom"/>
            <w:hideMark/>
          </w:tcPr>
          <w:p w14:paraId="1909AD5D"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13,413</w:t>
            </w:r>
          </w:p>
        </w:tc>
        <w:tc>
          <w:tcPr>
            <w:tcW w:w="980" w:type="dxa"/>
            <w:tcBorders>
              <w:top w:val="nil"/>
              <w:left w:val="nil"/>
              <w:bottom w:val="nil"/>
              <w:right w:val="nil"/>
            </w:tcBorders>
            <w:vAlign w:val="bottom"/>
            <w:hideMark/>
          </w:tcPr>
          <w:p w14:paraId="234C810F"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10,725</w:t>
            </w:r>
          </w:p>
        </w:tc>
        <w:tc>
          <w:tcPr>
            <w:tcW w:w="980" w:type="dxa"/>
            <w:tcBorders>
              <w:top w:val="nil"/>
              <w:left w:val="nil"/>
              <w:bottom w:val="nil"/>
              <w:right w:val="nil"/>
            </w:tcBorders>
            <w:vAlign w:val="bottom"/>
            <w:hideMark/>
          </w:tcPr>
          <w:p w14:paraId="48FFDFBC"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13,696</w:t>
            </w:r>
          </w:p>
        </w:tc>
        <w:tc>
          <w:tcPr>
            <w:tcW w:w="980" w:type="dxa"/>
            <w:tcBorders>
              <w:top w:val="nil"/>
              <w:left w:val="nil"/>
              <w:bottom w:val="nil"/>
              <w:right w:val="nil"/>
            </w:tcBorders>
            <w:vAlign w:val="bottom"/>
            <w:hideMark/>
          </w:tcPr>
          <w:p w14:paraId="1B370D7C"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12,524</w:t>
            </w:r>
          </w:p>
        </w:tc>
      </w:tr>
      <w:tr w:rsidR="00C91732" w:rsidRPr="00A553B9" w14:paraId="6A96FB94" w14:textId="77777777" w:rsidTr="00C91732">
        <w:trPr>
          <w:trHeight w:val="255"/>
        </w:trPr>
        <w:tc>
          <w:tcPr>
            <w:tcW w:w="4340" w:type="dxa"/>
            <w:tcBorders>
              <w:top w:val="nil"/>
              <w:left w:val="nil"/>
              <w:bottom w:val="nil"/>
              <w:right w:val="nil"/>
            </w:tcBorders>
            <w:vAlign w:val="bottom"/>
            <w:hideMark/>
          </w:tcPr>
          <w:p w14:paraId="51DA8E03" w14:textId="77777777" w:rsidR="00C91732" w:rsidRPr="00A553B9" w:rsidRDefault="00C91732" w:rsidP="00C91732">
            <w:pPr>
              <w:spacing w:after="0" w:line="240" w:lineRule="auto"/>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FCF Yield</w:t>
            </w:r>
          </w:p>
        </w:tc>
        <w:tc>
          <w:tcPr>
            <w:tcW w:w="1220" w:type="dxa"/>
            <w:tcBorders>
              <w:top w:val="nil"/>
              <w:left w:val="nil"/>
              <w:bottom w:val="nil"/>
              <w:right w:val="nil"/>
            </w:tcBorders>
            <w:vAlign w:val="bottom"/>
            <w:hideMark/>
          </w:tcPr>
          <w:p w14:paraId="4886ED0B"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27.56%</w:t>
            </w:r>
          </w:p>
        </w:tc>
        <w:tc>
          <w:tcPr>
            <w:tcW w:w="980" w:type="dxa"/>
            <w:tcBorders>
              <w:top w:val="nil"/>
              <w:left w:val="nil"/>
              <w:bottom w:val="nil"/>
              <w:right w:val="nil"/>
            </w:tcBorders>
            <w:vAlign w:val="bottom"/>
            <w:hideMark/>
          </w:tcPr>
          <w:p w14:paraId="7B40A4AC"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20.38%</w:t>
            </w:r>
          </w:p>
        </w:tc>
        <w:tc>
          <w:tcPr>
            <w:tcW w:w="980" w:type="dxa"/>
            <w:tcBorders>
              <w:top w:val="nil"/>
              <w:left w:val="nil"/>
              <w:bottom w:val="nil"/>
              <w:right w:val="nil"/>
            </w:tcBorders>
            <w:vAlign w:val="bottom"/>
            <w:hideMark/>
          </w:tcPr>
          <w:p w14:paraId="79FA46FA"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16.01%</w:t>
            </w:r>
          </w:p>
        </w:tc>
        <w:tc>
          <w:tcPr>
            <w:tcW w:w="980" w:type="dxa"/>
            <w:tcBorders>
              <w:top w:val="nil"/>
              <w:left w:val="nil"/>
              <w:bottom w:val="nil"/>
              <w:right w:val="nil"/>
            </w:tcBorders>
            <w:vAlign w:val="bottom"/>
            <w:hideMark/>
          </w:tcPr>
          <w:p w14:paraId="1181E5A0"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23.65%</w:t>
            </w:r>
          </w:p>
        </w:tc>
        <w:tc>
          <w:tcPr>
            <w:tcW w:w="980" w:type="dxa"/>
            <w:tcBorders>
              <w:top w:val="nil"/>
              <w:left w:val="nil"/>
              <w:bottom w:val="nil"/>
              <w:right w:val="nil"/>
            </w:tcBorders>
            <w:vAlign w:val="bottom"/>
            <w:hideMark/>
          </w:tcPr>
          <w:p w14:paraId="3F52E7E4" w14:textId="77777777" w:rsidR="00C91732" w:rsidRPr="00A553B9" w:rsidRDefault="00C91732" w:rsidP="00C91732">
            <w:pPr>
              <w:spacing w:after="0" w:line="240" w:lineRule="auto"/>
              <w:jc w:val="right"/>
              <w:rPr>
                <w:rFonts w:ascii="Times New Roman" w:eastAsia="Times New Roman" w:hAnsi="Times New Roman" w:cs="Times New Roman"/>
                <w:color w:val="000000"/>
                <w:sz w:val="20"/>
                <w:szCs w:val="20"/>
              </w:rPr>
            </w:pPr>
            <w:r w:rsidRPr="00A553B9">
              <w:rPr>
                <w:rFonts w:ascii="Times New Roman" w:eastAsia="Times New Roman" w:hAnsi="Times New Roman" w:cs="Times New Roman"/>
                <w:color w:val="000000"/>
                <w:sz w:val="20"/>
                <w:szCs w:val="20"/>
              </w:rPr>
              <w:t>21.84%</w:t>
            </w:r>
          </w:p>
        </w:tc>
      </w:tr>
    </w:tbl>
    <w:p w14:paraId="5757CB60" w14:textId="77777777" w:rsidR="00AE7BFA" w:rsidRPr="00A553B9" w:rsidRDefault="00AE7BFA" w:rsidP="00AE7BFA"/>
    <w:p w14:paraId="20153DA1" w14:textId="54B7B991" w:rsidR="007D3DDE" w:rsidRPr="00A553B9" w:rsidRDefault="007D3DDE" w:rsidP="009E21FB">
      <w:pPr>
        <w:pStyle w:val="Heading2"/>
        <w:rPr>
          <w:rFonts w:ascii="Arial" w:hAnsi="Arial" w:cs="Arial"/>
          <w:color w:val="auto"/>
          <w:szCs w:val="24"/>
        </w:rPr>
      </w:pPr>
      <w:bookmarkStart w:id="59" w:name="_Toc225717208"/>
      <w:r w:rsidRPr="00A553B9">
        <w:rPr>
          <w:rFonts w:ascii="Arial" w:hAnsi="Arial" w:cs="Arial"/>
          <w:color w:val="auto"/>
          <w:szCs w:val="24"/>
        </w:rPr>
        <w:lastRenderedPageBreak/>
        <w:t xml:space="preserve">Appendix </w:t>
      </w:r>
      <w:r w:rsidR="005A5450" w:rsidRPr="00A553B9">
        <w:rPr>
          <w:rFonts w:ascii="Arial" w:hAnsi="Arial" w:cs="Arial"/>
          <w:color w:val="auto"/>
          <w:szCs w:val="24"/>
        </w:rPr>
        <w:t>D</w:t>
      </w:r>
      <w:r w:rsidRPr="00A553B9">
        <w:rPr>
          <w:rFonts w:ascii="Arial" w:hAnsi="Arial" w:cs="Arial"/>
          <w:color w:val="auto"/>
          <w:szCs w:val="24"/>
        </w:rPr>
        <w:t xml:space="preserve">. </w:t>
      </w:r>
      <w:r w:rsidR="005A5450" w:rsidRPr="00A553B9">
        <w:rPr>
          <w:rFonts w:ascii="Arial" w:hAnsi="Arial" w:cs="Arial"/>
          <w:color w:val="auto"/>
          <w:szCs w:val="24"/>
        </w:rPr>
        <w:t>Graphs</w:t>
      </w:r>
      <w:bookmarkEnd w:id="59"/>
    </w:p>
    <w:p w14:paraId="4A4F1E2A" w14:textId="5B2B9D5E" w:rsidR="005A5450" w:rsidRPr="00A553B9" w:rsidRDefault="00173FF2" w:rsidP="009059CE">
      <w:pPr>
        <w:jc w:val="center"/>
      </w:pPr>
      <w:r w:rsidRPr="00A553B9">
        <w:rPr>
          <w:noProof/>
        </w:rPr>
        <w:drawing>
          <wp:inline distT="0" distB="0" distL="0" distR="0" wp14:anchorId="33410E1E" wp14:editId="331B53A6">
            <wp:extent cx="4572000" cy="2743200"/>
            <wp:effectExtent l="0" t="0" r="0" b="0"/>
            <wp:docPr id="427457903" name="Chart 1">
              <a:extLst xmlns:a="http://schemas.openxmlformats.org/drawingml/2006/main">
                <a:ext uri="{FF2B5EF4-FFF2-40B4-BE49-F238E27FC236}">
                  <a16:creationId xmlns:a16="http://schemas.microsoft.com/office/drawing/2014/main" id="{8CDA1030-7BB4-E159-926E-DC35290687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13BC65A" w14:textId="18B26804" w:rsidR="00FF6751" w:rsidRPr="00A553B9" w:rsidRDefault="00862845" w:rsidP="009059CE">
      <w:pPr>
        <w:jc w:val="center"/>
      </w:pPr>
      <w:r w:rsidRPr="00A553B9">
        <w:rPr>
          <w:noProof/>
        </w:rPr>
        <w:drawing>
          <wp:inline distT="0" distB="0" distL="0" distR="0" wp14:anchorId="0F4D3201" wp14:editId="1F840DF5">
            <wp:extent cx="4572000" cy="2743200"/>
            <wp:effectExtent l="0" t="0" r="0" b="0"/>
            <wp:docPr id="466262355" name="Chart 1">
              <a:extLst xmlns:a="http://schemas.openxmlformats.org/drawingml/2006/main">
                <a:ext uri="{FF2B5EF4-FFF2-40B4-BE49-F238E27FC236}">
                  <a16:creationId xmlns:a16="http://schemas.microsoft.com/office/drawing/2014/main" id="{0EA73731-BE94-6A8D-241A-C0507A2A42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34A19C5" w14:textId="7D5CD447" w:rsidR="00FF6751" w:rsidRPr="00A553B9" w:rsidRDefault="000A025B" w:rsidP="009059CE">
      <w:pPr>
        <w:jc w:val="center"/>
      </w:pPr>
      <w:r w:rsidRPr="00A553B9">
        <w:rPr>
          <w:noProof/>
        </w:rPr>
        <w:drawing>
          <wp:inline distT="0" distB="0" distL="0" distR="0" wp14:anchorId="6D48B029" wp14:editId="219B070D">
            <wp:extent cx="4572000" cy="2743200"/>
            <wp:effectExtent l="0" t="0" r="0" b="0"/>
            <wp:docPr id="1946687097" name="Chart 1">
              <a:extLst xmlns:a="http://schemas.openxmlformats.org/drawingml/2006/main">
                <a:ext uri="{FF2B5EF4-FFF2-40B4-BE49-F238E27FC236}">
                  <a16:creationId xmlns:a16="http://schemas.microsoft.com/office/drawing/2014/main" id="{435F3A70-58C2-6B31-84FE-6CDB5483B0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2ECB63B" w14:textId="5C59B7C5" w:rsidR="004A174B" w:rsidRPr="00A553B9" w:rsidRDefault="000A025B" w:rsidP="009059CE">
      <w:pPr>
        <w:jc w:val="center"/>
      </w:pPr>
      <w:r w:rsidRPr="00A553B9">
        <w:rPr>
          <w:noProof/>
        </w:rPr>
        <w:lastRenderedPageBreak/>
        <w:drawing>
          <wp:inline distT="0" distB="0" distL="0" distR="0" wp14:anchorId="78EBDB4D" wp14:editId="01046B75">
            <wp:extent cx="4572000" cy="2743200"/>
            <wp:effectExtent l="0" t="0" r="0" b="0"/>
            <wp:docPr id="1635080028" name="Chart 1">
              <a:extLst xmlns:a="http://schemas.openxmlformats.org/drawingml/2006/main">
                <a:ext uri="{FF2B5EF4-FFF2-40B4-BE49-F238E27FC236}">
                  <a16:creationId xmlns:a16="http://schemas.microsoft.com/office/drawing/2014/main" id="{A1F867AE-FAA7-1CA9-B8FB-554594E151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09709082" w14:textId="3BEEB466" w:rsidR="00C64AAC" w:rsidRPr="00A553B9" w:rsidRDefault="00866CA8" w:rsidP="009059CE">
      <w:pPr>
        <w:jc w:val="center"/>
      </w:pPr>
      <w:r w:rsidRPr="00A553B9">
        <w:rPr>
          <w:noProof/>
        </w:rPr>
        <w:drawing>
          <wp:inline distT="0" distB="0" distL="0" distR="0" wp14:anchorId="4F8B6E77" wp14:editId="3319BB06">
            <wp:extent cx="4572000" cy="2743200"/>
            <wp:effectExtent l="0" t="0" r="0" b="0"/>
            <wp:docPr id="1693141570" name="Chart 1">
              <a:extLst xmlns:a="http://schemas.openxmlformats.org/drawingml/2006/main">
                <a:ext uri="{FF2B5EF4-FFF2-40B4-BE49-F238E27FC236}">
                  <a16:creationId xmlns:a16="http://schemas.microsoft.com/office/drawing/2014/main" id="{F0415AC1-ED46-12A8-8316-3A8B446883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BBDB580" w14:textId="009D6195" w:rsidR="00C64AAC" w:rsidRPr="00A553B9" w:rsidRDefault="009059CE" w:rsidP="009059CE">
      <w:pPr>
        <w:jc w:val="center"/>
      </w:pPr>
      <w:r w:rsidRPr="00A553B9">
        <w:rPr>
          <w:noProof/>
        </w:rPr>
        <w:drawing>
          <wp:inline distT="0" distB="0" distL="0" distR="0" wp14:anchorId="30B548E0" wp14:editId="5CE950D3">
            <wp:extent cx="5867400" cy="2871787"/>
            <wp:effectExtent l="0" t="0" r="0" b="5080"/>
            <wp:docPr id="1391542330" name="Chart 1">
              <a:extLst xmlns:a="http://schemas.openxmlformats.org/drawingml/2006/main">
                <a:ext uri="{FF2B5EF4-FFF2-40B4-BE49-F238E27FC236}">
                  <a16:creationId xmlns:a16="http://schemas.microsoft.com/office/drawing/2014/main" id="{A541C1DD-16D4-DFD1-7388-CCFECEF621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61658AA2" w14:textId="1D537523" w:rsidR="005508B8" w:rsidRPr="00105D1F" w:rsidRDefault="005508B8" w:rsidP="009E21FB">
      <w:pPr>
        <w:pStyle w:val="ListBullet"/>
        <w:numPr>
          <w:ilvl w:val="0"/>
          <w:numId w:val="0"/>
        </w:numPr>
        <w:ind w:left="360" w:hanging="360"/>
        <w:rPr>
          <w:rFonts w:cs="Arial"/>
          <w:szCs w:val="24"/>
        </w:rPr>
      </w:pPr>
    </w:p>
    <w:sectPr w:rsidR="005508B8" w:rsidRPr="00105D1F" w:rsidSect="006F46AA">
      <w:footerReference w:type="default" r:id="rId40"/>
      <w:pgSz w:w="11906" w:h="16838" w:code="9"/>
      <w:pgMar w:top="1152" w:right="1296" w:bottom="100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7A893" w14:textId="77777777" w:rsidR="00863197" w:rsidRPr="00A553B9" w:rsidRDefault="00863197">
      <w:pPr>
        <w:spacing w:after="0" w:line="240" w:lineRule="auto"/>
      </w:pPr>
      <w:r w:rsidRPr="00A553B9">
        <w:separator/>
      </w:r>
    </w:p>
  </w:endnote>
  <w:endnote w:type="continuationSeparator" w:id="0">
    <w:p w14:paraId="5916A66C" w14:textId="77777777" w:rsidR="00863197" w:rsidRPr="00A553B9" w:rsidRDefault="00863197">
      <w:pPr>
        <w:spacing w:after="0" w:line="240" w:lineRule="auto"/>
      </w:pPr>
      <w:r w:rsidRPr="00A553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6039F" w14:textId="77777777" w:rsidR="005508B8" w:rsidRPr="00A553B9" w:rsidRDefault="006D4139">
    <w:pPr>
      <w:pStyle w:val="Footer"/>
      <w:jc w:val="center"/>
    </w:pPr>
    <w:r w:rsidRPr="00A553B9">
      <w:fldChar w:fldCharType="begin"/>
    </w:r>
    <w:r w:rsidRPr="00A553B9">
      <w:instrText>PAGE</w:instrText>
    </w:r>
    <w:r w:rsidRPr="00A553B9">
      <w:fldChar w:fldCharType="separate"/>
    </w:r>
    <w:r w:rsidRPr="00A553B9">
      <w:t>1</w:t>
    </w:r>
    <w:r w:rsidRPr="00A553B9">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A1045" w14:textId="77777777" w:rsidR="00863197" w:rsidRPr="00A553B9" w:rsidRDefault="00863197">
      <w:pPr>
        <w:spacing w:after="0" w:line="240" w:lineRule="auto"/>
      </w:pPr>
      <w:r w:rsidRPr="00A553B9">
        <w:separator/>
      </w:r>
    </w:p>
  </w:footnote>
  <w:footnote w:type="continuationSeparator" w:id="0">
    <w:p w14:paraId="557EF963" w14:textId="77777777" w:rsidR="00863197" w:rsidRPr="00A553B9" w:rsidRDefault="00863197">
      <w:pPr>
        <w:spacing w:after="0" w:line="240" w:lineRule="auto"/>
      </w:pPr>
      <w:r w:rsidRPr="00A553B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19106572">
    <w:abstractNumId w:val="8"/>
  </w:num>
  <w:num w:numId="2" w16cid:durableId="935601648">
    <w:abstractNumId w:val="6"/>
  </w:num>
  <w:num w:numId="3" w16cid:durableId="511645519">
    <w:abstractNumId w:val="5"/>
  </w:num>
  <w:num w:numId="4" w16cid:durableId="1911498987">
    <w:abstractNumId w:val="4"/>
  </w:num>
  <w:num w:numId="5" w16cid:durableId="1536310357">
    <w:abstractNumId w:val="7"/>
  </w:num>
  <w:num w:numId="6" w16cid:durableId="1640913103">
    <w:abstractNumId w:val="3"/>
  </w:num>
  <w:num w:numId="7" w16cid:durableId="553006336">
    <w:abstractNumId w:val="2"/>
  </w:num>
  <w:num w:numId="8" w16cid:durableId="283460926">
    <w:abstractNumId w:val="1"/>
  </w:num>
  <w:num w:numId="9" w16cid:durableId="1023556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DA1sDSwMLI0MjGzMDRX0lEKTi0uzszPAymwqAUAbWQp7SwAAAA="/>
  </w:docVars>
  <w:rsids>
    <w:rsidRoot w:val="00B47730"/>
    <w:rsid w:val="00007C1B"/>
    <w:rsid w:val="00013B9D"/>
    <w:rsid w:val="000215A5"/>
    <w:rsid w:val="00031633"/>
    <w:rsid w:val="00034616"/>
    <w:rsid w:val="00040B30"/>
    <w:rsid w:val="0004484C"/>
    <w:rsid w:val="0005183D"/>
    <w:rsid w:val="00054A9E"/>
    <w:rsid w:val="00055E39"/>
    <w:rsid w:val="0006063C"/>
    <w:rsid w:val="00076829"/>
    <w:rsid w:val="00076E71"/>
    <w:rsid w:val="00082D0F"/>
    <w:rsid w:val="00085DEF"/>
    <w:rsid w:val="0009283C"/>
    <w:rsid w:val="00095017"/>
    <w:rsid w:val="00096DC3"/>
    <w:rsid w:val="00097E46"/>
    <w:rsid w:val="000A025B"/>
    <w:rsid w:val="000A03F2"/>
    <w:rsid w:val="000A0EF3"/>
    <w:rsid w:val="000B787F"/>
    <w:rsid w:val="000C0606"/>
    <w:rsid w:val="000C10A2"/>
    <w:rsid w:val="000C26DF"/>
    <w:rsid w:val="000C5CA6"/>
    <w:rsid w:val="00101AAF"/>
    <w:rsid w:val="00104E34"/>
    <w:rsid w:val="00105D1F"/>
    <w:rsid w:val="0011116E"/>
    <w:rsid w:val="0011388B"/>
    <w:rsid w:val="0011431A"/>
    <w:rsid w:val="00117625"/>
    <w:rsid w:val="00125A19"/>
    <w:rsid w:val="00131877"/>
    <w:rsid w:val="0013277F"/>
    <w:rsid w:val="00133F02"/>
    <w:rsid w:val="0014232F"/>
    <w:rsid w:val="001454B7"/>
    <w:rsid w:val="0015074B"/>
    <w:rsid w:val="00162D76"/>
    <w:rsid w:val="0017283A"/>
    <w:rsid w:val="00173FF2"/>
    <w:rsid w:val="00185F45"/>
    <w:rsid w:val="001A0D94"/>
    <w:rsid w:val="001A3A4D"/>
    <w:rsid w:val="001B5F5E"/>
    <w:rsid w:val="001C194B"/>
    <w:rsid w:val="001C2EB1"/>
    <w:rsid w:val="001C4EE4"/>
    <w:rsid w:val="00206E9B"/>
    <w:rsid w:val="00211DA1"/>
    <w:rsid w:val="002148B8"/>
    <w:rsid w:val="00221356"/>
    <w:rsid w:val="00227191"/>
    <w:rsid w:val="002401FD"/>
    <w:rsid w:val="00245265"/>
    <w:rsid w:val="00247E16"/>
    <w:rsid w:val="00253E22"/>
    <w:rsid w:val="00255494"/>
    <w:rsid w:val="00256E47"/>
    <w:rsid w:val="002675C7"/>
    <w:rsid w:val="0027781F"/>
    <w:rsid w:val="00280600"/>
    <w:rsid w:val="00284921"/>
    <w:rsid w:val="0029639D"/>
    <w:rsid w:val="002968ED"/>
    <w:rsid w:val="002A5DE1"/>
    <w:rsid w:val="002C6E01"/>
    <w:rsid w:val="002D6E09"/>
    <w:rsid w:val="002F5B74"/>
    <w:rsid w:val="00305BEF"/>
    <w:rsid w:val="003223DA"/>
    <w:rsid w:val="00325EAE"/>
    <w:rsid w:val="00326F90"/>
    <w:rsid w:val="00333B23"/>
    <w:rsid w:val="00362999"/>
    <w:rsid w:val="0036537A"/>
    <w:rsid w:val="0036645C"/>
    <w:rsid w:val="00381F70"/>
    <w:rsid w:val="00382B21"/>
    <w:rsid w:val="003B5699"/>
    <w:rsid w:val="003C3321"/>
    <w:rsid w:val="003E787E"/>
    <w:rsid w:val="004017A0"/>
    <w:rsid w:val="00403B6B"/>
    <w:rsid w:val="0040632F"/>
    <w:rsid w:val="00411948"/>
    <w:rsid w:val="00411F16"/>
    <w:rsid w:val="00421BB8"/>
    <w:rsid w:val="00431F3F"/>
    <w:rsid w:val="00450FC1"/>
    <w:rsid w:val="004602EA"/>
    <w:rsid w:val="004612CD"/>
    <w:rsid w:val="0048471E"/>
    <w:rsid w:val="00485860"/>
    <w:rsid w:val="004969CE"/>
    <w:rsid w:val="004A174B"/>
    <w:rsid w:val="004B1BFF"/>
    <w:rsid w:val="004B2185"/>
    <w:rsid w:val="004C25DE"/>
    <w:rsid w:val="004E099E"/>
    <w:rsid w:val="004F368A"/>
    <w:rsid w:val="004F5DA6"/>
    <w:rsid w:val="004F69E6"/>
    <w:rsid w:val="00513EED"/>
    <w:rsid w:val="005203C6"/>
    <w:rsid w:val="0052088E"/>
    <w:rsid w:val="00534072"/>
    <w:rsid w:val="00543995"/>
    <w:rsid w:val="00544821"/>
    <w:rsid w:val="00545993"/>
    <w:rsid w:val="00545AB9"/>
    <w:rsid w:val="005508B8"/>
    <w:rsid w:val="00574234"/>
    <w:rsid w:val="005770CF"/>
    <w:rsid w:val="00585F1E"/>
    <w:rsid w:val="005A4E1F"/>
    <w:rsid w:val="005A5450"/>
    <w:rsid w:val="005B4BD7"/>
    <w:rsid w:val="005C68ED"/>
    <w:rsid w:val="005D1FD2"/>
    <w:rsid w:val="005D42CC"/>
    <w:rsid w:val="005E4AE3"/>
    <w:rsid w:val="006054C1"/>
    <w:rsid w:val="00605713"/>
    <w:rsid w:val="00607E85"/>
    <w:rsid w:val="00617911"/>
    <w:rsid w:val="0062240D"/>
    <w:rsid w:val="00623AE4"/>
    <w:rsid w:val="006369D4"/>
    <w:rsid w:val="00644909"/>
    <w:rsid w:val="00654A75"/>
    <w:rsid w:val="00657ADA"/>
    <w:rsid w:val="0066195D"/>
    <w:rsid w:val="00662D20"/>
    <w:rsid w:val="006701EB"/>
    <w:rsid w:val="00670418"/>
    <w:rsid w:val="00671256"/>
    <w:rsid w:val="00672B49"/>
    <w:rsid w:val="006743A0"/>
    <w:rsid w:val="00683AEF"/>
    <w:rsid w:val="00684217"/>
    <w:rsid w:val="00691D8F"/>
    <w:rsid w:val="006A1982"/>
    <w:rsid w:val="006A2C21"/>
    <w:rsid w:val="006C1595"/>
    <w:rsid w:val="006D125C"/>
    <w:rsid w:val="006D1BC4"/>
    <w:rsid w:val="006D4139"/>
    <w:rsid w:val="006D746B"/>
    <w:rsid w:val="006D7B84"/>
    <w:rsid w:val="006E08C8"/>
    <w:rsid w:val="006F46AA"/>
    <w:rsid w:val="007054BE"/>
    <w:rsid w:val="00705C26"/>
    <w:rsid w:val="00706F76"/>
    <w:rsid w:val="007070B5"/>
    <w:rsid w:val="0071585F"/>
    <w:rsid w:val="00716315"/>
    <w:rsid w:val="0072259D"/>
    <w:rsid w:val="00726009"/>
    <w:rsid w:val="00730567"/>
    <w:rsid w:val="00735A2D"/>
    <w:rsid w:val="0073665D"/>
    <w:rsid w:val="00736E74"/>
    <w:rsid w:val="00737E1D"/>
    <w:rsid w:val="007405F3"/>
    <w:rsid w:val="00745CE2"/>
    <w:rsid w:val="007645EC"/>
    <w:rsid w:val="007A5E6E"/>
    <w:rsid w:val="007B6CBB"/>
    <w:rsid w:val="007C2A3B"/>
    <w:rsid w:val="007C544A"/>
    <w:rsid w:val="007D3DDE"/>
    <w:rsid w:val="007D627A"/>
    <w:rsid w:val="007E30F9"/>
    <w:rsid w:val="007F055E"/>
    <w:rsid w:val="00824F64"/>
    <w:rsid w:val="008263BE"/>
    <w:rsid w:val="00850BB8"/>
    <w:rsid w:val="00852572"/>
    <w:rsid w:val="008607FF"/>
    <w:rsid w:val="00862845"/>
    <w:rsid w:val="00863197"/>
    <w:rsid w:val="00864FC6"/>
    <w:rsid w:val="00866717"/>
    <w:rsid w:val="00866CA8"/>
    <w:rsid w:val="00875223"/>
    <w:rsid w:val="00880208"/>
    <w:rsid w:val="00881973"/>
    <w:rsid w:val="008846F9"/>
    <w:rsid w:val="00890F2E"/>
    <w:rsid w:val="00892BEA"/>
    <w:rsid w:val="0089388F"/>
    <w:rsid w:val="008B0A36"/>
    <w:rsid w:val="008B124B"/>
    <w:rsid w:val="008B473B"/>
    <w:rsid w:val="008B4B76"/>
    <w:rsid w:val="008B535C"/>
    <w:rsid w:val="008B6063"/>
    <w:rsid w:val="008B6D54"/>
    <w:rsid w:val="008C752A"/>
    <w:rsid w:val="008D0098"/>
    <w:rsid w:val="008D1BA4"/>
    <w:rsid w:val="008D24D9"/>
    <w:rsid w:val="008F3D05"/>
    <w:rsid w:val="008F4B9A"/>
    <w:rsid w:val="00901BCC"/>
    <w:rsid w:val="009059CE"/>
    <w:rsid w:val="009142FC"/>
    <w:rsid w:val="00930B9C"/>
    <w:rsid w:val="009348C0"/>
    <w:rsid w:val="00943DE2"/>
    <w:rsid w:val="009570A3"/>
    <w:rsid w:val="009709F2"/>
    <w:rsid w:val="009715E6"/>
    <w:rsid w:val="00982952"/>
    <w:rsid w:val="00992CA4"/>
    <w:rsid w:val="009964CC"/>
    <w:rsid w:val="009A452C"/>
    <w:rsid w:val="009A5D3C"/>
    <w:rsid w:val="009B6BDB"/>
    <w:rsid w:val="009C4285"/>
    <w:rsid w:val="009C6BE9"/>
    <w:rsid w:val="009D4E85"/>
    <w:rsid w:val="009E21FB"/>
    <w:rsid w:val="009F00AD"/>
    <w:rsid w:val="009F7806"/>
    <w:rsid w:val="00A17473"/>
    <w:rsid w:val="00A214E2"/>
    <w:rsid w:val="00A265EA"/>
    <w:rsid w:val="00A31B8F"/>
    <w:rsid w:val="00A553B9"/>
    <w:rsid w:val="00A61537"/>
    <w:rsid w:val="00A665D5"/>
    <w:rsid w:val="00A70238"/>
    <w:rsid w:val="00A72B37"/>
    <w:rsid w:val="00A74D41"/>
    <w:rsid w:val="00A82EFD"/>
    <w:rsid w:val="00A86964"/>
    <w:rsid w:val="00AA1D8D"/>
    <w:rsid w:val="00AA344B"/>
    <w:rsid w:val="00AB0F1A"/>
    <w:rsid w:val="00AB0FA8"/>
    <w:rsid w:val="00AB1885"/>
    <w:rsid w:val="00AB2A30"/>
    <w:rsid w:val="00AB3704"/>
    <w:rsid w:val="00AB3D39"/>
    <w:rsid w:val="00AC547C"/>
    <w:rsid w:val="00AC595F"/>
    <w:rsid w:val="00AC6A62"/>
    <w:rsid w:val="00AD18AF"/>
    <w:rsid w:val="00AE1C7A"/>
    <w:rsid w:val="00AE6309"/>
    <w:rsid w:val="00AE7BFA"/>
    <w:rsid w:val="00AF7D1D"/>
    <w:rsid w:val="00B00097"/>
    <w:rsid w:val="00B04140"/>
    <w:rsid w:val="00B0576B"/>
    <w:rsid w:val="00B10792"/>
    <w:rsid w:val="00B121F5"/>
    <w:rsid w:val="00B154C8"/>
    <w:rsid w:val="00B176D4"/>
    <w:rsid w:val="00B17708"/>
    <w:rsid w:val="00B475A7"/>
    <w:rsid w:val="00B47730"/>
    <w:rsid w:val="00B51D12"/>
    <w:rsid w:val="00B60C96"/>
    <w:rsid w:val="00B62C1A"/>
    <w:rsid w:val="00B800BF"/>
    <w:rsid w:val="00B90093"/>
    <w:rsid w:val="00B93CE3"/>
    <w:rsid w:val="00B94A8C"/>
    <w:rsid w:val="00B96038"/>
    <w:rsid w:val="00BA2F65"/>
    <w:rsid w:val="00BA5C53"/>
    <w:rsid w:val="00BA7D3E"/>
    <w:rsid w:val="00BB0684"/>
    <w:rsid w:val="00BB3481"/>
    <w:rsid w:val="00BC1754"/>
    <w:rsid w:val="00BC742A"/>
    <w:rsid w:val="00BD0D4F"/>
    <w:rsid w:val="00BD233B"/>
    <w:rsid w:val="00BD3E38"/>
    <w:rsid w:val="00BD5DBA"/>
    <w:rsid w:val="00BE6E45"/>
    <w:rsid w:val="00BE701A"/>
    <w:rsid w:val="00BE7A99"/>
    <w:rsid w:val="00BF011D"/>
    <w:rsid w:val="00C027FD"/>
    <w:rsid w:val="00C0727D"/>
    <w:rsid w:val="00C1591F"/>
    <w:rsid w:val="00C33C6B"/>
    <w:rsid w:val="00C34E37"/>
    <w:rsid w:val="00C36A35"/>
    <w:rsid w:val="00C5380B"/>
    <w:rsid w:val="00C63FEC"/>
    <w:rsid w:val="00C64AAC"/>
    <w:rsid w:val="00C737BB"/>
    <w:rsid w:val="00C91732"/>
    <w:rsid w:val="00C93AC1"/>
    <w:rsid w:val="00C96E9C"/>
    <w:rsid w:val="00CB02BB"/>
    <w:rsid w:val="00CB0664"/>
    <w:rsid w:val="00CC1710"/>
    <w:rsid w:val="00CD27B8"/>
    <w:rsid w:val="00CE16C2"/>
    <w:rsid w:val="00CE51F5"/>
    <w:rsid w:val="00CF0578"/>
    <w:rsid w:val="00CF08D4"/>
    <w:rsid w:val="00D051B6"/>
    <w:rsid w:val="00D234F9"/>
    <w:rsid w:val="00D269A2"/>
    <w:rsid w:val="00D34C31"/>
    <w:rsid w:val="00D40C34"/>
    <w:rsid w:val="00D4387F"/>
    <w:rsid w:val="00D510C4"/>
    <w:rsid w:val="00D6194E"/>
    <w:rsid w:val="00D65255"/>
    <w:rsid w:val="00D72B74"/>
    <w:rsid w:val="00D75532"/>
    <w:rsid w:val="00D76E10"/>
    <w:rsid w:val="00D854F8"/>
    <w:rsid w:val="00D86402"/>
    <w:rsid w:val="00D871BB"/>
    <w:rsid w:val="00D91CC6"/>
    <w:rsid w:val="00DB281C"/>
    <w:rsid w:val="00DE16C2"/>
    <w:rsid w:val="00DE4DFF"/>
    <w:rsid w:val="00DE678F"/>
    <w:rsid w:val="00DF7E63"/>
    <w:rsid w:val="00E071DD"/>
    <w:rsid w:val="00E20376"/>
    <w:rsid w:val="00E34A45"/>
    <w:rsid w:val="00E35897"/>
    <w:rsid w:val="00E5008F"/>
    <w:rsid w:val="00E52E72"/>
    <w:rsid w:val="00E61A01"/>
    <w:rsid w:val="00E715D8"/>
    <w:rsid w:val="00E7455F"/>
    <w:rsid w:val="00E8679F"/>
    <w:rsid w:val="00E93020"/>
    <w:rsid w:val="00E96D12"/>
    <w:rsid w:val="00EE1B3C"/>
    <w:rsid w:val="00EE389B"/>
    <w:rsid w:val="00EE3C93"/>
    <w:rsid w:val="00EE5287"/>
    <w:rsid w:val="00EF54D8"/>
    <w:rsid w:val="00EF7097"/>
    <w:rsid w:val="00F13F57"/>
    <w:rsid w:val="00F2361C"/>
    <w:rsid w:val="00F2383A"/>
    <w:rsid w:val="00F35BCE"/>
    <w:rsid w:val="00F414BA"/>
    <w:rsid w:val="00F527FA"/>
    <w:rsid w:val="00F616D2"/>
    <w:rsid w:val="00F635BB"/>
    <w:rsid w:val="00F837F3"/>
    <w:rsid w:val="00F84EDC"/>
    <w:rsid w:val="00F86F80"/>
    <w:rsid w:val="00F87652"/>
    <w:rsid w:val="00F91930"/>
    <w:rsid w:val="00F938DD"/>
    <w:rsid w:val="00FA538C"/>
    <w:rsid w:val="00FA6A12"/>
    <w:rsid w:val="00FB153D"/>
    <w:rsid w:val="00FB2631"/>
    <w:rsid w:val="00FC0483"/>
    <w:rsid w:val="00FC39D7"/>
    <w:rsid w:val="00FC693F"/>
    <w:rsid w:val="00FD0624"/>
    <w:rsid w:val="00FE5DAC"/>
    <w:rsid w:val="00FF6751"/>
  </w:rsids>
  <m:mathPr>
    <m:mathFont m:val="Cambria Math"/>
    <m:brkBin m:val="before"/>
    <m:brkBinSub m:val="--"/>
    <m:smallFrac m:val="0"/>
    <m:dispDef/>
    <m:lMargin m:val="0"/>
    <m:rMargin m:val="0"/>
    <m:defJc m:val="centerGroup"/>
    <m:wrapIndent m:val="1440"/>
    <m:intLim m:val="subSup"/>
    <m:naryLim m:val="undOvr"/>
  </m:mathPr>
  <w:themeFontLang w:val="en-US" w:eastAsia="ja-JP" w:bidi="gu-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845C2BEF-3FBE-487E-ADB2-139BD635C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0A3"/>
    <w:pPr>
      <w:spacing w:after="120" w:line="360" w:lineRule="auto"/>
    </w:pPr>
    <w:rPr>
      <w:rFonts w:ascii="Arial" w:eastAsia="Arial" w:hAnsi="Arial"/>
      <w:sz w:val="24"/>
      <w:lang w:val="en-CA"/>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i/>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A5C53"/>
    <w:rPr>
      <w:color w:val="0563C1"/>
      <w:u w:val="single"/>
    </w:rPr>
  </w:style>
  <w:style w:type="character" w:styleId="FollowedHyperlink">
    <w:name w:val="FollowedHyperlink"/>
    <w:basedOn w:val="DefaultParagraphFont"/>
    <w:uiPriority w:val="99"/>
    <w:semiHidden/>
    <w:unhideWhenUsed/>
    <w:rsid w:val="00BA5C53"/>
    <w:rPr>
      <w:color w:val="954F72"/>
      <w:u w:val="single"/>
    </w:rPr>
  </w:style>
  <w:style w:type="paragraph" w:customStyle="1" w:styleId="msonormal0">
    <w:name w:val="msonormal"/>
    <w:basedOn w:val="Normal"/>
    <w:rsid w:val="00BA5C53"/>
    <w:pPr>
      <w:spacing w:before="100" w:beforeAutospacing="1" w:after="100" w:afterAutospacing="1" w:line="240" w:lineRule="auto"/>
    </w:pPr>
    <w:rPr>
      <w:rFonts w:ascii="Times New Roman" w:eastAsia="Times New Roman" w:hAnsi="Times New Roman" w:cs="Times New Roman"/>
      <w:szCs w:val="24"/>
    </w:rPr>
  </w:style>
  <w:style w:type="paragraph" w:customStyle="1" w:styleId="xl65">
    <w:name w:val="xl65"/>
    <w:basedOn w:val="Normal"/>
    <w:rsid w:val="00BA5C53"/>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66">
    <w:name w:val="xl66"/>
    <w:basedOn w:val="Normal"/>
    <w:rsid w:val="00BA5C53"/>
    <w:pP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67">
    <w:name w:val="xl67"/>
    <w:basedOn w:val="Normal"/>
    <w:rsid w:val="00BA5C53"/>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68">
    <w:name w:val="xl68"/>
    <w:basedOn w:val="Normal"/>
    <w:rsid w:val="00BA5C53"/>
    <w:pP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69">
    <w:name w:val="xl69"/>
    <w:basedOn w:val="Normal"/>
    <w:rsid w:val="00BA5C53"/>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70">
    <w:name w:val="xl70"/>
    <w:basedOn w:val="Normal"/>
    <w:rsid w:val="00BA5C53"/>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71">
    <w:name w:val="xl71"/>
    <w:basedOn w:val="Normal"/>
    <w:rsid w:val="00BA5C5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72">
    <w:name w:val="xl72"/>
    <w:basedOn w:val="Normal"/>
    <w:rsid w:val="00BA5C53"/>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73">
    <w:name w:val="xl73"/>
    <w:basedOn w:val="Normal"/>
    <w:rsid w:val="00BA5C53"/>
    <w:pPr>
      <w:pBdr>
        <w:top w:val="single" w:sz="4" w:space="0" w:color="auto"/>
        <w:bottom w:val="double" w:sz="6"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74">
    <w:name w:val="xl74"/>
    <w:basedOn w:val="Normal"/>
    <w:rsid w:val="00BA5C53"/>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75">
    <w:name w:val="xl75"/>
    <w:basedOn w:val="Normal"/>
    <w:rsid w:val="00BA5C53"/>
    <w:pPr>
      <w:pBdr>
        <w:bottom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6">
    <w:name w:val="xl76"/>
    <w:basedOn w:val="Normal"/>
    <w:rsid w:val="00BA5C53"/>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77">
    <w:name w:val="xl77"/>
    <w:basedOn w:val="Normal"/>
    <w:rsid w:val="00BA5C53"/>
    <w:pP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78">
    <w:name w:val="xl78"/>
    <w:basedOn w:val="Normal"/>
    <w:rsid w:val="00BA5C53"/>
    <w:pP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79">
    <w:name w:val="xl79"/>
    <w:basedOn w:val="Normal"/>
    <w:rsid w:val="00BA5C53"/>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80">
    <w:name w:val="xl80"/>
    <w:basedOn w:val="Normal"/>
    <w:rsid w:val="00BA5C53"/>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81">
    <w:name w:val="xl81"/>
    <w:basedOn w:val="Normal"/>
    <w:rsid w:val="00BA5C53"/>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82">
    <w:name w:val="xl82"/>
    <w:basedOn w:val="Normal"/>
    <w:rsid w:val="00BA5C5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3">
    <w:name w:val="xl83"/>
    <w:basedOn w:val="Normal"/>
    <w:rsid w:val="00BA5C5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4">
    <w:name w:val="xl84"/>
    <w:basedOn w:val="Normal"/>
    <w:rsid w:val="00BA5C5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styleId="TOC1">
    <w:name w:val="toc 1"/>
    <w:basedOn w:val="Normal"/>
    <w:next w:val="Normal"/>
    <w:autoRedefine/>
    <w:uiPriority w:val="39"/>
    <w:unhideWhenUsed/>
    <w:rsid w:val="00BD3E38"/>
    <w:pPr>
      <w:spacing w:after="100"/>
    </w:pPr>
  </w:style>
  <w:style w:type="paragraph" w:styleId="TOC2">
    <w:name w:val="toc 2"/>
    <w:basedOn w:val="Normal"/>
    <w:next w:val="Normal"/>
    <w:autoRedefine/>
    <w:uiPriority w:val="39"/>
    <w:unhideWhenUsed/>
    <w:rsid w:val="00BD3E38"/>
    <w:pPr>
      <w:spacing w:after="100"/>
      <w:ind w:left="240"/>
    </w:pPr>
  </w:style>
  <w:style w:type="paragraph" w:styleId="TOC3">
    <w:name w:val="toc 3"/>
    <w:basedOn w:val="Normal"/>
    <w:next w:val="Normal"/>
    <w:autoRedefine/>
    <w:uiPriority w:val="39"/>
    <w:unhideWhenUsed/>
    <w:rsid w:val="00BD3E38"/>
    <w:pPr>
      <w:spacing w:after="100"/>
      <w:ind w:left="480"/>
    </w:pPr>
  </w:style>
  <w:style w:type="paragraph" w:styleId="TableofFigures">
    <w:name w:val="table of figures"/>
    <w:basedOn w:val="Normal"/>
    <w:next w:val="Normal"/>
    <w:uiPriority w:val="99"/>
    <w:unhideWhenUsed/>
    <w:rsid w:val="00534072"/>
    <w:pPr>
      <w:spacing w:after="0"/>
    </w:pPr>
  </w:style>
  <w:style w:type="paragraph" w:styleId="NormalWeb">
    <w:name w:val="Normal (Web)"/>
    <w:basedOn w:val="Normal"/>
    <w:uiPriority w:val="99"/>
    <w:unhideWhenUsed/>
    <w:rsid w:val="00E5008F"/>
    <w:pPr>
      <w:spacing w:before="100" w:beforeAutospacing="1" w:after="100" w:afterAutospacing="1" w:line="240" w:lineRule="auto"/>
    </w:pPr>
    <w:rPr>
      <w:rFonts w:ascii="Times New Roman" w:eastAsia="Times New Roman" w:hAnsi="Times New Roman" w:cs="Times New Roman"/>
      <w:szCs w:val="24"/>
    </w:rPr>
  </w:style>
  <w:style w:type="character" w:styleId="UnresolvedMention">
    <w:name w:val="Unresolved Mention"/>
    <w:basedOn w:val="DefaultParagraphFont"/>
    <w:uiPriority w:val="99"/>
    <w:semiHidden/>
    <w:unhideWhenUsed/>
    <w:rsid w:val="00E5008F"/>
    <w:rPr>
      <w:color w:val="605E5C"/>
      <w:shd w:val="clear" w:color="auto" w:fill="E1DFDD"/>
    </w:rPr>
  </w:style>
  <w:style w:type="character" w:customStyle="1" w:styleId="url">
    <w:name w:val="url"/>
    <w:basedOn w:val="DefaultParagraphFont"/>
    <w:rsid w:val="00DB281C"/>
  </w:style>
  <w:style w:type="paragraph" w:customStyle="1" w:styleId="TableParagraph">
    <w:name w:val="Table Paragraph"/>
    <w:basedOn w:val="Normal"/>
    <w:uiPriority w:val="1"/>
    <w:qFormat/>
    <w:rsid w:val="009570A3"/>
    <w:pPr>
      <w:widowControl w:val="0"/>
      <w:autoSpaceDE w:val="0"/>
      <w:autoSpaceDN w:val="0"/>
      <w:spacing w:after="0" w:line="240" w:lineRule="auto"/>
    </w:pPr>
    <w:rPr>
      <w:rFonts w:ascii="Arial MT" w:eastAsia="Arial MT" w:hAnsi="Arial MT" w:cs="Arial MT"/>
      <w:sz w:val="22"/>
      <w:lang w:val="en-US"/>
    </w:rPr>
  </w:style>
  <w:style w:type="paragraph" w:customStyle="1" w:styleId="xl85">
    <w:name w:val="xl85"/>
    <w:basedOn w:val="Normal"/>
    <w:rsid w:val="000C10A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6">
    <w:name w:val="xl86"/>
    <w:basedOn w:val="Normal"/>
    <w:rsid w:val="000C10A2"/>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87">
    <w:name w:val="xl87"/>
    <w:basedOn w:val="Normal"/>
    <w:rsid w:val="000C10A2"/>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88">
    <w:name w:val="xl88"/>
    <w:basedOn w:val="Normal"/>
    <w:rsid w:val="000C10A2"/>
    <w:pPr>
      <w:pBdr>
        <w:top w:val="single" w:sz="4"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89">
    <w:name w:val="xl89"/>
    <w:basedOn w:val="Normal"/>
    <w:rsid w:val="000C10A2"/>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0">
    <w:name w:val="xl90"/>
    <w:basedOn w:val="Normal"/>
    <w:rsid w:val="000C10A2"/>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1">
    <w:name w:val="xl91"/>
    <w:basedOn w:val="Normal"/>
    <w:rsid w:val="000C10A2"/>
    <w:pPr>
      <w:pBdr>
        <w:top w:val="single" w:sz="4" w:space="0" w:color="auto"/>
        <w:bottom w:val="double" w:sz="6"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3">
    <w:name w:val="xl93"/>
    <w:basedOn w:val="Normal"/>
    <w:rsid w:val="000C10A2"/>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4">
    <w:name w:val="xl94"/>
    <w:basedOn w:val="Normal"/>
    <w:rsid w:val="000C10A2"/>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5">
    <w:name w:val="xl95"/>
    <w:basedOn w:val="Normal"/>
    <w:rsid w:val="000C10A2"/>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6">
    <w:name w:val="xl96"/>
    <w:basedOn w:val="Normal"/>
    <w:rsid w:val="000C10A2"/>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7">
    <w:name w:val="xl97"/>
    <w:basedOn w:val="Normal"/>
    <w:rsid w:val="000C10A2"/>
    <w:pPr>
      <w:spacing w:before="100" w:beforeAutospacing="1" w:after="100" w:afterAutospacing="1" w:line="240" w:lineRule="auto"/>
      <w:textAlignment w:val="center"/>
    </w:pPr>
    <w:rPr>
      <w:rFonts w:ascii="Times New Roman" w:eastAsia="Times New Roman" w:hAnsi="Times New Roman" w:cs="Times New Roman"/>
      <w:sz w:val="20"/>
      <w:szCs w:val="20"/>
    </w:rPr>
  </w:style>
  <w:style w:type="table" w:styleId="PlainTable1">
    <w:name w:val="Plain Table 1"/>
    <w:basedOn w:val="TableNormal"/>
    <w:uiPriority w:val="99"/>
    <w:rsid w:val="00256E4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doi.org/10.1108/ajeb-06-2020-0014" TargetMode="External"/><Relationship Id="rId26" Type="http://schemas.openxmlformats.org/officeDocument/2006/relationships/hyperlink" Target="https://group.mercedes-benz.com/documents/investors/reports/annual-report/mercedes-benz/mercedes-benz-annual-report-2024-incl-combined-management-report-mbg-ag.pdf" TargetMode="External"/><Relationship Id="rId39" Type="http://schemas.openxmlformats.org/officeDocument/2006/relationships/chart" Target="charts/chart14.xml"/><Relationship Id="rId21" Type="http://schemas.openxmlformats.org/officeDocument/2006/relationships/hyperlink" Target="https://doi.org/10.1016/j.jbusres.2019.09.025" TargetMode="External"/><Relationship Id="rId34" Type="http://schemas.openxmlformats.org/officeDocument/2006/relationships/chart" Target="charts/chart9.xm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doi.org/10.18488/journal.aefr.2021.113.236.251" TargetMode="External"/><Relationship Id="rId29" Type="http://schemas.openxmlformats.org/officeDocument/2006/relationships/hyperlink" Target="https://doi.org/10.1186/s43093-021-00058-9"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group.mercedes-benz.com/investors/reports-news/annual-reports/2025/" TargetMode="External"/><Relationship Id="rId32" Type="http://schemas.openxmlformats.org/officeDocument/2006/relationships/hyperlink" Target="https://doi.org/10.2139/ssrn.5063815" TargetMode="External"/><Relationship Id="rId37" Type="http://schemas.openxmlformats.org/officeDocument/2006/relationships/chart" Target="charts/chart12.xm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doi.org/10.1016/j.worlddev.2020.105131" TargetMode="External"/><Relationship Id="rId28" Type="http://schemas.openxmlformats.org/officeDocument/2006/relationships/hyperlink" Target="https://group.mercedes-benz.com/investors/reports-news/annual-reports/2021/" TargetMode="External"/><Relationship Id="rId36" Type="http://schemas.openxmlformats.org/officeDocument/2006/relationships/chart" Target="charts/chart11.xml"/><Relationship Id="rId10" Type="http://schemas.openxmlformats.org/officeDocument/2006/relationships/chart" Target="charts/chart2.xml"/><Relationship Id="rId19" Type="http://schemas.openxmlformats.org/officeDocument/2006/relationships/hyperlink" Target="https://doi.org/10.1108/jcms-10-2022-0038" TargetMode="External"/><Relationship Id="rId31" Type="http://schemas.openxmlformats.org/officeDocument/2006/relationships/hyperlink" Target="https://doi.org/10.5281/zenodo.15104218"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doi.org/10.1111/twec.13345" TargetMode="External"/><Relationship Id="rId27" Type="http://schemas.openxmlformats.org/officeDocument/2006/relationships/hyperlink" Target="https://group.mercedes-benz.com/investors/reports-news/annual-reports/2022/" TargetMode="External"/><Relationship Id="rId30" Type="http://schemas.openxmlformats.org/officeDocument/2006/relationships/hyperlink" Target="https://doi.org/10.30574/wjarr.2025.25.2.0482" TargetMode="External"/><Relationship Id="rId35" Type="http://schemas.openxmlformats.org/officeDocument/2006/relationships/chart" Target="charts/chart10.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hyperlink" Target="https://doi.org/10.3390/risks9110201" TargetMode="External"/><Relationship Id="rId25" Type="http://schemas.openxmlformats.org/officeDocument/2006/relationships/hyperlink" Target="https://group.mercedes-benz.com/investors/reports-news/annual-reports/2024/" TargetMode="External"/><Relationship Id="rId33" Type="http://schemas.openxmlformats.org/officeDocument/2006/relationships/hyperlink" Target="https://doi.org/10.35145/jabt.v4i2.132" TargetMode="External"/><Relationship Id="rId38" Type="http://schemas.openxmlformats.org/officeDocument/2006/relationships/chart" Target="charts/chart13.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e79478f5ca5f90b1/Desktop/Finance%20Assignment%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e79478f5ca5f90b1/Desktop/Finance%20Assignment%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e79478f5ca5f90b1/Desktop/Finance%20Assignment%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e79478f5ca5f90b1/Desktop/Finance%20Assignment%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e79478f5ca5f90b1/Desktop/Finance%20Assignment%20Work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e79478f5ca5f90b1/Desktop/Finance%20Assignment%20Workshee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e79478f5ca5f90b1/Desktop/Finance%20Assignment%20Workshee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e79478f5ca5f90b1/Desktop/Finance%20Assignmen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d.docs.live.net/e79478f5ca5f90b1/Desktop/Finance%20Assignment%20Workshee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d.docs.live.net/e79478f5ca5f90b1/Desktop/Finance%20Assignment%20Worksheet.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d.docs.live.net/e79478f5ca5f90b1/Desktop/Finance%20Assignment%20Worksheet.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d.docs.live.net/e79478f5ca5f90b1/Desktop/Finance%20Assignment%20Worksheet.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d.docs.live.net/e79478f5ca5f90b1/Desktop/Finance%20Assignment%20Worksheet.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d.docs.live.net/e79478f5ca5f90b1/Desktop/Finance%20Assignment%20Worksheet.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Revenue and Net Profit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GB"/>
        </a:p>
      </c:txPr>
    </c:title>
    <c:autoTitleDeleted val="0"/>
    <c:plotArea>
      <c:layout/>
      <c:lineChart>
        <c:grouping val="standard"/>
        <c:varyColors val="0"/>
        <c:ser>
          <c:idx val="0"/>
          <c:order val="0"/>
          <c:tx>
            <c:strRef>
              <c:f>'Ratio Analysis'!$A$61</c:f>
              <c:strCache>
                <c:ptCount val="1"/>
                <c:pt idx="0">
                  <c:v>Revenue</c:v>
                </c:pt>
              </c:strCache>
            </c:strRef>
          </c:tx>
          <c:spPr>
            <a:ln w="28575" cap="rnd">
              <a:solidFill>
                <a:schemeClr val="accent1"/>
              </a:solidFill>
              <a:round/>
            </a:ln>
            <a:effectLst/>
          </c:spPr>
          <c:marker>
            <c:symbol val="none"/>
          </c:marker>
          <c:cat>
            <c:strRef>
              <c:f>'Ratio Analysis'!$B$60:$G$60</c:f>
              <c:strCache>
                <c:ptCount val="6"/>
                <c:pt idx="1">
                  <c:v>2021 (€)</c:v>
                </c:pt>
                <c:pt idx="2">
                  <c:v>2022 (€)</c:v>
                </c:pt>
                <c:pt idx="3">
                  <c:v>2023 (€)</c:v>
                </c:pt>
                <c:pt idx="4">
                  <c:v>2024 (€)</c:v>
                </c:pt>
                <c:pt idx="5">
                  <c:v>2025 (€)</c:v>
                </c:pt>
              </c:strCache>
            </c:strRef>
          </c:cat>
          <c:val>
            <c:numRef>
              <c:f>'Ratio Analysis'!$B$61:$G$61</c:f>
              <c:numCache>
                <c:formatCode>General</c:formatCode>
                <c:ptCount val="6"/>
                <c:pt idx="1">
                  <c:v>133893</c:v>
                </c:pt>
                <c:pt idx="2">
                  <c:v>150017</c:v>
                </c:pt>
                <c:pt idx="3">
                  <c:v>153218</c:v>
                </c:pt>
                <c:pt idx="4" formatCode="#,##0">
                  <c:v>145594</c:v>
                </c:pt>
                <c:pt idx="5" formatCode="#,##0">
                  <c:v>132214</c:v>
                </c:pt>
              </c:numCache>
            </c:numRef>
          </c:val>
          <c:smooth val="0"/>
          <c:extLst>
            <c:ext xmlns:c16="http://schemas.microsoft.com/office/drawing/2014/chart" uri="{C3380CC4-5D6E-409C-BE32-E72D297353CC}">
              <c16:uniqueId val="{00000000-82A5-4A69-871C-6611264870AA}"/>
            </c:ext>
          </c:extLst>
        </c:ser>
        <c:ser>
          <c:idx val="1"/>
          <c:order val="1"/>
          <c:tx>
            <c:strRef>
              <c:f>'Ratio Analysis'!$A$78</c:f>
              <c:strCache>
                <c:ptCount val="1"/>
                <c:pt idx="0">
                  <c:v>Net profit</c:v>
                </c:pt>
              </c:strCache>
            </c:strRef>
          </c:tx>
          <c:spPr>
            <a:ln w="28575" cap="rnd">
              <a:solidFill>
                <a:schemeClr val="accent2"/>
              </a:solidFill>
              <a:round/>
            </a:ln>
            <a:effectLst/>
          </c:spPr>
          <c:marker>
            <c:symbol val="none"/>
          </c:marker>
          <c:cat>
            <c:strRef>
              <c:f>'Ratio Analysis'!$B$60:$G$60</c:f>
              <c:strCache>
                <c:ptCount val="6"/>
                <c:pt idx="1">
                  <c:v>2021 (€)</c:v>
                </c:pt>
                <c:pt idx="2">
                  <c:v>2022 (€)</c:v>
                </c:pt>
                <c:pt idx="3">
                  <c:v>2023 (€)</c:v>
                </c:pt>
                <c:pt idx="4">
                  <c:v>2024 (€)</c:v>
                </c:pt>
                <c:pt idx="5">
                  <c:v>2025 (€)</c:v>
                </c:pt>
              </c:strCache>
            </c:strRef>
          </c:cat>
          <c:val>
            <c:numRef>
              <c:f>'Ratio Analysis'!$B$78:$G$78</c:f>
              <c:numCache>
                <c:formatCode>General</c:formatCode>
                <c:ptCount val="6"/>
                <c:pt idx="1">
                  <c:v>23396</c:v>
                </c:pt>
                <c:pt idx="2">
                  <c:v>14809</c:v>
                </c:pt>
                <c:pt idx="3">
                  <c:v>14531</c:v>
                </c:pt>
                <c:pt idx="4">
                  <c:v>10409</c:v>
                </c:pt>
                <c:pt idx="5">
                  <c:v>5331</c:v>
                </c:pt>
              </c:numCache>
            </c:numRef>
          </c:val>
          <c:smooth val="0"/>
          <c:extLst>
            <c:ext xmlns:c16="http://schemas.microsoft.com/office/drawing/2014/chart" uri="{C3380CC4-5D6E-409C-BE32-E72D297353CC}">
              <c16:uniqueId val="{00000001-82A5-4A69-871C-6611264870AA}"/>
            </c:ext>
          </c:extLst>
        </c:ser>
        <c:dLbls>
          <c:showLegendKey val="0"/>
          <c:showVal val="0"/>
          <c:showCatName val="0"/>
          <c:showSerName val="0"/>
          <c:showPercent val="0"/>
          <c:showBubbleSize val="0"/>
        </c:dLbls>
        <c:smooth val="0"/>
        <c:axId val="396531279"/>
        <c:axId val="396522159"/>
      </c:lineChart>
      <c:catAx>
        <c:axId val="3965312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396522159"/>
        <c:crosses val="autoZero"/>
        <c:auto val="1"/>
        <c:lblAlgn val="ctr"/>
        <c:lblOffset val="100"/>
        <c:noMultiLvlLbl val="0"/>
      </c:catAx>
      <c:valAx>
        <c:axId val="3965221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3965312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K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Profitability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title>
    <c:autoTitleDeleted val="0"/>
    <c:plotArea>
      <c:layout/>
      <c:barChart>
        <c:barDir val="col"/>
        <c:grouping val="clustered"/>
        <c:varyColors val="0"/>
        <c:ser>
          <c:idx val="0"/>
          <c:order val="0"/>
          <c:tx>
            <c:strRef>
              <c:f>'Ratio Analysis'!$I$2</c:f>
              <c:strCache>
                <c:ptCount val="1"/>
                <c:pt idx="0">
                  <c:v>Gross Profit Margin</c:v>
                </c:pt>
              </c:strCache>
            </c:strRef>
          </c:tx>
          <c:spPr>
            <a:solidFill>
              <a:schemeClr val="accent1"/>
            </a:solidFill>
            <a:ln>
              <a:noFill/>
            </a:ln>
            <a:effectLst/>
          </c:spPr>
          <c:invertIfNegative val="0"/>
          <c:cat>
            <c:numRef>
              <c:f>'Ratio Analysis'!$J$1:$N$1</c:f>
              <c:numCache>
                <c:formatCode>General</c:formatCode>
                <c:ptCount val="5"/>
                <c:pt idx="0">
                  <c:v>2021</c:v>
                </c:pt>
                <c:pt idx="1">
                  <c:v>2022</c:v>
                </c:pt>
                <c:pt idx="2">
                  <c:v>2023</c:v>
                </c:pt>
                <c:pt idx="3">
                  <c:v>2024</c:v>
                </c:pt>
                <c:pt idx="4">
                  <c:v>2025</c:v>
                </c:pt>
              </c:numCache>
            </c:numRef>
          </c:cat>
          <c:val>
            <c:numRef>
              <c:f>'Ratio Analysis'!$J$2:$N$2</c:f>
              <c:numCache>
                <c:formatCode>0.00%</c:formatCode>
                <c:ptCount val="5"/>
                <c:pt idx="0">
                  <c:v>0.22910084918554369</c:v>
                </c:pt>
                <c:pt idx="1">
                  <c:v>0.22677429891278988</c:v>
                </c:pt>
                <c:pt idx="2">
                  <c:v>0.22437964207860694</c:v>
                </c:pt>
                <c:pt idx="3">
                  <c:v>0.19627182438836765</c:v>
                </c:pt>
                <c:pt idx="4">
                  <c:v>0.16891554600874339</c:v>
                </c:pt>
              </c:numCache>
            </c:numRef>
          </c:val>
          <c:extLst>
            <c:ext xmlns:c16="http://schemas.microsoft.com/office/drawing/2014/chart" uri="{C3380CC4-5D6E-409C-BE32-E72D297353CC}">
              <c16:uniqueId val="{00000000-56B5-4F45-91F6-6F64C9F61FAE}"/>
            </c:ext>
          </c:extLst>
        </c:ser>
        <c:ser>
          <c:idx val="1"/>
          <c:order val="1"/>
          <c:tx>
            <c:strRef>
              <c:f>'Ratio Analysis'!$I$3</c:f>
              <c:strCache>
                <c:ptCount val="1"/>
                <c:pt idx="0">
                  <c:v>Net Profit Margin</c:v>
                </c:pt>
              </c:strCache>
            </c:strRef>
          </c:tx>
          <c:spPr>
            <a:solidFill>
              <a:schemeClr val="accent2"/>
            </a:solidFill>
            <a:ln>
              <a:noFill/>
            </a:ln>
            <a:effectLst/>
          </c:spPr>
          <c:invertIfNegative val="0"/>
          <c:cat>
            <c:numRef>
              <c:f>'Ratio Analysis'!$J$1:$N$1</c:f>
              <c:numCache>
                <c:formatCode>General</c:formatCode>
                <c:ptCount val="5"/>
                <c:pt idx="0">
                  <c:v>2021</c:v>
                </c:pt>
                <c:pt idx="1">
                  <c:v>2022</c:v>
                </c:pt>
                <c:pt idx="2">
                  <c:v>2023</c:v>
                </c:pt>
                <c:pt idx="3">
                  <c:v>2024</c:v>
                </c:pt>
                <c:pt idx="4">
                  <c:v>2025</c:v>
                </c:pt>
              </c:numCache>
            </c:numRef>
          </c:cat>
          <c:val>
            <c:numRef>
              <c:f>'Ratio Analysis'!$J$3:$N$3</c:f>
              <c:numCache>
                <c:formatCode>0.00%</c:formatCode>
                <c:ptCount val="5"/>
                <c:pt idx="0">
                  <c:v>0.17473654335924954</c:v>
                </c:pt>
                <c:pt idx="1">
                  <c:v>9.8715478912389923E-2</c:v>
                </c:pt>
                <c:pt idx="2">
                  <c:v>9.4838726520382721E-2</c:v>
                </c:pt>
                <c:pt idx="3">
                  <c:v>7.1493330769125105E-2</c:v>
                </c:pt>
                <c:pt idx="4">
                  <c:v>4.0320994750934092E-2</c:v>
                </c:pt>
              </c:numCache>
            </c:numRef>
          </c:val>
          <c:extLst>
            <c:ext xmlns:c16="http://schemas.microsoft.com/office/drawing/2014/chart" uri="{C3380CC4-5D6E-409C-BE32-E72D297353CC}">
              <c16:uniqueId val="{00000001-56B5-4F45-91F6-6F64C9F61FAE}"/>
            </c:ext>
          </c:extLst>
        </c:ser>
        <c:ser>
          <c:idx val="2"/>
          <c:order val="2"/>
          <c:tx>
            <c:strRef>
              <c:f>'Ratio Analysis'!$I$4</c:f>
              <c:strCache>
                <c:ptCount val="1"/>
                <c:pt idx="0">
                  <c:v>Return on Assets (ROA)</c:v>
                </c:pt>
              </c:strCache>
            </c:strRef>
          </c:tx>
          <c:spPr>
            <a:solidFill>
              <a:schemeClr val="accent3"/>
            </a:solidFill>
            <a:ln>
              <a:noFill/>
            </a:ln>
            <a:effectLst/>
          </c:spPr>
          <c:invertIfNegative val="0"/>
          <c:cat>
            <c:numRef>
              <c:f>'Ratio Analysis'!$J$1:$N$1</c:f>
              <c:numCache>
                <c:formatCode>General</c:formatCode>
                <c:ptCount val="5"/>
                <c:pt idx="0">
                  <c:v>2021</c:v>
                </c:pt>
                <c:pt idx="1">
                  <c:v>2022</c:v>
                </c:pt>
                <c:pt idx="2">
                  <c:v>2023</c:v>
                </c:pt>
                <c:pt idx="3">
                  <c:v>2024</c:v>
                </c:pt>
                <c:pt idx="4">
                  <c:v>2025</c:v>
                </c:pt>
              </c:numCache>
            </c:numRef>
          </c:cat>
          <c:val>
            <c:numRef>
              <c:f>'Ratio Analysis'!$J$4:$N$4</c:f>
              <c:numCache>
                <c:formatCode>0.00%</c:formatCode>
                <c:ptCount val="5"/>
                <c:pt idx="0">
                  <c:v>9.0043143427843489E-2</c:v>
                </c:pt>
                <c:pt idx="1">
                  <c:v>5.6954406476549431E-2</c:v>
                </c:pt>
                <c:pt idx="2">
                  <c:v>5.5246329204401153E-2</c:v>
                </c:pt>
                <c:pt idx="3">
                  <c:v>3.9277763103279122E-2</c:v>
                </c:pt>
                <c:pt idx="4">
                  <c:v>2.0867747567190939E-2</c:v>
                </c:pt>
              </c:numCache>
            </c:numRef>
          </c:val>
          <c:extLst>
            <c:ext xmlns:c16="http://schemas.microsoft.com/office/drawing/2014/chart" uri="{C3380CC4-5D6E-409C-BE32-E72D297353CC}">
              <c16:uniqueId val="{00000002-56B5-4F45-91F6-6F64C9F61FAE}"/>
            </c:ext>
          </c:extLst>
        </c:ser>
        <c:ser>
          <c:idx val="3"/>
          <c:order val="3"/>
          <c:tx>
            <c:strRef>
              <c:f>'Ratio Analysis'!$I$5</c:f>
              <c:strCache>
                <c:ptCount val="1"/>
                <c:pt idx="0">
                  <c:v>Return on Equity (ROE)</c:v>
                </c:pt>
              </c:strCache>
            </c:strRef>
          </c:tx>
          <c:spPr>
            <a:solidFill>
              <a:schemeClr val="accent4"/>
            </a:solidFill>
            <a:ln>
              <a:noFill/>
            </a:ln>
            <a:effectLst/>
          </c:spPr>
          <c:invertIfNegative val="0"/>
          <c:cat>
            <c:numRef>
              <c:f>'Ratio Analysis'!$J$1:$N$1</c:f>
              <c:numCache>
                <c:formatCode>General</c:formatCode>
                <c:ptCount val="5"/>
                <c:pt idx="0">
                  <c:v>2021</c:v>
                </c:pt>
                <c:pt idx="1">
                  <c:v>2022</c:v>
                </c:pt>
                <c:pt idx="2">
                  <c:v>2023</c:v>
                </c:pt>
                <c:pt idx="3">
                  <c:v>2024</c:v>
                </c:pt>
                <c:pt idx="4">
                  <c:v>2025</c:v>
                </c:pt>
              </c:numCache>
            </c:numRef>
          </c:cat>
          <c:val>
            <c:numRef>
              <c:f>'Ratio Analysis'!$J$5:$N$5</c:f>
              <c:numCache>
                <c:formatCode>0.00%</c:formatCode>
                <c:ptCount val="5"/>
                <c:pt idx="0">
                  <c:v>0.31976164117703337</c:v>
                </c:pt>
                <c:pt idx="1">
                  <c:v>0.17112318003235499</c:v>
                </c:pt>
                <c:pt idx="2">
                  <c:v>0.1565570591277366</c:v>
                </c:pt>
                <c:pt idx="3">
                  <c:v>0.11117163302360354</c:v>
                </c:pt>
                <c:pt idx="4">
                  <c:v>5.6568336162988113E-2</c:v>
                </c:pt>
              </c:numCache>
            </c:numRef>
          </c:val>
          <c:extLst>
            <c:ext xmlns:c16="http://schemas.microsoft.com/office/drawing/2014/chart" uri="{C3380CC4-5D6E-409C-BE32-E72D297353CC}">
              <c16:uniqueId val="{00000003-56B5-4F45-91F6-6F64C9F61FAE}"/>
            </c:ext>
          </c:extLst>
        </c:ser>
        <c:dLbls>
          <c:showLegendKey val="0"/>
          <c:showVal val="0"/>
          <c:showCatName val="0"/>
          <c:showSerName val="0"/>
          <c:showPercent val="0"/>
          <c:showBubbleSize val="0"/>
        </c:dLbls>
        <c:gapWidth val="219"/>
        <c:overlap val="-27"/>
        <c:axId val="1660903231"/>
        <c:axId val="1660910911"/>
      </c:barChart>
      <c:catAx>
        <c:axId val="16609032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660910911"/>
        <c:crosses val="autoZero"/>
        <c:auto val="1"/>
        <c:lblAlgn val="ctr"/>
        <c:lblOffset val="100"/>
        <c:noMultiLvlLbl val="0"/>
      </c:catAx>
      <c:valAx>
        <c:axId val="166091091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6609032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KE"/>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Liquidity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title>
    <c:autoTitleDeleted val="0"/>
    <c:plotArea>
      <c:layout/>
      <c:lineChart>
        <c:grouping val="standard"/>
        <c:varyColors val="0"/>
        <c:ser>
          <c:idx val="0"/>
          <c:order val="0"/>
          <c:tx>
            <c:strRef>
              <c:f>'Ratio Analysis'!$I$8</c:f>
              <c:strCache>
                <c:ptCount val="1"/>
                <c:pt idx="0">
                  <c:v>Current Ratio</c:v>
                </c:pt>
              </c:strCache>
            </c:strRef>
          </c:tx>
          <c:spPr>
            <a:ln w="28575" cap="rnd">
              <a:solidFill>
                <a:schemeClr val="accent1"/>
              </a:solidFill>
              <a:round/>
            </a:ln>
            <a:effectLst/>
          </c:spPr>
          <c:marker>
            <c:symbol val="none"/>
          </c:marker>
          <c:cat>
            <c:numRef>
              <c:f>'Ratio Analysis'!$J$7:$N$7</c:f>
              <c:numCache>
                <c:formatCode>General</c:formatCode>
                <c:ptCount val="5"/>
                <c:pt idx="0">
                  <c:v>2021</c:v>
                </c:pt>
                <c:pt idx="1">
                  <c:v>2022</c:v>
                </c:pt>
                <c:pt idx="2">
                  <c:v>2023</c:v>
                </c:pt>
                <c:pt idx="3">
                  <c:v>2024</c:v>
                </c:pt>
                <c:pt idx="4">
                  <c:v>2025</c:v>
                </c:pt>
              </c:numCache>
            </c:numRef>
          </c:cat>
          <c:val>
            <c:numRef>
              <c:f>'Ratio Analysis'!$J$8:$N$8</c:f>
              <c:numCache>
                <c:formatCode>_(* #,##0.00_);_(* \(#,##0.00\);_(* "-"??_);_(@_)</c:formatCode>
                <c:ptCount val="5"/>
                <c:pt idx="0">
                  <c:v>1.1739834616481324</c:v>
                </c:pt>
                <c:pt idx="1">
                  <c:v>1.1636935398119974</c:v>
                </c:pt>
                <c:pt idx="2">
                  <c:v>1.2620035422277216</c:v>
                </c:pt>
                <c:pt idx="3">
                  <c:v>1.3600486461924999</c:v>
                </c:pt>
                <c:pt idx="4">
                  <c:v>1.3845027654267432</c:v>
                </c:pt>
              </c:numCache>
            </c:numRef>
          </c:val>
          <c:smooth val="0"/>
          <c:extLst>
            <c:ext xmlns:c16="http://schemas.microsoft.com/office/drawing/2014/chart" uri="{C3380CC4-5D6E-409C-BE32-E72D297353CC}">
              <c16:uniqueId val="{00000000-07BB-4ED2-90DB-CF781C4082E3}"/>
            </c:ext>
          </c:extLst>
        </c:ser>
        <c:ser>
          <c:idx val="1"/>
          <c:order val="1"/>
          <c:tx>
            <c:strRef>
              <c:f>'Ratio Analysis'!$I$9</c:f>
              <c:strCache>
                <c:ptCount val="1"/>
                <c:pt idx="0">
                  <c:v>Quick Ratio</c:v>
                </c:pt>
              </c:strCache>
            </c:strRef>
          </c:tx>
          <c:spPr>
            <a:ln w="28575" cap="rnd">
              <a:solidFill>
                <a:schemeClr val="accent2"/>
              </a:solidFill>
              <a:round/>
            </a:ln>
            <a:effectLst/>
          </c:spPr>
          <c:marker>
            <c:symbol val="none"/>
          </c:marker>
          <c:cat>
            <c:numRef>
              <c:f>'Ratio Analysis'!$J$7:$N$7</c:f>
              <c:numCache>
                <c:formatCode>General</c:formatCode>
                <c:ptCount val="5"/>
                <c:pt idx="0">
                  <c:v>2021</c:v>
                </c:pt>
                <c:pt idx="1">
                  <c:v>2022</c:v>
                </c:pt>
                <c:pt idx="2">
                  <c:v>2023</c:v>
                </c:pt>
                <c:pt idx="3">
                  <c:v>2024</c:v>
                </c:pt>
                <c:pt idx="4">
                  <c:v>2025</c:v>
                </c:pt>
              </c:numCache>
            </c:numRef>
          </c:cat>
          <c:val>
            <c:numRef>
              <c:f>'Ratio Analysis'!$J$9:$N$9</c:f>
              <c:numCache>
                <c:formatCode>_(* #,##0.00_);_(* \(#,##0.00\);_(* "-"??_);_(@_)</c:formatCode>
                <c:ptCount val="5"/>
                <c:pt idx="0">
                  <c:v>0.92914741944682067</c:v>
                </c:pt>
                <c:pt idx="1">
                  <c:v>0.87387305860660835</c:v>
                </c:pt>
                <c:pt idx="2">
                  <c:v>0.93090229759565224</c:v>
                </c:pt>
                <c:pt idx="3">
                  <c:v>1.0094485873894101</c:v>
                </c:pt>
                <c:pt idx="4">
                  <c:v>1.060066695586162</c:v>
                </c:pt>
              </c:numCache>
            </c:numRef>
          </c:val>
          <c:smooth val="0"/>
          <c:extLst>
            <c:ext xmlns:c16="http://schemas.microsoft.com/office/drawing/2014/chart" uri="{C3380CC4-5D6E-409C-BE32-E72D297353CC}">
              <c16:uniqueId val="{00000001-07BB-4ED2-90DB-CF781C4082E3}"/>
            </c:ext>
          </c:extLst>
        </c:ser>
        <c:dLbls>
          <c:showLegendKey val="0"/>
          <c:showVal val="0"/>
          <c:showCatName val="0"/>
          <c:showSerName val="0"/>
          <c:showPercent val="0"/>
          <c:showBubbleSize val="0"/>
        </c:dLbls>
        <c:smooth val="0"/>
        <c:axId val="1981751439"/>
        <c:axId val="1981740879"/>
      </c:lineChart>
      <c:catAx>
        <c:axId val="19817514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981740879"/>
        <c:crosses val="autoZero"/>
        <c:auto val="1"/>
        <c:lblAlgn val="ctr"/>
        <c:lblOffset val="100"/>
        <c:noMultiLvlLbl val="0"/>
      </c:catAx>
      <c:valAx>
        <c:axId val="1981740879"/>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9817514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KE"/>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Efficiency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'Ratio Analysis'!$J$11</c:f>
              <c:strCache>
                <c:ptCount val="1"/>
                <c:pt idx="0">
                  <c:v>2021</c:v>
                </c:pt>
              </c:strCache>
            </c:strRef>
          </c:tx>
          <c:spPr>
            <a:solidFill>
              <a:schemeClr val="accent1"/>
            </a:solidFill>
            <a:ln>
              <a:noFill/>
            </a:ln>
            <a:effectLst/>
            <a:sp3d/>
          </c:spPr>
          <c:invertIfNegative val="0"/>
          <c:cat>
            <c:strRef>
              <c:f>'Ratio Analysis'!$I$12:$I$18</c:f>
              <c:strCache>
                <c:ptCount val="7"/>
                <c:pt idx="0">
                  <c:v>Inventory Turnover</c:v>
                </c:pt>
                <c:pt idx="1">
                  <c:v>Receivables Turnover</c:v>
                </c:pt>
                <c:pt idx="2">
                  <c:v>Asset Turnover</c:v>
                </c:pt>
                <c:pt idx="3">
                  <c:v>Inventory Days (Days Inventory Outstanding - DIO)</c:v>
                </c:pt>
                <c:pt idx="4">
                  <c:v>Payable Days (Days Payable Outstanding - DPO)</c:v>
                </c:pt>
                <c:pt idx="5">
                  <c:v>Receivable Days (Days Sales Outstanding - DSO)</c:v>
                </c:pt>
                <c:pt idx="6">
                  <c:v>Cash Conversion Cycle (CCC)</c:v>
                </c:pt>
              </c:strCache>
            </c:strRef>
          </c:cat>
          <c:val>
            <c:numRef>
              <c:f>'Ratio Analysis'!$J$12:$J$18</c:f>
              <c:numCache>
                <c:formatCode>_(* #,##0.00_);_(* \(#,##0.00\);_(* "-"??_);_(@_)</c:formatCode>
                <c:ptCount val="7"/>
                <c:pt idx="0">
                  <c:v>9.6168825118792505</c:v>
                </c:pt>
                <c:pt idx="1">
                  <c:v>34.899778443894178</c:v>
                </c:pt>
                <c:pt idx="2">
                  <c:v>1.0306160542814369</c:v>
                </c:pt>
                <c:pt idx="3">
                  <c:v>37.954087465364566</c:v>
                </c:pt>
                <c:pt idx="4">
                  <c:v>18.839131740587881</c:v>
                </c:pt>
                <c:pt idx="5">
                  <c:v>13.566650196671123</c:v>
                </c:pt>
                <c:pt idx="6">
                  <c:v>32.681605921447805</c:v>
                </c:pt>
              </c:numCache>
            </c:numRef>
          </c:val>
          <c:extLst>
            <c:ext xmlns:c16="http://schemas.microsoft.com/office/drawing/2014/chart" uri="{C3380CC4-5D6E-409C-BE32-E72D297353CC}">
              <c16:uniqueId val="{00000000-91A4-4160-9EE4-281D465B3F3F}"/>
            </c:ext>
          </c:extLst>
        </c:ser>
        <c:ser>
          <c:idx val="1"/>
          <c:order val="1"/>
          <c:tx>
            <c:strRef>
              <c:f>'Ratio Analysis'!$K$11</c:f>
              <c:strCache>
                <c:ptCount val="1"/>
                <c:pt idx="0">
                  <c:v>2022</c:v>
                </c:pt>
              </c:strCache>
            </c:strRef>
          </c:tx>
          <c:spPr>
            <a:solidFill>
              <a:schemeClr val="accent2"/>
            </a:solidFill>
            <a:ln>
              <a:noFill/>
            </a:ln>
            <a:effectLst/>
            <a:sp3d/>
          </c:spPr>
          <c:invertIfNegative val="0"/>
          <c:cat>
            <c:strRef>
              <c:f>'Ratio Analysis'!$I$12:$I$18</c:f>
              <c:strCache>
                <c:ptCount val="7"/>
                <c:pt idx="0">
                  <c:v>Inventory Turnover</c:v>
                </c:pt>
                <c:pt idx="1">
                  <c:v>Receivables Turnover</c:v>
                </c:pt>
                <c:pt idx="2">
                  <c:v>Asset Turnover</c:v>
                </c:pt>
                <c:pt idx="3">
                  <c:v>Inventory Days (Days Inventory Outstanding - DIO)</c:v>
                </c:pt>
                <c:pt idx="4">
                  <c:v>Payable Days (Days Payable Outstanding - DPO)</c:v>
                </c:pt>
                <c:pt idx="5">
                  <c:v>Receivable Days (Days Sales Outstanding - DSO)</c:v>
                </c:pt>
                <c:pt idx="6">
                  <c:v>Cash Conversion Cycle (CCC)</c:v>
                </c:pt>
              </c:strCache>
            </c:strRef>
          </c:cat>
          <c:val>
            <c:numRef>
              <c:f>'Ratio Analysis'!$K$12:$K$18</c:f>
              <c:numCache>
                <c:formatCode>_(* #,##0.00_);_(* \(#,##0.00\);_(* "-"??_);_(@_)</c:formatCode>
                <c:ptCount val="7"/>
                <c:pt idx="0">
                  <c:v>4.9269225051500412</c:v>
                </c:pt>
                <c:pt idx="1">
                  <c:v>19.021999619603118</c:v>
                </c:pt>
                <c:pt idx="2">
                  <c:v>0.57715938951150914</c:v>
                </c:pt>
                <c:pt idx="3">
                  <c:v>74.082756450597856</c:v>
                </c:pt>
                <c:pt idx="4">
                  <c:v>35.96444304594084</c:v>
                </c:pt>
                <c:pt idx="5">
                  <c:v>24.815921963499058</c:v>
                </c:pt>
                <c:pt idx="6">
                  <c:v>62.934235368156067</c:v>
                </c:pt>
              </c:numCache>
            </c:numRef>
          </c:val>
          <c:extLst>
            <c:ext xmlns:c16="http://schemas.microsoft.com/office/drawing/2014/chart" uri="{C3380CC4-5D6E-409C-BE32-E72D297353CC}">
              <c16:uniqueId val="{00000001-91A4-4160-9EE4-281D465B3F3F}"/>
            </c:ext>
          </c:extLst>
        </c:ser>
        <c:ser>
          <c:idx val="2"/>
          <c:order val="2"/>
          <c:tx>
            <c:strRef>
              <c:f>'Ratio Analysis'!$L$11</c:f>
              <c:strCache>
                <c:ptCount val="1"/>
                <c:pt idx="0">
                  <c:v>2023</c:v>
                </c:pt>
              </c:strCache>
            </c:strRef>
          </c:tx>
          <c:spPr>
            <a:solidFill>
              <a:schemeClr val="accent3"/>
            </a:solidFill>
            <a:ln>
              <a:noFill/>
            </a:ln>
            <a:effectLst/>
            <a:sp3d/>
          </c:spPr>
          <c:invertIfNegative val="0"/>
          <c:cat>
            <c:strRef>
              <c:f>'Ratio Analysis'!$I$12:$I$18</c:f>
              <c:strCache>
                <c:ptCount val="7"/>
                <c:pt idx="0">
                  <c:v>Inventory Turnover</c:v>
                </c:pt>
                <c:pt idx="1">
                  <c:v>Receivables Turnover</c:v>
                </c:pt>
                <c:pt idx="2">
                  <c:v>Asset Turnover</c:v>
                </c:pt>
                <c:pt idx="3">
                  <c:v>Inventory Days (Days Inventory Outstanding - DIO)</c:v>
                </c:pt>
                <c:pt idx="4">
                  <c:v>Payable Days (Days Payable Outstanding - DPO)</c:v>
                </c:pt>
                <c:pt idx="5">
                  <c:v>Receivable Days (Days Sales Outstanding - DSO)</c:v>
                </c:pt>
                <c:pt idx="6">
                  <c:v>Cash Conversion Cycle (CCC)</c:v>
                </c:pt>
              </c:strCache>
            </c:strRef>
          </c:cat>
          <c:val>
            <c:numRef>
              <c:f>'Ratio Analysis'!$L$12:$L$18</c:f>
              <c:numCache>
                <c:formatCode>_(* #,##0.00_);_(* \(#,##0.00\);_(* "-"??_);_(@_)</c:formatCode>
                <c:ptCount val="7"/>
                <c:pt idx="0">
                  <c:v>4.4916942265898134</c:v>
                </c:pt>
                <c:pt idx="1">
                  <c:v>19.923021910148886</c:v>
                </c:pt>
                <c:pt idx="2">
                  <c:v>0.58587824570728264</c:v>
                </c:pt>
                <c:pt idx="3">
                  <c:v>81.261096946288674</c:v>
                </c:pt>
                <c:pt idx="4">
                  <c:v>38.441420745714787</c:v>
                </c:pt>
                <c:pt idx="5">
                  <c:v>23.620465503748768</c:v>
                </c:pt>
                <c:pt idx="6">
                  <c:v>66.440141704322656</c:v>
                </c:pt>
              </c:numCache>
            </c:numRef>
          </c:val>
          <c:extLst>
            <c:ext xmlns:c16="http://schemas.microsoft.com/office/drawing/2014/chart" uri="{C3380CC4-5D6E-409C-BE32-E72D297353CC}">
              <c16:uniqueId val="{00000002-91A4-4160-9EE4-281D465B3F3F}"/>
            </c:ext>
          </c:extLst>
        </c:ser>
        <c:ser>
          <c:idx val="3"/>
          <c:order val="3"/>
          <c:tx>
            <c:strRef>
              <c:f>'Ratio Analysis'!$M$11</c:f>
              <c:strCache>
                <c:ptCount val="1"/>
                <c:pt idx="0">
                  <c:v>2024</c:v>
                </c:pt>
              </c:strCache>
            </c:strRef>
          </c:tx>
          <c:spPr>
            <a:solidFill>
              <a:schemeClr val="accent4"/>
            </a:solidFill>
            <a:ln>
              <a:noFill/>
            </a:ln>
            <a:effectLst/>
            <a:sp3d/>
          </c:spPr>
          <c:invertIfNegative val="0"/>
          <c:cat>
            <c:strRef>
              <c:f>'Ratio Analysis'!$I$12:$I$18</c:f>
              <c:strCache>
                <c:ptCount val="7"/>
                <c:pt idx="0">
                  <c:v>Inventory Turnover</c:v>
                </c:pt>
                <c:pt idx="1">
                  <c:v>Receivables Turnover</c:v>
                </c:pt>
                <c:pt idx="2">
                  <c:v>Asset Turnover</c:v>
                </c:pt>
                <c:pt idx="3">
                  <c:v>Inventory Days (Days Inventory Outstanding - DIO)</c:v>
                </c:pt>
                <c:pt idx="4">
                  <c:v>Payable Days (Days Payable Outstanding - DPO)</c:v>
                </c:pt>
                <c:pt idx="5">
                  <c:v>Receivable Days (Days Sales Outstanding - DSO)</c:v>
                </c:pt>
                <c:pt idx="6">
                  <c:v>Cash Conversion Cycle (CCC)</c:v>
                </c:pt>
              </c:strCache>
            </c:strRef>
          </c:cat>
          <c:val>
            <c:numRef>
              <c:f>'Ratio Analysis'!$M$12:$M$18</c:f>
              <c:numCache>
                <c:formatCode>_(* #,##0.00_);_(* \(#,##0.00\);_(* "-"??_);_(@_)</c:formatCode>
                <c:ptCount val="7"/>
                <c:pt idx="0">
                  <c:v>4.3722164101031238</c:v>
                </c:pt>
                <c:pt idx="1">
                  <c:v>20.428511295075065</c:v>
                </c:pt>
                <c:pt idx="2">
                  <c:v>0.55145900248469792</c:v>
                </c:pt>
                <c:pt idx="3">
                  <c:v>83.481686578133278</c:v>
                </c:pt>
                <c:pt idx="4">
                  <c:v>37.648481430207319</c:v>
                </c:pt>
                <c:pt idx="5">
                  <c:v>22.230383359824984</c:v>
                </c:pt>
                <c:pt idx="6">
                  <c:v>68.06358850775095</c:v>
                </c:pt>
              </c:numCache>
            </c:numRef>
          </c:val>
          <c:extLst>
            <c:ext xmlns:c16="http://schemas.microsoft.com/office/drawing/2014/chart" uri="{C3380CC4-5D6E-409C-BE32-E72D297353CC}">
              <c16:uniqueId val="{00000003-91A4-4160-9EE4-281D465B3F3F}"/>
            </c:ext>
          </c:extLst>
        </c:ser>
        <c:ser>
          <c:idx val="4"/>
          <c:order val="4"/>
          <c:tx>
            <c:strRef>
              <c:f>'Ratio Analysis'!$N$11</c:f>
              <c:strCache>
                <c:ptCount val="1"/>
                <c:pt idx="0">
                  <c:v>2025</c:v>
                </c:pt>
              </c:strCache>
            </c:strRef>
          </c:tx>
          <c:spPr>
            <a:solidFill>
              <a:schemeClr val="accent5"/>
            </a:solidFill>
            <a:ln>
              <a:noFill/>
            </a:ln>
            <a:effectLst/>
            <a:sp3d/>
          </c:spPr>
          <c:invertIfNegative val="0"/>
          <c:cat>
            <c:strRef>
              <c:f>'Ratio Analysis'!$I$12:$I$18</c:f>
              <c:strCache>
                <c:ptCount val="7"/>
                <c:pt idx="0">
                  <c:v>Inventory Turnover</c:v>
                </c:pt>
                <c:pt idx="1">
                  <c:v>Receivables Turnover</c:v>
                </c:pt>
                <c:pt idx="2">
                  <c:v>Asset Turnover</c:v>
                </c:pt>
                <c:pt idx="3">
                  <c:v>Inventory Days (Days Inventory Outstanding - DIO)</c:v>
                </c:pt>
                <c:pt idx="4">
                  <c:v>Payable Days (Days Payable Outstanding - DPO)</c:v>
                </c:pt>
                <c:pt idx="5">
                  <c:v>Receivable Days (Days Sales Outstanding - DSO)</c:v>
                </c:pt>
                <c:pt idx="6">
                  <c:v>Cash Conversion Cycle (CCC)</c:v>
                </c:pt>
              </c:strCache>
            </c:strRef>
          </c:cat>
          <c:val>
            <c:numRef>
              <c:f>'Ratio Analysis'!$N$12:$N$18</c:f>
              <c:numCache>
                <c:formatCode>_(* #,##0.00_);_(* \(#,##0.00\);_(* "-"??_);_(@_)</c:formatCode>
                <c:ptCount val="7"/>
                <c:pt idx="0">
                  <c:v>4.380608766719158</c:v>
                </c:pt>
                <c:pt idx="1">
                  <c:v>20.619775421085464</c:v>
                </c:pt>
                <c:pt idx="2">
                  <c:v>0.50805032316571752</c:v>
                </c:pt>
                <c:pt idx="3">
                  <c:v>83.321752623292468</c:v>
                </c:pt>
                <c:pt idx="4">
                  <c:v>36.501328710150069</c:v>
                </c:pt>
                <c:pt idx="5">
                  <c:v>21.299223705645197</c:v>
                </c:pt>
                <c:pt idx="6">
                  <c:v>68.11964761878761</c:v>
                </c:pt>
              </c:numCache>
            </c:numRef>
          </c:val>
          <c:extLst>
            <c:ext xmlns:c16="http://schemas.microsoft.com/office/drawing/2014/chart" uri="{C3380CC4-5D6E-409C-BE32-E72D297353CC}">
              <c16:uniqueId val="{00000004-91A4-4160-9EE4-281D465B3F3F}"/>
            </c:ext>
          </c:extLst>
        </c:ser>
        <c:dLbls>
          <c:showLegendKey val="0"/>
          <c:showVal val="0"/>
          <c:showCatName val="0"/>
          <c:showSerName val="0"/>
          <c:showPercent val="0"/>
          <c:showBubbleSize val="0"/>
        </c:dLbls>
        <c:gapWidth val="150"/>
        <c:shape val="box"/>
        <c:axId val="394192543"/>
        <c:axId val="394180543"/>
        <c:axId val="0"/>
      </c:bar3DChart>
      <c:catAx>
        <c:axId val="3941925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394180543"/>
        <c:crosses val="autoZero"/>
        <c:auto val="1"/>
        <c:lblAlgn val="ctr"/>
        <c:lblOffset val="100"/>
        <c:noMultiLvlLbl val="0"/>
      </c:catAx>
      <c:valAx>
        <c:axId val="394180543"/>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3941925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KE"/>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Gearing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title>
    <c:autoTitleDeleted val="0"/>
    <c:plotArea>
      <c:layout/>
      <c:barChart>
        <c:barDir val="bar"/>
        <c:grouping val="clustered"/>
        <c:varyColors val="0"/>
        <c:ser>
          <c:idx val="0"/>
          <c:order val="0"/>
          <c:tx>
            <c:strRef>
              <c:f>'Ratio Analysis'!$J$22</c:f>
              <c:strCache>
                <c:ptCount val="1"/>
                <c:pt idx="0">
                  <c:v>2021</c:v>
                </c:pt>
              </c:strCache>
            </c:strRef>
          </c:tx>
          <c:spPr>
            <a:solidFill>
              <a:schemeClr val="accent1"/>
            </a:solidFill>
            <a:ln>
              <a:noFill/>
            </a:ln>
            <a:effectLst/>
          </c:spPr>
          <c:invertIfNegative val="0"/>
          <c:cat>
            <c:strRef>
              <c:f>'Ratio Analysis'!$I$23:$I$24</c:f>
              <c:strCache>
                <c:ptCount val="2"/>
                <c:pt idx="0">
                  <c:v>Debt-to-Equity</c:v>
                </c:pt>
                <c:pt idx="1">
                  <c:v>Interest Coverage</c:v>
                </c:pt>
              </c:strCache>
            </c:strRef>
          </c:cat>
          <c:val>
            <c:numRef>
              <c:f>'Ratio Analysis'!$J$23:$J$24</c:f>
              <c:numCache>
                <c:formatCode>_(* #,##0.00_);_(* \(#,##0.00\);_(* "-"??_);_(@_)</c:formatCode>
                <c:ptCount val="2"/>
                <c:pt idx="0">
                  <c:v>2.5512047781103502</c:v>
                </c:pt>
                <c:pt idx="1">
                  <c:v>37.361305361305362</c:v>
                </c:pt>
              </c:numCache>
            </c:numRef>
          </c:val>
          <c:extLst>
            <c:ext xmlns:c16="http://schemas.microsoft.com/office/drawing/2014/chart" uri="{C3380CC4-5D6E-409C-BE32-E72D297353CC}">
              <c16:uniqueId val="{00000000-F5A3-45F3-B255-D43B705F0FAF}"/>
            </c:ext>
          </c:extLst>
        </c:ser>
        <c:ser>
          <c:idx val="1"/>
          <c:order val="1"/>
          <c:tx>
            <c:strRef>
              <c:f>'Ratio Analysis'!$K$22</c:f>
              <c:strCache>
                <c:ptCount val="1"/>
                <c:pt idx="0">
                  <c:v>2022</c:v>
                </c:pt>
              </c:strCache>
            </c:strRef>
          </c:tx>
          <c:spPr>
            <a:solidFill>
              <a:schemeClr val="accent2"/>
            </a:solidFill>
            <a:ln>
              <a:noFill/>
            </a:ln>
            <a:effectLst/>
          </c:spPr>
          <c:invertIfNegative val="0"/>
          <c:cat>
            <c:strRef>
              <c:f>'Ratio Analysis'!$I$23:$I$24</c:f>
              <c:strCache>
                <c:ptCount val="2"/>
                <c:pt idx="0">
                  <c:v>Debt-to-Equity</c:v>
                </c:pt>
                <c:pt idx="1">
                  <c:v>Interest Coverage</c:v>
                </c:pt>
              </c:strCache>
            </c:strRef>
          </c:cat>
          <c:val>
            <c:numRef>
              <c:f>'Ratio Analysis'!$K$23:$K$24</c:f>
              <c:numCache>
                <c:formatCode>_(* #,##0.00_);_(* \(#,##0.00\);_(* "-"??_);_(@_)</c:formatCode>
                <c:ptCount val="2"/>
                <c:pt idx="0">
                  <c:v>2.0045643633002079</c:v>
                </c:pt>
                <c:pt idx="1">
                  <c:v>47.911007025761123</c:v>
                </c:pt>
              </c:numCache>
            </c:numRef>
          </c:val>
          <c:extLst>
            <c:ext xmlns:c16="http://schemas.microsoft.com/office/drawing/2014/chart" uri="{C3380CC4-5D6E-409C-BE32-E72D297353CC}">
              <c16:uniqueId val="{00000001-F5A3-45F3-B255-D43B705F0FAF}"/>
            </c:ext>
          </c:extLst>
        </c:ser>
        <c:ser>
          <c:idx val="2"/>
          <c:order val="2"/>
          <c:tx>
            <c:strRef>
              <c:f>'Ratio Analysis'!$L$22</c:f>
              <c:strCache>
                <c:ptCount val="1"/>
                <c:pt idx="0">
                  <c:v>2023</c:v>
                </c:pt>
              </c:strCache>
            </c:strRef>
          </c:tx>
          <c:spPr>
            <a:solidFill>
              <a:schemeClr val="accent3"/>
            </a:solidFill>
            <a:ln>
              <a:noFill/>
            </a:ln>
            <a:effectLst/>
          </c:spPr>
          <c:invertIfNegative val="0"/>
          <c:cat>
            <c:strRef>
              <c:f>'Ratio Analysis'!$I$23:$I$24</c:f>
              <c:strCache>
                <c:ptCount val="2"/>
                <c:pt idx="0">
                  <c:v>Debt-to-Equity</c:v>
                </c:pt>
                <c:pt idx="1">
                  <c:v>Interest Coverage</c:v>
                </c:pt>
              </c:strCache>
            </c:strRef>
          </c:cat>
          <c:val>
            <c:numRef>
              <c:f>'Ratio Analysis'!$L$23:$L$24</c:f>
              <c:numCache>
                <c:formatCode>_(* #,##0.00_);_(* \(#,##0.00\);_(* "-"??_);_(@_)</c:formatCode>
                <c:ptCount val="2"/>
                <c:pt idx="0">
                  <c:v>1.8338002068608861</c:v>
                </c:pt>
                <c:pt idx="1">
                  <c:v>77.4015748031496</c:v>
                </c:pt>
              </c:numCache>
            </c:numRef>
          </c:val>
          <c:extLst>
            <c:ext xmlns:c16="http://schemas.microsoft.com/office/drawing/2014/chart" uri="{C3380CC4-5D6E-409C-BE32-E72D297353CC}">
              <c16:uniqueId val="{00000002-F5A3-45F3-B255-D43B705F0FAF}"/>
            </c:ext>
          </c:extLst>
        </c:ser>
        <c:ser>
          <c:idx val="3"/>
          <c:order val="3"/>
          <c:tx>
            <c:strRef>
              <c:f>'Ratio Analysis'!$M$22</c:f>
              <c:strCache>
                <c:ptCount val="1"/>
                <c:pt idx="0">
                  <c:v>2024</c:v>
                </c:pt>
              </c:strCache>
            </c:strRef>
          </c:tx>
          <c:spPr>
            <a:solidFill>
              <a:schemeClr val="accent4"/>
            </a:solidFill>
            <a:ln>
              <a:noFill/>
            </a:ln>
            <a:effectLst/>
          </c:spPr>
          <c:invertIfNegative val="0"/>
          <c:cat>
            <c:strRef>
              <c:f>'Ratio Analysis'!$I$23:$I$24</c:f>
              <c:strCache>
                <c:ptCount val="2"/>
                <c:pt idx="0">
                  <c:v>Debt-to-Equity</c:v>
                </c:pt>
                <c:pt idx="1">
                  <c:v>Interest Coverage</c:v>
                </c:pt>
              </c:strCache>
            </c:strRef>
          </c:cat>
          <c:val>
            <c:numRef>
              <c:f>'Ratio Analysis'!$M$23:$M$24</c:f>
              <c:numCache>
                <c:formatCode>_(* #,##0.00_);_(* \(#,##0.00\);_(* "-"??_);_(@_)</c:formatCode>
                <c:ptCount val="2"/>
                <c:pt idx="0">
                  <c:v>1.8303962405212004</c:v>
                </c:pt>
                <c:pt idx="1">
                  <c:v>71.573684210526309</c:v>
                </c:pt>
              </c:numCache>
            </c:numRef>
          </c:val>
          <c:extLst>
            <c:ext xmlns:c16="http://schemas.microsoft.com/office/drawing/2014/chart" uri="{C3380CC4-5D6E-409C-BE32-E72D297353CC}">
              <c16:uniqueId val="{00000003-F5A3-45F3-B255-D43B705F0FAF}"/>
            </c:ext>
          </c:extLst>
        </c:ser>
        <c:ser>
          <c:idx val="4"/>
          <c:order val="4"/>
          <c:tx>
            <c:strRef>
              <c:f>'Ratio Analysis'!$N$22</c:f>
              <c:strCache>
                <c:ptCount val="1"/>
                <c:pt idx="0">
                  <c:v>2025</c:v>
                </c:pt>
              </c:strCache>
            </c:strRef>
          </c:tx>
          <c:spPr>
            <a:solidFill>
              <a:schemeClr val="accent5"/>
            </a:solidFill>
            <a:ln>
              <a:noFill/>
            </a:ln>
            <a:effectLst/>
          </c:spPr>
          <c:invertIfNegative val="0"/>
          <c:cat>
            <c:strRef>
              <c:f>'Ratio Analysis'!$I$23:$I$24</c:f>
              <c:strCache>
                <c:ptCount val="2"/>
                <c:pt idx="0">
                  <c:v>Debt-to-Equity</c:v>
                </c:pt>
                <c:pt idx="1">
                  <c:v>Interest Coverage</c:v>
                </c:pt>
              </c:strCache>
            </c:strRef>
          </c:cat>
          <c:val>
            <c:numRef>
              <c:f>'Ratio Analysis'!$N$23:$N$24</c:f>
              <c:numCache>
                <c:formatCode>_(* #,##0.00_);_(* \(#,##0.00\);_(* "-"??_);_(@_)</c:formatCode>
                <c:ptCount val="2"/>
                <c:pt idx="0">
                  <c:v>1.7108022071307301</c:v>
                </c:pt>
                <c:pt idx="1">
                  <c:v>36.60377358490566</c:v>
                </c:pt>
              </c:numCache>
            </c:numRef>
          </c:val>
          <c:extLst>
            <c:ext xmlns:c16="http://schemas.microsoft.com/office/drawing/2014/chart" uri="{C3380CC4-5D6E-409C-BE32-E72D297353CC}">
              <c16:uniqueId val="{00000004-F5A3-45F3-B255-D43B705F0FAF}"/>
            </c:ext>
          </c:extLst>
        </c:ser>
        <c:dLbls>
          <c:showLegendKey val="0"/>
          <c:showVal val="0"/>
          <c:showCatName val="0"/>
          <c:showSerName val="0"/>
          <c:showPercent val="0"/>
          <c:showBubbleSize val="0"/>
        </c:dLbls>
        <c:gapWidth val="182"/>
        <c:axId val="1814641663"/>
        <c:axId val="1814656063"/>
      </c:barChart>
      <c:catAx>
        <c:axId val="181464166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814656063"/>
        <c:crosses val="autoZero"/>
        <c:auto val="1"/>
        <c:lblAlgn val="ctr"/>
        <c:lblOffset val="100"/>
        <c:noMultiLvlLbl val="0"/>
      </c:catAx>
      <c:valAx>
        <c:axId val="1814656063"/>
        <c:scaling>
          <c:orientation val="minMax"/>
        </c:scaling>
        <c:delete val="0"/>
        <c:axPos val="b"/>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8146416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KE"/>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Investment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'Ratio Analysis'!$J$26</c:f>
              <c:strCache>
                <c:ptCount val="1"/>
                <c:pt idx="0">
                  <c:v>2021</c:v>
                </c:pt>
              </c:strCache>
            </c:strRef>
          </c:tx>
          <c:spPr>
            <a:solidFill>
              <a:schemeClr val="accent1"/>
            </a:solidFill>
            <a:ln>
              <a:noFill/>
            </a:ln>
            <a:effectLst/>
            <a:sp3d/>
          </c:spPr>
          <c:invertIfNegative val="0"/>
          <c:cat>
            <c:strRef>
              <c:f>'Ratio Analysis'!$I$27:$I$28</c:f>
              <c:strCache>
                <c:ptCount val="2"/>
                <c:pt idx="0">
                  <c:v>Earnings Per Share (EPS)</c:v>
                </c:pt>
                <c:pt idx="1">
                  <c:v>Price-to-Earnings Ratio (P/E)</c:v>
                </c:pt>
              </c:strCache>
            </c:strRef>
          </c:cat>
          <c:val>
            <c:numRef>
              <c:f>'Ratio Analysis'!$J$27:$J$28</c:f>
              <c:numCache>
                <c:formatCode>_(* #,##0.00_);_(* \(#,##0.00\);_(* "-"??_);_(@_)</c:formatCode>
                <c:ptCount val="2"/>
                <c:pt idx="0" formatCode="General">
                  <c:v>21.5</c:v>
                </c:pt>
                <c:pt idx="1">
                  <c:v>3.1497674418604649</c:v>
                </c:pt>
              </c:numCache>
            </c:numRef>
          </c:val>
          <c:extLst>
            <c:ext xmlns:c16="http://schemas.microsoft.com/office/drawing/2014/chart" uri="{C3380CC4-5D6E-409C-BE32-E72D297353CC}">
              <c16:uniqueId val="{00000000-0964-40D1-A266-F70844E48C98}"/>
            </c:ext>
          </c:extLst>
        </c:ser>
        <c:ser>
          <c:idx val="1"/>
          <c:order val="1"/>
          <c:tx>
            <c:strRef>
              <c:f>'Ratio Analysis'!$K$26</c:f>
              <c:strCache>
                <c:ptCount val="1"/>
                <c:pt idx="0">
                  <c:v>2022</c:v>
                </c:pt>
              </c:strCache>
            </c:strRef>
          </c:tx>
          <c:spPr>
            <a:solidFill>
              <a:schemeClr val="accent2"/>
            </a:solidFill>
            <a:ln>
              <a:noFill/>
            </a:ln>
            <a:effectLst/>
            <a:sp3d/>
          </c:spPr>
          <c:invertIfNegative val="0"/>
          <c:cat>
            <c:strRef>
              <c:f>'Ratio Analysis'!$I$27:$I$28</c:f>
              <c:strCache>
                <c:ptCount val="2"/>
                <c:pt idx="0">
                  <c:v>Earnings Per Share (EPS)</c:v>
                </c:pt>
                <c:pt idx="1">
                  <c:v>Price-to-Earnings Ratio (P/E)</c:v>
                </c:pt>
              </c:strCache>
            </c:strRef>
          </c:cat>
          <c:val>
            <c:numRef>
              <c:f>'Ratio Analysis'!$K$27:$K$28</c:f>
              <c:numCache>
                <c:formatCode>_(* #,##0.00_);_(* \(#,##0.00\);_(* "-"??_);_(@_)</c:formatCode>
                <c:ptCount val="2"/>
                <c:pt idx="0" formatCode="General">
                  <c:v>13.55</c:v>
                </c:pt>
                <c:pt idx="1">
                  <c:v>4.5394833948339484</c:v>
                </c:pt>
              </c:numCache>
            </c:numRef>
          </c:val>
          <c:extLst>
            <c:ext xmlns:c16="http://schemas.microsoft.com/office/drawing/2014/chart" uri="{C3380CC4-5D6E-409C-BE32-E72D297353CC}">
              <c16:uniqueId val="{00000001-0964-40D1-A266-F70844E48C98}"/>
            </c:ext>
          </c:extLst>
        </c:ser>
        <c:ser>
          <c:idx val="2"/>
          <c:order val="2"/>
          <c:tx>
            <c:strRef>
              <c:f>'Ratio Analysis'!$L$26</c:f>
              <c:strCache>
                <c:ptCount val="1"/>
                <c:pt idx="0">
                  <c:v>2023</c:v>
                </c:pt>
              </c:strCache>
            </c:strRef>
          </c:tx>
          <c:spPr>
            <a:solidFill>
              <a:schemeClr val="accent3"/>
            </a:solidFill>
            <a:ln>
              <a:noFill/>
            </a:ln>
            <a:effectLst/>
            <a:sp3d/>
          </c:spPr>
          <c:invertIfNegative val="0"/>
          <c:cat>
            <c:strRef>
              <c:f>'Ratio Analysis'!$I$27:$I$28</c:f>
              <c:strCache>
                <c:ptCount val="2"/>
                <c:pt idx="0">
                  <c:v>Earnings Per Share (EPS)</c:v>
                </c:pt>
                <c:pt idx="1">
                  <c:v>Price-to-Earnings Ratio (P/E)</c:v>
                </c:pt>
              </c:strCache>
            </c:strRef>
          </c:cat>
          <c:val>
            <c:numRef>
              <c:f>'Ratio Analysis'!$L$27:$L$28</c:f>
              <c:numCache>
                <c:formatCode>_(* #,##0.00_);_(* \(#,##0.00\);_(* "-"??_);_(@_)</c:formatCode>
                <c:ptCount val="2"/>
                <c:pt idx="0" formatCode="General">
                  <c:v>13.46</c:v>
                </c:pt>
                <c:pt idx="1">
                  <c:v>4.6508172362555715</c:v>
                </c:pt>
              </c:numCache>
            </c:numRef>
          </c:val>
          <c:extLst>
            <c:ext xmlns:c16="http://schemas.microsoft.com/office/drawing/2014/chart" uri="{C3380CC4-5D6E-409C-BE32-E72D297353CC}">
              <c16:uniqueId val="{00000002-0964-40D1-A266-F70844E48C98}"/>
            </c:ext>
          </c:extLst>
        </c:ser>
        <c:ser>
          <c:idx val="3"/>
          <c:order val="3"/>
          <c:tx>
            <c:strRef>
              <c:f>'Ratio Analysis'!$M$26</c:f>
              <c:strCache>
                <c:ptCount val="1"/>
                <c:pt idx="0">
                  <c:v>2024</c:v>
                </c:pt>
              </c:strCache>
            </c:strRef>
          </c:tx>
          <c:spPr>
            <a:solidFill>
              <a:schemeClr val="accent4"/>
            </a:solidFill>
            <a:ln>
              <a:noFill/>
            </a:ln>
            <a:effectLst/>
            <a:sp3d/>
          </c:spPr>
          <c:invertIfNegative val="0"/>
          <c:cat>
            <c:strRef>
              <c:f>'Ratio Analysis'!$I$27:$I$28</c:f>
              <c:strCache>
                <c:ptCount val="2"/>
                <c:pt idx="0">
                  <c:v>Earnings Per Share (EPS)</c:v>
                </c:pt>
                <c:pt idx="1">
                  <c:v>Price-to-Earnings Ratio (P/E)</c:v>
                </c:pt>
              </c:strCache>
            </c:strRef>
          </c:cat>
          <c:val>
            <c:numRef>
              <c:f>'Ratio Analysis'!$M$27:$M$28</c:f>
              <c:numCache>
                <c:formatCode>_(* #,##0.00_);_(* \(#,##0.00\);_(* "-"??_);_(@_)</c:formatCode>
                <c:ptCount val="2"/>
                <c:pt idx="0" formatCode="General">
                  <c:v>10.19</c:v>
                </c:pt>
                <c:pt idx="1">
                  <c:v>5.2620215897939158</c:v>
                </c:pt>
              </c:numCache>
            </c:numRef>
          </c:val>
          <c:extLst>
            <c:ext xmlns:c16="http://schemas.microsoft.com/office/drawing/2014/chart" uri="{C3380CC4-5D6E-409C-BE32-E72D297353CC}">
              <c16:uniqueId val="{00000003-0964-40D1-A266-F70844E48C98}"/>
            </c:ext>
          </c:extLst>
        </c:ser>
        <c:ser>
          <c:idx val="4"/>
          <c:order val="4"/>
          <c:tx>
            <c:strRef>
              <c:f>'Ratio Analysis'!$N$26</c:f>
              <c:strCache>
                <c:ptCount val="1"/>
                <c:pt idx="0">
                  <c:v>2025</c:v>
                </c:pt>
              </c:strCache>
            </c:strRef>
          </c:tx>
          <c:spPr>
            <a:solidFill>
              <a:schemeClr val="accent5"/>
            </a:solidFill>
            <a:ln>
              <a:noFill/>
            </a:ln>
            <a:effectLst/>
            <a:sp3d/>
          </c:spPr>
          <c:invertIfNegative val="0"/>
          <c:cat>
            <c:strRef>
              <c:f>'Ratio Analysis'!$I$27:$I$28</c:f>
              <c:strCache>
                <c:ptCount val="2"/>
                <c:pt idx="0">
                  <c:v>Earnings Per Share (EPS)</c:v>
                </c:pt>
                <c:pt idx="1">
                  <c:v>Price-to-Earnings Ratio (P/E)</c:v>
                </c:pt>
              </c:strCache>
            </c:strRef>
          </c:cat>
          <c:val>
            <c:numRef>
              <c:f>'Ratio Analysis'!$N$27:$N$28</c:f>
              <c:numCache>
                <c:formatCode>_(* #,##0.00_);_(* \(#,##0.00\);_(* "-"??_);_(@_)</c:formatCode>
                <c:ptCount val="2"/>
                <c:pt idx="0" formatCode="General">
                  <c:v>5.34</c:v>
                </c:pt>
                <c:pt idx="1">
                  <c:v>9.9438202247191025</c:v>
                </c:pt>
              </c:numCache>
            </c:numRef>
          </c:val>
          <c:extLst>
            <c:ext xmlns:c16="http://schemas.microsoft.com/office/drawing/2014/chart" uri="{C3380CC4-5D6E-409C-BE32-E72D297353CC}">
              <c16:uniqueId val="{00000004-0964-40D1-A266-F70844E48C98}"/>
            </c:ext>
          </c:extLst>
        </c:ser>
        <c:dLbls>
          <c:showLegendKey val="0"/>
          <c:showVal val="0"/>
          <c:showCatName val="0"/>
          <c:showSerName val="0"/>
          <c:showPercent val="0"/>
          <c:showBubbleSize val="0"/>
        </c:dLbls>
        <c:gapWidth val="150"/>
        <c:shape val="box"/>
        <c:axId val="1660932991"/>
        <c:axId val="1660921951"/>
        <c:axId val="0"/>
      </c:bar3DChart>
      <c:catAx>
        <c:axId val="166093299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660921951"/>
        <c:crosses val="autoZero"/>
        <c:auto val="1"/>
        <c:lblAlgn val="ctr"/>
        <c:lblOffset val="100"/>
        <c:noMultiLvlLbl val="0"/>
      </c:catAx>
      <c:valAx>
        <c:axId val="16609219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6609329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KE"/>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Cash Flow</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title>
    <c:autoTitleDeleted val="0"/>
    <c:plotArea>
      <c:layout/>
      <c:barChart>
        <c:barDir val="col"/>
        <c:grouping val="clustered"/>
        <c:varyColors val="0"/>
        <c:ser>
          <c:idx val="0"/>
          <c:order val="0"/>
          <c:tx>
            <c:strRef>
              <c:f>'Ratio Analysis'!$I$31</c:f>
              <c:strCache>
                <c:ptCount val="1"/>
                <c:pt idx="0">
                  <c:v>Free Cash Flow (FCF)</c:v>
                </c:pt>
              </c:strCache>
            </c:strRef>
          </c:tx>
          <c:spPr>
            <a:solidFill>
              <a:schemeClr val="accent1"/>
            </a:solidFill>
            <a:ln>
              <a:noFill/>
            </a:ln>
            <a:effectLst/>
          </c:spPr>
          <c:invertIfNegative val="0"/>
          <c:cat>
            <c:numRef>
              <c:f>'Ratio Analysis'!$J$30:$N$30</c:f>
              <c:numCache>
                <c:formatCode>General</c:formatCode>
                <c:ptCount val="5"/>
                <c:pt idx="0">
                  <c:v>2021</c:v>
                </c:pt>
                <c:pt idx="1">
                  <c:v>2022</c:v>
                </c:pt>
                <c:pt idx="2">
                  <c:v>2023</c:v>
                </c:pt>
                <c:pt idx="3">
                  <c:v>2024</c:v>
                </c:pt>
                <c:pt idx="4">
                  <c:v>2025</c:v>
                </c:pt>
              </c:numCache>
            </c:numRef>
          </c:cat>
          <c:val>
            <c:numRef>
              <c:f>'Ratio Analysis'!$J$31:$N$31</c:f>
              <c:numCache>
                <c:formatCode>#,##0</c:formatCode>
                <c:ptCount val="5"/>
                <c:pt idx="0">
                  <c:v>19970</c:v>
                </c:pt>
                <c:pt idx="1">
                  <c:v>13413</c:v>
                </c:pt>
                <c:pt idx="2">
                  <c:v>10725</c:v>
                </c:pt>
                <c:pt idx="3">
                  <c:v>13696</c:v>
                </c:pt>
                <c:pt idx="4">
                  <c:v>12524</c:v>
                </c:pt>
              </c:numCache>
            </c:numRef>
          </c:val>
          <c:extLst>
            <c:ext xmlns:c16="http://schemas.microsoft.com/office/drawing/2014/chart" uri="{C3380CC4-5D6E-409C-BE32-E72D297353CC}">
              <c16:uniqueId val="{00000000-D277-4C03-9041-C880D31BCA2F}"/>
            </c:ext>
          </c:extLst>
        </c:ser>
        <c:dLbls>
          <c:showLegendKey val="0"/>
          <c:showVal val="0"/>
          <c:showCatName val="0"/>
          <c:showSerName val="0"/>
          <c:showPercent val="0"/>
          <c:showBubbleSize val="0"/>
        </c:dLbls>
        <c:gapWidth val="219"/>
        <c:overlap val="-27"/>
        <c:axId val="396574959"/>
        <c:axId val="396591759"/>
      </c:barChart>
      <c:lineChart>
        <c:grouping val="standard"/>
        <c:varyColors val="0"/>
        <c:ser>
          <c:idx val="1"/>
          <c:order val="1"/>
          <c:tx>
            <c:strRef>
              <c:f>'Ratio Analysis'!$I$32</c:f>
              <c:strCache>
                <c:ptCount val="1"/>
                <c:pt idx="0">
                  <c:v>FCF Yield</c:v>
                </c:pt>
              </c:strCache>
            </c:strRef>
          </c:tx>
          <c:spPr>
            <a:ln w="28575" cap="rnd">
              <a:solidFill>
                <a:schemeClr val="accent2"/>
              </a:solidFill>
              <a:round/>
            </a:ln>
            <a:effectLst/>
          </c:spPr>
          <c:marker>
            <c:symbol val="none"/>
          </c:marker>
          <c:cat>
            <c:numRef>
              <c:f>'Ratio Analysis'!$J$30:$N$30</c:f>
              <c:numCache>
                <c:formatCode>General</c:formatCode>
                <c:ptCount val="5"/>
                <c:pt idx="0">
                  <c:v>2021</c:v>
                </c:pt>
                <c:pt idx="1">
                  <c:v>2022</c:v>
                </c:pt>
                <c:pt idx="2">
                  <c:v>2023</c:v>
                </c:pt>
                <c:pt idx="3">
                  <c:v>2024</c:v>
                </c:pt>
                <c:pt idx="4">
                  <c:v>2025</c:v>
                </c:pt>
              </c:numCache>
            </c:numRef>
          </c:cat>
          <c:val>
            <c:numRef>
              <c:f>'Ratio Analysis'!$J$32:$N$32</c:f>
              <c:numCache>
                <c:formatCode>0.00%</c:formatCode>
                <c:ptCount val="5"/>
                <c:pt idx="0">
                  <c:v>0.27559652778736149</c:v>
                </c:pt>
                <c:pt idx="1">
                  <c:v>0.20379542968275191</c:v>
                </c:pt>
                <c:pt idx="2">
                  <c:v>0.16011764354602728</c:v>
                </c:pt>
                <c:pt idx="3">
                  <c:v>0.23650492142980487</c:v>
                </c:pt>
                <c:pt idx="4">
                  <c:v>0.21838599428053287</c:v>
                </c:pt>
              </c:numCache>
            </c:numRef>
          </c:val>
          <c:smooth val="0"/>
          <c:extLst>
            <c:ext xmlns:c16="http://schemas.microsoft.com/office/drawing/2014/chart" uri="{C3380CC4-5D6E-409C-BE32-E72D297353CC}">
              <c16:uniqueId val="{00000001-D277-4C03-9041-C880D31BCA2F}"/>
            </c:ext>
          </c:extLst>
        </c:ser>
        <c:dLbls>
          <c:showLegendKey val="0"/>
          <c:showVal val="0"/>
          <c:showCatName val="0"/>
          <c:showSerName val="0"/>
          <c:showPercent val="0"/>
          <c:showBubbleSize val="0"/>
        </c:dLbls>
        <c:marker val="1"/>
        <c:smooth val="0"/>
        <c:axId val="396585519"/>
        <c:axId val="396583119"/>
      </c:lineChart>
      <c:catAx>
        <c:axId val="3965749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396591759"/>
        <c:crosses val="autoZero"/>
        <c:auto val="1"/>
        <c:lblAlgn val="ctr"/>
        <c:lblOffset val="100"/>
        <c:noMultiLvlLbl val="0"/>
      </c:catAx>
      <c:valAx>
        <c:axId val="39659175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396574959"/>
        <c:crosses val="autoZero"/>
        <c:crossBetween val="between"/>
      </c:valAx>
      <c:valAx>
        <c:axId val="396583119"/>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396585519"/>
        <c:crosses val="max"/>
        <c:crossBetween val="between"/>
      </c:valAx>
      <c:catAx>
        <c:axId val="396585519"/>
        <c:scaling>
          <c:orientation val="minMax"/>
        </c:scaling>
        <c:delete val="1"/>
        <c:axPos val="b"/>
        <c:numFmt formatCode="General" sourceLinked="1"/>
        <c:majorTickMark val="none"/>
        <c:minorTickMark val="none"/>
        <c:tickLblPos val="nextTo"/>
        <c:crossAx val="39658311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KE"/>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ID4096"/>
        </a:p>
      </c:txPr>
    </c:title>
    <c:autoTitleDeleted val="0"/>
    <c:plotArea>
      <c:layout/>
      <c:barChart>
        <c:barDir val="col"/>
        <c:grouping val="clustered"/>
        <c:varyColors val="0"/>
        <c:ser>
          <c:idx val="0"/>
          <c:order val="0"/>
          <c:tx>
            <c:strRef>
              <c:f>Sheet3!$D$9</c:f>
              <c:strCache>
                <c:ptCount val="1"/>
                <c:pt idx="0">
                  <c:v>NPV (£m)</c:v>
                </c:pt>
              </c:strCache>
            </c:strRef>
          </c:tx>
          <c:spPr>
            <a:solidFill>
              <a:schemeClr val="accent1"/>
            </a:solidFill>
            <a:ln>
              <a:noFill/>
            </a:ln>
            <a:effectLst/>
          </c:spPr>
          <c:invertIfNegative val="0"/>
          <c:cat>
            <c:strRef>
              <c:f>Sheet3!$A$10:$A$12</c:f>
              <c:strCache>
                <c:ptCount val="3"/>
                <c:pt idx="0">
                  <c:v>A</c:v>
                </c:pt>
                <c:pt idx="1">
                  <c:v>B</c:v>
                </c:pt>
                <c:pt idx="2">
                  <c:v>C</c:v>
                </c:pt>
              </c:strCache>
            </c:strRef>
          </c:cat>
          <c:val>
            <c:numRef>
              <c:f>Sheet3!$D$10:$D$12</c:f>
              <c:numCache>
                <c:formatCode>General</c:formatCode>
                <c:ptCount val="3"/>
                <c:pt idx="0">
                  <c:v>-8.6760000000000002</c:v>
                </c:pt>
                <c:pt idx="1">
                  <c:v>-8.3010000000000002</c:v>
                </c:pt>
                <c:pt idx="2">
                  <c:v>-1.984</c:v>
                </c:pt>
              </c:numCache>
            </c:numRef>
          </c:val>
          <c:extLst>
            <c:ext xmlns:c16="http://schemas.microsoft.com/office/drawing/2014/chart" uri="{C3380CC4-5D6E-409C-BE32-E72D297353CC}">
              <c16:uniqueId val="{00000000-1FB8-42E6-9110-5820F84AEB58}"/>
            </c:ext>
          </c:extLst>
        </c:ser>
        <c:dLbls>
          <c:showLegendKey val="0"/>
          <c:showVal val="0"/>
          <c:showCatName val="0"/>
          <c:showSerName val="0"/>
          <c:showPercent val="0"/>
          <c:showBubbleSize val="0"/>
        </c:dLbls>
        <c:gapWidth val="219"/>
        <c:overlap val="-27"/>
        <c:axId val="1981675119"/>
        <c:axId val="1981686159"/>
      </c:barChart>
      <c:catAx>
        <c:axId val="1981675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ID4096"/>
          </a:p>
        </c:txPr>
        <c:crossAx val="1981686159"/>
        <c:crosses val="autoZero"/>
        <c:auto val="1"/>
        <c:lblAlgn val="ctr"/>
        <c:lblOffset val="100"/>
        <c:noMultiLvlLbl val="0"/>
      </c:catAx>
      <c:valAx>
        <c:axId val="19816861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ID4096"/>
          </a:p>
        </c:txPr>
        <c:crossAx val="19816751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LID4096"/>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Profitability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title>
    <c:autoTitleDeleted val="0"/>
    <c:plotArea>
      <c:layout/>
      <c:barChart>
        <c:barDir val="col"/>
        <c:grouping val="clustered"/>
        <c:varyColors val="0"/>
        <c:ser>
          <c:idx val="0"/>
          <c:order val="0"/>
          <c:tx>
            <c:strRef>
              <c:f>'Ratio Analysis'!$I$2</c:f>
              <c:strCache>
                <c:ptCount val="1"/>
                <c:pt idx="0">
                  <c:v>Gross Profit Margin</c:v>
                </c:pt>
              </c:strCache>
            </c:strRef>
          </c:tx>
          <c:spPr>
            <a:solidFill>
              <a:schemeClr val="accent1"/>
            </a:solidFill>
            <a:ln>
              <a:noFill/>
            </a:ln>
            <a:effectLst/>
          </c:spPr>
          <c:invertIfNegative val="0"/>
          <c:cat>
            <c:numRef>
              <c:f>'Ratio Analysis'!$J$1:$N$1</c:f>
              <c:numCache>
                <c:formatCode>General</c:formatCode>
                <c:ptCount val="5"/>
                <c:pt idx="0">
                  <c:v>2021</c:v>
                </c:pt>
                <c:pt idx="1">
                  <c:v>2022</c:v>
                </c:pt>
                <c:pt idx="2">
                  <c:v>2023</c:v>
                </c:pt>
                <c:pt idx="3">
                  <c:v>2024</c:v>
                </c:pt>
                <c:pt idx="4">
                  <c:v>2025</c:v>
                </c:pt>
              </c:numCache>
            </c:numRef>
          </c:cat>
          <c:val>
            <c:numRef>
              <c:f>'Ratio Analysis'!$J$2:$N$2</c:f>
              <c:numCache>
                <c:formatCode>0.00%</c:formatCode>
                <c:ptCount val="5"/>
                <c:pt idx="0">
                  <c:v>0.22910084918554369</c:v>
                </c:pt>
                <c:pt idx="1">
                  <c:v>0.22677429891278988</c:v>
                </c:pt>
                <c:pt idx="2">
                  <c:v>0.22437964207860694</c:v>
                </c:pt>
                <c:pt idx="3">
                  <c:v>0.19627182438836765</c:v>
                </c:pt>
                <c:pt idx="4">
                  <c:v>0.16891554600874339</c:v>
                </c:pt>
              </c:numCache>
            </c:numRef>
          </c:val>
          <c:extLst>
            <c:ext xmlns:c16="http://schemas.microsoft.com/office/drawing/2014/chart" uri="{C3380CC4-5D6E-409C-BE32-E72D297353CC}">
              <c16:uniqueId val="{00000000-31D4-46AD-8C12-DAD4736DA048}"/>
            </c:ext>
          </c:extLst>
        </c:ser>
        <c:ser>
          <c:idx val="1"/>
          <c:order val="1"/>
          <c:tx>
            <c:strRef>
              <c:f>'Ratio Analysis'!$I$3</c:f>
              <c:strCache>
                <c:ptCount val="1"/>
                <c:pt idx="0">
                  <c:v>Net Profit Margin</c:v>
                </c:pt>
              </c:strCache>
            </c:strRef>
          </c:tx>
          <c:spPr>
            <a:solidFill>
              <a:schemeClr val="accent2"/>
            </a:solidFill>
            <a:ln>
              <a:noFill/>
            </a:ln>
            <a:effectLst/>
          </c:spPr>
          <c:invertIfNegative val="0"/>
          <c:cat>
            <c:numRef>
              <c:f>'Ratio Analysis'!$J$1:$N$1</c:f>
              <c:numCache>
                <c:formatCode>General</c:formatCode>
                <c:ptCount val="5"/>
                <c:pt idx="0">
                  <c:v>2021</c:v>
                </c:pt>
                <c:pt idx="1">
                  <c:v>2022</c:v>
                </c:pt>
                <c:pt idx="2">
                  <c:v>2023</c:v>
                </c:pt>
                <c:pt idx="3">
                  <c:v>2024</c:v>
                </c:pt>
                <c:pt idx="4">
                  <c:v>2025</c:v>
                </c:pt>
              </c:numCache>
            </c:numRef>
          </c:cat>
          <c:val>
            <c:numRef>
              <c:f>'Ratio Analysis'!$J$3:$N$3</c:f>
              <c:numCache>
                <c:formatCode>0.00%</c:formatCode>
                <c:ptCount val="5"/>
                <c:pt idx="0">
                  <c:v>0.17473654335924954</c:v>
                </c:pt>
                <c:pt idx="1">
                  <c:v>9.8715478912389923E-2</c:v>
                </c:pt>
                <c:pt idx="2">
                  <c:v>9.4838726520382721E-2</c:v>
                </c:pt>
                <c:pt idx="3">
                  <c:v>7.1493330769125105E-2</c:v>
                </c:pt>
                <c:pt idx="4">
                  <c:v>4.0320994750934092E-2</c:v>
                </c:pt>
              </c:numCache>
            </c:numRef>
          </c:val>
          <c:extLst>
            <c:ext xmlns:c16="http://schemas.microsoft.com/office/drawing/2014/chart" uri="{C3380CC4-5D6E-409C-BE32-E72D297353CC}">
              <c16:uniqueId val="{00000001-31D4-46AD-8C12-DAD4736DA048}"/>
            </c:ext>
          </c:extLst>
        </c:ser>
        <c:ser>
          <c:idx val="2"/>
          <c:order val="2"/>
          <c:tx>
            <c:strRef>
              <c:f>'Ratio Analysis'!$I$4</c:f>
              <c:strCache>
                <c:ptCount val="1"/>
                <c:pt idx="0">
                  <c:v>Return on Assets (ROA)</c:v>
                </c:pt>
              </c:strCache>
            </c:strRef>
          </c:tx>
          <c:spPr>
            <a:solidFill>
              <a:schemeClr val="accent3"/>
            </a:solidFill>
            <a:ln>
              <a:noFill/>
            </a:ln>
            <a:effectLst/>
          </c:spPr>
          <c:invertIfNegative val="0"/>
          <c:cat>
            <c:numRef>
              <c:f>'Ratio Analysis'!$J$1:$N$1</c:f>
              <c:numCache>
                <c:formatCode>General</c:formatCode>
                <c:ptCount val="5"/>
                <c:pt idx="0">
                  <c:v>2021</c:v>
                </c:pt>
                <c:pt idx="1">
                  <c:v>2022</c:v>
                </c:pt>
                <c:pt idx="2">
                  <c:v>2023</c:v>
                </c:pt>
                <c:pt idx="3">
                  <c:v>2024</c:v>
                </c:pt>
                <c:pt idx="4">
                  <c:v>2025</c:v>
                </c:pt>
              </c:numCache>
            </c:numRef>
          </c:cat>
          <c:val>
            <c:numRef>
              <c:f>'Ratio Analysis'!$J$4:$N$4</c:f>
              <c:numCache>
                <c:formatCode>0.00%</c:formatCode>
                <c:ptCount val="5"/>
                <c:pt idx="0">
                  <c:v>9.0043143427843489E-2</c:v>
                </c:pt>
                <c:pt idx="1">
                  <c:v>5.6954406476549431E-2</c:v>
                </c:pt>
                <c:pt idx="2">
                  <c:v>5.5246329204401153E-2</c:v>
                </c:pt>
                <c:pt idx="3">
                  <c:v>3.9277763103279122E-2</c:v>
                </c:pt>
                <c:pt idx="4">
                  <c:v>2.0867747567190939E-2</c:v>
                </c:pt>
              </c:numCache>
            </c:numRef>
          </c:val>
          <c:extLst>
            <c:ext xmlns:c16="http://schemas.microsoft.com/office/drawing/2014/chart" uri="{C3380CC4-5D6E-409C-BE32-E72D297353CC}">
              <c16:uniqueId val="{00000002-31D4-46AD-8C12-DAD4736DA048}"/>
            </c:ext>
          </c:extLst>
        </c:ser>
        <c:ser>
          <c:idx val="3"/>
          <c:order val="3"/>
          <c:tx>
            <c:strRef>
              <c:f>'Ratio Analysis'!$I$5</c:f>
              <c:strCache>
                <c:ptCount val="1"/>
                <c:pt idx="0">
                  <c:v>Return on Equity (ROE)</c:v>
                </c:pt>
              </c:strCache>
            </c:strRef>
          </c:tx>
          <c:spPr>
            <a:solidFill>
              <a:schemeClr val="accent4"/>
            </a:solidFill>
            <a:ln>
              <a:noFill/>
            </a:ln>
            <a:effectLst/>
          </c:spPr>
          <c:invertIfNegative val="0"/>
          <c:cat>
            <c:numRef>
              <c:f>'Ratio Analysis'!$J$1:$N$1</c:f>
              <c:numCache>
                <c:formatCode>General</c:formatCode>
                <c:ptCount val="5"/>
                <c:pt idx="0">
                  <c:v>2021</c:v>
                </c:pt>
                <c:pt idx="1">
                  <c:v>2022</c:v>
                </c:pt>
                <c:pt idx="2">
                  <c:v>2023</c:v>
                </c:pt>
                <c:pt idx="3">
                  <c:v>2024</c:v>
                </c:pt>
                <c:pt idx="4">
                  <c:v>2025</c:v>
                </c:pt>
              </c:numCache>
            </c:numRef>
          </c:cat>
          <c:val>
            <c:numRef>
              <c:f>'Ratio Analysis'!$J$5:$N$5</c:f>
              <c:numCache>
                <c:formatCode>0.00%</c:formatCode>
                <c:ptCount val="5"/>
                <c:pt idx="0">
                  <c:v>0.31976164117703337</c:v>
                </c:pt>
                <c:pt idx="1">
                  <c:v>0.17112318003235499</c:v>
                </c:pt>
                <c:pt idx="2">
                  <c:v>0.1565570591277366</c:v>
                </c:pt>
                <c:pt idx="3">
                  <c:v>0.11117163302360354</c:v>
                </c:pt>
                <c:pt idx="4">
                  <c:v>5.6568336162988113E-2</c:v>
                </c:pt>
              </c:numCache>
            </c:numRef>
          </c:val>
          <c:extLst>
            <c:ext xmlns:c16="http://schemas.microsoft.com/office/drawing/2014/chart" uri="{C3380CC4-5D6E-409C-BE32-E72D297353CC}">
              <c16:uniqueId val="{00000003-31D4-46AD-8C12-DAD4736DA048}"/>
            </c:ext>
          </c:extLst>
        </c:ser>
        <c:dLbls>
          <c:showLegendKey val="0"/>
          <c:showVal val="0"/>
          <c:showCatName val="0"/>
          <c:showSerName val="0"/>
          <c:showPercent val="0"/>
          <c:showBubbleSize val="0"/>
        </c:dLbls>
        <c:gapWidth val="219"/>
        <c:overlap val="-27"/>
        <c:axId val="1660903231"/>
        <c:axId val="1660910911"/>
      </c:barChart>
      <c:catAx>
        <c:axId val="16609032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660910911"/>
        <c:crosses val="autoZero"/>
        <c:auto val="1"/>
        <c:lblAlgn val="ctr"/>
        <c:lblOffset val="100"/>
        <c:noMultiLvlLbl val="0"/>
      </c:catAx>
      <c:valAx>
        <c:axId val="166091091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6609032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KE"/>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Efficiency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'Ratio Analysis'!$J$11</c:f>
              <c:strCache>
                <c:ptCount val="1"/>
                <c:pt idx="0">
                  <c:v>2021</c:v>
                </c:pt>
              </c:strCache>
            </c:strRef>
          </c:tx>
          <c:spPr>
            <a:solidFill>
              <a:schemeClr val="accent1"/>
            </a:solidFill>
            <a:ln>
              <a:noFill/>
            </a:ln>
            <a:effectLst/>
            <a:sp3d/>
          </c:spPr>
          <c:invertIfNegative val="0"/>
          <c:cat>
            <c:strRef>
              <c:f>'Ratio Analysis'!$I$12:$I$18</c:f>
              <c:strCache>
                <c:ptCount val="7"/>
                <c:pt idx="0">
                  <c:v>Inventory Turnover</c:v>
                </c:pt>
                <c:pt idx="1">
                  <c:v>Receivables Turnover</c:v>
                </c:pt>
                <c:pt idx="2">
                  <c:v>Asset Turnover</c:v>
                </c:pt>
                <c:pt idx="3">
                  <c:v>Inventory Days (Days Inventory Outstanding - DIO)</c:v>
                </c:pt>
                <c:pt idx="4">
                  <c:v>Payable Days (Days Payable Outstanding - DPO)</c:v>
                </c:pt>
                <c:pt idx="5">
                  <c:v>Receivable Days (Days Sales Outstanding - DSO)</c:v>
                </c:pt>
                <c:pt idx="6">
                  <c:v>Cash Conversion Cycle (CCC)</c:v>
                </c:pt>
              </c:strCache>
            </c:strRef>
          </c:cat>
          <c:val>
            <c:numRef>
              <c:f>'Ratio Analysis'!$J$12:$J$18</c:f>
              <c:numCache>
                <c:formatCode>_(* #,##0.00_);_(* \(#,##0.00\);_(* "-"??_);_(@_)</c:formatCode>
                <c:ptCount val="7"/>
                <c:pt idx="0">
                  <c:v>9.6168825118792505</c:v>
                </c:pt>
                <c:pt idx="1">
                  <c:v>34.899778443894178</c:v>
                </c:pt>
                <c:pt idx="2">
                  <c:v>1.0306160542814369</c:v>
                </c:pt>
                <c:pt idx="3">
                  <c:v>37.954087465364566</c:v>
                </c:pt>
                <c:pt idx="4">
                  <c:v>18.839131740587881</c:v>
                </c:pt>
                <c:pt idx="5">
                  <c:v>13.566650196671123</c:v>
                </c:pt>
                <c:pt idx="6">
                  <c:v>32.681605921447805</c:v>
                </c:pt>
              </c:numCache>
            </c:numRef>
          </c:val>
          <c:extLst>
            <c:ext xmlns:c16="http://schemas.microsoft.com/office/drawing/2014/chart" uri="{C3380CC4-5D6E-409C-BE32-E72D297353CC}">
              <c16:uniqueId val="{00000000-60C1-4322-8D0E-3DB4AEEF7E4C}"/>
            </c:ext>
          </c:extLst>
        </c:ser>
        <c:ser>
          <c:idx val="1"/>
          <c:order val="1"/>
          <c:tx>
            <c:strRef>
              <c:f>'Ratio Analysis'!$K$11</c:f>
              <c:strCache>
                <c:ptCount val="1"/>
                <c:pt idx="0">
                  <c:v>2022</c:v>
                </c:pt>
              </c:strCache>
            </c:strRef>
          </c:tx>
          <c:spPr>
            <a:solidFill>
              <a:schemeClr val="accent2"/>
            </a:solidFill>
            <a:ln>
              <a:noFill/>
            </a:ln>
            <a:effectLst/>
            <a:sp3d/>
          </c:spPr>
          <c:invertIfNegative val="0"/>
          <c:cat>
            <c:strRef>
              <c:f>'Ratio Analysis'!$I$12:$I$18</c:f>
              <c:strCache>
                <c:ptCount val="7"/>
                <c:pt idx="0">
                  <c:v>Inventory Turnover</c:v>
                </c:pt>
                <c:pt idx="1">
                  <c:v>Receivables Turnover</c:v>
                </c:pt>
                <c:pt idx="2">
                  <c:v>Asset Turnover</c:v>
                </c:pt>
                <c:pt idx="3">
                  <c:v>Inventory Days (Days Inventory Outstanding - DIO)</c:v>
                </c:pt>
                <c:pt idx="4">
                  <c:v>Payable Days (Days Payable Outstanding - DPO)</c:v>
                </c:pt>
                <c:pt idx="5">
                  <c:v>Receivable Days (Days Sales Outstanding - DSO)</c:v>
                </c:pt>
                <c:pt idx="6">
                  <c:v>Cash Conversion Cycle (CCC)</c:v>
                </c:pt>
              </c:strCache>
            </c:strRef>
          </c:cat>
          <c:val>
            <c:numRef>
              <c:f>'Ratio Analysis'!$K$12:$K$18</c:f>
              <c:numCache>
                <c:formatCode>_(* #,##0.00_);_(* \(#,##0.00\);_(* "-"??_);_(@_)</c:formatCode>
                <c:ptCount val="7"/>
                <c:pt idx="0">
                  <c:v>4.9269225051500412</c:v>
                </c:pt>
                <c:pt idx="1">
                  <c:v>19.021999619603118</c:v>
                </c:pt>
                <c:pt idx="2">
                  <c:v>0.57715938951150914</c:v>
                </c:pt>
                <c:pt idx="3">
                  <c:v>74.082756450597856</c:v>
                </c:pt>
                <c:pt idx="4">
                  <c:v>35.96444304594084</c:v>
                </c:pt>
                <c:pt idx="5">
                  <c:v>24.815921963499058</c:v>
                </c:pt>
                <c:pt idx="6">
                  <c:v>62.934235368156067</c:v>
                </c:pt>
              </c:numCache>
            </c:numRef>
          </c:val>
          <c:extLst>
            <c:ext xmlns:c16="http://schemas.microsoft.com/office/drawing/2014/chart" uri="{C3380CC4-5D6E-409C-BE32-E72D297353CC}">
              <c16:uniqueId val="{00000001-60C1-4322-8D0E-3DB4AEEF7E4C}"/>
            </c:ext>
          </c:extLst>
        </c:ser>
        <c:ser>
          <c:idx val="2"/>
          <c:order val="2"/>
          <c:tx>
            <c:strRef>
              <c:f>'Ratio Analysis'!$L$11</c:f>
              <c:strCache>
                <c:ptCount val="1"/>
                <c:pt idx="0">
                  <c:v>2023</c:v>
                </c:pt>
              </c:strCache>
            </c:strRef>
          </c:tx>
          <c:spPr>
            <a:solidFill>
              <a:schemeClr val="accent3"/>
            </a:solidFill>
            <a:ln>
              <a:noFill/>
            </a:ln>
            <a:effectLst/>
            <a:sp3d/>
          </c:spPr>
          <c:invertIfNegative val="0"/>
          <c:cat>
            <c:strRef>
              <c:f>'Ratio Analysis'!$I$12:$I$18</c:f>
              <c:strCache>
                <c:ptCount val="7"/>
                <c:pt idx="0">
                  <c:v>Inventory Turnover</c:v>
                </c:pt>
                <c:pt idx="1">
                  <c:v>Receivables Turnover</c:v>
                </c:pt>
                <c:pt idx="2">
                  <c:v>Asset Turnover</c:v>
                </c:pt>
                <c:pt idx="3">
                  <c:v>Inventory Days (Days Inventory Outstanding - DIO)</c:v>
                </c:pt>
                <c:pt idx="4">
                  <c:v>Payable Days (Days Payable Outstanding - DPO)</c:v>
                </c:pt>
                <c:pt idx="5">
                  <c:v>Receivable Days (Days Sales Outstanding - DSO)</c:v>
                </c:pt>
                <c:pt idx="6">
                  <c:v>Cash Conversion Cycle (CCC)</c:v>
                </c:pt>
              </c:strCache>
            </c:strRef>
          </c:cat>
          <c:val>
            <c:numRef>
              <c:f>'Ratio Analysis'!$L$12:$L$18</c:f>
              <c:numCache>
                <c:formatCode>_(* #,##0.00_);_(* \(#,##0.00\);_(* "-"??_);_(@_)</c:formatCode>
                <c:ptCount val="7"/>
                <c:pt idx="0">
                  <c:v>4.4916942265898134</c:v>
                </c:pt>
                <c:pt idx="1">
                  <c:v>19.923021910148886</c:v>
                </c:pt>
                <c:pt idx="2">
                  <c:v>0.58587824570728264</c:v>
                </c:pt>
                <c:pt idx="3">
                  <c:v>81.261096946288674</c:v>
                </c:pt>
                <c:pt idx="4">
                  <c:v>38.441420745714787</c:v>
                </c:pt>
                <c:pt idx="5">
                  <c:v>23.620465503748768</c:v>
                </c:pt>
                <c:pt idx="6">
                  <c:v>66.440141704322656</c:v>
                </c:pt>
              </c:numCache>
            </c:numRef>
          </c:val>
          <c:extLst>
            <c:ext xmlns:c16="http://schemas.microsoft.com/office/drawing/2014/chart" uri="{C3380CC4-5D6E-409C-BE32-E72D297353CC}">
              <c16:uniqueId val="{00000002-60C1-4322-8D0E-3DB4AEEF7E4C}"/>
            </c:ext>
          </c:extLst>
        </c:ser>
        <c:ser>
          <c:idx val="3"/>
          <c:order val="3"/>
          <c:tx>
            <c:strRef>
              <c:f>'Ratio Analysis'!$M$11</c:f>
              <c:strCache>
                <c:ptCount val="1"/>
                <c:pt idx="0">
                  <c:v>2024</c:v>
                </c:pt>
              </c:strCache>
            </c:strRef>
          </c:tx>
          <c:spPr>
            <a:solidFill>
              <a:schemeClr val="accent4"/>
            </a:solidFill>
            <a:ln>
              <a:noFill/>
            </a:ln>
            <a:effectLst/>
            <a:sp3d/>
          </c:spPr>
          <c:invertIfNegative val="0"/>
          <c:cat>
            <c:strRef>
              <c:f>'Ratio Analysis'!$I$12:$I$18</c:f>
              <c:strCache>
                <c:ptCount val="7"/>
                <c:pt idx="0">
                  <c:v>Inventory Turnover</c:v>
                </c:pt>
                <c:pt idx="1">
                  <c:v>Receivables Turnover</c:v>
                </c:pt>
                <c:pt idx="2">
                  <c:v>Asset Turnover</c:v>
                </c:pt>
                <c:pt idx="3">
                  <c:v>Inventory Days (Days Inventory Outstanding - DIO)</c:v>
                </c:pt>
                <c:pt idx="4">
                  <c:v>Payable Days (Days Payable Outstanding - DPO)</c:v>
                </c:pt>
                <c:pt idx="5">
                  <c:v>Receivable Days (Days Sales Outstanding - DSO)</c:v>
                </c:pt>
                <c:pt idx="6">
                  <c:v>Cash Conversion Cycle (CCC)</c:v>
                </c:pt>
              </c:strCache>
            </c:strRef>
          </c:cat>
          <c:val>
            <c:numRef>
              <c:f>'Ratio Analysis'!$M$12:$M$18</c:f>
              <c:numCache>
                <c:formatCode>_(* #,##0.00_);_(* \(#,##0.00\);_(* "-"??_);_(@_)</c:formatCode>
                <c:ptCount val="7"/>
                <c:pt idx="0">
                  <c:v>4.3722164101031238</c:v>
                </c:pt>
                <c:pt idx="1">
                  <c:v>20.428511295075065</c:v>
                </c:pt>
                <c:pt idx="2">
                  <c:v>0.55145900248469792</c:v>
                </c:pt>
                <c:pt idx="3">
                  <c:v>83.481686578133278</c:v>
                </c:pt>
                <c:pt idx="4">
                  <c:v>37.648481430207319</c:v>
                </c:pt>
                <c:pt idx="5">
                  <c:v>22.230383359824984</c:v>
                </c:pt>
                <c:pt idx="6">
                  <c:v>68.06358850775095</c:v>
                </c:pt>
              </c:numCache>
            </c:numRef>
          </c:val>
          <c:extLst>
            <c:ext xmlns:c16="http://schemas.microsoft.com/office/drawing/2014/chart" uri="{C3380CC4-5D6E-409C-BE32-E72D297353CC}">
              <c16:uniqueId val="{00000003-60C1-4322-8D0E-3DB4AEEF7E4C}"/>
            </c:ext>
          </c:extLst>
        </c:ser>
        <c:ser>
          <c:idx val="4"/>
          <c:order val="4"/>
          <c:tx>
            <c:strRef>
              <c:f>'Ratio Analysis'!$N$11</c:f>
              <c:strCache>
                <c:ptCount val="1"/>
                <c:pt idx="0">
                  <c:v>2025</c:v>
                </c:pt>
              </c:strCache>
            </c:strRef>
          </c:tx>
          <c:spPr>
            <a:solidFill>
              <a:schemeClr val="accent5"/>
            </a:solidFill>
            <a:ln>
              <a:noFill/>
            </a:ln>
            <a:effectLst/>
            <a:sp3d/>
          </c:spPr>
          <c:invertIfNegative val="0"/>
          <c:cat>
            <c:strRef>
              <c:f>'Ratio Analysis'!$I$12:$I$18</c:f>
              <c:strCache>
                <c:ptCount val="7"/>
                <c:pt idx="0">
                  <c:v>Inventory Turnover</c:v>
                </c:pt>
                <c:pt idx="1">
                  <c:v>Receivables Turnover</c:v>
                </c:pt>
                <c:pt idx="2">
                  <c:v>Asset Turnover</c:v>
                </c:pt>
                <c:pt idx="3">
                  <c:v>Inventory Days (Days Inventory Outstanding - DIO)</c:v>
                </c:pt>
                <c:pt idx="4">
                  <c:v>Payable Days (Days Payable Outstanding - DPO)</c:v>
                </c:pt>
                <c:pt idx="5">
                  <c:v>Receivable Days (Days Sales Outstanding - DSO)</c:v>
                </c:pt>
                <c:pt idx="6">
                  <c:v>Cash Conversion Cycle (CCC)</c:v>
                </c:pt>
              </c:strCache>
            </c:strRef>
          </c:cat>
          <c:val>
            <c:numRef>
              <c:f>'Ratio Analysis'!$N$12:$N$18</c:f>
              <c:numCache>
                <c:formatCode>_(* #,##0.00_);_(* \(#,##0.00\);_(* "-"??_);_(@_)</c:formatCode>
                <c:ptCount val="7"/>
                <c:pt idx="0">
                  <c:v>4.380608766719158</c:v>
                </c:pt>
                <c:pt idx="1">
                  <c:v>20.619775421085464</c:v>
                </c:pt>
                <c:pt idx="2">
                  <c:v>0.50805032316571752</c:v>
                </c:pt>
                <c:pt idx="3">
                  <c:v>83.321752623292468</c:v>
                </c:pt>
                <c:pt idx="4">
                  <c:v>36.501328710150069</c:v>
                </c:pt>
                <c:pt idx="5">
                  <c:v>21.299223705645197</c:v>
                </c:pt>
                <c:pt idx="6">
                  <c:v>68.11964761878761</c:v>
                </c:pt>
              </c:numCache>
            </c:numRef>
          </c:val>
          <c:extLst>
            <c:ext xmlns:c16="http://schemas.microsoft.com/office/drawing/2014/chart" uri="{C3380CC4-5D6E-409C-BE32-E72D297353CC}">
              <c16:uniqueId val="{00000004-60C1-4322-8D0E-3DB4AEEF7E4C}"/>
            </c:ext>
          </c:extLst>
        </c:ser>
        <c:dLbls>
          <c:showLegendKey val="0"/>
          <c:showVal val="0"/>
          <c:showCatName val="0"/>
          <c:showSerName val="0"/>
          <c:showPercent val="0"/>
          <c:showBubbleSize val="0"/>
        </c:dLbls>
        <c:gapWidth val="150"/>
        <c:shape val="box"/>
        <c:axId val="394192543"/>
        <c:axId val="394180543"/>
        <c:axId val="0"/>
      </c:bar3DChart>
      <c:catAx>
        <c:axId val="3941925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394180543"/>
        <c:crosses val="autoZero"/>
        <c:auto val="1"/>
        <c:lblAlgn val="ctr"/>
        <c:lblOffset val="100"/>
        <c:noMultiLvlLbl val="0"/>
      </c:catAx>
      <c:valAx>
        <c:axId val="394180543"/>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3941925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KE"/>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Liquidity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title>
    <c:autoTitleDeleted val="0"/>
    <c:plotArea>
      <c:layout/>
      <c:lineChart>
        <c:grouping val="standard"/>
        <c:varyColors val="0"/>
        <c:ser>
          <c:idx val="0"/>
          <c:order val="0"/>
          <c:tx>
            <c:strRef>
              <c:f>'Ratio Analysis'!$I$8</c:f>
              <c:strCache>
                <c:ptCount val="1"/>
                <c:pt idx="0">
                  <c:v>Current Ratio</c:v>
                </c:pt>
              </c:strCache>
            </c:strRef>
          </c:tx>
          <c:spPr>
            <a:ln w="28575" cap="rnd">
              <a:solidFill>
                <a:schemeClr val="accent1"/>
              </a:solidFill>
              <a:round/>
            </a:ln>
            <a:effectLst/>
          </c:spPr>
          <c:marker>
            <c:symbol val="none"/>
          </c:marker>
          <c:cat>
            <c:numRef>
              <c:f>'Ratio Analysis'!$J$7:$N$7</c:f>
              <c:numCache>
                <c:formatCode>General</c:formatCode>
                <c:ptCount val="5"/>
                <c:pt idx="0">
                  <c:v>2021</c:v>
                </c:pt>
                <c:pt idx="1">
                  <c:v>2022</c:v>
                </c:pt>
                <c:pt idx="2">
                  <c:v>2023</c:v>
                </c:pt>
                <c:pt idx="3">
                  <c:v>2024</c:v>
                </c:pt>
                <c:pt idx="4">
                  <c:v>2025</c:v>
                </c:pt>
              </c:numCache>
            </c:numRef>
          </c:cat>
          <c:val>
            <c:numRef>
              <c:f>'Ratio Analysis'!$J$8:$N$8</c:f>
              <c:numCache>
                <c:formatCode>_(* #,##0.00_);_(* \(#,##0.00\);_(* "-"??_);_(@_)</c:formatCode>
                <c:ptCount val="5"/>
                <c:pt idx="0">
                  <c:v>1.1739834616481324</c:v>
                </c:pt>
                <c:pt idx="1">
                  <c:v>1.1636935398119974</c:v>
                </c:pt>
                <c:pt idx="2">
                  <c:v>1.2620035422277216</c:v>
                </c:pt>
                <c:pt idx="3">
                  <c:v>1.3600486461924999</c:v>
                </c:pt>
                <c:pt idx="4">
                  <c:v>1.3845027654267432</c:v>
                </c:pt>
              </c:numCache>
            </c:numRef>
          </c:val>
          <c:smooth val="0"/>
          <c:extLst>
            <c:ext xmlns:c16="http://schemas.microsoft.com/office/drawing/2014/chart" uri="{C3380CC4-5D6E-409C-BE32-E72D297353CC}">
              <c16:uniqueId val="{00000000-36D7-420F-9DA3-FF7C3449E692}"/>
            </c:ext>
          </c:extLst>
        </c:ser>
        <c:ser>
          <c:idx val="1"/>
          <c:order val="1"/>
          <c:tx>
            <c:strRef>
              <c:f>'Ratio Analysis'!$I$9</c:f>
              <c:strCache>
                <c:ptCount val="1"/>
                <c:pt idx="0">
                  <c:v>Quick Ratio</c:v>
                </c:pt>
              </c:strCache>
            </c:strRef>
          </c:tx>
          <c:spPr>
            <a:ln w="28575" cap="rnd">
              <a:solidFill>
                <a:schemeClr val="accent2"/>
              </a:solidFill>
              <a:round/>
            </a:ln>
            <a:effectLst/>
          </c:spPr>
          <c:marker>
            <c:symbol val="none"/>
          </c:marker>
          <c:cat>
            <c:numRef>
              <c:f>'Ratio Analysis'!$J$7:$N$7</c:f>
              <c:numCache>
                <c:formatCode>General</c:formatCode>
                <c:ptCount val="5"/>
                <c:pt idx="0">
                  <c:v>2021</c:v>
                </c:pt>
                <c:pt idx="1">
                  <c:v>2022</c:v>
                </c:pt>
                <c:pt idx="2">
                  <c:v>2023</c:v>
                </c:pt>
                <c:pt idx="3">
                  <c:v>2024</c:v>
                </c:pt>
                <c:pt idx="4">
                  <c:v>2025</c:v>
                </c:pt>
              </c:numCache>
            </c:numRef>
          </c:cat>
          <c:val>
            <c:numRef>
              <c:f>'Ratio Analysis'!$J$9:$N$9</c:f>
              <c:numCache>
                <c:formatCode>_(* #,##0.00_);_(* \(#,##0.00\);_(* "-"??_);_(@_)</c:formatCode>
                <c:ptCount val="5"/>
                <c:pt idx="0">
                  <c:v>0.92914741944682067</c:v>
                </c:pt>
                <c:pt idx="1">
                  <c:v>0.87387305860660835</c:v>
                </c:pt>
                <c:pt idx="2">
                  <c:v>0.93090229759565224</c:v>
                </c:pt>
                <c:pt idx="3">
                  <c:v>1.0094485873894101</c:v>
                </c:pt>
                <c:pt idx="4">
                  <c:v>1.060066695586162</c:v>
                </c:pt>
              </c:numCache>
            </c:numRef>
          </c:val>
          <c:smooth val="0"/>
          <c:extLst>
            <c:ext xmlns:c16="http://schemas.microsoft.com/office/drawing/2014/chart" uri="{C3380CC4-5D6E-409C-BE32-E72D297353CC}">
              <c16:uniqueId val="{00000001-36D7-420F-9DA3-FF7C3449E692}"/>
            </c:ext>
          </c:extLst>
        </c:ser>
        <c:dLbls>
          <c:showLegendKey val="0"/>
          <c:showVal val="0"/>
          <c:showCatName val="0"/>
          <c:showSerName val="0"/>
          <c:showPercent val="0"/>
          <c:showBubbleSize val="0"/>
        </c:dLbls>
        <c:smooth val="0"/>
        <c:axId val="1814662303"/>
        <c:axId val="1814645023"/>
      </c:lineChart>
      <c:catAx>
        <c:axId val="18146623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814645023"/>
        <c:crosses val="autoZero"/>
        <c:auto val="1"/>
        <c:lblAlgn val="ctr"/>
        <c:lblOffset val="100"/>
        <c:noMultiLvlLbl val="0"/>
      </c:catAx>
      <c:valAx>
        <c:axId val="1814645023"/>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8146623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KE"/>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Gearing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title>
    <c:autoTitleDeleted val="0"/>
    <c:plotArea>
      <c:layout/>
      <c:barChart>
        <c:barDir val="bar"/>
        <c:grouping val="clustered"/>
        <c:varyColors val="0"/>
        <c:ser>
          <c:idx val="0"/>
          <c:order val="0"/>
          <c:tx>
            <c:strRef>
              <c:f>'Ratio Analysis'!$J$22</c:f>
              <c:strCache>
                <c:ptCount val="1"/>
                <c:pt idx="0">
                  <c:v>2021</c:v>
                </c:pt>
              </c:strCache>
            </c:strRef>
          </c:tx>
          <c:spPr>
            <a:solidFill>
              <a:schemeClr val="accent1"/>
            </a:solidFill>
            <a:ln>
              <a:noFill/>
            </a:ln>
            <a:effectLst/>
          </c:spPr>
          <c:invertIfNegative val="0"/>
          <c:cat>
            <c:strRef>
              <c:f>'Ratio Analysis'!$I$23:$I$24</c:f>
              <c:strCache>
                <c:ptCount val="2"/>
                <c:pt idx="0">
                  <c:v>Debt-to-Equity</c:v>
                </c:pt>
                <c:pt idx="1">
                  <c:v>Interest Coverage</c:v>
                </c:pt>
              </c:strCache>
            </c:strRef>
          </c:cat>
          <c:val>
            <c:numRef>
              <c:f>'Ratio Analysis'!$J$23:$J$24</c:f>
              <c:numCache>
                <c:formatCode>_(* #,##0.00_);_(* \(#,##0.00\);_(* "-"??_);_(@_)</c:formatCode>
                <c:ptCount val="2"/>
                <c:pt idx="0">
                  <c:v>2.5512047781103502</c:v>
                </c:pt>
                <c:pt idx="1">
                  <c:v>37.361305361305362</c:v>
                </c:pt>
              </c:numCache>
            </c:numRef>
          </c:val>
          <c:extLst>
            <c:ext xmlns:c16="http://schemas.microsoft.com/office/drawing/2014/chart" uri="{C3380CC4-5D6E-409C-BE32-E72D297353CC}">
              <c16:uniqueId val="{00000000-C0A6-45EE-A2FE-D05BBD612091}"/>
            </c:ext>
          </c:extLst>
        </c:ser>
        <c:ser>
          <c:idx val="1"/>
          <c:order val="1"/>
          <c:tx>
            <c:strRef>
              <c:f>'Ratio Analysis'!$K$22</c:f>
              <c:strCache>
                <c:ptCount val="1"/>
                <c:pt idx="0">
                  <c:v>2022</c:v>
                </c:pt>
              </c:strCache>
            </c:strRef>
          </c:tx>
          <c:spPr>
            <a:solidFill>
              <a:schemeClr val="accent2"/>
            </a:solidFill>
            <a:ln>
              <a:noFill/>
            </a:ln>
            <a:effectLst/>
          </c:spPr>
          <c:invertIfNegative val="0"/>
          <c:cat>
            <c:strRef>
              <c:f>'Ratio Analysis'!$I$23:$I$24</c:f>
              <c:strCache>
                <c:ptCount val="2"/>
                <c:pt idx="0">
                  <c:v>Debt-to-Equity</c:v>
                </c:pt>
                <c:pt idx="1">
                  <c:v>Interest Coverage</c:v>
                </c:pt>
              </c:strCache>
            </c:strRef>
          </c:cat>
          <c:val>
            <c:numRef>
              <c:f>'Ratio Analysis'!$K$23:$K$24</c:f>
              <c:numCache>
                <c:formatCode>_(* #,##0.00_);_(* \(#,##0.00\);_(* "-"??_);_(@_)</c:formatCode>
                <c:ptCount val="2"/>
                <c:pt idx="0">
                  <c:v>2.0045643633002079</c:v>
                </c:pt>
                <c:pt idx="1">
                  <c:v>47.911007025761123</c:v>
                </c:pt>
              </c:numCache>
            </c:numRef>
          </c:val>
          <c:extLst>
            <c:ext xmlns:c16="http://schemas.microsoft.com/office/drawing/2014/chart" uri="{C3380CC4-5D6E-409C-BE32-E72D297353CC}">
              <c16:uniqueId val="{00000001-C0A6-45EE-A2FE-D05BBD612091}"/>
            </c:ext>
          </c:extLst>
        </c:ser>
        <c:ser>
          <c:idx val="2"/>
          <c:order val="2"/>
          <c:tx>
            <c:strRef>
              <c:f>'Ratio Analysis'!$L$22</c:f>
              <c:strCache>
                <c:ptCount val="1"/>
                <c:pt idx="0">
                  <c:v>2023</c:v>
                </c:pt>
              </c:strCache>
            </c:strRef>
          </c:tx>
          <c:spPr>
            <a:solidFill>
              <a:schemeClr val="accent3"/>
            </a:solidFill>
            <a:ln>
              <a:noFill/>
            </a:ln>
            <a:effectLst/>
          </c:spPr>
          <c:invertIfNegative val="0"/>
          <c:cat>
            <c:strRef>
              <c:f>'Ratio Analysis'!$I$23:$I$24</c:f>
              <c:strCache>
                <c:ptCount val="2"/>
                <c:pt idx="0">
                  <c:v>Debt-to-Equity</c:v>
                </c:pt>
                <c:pt idx="1">
                  <c:v>Interest Coverage</c:v>
                </c:pt>
              </c:strCache>
            </c:strRef>
          </c:cat>
          <c:val>
            <c:numRef>
              <c:f>'Ratio Analysis'!$L$23:$L$24</c:f>
              <c:numCache>
                <c:formatCode>_(* #,##0.00_);_(* \(#,##0.00\);_(* "-"??_);_(@_)</c:formatCode>
                <c:ptCount val="2"/>
                <c:pt idx="0">
                  <c:v>1.8338002068608861</c:v>
                </c:pt>
                <c:pt idx="1">
                  <c:v>77.4015748031496</c:v>
                </c:pt>
              </c:numCache>
            </c:numRef>
          </c:val>
          <c:extLst>
            <c:ext xmlns:c16="http://schemas.microsoft.com/office/drawing/2014/chart" uri="{C3380CC4-5D6E-409C-BE32-E72D297353CC}">
              <c16:uniqueId val="{00000002-C0A6-45EE-A2FE-D05BBD612091}"/>
            </c:ext>
          </c:extLst>
        </c:ser>
        <c:ser>
          <c:idx val="3"/>
          <c:order val="3"/>
          <c:tx>
            <c:strRef>
              <c:f>'Ratio Analysis'!$M$22</c:f>
              <c:strCache>
                <c:ptCount val="1"/>
                <c:pt idx="0">
                  <c:v>2024</c:v>
                </c:pt>
              </c:strCache>
            </c:strRef>
          </c:tx>
          <c:spPr>
            <a:solidFill>
              <a:schemeClr val="accent4"/>
            </a:solidFill>
            <a:ln>
              <a:noFill/>
            </a:ln>
            <a:effectLst/>
          </c:spPr>
          <c:invertIfNegative val="0"/>
          <c:cat>
            <c:strRef>
              <c:f>'Ratio Analysis'!$I$23:$I$24</c:f>
              <c:strCache>
                <c:ptCount val="2"/>
                <c:pt idx="0">
                  <c:v>Debt-to-Equity</c:v>
                </c:pt>
                <c:pt idx="1">
                  <c:v>Interest Coverage</c:v>
                </c:pt>
              </c:strCache>
            </c:strRef>
          </c:cat>
          <c:val>
            <c:numRef>
              <c:f>'Ratio Analysis'!$M$23:$M$24</c:f>
              <c:numCache>
                <c:formatCode>_(* #,##0.00_);_(* \(#,##0.00\);_(* "-"??_);_(@_)</c:formatCode>
                <c:ptCount val="2"/>
                <c:pt idx="0">
                  <c:v>1.8303962405212004</c:v>
                </c:pt>
                <c:pt idx="1">
                  <c:v>71.573684210526309</c:v>
                </c:pt>
              </c:numCache>
            </c:numRef>
          </c:val>
          <c:extLst>
            <c:ext xmlns:c16="http://schemas.microsoft.com/office/drawing/2014/chart" uri="{C3380CC4-5D6E-409C-BE32-E72D297353CC}">
              <c16:uniqueId val="{00000003-C0A6-45EE-A2FE-D05BBD612091}"/>
            </c:ext>
          </c:extLst>
        </c:ser>
        <c:ser>
          <c:idx val="4"/>
          <c:order val="4"/>
          <c:tx>
            <c:strRef>
              <c:f>'Ratio Analysis'!$N$22</c:f>
              <c:strCache>
                <c:ptCount val="1"/>
                <c:pt idx="0">
                  <c:v>2025</c:v>
                </c:pt>
              </c:strCache>
            </c:strRef>
          </c:tx>
          <c:spPr>
            <a:solidFill>
              <a:schemeClr val="accent5"/>
            </a:solidFill>
            <a:ln>
              <a:noFill/>
            </a:ln>
            <a:effectLst/>
          </c:spPr>
          <c:invertIfNegative val="0"/>
          <c:cat>
            <c:strRef>
              <c:f>'Ratio Analysis'!$I$23:$I$24</c:f>
              <c:strCache>
                <c:ptCount val="2"/>
                <c:pt idx="0">
                  <c:v>Debt-to-Equity</c:v>
                </c:pt>
                <c:pt idx="1">
                  <c:v>Interest Coverage</c:v>
                </c:pt>
              </c:strCache>
            </c:strRef>
          </c:cat>
          <c:val>
            <c:numRef>
              <c:f>'Ratio Analysis'!$N$23:$N$24</c:f>
              <c:numCache>
                <c:formatCode>_(* #,##0.00_);_(* \(#,##0.00\);_(* "-"??_);_(@_)</c:formatCode>
                <c:ptCount val="2"/>
                <c:pt idx="0">
                  <c:v>1.7108022071307301</c:v>
                </c:pt>
                <c:pt idx="1">
                  <c:v>36.60377358490566</c:v>
                </c:pt>
              </c:numCache>
            </c:numRef>
          </c:val>
          <c:extLst>
            <c:ext xmlns:c16="http://schemas.microsoft.com/office/drawing/2014/chart" uri="{C3380CC4-5D6E-409C-BE32-E72D297353CC}">
              <c16:uniqueId val="{00000004-C0A6-45EE-A2FE-D05BBD612091}"/>
            </c:ext>
          </c:extLst>
        </c:ser>
        <c:dLbls>
          <c:showLegendKey val="0"/>
          <c:showVal val="0"/>
          <c:showCatName val="0"/>
          <c:showSerName val="0"/>
          <c:showPercent val="0"/>
          <c:showBubbleSize val="0"/>
        </c:dLbls>
        <c:gapWidth val="182"/>
        <c:axId val="1814641663"/>
        <c:axId val="1814656063"/>
      </c:barChart>
      <c:catAx>
        <c:axId val="181464166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814656063"/>
        <c:crosses val="autoZero"/>
        <c:auto val="1"/>
        <c:lblAlgn val="ctr"/>
        <c:lblOffset val="100"/>
        <c:noMultiLvlLbl val="0"/>
      </c:catAx>
      <c:valAx>
        <c:axId val="1814656063"/>
        <c:scaling>
          <c:orientation val="minMax"/>
        </c:scaling>
        <c:delete val="0"/>
        <c:axPos val="b"/>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8146416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KE"/>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Cash Flow</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title>
    <c:autoTitleDeleted val="0"/>
    <c:plotArea>
      <c:layout/>
      <c:barChart>
        <c:barDir val="col"/>
        <c:grouping val="clustered"/>
        <c:varyColors val="0"/>
        <c:ser>
          <c:idx val="0"/>
          <c:order val="0"/>
          <c:tx>
            <c:strRef>
              <c:f>'Ratio Analysis'!$I$31</c:f>
              <c:strCache>
                <c:ptCount val="1"/>
                <c:pt idx="0">
                  <c:v>Free Cash Flow (FCF)</c:v>
                </c:pt>
              </c:strCache>
            </c:strRef>
          </c:tx>
          <c:spPr>
            <a:solidFill>
              <a:schemeClr val="accent1"/>
            </a:solidFill>
            <a:ln>
              <a:noFill/>
            </a:ln>
            <a:effectLst/>
          </c:spPr>
          <c:invertIfNegative val="0"/>
          <c:cat>
            <c:numRef>
              <c:f>'Ratio Analysis'!$J$30:$N$30</c:f>
              <c:numCache>
                <c:formatCode>General</c:formatCode>
                <c:ptCount val="5"/>
                <c:pt idx="0">
                  <c:v>2021</c:v>
                </c:pt>
                <c:pt idx="1">
                  <c:v>2022</c:v>
                </c:pt>
                <c:pt idx="2">
                  <c:v>2023</c:v>
                </c:pt>
                <c:pt idx="3">
                  <c:v>2024</c:v>
                </c:pt>
                <c:pt idx="4">
                  <c:v>2025</c:v>
                </c:pt>
              </c:numCache>
            </c:numRef>
          </c:cat>
          <c:val>
            <c:numRef>
              <c:f>'Ratio Analysis'!$J$31:$N$31</c:f>
              <c:numCache>
                <c:formatCode>#,##0</c:formatCode>
                <c:ptCount val="5"/>
                <c:pt idx="0">
                  <c:v>19970</c:v>
                </c:pt>
                <c:pt idx="1">
                  <c:v>13413</c:v>
                </c:pt>
                <c:pt idx="2">
                  <c:v>10725</c:v>
                </c:pt>
                <c:pt idx="3">
                  <c:v>13696</c:v>
                </c:pt>
                <c:pt idx="4">
                  <c:v>12524</c:v>
                </c:pt>
              </c:numCache>
            </c:numRef>
          </c:val>
          <c:extLst>
            <c:ext xmlns:c16="http://schemas.microsoft.com/office/drawing/2014/chart" uri="{C3380CC4-5D6E-409C-BE32-E72D297353CC}">
              <c16:uniqueId val="{00000000-BEE9-4242-B9B5-87C584EF291F}"/>
            </c:ext>
          </c:extLst>
        </c:ser>
        <c:dLbls>
          <c:showLegendKey val="0"/>
          <c:showVal val="0"/>
          <c:showCatName val="0"/>
          <c:showSerName val="0"/>
          <c:showPercent val="0"/>
          <c:showBubbleSize val="0"/>
        </c:dLbls>
        <c:gapWidth val="219"/>
        <c:overlap val="-27"/>
        <c:axId val="396574959"/>
        <c:axId val="396591759"/>
      </c:barChart>
      <c:lineChart>
        <c:grouping val="standard"/>
        <c:varyColors val="0"/>
        <c:ser>
          <c:idx val="1"/>
          <c:order val="1"/>
          <c:tx>
            <c:strRef>
              <c:f>'Ratio Analysis'!$I$32</c:f>
              <c:strCache>
                <c:ptCount val="1"/>
                <c:pt idx="0">
                  <c:v>FCF Yield</c:v>
                </c:pt>
              </c:strCache>
            </c:strRef>
          </c:tx>
          <c:spPr>
            <a:ln w="28575" cap="rnd">
              <a:solidFill>
                <a:schemeClr val="accent2"/>
              </a:solidFill>
              <a:round/>
            </a:ln>
            <a:effectLst/>
          </c:spPr>
          <c:marker>
            <c:symbol val="none"/>
          </c:marker>
          <c:cat>
            <c:numRef>
              <c:f>'Ratio Analysis'!$J$30:$N$30</c:f>
              <c:numCache>
                <c:formatCode>General</c:formatCode>
                <c:ptCount val="5"/>
                <c:pt idx="0">
                  <c:v>2021</c:v>
                </c:pt>
                <c:pt idx="1">
                  <c:v>2022</c:v>
                </c:pt>
                <c:pt idx="2">
                  <c:v>2023</c:v>
                </c:pt>
                <c:pt idx="3">
                  <c:v>2024</c:v>
                </c:pt>
                <c:pt idx="4">
                  <c:v>2025</c:v>
                </c:pt>
              </c:numCache>
            </c:numRef>
          </c:cat>
          <c:val>
            <c:numRef>
              <c:f>'Ratio Analysis'!$J$32:$N$32</c:f>
              <c:numCache>
                <c:formatCode>0.00%</c:formatCode>
                <c:ptCount val="5"/>
                <c:pt idx="0">
                  <c:v>0.27559652778736149</c:v>
                </c:pt>
                <c:pt idx="1">
                  <c:v>0.20379542968275191</c:v>
                </c:pt>
                <c:pt idx="2">
                  <c:v>0.16011764354602728</c:v>
                </c:pt>
                <c:pt idx="3">
                  <c:v>0.23650492142980487</c:v>
                </c:pt>
                <c:pt idx="4">
                  <c:v>0.21838599428053287</c:v>
                </c:pt>
              </c:numCache>
            </c:numRef>
          </c:val>
          <c:smooth val="0"/>
          <c:extLst>
            <c:ext xmlns:c16="http://schemas.microsoft.com/office/drawing/2014/chart" uri="{C3380CC4-5D6E-409C-BE32-E72D297353CC}">
              <c16:uniqueId val="{00000001-BEE9-4242-B9B5-87C584EF291F}"/>
            </c:ext>
          </c:extLst>
        </c:ser>
        <c:dLbls>
          <c:showLegendKey val="0"/>
          <c:showVal val="0"/>
          <c:showCatName val="0"/>
          <c:showSerName val="0"/>
          <c:showPercent val="0"/>
          <c:showBubbleSize val="0"/>
        </c:dLbls>
        <c:marker val="1"/>
        <c:smooth val="0"/>
        <c:axId val="396585519"/>
        <c:axId val="396583119"/>
      </c:lineChart>
      <c:catAx>
        <c:axId val="3965749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396591759"/>
        <c:crosses val="autoZero"/>
        <c:auto val="1"/>
        <c:lblAlgn val="ctr"/>
        <c:lblOffset val="100"/>
        <c:noMultiLvlLbl val="0"/>
      </c:catAx>
      <c:valAx>
        <c:axId val="39659175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396574959"/>
        <c:crosses val="autoZero"/>
        <c:crossBetween val="between"/>
      </c:valAx>
      <c:valAx>
        <c:axId val="396583119"/>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396585519"/>
        <c:crosses val="max"/>
        <c:crossBetween val="between"/>
      </c:valAx>
      <c:catAx>
        <c:axId val="396585519"/>
        <c:scaling>
          <c:orientation val="minMax"/>
        </c:scaling>
        <c:delete val="1"/>
        <c:axPos val="b"/>
        <c:numFmt formatCode="General" sourceLinked="1"/>
        <c:majorTickMark val="none"/>
        <c:minorTickMark val="none"/>
        <c:tickLblPos val="nextTo"/>
        <c:crossAx val="39658311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KE"/>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Investment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'Ratio Analysis'!$J$26</c:f>
              <c:strCache>
                <c:ptCount val="1"/>
                <c:pt idx="0">
                  <c:v>2021</c:v>
                </c:pt>
              </c:strCache>
            </c:strRef>
          </c:tx>
          <c:spPr>
            <a:solidFill>
              <a:schemeClr val="accent1"/>
            </a:solidFill>
            <a:ln>
              <a:noFill/>
            </a:ln>
            <a:effectLst/>
            <a:sp3d/>
          </c:spPr>
          <c:invertIfNegative val="0"/>
          <c:cat>
            <c:strRef>
              <c:f>'Ratio Analysis'!$I$27:$I$28</c:f>
              <c:strCache>
                <c:ptCount val="2"/>
                <c:pt idx="0">
                  <c:v>Earnings Per Share (EPS)</c:v>
                </c:pt>
                <c:pt idx="1">
                  <c:v>Price-to-Earnings Ratio (P/E)</c:v>
                </c:pt>
              </c:strCache>
            </c:strRef>
          </c:cat>
          <c:val>
            <c:numRef>
              <c:f>'Ratio Analysis'!$J$27:$J$28</c:f>
              <c:numCache>
                <c:formatCode>_(* #,##0.00_);_(* \(#,##0.00\);_(* "-"??_);_(@_)</c:formatCode>
                <c:ptCount val="2"/>
                <c:pt idx="0" formatCode="General">
                  <c:v>21.5</c:v>
                </c:pt>
                <c:pt idx="1">
                  <c:v>3.1497674418604649</c:v>
                </c:pt>
              </c:numCache>
            </c:numRef>
          </c:val>
          <c:extLst>
            <c:ext xmlns:c16="http://schemas.microsoft.com/office/drawing/2014/chart" uri="{C3380CC4-5D6E-409C-BE32-E72D297353CC}">
              <c16:uniqueId val="{00000000-69B0-4508-A0F6-77D6CB554EC8}"/>
            </c:ext>
          </c:extLst>
        </c:ser>
        <c:ser>
          <c:idx val="1"/>
          <c:order val="1"/>
          <c:tx>
            <c:strRef>
              <c:f>'Ratio Analysis'!$K$26</c:f>
              <c:strCache>
                <c:ptCount val="1"/>
                <c:pt idx="0">
                  <c:v>2022</c:v>
                </c:pt>
              </c:strCache>
            </c:strRef>
          </c:tx>
          <c:spPr>
            <a:solidFill>
              <a:schemeClr val="accent2"/>
            </a:solidFill>
            <a:ln>
              <a:noFill/>
            </a:ln>
            <a:effectLst/>
            <a:sp3d/>
          </c:spPr>
          <c:invertIfNegative val="0"/>
          <c:cat>
            <c:strRef>
              <c:f>'Ratio Analysis'!$I$27:$I$28</c:f>
              <c:strCache>
                <c:ptCount val="2"/>
                <c:pt idx="0">
                  <c:v>Earnings Per Share (EPS)</c:v>
                </c:pt>
                <c:pt idx="1">
                  <c:v>Price-to-Earnings Ratio (P/E)</c:v>
                </c:pt>
              </c:strCache>
            </c:strRef>
          </c:cat>
          <c:val>
            <c:numRef>
              <c:f>'Ratio Analysis'!$K$27:$K$28</c:f>
              <c:numCache>
                <c:formatCode>_(* #,##0.00_);_(* \(#,##0.00\);_(* "-"??_);_(@_)</c:formatCode>
                <c:ptCount val="2"/>
                <c:pt idx="0" formatCode="General">
                  <c:v>13.55</c:v>
                </c:pt>
                <c:pt idx="1">
                  <c:v>4.5394833948339484</c:v>
                </c:pt>
              </c:numCache>
            </c:numRef>
          </c:val>
          <c:extLst>
            <c:ext xmlns:c16="http://schemas.microsoft.com/office/drawing/2014/chart" uri="{C3380CC4-5D6E-409C-BE32-E72D297353CC}">
              <c16:uniqueId val="{00000001-69B0-4508-A0F6-77D6CB554EC8}"/>
            </c:ext>
          </c:extLst>
        </c:ser>
        <c:ser>
          <c:idx val="2"/>
          <c:order val="2"/>
          <c:tx>
            <c:strRef>
              <c:f>'Ratio Analysis'!$L$26</c:f>
              <c:strCache>
                <c:ptCount val="1"/>
                <c:pt idx="0">
                  <c:v>2023</c:v>
                </c:pt>
              </c:strCache>
            </c:strRef>
          </c:tx>
          <c:spPr>
            <a:solidFill>
              <a:schemeClr val="accent3"/>
            </a:solidFill>
            <a:ln>
              <a:noFill/>
            </a:ln>
            <a:effectLst/>
            <a:sp3d/>
          </c:spPr>
          <c:invertIfNegative val="0"/>
          <c:cat>
            <c:strRef>
              <c:f>'Ratio Analysis'!$I$27:$I$28</c:f>
              <c:strCache>
                <c:ptCount val="2"/>
                <c:pt idx="0">
                  <c:v>Earnings Per Share (EPS)</c:v>
                </c:pt>
                <c:pt idx="1">
                  <c:v>Price-to-Earnings Ratio (P/E)</c:v>
                </c:pt>
              </c:strCache>
            </c:strRef>
          </c:cat>
          <c:val>
            <c:numRef>
              <c:f>'Ratio Analysis'!$L$27:$L$28</c:f>
              <c:numCache>
                <c:formatCode>_(* #,##0.00_);_(* \(#,##0.00\);_(* "-"??_);_(@_)</c:formatCode>
                <c:ptCount val="2"/>
                <c:pt idx="0" formatCode="General">
                  <c:v>13.46</c:v>
                </c:pt>
                <c:pt idx="1">
                  <c:v>4.6508172362555715</c:v>
                </c:pt>
              </c:numCache>
            </c:numRef>
          </c:val>
          <c:extLst>
            <c:ext xmlns:c16="http://schemas.microsoft.com/office/drawing/2014/chart" uri="{C3380CC4-5D6E-409C-BE32-E72D297353CC}">
              <c16:uniqueId val="{00000002-69B0-4508-A0F6-77D6CB554EC8}"/>
            </c:ext>
          </c:extLst>
        </c:ser>
        <c:ser>
          <c:idx val="3"/>
          <c:order val="3"/>
          <c:tx>
            <c:strRef>
              <c:f>'Ratio Analysis'!$M$26</c:f>
              <c:strCache>
                <c:ptCount val="1"/>
                <c:pt idx="0">
                  <c:v>2024</c:v>
                </c:pt>
              </c:strCache>
            </c:strRef>
          </c:tx>
          <c:spPr>
            <a:solidFill>
              <a:schemeClr val="accent4"/>
            </a:solidFill>
            <a:ln>
              <a:noFill/>
            </a:ln>
            <a:effectLst/>
            <a:sp3d/>
          </c:spPr>
          <c:invertIfNegative val="0"/>
          <c:cat>
            <c:strRef>
              <c:f>'Ratio Analysis'!$I$27:$I$28</c:f>
              <c:strCache>
                <c:ptCount val="2"/>
                <c:pt idx="0">
                  <c:v>Earnings Per Share (EPS)</c:v>
                </c:pt>
                <c:pt idx="1">
                  <c:v>Price-to-Earnings Ratio (P/E)</c:v>
                </c:pt>
              </c:strCache>
            </c:strRef>
          </c:cat>
          <c:val>
            <c:numRef>
              <c:f>'Ratio Analysis'!$M$27:$M$28</c:f>
              <c:numCache>
                <c:formatCode>_(* #,##0.00_);_(* \(#,##0.00\);_(* "-"??_);_(@_)</c:formatCode>
                <c:ptCount val="2"/>
                <c:pt idx="0" formatCode="General">
                  <c:v>10.19</c:v>
                </c:pt>
                <c:pt idx="1">
                  <c:v>5.2620215897939158</c:v>
                </c:pt>
              </c:numCache>
            </c:numRef>
          </c:val>
          <c:extLst>
            <c:ext xmlns:c16="http://schemas.microsoft.com/office/drawing/2014/chart" uri="{C3380CC4-5D6E-409C-BE32-E72D297353CC}">
              <c16:uniqueId val="{00000003-69B0-4508-A0F6-77D6CB554EC8}"/>
            </c:ext>
          </c:extLst>
        </c:ser>
        <c:ser>
          <c:idx val="4"/>
          <c:order val="4"/>
          <c:tx>
            <c:strRef>
              <c:f>'Ratio Analysis'!$N$26</c:f>
              <c:strCache>
                <c:ptCount val="1"/>
                <c:pt idx="0">
                  <c:v>2025</c:v>
                </c:pt>
              </c:strCache>
            </c:strRef>
          </c:tx>
          <c:spPr>
            <a:solidFill>
              <a:schemeClr val="accent5"/>
            </a:solidFill>
            <a:ln>
              <a:noFill/>
            </a:ln>
            <a:effectLst/>
            <a:sp3d/>
          </c:spPr>
          <c:invertIfNegative val="0"/>
          <c:cat>
            <c:strRef>
              <c:f>'Ratio Analysis'!$I$27:$I$28</c:f>
              <c:strCache>
                <c:ptCount val="2"/>
                <c:pt idx="0">
                  <c:v>Earnings Per Share (EPS)</c:v>
                </c:pt>
                <c:pt idx="1">
                  <c:v>Price-to-Earnings Ratio (P/E)</c:v>
                </c:pt>
              </c:strCache>
            </c:strRef>
          </c:cat>
          <c:val>
            <c:numRef>
              <c:f>'Ratio Analysis'!$N$27:$N$28</c:f>
              <c:numCache>
                <c:formatCode>_(* #,##0.00_);_(* \(#,##0.00\);_(* "-"??_);_(@_)</c:formatCode>
                <c:ptCount val="2"/>
                <c:pt idx="0" formatCode="General">
                  <c:v>5.34</c:v>
                </c:pt>
                <c:pt idx="1">
                  <c:v>9.9438202247191025</c:v>
                </c:pt>
              </c:numCache>
            </c:numRef>
          </c:val>
          <c:extLst>
            <c:ext xmlns:c16="http://schemas.microsoft.com/office/drawing/2014/chart" uri="{C3380CC4-5D6E-409C-BE32-E72D297353CC}">
              <c16:uniqueId val="{00000004-69B0-4508-A0F6-77D6CB554EC8}"/>
            </c:ext>
          </c:extLst>
        </c:ser>
        <c:dLbls>
          <c:showLegendKey val="0"/>
          <c:showVal val="0"/>
          <c:showCatName val="0"/>
          <c:showSerName val="0"/>
          <c:showPercent val="0"/>
          <c:showBubbleSize val="0"/>
        </c:dLbls>
        <c:gapWidth val="150"/>
        <c:shape val="box"/>
        <c:axId val="1660932991"/>
        <c:axId val="1660921951"/>
        <c:axId val="0"/>
      </c:bar3DChart>
      <c:catAx>
        <c:axId val="166093299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660921951"/>
        <c:crosses val="autoZero"/>
        <c:auto val="1"/>
        <c:lblAlgn val="ctr"/>
        <c:lblOffset val="100"/>
        <c:noMultiLvlLbl val="0"/>
      </c:catAx>
      <c:valAx>
        <c:axId val="16609219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crossAx val="16609329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K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K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36</Pages>
  <Words>9711</Words>
  <Characters>55358</Characters>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64940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 Suthar</dc:creator>
  <cp:keywords/>
  <dcterms:created xsi:type="dcterms:W3CDTF">2013-12-23T23:15:00Z</dcterms:created>
  <dcterms:modified xsi:type="dcterms:W3CDTF">2026-04-23T20:28:00Z</dcterms:modified>
  <cp:category/>
</cp:coreProperties>
</file>