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C772D" w14:textId="77777777" w:rsidR="00D53B66" w:rsidRDefault="00D53B66" w:rsidP="003E549A">
      <w:pPr>
        <w:jc w:val="center"/>
        <w:rPr>
          <w:sz w:val="36"/>
          <w:szCs w:val="36"/>
        </w:rPr>
      </w:pPr>
    </w:p>
    <w:p w14:paraId="2ABCBAD2" w14:textId="343CFD0F" w:rsidR="002E7FCF" w:rsidRPr="00AA4E01" w:rsidRDefault="002E7FCF" w:rsidP="008D7902">
      <w:pPr>
        <w:pStyle w:val="Heading1"/>
        <w:shd w:val="clear" w:color="auto" w:fill="FFC000"/>
        <w:jc w:val="cente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A4E01">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name: Rosena Lucy</w:t>
      </w:r>
    </w:p>
    <w:p w14:paraId="2557D0E0" w14:textId="77777777" w:rsidR="002E7FCF" w:rsidRPr="00AA4E01" w:rsidRDefault="002E7FCF" w:rsidP="008D7902">
      <w:pPr>
        <w:pStyle w:val="Heading1"/>
        <w:shd w:val="clear" w:color="auto" w:fill="FFC000"/>
        <w:jc w:val="cente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A4E01">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ID: 2210256</w:t>
      </w:r>
    </w:p>
    <w:p w14:paraId="34F4D8E6" w14:textId="77777777" w:rsidR="002E7FCF" w:rsidRPr="00AA4E01" w:rsidRDefault="002E7FCF" w:rsidP="008D7902">
      <w:pPr>
        <w:pStyle w:val="Heading1"/>
        <w:shd w:val="clear" w:color="auto" w:fill="FFC000"/>
        <w:jc w:val="cente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A4E01">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Programme: MSc Public Health and Social Care in Practice</w:t>
      </w:r>
    </w:p>
    <w:p w14:paraId="3031B9E3" w14:textId="22C5036A" w:rsidR="002E7FCF" w:rsidRPr="00AA4E01" w:rsidRDefault="002E7FCF" w:rsidP="008D7902">
      <w:pPr>
        <w:pStyle w:val="Heading1"/>
        <w:shd w:val="clear" w:color="auto" w:fill="FFC000"/>
        <w:jc w:val="cente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A4E01">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Community Care and Management of Longer-term Conditions</w:t>
      </w:r>
    </w:p>
    <w:p w14:paraId="7EB4F421" w14:textId="77777777" w:rsidR="002E7FCF" w:rsidRPr="00AA4E01" w:rsidRDefault="002E7FCF" w:rsidP="008D7902">
      <w:pPr>
        <w:pStyle w:val="Heading1"/>
        <w:shd w:val="clear" w:color="auto" w:fill="FFC000"/>
        <w:jc w:val="cente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A4E01">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code: LCHS7003</w:t>
      </w:r>
    </w:p>
    <w:p w14:paraId="7F069ECE" w14:textId="77777777" w:rsidR="002E7FCF" w:rsidRPr="00AA4E01" w:rsidRDefault="002E7FCF" w:rsidP="008D7902">
      <w:pPr>
        <w:pStyle w:val="Heading1"/>
        <w:shd w:val="clear" w:color="auto" w:fill="FFC000"/>
        <w:jc w:val="cente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A4E01">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Lecturer: Dr Aishat Bakre</w:t>
      </w:r>
    </w:p>
    <w:p w14:paraId="3C0738C0" w14:textId="7B20C09D" w:rsidR="002E7FCF" w:rsidRPr="00AA4E01" w:rsidRDefault="002E7FCF" w:rsidP="008D7902">
      <w:pPr>
        <w:pStyle w:val="Heading1"/>
        <w:shd w:val="clear" w:color="auto" w:fill="FFC000"/>
        <w:jc w:val="cente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A4E01">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Assignment Title: Component 1</w:t>
      </w:r>
    </w:p>
    <w:p w14:paraId="5714E624" w14:textId="328A2F56" w:rsidR="00D53B66" w:rsidRPr="00AA4E01" w:rsidRDefault="002E7FCF" w:rsidP="008D7902">
      <w:pPr>
        <w:pStyle w:val="Heading1"/>
        <w:shd w:val="clear" w:color="auto" w:fill="FFC000"/>
        <w:jc w:val="cente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A4E01">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Information Booklet of Long- term Condition Management</w:t>
      </w:r>
    </w:p>
    <w:p w14:paraId="57CDE964" w14:textId="77777777" w:rsidR="00D53B66" w:rsidRDefault="00D53B66" w:rsidP="003E549A">
      <w:pPr>
        <w:jc w:val="center"/>
        <w:rPr>
          <w:sz w:val="36"/>
          <w:szCs w:val="36"/>
        </w:rPr>
      </w:pPr>
    </w:p>
    <w:p w14:paraId="117F73E7" w14:textId="77777777" w:rsidR="00D53B66" w:rsidRDefault="00D53B66" w:rsidP="003E549A">
      <w:pPr>
        <w:jc w:val="center"/>
        <w:rPr>
          <w:sz w:val="36"/>
          <w:szCs w:val="36"/>
        </w:rPr>
      </w:pPr>
    </w:p>
    <w:p w14:paraId="618E1ED6" w14:textId="77777777" w:rsidR="00D53B66" w:rsidRDefault="00D53B66" w:rsidP="003E549A">
      <w:pPr>
        <w:jc w:val="center"/>
        <w:rPr>
          <w:sz w:val="36"/>
          <w:szCs w:val="36"/>
        </w:rPr>
      </w:pPr>
    </w:p>
    <w:p w14:paraId="2441E13E" w14:textId="77777777" w:rsidR="00E83028" w:rsidRDefault="00734814" w:rsidP="003E549A">
      <w:pPr>
        <w:jc w:val="center"/>
        <w:rPr>
          <w:sz w:val="36"/>
          <w:szCs w:val="36"/>
        </w:rPr>
      </w:pPr>
      <w:r>
        <w:rPr>
          <w:noProof/>
        </w:rPr>
        <mc:AlternateContent>
          <mc:Choice Requires="wps">
            <w:drawing>
              <wp:anchor distT="0" distB="0" distL="114300" distR="114300" simplePos="0" relativeHeight="251658240" behindDoc="0" locked="0" layoutInCell="1" allowOverlap="1" wp14:anchorId="35B8C1B7" wp14:editId="05035AA6">
                <wp:simplePos x="0" y="0"/>
                <wp:positionH relativeFrom="column">
                  <wp:posOffset>0</wp:posOffset>
                </wp:positionH>
                <wp:positionV relativeFrom="paragraph">
                  <wp:posOffset>0</wp:posOffset>
                </wp:positionV>
                <wp:extent cx="1828800" cy="1828800"/>
                <wp:effectExtent l="0" t="0" r="0" b="0"/>
                <wp:wrapNone/>
                <wp:docPr id="194945243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A108E6" w14:textId="77777777" w:rsidR="00734814" w:rsidRPr="00734814" w:rsidRDefault="00734814" w:rsidP="00734814">
                            <w:pPr>
                              <w:rPr>
                                <w:b/>
                                <w:color w:val="196B24"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type w14:anchorId="35B8C1B7" id="_x0000_t202" coordsize="21600,21600" o:spt="202" path="m,l,21600r21600,l21600,xe">
                <v:stroke joinstyle="miter"/>
                <v:path gradientshapeok="t" o:connecttype="rect"/>
              </v:shapetype>
              <v:shape id="Text Box 1" o:spid="_x0000_s1026" type="#_x0000_t202" style="position:absolute;left:0;text-align:left;margin-left:0;margin-top:0;width:2in;height:2in;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" filled="f" stroked="f">
                <v:textbox style="mso-fit-shape-to-text:t">
                  <w:txbxContent>
                    <w:p w14:paraId="14A108E6" w14:textId="77777777" w:rsidR="00734814" w:rsidRPr="00734814" w:rsidRDefault="00734814" w:rsidP="00734814">
                      <w:pPr>
                        <w:rPr>
                          <w:b/>
                          <w:color w:val="196B24"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v:textbox>
              </v:shape>
            </w:pict>
          </mc:Fallback>
        </mc:AlternateContent>
      </w:r>
    </w:p>
    <w:p w14:paraId="0E6AD7C6" w14:textId="77777777" w:rsidR="00E83028" w:rsidRDefault="00E83028" w:rsidP="003E549A">
      <w:pPr>
        <w:jc w:val="center"/>
        <w:rPr>
          <w:sz w:val="36"/>
          <w:szCs w:val="36"/>
        </w:rPr>
      </w:pPr>
    </w:p>
    <w:p w14:paraId="624F35E3" w14:textId="01E69794" w:rsidR="00682B4E" w:rsidRPr="002E7FCF" w:rsidRDefault="001C1D32" w:rsidP="002E7FCF">
      <w:pPr>
        <w:pStyle w:val="Title"/>
        <w:jc w:val="center"/>
        <w:rPr>
          <w:color w:val="BF4E14" w:themeColor="accent2" w:themeShade="BF"/>
        </w:rPr>
      </w:pPr>
      <w:r w:rsidRPr="007811C9">
        <w:rPr>
          <w:b/>
          <w:bCs/>
          <w:noProof/>
          <w:color w:val="BF4E14" w:themeColor="accent2" w:themeShade="BF"/>
        </w:rPr>
        <w:lastRenderedPageBreak/>
        <w:drawing>
          <wp:anchor distT="0" distB="0" distL="114300" distR="114300" simplePos="0" relativeHeight="251658242" behindDoc="1" locked="0" layoutInCell="1" allowOverlap="1" wp14:anchorId="080AD0A4" wp14:editId="084FF358">
            <wp:simplePos x="0" y="0"/>
            <wp:positionH relativeFrom="page">
              <wp:posOffset>426720</wp:posOffset>
            </wp:positionH>
            <wp:positionV relativeFrom="paragraph">
              <wp:posOffset>716280</wp:posOffset>
            </wp:positionV>
            <wp:extent cx="6766560" cy="5912485"/>
            <wp:effectExtent l="76200" t="76200" r="72390" b="69215"/>
            <wp:wrapTight wrapText="bothSides">
              <wp:wrapPolygon edited="0">
                <wp:start x="-243" y="-278"/>
                <wp:lineTo x="-243" y="21783"/>
                <wp:lineTo x="21770" y="21783"/>
                <wp:lineTo x="21770" y="-278"/>
                <wp:lineTo x="-243" y="-278"/>
              </wp:wrapPolygon>
            </wp:wrapTight>
            <wp:docPr id="1202195797" name="Picture 3" descr="A person holding her kn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195797" name="Picture 3" descr="A person holding her knee&#10;&#10;AI-generated content may be incorrect."/>
                    <pic:cNvPicPr>
                      <a:picLocks noChangeAspect="1" noChangeArrowheads="1"/>
                    </pic:cNvPicPr>
                  </pic:nvPicPr>
                  <pic:blipFill>
                    <a:blip r:embed="rId11">
                      <a:extLst>
                        <a:ext uri="{28A0092B-C50C-407E-A947-70E740481C1C}">
                          <a14:useLocalDpi xmlns:a14="http://schemas.microsoft.com/office/drawing/2010/main"/>
                        </a:ext>
                      </a:extLst>
                    </a:blip>
                    <a:srcRect/>
                    <a:stretch>
                      <a:fillRect/>
                    </a:stretch>
                  </pic:blipFill>
                  <pic:spPr bwMode="auto">
                    <a:xfrm>
                      <a:off x="0" y="0"/>
                      <a:ext cx="6766560" cy="5912485"/>
                    </a:xfrm>
                    <a:prstGeom prst="rect">
                      <a:avLst/>
                    </a:prstGeom>
                    <a:noFill/>
                    <a:ln w="76200">
                      <a:solidFill>
                        <a:srgbClr val="00B050"/>
                      </a:solidFill>
                    </a:ln>
                  </pic:spPr>
                </pic:pic>
              </a:graphicData>
            </a:graphic>
            <wp14:sizeRelH relativeFrom="margin">
              <wp14:pctWidth>0</wp14:pctWidth>
            </wp14:sizeRelH>
            <wp14:sizeRelV relativeFrom="margin">
              <wp14:pctHeight>0</wp14:pctHeight>
            </wp14:sizeRelV>
          </wp:anchor>
        </w:drawing>
      </w:r>
      <w:r w:rsidR="00EA6B47" w:rsidRPr="007811C9">
        <w:rPr>
          <w:color w:val="BF4E14" w:themeColor="accent2" w:themeShade="BF"/>
        </w:rPr>
        <w:t>O</w:t>
      </w:r>
      <w:r w:rsidR="00682B4E" w:rsidRPr="007811C9">
        <w:rPr>
          <w:color w:val="BF4E14" w:themeColor="accent2" w:themeShade="BF"/>
        </w:rPr>
        <w:t>s</w:t>
      </w:r>
      <w:r w:rsidR="00EA6B47" w:rsidRPr="007811C9">
        <w:rPr>
          <w:color w:val="BF4E14" w:themeColor="accent2" w:themeShade="BF"/>
        </w:rPr>
        <w:t>teoarthritis</w:t>
      </w:r>
    </w:p>
    <w:p w14:paraId="13D33077" w14:textId="01E66E86" w:rsidR="00AF039A" w:rsidRPr="001C1D32" w:rsidRDefault="002E7FCF" w:rsidP="00031C40">
      <w:pPr>
        <w:rPr>
          <w:sz w:val="36"/>
          <w:szCs w:val="36"/>
        </w:rPr>
      </w:pPr>
      <w:r>
        <w:rPr>
          <w:sz w:val="36"/>
          <w:szCs w:val="36"/>
        </w:rPr>
        <w:t xml:space="preserve">              </w:t>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sidR="001C1D32">
        <w:rPr>
          <w:sz w:val="36"/>
          <w:szCs w:val="36"/>
        </w:rPr>
        <w:t>(</w:t>
      </w:r>
      <w:r w:rsidR="001C1D32" w:rsidRPr="001C1D32">
        <w:rPr>
          <w:sz w:val="36"/>
          <w:szCs w:val="36"/>
        </w:rPr>
        <w:t>Bing, 2025)</w:t>
      </w:r>
    </w:p>
    <w:p w14:paraId="27F70765" w14:textId="77777777" w:rsidR="00AF039A" w:rsidRDefault="00AF039A" w:rsidP="00031C40">
      <w:pPr>
        <w:rPr>
          <w:b/>
          <w:bCs/>
          <w:sz w:val="36"/>
          <w:szCs w:val="36"/>
        </w:rPr>
      </w:pPr>
    </w:p>
    <w:p w14:paraId="4AE37014" w14:textId="77777777" w:rsidR="00AF039A" w:rsidRDefault="00AF039A" w:rsidP="00031C40">
      <w:pPr>
        <w:rPr>
          <w:b/>
          <w:bCs/>
          <w:sz w:val="36"/>
          <w:szCs w:val="36"/>
        </w:rPr>
      </w:pPr>
    </w:p>
    <w:p w14:paraId="01E500AF" w14:textId="77777777" w:rsidR="002E7FCF" w:rsidRDefault="002E7FCF" w:rsidP="00031C40">
      <w:pPr>
        <w:rPr>
          <w:b/>
          <w:bCs/>
          <w:sz w:val="36"/>
          <w:szCs w:val="36"/>
        </w:rPr>
      </w:pPr>
    </w:p>
    <w:sdt>
      <w:sdtPr>
        <w:rPr>
          <w:rFonts w:asciiTheme="minorHAnsi" w:eastAsiaTheme="minorEastAsia" w:hAnsiTheme="minorHAnsi" w:cstheme="minorBidi"/>
          <w:color w:val="auto"/>
          <w:kern w:val="2"/>
          <w:sz w:val="22"/>
          <w:szCs w:val="22"/>
          <w:lang w:val="en-GB"/>
          <w14:ligatures w14:val="standardContextual"/>
        </w:rPr>
        <w:id w:val="-1892112893"/>
        <w:docPartObj>
          <w:docPartGallery w:val="Table of Contents"/>
          <w:docPartUnique/>
        </w:docPartObj>
      </w:sdtPr>
      <w:sdtEndPr>
        <w:rPr>
          <w:b/>
          <w:bCs/>
        </w:rPr>
      </w:sdtEndPr>
      <w:sdtContent>
        <w:p w14:paraId="124F868F" w14:textId="77777777" w:rsidR="00E62D51" w:rsidRPr="00E74B8A" w:rsidRDefault="00E62D51">
          <w:pPr>
            <w:pStyle w:val="TOCHeading"/>
            <w:rPr>
              <w:rFonts w:asciiTheme="minorHAnsi" w:hAnsiTheme="minorHAnsi"/>
              <w:sz w:val="22"/>
              <w:szCs w:val="22"/>
            </w:rPr>
          </w:pPr>
          <w:r w:rsidRPr="00E74B8A">
            <w:rPr>
              <w:rFonts w:asciiTheme="minorHAnsi" w:hAnsiTheme="minorHAnsi"/>
              <w:sz w:val="22"/>
              <w:szCs w:val="22"/>
            </w:rPr>
            <w:t>Contents</w:t>
          </w:r>
        </w:p>
        <w:p w14:paraId="0FE9E6E1" w14:textId="77777777" w:rsidR="00451749" w:rsidRDefault="00E62D51">
          <w:pPr>
            <w:pStyle w:val="TOC1"/>
            <w:tabs>
              <w:tab w:val="right" w:leader="dot" w:pos="9016"/>
            </w:tabs>
            <w:rPr>
              <w:rFonts w:eastAsiaTheme="minorEastAsia"/>
              <w:noProof/>
              <w:lang w:eastAsia="en-GB"/>
            </w:rPr>
          </w:pPr>
          <w:r w:rsidRPr="00E74B8A">
            <w:rPr>
              <w:sz w:val="22"/>
              <w:szCs w:val="22"/>
            </w:rPr>
            <w:fldChar w:fldCharType="begin"/>
          </w:r>
          <w:r w:rsidRPr="00E74B8A">
            <w:rPr>
              <w:sz w:val="22"/>
              <w:szCs w:val="22"/>
            </w:rPr>
            <w:instrText xml:space="preserve"> TOC \o "1-3" \h \z \u </w:instrText>
          </w:r>
          <w:r w:rsidRPr="00E74B8A">
            <w:rPr>
              <w:sz w:val="22"/>
              <w:szCs w:val="22"/>
            </w:rPr>
            <w:fldChar w:fldCharType="separate"/>
          </w:r>
          <w:hyperlink w:anchor="_Toc211233959" w:history="1">
            <w:r w:rsidR="00451749" w:rsidRPr="0026419C">
              <w:rPr>
                <w:rStyle w:val="Hyperlink"/>
                <w:noProof/>
              </w:rPr>
              <w:t>Introduction</w:t>
            </w:r>
            <w:r w:rsidR="00451749">
              <w:rPr>
                <w:noProof/>
                <w:webHidden/>
              </w:rPr>
              <w:tab/>
            </w:r>
            <w:r w:rsidR="00451749">
              <w:rPr>
                <w:noProof/>
                <w:webHidden/>
              </w:rPr>
              <w:fldChar w:fldCharType="begin"/>
            </w:r>
            <w:r w:rsidR="00451749">
              <w:rPr>
                <w:noProof/>
                <w:webHidden/>
              </w:rPr>
              <w:instrText xml:space="preserve"> PAGEREF _Toc211233959 \h </w:instrText>
            </w:r>
            <w:r w:rsidR="00451749">
              <w:rPr>
                <w:noProof/>
                <w:webHidden/>
              </w:rPr>
            </w:r>
            <w:r w:rsidR="00451749">
              <w:rPr>
                <w:noProof/>
                <w:webHidden/>
              </w:rPr>
              <w:fldChar w:fldCharType="separate"/>
            </w:r>
            <w:r w:rsidR="00451749">
              <w:rPr>
                <w:noProof/>
                <w:webHidden/>
              </w:rPr>
              <w:t>4</w:t>
            </w:r>
            <w:r w:rsidR="00451749">
              <w:rPr>
                <w:noProof/>
                <w:webHidden/>
              </w:rPr>
              <w:fldChar w:fldCharType="end"/>
            </w:r>
          </w:hyperlink>
        </w:p>
        <w:p w14:paraId="1B4B11CB" w14:textId="77777777" w:rsidR="00451749" w:rsidRDefault="00451749">
          <w:pPr>
            <w:pStyle w:val="TOC1"/>
            <w:tabs>
              <w:tab w:val="right" w:leader="dot" w:pos="9016"/>
            </w:tabs>
            <w:rPr>
              <w:rFonts w:eastAsiaTheme="minorEastAsia"/>
              <w:noProof/>
              <w:lang w:eastAsia="en-GB"/>
            </w:rPr>
          </w:pPr>
          <w:hyperlink w:anchor="_Toc211233960" w:history="1">
            <w:r w:rsidRPr="0026419C">
              <w:rPr>
                <w:rStyle w:val="Hyperlink"/>
                <w:b/>
                <w:noProo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An Information Booklet for Adults Over 45 Living Well with Osteoarthritis:</w:t>
            </w:r>
            <w:r>
              <w:rPr>
                <w:noProof/>
                <w:webHidden/>
              </w:rPr>
              <w:tab/>
            </w:r>
            <w:r>
              <w:rPr>
                <w:noProof/>
                <w:webHidden/>
              </w:rPr>
              <w:fldChar w:fldCharType="begin"/>
            </w:r>
            <w:r>
              <w:rPr>
                <w:noProof/>
                <w:webHidden/>
              </w:rPr>
              <w:instrText xml:space="preserve"> PAGEREF _Toc211233960 \h </w:instrText>
            </w:r>
            <w:r>
              <w:rPr>
                <w:noProof/>
                <w:webHidden/>
              </w:rPr>
            </w:r>
            <w:r>
              <w:rPr>
                <w:noProof/>
                <w:webHidden/>
              </w:rPr>
              <w:fldChar w:fldCharType="separate"/>
            </w:r>
            <w:r>
              <w:rPr>
                <w:noProof/>
                <w:webHidden/>
              </w:rPr>
              <w:t>4</w:t>
            </w:r>
            <w:r>
              <w:rPr>
                <w:noProof/>
                <w:webHidden/>
              </w:rPr>
              <w:fldChar w:fldCharType="end"/>
            </w:r>
          </w:hyperlink>
        </w:p>
        <w:p w14:paraId="29F65A3C" w14:textId="77777777" w:rsidR="00451749" w:rsidRDefault="00451749">
          <w:pPr>
            <w:pStyle w:val="TOC1"/>
            <w:tabs>
              <w:tab w:val="right" w:leader="dot" w:pos="9016"/>
            </w:tabs>
            <w:rPr>
              <w:rFonts w:eastAsiaTheme="minorEastAsia"/>
              <w:noProof/>
              <w:lang w:eastAsia="en-GB"/>
            </w:rPr>
          </w:pPr>
          <w:hyperlink w:anchor="_Toc211233961" w:history="1">
            <w:r w:rsidRPr="0026419C">
              <w:rPr>
                <w:rStyle w:val="Hyperlink"/>
                <w:noProof/>
              </w:rPr>
              <w:t>Understanding Osteoarthritis</w:t>
            </w:r>
            <w:r>
              <w:rPr>
                <w:noProof/>
                <w:webHidden/>
              </w:rPr>
              <w:tab/>
            </w:r>
            <w:r>
              <w:rPr>
                <w:noProof/>
                <w:webHidden/>
              </w:rPr>
              <w:fldChar w:fldCharType="begin"/>
            </w:r>
            <w:r>
              <w:rPr>
                <w:noProof/>
                <w:webHidden/>
              </w:rPr>
              <w:instrText xml:space="preserve"> PAGEREF _Toc211233961 \h </w:instrText>
            </w:r>
            <w:r>
              <w:rPr>
                <w:noProof/>
                <w:webHidden/>
              </w:rPr>
            </w:r>
            <w:r>
              <w:rPr>
                <w:noProof/>
                <w:webHidden/>
              </w:rPr>
              <w:fldChar w:fldCharType="separate"/>
            </w:r>
            <w:r>
              <w:rPr>
                <w:noProof/>
                <w:webHidden/>
              </w:rPr>
              <w:t>5</w:t>
            </w:r>
            <w:r>
              <w:rPr>
                <w:noProof/>
                <w:webHidden/>
              </w:rPr>
              <w:fldChar w:fldCharType="end"/>
            </w:r>
          </w:hyperlink>
        </w:p>
        <w:p w14:paraId="6AF08031" w14:textId="77777777" w:rsidR="00451749" w:rsidRDefault="00451749">
          <w:pPr>
            <w:pStyle w:val="TOC1"/>
            <w:tabs>
              <w:tab w:val="right" w:leader="dot" w:pos="9016"/>
            </w:tabs>
            <w:rPr>
              <w:rFonts w:eastAsiaTheme="minorEastAsia"/>
              <w:noProof/>
              <w:lang w:eastAsia="en-GB"/>
            </w:rPr>
          </w:pPr>
          <w:hyperlink w:anchor="_Toc211233962" w:history="1">
            <w:r w:rsidRPr="0026419C">
              <w:rPr>
                <w:rStyle w:val="Hyperlink"/>
                <w:noProof/>
              </w:rPr>
              <w:t>Global Burden and Prevalence</w:t>
            </w:r>
            <w:r>
              <w:rPr>
                <w:noProof/>
                <w:webHidden/>
              </w:rPr>
              <w:tab/>
            </w:r>
            <w:r>
              <w:rPr>
                <w:noProof/>
                <w:webHidden/>
              </w:rPr>
              <w:fldChar w:fldCharType="begin"/>
            </w:r>
            <w:r>
              <w:rPr>
                <w:noProof/>
                <w:webHidden/>
              </w:rPr>
              <w:instrText xml:space="preserve"> PAGEREF _Toc211233962 \h </w:instrText>
            </w:r>
            <w:r>
              <w:rPr>
                <w:noProof/>
                <w:webHidden/>
              </w:rPr>
            </w:r>
            <w:r>
              <w:rPr>
                <w:noProof/>
                <w:webHidden/>
              </w:rPr>
              <w:fldChar w:fldCharType="separate"/>
            </w:r>
            <w:r>
              <w:rPr>
                <w:noProof/>
                <w:webHidden/>
              </w:rPr>
              <w:t>5</w:t>
            </w:r>
            <w:r>
              <w:rPr>
                <w:noProof/>
                <w:webHidden/>
              </w:rPr>
              <w:fldChar w:fldCharType="end"/>
            </w:r>
          </w:hyperlink>
        </w:p>
        <w:p w14:paraId="2772D42F" w14:textId="77777777" w:rsidR="00451749" w:rsidRDefault="00451749">
          <w:pPr>
            <w:pStyle w:val="TOC1"/>
            <w:tabs>
              <w:tab w:val="right" w:leader="dot" w:pos="9016"/>
            </w:tabs>
            <w:rPr>
              <w:rFonts w:eastAsiaTheme="minorEastAsia"/>
              <w:noProof/>
              <w:lang w:eastAsia="en-GB"/>
            </w:rPr>
          </w:pPr>
          <w:hyperlink w:anchor="_Toc211233963" w:history="1">
            <w:r w:rsidRPr="0026419C">
              <w:rPr>
                <w:rStyle w:val="Hyperlink"/>
                <w:noProof/>
              </w:rPr>
              <w:t>Risk Factors and Aetiology</w:t>
            </w:r>
            <w:r>
              <w:rPr>
                <w:noProof/>
                <w:webHidden/>
              </w:rPr>
              <w:tab/>
            </w:r>
            <w:r>
              <w:rPr>
                <w:noProof/>
                <w:webHidden/>
              </w:rPr>
              <w:fldChar w:fldCharType="begin"/>
            </w:r>
            <w:r>
              <w:rPr>
                <w:noProof/>
                <w:webHidden/>
              </w:rPr>
              <w:instrText xml:space="preserve"> PAGEREF _Toc211233963 \h </w:instrText>
            </w:r>
            <w:r>
              <w:rPr>
                <w:noProof/>
                <w:webHidden/>
              </w:rPr>
            </w:r>
            <w:r>
              <w:rPr>
                <w:noProof/>
                <w:webHidden/>
              </w:rPr>
              <w:fldChar w:fldCharType="separate"/>
            </w:r>
            <w:r>
              <w:rPr>
                <w:noProof/>
                <w:webHidden/>
              </w:rPr>
              <w:t>6</w:t>
            </w:r>
            <w:r>
              <w:rPr>
                <w:noProof/>
                <w:webHidden/>
              </w:rPr>
              <w:fldChar w:fldCharType="end"/>
            </w:r>
          </w:hyperlink>
        </w:p>
        <w:p w14:paraId="7B42D6A1" w14:textId="77777777" w:rsidR="00451749" w:rsidRDefault="00451749">
          <w:pPr>
            <w:pStyle w:val="TOC1"/>
            <w:tabs>
              <w:tab w:val="right" w:leader="dot" w:pos="9016"/>
            </w:tabs>
            <w:rPr>
              <w:rFonts w:eastAsiaTheme="minorEastAsia"/>
              <w:noProof/>
              <w:lang w:eastAsia="en-GB"/>
            </w:rPr>
          </w:pPr>
          <w:hyperlink w:anchor="_Toc211233964" w:history="1">
            <w:r w:rsidRPr="0026419C">
              <w:rPr>
                <w:rStyle w:val="Hyperlink"/>
                <w:noProof/>
              </w:rPr>
              <w:t>Physical Implications</w:t>
            </w:r>
            <w:r>
              <w:rPr>
                <w:noProof/>
                <w:webHidden/>
              </w:rPr>
              <w:tab/>
            </w:r>
            <w:r>
              <w:rPr>
                <w:noProof/>
                <w:webHidden/>
              </w:rPr>
              <w:fldChar w:fldCharType="begin"/>
            </w:r>
            <w:r>
              <w:rPr>
                <w:noProof/>
                <w:webHidden/>
              </w:rPr>
              <w:instrText xml:space="preserve"> PAGEREF _Toc211233964 \h </w:instrText>
            </w:r>
            <w:r>
              <w:rPr>
                <w:noProof/>
                <w:webHidden/>
              </w:rPr>
            </w:r>
            <w:r>
              <w:rPr>
                <w:noProof/>
                <w:webHidden/>
              </w:rPr>
              <w:fldChar w:fldCharType="separate"/>
            </w:r>
            <w:r>
              <w:rPr>
                <w:noProof/>
                <w:webHidden/>
              </w:rPr>
              <w:t>6</w:t>
            </w:r>
            <w:r>
              <w:rPr>
                <w:noProof/>
                <w:webHidden/>
              </w:rPr>
              <w:fldChar w:fldCharType="end"/>
            </w:r>
          </w:hyperlink>
        </w:p>
        <w:p w14:paraId="4E30CA3C" w14:textId="77777777" w:rsidR="00451749" w:rsidRDefault="00451749">
          <w:pPr>
            <w:pStyle w:val="TOC3"/>
            <w:tabs>
              <w:tab w:val="right" w:leader="dot" w:pos="9016"/>
            </w:tabs>
            <w:rPr>
              <w:rFonts w:eastAsiaTheme="minorEastAsia"/>
              <w:noProof/>
              <w:lang w:eastAsia="en-GB"/>
            </w:rPr>
          </w:pPr>
          <w:hyperlink w:anchor="_Toc211233965" w:history="1">
            <w:r w:rsidRPr="0026419C">
              <w:rPr>
                <w:rStyle w:val="Hyperlink"/>
                <w:rFonts w:ascii="Aptos" w:eastAsia="Aptos" w:hAnsi="Aptos" w:cs="Aptos"/>
                <w:b/>
                <w:bCs/>
                <w:noProof/>
              </w:rPr>
              <w:t>Psychological Implications</w:t>
            </w:r>
            <w:r>
              <w:rPr>
                <w:noProof/>
                <w:webHidden/>
              </w:rPr>
              <w:tab/>
            </w:r>
            <w:r>
              <w:rPr>
                <w:noProof/>
                <w:webHidden/>
              </w:rPr>
              <w:fldChar w:fldCharType="begin"/>
            </w:r>
            <w:r>
              <w:rPr>
                <w:noProof/>
                <w:webHidden/>
              </w:rPr>
              <w:instrText xml:space="preserve"> PAGEREF _Toc211233965 \h </w:instrText>
            </w:r>
            <w:r>
              <w:rPr>
                <w:noProof/>
                <w:webHidden/>
              </w:rPr>
            </w:r>
            <w:r>
              <w:rPr>
                <w:noProof/>
                <w:webHidden/>
              </w:rPr>
              <w:fldChar w:fldCharType="separate"/>
            </w:r>
            <w:r>
              <w:rPr>
                <w:noProof/>
                <w:webHidden/>
              </w:rPr>
              <w:t>7</w:t>
            </w:r>
            <w:r>
              <w:rPr>
                <w:noProof/>
                <w:webHidden/>
              </w:rPr>
              <w:fldChar w:fldCharType="end"/>
            </w:r>
          </w:hyperlink>
        </w:p>
        <w:p w14:paraId="40CB416E" w14:textId="77777777" w:rsidR="00451749" w:rsidRDefault="00451749">
          <w:pPr>
            <w:pStyle w:val="TOC3"/>
            <w:tabs>
              <w:tab w:val="right" w:leader="dot" w:pos="9016"/>
            </w:tabs>
            <w:rPr>
              <w:rFonts w:eastAsiaTheme="minorEastAsia"/>
              <w:noProof/>
              <w:lang w:eastAsia="en-GB"/>
            </w:rPr>
          </w:pPr>
          <w:hyperlink w:anchor="_Toc211233966" w:history="1">
            <w:r w:rsidRPr="0026419C">
              <w:rPr>
                <w:rStyle w:val="Hyperlink"/>
                <w:rFonts w:ascii="Aptos" w:eastAsia="Aptos" w:hAnsi="Aptos" w:cs="Aptos"/>
                <w:b/>
                <w:bCs/>
                <w:noProof/>
              </w:rPr>
              <w:t>Social Implications</w:t>
            </w:r>
            <w:r>
              <w:rPr>
                <w:noProof/>
                <w:webHidden/>
              </w:rPr>
              <w:tab/>
            </w:r>
            <w:r>
              <w:rPr>
                <w:noProof/>
                <w:webHidden/>
              </w:rPr>
              <w:fldChar w:fldCharType="begin"/>
            </w:r>
            <w:r>
              <w:rPr>
                <w:noProof/>
                <w:webHidden/>
              </w:rPr>
              <w:instrText xml:space="preserve"> PAGEREF _Toc211233966 \h </w:instrText>
            </w:r>
            <w:r>
              <w:rPr>
                <w:noProof/>
                <w:webHidden/>
              </w:rPr>
            </w:r>
            <w:r>
              <w:rPr>
                <w:noProof/>
                <w:webHidden/>
              </w:rPr>
              <w:fldChar w:fldCharType="separate"/>
            </w:r>
            <w:r>
              <w:rPr>
                <w:noProof/>
                <w:webHidden/>
              </w:rPr>
              <w:t>7</w:t>
            </w:r>
            <w:r>
              <w:rPr>
                <w:noProof/>
                <w:webHidden/>
              </w:rPr>
              <w:fldChar w:fldCharType="end"/>
            </w:r>
          </w:hyperlink>
        </w:p>
        <w:p w14:paraId="5099E670" w14:textId="77777777" w:rsidR="00451749" w:rsidRDefault="00451749">
          <w:pPr>
            <w:pStyle w:val="TOC3"/>
            <w:tabs>
              <w:tab w:val="right" w:leader="dot" w:pos="9016"/>
            </w:tabs>
            <w:rPr>
              <w:rFonts w:eastAsiaTheme="minorEastAsia"/>
              <w:noProof/>
              <w:lang w:eastAsia="en-GB"/>
            </w:rPr>
          </w:pPr>
          <w:hyperlink w:anchor="_Toc211233967" w:history="1">
            <w:r w:rsidRPr="0026419C">
              <w:rPr>
                <w:rStyle w:val="Hyperlink"/>
                <w:rFonts w:ascii="Aptos" w:eastAsia="Aptos" w:hAnsi="Aptos" w:cs="Aptos"/>
                <w:b/>
                <w:bCs/>
                <w:noProof/>
              </w:rPr>
              <w:t>Wider Implications for Families and Carers</w:t>
            </w:r>
            <w:r>
              <w:rPr>
                <w:noProof/>
                <w:webHidden/>
              </w:rPr>
              <w:tab/>
            </w:r>
            <w:r>
              <w:rPr>
                <w:noProof/>
                <w:webHidden/>
              </w:rPr>
              <w:fldChar w:fldCharType="begin"/>
            </w:r>
            <w:r>
              <w:rPr>
                <w:noProof/>
                <w:webHidden/>
              </w:rPr>
              <w:instrText xml:space="preserve"> PAGEREF _Toc211233967 \h </w:instrText>
            </w:r>
            <w:r>
              <w:rPr>
                <w:noProof/>
                <w:webHidden/>
              </w:rPr>
            </w:r>
            <w:r>
              <w:rPr>
                <w:noProof/>
                <w:webHidden/>
              </w:rPr>
              <w:fldChar w:fldCharType="separate"/>
            </w:r>
            <w:r>
              <w:rPr>
                <w:noProof/>
                <w:webHidden/>
              </w:rPr>
              <w:t>7</w:t>
            </w:r>
            <w:r>
              <w:rPr>
                <w:noProof/>
                <w:webHidden/>
              </w:rPr>
              <w:fldChar w:fldCharType="end"/>
            </w:r>
          </w:hyperlink>
        </w:p>
        <w:p w14:paraId="3B2A297C" w14:textId="77777777" w:rsidR="00451749" w:rsidRDefault="00451749">
          <w:pPr>
            <w:pStyle w:val="TOC3"/>
            <w:tabs>
              <w:tab w:val="right" w:leader="dot" w:pos="9016"/>
            </w:tabs>
            <w:rPr>
              <w:rFonts w:eastAsiaTheme="minorEastAsia"/>
              <w:noProof/>
              <w:lang w:eastAsia="en-GB"/>
            </w:rPr>
          </w:pPr>
          <w:hyperlink w:anchor="_Toc211233968" w:history="1">
            <w:r w:rsidRPr="0026419C">
              <w:rPr>
                <w:rStyle w:val="Hyperlink"/>
                <w:rFonts w:ascii="Aptos" w:eastAsia="Aptos" w:hAnsi="Aptos" w:cs="Aptos"/>
                <w:noProof/>
              </w:rPr>
              <w:t>Non-Pharmacological Treatments</w:t>
            </w:r>
            <w:r>
              <w:rPr>
                <w:noProof/>
                <w:webHidden/>
              </w:rPr>
              <w:tab/>
            </w:r>
            <w:r>
              <w:rPr>
                <w:noProof/>
                <w:webHidden/>
              </w:rPr>
              <w:fldChar w:fldCharType="begin"/>
            </w:r>
            <w:r>
              <w:rPr>
                <w:noProof/>
                <w:webHidden/>
              </w:rPr>
              <w:instrText xml:space="preserve"> PAGEREF _Toc211233968 \h </w:instrText>
            </w:r>
            <w:r>
              <w:rPr>
                <w:noProof/>
                <w:webHidden/>
              </w:rPr>
            </w:r>
            <w:r>
              <w:rPr>
                <w:noProof/>
                <w:webHidden/>
              </w:rPr>
              <w:fldChar w:fldCharType="separate"/>
            </w:r>
            <w:r>
              <w:rPr>
                <w:noProof/>
                <w:webHidden/>
              </w:rPr>
              <w:t>8</w:t>
            </w:r>
            <w:r>
              <w:rPr>
                <w:noProof/>
                <w:webHidden/>
              </w:rPr>
              <w:fldChar w:fldCharType="end"/>
            </w:r>
          </w:hyperlink>
        </w:p>
        <w:p w14:paraId="5B8648DF" w14:textId="77777777" w:rsidR="00451749" w:rsidRDefault="00451749">
          <w:pPr>
            <w:pStyle w:val="TOC3"/>
            <w:tabs>
              <w:tab w:val="right" w:leader="dot" w:pos="9016"/>
            </w:tabs>
            <w:rPr>
              <w:rFonts w:eastAsiaTheme="minorEastAsia"/>
              <w:noProof/>
              <w:lang w:eastAsia="en-GB"/>
            </w:rPr>
          </w:pPr>
          <w:hyperlink w:anchor="_Toc211233969" w:history="1">
            <w:r w:rsidRPr="0026419C">
              <w:rPr>
                <w:rStyle w:val="Hyperlink"/>
                <w:rFonts w:ascii="Aptos" w:eastAsia="Aptos" w:hAnsi="Aptos" w:cs="Aptos"/>
                <w:b/>
                <w:bCs/>
                <w:noProof/>
              </w:rPr>
              <w:t>Pharmacological Treatments</w:t>
            </w:r>
            <w:r>
              <w:rPr>
                <w:noProof/>
                <w:webHidden/>
              </w:rPr>
              <w:tab/>
            </w:r>
            <w:r>
              <w:rPr>
                <w:noProof/>
                <w:webHidden/>
              </w:rPr>
              <w:fldChar w:fldCharType="begin"/>
            </w:r>
            <w:r>
              <w:rPr>
                <w:noProof/>
                <w:webHidden/>
              </w:rPr>
              <w:instrText xml:space="preserve"> PAGEREF _Toc211233969 \h </w:instrText>
            </w:r>
            <w:r>
              <w:rPr>
                <w:noProof/>
                <w:webHidden/>
              </w:rPr>
            </w:r>
            <w:r>
              <w:rPr>
                <w:noProof/>
                <w:webHidden/>
              </w:rPr>
              <w:fldChar w:fldCharType="separate"/>
            </w:r>
            <w:r>
              <w:rPr>
                <w:noProof/>
                <w:webHidden/>
              </w:rPr>
              <w:t>9</w:t>
            </w:r>
            <w:r>
              <w:rPr>
                <w:noProof/>
                <w:webHidden/>
              </w:rPr>
              <w:fldChar w:fldCharType="end"/>
            </w:r>
          </w:hyperlink>
        </w:p>
        <w:p w14:paraId="49A67026" w14:textId="77777777" w:rsidR="00451749" w:rsidRDefault="00451749">
          <w:pPr>
            <w:pStyle w:val="TOC3"/>
            <w:tabs>
              <w:tab w:val="right" w:leader="dot" w:pos="9016"/>
            </w:tabs>
            <w:rPr>
              <w:rFonts w:eastAsiaTheme="minorEastAsia"/>
              <w:noProof/>
              <w:lang w:eastAsia="en-GB"/>
            </w:rPr>
          </w:pPr>
          <w:hyperlink w:anchor="_Toc211233970" w:history="1">
            <w:r w:rsidRPr="0026419C">
              <w:rPr>
                <w:rStyle w:val="Hyperlink"/>
                <w:rFonts w:ascii="Aptos" w:eastAsia="Aptos" w:hAnsi="Aptos" w:cs="Aptos"/>
                <w:b/>
                <w:bCs/>
                <w:noProof/>
              </w:rPr>
              <w:t>Surgical Interventions</w:t>
            </w:r>
            <w:r>
              <w:rPr>
                <w:noProof/>
                <w:webHidden/>
              </w:rPr>
              <w:tab/>
            </w:r>
            <w:r>
              <w:rPr>
                <w:noProof/>
                <w:webHidden/>
              </w:rPr>
              <w:fldChar w:fldCharType="begin"/>
            </w:r>
            <w:r>
              <w:rPr>
                <w:noProof/>
                <w:webHidden/>
              </w:rPr>
              <w:instrText xml:space="preserve"> PAGEREF _Toc211233970 \h </w:instrText>
            </w:r>
            <w:r>
              <w:rPr>
                <w:noProof/>
                <w:webHidden/>
              </w:rPr>
            </w:r>
            <w:r>
              <w:rPr>
                <w:noProof/>
                <w:webHidden/>
              </w:rPr>
              <w:fldChar w:fldCharType="separate"/>
            </w:r>
            <w:r>
              <w:rPr>
                <w:noProof/>
                <w:webHidden/>
              </w:rPr>
              <w:t>10</w:t>
            </w:r>
            <w:r>
              <w:rPr>
                <w:noProof/>
                <w:webHidden/>
              </w:rPr>
              <w:fldChar w:fldCharType="end"/>
            </w:r>
          </w:hyperlink>
        </w:p>
        <w:p w14:paraId="1129332E" w14:textId="77777777" w:rsidR="00451749" w:rsidRDefault="00451749">
          <w:pPr>
            <w:pStyle w:val="TOC3"/>
            <w:tabs>
              <w:tab w:val="right" w:leader="dot" w:pos="9016"/>
            </w:tabs>
            <w:rPr>
              <w:rFonts w:eastAsiaTheme="minorEastAsia"/>
              <w:noProof/>
              <w:lang w:eastAsia="en-GB"/>
            </w:rPr>
          </w:pPr>
          <w:hyperlink w:anchor="_Toc211233971" w:history="1">
            <w:r w:rsidRPr="0026419C">
              <w:rPr>
                <w:rStyle w:val="Hyperlink"/>
                <w:rFonts w:ascii="Aptos" w:eastAsia="Aptos" w:hAnsi="Aptos" w:cs="Aptos"/>
                <w:b/>
                <w:bCs/>
                <w:noProof/>
              </w:rPr>
              <w:t>Multidisciplinary and Community-Based Approaches</w:t>
            </w:r>
            <w:r>
              <w:rPr>
                <w:noProof/>
                <w:webHidden/>
              </w:rPr>
              <w:tab/>
            </w:r>
            <w:r>
              <w:rPr>
                <w:noProof/>
                <w:webHidden/>
              </w:rPr>
              <w:fldChar w:fldCharType="begin"/>
            </w:r>
            <w:r>
              <w:rPr>
                <w:noProof/>
                <w:webHidden/>
              </w:rPr>
              <w:instrText xml:space="preserve"> PAGEREF _Toc211233971 \h </w:instrText>
            </w:r>
            <w:r>
              <w:rPr>
                <w:noProof/>
                <w:webHidden/>
              </w:rPr>
            </w:r>
            <w:r>
              <w:rPr>
                <w:noProof/>
                <w:webHidden/>
              </w:rPr>
              <w:fldChar w:fldCharType="separate"/>
            </w:r>
            <w:r>
              <w:rPr>
                <w:noProof/>
                <w:webHidden/>
              </w:rPr>
              <w:t>10</w:t>
            </w:r>
            <w:r>
              <w:rPr>
                <w:noProof/>
                <w:webHidden/>
              </w:rPr>
              <w:fldChar w:fldCharType="end"/>
            </w:r>
          </w:hyperlink>
        </w:p>
        <w:p w14:paraId="749D2939" w14:textId="77777777" w:rsidR="00451749" w:rsidRDefault="00451749">
          <w:pPr>
            <w:pStyle w:val="TOC3"/>
            <w:tabs>
              <w:tab w:val="right" w:leader="dot" w:pos="9016"/>
            </w:tabs>
            <w:rPr>
              <w:rFonts w:eastAsiaTheme="minorEastAsia"/>
              <w:noProof/>
              <w:lang w:eastAsia="en-GB"/>
            </w:rPr>
          </w:pPr>
          <w:hyperlink w:anchor="_Toc211233972" w:history="1">
            <w:r w:rsidRPr="0026419C">
              <w:rPr>
                <w:rStyle w:val="Hyperlink"/>
                <w:rFonts w:ascii="Aptos" w:eastAsia="Aptos" w:hAnsi="Aptos" w:cs="Aptos"/>
                <w:b/>
                <w:bCs/>
                <w:noProof/>
              </w:rPr>
              <w:t>Evaluation of Effectiveness</w:t>
            </w:r>
            <w:r>
              <w:rPr>
                <w:noProof/>
                <w:webHidden/>
              </w:rPr>
              <w:tab/>
            </w:r>
            <w:r>
              <w:rPr>
                <w:noProof/>
                <w:webHidden/>
              </w:rPr>
              <w:fldChar w:fldCharType="begin"/>
            </w:r>
            <w:r>
              <w:rPr>
                <w:noProof/>
                <w:webHidden/>
              </w:rPr>
              <w:instrText xml:space="preserve"> PAGEREF _Toc211233972 \h </w:instrText>
            </w:r>
            <w:r>
              <w:rPr>
                <w:noProof/>
                <w:webHidden/>
              </w:rPr>
            </w:r>
            <w:r>
              <w:rPr>
                <w:noProof/>
                <w:webHidden/>
              </w:rPr>
              <w:fldChar w:fldCharType="separate"/>
            </w:r>
            <w:r>
              <w:rPr>
                <w:noProof/>
                <w:webHidden/>
              </w:rPr>
              <w:t>10</w:t>
            </w:r>
            <w:r>
              <w:rPr>
                <w:noProof/>
                <w:webHidden/>
              </w:rPr>
              <w:fldChar w:fldCharType="end"/>
            </w:r>
          </w:hyperlink>
        </w:p>
        <w:p w14:paraId="4C4374C7" w14:textId="77777777" w:rsidR="00451749" w:rsidRDefault="00451749">
          <w:pPr>
            <w:pStyle w:val="TOC1"/>
            <w:tabs>
              <w:tab w:val="right" w:leader="dot" w:pos="9016"/>
            </w:tabs>
            <w:rPr>
              <w:rFonts w:eastAsiaTheme="minorEastAsia"/>
              <w:noProof/>
              <w:lang w:eastAsia="en-GB"/>
            </w:rPr>
          </w:pPr>
          <w:hyperlink w:anchor="_Toc211233973" w:history="1">
            <w:r w:rsidRPr="0026419C">
              <w:rPr>
                <w:rStyle w:val="Hyperlink"/>
                <w:noProof/>
              </w:rPr>
              <w:t>UK Model: The House of Care</w:t>
            </w:r>
            <w:r>
              <w:rPr>
                <w:noProof/>
                <w:webHidden/>
              </w:rPr>
              <w:tab/>
            </w:r>
            <w:r>
              <w:rPr>
                <w:noProof/>
                <w:webHidden/>
              </w:rPr>
              <w:fldChar w:fldCharType="begin"/>
            </w:r>
            <w:r>
              <w:rPr>
                <w:noProof/>
                <w:webHidden/>
              </w:rPr>
              <w:instrText xml:space="preserve"> PAGEREF _Toc211233973 \h </w:instrText>
            </w:r>
            <w:r>
              <w:rPr>
                <w:noProof/>
                <w:webHidden/>
              </w:rPr>
            </w:r>
            <w:r>
              <w:rPr>
                <w:noProof/>
                <w:webHidden/>
              </w:rPr>
              <w:fldChar w:fldCharType="separate"/>
            </w:r>
            <w:r>
              <w:rPr>
                <w:noProof/>
                <w:webHidden/>
              </w:rPr>
              <w:t>11</w:t>
            </w:r>
            <w:r>
              <w:rPr>
                <w:noProof/>
                <w:webHidden/>
              </w:rPr>
              <w:fldChar w:fldCharType="end"/>
            </w:r>
          </w:hyperlink>
        </w:p>
        <w:p w14:paraId="52E3E6E9" w14:textId="77777777" w:rsidR="00451749" w:rsidRDefault="00451749">
          <w:pPr>
            <w:pStyle w:val="TOC3"/>
            <w:tabs>
              <w:tab w:val="right" w:leader="dot" w:pos="9016"/>
            </w:tabs>
            <w:rPr>
              <w:rFonts w:eastAsiaTheme="minorEastAsia"/>
              <w:noProof/>
              <w:lang w:eastAsia="en-GB"/>
            </w:rPr>
          </w:pPr>
          <w:hyperlink w:anchor="_Toc211233974" w:history="1">
            <w:r w:rsidRPr="0026419C">
              <w:rPr>
                <w:rStyle w:val="Hyperlink"/>
                <w:rFonts w:ascii="Aptos" w:eastAsia="Aptos" w:hAnsi="Aptos" w:cs="Aptos"/>
                <w:b/>
                <w:bCs/>
                <w:noProof/>
              </w:rPr>
              <w:t>International Model: WHO Innovative Care for Chronic Conditions (ICCC) Framework</w:t>
            </w:r>
            <w:r>
              <w:rPr>
                <w:noProof/>
                <w:webHidden/>
              </w:rPr>
              <w:tab/>
            </w:r>
            <w:r>
              <w:rPr>
                <w:noProof/>
                <w:webHidden/>
              </w:rPr>
              <w:fldChar w:fldCharType="begin"/>
            </w:r>
            <w:r>
              <w:rPr>
                <w:noProof/>
                <w:webHidden/>
              </w:rPr>
              <w:instrText xml:space="preserve"> PAGEREF _Toc211233974 \h </w:instrText>
            </w:r>
            <w:r>
              <w:rPr>
                <w:noProof/>
                <w:webHidden/>
              </w:rPr>
            </w:r>
            <w:r>
              <w:rPr>
                <w:noProof/>
                <w:webHidden/>
              </w:rPr>
              <w:fldChar w:fldCharType="separate"/>
            </w:r>
            <w:r>
              <w:rPr>
                <w:noProof/>
                <w:webHidden/>
              </w:rPr>
              <w:t>13</w:t>
            </w:r>
            <w:r>
              <w:rPr>
                <w:noProof/>
                <w:webHidden/>
              </w:rPr>
              <w:fldChar w:fldCharType="end"/>
            </w:r>
          </w:hyperlink>
        </w:p>
        <w:p w14:paraId="0C1E52B6" w14:textId="77777777" w:rsidR="00451749" w:rsidRDefault="00451749">
          <w:pPr>
            <w:pStyle w:val="TOC3"/>
            <w:tabs>
              <w:tab w:val="right" w:leader="dot" w:pos="9016"/>
            </w:tabs>
            <w:rPr>
              <w:rFonts w:eastAsiaTheme="minorEastAsia"/>
              <w:noProof/>
              <w:lang w:eastAsia="en-GB"/>
            </w:rPr>
          </w:pPr>
          <w:hyperlink w:anchor="_Toc211233975" w:history="1">
            <w:r w:rsidRPr="0026419C">
              <w:rPr>
                <w:rStyle w:val="Hyperlink"/>
                <w:rFonts w:ascii="Aptos" w:eastAsia="Aptos" w:hAnsi="Aptos" w:cs="Aptos"/>
                <w:b/>
                <w:bCs/>
                <w:noProof/>
              </w:rPr>
              <w:t>Comparison of Models</w:t>
            </w:r>
            <w:r>
              <w:rPr>
                <w:noProof/>
                <w:webHidden/>
              </w:rPr>
              <w:tab/>
            </w:r>
            <w:r>
              <w:rPr>
                <w:noProof/>
                <w:webHidden/>
              </w:rPr>
              <w:fldChar w:fldCharType="begin"/>
            </w:r>
            <w:r>
              <w:rPr>
                <w:noProof/>
                <w:webHidden/>
              </w:rPr>
              <w:instrText xml:space="preserve"> PAGEREF _Toc211233975 \h </w:instrText>
            </w:r>
            <w:r>
              <w:rPr>
                <w:noProof/>
                <w:webHidden/>
              </w:rPr>
            </w:r>
            <w:r>
              <w:rPr>
                <w:noProof/>
                <w:webHidden/>
              </w:rPr>
              <w:fldChar w:fldCharType="separate"/>
            </w:r>
            <w:r>
              <w:rPr>
                <w:noProof/>
                <w:webHidden/>
              </w:rPr>
              <w:t>14</w:t>
            </w:r>
            <w:r>
              <w:rPr>
                <w:noProof/>
                <w:webHidden/>
              </w:rPr>
              <w:fldChar w:fldCharType="end"/>
            </w:r>
          </w:hyperlink>
        </w:p>
        <w:p w14:paraId="0257D056" w14:textId="77777777" w:rsidR="00451749" w:rsidRDefault="00451749">
          <w:pPr>
            <w:pStyle w:val="TOC2"/>
            <w:tabs>
              <w:tab w:val="right" w:leader="dot" w:pos="9016"/>
            </w:tabs>
            <w:rPr>
              <w:rFonts w:eastAsiaTheme="minorEastAsia"/>
              <w:noProof/>
              <w:lang w:eastAsia="en-GB"/>
            </w:rPr>
          </w:pPr>
          <w:hyperlink w:anchor="_Toc211233976" w:history="1">
            <w:r w:rsidRPr="0026419C">
              <w:rPr>
                <w:rStyle w:val="Hyperlink"/>
                <w:rFonts w:ascii="Aptos" w:eastAsia="Aptos" w:hAnsi="Aptos" w:cs="Aptos"/>
                <w:b/>
                <w:bCs/>
                <w:noProof/>
              </w:rPr>
              <w:t>Policy and Political Influences on Osteoarthritis Care in the UK</w:t>
            </w:r>
            <w:r>
              <w:rPr>
                <w:noProof/>
                <w:webHidden/>
              </w:rPr>
              <w:tab/>
            </w:r>
            <w:r>
              <w:rPr>
                <w:noProof/>
                <w:webHidden/>
              </w:rPr>
              <w:fldChar w:fldCharType="begin"/>
            </w:r>
            <w:r>
              <w:rPr>
                <w:noProof/>
                <w:webHidden/>
              </w:rPr>
              <w:instrText xml:space="preserve"> PAGEREF _Toc211233976 \h </w:instrText>
            </w:r>
            <w:r>
              <w:rPr>
                <w:noProof/>
                <w:webHidden/>
              </w:rPr>
            </w:r>
            <w:r>
              <w:rPr>
                <w:noProof/>
                <w:webHidden/>
              </w:rPr>
              <w:fldChar w:fldCharType="separate"/>
            </w:r>
            <w:r>
              <w:rPr>
                <w:noProof/>
                <w:webHidden/>
              </w:rPr>
              <w:t>14</w:t>
            </w:r>
            <w:r>
              <w:rPr>
                <w:noProof/>
                <w:webHidden/>
              </w:rPr>
              <w:fldChar w:fldCharType="end"/>
            </w:r>
          </w:hyperlink>
        </w:p>
        <w:p w14:paraId="7DE019E7" w14:textId="77777777" w:rsidR="00451749" w:rsidRDefault="00451749">
          <w:pPr>
            <w:pStyle w:val="TOC3"/>
            <w:tabs>
              <w:tab w:val="right" w:leader="dot" w:pos="9016"/>
            </w:tabs>
            <w:rPr>
              <w:rFonts w:eastAsiaTheme="minorEastAsia"/>
              <w:noProof/>
              <w:lang w:eastAsia="en-GB"/>
            </w:rPr>
          </w:pPr>
          <w:hyperlink w:anchor="_Toc211233977" w:history="1">
            <w:r w:rsidRPr="0026419C">
              <w:rPr>
                <w:rStyle w:val="Hyperlink"/>
                <w:rFonts w:ascii="Aptos" w:eastAsia="Aptos" w:hAnsi="Aptos" w:cs="Aptos"/>
                <w:b/>
                <w:bCs/>
                <w:noProof/>
              </w:rPr>
              <w:t>National Policy</w:t>
            </w:r>
            <w:r>
              <w:rPr>
                <w:noProof/>
                <w:webHidden/>
              </w:rPr>
              <w:tab/>
            </w:r>
            <w:r>
              <w:rPr>
                <w:noProof/>
                <w:webHidden/>
              </w:rPr>
              <w:fldChar w:fldCharType="begin"/>
            </w:r>
            <w:r>
              <w:rPr>
                <w:noProof/>
                <w:webHidden/>
              </w:rPr>
              <w:instrText xml:space="preserve"> PAGEREF _Toc211233977 \h </w:instrText>
            </w:r>
            <w:r>
              <w:rPr>
                <w:noProof/>
                <w:webHidden/>
              </w:rPr>
            </w:r>
            <w:r>
              <w:rPr>
                <w:noProof/>
                <w:webHidden/>
              </w:rPr>
              <w:fldChar w:fldCharType="separate"/>
            </w:r>
            <w:r>
              <w:rPr>
                <w:noProof/>
                <w:webHidden/>
              </w:rPr>
              <w:t>14</w:t>
            </w:r>
            <w:r>
              <w:rPr>
                <w:noProof/>
                <w:webHidden/>
              </w:rPr>
              <w:fldChar w:fldCharType="end"/>
            </w:r>
          </w:hyperlink>
        </w:p>
        <w:p w14:paraId="194EA8A3" w14:textId="77777777" w:rsidR="00451749" w:rsidRDefault="00451749">
          <w:pPr>
            <w:pStyle w:val="TOC3"/>
            <w:tabs>
              <w:tab w:val="right" w:leader="dot" w:pos="9016"/>
            </w:tabs>
            <w:rPr>
              <w:rFonts w:eastAsiaTheme="minorEastAsia"/>
              <w:noProof/>
              <w:lang w:eastAsia="en-GB"/>
            </w:rPr>
          </w:pPr>
          <w:hyperlink w:anchor="_Toc211233978" w:history="1">
            <w:r w:rsidRPr="0026419C">
              <w:rPr>
                <w:rStyle w:val="Hyperlink"/>
                <w:rFonts w:ascii="Aptos" w:eastAsia="Aptos" w:hAnsi="Aptos" w:cs="Aptos"/>
                <w:b/>
                <w:bCs/>
                <w:noProof/>
              </w:rPr>
              <w:t>Local Policy and Implementation</w:t>
            </w:r>
            <w:r>
              <w:rPr>
                <w:noProof/>
                <w:webHidden/>
              </w:rPr>
              <w:tab/>
            </w:r>
            <w:r>
              <w:rPr>
                <w:noProof/>
                <w:webHidden/>
              </w:rPr>
              <w:fldChar w:fldCharType="begin"/>
            </w:r>
            <w:r>
              <w:rPr>
                <w:noProof/>
                <w:webHidden/>
              </w:rPr>
              <w:instrText xml:space="preserve"> PAGEREF _Toc211233978 \h </w:instrText>
            </w:r>
            <w:r>
              <w:rPr>
                <w:noProof/>
                <w:webHidden/>
              </w:rPr>
            </w:r>
            <w:r>
              <w:rPr>
                <w:noProof/>
                <w:webHidden/>
              </w:rPr>
              <w:fldChar w:fldCharType="separate"/>
            </w:r>
            <w:r>
              <w:rPr>
                <w:noProof/>
                <w:webHidden/>
              </w:rPr>
              <w:t>14</w:t>
            </w:r>
            <w:r>
              <w:rPr>
                <w:noProof/>
                <w:webHidden/>
              </w:rPr>
              <w:fldChar w:fldCharType="end"/>
            </w:r>
          </w:hyperlink>
        </w:p>
        <w:p w14:paraId="79A8270A" w14:textId="77777777" w:rsidR="00451749" w:rsidRDefault="00451749">
          <w:pPr>
            <w:pStyle w:val="TOC3"/>
            <w:tabs>
              <w:tab w:val="right" w:leader="dot" w:pos="9016"/>
            </w:tabs>
            <w:rPr>
              <w:rFonts w:eastAsiaTheme="minorEastAsia"/>
              <w:noProof/>
              <w:lang w:eastAsia="en-GB"/>
            </w:rPr>
          </w:pPr>
          <w:hyperlink w:anchor="_Toc211233979" w:history="1">
            <w:r w:rsidRPr="0026419C">
              <w:rPr>
                <w:rStyle w:val="Hyperlink"/>
                <w:rFonts w:ascii="Aptos" w:eastAsia="Aptos" w:hAnsi="Aptos" w:cs="Aptos"/>
                <w:b/>
                <w:bCs/>
                <w:noProof/>
              </w:rPr>
              <w:t>Critical Examination</w:t>
            </w:r>
            <w:r>
              <w:rPr>
                <w:noProof/>
                <w:webHidden/>
              </w:rPr>
              <w:tab/>
            </w:r>
            <w:r>
              <w:rPr>
                <w:noProof/>
                <w:webHidden/>
              </w:rPr>
              <w:fldChar w:fldCharType="begin"/>
            </w:r>
            <w:r>
              <w:rPr>
                <w:noProof/>
                <w:webHidden/>
              </w:rPr>
              <w:instrText xml:space="preserve"> PAGEREF _Toc211233979 \h </w:instrText>
            </w:r>
            <w:r>
              <w:rPr>
                <w:noProof/>
                <w:webHidden/>
              </w:rPr>
            </w:r>
            <w:r>
              <w:rPr>
                <w:noProof/>
                <w:webHidden/>
              </w:rPr>
              <w:fldChar w:fldCharType="separate"/>
            </w:r>
            <w:r>
              <w:rPr>
                <w:noProof/>
                <w:webHidden/>
              </w:rPr>
              <w:t>14</w:t>
            </w:r>
            <w:r>
              <w:rPr>
                <w:noProof/>
                <w:webHidden/>
              </w:rPr>
              <w:fldChar w:fldCharType="end"/>
            </w:r>
          </w:hyperlink>
        </w:p>
        <w:p w14:paraId="42EEA2D1" w14:textId="77777777" w:rsidR="00451749" w:rsidRDefault="00451749">
          <w:pPr>
            <w:pStyle w:val="TOC1"/>
            <w:tabs>
              <w:tab w:val="right" w:leader="dot" w:pos="9016"/>
            </w:tabs>
            <w:rPr>
              <w:rFonts w:eastAsiaTheme="minorEastAsia"/>
              <w:noProof/>
              <w:lang w:eastAsia="en-GB"/>
            </w:rPr>
          </w:pPr>
          <w:hyperlink w:anchor="_Toc211233980" w:history="1">
            <w:r w:rsidRPr="0026419C">
              <w:rPr>
                <w:rStyle w:val="Hyperlink"/>
                <w:noProof/>
              </w:rPr>
              <w:t>Person-Centred Care and Self-Management in Osteoarthritis</w:t>
            </w:r>
            <w:r>
              <w:rPr>
                <w:noProof/>
                <w:webHidden/>
              </w:rPr>
              <w:tab/>
            </w:r>
            <w:r>
              <w:rPr>
                <w:noProof/>
                <w:webHidden/>
              </w:rPr>
              <w:fldChar w:fldCharType="begin"/>
            </w:r>
            <w:r>
              <w:rPr>
                <w:noProof/>
                <w:webHidden/>
              </w:rPr>
              <w:instrText xml:space="preserve"> PAGEREF _Toc211233980 \h </w:instrText>
            </w:r>
            <w:r>
              <w:rPr>
                <w:noProof/>
                <w:webHidden/>
              </w:rPr>
            </w:r>
            <w:r>
              <w:rPr>
                <w:noProof/>
                <w:webHidden/>
              </w:rPr>
              <w:fldChar w:fldCharType="separate"/>
            </w:r>
            <w:r>
              <w:rPr>
                <w:noProof/>
                <w:webHidden/>
              </w:rPr>
              <w:t>14</w:t>
            </w:r>
            <w:r>
              <w:rPr>
                <w:noProof/>
                <w:webHidden/>
              </w:rPr>
              <w:fldChar w:fldCharType="end"/>
            </w:r>
          </w:hyperlink>
        </w:p>
        <w:p w14:paraId="57E91340" w14:textId="77777777" w:rsidR="00451749" w:rsidRDefault="00451749">
          <w:pPr>
            <w:pStyle w:val="TOC3"/>
            <w:tabs>
              <w:tab w:val="right" w:leader="dot" w:pos="9016"/>
            </w:tabs>
            <w:rPr>
              <w:rFonts w:eastAsiaTheme="minorEastAsia"/>
              <w:noProof/>
              <w:lang w:eastAsia="en-GB"/>
            </w:rPr>
          </w:pPr>
          <w:hyperlink w:anchor="_Toc211233981" w:history="1">
            <w:r w:rsidRPr="0026419C">
              <w:rPr>
                <w:rStyle w:val="Hyperlink"/>
                <w:rFonts w:ascii="Aptos" w:eastAsia="Aptos" w:hAnsi="Aptos" w:cs="Aptos"/>
                <w:b/>
                <w:bCs/>
                <w:noProof/>
              </w:rPr>
              <w:t>Self-Management Approaches</w:t>
            </w:r>
            <w:r>
              <w:rPr>
                <w:noProof/>
                <w:webHidden/>
              </w:rPr>
              <w:tab/>
            </w:r>
            <w:r>
              <w:rPr>
                <w:noProof/>
                <w:webHidden/>
              </w:rPr>
              <w:fldChar w:fldCharType="begin"/>
            </w:r>
            <w:r>
              <w:rPr>
                <w:noProof/>
                <w:webHidden/>
              </w:rPr>
              <w:instrText xml:space="preserve"> PAGEREF _Toc211233981 \h </w:instrText>
            </w:r>
            <w:r>
              <w:rPr>
                <w:noProof/>
                <w:webHidden/>
              </w:rPr>
            </w:r>
            <w:r>
              <w:rPr>
                <w:noProof/>
                <w:webHidden/>
              </w:rPr>
              <w:fldChar w:fldCharType="separate"/>
            </w:r>
            <w:r>
              <w:rPr>
                <w:noProof/>
                <w:webHidden/>
              </w:rPr>
              <w:t>15</w:t>
            </w:r>
            <w:r>
              <w:rPr>
                <w:noProof/>
                <w:webHidden/>
              </w:rPr>
              <w:fldChar w:fldCharType="end"/>
            </w:r>
          </w:hyperlink>
        </w:p>
        <w:p w14:paraId="23946A99" w14:textId="77777777" w:rsidR="00451749" w:rsidRDefault="00451749">
          <w:pPr>
            <w:pStyle w:val="TOC3"/>
            <w:tabs>
              <w:tab w:val="right" w:leader="dot" w:pos="9016"/>
            </w:tabs>
            <w:rPr>
              <w:rFonts w:eastAsiaTheme="minorEastAsia"/>
              <w:noProof/>
              <w:lang w:eastAsia="en-GB"/>
            </w:rPr>
          </w:pPr>
          <w:hyperlink w:anchor="_Toc211233982" w:history="1">
            <w:r w:rsidRPr="0026419C">
              <w:rPr>
                <w:rStyle w:val="Hyperlink"/>
                <w:rFonts w:ascii="Aptos" w:eastAsia="Aptos" w:hAnsi="Aptos" w:cs="Aptos"/>
                <w:b/>
                <w:bCs/>
                <w:noProof/>
              </w:rPr>
              <w:t>End-of-Life Care Considerations</w:t>
            </w:r>
            <w:r>
              <w:rPr>
                <w:noProof/>
                <w:webHidden/>
              </w:rPr>
              <w:tab/>
            </w:r>
            <w:r>
              <w:rPr>
                <w:noProof/>
                <w:webHidden/>
              </w:rPr>
              <w:fldChar w:fldCharType="begin"/>
            </w:r>
            <w:r>
              <w:rPr>
                <w:noProof/>
                <w:webHidden/>
              </w:rPr>
              <w:instrText xml:space="preserve"> PAGEREF _Toc211233982 \h </w:instrText>
            </w:r>
            <w:r>
              <w:rPr>
                <w:noProof/>
                <w:webHidden/>
              </w:rPr>
            </w:r>
            <w:r>
              <w:rPr>
                <w:noProof/>
                <w:webHidden/>
              </w:rPr>
              <w:fldChar w:fldCharType="separate"/>
            </w:r>
            <w:r>
              <w:rPr>
                <w:noProof/>
                <w:webHidden/>
              </w:rPr>
              <w:t>16</w:t>
            </w:r>
            <w:r>
              <w:rPr>
                <w:noProof/>
                <w:webHidden/>
              </w:rPr>
              <w:fldChar w:fldCharType="end"/>
            </w:r>
          </w:hyperlink>
        </w:p>
        <w:p w14:paraId="0FCA3C16" w14:textId="77777777" w:rsidR="00451749" w:rsidRDefault="00451749">
          <w:pPr>
            <w:pStyle w:val="TOC3"/>
            <w:tabs>
              <w:tab w:val="right" w:leader="dot" w:pos="9016"/>
            </w:tabs>
            <w:rPr>
              <w:rFonts w:eastAsiaTheme="minorEastAsia"/>
              <w:noProof/>
              <w:lang w:eastAsia="en-GB"/>
            </w:rPr>
          </w:pPr>
          <w:hyperlink w:anchor="_Toc211233983" w:history="1">
            <w:r w:rsidRPr="0026419C">
              <w:rPr>
                <w:rStyle w:val="Hyperlink"/>
                <w:rFonts w:ascii="Aptos" w:eastAsia="Aptos" w:hAnsi="Aptos" w:cs="Aptos"/>
                <w:b/>
                <w:bCs/>
                <w:noProof/>
              </w:rPr>
              <w:t>Critical Evaluation</w:t>
            </w:r>
            <w:r>
              <w:rPr>
                <w:noProof/>
                <w:webHidden/>
              </w:rPr>
              <w:tab/>
            </w:r>
            <w:r>
              <w:rPr>
                <w:noProof/>
                <w:webHidden/>
              </w:rPr>
              <w:fldChar w:fldCharType="begin"/>
            </w:r>
            <w:r>
              <w:rPr>
                <w:noProof/>
                <w:webHidden/>
              </w:rPr>
              <w:instrText xml:space="preserve"> PAGEREF _Toc211233983 \h </w:instrText>
            </w:r>
            <w:r>
              <w:rPr>
                <w:noProof/>
                <w:webHidden/>
              </w:rPr>
            </w:r>
            <w:r>
              <w:rPr>
                <w:noProof/>
                <w:webHidden/>
              </w:rPr>
              <w:fldChar w:fldCharType="separate"/>
            </w:r>
            <w:r>
              <w:rPr>
                <w:noProof/>
                <w:webHidden/>
              </w:rPr>
              <w:t>17</w:t>
            </w:r>
            <w:r>
              <w:rPr>
                <w:noProof/>
                <w:webHidden/>
              </w:rPr>
              <w:fldChar w:fldCharType="end"/>
            </w:r>
          </w:hyperlink>
        </w:p>
        <w:p w14:paraId="5C6FDCED" w14:textId="77777777" w:rsidR="00451749" w:rsidRDefault="00451749">
          <w:pPr>
            <w:pStyle w:val="TOC1"/>
            <w:tabs>
              <w:tab w:val="right" w:leader="dot" w:pos="9016"/>
            </w:tabs>
            <w:rPr>
              <w:rFonts w:eastAsiaTheme="minorEastAsia"/>
              <w:noProof/>
              <w:lang w:eastAsia="en-GB"/>
            </w:rPr>
          </w:pPr>
          <w:hyperlink w:anchor="_Toc211233984" w:history="1">
            <w:r w:rsidRPr="0026419C">
              <w:rPr>
                <w:rStyle w:val="Hyperlink"/>
                <w:noProof/>
              </w:rPr>
              <w:t>Recommendations and Conclusion</w:t>
            </w:r>
            <w:r>
              <w:rPr>
                <w:noProof/>
                <w:webHidden/>
              </w:rPr>
              <w:tab/>
            </w:r>
            <w:r>
              <w:rPr>
                <w:noProof/>
                <w:webHidden/>
              </w:rPr>
              <w:fldChar w:fldCharType="begin"/>
            </w:r>
            <w:r>
              <w:rPr>
                <w:noProof/>
                <w:webHidden/>
              </w:rPr>
              <w:instrText xml:space="preserve"> PAGEREF _Toc211233984 \h </w:instrText>
            </w:r>
            <w:r>
              <w:rPr>
                <w:noProof/>
                <w:webHidden/>
              </w:rPr>
            </w:r>
            <w:r>
              <w:rPr>
                <w:noProof/>
                <w:webHidden/>
              </w:rPr>
              <w:fldChar w:fldCharType="separate"/>
            </w:r>
            <w:r>
              <w:rPr>
                <w:noProof/>
                <w:webHidden/>
              </w:rPr>
              <w:t>17</w:t>
            </w:r>
            <w:r>
              <w:rPr>
                <w:noProof/>
                <w:webHidden/>
              </w:rPr>
              <w:fldChar w:fldCharType="end"/>
            </w:r>
          </w:hyperlink>
        </w:p>
        <w:p w14:paraId="4A7B4E22" w14:textId="77777777" w:rsidR="00451749" w:rsidRDefault="00451749">
          <w:pPr>
            <w:pStyle w:val="TOC1"/>
            <w:tabs>
              <w:tab w:val="right" w:leader="dot" w:pos="9016"/>
            </w:tabs>
            <w:rPr>
              <w:rFonts w:eastAsiaTheme="minorEastAsia"/>
              <w:noProof/>
              <w:lang w:eastAsia="en-GB"/>
            </w:rPr>
          </w:pPr>
          <w:hyperlink w:anchor="_Toc211233985" w:history="1">
            <w:r w:rsidRPr="0026419C">
              <w:rPr>
                <w:rStyle w:val="Hyperlink"/>
                <w:noProof/>
              </w:rPr>
              <w:t>Conclusion</w:t>
            </w:r>
            <w:r>
              <w:rPr>
                <w:noProof/>
                <w:webHidden/>
              </w:rPr>
              <w:tab/>
            </w:r>
            <w:r>
              <w:rPr>
                <w:noProof/>
                <w:webHidden/>
              </w:rPr>
              <w:fldChar w:fldCharType="begin"/>
            </w:r>
            <w:r>
              <w:rPr>
                <w:noProof/>
                <w:webHidden/>
              </w:rPr>
              <w:instrText xml:space="preserve"> PAGEREF _Toc211233985 \h </w:instrText>
            </w:r>
            <w:r>
              <w:rPr>
                <w:noProof/>
                <w:webHidden/>
              </w:rPr>
            </w:r>
            <w:r>
              <w:rPr>
                <w:noProof/>
                <w:webHidden/>
              </w:rPr>
              <w:fldChar w:fldCharType="separate"/>
            </w:r>
            <w:r>
              <w:rPr>
                <w:noProof/>
                <w:webHidden/>
              </w:rPr>
              <w:t>19</w:t>
            </w:r>
            <w:r>
              <w:rPr>
                <w:noProof/>
                <w:webHidden/>
              </w:rPr>
              <w:fldChar w:fldCharType="end"/>
            </w:r>
          </w:hyperlink>
        </w:p>
        <w:p w14:paraId="7771469D" w14:textId="77777777" w:rsidR="00E62D51" w:rsidRPr="00E74B8A" w:rsidRDefault="00E62D51">
          <w:pPr>
            <w:rPr>
              <w:sz w:val="22"/>
              <w:szCs w:val="22"/>
            </w:rPr>
          </w:pPr>
          <w:r w:rsidRPr="00E74B8A">
            <w:rPr>
              <w:b/>
              <w:bCs/>
              <w:noProof/>
              <w:sz w:val="22"/>
              <w:szCs w:val="22"/>
            </w:rPr>
            <w:fldChar w:fldCharType="end"/>
          </w:r>
        </w:p>
      </w:sdtContent>
    </w:sdt>
    <w:p w14:paraId="36B062CC" w14:textId="77777777" w:rsidR="00080175" w:rsidRDefault="00630C44" w:rsidP="00080175">
      <w:pPr>
        <w:pStyle w:val="Heading1"/>
        <w:rPr>
          <w:color w:val="auto"/>
        </w:rPr>
      </w:pPr>
      <w:r w:rsidRPr="00534FA3">
        <w:rPr>
          <w:noProof/>
          <w:color w:val="auto"/>
        </w:rPr>
        <w:lastRenderedPageBreak/>
        <mc:AlternateContent>
          <mc:Choice Requires="wps">
            <w:drawing>
              <wp:anchor distT="0" distB="0" distL="114300" distR="114300" simplePos="0" relativeHeight="251658243" behindDoc="0" locked="0" layoutInCell="1" allowOverlap="1" wp14:anchorId="5A83C948" wp14:editId="48FB8EC2">
                <wp:simplePos x="0" y="0"/>
                <wp:positionH relativeFrom="column">
                  <wp:posOffset>0</wp:posOffset>
                </wp:positionH>
                <wp:positionV relativeFrom="paragraph">
                  <wp:posOffset>0</wp:posOffset>
                </wp:positionV>
                <wp:extent cx="5943600" cy="2225040"/>
                <wp:effectExtent l="0" t="0" r="0" b="3810"/>
                <wp:wrapSquare wrapText="bothSides"/>
                <wp:docPr id="579187649" name="Text Box 1"/>
                <wp:cNvGraphicFramePr/>
                <a:graphic xmlns:a="http://schemas.openxmlformats.org/drawingml/2006/main">
                  <a:graphicData uri="http://schemas.microsoft.com/office/word/2010/wordprocessingShape">
                    <wps:wsp>
                      <wps:cNvSpPr txBox="1"/>
                      <wps:spPr>
                        <a:xfrm>
                          <a:off x="0" y="0"/>
                          <a:ext cx="5943600" cy="2225040"/>
                        </a:xfrm>
                        <a:prstGeom prst="rect">
                          <a:avLst/>
                        </a:prstGeom>
                        <a:noFill/>
                        <a:ln>
                          <a:noFill/>
                        </a:ln>
                      </wps:spPr>
                      <wps:txbx>
                        <w:txbxContent>
                          <w:p w14:paraId="0A42DC10" w14:textId="77777777" w:rsidR="0059583D" w:rsidRPr="00630C44" w:rsidRDefault="0059583D" w:rsidP="00630C44">
                            <w:pPr>
                              <w:jc w:val="center"/>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bookmarkStart w:id="0" w:name="_Toc211233960"/>
                            <w:r w:rsidRPr="00630C44">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An Information Booklet for Adults Over 45 Living Well with Osteoarthritis:</w:t>
                            </w:r>
                            <w:bookmarkEnd w:id="0"/>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A83C948" id="_x0000_s1027" type="#_x0000_t202" style="position:absolute;margin-left:0;margin-top:0;width:468pt;height:175.2pt;z-index:251658243;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" filled="f" stroked="f">
                <v:textbox style="mso-fit-shape-to-text:t">
                  <w:txbxContent>
                    <w:p w14:paraId="0A42DC10" w14:textId="77777777" w:rsidR="0059583D" w:rsidRPr="00630C44" w:rsidRDefault="0059583D" w:rsidP="00630C44">
                      <w:pPr>
                        <w:jc w:val="center"/>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bookmarkStart w:id="1" w:name="_Toc211233960"/>
                      <w:r w:rsidRPr="00630C44">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An Information Booklet for Adults Over 45 Living Well with Osteoarthritis:</w:t>
                      </w:r>
                      <w:bookmarkEnd w:id="1"/>
                    </w:p>
                  </w:txbxContent>
                </v:textbox>
                <w10:wrap type="square"/>
              </v:shape>
            </w:pict>
          </mc:Fallback>
        </mc:AlternateContent>
      </w:r>
      <w:bookmarkStart w:id="2" w:name="_Toc480742443"/>
      <w:r w:rsidR="00443D0D" w:rsidRPr="00534FA3">
        <w:rPr>
          <w:color w:val="auto"/>
        </w:rPr>
        <w:t>Introduction</w:t>
      </w:r>
      <w:bookmarkStart w:id="3" w:name="_Toc855205163"/>
      <w:bookmarkStart w:id="4" w:name="_Toc211233961"/>
      <w:bookmarkEnd w:id="2"/>
    </w:p>
    <w:p w14:paraId="171AE50B" w14:textId="219A475C" w:rsidR="00080175" w:rsidRPr="00080175" w:rsidRDefault="00080175" w:rsidP="00080175">
      <w:pPr>
        <w:pStyle w:val="Heading1"/>
        <w:rPr>
          <w:color w:val="auto"/>
        </w:rPr>
      </w:pPr>
      <w:r w:rsidRPr="00080175">
        <w:rPr>
          <w:rFonts w:asciiTheme="minorHAnsi" w:hAnsiTheme="minorHAnsi"/>
          <w:color w:val="auto"/>
          <w:sz w:val="24"/>
          <w:szCs w:val="24"/>
        </w:rPr>
        <w:t>There are over 100 types of arthritis, including osteoarthritis (OA), rheumatoid arthritis, psoriatic arthritis, gout, lupus, and juvenile idiopathic arthritis. Each affects joints differently, causing pain and stiffness (Arthritis Foundation, 2025). This booklet focuses on OA. OA is a major chronic condition impacting people over 45 in the UK and globally (Versus Arthritis, 2020). Formerly seen as “wear and tear,” it is now understood as a complex joint disease involving cartilage, bone, ligaments, and muscles (NICE, 2022). Its progression often results in persistent pain, stiffness, and reduced mobility, making tasks like walking, climbing stairs, and gardening challenging (NHS, 2023). This booklet aims to empower individuals aged 45+ with a clearer understanding of OA and its management. It explores OA’s nature, prevalence, and causes, alongside its impact on physical health, emotional wellbeing, and family life (Mayo Clinic, 2025). It reviews NHS treatments, evaluates their effectiveness, and highlights self-management strategies, person-centred care, and informal carers. It also examines UK and global models for long-term condition management and health policies (NHS, 2025), offering evidence-based reassurance that people with OA can lead active, fulfilling lives (Versus Arthritis, 2021).</w:t>
      </w:r>
    </w:p>
    <w:p w14:paraId="24B169A5" w14:textId="777D25AA" w:rsidR="00031C40" w:rsidRPr="005A77FA" w:rsidRDefault="00031C40" w:rsidP="009C1DC8">
      <w:pPr>
        <w:pStyle w:val="Heading1"/>
        <w:rPr>
          <w:b/>
          <w:bCs/>
          <w:color w:val="auto"/>
          <w:sz w:val="28"/>
          <w:szCs w:val="28"/>
        </w:rPr>
      </w:pPr>
      <w:r w:rsidRPr="005A77FA">
        <w:rPr>
          <w:b/>
          <w:bCs/>
          <w:color w:val="auto"/>
          <w:sz w:val="28"/>
          <w:szCs w:val="28"/>
        </w:rPr>
        <w:t>Understanding Osteoarthritis</w:t>
      </w:r>
      <w:bookmarkEnd w:id="3"/>
      <w:bookmarkEnd w:id="4"/>
    </w:p>
    <w:p w14:paraId="452E938B" w14:textId="77777777" w:rsidR="00663C27" w:rsidRPr="00663C27" w:rsidRDefault="00663C27" w:rsidP="00B6070A">
      <w:pPr>
        <w:spacing w:line="360" w:lineRule="auto"/>
        <w:jc w:val="both"/>
      </w:pPr>
      <w:r w:rsidRPr="00663C27">
        <w:t>Osteoarthritis is a chronic musculoskeletal disorder involving the gradual breakdown of joint cartilage and underlying bone, most often affecting the knees, hips, hands, and spine (World Health Organisation, 2023). Unlike rheumatoid arthritis, it develops through mechanical and biological processes that impair joint integrity, leading to pain, stiffness, reduced mobility, and occasional swelling (Hunter, 2019; NICE, 2022).</w:t>
      </w:r>
    </w:p>
    <w:p w14:paraId="26DF029B" w14:textId="77777777" w:rsidR="00031C40" w:rsidRDefault="00FA1738" w:rsidP="009C1DC8">
      <w:pPr>
        <w:pStyle w:val="Heading1"/>
        <w:rPr>
          <w:b/>
          <w:bCs/>
          <w:color w:val="auto"/>
          <w:sz w:val="28"/>
          <w:szCs w:val="28"/>
        </w:rPr>
      </w:pPr>
      <w:bookmarkStart w:id="5" w:name="_Toc2142519156"/>
      <w:bookmarkStart w:id="6" w:name="_Toc211233962"/>
      <w:r w:rsidRPr="005A77FA">
        <w:rPr>
          <w:b/>
          <w:bCs/>
          <w:color w:val="auto"/>
          <w:sz w:val="28"/>
          <w:szCs w:val="28"/>
        </w:rPr>
        <w:lastRenderedPageBreak/>
        <w:t xml:space="preserve">Global </w:t>
      </w:r>
      <w:r w:rsidR="00031C40" w:rsidRPr="005A77FA">
        <w:rPr>
          <w:b/>
          <w:bCs/>
          <w:color w:val="auto"/>
          <w:sz w:val="28"/>
          <w:szCs w:val="28"/>
        </w:rPr>
        <w:t>Burden and Prevalence</w:t>
      </w:r>
      <w:bookmarkEnd w:id="5"/>
      <w:bookmarkEnd w:id="6"/>
    </w:p>
    <w:p w14:paraId="196EC752" w14:textId="0E48E0B1" w:rsidR="007C16CA" w:rsidRPr="007C16CA" w:rsidRDefault="007C16CA" w:rsidP="007C16CA">
      <w:pPr>
        <w:spacing w:line="360" w:lineRule="auto"/>
        <w:jc w:val="both"/>
      </w:pPr>
      <w:r w:rsidRPr="007C16CA">
        <w:t>Osteoarthritis is the most common form of arthritis globally and a leading cause of disability in older adults. WHO (2023) reports that musculoskeletal conditions, including OA, affect over 528 million people, with women and older adults most at risk. OA ranks among the top ten causes of disability (Vos et al., 2020), imposing significant health, social, and economic burdens. In the UK, around 8.75 million people have sought OA treatment, mainly for knees, hips, and hands (Versus Arthritis, 2019). It strains services through direct costs (GP visits, medications, physiotherapy, surgery) and indirect costs (lost productivity, informal care, reduced independence) (NHS Digital, 2021; National Joint Registry, 2022).</w:t>
      </w:r>
    </w:p>
    <w:p w14:paraId="0AB801D0" w14:textId="77264ED2" w:rsidR="00031C40" w:rsidRDefault="00031C40" w:rsidP="007D4274">
      <w:pPr>
        <w:pStyle w:val="Heading1"/>
        <w:spacing w:line="360" w:lineRule="auto"/>
        <w:jc w:val="both"/>
        <w:rPr>
          <w:b/>
          <w:bCs/>
          <w:color w:val="auto"/>
          <w:sz w:val="28"/>
          <w:szCs w:val="28"/>
        </w:rPr>
      </w:pPr>
      <w:bookmarkStart w:id="7" w:name="_Toc1836290013"/>
      <w:bookmarkStart w:id="8" w:name="_Toc211233963"/>
      <w:r w:rsidRPr="005A77FA">
        <w:rPr>
          <w:b/>
          <w:bCs/>
          <w:color w:val="auto"/>
          <w:sz w:val="28"/>
          <w:szCs w:val="28"/>
        </w:rPr>
        <w:t>Risk Factors and Aetiology</w:t>
      </w:r>
      <w:bookmarkEnd w:id="7"/>
      <w:bookmarkEnd w:id="8"/>
    </w:p>
    <w:p w14:paraId="5945EDBC" w14:textId="21570C6C" w:rsidR="00052F01" w:rsidRPr="00052F01" w:rsidRDefault="00052F01" w:rsidP="00052F01">
      <w:pPr>
        <w:spacing w:line="360" w:lineRule="auto"/>
        <w:jc w:val="both"/>
      </w:pPr>
      <w:r w:rsidRPr="00052F01">
        <w:t>Osteoarthritis (OA) is influenced by both modifiable and non-modifiable risk factors. Age is the strongest predictor, with risk increasing after 45 due to reduced cartilage resilience (</w:t>
      </w:r>
      <w:proofErr w:type="spellStart"/>
      <w:r w:rsidRPr="00052F01">
        <w:t>Litwic</w:t>
      </w:r>
      <w:proofErr w:type="spellEnd"/>
      <w:r w:rsidRPr="00052F01">
        <w:t xml:space="preserve"> et al., 2013). Women are disproportionately affected post-menopause, suggesting hormonal involvement (Srikanth et al., 2005). Genetic predisposition also contributes, particularly in cases of hand and hip OA (</w:t>
      </w:r>
      <w:proofErr w:type="spellStart"/>
      <w:r w:rsidRPr="00052F01">
        <w:t>Zengini</w:t>
      </w:r>
      <w:proofErr w:type="spellEnd"/>
      <w:r w:rsidRPr="00052F01">
        <w:t>, Finan and Wilkinson, 2016). Obesity exacerbates OA by overloading joints and promoting systemic inflammation (Vincent et al., 2012). Additional risks include joint injuries that impair cartilage or alignment (NICE, 2022), and occupations involving heavy lifting, kneeling, or prolonged standing (Palmer, 2012). Although often labelled degenerative, OA is now recognised as a complex condition involving mechanical, metabolic, inflammatory, and genetic factors (Hunter, 2019). This evolving understanding has shifted clinical priorities toward prevention and early intervention, beyond symptom management.</w:t>
      </w:r>
    </w:p>
    <w:p w14:paraId="64317E08" w14:textId="77777777" w:rsidR="47875F7E" w:rsidRDefault="71BDF725" w:rsidP="00021EA3">
      <w:pPr>
        <w:pStyle w:val="Heading1"/>
        <w:rPr>
          <w:b/>
          <w:bCs/>
          <w:color w:val="auto"/>
          <w:sz w:val="28"/>
          <w:szCs w:val="28"/>
        </w:rPr>
      </w:pPr>
      <w:bookmarkStart w:id="9" w:name="_Toc1609254351"/>
      <w:bookmarkStart w:id="10" w:name="_Toc211233964"/>
      <w:r w:rsidRPr="005A77FA">
        <w:rPr>
          <w:b/>
          <w:bCs/>
          <w:color w:val="auto"/>
          <w:sz w:val="28"/>
          <w:szCs w:val="28"/>
        </w:rPr>
        <w:t>Physical Implications</w:t>
      </w:r>
      <w:bookmarkEnd w:id="9"/>
      <w:bookmarkEnd w:id="10"/>
    </w:p>
    <w:p w14:paraId="0C555B2E" w14:textId="0DF98041" w:rsidR="00411C08" w:rsidRPr="00411C08" w:rsidRDefault="00411C08" w:rsidP="00411C08">
      <w:pPr>
        <w:spacing w:line="360" w:lineRule="auto"/>
        <w:jc w:val="both"/>
      </w:pPr>
      <w:r w:rsidRPr="00411C08">
        <w:t xml:space="preserve">Osteoarthritis  significantly affects physical health and daily functioning. Core symptoms such as pain, stiffness, and limited joint mobility can reduce independence and restrict movement (Versus Arthritis, 2020). These challenges typically progress over time, making once-routine tasks like getting out from a chair, climbing stairs, or walking short distances increasingly difficult (NICE, 2022). The impact of OA extends beyond the affected joint; </w:t>
      </w:r>
      <w:r w:rsidRPr="00411C08">
        <w:lastRenderedPageBreak/>
        <w:t>reduced mobility may contribute to muscle atrophy, weight gain, cardiovascular decline, and a broader deterioration in physical wellbeing (Hunter, 2019).</w:t>
      </w:r>
    </w:p>
    <w:p w14:paraId="5D35ABE3" w14:textId="77777777" w:rsidR="47875F7E" w:rsidRPr="005A77FA" w:rsidRDefault="71BDF725" w:rsidP="564FCD8F">
      <w:pPr>
        <w:pStyle w:val="Heading3"/>
        <w:spacing w:before="281" w:after="281"/>
        <w:rPr>
          <w:rFonts w:asciiTheme="majorHAnsi" w:eastAsia="Aptos" w:hAnsiTheme="majorHAnsi" w:cs="Aptos"/>
          <w:b/>
          <w:bCs/>
          <w:color w:val="auto"/>
        </w:rPr>
      </w:pPr>
      <w:bookmarkStart w:id="11" w:name="_Toc967053454"/>
      <w:bookmarkStart w:id="12" w:name="_Toc211233965"/>
      <w:r w:rsidRPr="005A77FA">
        <w:rPr>
          <w:rFonts w:asciiTheme="majorHAnsi" w:eastAsia="Aptos" w:hAnsiTheme="majorHAnsi" w:cs="Aptos"/>
          <w:b/>
          <w:bCs/>
          <w:color w:val="auto"/>
        </w:rPr>
        <w:t>Psychological Implications</w:t>
      </w:r>
      <w:bookmarkEnd w:id="11"/>
      <w:bookmarkEnd w:id="12"/>
    </w:p>
    <w:p w14:paraId="6F1013C8" w14:textId="77777777" w:rsidR="47875F7E" w:rsidRPr="00225D19" w:rsidRDefault="6BF58048" w:rsidP="00AD6A34">
      <w:pPr>
        <w:spacing w:before="240" w:after="240" w:line="360" w:lineRule="auto"/>
        <w:jc w:val="both"/>
        <w:rPr>
          <w:rFonts w:ascii="Aptos" w:eastAsia="Aptos" w:hAnsi="Aptos" w:cs="Aptos"/>
        </w:rPr>
      </w:pPr>
      <w:r w:rsidRPr="00225D19">
        <w:rPr>
          <w:rFonts w:ascii="Aptos" w:eastAsia="Aptos" w:hAnsi="Aptos" w:cs="Aptos"/>
        </w:rPr>
        <w:t>Falls risk is a significant concern in osteoarthritis  particularly among older adults. OA-related joint instability and altered gait patterns increases the likelihood of falls, which can lead to fractures, extended hospital stays, and further reductions in independence (Stubbs et al., 2015).</w:t>
      </w:r>
    </w:p>
    <w:p w14:paraId="56D3C435" w14:textId="77777777" w:rsidR="00F749AF" w:rsidRPr="00225D19" w:rsidRDefault="00750122" w:rsidP="00AD6A34">
      <w:pPr>
        <w:spacing w:line="360" w:lineRule="auto"/>
        <w:jc w:val="both"/>
        <w:rPr>
          <w:rFonts w:ascii="Aptos" w:eastAsia="Aptos" w:hAnsi="Aptos" w:cs="Aptos"/>
        </w:rPr>
      </w:pPr>
      <w:r w:rsidRPr="00225D19">
        <w:rPr>
          <w:rFonts w:ascii="Aptos" w:eastAsia="Aptos" w:hAnsi="Aptos" w:cs="Aptos"/>
        </w:rPr>
        <w:t>Uncertainty about the future can contribute to psychological distress in individuals with osteoarthritis</w:t>
      </w:r>
      <w:r w:rsidR="00A45BF9" w:rsidRPr="00A45BF9">
        <w:t xml:space="preserve"> </w:t>
      </w:r>
      <w:r w:rsidR="00A45BF9">
        <w:t>(</w:t>
      </w:r>
      <w:r w:rsidR="00A45BF9" w:rsidRPr="00A45BF9">
        <w:rPr>
          <w:rFonts w:ascii="Aptos" w:eastAsia="Aptos" w:hAnsi="Aptos" w:cs="Aptos"/>
        </w:rPr>
        <w:t>Stubbs et al., 2016)</w:t>
      </w:r>
      <w:r w:rsidRPr="00225D19">
        <w:rPr>
          <w:rFonts w:ascii="Aptos" w:eastAsia="Aptos" w:hAnsi="Aptos" w:cs="Aptos"/>
        </w:rPr>
        <w:t>. As a progressive condition with no current cure, OA often prompts concerns about increasing disability or the potential need for surgical intervention</w:t>
      </w:r>
      <w:r w:rsidR="00444042" w:rsidRPr="00225D19">
        <w:rPr>
          <w:rFonts w:ascii="Aptos" w:eastAsia="Aptos" w:hAnsi="Aptos" w:cs="Aptos"/>
        </w:rPr>
        <w:t xml:space="preserve"> </w:t>
      </w:r>
      <w:r w:rsidRPr="00225D19">
        <w:rPr>
          <w:rFonts w:ascii="Aptos" w:eastAsia="Aptos" w:hAnsi="Aptos" w:cs="Aptos"/>
        </w:rPr>
        <w:t>factors that may lead to feelings of hopelessness and emotional strain (Bair et al., 2013).</w:t>
      </w:r>
    </w:p>
    <w:p w14:paraId="151B1C78" w14:textId="77777777" w:rsidR="006576FF" w:rsidRDefault="71BDF725" w:rsidP="004B1E8E">
      <w:pPr>
        <w:pStyle w:val="Heading3"/>
        <w:spacing w:before="281" w:after="281"/>
        <w:rPr>
          <w:rFonts w:asciiTheme="majorHAnsi" w:eastAsia="Aptos" w:hAnsiTheme="majorHAnsi" w:cs="Aptos"/>
          <w:b/>
          <w:bCs/>
          <w:color w:val="auto"/>
        </w:rPr>
      </w:pPr>
      <w:bookmarkStart w:id="13" w:name="_Toc1211412887"/>
      <w:bookmarkStart w:id="14" w:name="_Toc211233966"/>
      <w:r w:rsidRPr="005A77FA">
        <w:rPr>
          <w:rFonts w:asciiTheme="majorHAnsi" w:eastAsia="Aptos" w:hAnsiTheme="majorHAnsi" w:cs="Aptos"/>
          <w:b/>
          <w:bCs/>
          <w:color w:val="auto"/>
        </w:rPr>
        <w:t>Social Implications</w:t>
      </w:r>
      <w:bookmarkEnd w:id="13"/>
      <w:bookmarkEnd w:id="14"/>
    </w:p>
    <w:p w14:paraId="7DDC7391" w14:textId="309E55C1" w:rsidR="00411C08" w:rsidRPr="00411C08" w:rsidRDefault="00411C08" w:rsidP="00411C08">
      <w:pPr>
        <w:spacing w:line="360" w:lineRule="auto"/>
        <w:jc w:val="both"/>
      </w:pPr>
      <w:r w:rsidRPr="00411C08">
        <w:t>Osteoarthritis</w:t>
      </w:r>
      <w:r>
        <w:t xml:space="preserve"> </w:t>
      </w:r>
      <w:r w:rsidRPr="00411C08">
        <w:t>can significantly affect social engagement and interpersonal relationships. Mobility limitations may hinder individuals from maintaining friendships, participating in community life, or remaining in employment (Versus Arthritis, 2020). These restrictions often lead to social isolation, which can negatively impact psychological wellbeing (Griffith et al., 2018). Among working-age adults, OA is a major contributor to work-related disability, frequently resulting in reduced income and early retirement (Rice et al., 2018). OA also reshapes family roles, especially among older adults. Former caregivers may require support themselves, prompting shifts in family dynamics. Relatives often assume informal caregiving roles, introducing emotional, physical, and financial strain (NHS England, 2019).</w:t>
      </w:r>
    </w:p>
    <w:p w14:paraId="44A1C68E" w14:textId="77777777" w:rsidR="008663AA" w:rsidRPr="005A77FA" w:rsidRDefault="71BDF725" w:rsidP="008663AA">
      <w:pPr>
        <w:pStyle w:val="Heading3"/>
        <w:spacing w:before="281" w:after="281"/>
        <w:rPr>
          <w:rFonts w:asciiTheme="majorHAnsi" w:eastAsia="Aptos" w:hAnsiTheme="majorHAnsi" w:cs="Aptos"/>
          <w:b/>
          <w:bCs/>
          <w:color w:val="auto"/>
        </w:rPr>
      </w:pPr>
      <w:bookmarkStart w:id="15" w:name="_Toc686420083"/>
      <w:bookmarkStart w:id="16" w:name="_Toc211233967"/>
      <w:r w:rsidRPr="005A77FA">
        <w:rPr>
          <w:rFonts w:asciiTheme="majorHAnsi" w:eastAsia="Aptos" w:hAnsiTheme="majorHAnsi" w:cs="Aptos"/>
          <w:b/>
          <w:bCs/>
          <w:color w:val="auto"/>
        </w:rPr>
        <w:t>Wider Implications for Families and Carers</w:t>
      </w:r>
      <w:bookmarkEnd w:id="15"/>
      <w:bookmarkEnd w:id="16"/>
    </w:p>
    <w:p w14:paraId="7B3C2AE4" w14:textId="0A7F2B9C" w:rsidR="0043109C" w:rsidRPr="0043109C" w:rsidRDefault="0043109C" w:rsidP="0043109C">
      <w:pPr>
        <w:spacing w:line="360" w:lineRule="auto"/>
        <w:jc w:val="both"/>
      </w:pPr>
      <w:r w:rsidRPr="0043109C">
        <w:t>Families supporting individuals with osteoarthritis often face a dual burden</w:t>
      </w:r>
      <w:r>
        <w:t xml:space="preserve"> </w:t>
      </w:r>
      <w:r w:rsidRPr="0043109C">
        <w:t xml:space="preserve">providing care while managing personal and professional responsibilities. Spouses and adult children frequently assist with shopping, domestic tasks, and personal care, which can lead to emotional strain, physical exhaustion, and resentment when support is </w:t>
      </w:r>
      <w:r w:rsidRPr="0043109C">
        <w:lastRenderedPageBreak/>
        <w:t>insufficient (Greenwood et al., 2019). Carers are at risk of poorer physical and mental health due to sustained caregiving demands and may need tailored support services, respite care, and financial assistance (Carers UK, 2021). OA extends beyond joint pathology, impacting physical, psychological, and social domains. Recognising this multidimensional burden is vital to ensure care strategies address not only clinical symptoms but also the broader, holistic needs of individuals and their families (NHS, 2023).</w:t>
      </w:r>
    </w:p>
    <w:p w14:paraId="3DE04C3B" w14:textId="4F0F1160" w:rsidR="47875F7E" w:rsidRPr="005A77FA" w:rsidRDefault="71BDF725" w:rsidP="009227A7">
      <w:pPr>
        <w:spacing w:line="360" w:lineRule="auto"/>
        <w:jc w:val="both"/>
        <w:rPr>
          <w:rFonts w:asciiTheme="majorHAnsi" w:hAnsiTheme="majorHAnsi"/>
          <w:sz w:val="28"/>
          <w:szCs w:val="28"/>
        </w:rPr>
      </w:pPr>
      <w:r w:rsidRPr="005A77FA">
        <w:rPr>
          <w:rFonts w:asciiTheme="majorHAnsi" w:eastAsia="Aptos" w:hAnsiTheme="majorHAnsi" w:cs="Aptos"/>
          <w:b/>
          <w:bCs/>
          <w:sz w:val="28"/>
          <w:szCs w:val="28"/>
        </w:rPr>
        <w:t>Evidence-Based Treatments Available in the UK (NHS)</w:t>
      </w:r>
    </w:p>
    <w:p w14:paraId="60D95344" w14:textId="77777777" w:rsidR="47875F7E" w:rsidRPr="00225D19" w:rsidRDefault="71BDF725" w:rsidP="564FCD8F">
      <w:pPr>
        <w:pStyle w:val="Heading3"/>
        <w:spacing w:before="281" w:after="281"/>
        <w:rPr>
          <w:color w:val="auto"/>
        </w:rPr>
      </w:pPr>
      <w:bookmarkStart w:id="17" w:name="_Toc1339980996"/>
      <w:bookmarkStart w:id="18" w:name="_Toc211233968"/>
      <w:r w:rsidRPr="00225D19">
        <w:rPr>
          <w:rFonts w:ascii="Aptos" w:eastAsia="Aptos" w:hAnsi="Aptos" w:cs="Aptos"/>
          <w:color w:val="auto"/>
        </w:rPr>
        <w:t>Non-Pharmacological Treatments</w:t>
      </w:r>
      <w:bookmarkEnd w:id="17"/>
      <w:bookmarkEnd w:id="18"/>
    </w:p>
    <w:p w14:paraId="495F08E8" w14:textId="38875AD8" w:rsidR="00FF498C" w:rsidRPr="00F446E7" w:rsidRDefault="00ED5751" w:rsidP="00F446E7">
      <w:pPr>
        <w:spacing w:before="240" w:after="240" w:line="360" w:lineRule="auto"/>
        <w:jc w:val="both"/>
        <w:rPr>
          <w:rFonts w:eastAsia="Aptos" w:cs="Aptos"/>
        </w:rPr>
      </w:pPr>
      <w:r w:rsidRPr="00D0638B">
        <w:rPr>
          <w:rFonts w:eastAsia="Aptos" w:cs="Aptos"/>
        </w:rPr>
        <w:t>According to NICE guidelines (2022), non-pharmacological interventions should be prioritised as the first-line treatment for osteoarthritis. These strategies are designed to enhance joint function, alleviate pain, and support overall quality of life.</w:t>
      </w:r>
    </w:p>
    <w:p w14:paraId="49B9FE16" w14:textId="4E19A86C" w:rsidR="00EA0AB6" w:rsidRPr="00FA5E96" w:rsidRDefault="007D457C" w:rsidP="00D0638B">
      <w:pPr>
        <w:spacing w:line="360" w:lineRule="auto"/>
        <w:ind w:left="360"/>
        <w:jc w:val="both"/>
      </w:pPr>
      <w:r w:rsidRPr="00225D19">
        <w:rPr>
          <w:b/>
          <w:bCs/>
        </w:rPr>
        <w:t>Exercise</w:t>
      </w:r>
      <w:r w:rsidRPr="00225D19">
        <w:t xml:space="preserve">: Consistent, personalised physical activity </w:t>
      </w:r>
      <w:r w:rsidR="5009E61F" w:rsidRPr="00225D19">
        <w:t>still</w:t>
      </w:r>
      <w:r w:rsidRPr="00225D19">
        <w:t xml:space="preserve"> the most effective non-pharmacological intervention for osteoarthritis (Fransen et al.,</w:t>
      </w:r>
      <w:r w:rsidR="00A11AAF">
        <w:t xml:space="preserve"> </w:t>
      </w:r>
      <w:r w:rsidRPr="00225D19">
        <w:t>2015). Strengthening exercises enhance muscular support around affected joints, while aerobic activities contribute to weight control and cardiovascular health. Low-impact options</w:t>
      </w:r>
      <w:r w:rsidR="001E24CB" w:rsidRPr="00225D19">
        <w:t xml:space="preserve"> </w:t>
      </w:r>
      <w:r w:rsidRPr="00225D19">
        <w:t>such as swimming, cycling, and walking</w:t>
      </w:r>
      <w:r w:rsidR="00221BFC" w:rsidRPr="00225D19">
        <w:t xml:space="preserve"> </w:t>
      </w:r>
      <w:r w:rsidRPr="00225D19">
        <w:t xml:space="preserve">are especially recommended for </w:t>
      </w:r>
      <w:r w:rsidR="3129D7A3" w:rsidRPr="00225D19">
        <w:t>keeping</w:t>
      </w:r>
      <w:r w:rsidRPr="00225D19">
        <w:t xml:space="preserve"> joint function</w:t>
      </w:r>
      <w:r w:rsidR="006778C5" w:rsidRPr="00225D19">
        <w:t>.</w:t>
      </w:r>
    </w:p>
    <w:p w14:paraId="7F557E2F" w14:textId="77777777" w:rsidR="00E077D1" w:rsidRPr="00225D19" w:rsidRDefault="00E077D1" w:rsidP="00D0638B">
      <w:pPr>
        <w:spacing w:line="360" w:lineRule="auto"/>
        <w:ind w:left="360"/>
        <w:jc w:val="both"/>
      </w:pPr>
      <w:r w:rsidRPr="00225D19">
        <w:rPr>
          <w:b/>
          <w:bCs/>
        </w:rPr>
        <w:t>Weight management</w:t>
      </w:r>
      <w:r w:rsidRPr="00225D19">
        <w:t>: For individuals who are overweight or obese, even modest reductions in body weight can substantially decrease joint loading and alleviate pain in the knees and hips (Messier et al., 2013). The NHS offers weight management support through services such as dietitian referrals and structured weight-loss programmes.</w:t>
      </w:r>
    </w:p>
    <w:p w14:paraId="0DD6DC5F" w14:textId="77777777" w:rsidR="00BA28AA" w:rsidRPr="00225D19" w:rsidRDefault="00BA28AA" w:rsidP="00D0638B">
      <w:pPr>
        <w:spacing w:line="360" w:lineRule="auto"/>
        <w:ind w:left="360"/>
        <w:jc w:val="both"/>
      </w:pPr>
      <w:r w:rsidRPr="00225D19">
        <w:rPr>
          <w:b/>
          <w:bCs/>
        </w:rPr>
        <w:t>Physiotherapy and occupational therapy</w:t>
      </w:r>
      <w:r w:rsidRPr="00225D19">
        <w:t>: Physiotherapists deliver tailored exercise programmes and guidance on activity pacing to support joint function and symptom management. Occupational therapists may advise on joint protection techniques and recommend assistive devices</w:t>
      </w:r>
      <w:r w:rsidR="002A142B" w:rsidRPr="00225D19">
        <w:t xml:space="preserve"> </w:t>
      </w:r>
      <w:r w:rsidRPr="00225D19">
        <w:t>such as braces, splints, or adapted tools</w:t>
      </w:r>
      <w:r w:rsidR="00620A12" w:rsidRPr="00225D19">
        <w:t xml:space="preserve"> </w:t>
      </w:r>
      <w:r w:rsidRPr="00225D19">
        <w:t>to facilitate everyday tasks and maintain independence (NHS, 2022).</w:t>
      </w:r>
    </w:p>
    <w:p w14:paraId="06D0CF67" w14:textId="77777777" w:rsidR="00C85490" w:rsidRPr="00D0638B" w:rsidRDefault="004915A1" w:rsidP="00D0638B">
      <w:pPr>
        <w:spacing w:line="360" w:lineRule="auto"/>
        <w:ind w:left="360"/>
        <w:jc w:val="both"/>
      </w:pPr>
      <w:r w:rsidRPr="00225D19">
        <w:rPr>
          <w:b/>
          <w:bCs/>
        </w:rPr>
        <w:lastRenderedPageBreak/>
        <w:t>Education and self-management</w:t>
      </w:r>
      <w:r w:rsidRPr="00225D19">
        <w:t>: Patient education initiatives</w:t>
      </w:r>
      <w:r w:rsidR="00AE1FB3" w:rsidRPr="00225D19">
        <w:t xml:space="preserve"> </w:t>
      </w:r>
      <w:r w:rsidRPr="00225D19">
        <w:t>such as those facilitated by Versus Arthritis</w:t>
      </w:r>
      <w:r w:rsidR="00F4013D" w:rsidRPr="00225D19">
        <w:t xml:space="preserve"> </w:t>
      </w:r>
      <w:r w:rsidRPr="00225D19">
        <w:t xml:space="preserve">equip individuals with the knowledge to better understand osteoarthritis </w:t>
      </w:r>
      <w:r w:rsidR="00FB2C3C">
        <w:t>(</w:t>
      </w:r>
      <w:r w:rsidR="00FB2C3C" w:rsidRPr="00FB2C3C">
        <w:t>NICE, 2022)</w:t>
      </w:r>
      <w:r w:rsidRPr="00225D19">
        <w:t>, establish achievable goals, and adopt effective pain management techniques. Within the NHS, self-management is recognised as a cornerstone of long-term condition care, promoting autonomy and sustained wellbeing</w:t>
      </w:r>
      <w:r w:rsidR="005D6B1D">
        <w:t xml:space="preserve"> (</w:t>
      </w:r>
      <w:r w:rsidR="005D6B1D" w:rsidRPr="005D6B1D">
        <w:t>NHS, 2023</w:t>
      </w:r>
      <w:r w:rsidR="005D6B1D">
        <w:t>)</w:t>
      </w:r>
      <w:r w:rsidRPr="00225D19">
        <w:t>.</w:t>
      </w:r>
    </w:p>
    <w:p w14:paraId="13B16050" w14:textId="77777777" w:rsidR="47875F7E" w:rsidRPr="005A77FA" w:rsidRDefault="71BDF725" w:rsidP="564FCD8F">
      <w:pPr>
        <w:pStyle w:val="Heading3"/>
        <w:spacing w:before="281" w:after="281"/>
        <w:rPr>
          <w:rFonts w:asciiTheme="majorHAnsi" w:hAnsiTheme="majorHAnsi"/>
          <w:color w:val="auto"/>
        </w:rPr>
      </w:pPr>
      <w:bookmarkStart w:id="19" w:name="_Toc2079427459"/>
      <w:bookmarkStart w:id="20" w:name="_Toc211233969"/>
      <w:r w:rsidRPr="005A77FA">
        <w:rPr>
          <w:rFonts w:asciiTheme="majorHAnsi" w:eastAsia="Aptos" w:hAnsiTheme="majorHAnsi" w:cs="Aptos"/>
          <w:b/>
          <w:bCs/>
          <w:color w:val="auto"/>
        </w:rPr>
        <w:t>Pharmacological Treatments</w:t>
      </w:r>
      <w:bookmarkEnd w:id="19"/>
      <w:bookmarkEnd w:id="20"/>
    </w:p>
    <w:p w14:paraId="16C891E4" w14:textId="77777777" w:rsidR="47875F7E" w:rsidRPr="00225D19" w:rsidRDefault="71BDF725" w:rsidP="00686CB1">
      <w:pPr>
        <w:spacing w:before="240" w:after="240" w:line="360" w:lineRule="auto"/>
        <w:jc w:val="both"/>
        <w:rPr>
          <w:rFonts w:ascii="Aptos" w:eastAsia="Aptos" w:hAnsi="Aptos" w:cs="Aptos"/>
        </w:rPr>
      </w:pPr>
      <w:r w:rsidRPr="00225D19">
        <w:rPr>
          <w:rFonts w:ascii="Aptos" w:eastAsia="Aptos" w:hAnsi="Aptos" w:cs="Aptos"/>
        </w:rPr>
        <w:t>Wh</w:t>
      </w:r>
      <w:r w:rsidR="0066728C">
        <w:rPr>
          <w:rFonts w:ascii="Aptos" w:eastAsia="Aptos" w:hAnsi="Aptos" w:cs="Aptos"/>
        </w:rPr>
        <w:t>ile</w:t>
      </w:r>
      <w:r w:rsidRPr="00225D19">
        <w:rPr>
          <w:rFonts w:ascii="Aptos" w:eastAsia="Aptos" w:hAnsi="Aptos" w:cs="Aptos"/>
        </w:rPr>
        <w:t xml:space="preserve"> lifestyle measures are insufficient, pharmacological interventions may be introduced:</w:t>
      </w:r>
    </w:p>
    <w:p w14:paraId="774F8A7C" w14:textId="77777777" w:rsidR="00A5138B" w:rsidRDefault="00E84E43" w:rsidP="00686CB1">
      <w:pPr>
        <w:spacing w:before="240" w:after="240" w:line="360" w:lineRule="auto"/>
        <w:jc w:val="both"/>
      </w:pPr>
      <w:r w:rsidRPr="00225D19">
        <w:rPr>
          <w:b/>
          <w:bCs/>
        </w:rPr>
        <w:t>Analgesics</w:t>
      </w:r>
      <w:r w:rsidRPr="00225D19">
        <w:t xml:space="preserve">: Paracetamol has historically been used to manage osteoarthritis pain; however, recent NICE guidelines </w:t>
      </w:r>
      <w:r w:rsidR="2E62769B" w:rsidRPr="00225D19">
        <w:t>recommend</w:t>
      </w:r>
      <w:r w:rsidRPr="00225D19">
        <w:t xml:space="preserve"> against its routine use due to limited clinical efficacy (NICE, 2022).</w:t>
      </w:r>
    </w:p>
    <w:p w14:paraId="1E2BD115" w14:textId="4180A5CB" w:rsidR="0014545A" w:rsidRPr="00225D19" w:rsidRDefault="00E84E43" w:rsidP="00686CB1">
      <w:pPr>
        <w:spacing w:before="240" w:after="240" w:line="360" w:lineRule="auto"/>
        <w:jc w:val="both"/>
      </w:pPr>
      <w:r w:rsidRPr="00225D19">
        <w:rPr>
          <w:b/>
          <w:bCs/>
        </w:rPr>
        <w:t>Non-steroidal anti-inflammatory drugs (NSAIDs)</w:t>
      </w:r>
      <w:r w:rsidRPr="00225D19">
        <w:t>: Topical and oral NSAIDs</w:t>
      </w:r>
      <w:r w:rsidR="000300DA">
        <w:t xml:space="preserve"> </w:t>
      </w:r>
      <w:r w:rsidRPr="00225D19">
        <w:t>such as ibuprofen and naproxen</w:t>
      </w:r>
      <w:r w:rsidR="000300DA">
        <w:t xml:space="preserve"> </w:t>
      </w:r>
      <w:r w:rsidRPr="00225D19">
        <w:t xml:space="preserve">are </w:t>
      </w:r>
      <w:r w:rsidR="5ADD877F" w:rsidRPr="00225D19">
        <w:t>regularly</w:t>
      </w:r>
      <w:r w:rsidRPr="00225D19">
        <w:t xml:space="preserve"> prescribed for symptom relief. While effective in reducing pain and inflammation, they carry risks of gastrointestinal, renal, and cardiovascular adverse effects, particularly in older populations (Zeng et al., 2018).</w:t>
      </w:r>
      <w:r w:rsidRPr="00225D19">
        <w:br/>
      </w:r>
      <w:r w:rsidRPr="00225D19">
        <w:rPr>
          <w:b/>
          <w:bCs/>
        </w:rPr>
        <w:t>Opioids</w:t>
      </w:r>
      <w:r w:rsidRPr="00225D19">
        <w:t>: For cases of severe pain, opioids may be considered, though their use is restricted due to potential for dependency and a range of adverse effects. Careful monitoring is essential (Chou et al., 2015).</w:t>
      </w:r>
      <w:r w:rsidRPr="00225D19">
        <w:br/>
      </w:r>
      <w:r w:rsidRPr="00225D19">
        <w:rPr>
          <w:b/>
          <w:bCs/>
        </w:rPr>
        <w:t>Corticosteroid injections</w:t>
      </w:r>
      <w:r w:rsidRPr="00225D19">
        <w:t xml:space="preserve">: These may </w:t>
      </w:r>
      <w:r>
        <w:t>offer</w:t>
      </w:r>
      <w:r w:rsidR="2CD8F164">
        <w:t xml:space="preserve"> </w:t>
      </w:r>
      <w:r>
        <w:t>short</w:t>
      </w:r>
      <w:r w:rsidRPr="00225D19">
        <w:t>-term relief for moderate-to-severe joint pain, although their therapeutic effect typically lasts only a few weeks to months (Bannuru et al., 2019).</w:t>
      </w:r>
    </w:p>
    <w:p w14:paraId="1200C881" w14:textId="77777777" w:rsidR="47875F7E" w:rsidRPr="00A5138B" w:rsidRDefault="71BDF725" w:rsidP="564FCD8F">
      <w:pPr>
        <w:pStyle w:val="Heading3"/>
        <w:spacing w:before="281" w:after="281"/>
        <w:rPr>
          <w:rFonts w:asciiTheme="majorHAnsi" w:hAnsiTheme="majorHAnsi"/>
          <w:color w:val="auto"/>
        </w:rPr>
      </w:pPr>
      <w:bookmarkStart w:id="21" w:name="_Toc1021032507"/>
      <w:bookmarkStart w:id="22" w:name="_Toc211233970"/>
      <w:r w:rsidRPr="00A5138B">
        <w:rPr>
          <w:rFonts w:asciiTheme="majorHAnsi" w:eastAsia="Aptos" w:hAnsiTheme="majorHAnsi" w:cs="Aptos"/>
          <w:b/>
          <w:bCs/>
          <w:color w:val="auto"/>
        </w:rPr>
        <w:t>Surgical Interventions</w:t>
      </w:r>
      <w:bookmarkEnd w:id="21"/>
      <w:bookmarkEnd w:id="22"/>
    </w:p>
    <w:p w14:paraId="4318C758" w14:textId="77777777" w:rsidR="00F6148B" w:rsidRPr="00225D19" w:rsidRDefault="71BDF725" w:rsidP="00686CB1">
      <w:pPr>
        <w:spacing w:before="240" w:after="240" w:line="360" w:lineRule="auto"/>
        <w:jc w:val="both"/>
        <w:rPr>
          <w:rFonts w:ascii="Aptos" w:eastAsia="Aptos" w:hAnsi="Aptos" w:cs="Aptos"/>
        </w:rPr>
      </w:pPr>
      <w:r w:rsidRPr="00225D19">
        <w:rPr>
          <w:rFonts w:ascii="Aptos" w:eastAsia="Aptos" w:hAnsi="Aptos" w:cs="Aptos"/>
        </w:rPr>
        <w:t>For patients with advanced OA who do not respond to conservative management, surgery may be considered:</w:t>
      </w:r>
      <w:r w:rsidR="00F6148B" w:rsidRPr="00F6148B">
        <w:t xml:space="preserve"> </w:t>
      </w:r>
      <w:r w:rsidR="00F6148B">
        <w:t>(</w:t>
      </w:r>
      <w:r w:rsidR="00F6148B" w:rsidRPr="00F6148B">
        <w:rPr>
          <w:rFonts w:ascii="Aptos" w:eastAsia="Aptos" w:hAnsi="Aptos" w:cs="Aptos"/>
        </w:rPr>
        <w:t>NHS, 2023</w:t>
      </w:r>
      <w:r w:rsidR="00F6148B">
        <w:rPr>
          <w:rFonts w:ascii="Aptos" w:eastAsia="Aptos" w:hAnsi="Aptos" w:cs="Aptos"/>
        </w:rPr>
        <w:t>)</w:t>
      </w:r>
      <w:r w:rsidR="0014545A">
        <w:rPr>
          <w:rFonts w:ascii="Aptos" w:eastAsia="Aptos" w:hAnsi="Aptos" w:cs="Aptos"/>
        </w:rPr>
        <w:t>.</w:t>
      </w:r>
    </w:p>
    <w:p w14:paraId="28A44393" w14:textId="77777777" w:rsidR="008769E9" w:rsidRDefault="00D504A0" w:rsidP="00686CB1">
      <w:pPr>
        <w:spacing w:before="240" w:after="240" w:line="360" w:lineRule="auto"/>
        <w:jc w:val="both"/>
      </w:pPr>
      <w:r w:rsidRPr="00225D19">
        <w:rPr>
          <w:b/>
          <w:bCs/>
        </w:rPr>
        <w:t>Joint replacement (arthroplasty)</w:t>
      </w:r>
      <w:r w:rsidRPr="00225D19">
        <w:t xml:space="preserve">: Hip and knee arthroplasties are among the most effective surgical interventions in contemporary medicine, providing sustained pain relief and improved mobility for individuals with advanced osteoarthritis. In the UK, over </w:t>
      </w:r>
      <w:r w:rsidRPr="00225D19">
        <w:lastRenderedPageBreak/>
        <w:t>100,000 knee replacements and 80,000 hip replacements are performed annually (National Joint Registry, 2022). While clinical outcomes are generally favourable, extended NHS waiting times remain a persistent challenge.</w:t>
      </w:r>
    </w:p>
    <w:p w14:paraId="40C1389E" w14:textId="77777777" w:rsidR="00686CB1" w:rsidRDefault="00D504A0" w:rsidP="00686CB1">
      <w:pPr>
        <w:spacing w:before="240" w:after="240" w:line="360" w:lineRule="auto"/>
        <w:jc w:val="both"/>
      </w:pPr>
      <w:r w:rsidRPr="00225D19">
        <w:rPr>
          <w:b/>
          <w:bCs/>
        </w:rPr>
        <w:t>Arthroscopy</w:t>
      </w:r>
      <w:r w:rsidRPr="00225D19">
        <w:t>: Previously a common procedure for knee OA, arthroscopy is now seldom recommended</w:t>
      </w:r>
      <w:r w:rsidR="003351F7">
        <w:t xml:space="preserve"> (</w:t>
      </w:r>
      <w:r w:rsidR="003351F7" w:rsidRPr="003351F7">
        <w:t>NHS, 2023)</w:t>
      </w:r>
      <w:r w:rsidRPr="00225D19">
        <w:t>. Current evidence indicates minimal long-term benefit when compared to conservative management approaches (Khan et al., 2014).</w:t>
      </w:r>
    </w:p>
    <w:p w14:paraId="4FA5D38C" w14:textId="77777777" w:rsidR="47875F7E" w:rsidRPr="00A5138B" w:rsidRDefault="71BDF725" w:rsidP="564FCD8F">
      <w:pPr>
        <w:pStyle w:val="Heading3"/>
        <w:spacing w:before="281" w:after="281"/>
        <w:rPr>
          <w:rFonts w:asciiTheme="majorHAnsi" w:eastAsia="Aptos" w:hAnsiTheme="majorHAnsi" w:cs="Aptos"/>
          <w:b/>
          <w:bCs/>
          <w:color w:val="auto"/>
        </w:rPr>
      </w:pPr>
      <w:bookmarkStart w:id="23" w:name="_Toc1324677905"/>
      <w:bookmarkStart w:id="24" w:name="_Toc211233971"/>
      <w:r w:rsidRPr="00A5138B">
        <w:rPr>
          <w:rFonts w:asciiTheme="majorHAnsi" w:eastAsia="Aptos" w:hAnsiTheme="majorHAnsi" w:cs="Aptos"/>
          <w:b/>
          <w:bCs/>
          <w:color w:val="auto"/>
        </w:rPr>
        <w:t>Multidisciplinary and Community-Based Approaches</w:t>
      </w:r>
      <w:bookmarkEnd w:id="23"/>
      <w:bookmarkEnd w:id="24"/>
    </w:p>
    <w:p w14:paraId="27B18D02" w14:textId="77777777" w:rsidR="00527225" w:rsidRPr="00225D19" w:rsidRDefault="00A76C5A" w:rsidP="00686CB1">
      <w:pPr>
        <w:spacing w:line="360" w:lineRule="auto"/>
        <w:jc w:val="both"/>
      </w:pPr>
      <w:r w:rsidRPr="00225D19">
        <w:t>Effective management of osteoarthritis  is best achieved through a multidisciplinary team approach, involving general practitioners, physiotherapists, rheumatologists, orthopaedic surgeons, dietitians, and pain specialists (NHS England, 2019). Community</w:t>
      </w:r>
      <w:r w:rsidR="00145A36" w:rsidRPr="00225D19">
        <w:t xml:space="preserve"> </w:t>
      </w:r>
      <w:r w:rsidRPr="00225D19">
        <w:t>based programmes</w:t>
      </w:r>
      <w:r w:rsidR="00145A36" w:rsidRPr="00225D19">
        <w:t xml:space="preserve"> </w:t>
      </w:r>
      <w:r w:rsidRPr="00225D19">
        <w:t>such as exercise-on-referral schemes</w:t>
      </w:r>
      <w:r w:rsidR="00145A36" w:rsidRPr="00225D19">
        <w:t xml:space="preserve"> </w:t>
      </w:r>
      <w:r w:rsidRPr="00225D19">
        <w:t>play a vital role in enhancing accessibility and promoting sustained engagement with treatment</w:t>
      </w:r>
      <w:r w:rsidR="00085D54" w:rsidRPr="00085D54">
        <w:t xml:space="preserve"> </w:t>
      </w:r>
      <w:r w:rsidR="003A1D9F" w:rsidRPr="00225D19">
        <w:t>NICE, 2022).</w:t>
      </w:r>
    </w:p>
    <w:p w14:paraId="617B55D3" w14:textId="77777777" w:rsidR="47875F7E" w:rsidRPr="00A5138B" w:rsidRDefault="71BDF725" w:rsidP="564FCD8F">
      <w:pPr>
        <w:pStyle w:val="Heading3"/>
        <w:spacing w:before="281" w:after="281"/>
        <w:rPr>
          <w:rFonts w:asciiTheme="majorHAnsi" w:hAnsiTheme="majorHAnsi"/>
          <w:color w:val="auto"/>
        </w:rPr>
      </w:pPr>
      <w:bookmarkStart w:id="25" w:name="_Toc600407119"/>
      <w:bookmarkStart w:id="26" w:name="_Toc211233972"/>
      <w:r w:rsidRPr="00A5138B">
        <w:rPr>
          <w:rFonts w:asciiTheme="majorHAnsi" w:eastAsia="Aptos" w:hAnsiTheme="majorHAnsi" w:cs="Aptos"/>
          <w:b/>
          <w:bCs/>
          <w:color w:val="auto"/>
        </w:rPr>
        <w:t>Evaluation of Effectiveness</w:t>
      </w:r>
      <w:bookmarkEnd w:id="25"/>
      <w:bookmarkEnd w:id="26"/>
    </w:p>
    <w:p w14:paraId="17F4EF4A" w14:textId="27CB05CD" w:rsidR="00411C08" w:rsidRDefault="00DE0AF0" w:rsidP="008769E9">
      <w:pPr>
        <w:spacing w:line="360" w:lineRule="auto"/>
        <w:jc w:val="both"/>
      </w:pPr>
      <w:r w:rsidRPr="00225D19">
        <w:t xml:space="preserve">Robust evidence </w:t>
      </w:r>
      <w:r w:rsidR="0A2920B1" w:rsidRPr="00225D19">
        <w:t>pinpoints exercise</w:t>
      </w:r>
      <w:r w:rsidRPr="00225D19">
        <w:t xml:space="preserve"> and weight reduction as the most effective and low-risk interventions for managing osteoarthritis </w:t>
      </w:r>
      <w:r w:rsidR="009647F6">
        <w:t>(</w:t>
      </w:r>
      <w:r w:rsidR="003A1D9F" w:rsidRPr="00225D19">
        <w:t>NICE, 2022).</w:t>
      </w:r>
      <w:r w:rsidRPr="00225D19">
        <w:t xml:space="preserve"> While pharmacological treatments can offer symptom relief, they require careful evaluation due to potential adverse effects. Joint replacement surgery </w:t>
      </w:r>
      <w:r w:rsidR="617E44EE" w:rsidRPr="00225D19">
        <w:t>stays</w:t>
      </w:r>
      <w:r w:rsidRPr="00225D19">
        <w:t xml:space="preserve"> a </w:t>
      </w:r>
      <w:r w:rsidR="2AD51735" w:rsidRPr="00225D19">
        <w:t>phenomenally</w:t>
      </w:r>
      <w:r w:rsidRPr="00225D19">
        <w:t xml:space="preserve"> successful </w:t>
      </w:r>
      <w:r w:rsidR="1E08066A" w:rsidRPr="00225D19">
        <w:t>possibility</w:t>
      </w:r>
      <w:r w:rsidRPr="00225D19">
        <w:t xml:space="preserve"> for advanced cases, though it is resource-intensive and access </w:t>
      </w:r>
      <w:proofErr w:type="gramStart"/>
      <w:r w:rsidRPr="00225D19">
        <w:t>varies</w:t>
      </w:r>
      <w:proofErr w:type="gramEnd"/>
      <w:r w:rsidRPr="00225D19">
        <w:t xml:space="preserve"> across UK regions (Versus Arthritis, 2019). </w:t>
      </w:r>
      <w:bookmarkStart w:id="27" w:name="_Int_2A8ODFkT"/>
      <w:r w:rsidRPr="00225D19">
        <w:t>Ultimately, OA</w:t>
      </w:r>
      <w:bookmarkEnd w:id="27"/>
      <w:r w:rsidRPr="00225D19">
        <w:t xml:space="preserve"> care should be personalised, integrating lifestyle modifications, medical therapies, and where </w:t>
      </w:r>
      <w:r w:rsidR="066548CB" w:rsidRPr="00225D19">
        <w:t>right</w:t>
      </w:r>
      <w:r w:rsidRPr="00225D19">
        <w:t xml:space="preserve"> surgical interventions to optimise patient outcomes</w:t>
      </w:r>
      <w:r w:rsidR="00080175">
        <w:t>.</w:t>
      </w:r>
    </w:p>
    <w:p w14:paraId="4A60CBE3" w14:textId="77777777" w:rsidR="00080175" w:rsidRDefault="00080175" w:rsidP="008769E9">
      <w:pPr>
        <w:spacing w:line="360" w:lineRule="auto"/>
        <w:jc w:val="both"/>
      </w:pPr>
    </w:p>
    <w:p w14:paraId="1CD600E7" w14:textId="77777777" w:rsidR="00080175" w:rsidRDefault="00080175" w:rsidP="008769E9">
      <w:pPr>
        <w:spacing w:line="360" w:lineRule="auto"/>
        <w:jc w:val="both"/>
      </w:pPr>
    </w:p>
    <w:p w14:paraId="23ADA78C" w14:textId="77777777" w:rsidR="00080175" w:rsidRDefault="00080175" w:rsidP="008769E9">
      <w:pPr>
        <w:spacing w:line="360" w:lineRule="auto"/>
        <w:jc w:val="both"/>
      </w:pPr>
    </w:p>
    <w:p w14:paraId="61251712" w14:textId="77777777" w:rsidR="00080175" w:rsidRDefault="00080175" w:rsidP="008769E9">
      <w:pPr>
        <w:spacing w:line="360" w:lineRule="auto"/>
        <w:jc w:val="both"/>
      </w:pPr>
    </w:p>
    <w:p w14:paraId="17ADDCF0" w14:textId="77777777" w:rsidR="00462F9A" w:rsidRPr="00FC5850" w:rsidRDefault="7F8EADFC" w:rsidP="005905D7">
      <w:pPr>
        <w:pStyle w:val="Heading1"/>
        <w:rPr>
          <w:b/>
          <w:bCs/>
          <w:color w:val="auto"/>
          <w:sz w:val="28"/>
          <w:szCs w:val="28"/>
        </w:rPr>
      </w:pPr>
      <w:bookmarkStart w:id="28" w:name="_Toc211233973"/>
      <w:bookmarkStart w:id="29" w:name="_Toc493495767"/>
      <w:r w:rsidRPr="00FC5850">
        <w:rPr>
          <w:b/>
          <w:bCs/>
          <w:color w:val="auto"/>
          <w:sz w:val="28"/>
          <w:szCs w:val="28"/>
        </w:rPr>
        <w:lastRenderedPageBreak/>
        <w:t xml:space="preserve">UK Model: </w:t>
      </w:r>
      <w:r w:rsidR="00FA42A6" w:rsidRPr="00FC5850">
        <w:rPr>
          <w:b/>
          <w:bCs/>
          <w:color w:val="auto"/>
          <w:sz w:val="28"/>
          <w:szCs w:val="28"/>
        </w:rPr>
        <w:t>The House of Care</w:t>
      </w:r>
      <w:bookmarkEnd w:id="28"/>
    </w:p>
    <w:p w14:paraId="0401A714" w14:textId="77777777" w:rsidR="00DE0AF0" w:rsidRDefault="7F8EADFC" w:rsidP="00462F9A">
      <w:r w:rsidRPr="00225D19">
        <w:t>The NHS Long Term Plan and NICE Guidelines</w:t>
      </w:r>
      <w:bookmarkEnd w:id="29"/>
    </w:p>
    <w:p w14:paraId="4E734D1B" w14:textId="536B17FD" w:rsidR="00A24185" w:rsidRDefault="00DD5F99" w:rsidP="00225B3C">
      <w:pPr>
        <w:spacing w:line="360" w:lineRule="auto"/>
        <w:jc w:val="both"/>
      </w:pPr>
      <w:r w:rsidRPr="00DD5F99">
        <w:rPr>
          <w:noProof/>
        </w:rPr>
        <w:drawing>
          <wp:inline distT="0" distB="0" distL="0" distR="0" wp14:anchorId="0E5AFE9D" wp14:editId="3272AA96">
            <wp:extent cx="5731510" cy="4572000"/>
            <wp:effectExtent l="0" t="0" r="2540" b="0"/>
            <wp:docPr id="287984145" name="Picture 1" descr="A diagram of a health care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984145" name="Picture 1" descr="A diagram of a health care company&#10;&#10;AI-generated content may be incorrect."/>
                    <pic:cNvPicPr/>
                  </pic:nvPicPr>
                  <pic:blipFill>
                    <a:blip r:embed="rId12"/>
                    <a:stretch>
                      <a:fillRect/>
                    </a:stretch>
                  </pic:blipFill>
                  <pic:spPr>
                    <a:xfrm>
                      <a:off x="0" y="0"/>
                      <a:ext cx="5731510" cy="4572000"/>
                    </a:xfrm>
                    <a:prstGeom prst="rect">
                      <a:avLst/>
                    </a:prstGeom>
                  </pic:spPr>
                </pic:pic>
              </a:graphicData>
            </a:graphic>
          </wp:inline>
        </w:drawing>
      </w:r>
      <w:r w:rsidR="001D501A">
        <w:t xml:space="preserve">                                   </w:t>
      </w:r>
      <w:r w:rsidR="007E6818">
        <w:tab/>
      </w:r>
      <w:r w:rsidR="007E6818">
        <w:tab/>
      </w:r>
      <w:r w:rsidR="007E6818">
        <w:tab/>
      </w:r>
      <w:r w:rsidR="007E6818">
        <w:tab/>
      </w:r>
      <w:r w:rsidR="007E6818">
        <w:tab/>
      </w:r>
      <w:r w:rsidR="007E6818">
        <w:tab/>
      </w:r>
      <w:r w:rsidR="007E6818">
        <w:tab/>
      </w:r>
      <w:r w:rsidR="001D501A">
        <w:t xml:space="preserve">    (</w:t>
      </w:r>
      <w:r w:rsidR="00A24185" w:rsidRPr="00A24185">
        <w:t>NHS England</w:t>
      </w:r>
      <w:r w:rsidR="001D501A">
        <w:t xml:space="preserve">, </w:t>
      </w:r>
      <w:r w:rsidR="00A24185" w:rsidRPr="00A24185">
        <w:t>2016)</w:t>
      </w:r>
    </w:p>
    <w:p w14:paraId="63B10C2F" w14:textId="77777777" w:rsidR="00FC5850" w:rsidRDefault="0048427B" w:rsidP="00FC5850">
      <w:pPr>
        <w:spacing w:line="360" w:lineRule="auto"/>
        <w:jc w:val="both"/>
      </w:pPr>
      <w:r w:rsidRPr="0048427B">
        <w:t>The House of Care framework (Year of Care Partnerships, 2019) embeds personalised care planning for long-term conditions like osteoarthritis (OA). Using a house metaphor, it identifies four pillars</w:t>
      </w:r>
      <w:r>
        <w:t xml:space="preserve"> </w:t>
      </w:r>
      <w:r w:rsidRPr="0048427B">
        <w:t>engaged individuals, committed professionals, supportive systems, and responsive commissioning</w:t>
      </w:r>
      <w:r>
        <w:t xml:space="preserve"> </w:t>
      </w:r>
      <w:r w:rsidRPr="0048427B">
        <w:t>centred on collaborative conversations that prioritise what matters most to the person (NHS England, 2016; Health and Social Care Alliance Scotland, 2020). In the UK, OA care is guided by strategic frameworks such as the NHS Long Term Plan (NHS England, 2019) and NICE guidelines (NICE, 2022), both emphasising prevention, early intervention, and person-centred care. The NHS Long Term Plan promotes Integrated Care Systems (ICS) to coordinate services across primary care, hospitals, social care, and community settings, ensuring holistic support. NICE (2022) recommends self-management, physical activity, and weight reduction as first-</w:t>
      </w:r>
      <w:r w:rsidRPr="0048427B">
        <w:lastRenderedPageBreak/>
        <w:t>line interventions, reflecting a shift from pharmacological reliance. It also highlights the need for personalised care, recognising OA’s varied presentation. This approach aligns with Engel’s biopsychosocial model (1977), which integrates biological, psychological, and social dimensions of chronic illness. A key strength of the UK’s OA model is its emphasis on patient empowerment, though regional disparities in service provision persist (Versus Arthritis, 2019).</w:t>
      </w:r>
      <w:bookmarkStart w:id="30" w:name="_Toc1152388299"/>
      <w:bookmarkStart w:id="31" w:name="_Toc211233974"/>
    </w:p>
    <w:p w14:paraId="18BC8B11" w14:textId="24E4417D" w:rsidR="2A295548" w:rsidRPr="00FC5850" w:rsidRDefault="7F8EADFC" w:rsidP="00FC5850">
      <w:pPr>
        <w:spacing w:line="360" w:lineRule="auto"/>
        <w:jc w:val="both"/>
        <w:rPr>
          <w:rFonts w:asciiTheme="majorHAnsi" w:hAnsiTheme="majorHAnsi"/>
        </w:rPr>
      </w:pPr>
      <w:r w:rsidRPr="00FC5850">
        <w:rPr>
          <w:rFonts w:asciiTheme="majorHAnsi" w:eastAsia="Aptos" w:hAnsiTheme="majorHAnsi" w:cs="Aptos"/>
          <w:b/>
          <w:bCs/>
        </w:rPr>
        <w:t>International Model: WHO Innovative Care for Chronic Conditions (ICCC) Framework</w:t>
      </w:r>
      <w:bookmarkEnd w:id="30"/>
      <w:bookmarkEnd w:id="31"/>
    </w:p>
    <w:p w14:paraId="142FC1F4" w14:textId="3D49212C" w:rsidR="103EFDDC" w:rsidRPr="00225D19" w:rsidRDefault="103EFDDC" w:rsidP="42A29E70">
      <w:pPr>
        <w:spacing w:after="0"/>
      </w:pPr>
      <w:r w:rsidRPr="00225D19">
        <w:rPr>
          <w:rFonts w:ascii="Aptos" w:eastAsia="Aptos" w:hAnsi="Aptos" w:cs="Aptos"/>
          <w:sz w:val="36"/>
          <w:szCs w:val="36"/>
        </w:rPr>
        <w:t xml:space="preserve">             </w:t>
      </w:r>
      <w:r w:rsidR="00360B85">
        <w:rPr>
          <w:noProof/>
        </w:rPr>
        <w:drawing>
          <wp:inline distT="0" distB="0" distL="0" distR="0" wp14:anchorId="56F694B1" wp14:editId="0701753D">
            <wp:extent cx="4804410" cy="5242560"/>
            <wp:effectExtent l="0" t="0" r="0" b="0"/>
            <wp:docPr id="1582369620" name="Picture 1" descr="A diagram of a pati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369620" name="Picture 1" descr="A diagram of a patient&#10;&#10;AI-generated content may be incorrect."/>
                    <pic:cNvPicPr/>
                  </pic:nvPicPr>
                  <pic:blipFill>
                    <a:blip r:embed="rId13"/>
                    <a:stretch>
                      <a:fillRect/>
                    </a:stretch>
                  </pic:blipFill>
                  <pic:spPr>
                    <a:xfrm>
                      <a:off x="0" y="0"/>
                      <a:ext cx="4822866" cy="5262699"/>
                    </a:xfrm>
                    <a:prstGeom prst="rect">
                      <a:avLst/>
                    </a:prstGeom>
                  </pic:spPr>
                </pic:pic>
              </a:graphicData>
            </a:graphic>
          </wp:inline>
        </w:drawing>
      </w:r>
      <w:r w:rsidRPr="00225D19">
        <w:rPr>
          <w:rFonts w:ascii="Aptos" w:eastAsia="Aptos" w:hAnsi="Aptos" w:cs="Aptos"/>
          <w:sz w:val="36"/>
          <w:szCs w:val="36"/>
        </w:rPr>
        <w:t xml:space="preserve">                                                                        </w:t>
      </w:r>
      <w:r w:rsidR="24BB8870" w:rsidRPr="00225D19">
        <w:rPr>
          <w:rFonts w:ascii="Aptos" w:eastAsia="Aptos" w:hAnsi="Aptos" w:cs="Aptos"/>
          <w:sz w:val="36"/>
          <w:szCs w:val="36"/>
        </w:rPr>
        <w:t xml:space="preserve">                                 </w:t>
      </w:r>
      <w:r w:rsidRPr="00225D19">
        <w:tab/>
      </w:r>
      <w:r w:rsidRPr="00225D19">
        <w:tab/>
      </w:r>
      <w:r w:rsidRPr="00225D19">
        <w:tab/>
      </w:r>
      <w:r w:rsidR="00384F58">
        <w:rPr>
          <w:rFonts w:ascii="Aptos" w:eastAsia="Aptos" w:hAnsi="Aptos" w:cs="Aptos"/>
        </w:rPr>
        <w:t xml:space="preserve">  </w:t>
      </w:r>
      <w:r w:rsidR="007E6818">
        <w:rPr>
          <w:rFonts w:ascii="Aptos" w:eastAsia="Aptos" w:hAnsi="Aptos" w:cs="Aptos"/>
        </w:rPr>
        <w:tab/>
      </w:r>
      <w:r w:rsidR="007E6818">
        <w:rPr>
          <w:rFonts w:ascii="Aptos" w:eastAsia="Aptos" w:hAnsi="Aptos" w:cs="Aptos"/>
        </w:rPr>
        <w:tab/>
      </w:r>
      <w:r w:rsidR="007E6818">
        <w:rPr>
          <w:rFonts w:ascii="Aptos" w:eastAsia="Aptos" w:hAnsi="Aptos" w:cs="Aptos"/>
        </w:rPr>
        <w:tab/>
      </w:r>
      <w:r w:rsidR="007E6818">
        <w:rPr>
          <w:rFonts w:ascii="Aptos" w:eastAsia="Aptos" w:hAnsi="Aptos" w:cs="Aptos"/>
        </w:rPr>
        <w:tab/>
      </w:r>
      <w:r w:rsidR="007E6818">
        <w:rPr>
          <w:rFonts w:ascii="Aptos" w:eastAsia="Aptos" w:hAnsi="Aptos" w:cs="Aptos"/>
        </w:rPr>
        <w:tab/>
      </w:r>
      <w:r w:rsidR="007E6818">
        <w:rPr>
          <w:rFonts w:ascii="Aptos" w:eastAsia="Aptos" w:hAnsi="Aptos" w:cs="Aptos"/>
        </w:rPr>
        <w:tab/>
      </w:r>
      <w:r w:rsidR="007E6818">
        <w:rPr>
          <w:rFonts w:ascii="Aptos" w:eastAsia="Aptos" w:hAnsi="Aptos" w:cs="Aptos"/>
        </w:rPr>
        <w:tab/>
      </w:r>
      <w:r w:rsidR="00384F58">
        <w:rPr>
          <w:rFonts w:ascii="Aptos" w:eastAsia="Aptos" w:hAnsi="Aptos" w:cs="Aptos"/>
        </w:rPr>
        <w:t xml:space="preserve">   </w:t>
      </w:r>
      <w:r w:rsidRPr="000B7878">
        <w:rPr>
          <w:rFonts w:ascii="Aptos" w:eastAsia="Aptos" w:hAnsi="Aptos" w:cs="Aptos"/>
        </w:rPr>
        <w:t>(Wagner, 1998)</w:t>
      </w:r>
    </w:p>
    <w:p w14:paraId="073058A7" w14:textId="77777777" w:rsidR="3B72E972" w:rsidRDefault="3B72E972" w:rsidP="3B72E972"/>
    <w:p w14:paraId="64C5BC2F" w14:textId="77777777" w:rsidR="006510B4" w:rsidRDefault="006510B4" w:rsidP="006510B4">
      <w:pPr>
        <w:spacing w:line="360" w:lineRule="auto"/>
        <w:jc w:val="both"/>
      </w:pPr>
      <w:r>
        <w:t xml:space="preserve">Wagner et al. (1998) present the Chronic Care Model as a foundation for osteoarthritis management, comprising six components: self-management support, decision support, </w:t>
      </w:r>
      <w:r>
        <w:lastRenderedPageBreak/>
        <w:t>delivery system design, clinical information systems, health system organisation, and community resources. It centres on informed patients and proactive care teams.</w:t>
      </w:r>
    </w:p>
    <w:p w14:paraId="10D135C9" w14:textId="77777777" w:rsidR="006510B4" w:rsidRDefault="006510B4" w:rsidP="006510B4">
      <w:pPr>
        <w:spacing w:line="360" w:lineRule="auto"/>
        <w:jc w:val="both"/>
      </w:pPr>
      <w:r>
        <w:t>Globally, the World Health Organization’s  Innovative Care for Chronic Conditions (ICCC) framework offers a comprehensive approach to managing long-term conditions like OA (WHO, 2002).</w:t>
      </w:r>
    </w:p>
    <w:p w14:paraId="45092A46" w14:textId="77777777" w:rsidR="006510B4" w:rsidRDefault="006510B4" w:rsidP="006510B4">
      <w:pPr>
        <w:spacing w:line="360" w:lineRule="auto"/>
        <w:jc w:val="both"/>
      </w:pPr>
      <w:r>
        <w:t>The Chronic Care Model promotes proactive, community-focused health systems that support patient self-management. It emphasises collaborative partnerships among patients, families, professionals, and policymakers, recognising that chronic conditions cannot be effectively managed within brief clinical encounters (Wagner et al., 1998).</w:t>
      </w:r>
    </w:p>
    <w:p w14:paraId="755D2AAB" w14:textId="77777777" w:rsidR="00E82B2C" w:rsidRDefault="006510B4" w:rsidP="00E82B2C">
      <w:pPr>
        <w:spacing w:line="360" w:lineRule="auto"/>
        <w:jc w:val="both"/>
      </w:pPr>
      <w:r>
        <w:t>The ICCC framework also highlights the impact of social determinants</w:t>
      </w:r>
      <w:r w:rsidR="001F2C30">
        <w:t xml:space="preserve"> </w:t>
      </w:r>
      <w:r>
        <w:t>such as poverty, education, and housing</w:t>
      </w:r>
      <w:r w:rsidR="001F2C30">
        <w:t xml:space="preserve"> </w:t>
      </w:r>
      <w:r>
        <w:t>on health outcomes. In OA care, this means recognising how access to safe spaces for exercise, affordable nutritious food, and strong social networks directly influences an individual’s ability to manage their condition (World Health Organization, 2002).</w:t>
      </w:r>
      <w:bookmarkStart w:id="32" w:name="_Toc1113488588"/>
      <w:bookmarkStart w:id="33" w:name="_Toc211233975"/>
    </w:p>
    <w:p w14:paraId="227F2CE0" w14:textId="77777777" w:rsidR="00430FA6" w:rsidRPr="00FC5850" w:rsidRDefault="7F8EADFC" w:rsidP="00E82B2C">
      <w:pPr>
        <w:spacing w:line="360" w:lineRule="auto"/>
        <w:jc w:val="both"/>
        <w:rPr>
          <w:rFonts w:asciiTheme="majorHAnsi" w:eastAsia="Aptos" w:hAnsiTheme="majorHAnsi" w:cs="Aptos"/>
          <w:b/>
          <w:bCs/>
          <w:sz w:val="28"/>
          <w:szCs w:val="28"/>
        </w:rPr>
      </w:pPr>
      <w:r w:rsidRPr="00FC5850">
        <w:rPr>
          <w:rFonts w:asciiTheme="majorHAnsi" w:eastAsia="Aptos" w:hAnsiTheme="majorHAnsi" w:cs="Aptos"/>
          <w:b/>
          <w:bCs/>
          <w:sz w:val="28"/>
          <w:szCs w:val="28"/>
        </w:rPr>
        <w:t>Comparison of Models</w:t>
      </w:r>
      <w:bookmarkStart w:id="34" w:name="_Toc487294938"/>
      <w:bookmarkStart w:id="35" w:name="_Toc211233976"/>
      <w:bookmarkEnd w:id="32"/>
      <w:bookmarkEnd w:id="33"/>
    </w:p>
    <w:p w14:paraId="17AB11D7" w14:textId="3C8AA45F" w:rsidR="004215F2" w:rsidRDefault="00E82B2C" w:rsidP="00430FA6">
      <w:pPr>
        <w:spacing w:line="360" w:lineRule="auto"/>
        <w:jc w:val="both"/>
        <w:rPr>
          <w:rFonts w:eastAsia="Aptos" w:cs="Aptos"/>
        </w:rPr>
      </w:pPr>
      <w:r w:rsidRPr="00E82B2C">
        <w:rPr>
          <w:rFonts w:eastAsia="Aptos" w:cs="Aptos"/>
        </w:rPr>
        <w:t>While the UK’s NHS model prioritises evidence-based guidelines and integrated service delivery, the World Health Organization’s ICCC framework offers a broader lens by addressing global and social determinants of health. Both models support self-management and person-centred care, but the ICCC framework further emphasises policy reform and societal change for chronic condition management (World Health Organization, 2002). The UK integrates elements of both: community-based exercise schemes reflect ICCC’s local resource focus, while NICE guidelines ensure clinical consistency. However, implementation barriers</w:t>
      </w:r>
      <w:r w:rsidR="001D67AD">
        <w:rPr>
          <w:rFonts w:eastAsia="Aptos" w:cs="Aptos"/>
        </w:rPr>
        <w:t xml:space="preserve"> </w:t>
      </w:r>
      <w:r w:rsidRPr="00E82B2C">
        <w:rPr>
          <w:rFonts w:eastAsia="Aptos" w:cs="Aptos"/>
        </w:rPr>
        <w:t>such as limited funding, workforce shortages, and insufficient patient education</w:t>
      </w:r>
      <w:r w:rsidR="001D67AD">
        <w:rPr>
          <w:rFonts w:eastAsia="Aptos" w:cs="Aptos"/>
        </w:rPr>
        <w:t xml:space="preserve"> </w:t>
      </w:r>
      <w:r w:rsidRPr="00E82B2C">
        <w:rPr>
          <w:rFonts w:eastAsia="Aptos" w:cs="Aptos"/>
        </w:rPr>
        <w:t>can hinder progress and leave strategic goals unmet (Charles et al., 2018).</w:t>
      </w:r>
      <w:r w:rsidR="004C3DEB">
        <w:rPr>
          <w:rFonts w:eastAsia="Aptos" w:cs="Aptos"/>
        </w:rPr>
        <w:t xml:space="preserve"> </w:t>
      </w:r>
      <w:r w:rsidR="7F8EADFC" w:rsidRPr="00E82B2C">
        <w:rPr>
          <w:rFonts w:eastAsia="Aptos" w:cs="Aptos"/>
        </w:rPr>
        <w:t>Policy and Political Influences on Osteoarthritis Care in the UK</w:t>
      </w:r>
      <w:bookmarkStart w:id="36" w:name="_Toc1200208723"/>
      <w:bookmarkEnd w:id="34"/>
      <w:bookmarkEnd w:id="35"/>
    </w:p>
    <w:p w14:paraId="72781CAA" w14:textId="77777777" w:rsidR="004C3DEB" w:rsidRPr="00430FA6" w:rsidRDefault="004C3DEB" w:rsidP="00430FA6">
      <w:pPr>
        <w:spacing w:line="360" w:lineRule="auto"/>
        <w:jc w:val="both"/>
        <w:rPr>
          <w:rFonts w:ascii="Aptos" w:eastAsia="Aptos" w:hAnsi="Aptos" w:cs="Aptos"/>
          <w:b/>
          <w:bCs/>
        </w:rPr>
      </w:pPr>
    </w:p>
    <w:p w14:paraId="18D81237" w14:textId="77777777" w:rsidR="00DE0AF0" w:rsidRPr="00FC5850" w:rsidRDefault="7F8EADFC" w:rsidP="367E9451">
      <w:pPr>
        <w:pStyle w:val="Heading3"/>
        <w:spacing w:before="281" w:after="281"/>
        <w:rPr>
          <w:rFonts w:asciiTheme="majorHAnsi" w:eastAsia="Aptos" w:hAnsiTheme="majorHAnsi" w:cs="Aptos"/>
          <w:b/>
          <w:bCs/>
          <w:color w:val="auto"/>
        </w:rPr>
      </w:pPr>
      <w:bookmarkStart w:id="37" w:name="_Toc211233977"/>
      <w:r w:rsidRPr="00FC5850">
        <w:rPr>
          <w:rFonts w:asciiTheme="majorHAnsi" w:eastAsia="Aptos" w:hAnsiTheme="majorHAnsi" w:cs="Aptos"/>
          <w:b/>
          <w:bCs/>
          <w:color w:val="auto"/>
        </w:rPr>
        <w:lastRenderedPageBreak/>
        <w:t>National Policy</w:t>
      </w:r>
      <w:bookmarkEnd w:id="36"/>
      <w:bookmarkEnd w:id="37"/>
    </w:p>
    <w:p w14:paraId="5A571CFD" w14:textId="4C9B6E2B" w:rsidR="00DA005B" w:rsidRPr="00DA005B" w:rsidRDefault="00DA005B" w:rsidP="00DA005B">
      <w:pPr>
        <w:spacing w:line="360" w:lineRule="auto"/>
        <w:jc w:val="both"/>
      </w:pPr>
      <w:r w:rsidRPr="00DA005B">
        <w:t>Osteoarthritis management in the UK is guided by national policies emphasising prevention, early intervention, and consistent care. The NHS Long Term Plan (2019) prioritises musculoskeletal health, encouraging early diagnosis and digital tools for self-management to reduce hospital admissions. NICE guidelines (2022) offer structured clinical pathways to standardise OA care. The Healthy Ageing agenda aims to extend healthy life expectancy by addressing age-related conditions like OA, focusing on physical activity, fall prevention, and community support (Public Health England, 2020). The Health and Care Act 2022 established Integrated Care Systems (ICS) to promote coordinated, cross-sector OA management (The King’s Fund, 2022).</w:t>
      </w:r>
    </w:p>
    <w:p w14:paraId="0FC9EBE7" w14:textId="26E7B2D8" w:rsidR="00DE0AF0" w:rsidRPr="00FC5850" w:rsidRDefault="7F8EADFC" w:rsidP="367E9451">
      <w:pPr>
        <w:pStyle w:val="Heading3"/>
        <w:spacing w:before="281" w:after="281"/>
        <w:rPr>
          <w:rFonts w:asciiTheme="majorHAnsi" w:eastAsia="Aptos" w:hAnsiTheme="majorHAnsi" w:cs="Aptos"/>
          <w:b/>
          <w:bCs/>
          <w:color w:val="auto"/>
        </w:rPr>
      </w:pPr>
      <w:bookmarkStart w:id="38" w:name="_Toc778613199"/>
      <w:bookmarkStart w:id="39" w:name="_Toc211233978"/>
      <w:r w:rsidRPr="00FC5850">
        <w:rPr>
          <w:rFonts w:asciiTheme="majorHAnsi" w:eastAsia="Aptos" w:hAnsiTheme="majorHAnsi" w:cs="Aptos"/>
          <w:b/>
          <w:bCs/>
          <w:color w:val="auto"/>
        </w:rPr>
        <w:t>Local Policy and Implementation</w:t>
      </w:r>
      <w:bookmarkEnd w:id="38"/>
      <w:bookmarkEnd w:id="39"/>
    </w:p>
    <w:p w14:paraId="35AF74CE" w14:textId="359074E0" w:rsidR="007B0F39" w:rsidRPr="007B0F39" w:rsidRDefault="007B0F39" w:rsidP="007B0F39">
      <w:pPr>
        <w:spacing w:line="360" w:lineRule="auto"/>
        <w:jc w:val="both"/>
      </w:pPr>
      <w:r w:rsidRPr="007B0F39">
        <w:t>At the local level, osteoarthritis  care is delivered through Integrated Care Systems (ICS) and previously Clinical Commissioning Groups (CCGs), which tailor national guidelines to regional needs. Access to physiotherapy, exercise programmes, and surgery varies, creating a “postcode lottery” in OA care (The King’s Fund, 2022). Local councils support public health through active travel and community exercise initiatives, but austerity-driven budget cuts over the past decade have constrained their scope and effectiveness (Marmot et al., 2020).</w:t>
      </w:r>
    </w:p>
    <w:p w14:paraId="64B33938" w14:textId="1473FB6B" w:rsidR="00DE0AF0" w:rsidRDefault="7F8EADFC" w:rsidP="367E9451">
      <w:pPr>
        <w:pStyle w:val="Heading3"/>
        <w:spacing w:before="281" w:after="281"/>
        <w:rPr>
          <w:rFonts w:ascii="Aptos" w:eastAsia="Aptos" w:hAnsi="Aptos" w:cs="Aptos"/>
          <w:b/>
          <w:bCs/>
          <w:color w:val="auto"/>
        </w:rPr>
      </w:pPr>
      <w:bookmarkStart w:id="40" w:name="_Toc2099405578"/>
      <w:bookmarkStart w:id="41" w:name="_Toc211233979"/>
      <w:r w:rsidRPr="00225D19">
        <w:rPr>
          <w:rFonts w:ascii="Aptos" w:eastAsia="Aptos" w:hAnsi="Aptos" w:cs="Aptos"/>
          <w:b/>
          <w:bCs/>
          <w:color w:val="auto"/>
        </w:rPr>
        <w:t>Critical Examination</w:t>
      </w:r>
      <w:bookmarkEnd w:id="40"/>
      <w:bookmarkEnd w:id="41"/>
    </w:p>
    <w:p w14:paraId="24EE33F8" w14:textId="7AD36596" w:rsidR="00E00ABE" w:rsidRPr="00E00ABE" w:rsidRDefault="00E00ABE" w:rsidP="00E00ABE">
      <w:pPr>
        <w:spacing w:line="360" w:lineRule="auto"/>
        <w:jc w:val="both"/>
      </w:pPr>
      <w:r w:rsidRPr="00E00ABE">
        <w:t xml:space="preserve">Despite robust national strategies, significant challenges persist in osteoarthritis (OA) care delivery. Waiting times for joint replacement surgery have risen sharply, worsened by the COVID-19 pandemic, leaving many in prolonged pain and decline (NHS England, 2022). Access to physiotherapy and pain management remains uneven, while preventative initiatives like community-based exercise programmes face chronic underfunding (Versus Arthritis, 2023). Health inequalities are stark: individuals in deprived areas often develop OA earlier and face barriers to timely diagnosis and treatment (Versus Arthritis, 2019). These disparities reflect broader political and social determinants, showing that clinical guidelines alone cannot close the care gap (The Health Foundation, 2022). While frameworks like the NHS Long Term Plan offer strategic </w:t>
      </w:r>
      <w:r w:rsidRPr="00E00ABE">
        <w:lastRenderedPageBreak/>
        <w:t>direction, their success depends on local implementation, sustained investment, and attention to societal factors (NHS England, 2019).</w:t>
      </w:r>
    </w:p>
    <w:p w14:paraId="233F144F" w14:textId="77777777" w:rsidR="1F90C7C9" w:rsidRPr="00FC5850" w:rsidRDefault="5E050AB8" w:rsidP="002522B6">
      <w:pPr>
        <w:pStyle w:val="Heading1"/>
        <w:rPr>
          <w:b/>
          <w:bCs/>
          <w:color w:val="auto"/>
          <w:sz w:val="28"/>
          <w:szCs w:val="28"/>
        </w:rPr>
      </w:pPr>
      <w:bookmarkStart w:id="42" w:name="_Toc972229320"/>
      <w:bookmarkStart w:id="43" w:name="_Toc211233980"/>
      <w:r w:rsidRPr="00FC5850">
        <w:rPr>
          <w:b/>
          <w:bCs/>
          <w:color w:val="auto"/>
          <w:sz w:val="28"/>
          <w:szCs w:val="28"/>
        </w:rPr>
        <w:t>Person-Centred Care and Self-Management in Osteoarthritis</w:t>
      </w:r>
      <w:bookmarkEnd w:id="42"/>
      <w:bookmarkEnd w:id="43"/>
    </w:p>
    <w:p w14:paraId="4B608896" w14:textId="4F600CC1" w:rsidR="00214B72" w:rsidRDefault="00214B72" w:rsidP="00214B72">
      <w:pPr>
        <w:spacing w:before="240" w:after="240" w:line="360" w:lineRule="auto"/>
        <w:jc w:val="both"/>
        <w:rPr>
          <w:rFonts w:eastAsia="Aptos" w:cs="Aptos"/>
        </w:rPr>
      </w:pPr>
      <w:r w:rsidRPr="00214B72">
        <w:rPr>
          <w:rFonts w:eastAsia="Aptos" w:cs="Aptos"/>
        </w:rPr>
        <w:t>Person-centred care (PCC) places the individual at the core of healthcare decision-making, ensuring that their values, preferences, and lived experiences inform the care they receive (Health Foundation, 2016). In the context of osteoarthritis, this means recognising that symptoms such as pain and stiffness vary widely between individuals, needing tailored treatment approaches. PCC also acknowledges the prevalence of multimorbidity among older adults, particularly those over 50, reinforcing the need for OA management to be integrated within broader care pathways rather than treated in isolation (NHS England, 2019).</w:t>
      </w:r>
    </w:p>
    <w:p w14:paraId="41D2C560" w14:textId="3BD73D89" w:rsidR="1F90C7C9" w:rsidRPr="00225D19" w:rsidRDefault="5E050AB8" w:rsidP="0314D2FB">
      <w:pPr>
        <w:spacing w:before="240" w:after="240"/>
        <w:rPr>
          <w:rFonts w:ascii="Aptos" w:eastAsia="Aptos" w:hAnsi="Aptos" w:cs="Aptos"/>
          <w:b/>
          <w:bCs/>
        </w:rPr>
      </w:pPr>
      <w:r w:rsidRPr="00225D19">
        <w:rPr>
          <w:rFonts w:ascii="Aptos" w:eastAsia="Aptos" w:hAnsi="Aptos" w:cs="Aptos"/>
          <w:b/>
          <w:bCs/>
        </w:rPr>
        <w:t>Key features of PCC in OA include:</w:t>
      </w:r>
    </w:p>
    <w:p w14:paraId="4DEAB8A9" w14:textId="77777777" w:rsidR="1F90C7C9" w:rsidRPr="00C72C53" w:rsidRDefault="5E050AB8" w:rsidP="00C72C53">
      <w:pPr>
        <w:spacing w:before="240" w:after="240" w:line="360" w:lineRule="auto"/>
        <w:ind w:left="360"/>
        <w:rPr>
          <w:rFonts w:eastAsia="Aptos" w:cs="Aptos"/>
        </w:rPr>
      </w:pPr>
      <w:r w:rsidRPr="00C72C53">
        <w:rPr>
          <w:rFonts w:eastAsia="Aptos" w:cs="Aptos"/>
        </w:rPr>
        <w:t>Shared decision-making between patients and healthcare professionals.</w:t>
      </w:r>
    </w:p>
    <w:p w14:paraId="40BAFB7E" w14:textId="77777777" w:rsidR="1F90C7C9" w:rsidRPr="00C72C53" w:rsidRDefault="5E050AB8" w:rsidP="00C72C53">
      <w:pPr>
        <w:spacing w:before="240" w:after="240" w:line="360" w:lineRule="auto"/>
        <w:ind w:left="360"/>
        <w:rPr>
          <w:rFonts w:eastAsia="Aptos" w:cs="Aptos"/>
        </w:rPr>
      </w:pPr>
      <w:r w:rsidRPr="00C72C53">
        <w:rPr>
          <w:rFonts w:eastAsia="Aptos" w:cs="Aptos"/>
        </w:rPr>
        <w:t>Individualised care plans, including lifestyle goals.</w:t>
      </w:r>
    </w:p>
    <w:p w14:paraId="604EF148" w14:textId="77777777" w:rsidR="1F90C7C9" w:rsidRPr="00C72C53" w:rsidRDefault="5E050AB8" w:rsidP="00C72C53">
      <w:pPr>
        <w:spacing w:before="240" w:after="240" w:line="360" w:lineRule="auto"/>
        <w:ind w:left="360"/>
        <w:rPr>
          <w:rFonts w:eastAsia="Aptos" w:cs="Aptos"/>
        </w:rPr>
      </w:pPr>
      <w:r w:rsidRPr="00C72C53">
        <w:rPr>
          <w:rFonts w:eastAsia="Aptos" w:cs="Aptos"/>
        </w:rPr>
        <w:t xml:space="preserve">Involving family or carers where </w:t>
      </w:r>
      <w:r w:rsidR="7B914F42" w:rsidRPr="00C72C53">
        <w:rPr>
          <w:rFonts w:eastAsia="Aptos" w:cs="Aptos"/>
        </w:rPr>
        <w:t>necessary</w:t>
      </w:r>
      <w:r w:rsidRPr="00C72C53">
        <w:rPr>
          <w:rFonts w:eastAsia="Aptos" w:cs="Aptos"/>
        </w:rPr>
        <w:t>.</w:t>
      </w:r>
      <w:r w:rsidR="7D5A86F2" w:rsidRPr="00C72C53">
        <w:rPr>
          <w:rFonts w:eastAsia="Aptos" w:cs="Aptos"/>
        </w:rPr>
        <w:t xml:space="preserve"> </w:t>
      </w:r>
    </w:p>
    <w:p w14:paraId="4F8B2F32" w14:textId="77777777" w:rsidR="1F90C7C9" w:rsidRPr="00C72C53" w:rsidRDefault="5E050AB8" w:rsidP="00C72C53">
      <w:pPr>
        <w:spacing w:before="240" w:after="240" w:line="360" w:lineRule="auto"/>
        <w:ind w:left="360"/>
        <w:rPr>
          <w:rFonts w:eastAsia="Aptos" w:cs="Aptos"/>
        </w:rPr>
      </w:pPr>
      <w:r w:rsidRPr="00C72C53">
        <w:rPr>
          <w:rFonts w:eastAsia="Aptos" w:cs="Aptos"/>
        </w:rPr>
        <w:t>Ongoing communication and support.</w:t>
      </w:r>
    </w:p>
    <w:p w14:paraId="299E7B6A" w14:textId="77777777" w:rsidR="1F90C7C9" w:rsidRPr="00C72C53" w:rsidRDefault="5E050AB8" w:rsidP="004D6700">
      <w:pPr>
        <w:spacing w:before="240" w:after="240" w:line="360" w:lineRule="auto"/>
        <w:jc w:val="both"/>
        <w:rPr>
          <w:rFonts w:eastAsia="Aptos" w:cs="Aptos"/>
        </w:rPr>
      </w:pPr>
      <w:r w:rsidRPr="00C72C53">
        <w:rPr>
          <w:rFonts w:eastAsia="Aptos" w:cs="Aptos"/>
        </w:rPr>
        <w:t>The NHS advocates PCC as part of the Long</w:t>
      </w:r>
      <w:r w:rsidR="5DCE7F2C" w:rsidRPr="00C72C53">
        <w:rPr>
          <w:rFonts w:eastAsia="Aptos" w:cs="Aptos"/>
        </w:rPr>
        <w:t>-</w:t>
      </w:r>
      <w:r w:rsidRPr="00C72C53">
        <w:rPr>
          <w:rFonts w:eastAsia="Aptos" w:cs="Aptos"/>
        </w:rPr>
        <w:t>Term Plan, recognising that empowering patients improves health outcomes and reduces unnecessary hospital visits (NHS England, 2019).</w:t>
      </w:r>
    </w:p>
    <w:p w14:paraId="3FF15AB7" w14:textId="77777777" w:rsidR="1F90C7C9" w:rsidRPr="00225D19" w:rsidRDefault="5E050AB8" w:rsidP="0314D2FB">
      <w:pPr>
        <w:pStyle w:val="Heading3"/>
        <w:spacing w:before="281" w:after="281"/>
        <w:rPr>
          <w:rFonts w:ascii="Aptos" w:eastAsia="Aptos" w:hAnsi="Aptos" w:cs="Aptos"/>
          <w:b/>
          <w:bCs/>
          <w:color w:val="auto"/>
        </w:rPr>
      </w:pPr>
      <w:bookmarkStart w:id="44" w:name="_Toc1643149127"/>
      <w:bookmarkStart w:id="45" w:name="_Toc211233981"/>
      <w:r w:rsidRPr="00225D19">
        <w:rPr>
          <w:rFonts w:ascii="Aptos" w:eastAsia="Aptos" w:hAnsi="Aptos" w:cs="Aptos"/>
          <w:b/>
          <w:bCs/>
          <w:color w:val="auto"/>
        </w:rPr>
        <w:t>Self-Management Approaches</w:t>
      </w:r>
      <w:bookmarkEnd w:id="44"/>
      <w:bookmarkEnd w:id="45"/>
    </w:p>
    <w:p w14:paraId="2931E3B7" w14:textId="77777777" w:rsidR="00734AEF" w:rsidRPr="00C72C53" w:rsidRDefault="7976C4D5" w:rsidP="00C72C53">
      <w:pPr>
        <w:spacing w:line="360" w:lineRule="auto"/>
        <w:jc w:val="both"/>
        <w:rPr>
          <w:rFonts w:eastAsia="Aptos" w:cs="Aptos"/>
        </w:rPr>
      </w:pPr>
      <w:r w:rsidRPr="00C72C53">
        <w:rPr>
          <w:rFonts w:eastAsia="Aptos" w:cs="Aptos"/>
        </w:rPr>
        <w:t>Self-management is a cornerstone of contemporary osteoarthritis care. Evidence shows that individuals who engage in symptom management through structured education, targeted exercise, and behavioural modification report improved physical function and reduced pain levels (Hurley et al., 2018).</w:t>
      </w:r>
    </w:p>
    <w:p w14:paraId="79F9B706" w14:textId="77777777" w:rsidR="00734AEF" w:rsidRDefault="5E050AB8" w:rsidP="00734AEF">
      <w:pPr>
        <w:spacing w:before="240" w:after="240"/>
        <w:ind w:left="360"/>
        <w:rPr>
          <w:rFonts w:ascii="Aptos" w:eastAsia="Aptos" w:hAnsi="Aptos" w:cs="Aptos"/>
          <w:b/>
          <w:bCs/>
        </w:rPr>
      </w:pPr>
      <w:r w:rsidRPr="0072004F">
        <w:rPr>
          <w:rFonts w:ascii="Aptos" w:eastAsia="Aptos" w:hAnsi="Aptos" w:cs="Aptos"/>
          <w:b/>
          <w:bCs/>
        </w:rPr>
        <w:t>Exercise and Physical Activity</w:t>
      </w:r>
    </w:p>
    <w:p w14:paraId="5A941CE4" w14:textId="57941DB5" w:rsidR="00633D5B" w:rsidRDefault="00633D5B" w:rsidP="00633D5B">
      <w:pPr>
        <w:spacing w:before="240" w:after="240" w:line="360" w:lineRule="auto"/>
        <w:ind w:left="360"/>
        <w:jc w:val="both"/>
        <w:rPr>
          <w:rFonts w:eastAsia="Aptos" w:cs="Aptos"/>
        </w:rPr>
      </w:pPr>
      <w:r w:rsidRPr="00633D5B">
        <w:rPr>
          <w:rFonts w:eastAsia="Aptos" w:cs="Aptos"/>
        </w:rPr>
        <w:lastRenderedPageBreak/>
        <w:t>Regular physical activity is vital in managing osteoarthritis (OA), strengthening periarticular muscles, improving joint flexibility, and reducing stiffness. NICE guidelines (2022) recommend exercise as a first-line intervention due to its effectiveness and low risk. Programmes like ESCAPE-pain combine education, behavioural strategies, and tailored exercise, improving pain, function, and quality of life for individuals with OA (Hurley et al., 2018; Versus Arthritis, 2023). Excess body weight increases mechanical stress on joints, worsening symptoms. Weight reduction is a core component of OA management, especially for those living with obesity. Support should be multidisciplinary, involving dietetic services, general practice, and community-based programmes (NICE, 2022).</w:t>
      </w:r>
    </w:p>
    <w:p w14:paraId="63A58812" w14:textId="1FFA2618" w:rsidR="7E1CF658" w:rsidRPr="00FC5850" w:rsidRDefault="5E050AB8" w:rsidP="0072004F">
      <w:pPr>
        <w:spacing w:before="240" w:after="240"/>
        <w:ind w:left="360"/>
        <w:rPr>
          <w:rFonts w:asciiTheme="majorHAnsi" w:eastAsia="Aptos" w:hAnsiTheme="majorHAnsi" w:cs="Aptos"/>
        </w:rPr>
      </w:pPr>
      <w:r w:rsidRPr="00FC5850">
        <w:rPr>
          <w:rFonts w:asciiTheme="majorHAnsi" w:eastAsia="Aptos" w:hAnsiTheme="majorHAnsi" w:cs="Aptos"/>
          <w:b/>
          <w:bCs/>
        </w:rPr>
        <w:t>Pain Management and Coping Strategies</w:t>
      </w:r>
    </w:p>
    <w:p w14:paraId="60621738" w14:textId="77777777" w:rsidR="1F90C7C9" w:rsidRPr="00225D19" w:rsidRDefault="5C75318F" w:rsidP="00A71262">
      <w:pPr>
        <w:spacing w:before="240" w:after="240" w:line="360" w:lineRule="auto"/>
        <w:ind w:left="720"/>
        <w:jc w:val="both"/>
      </w:pPr>
      <w:r w:rsidRPr="00225D19">
        <w:t>Individuals living with osteoarthritis are encouraged to adopt a combination of physical activity, pacing strategies, and relaxation techniques to manage symptom flare-ups. Educational workshops and peer-led group sessions such as those eased by Versus Arthritis offer valuable psychosocial support, helping to reduce isolation and anxiety while promoting self-efficacy in condition management (Versus Arthritis, 2019).</w:t>
      </w:r>
    </w:p>
    <w:p w14:paraId="2E21A2C6" w14:textId="77777777" w:rsidR="00B53262" w:rsidRDefault="5E050AB8" w:rsidP="001014E1">
      <w:pPr>
        <w:spacing w:before="240" w:after="240"/>
        <w:ind w:left="360"/>
        <w:rPr>
          <w:rFonts w:ascii="Aptos" w:eastAsia="Aptos" w:hAnsi="Aptos" w:cs="Aptos"/>
          <w:b/>
          <w:bCs/>
        </w:rPr>
      </w:pPr>
      <w:r w:rsidRPr="0072004F">
        <w:rPr>
          <w:rFonts w:ascii="Aptos" w:eastAsia="Aptos" w:hAnsi="Aptos" w:cs="Aptos"/>
          <w:b/>
          <w:bCs/>
        </w:rPr>
        <w:t>Digital and Remote Support</w:t>
      </w:r>
    </w:p>
    <w:p w14:paraId="5B6E6131" w14:textId="77777777" w:rsidR="005B06F8" w:rsidRPr="001014E1" w:rsidRDefault="439AFC83" w:rsidP="00A71262">
      <w:pPr>
        <w:spacing w:before="240" w:after="240" w:line="360" w:lineRule="auto"/>
        <w:ind w:left="360"/>
        <w:jc w:val="both"/>
      </w:pPr>
      <w:r w:rsidRPr="00225D19">
        <w:t>The growth of telehealth and mobile health applications has expanded access to exercise guidance, symptom tracking, and educational resources for individuals managing osteoarthritis  from home</w:t>
      </w:r>
      <w:r w:rsidR="005B06F8">
        <w:t xml:space="preserve"> (NICE, 2025)</w:t>
      </w:r>
      <w:r w:rsidRPr="00225D19">
        <w:t>. However, for older adults, the effectiveness of these digital tools depends on their usability and the provision of right training and support to prevent digital exclusion (Greenhalgh et al., 2020).</w:t>
      </w:r>
    </w:p>
    <w:p w14:paraId="349377C8" w14:textId="77777777" w:rsidR="1F90C7C9" w:rsidRPr="00FC5850" w:rsidRDefault="5E050AB8" w:rsidP="12808FF5">
      <w:pPr>
        <w:pStyle w:val="Heading3"/>
        <w:spacing w:before="281" w:after="281"/>
        <w:rPr>
          <w:rFonts w:asciiTheme="majorHAnsi" w:eastAsia="Aptos" w:hAnsiTheme="majorHAnsi" w:cs="Aptos"/>
          <w:b/>
          <w:bCs/>
          <w:color w:val="auto"/>
        </w:rPr>
      </w:pPr>
      <w:bookmarkStart w:id="46" w:name="_Toc907805236"/>
      <w:bookmarkStart w:id="47" w:name="_Toc211233982"/>
      <w:r w:rsidRPr="00FC5850">
        <w:rPr>
          <w:rFonts w:asciiTheme="majorHAnsi" w:eastAsia="Aptos" w:hAnsiTheme="majorHAnsi" w:cs="Aptos"/>
          <w:b/>
          <w:bCs/>
          <w:color w:val="auto"/>
        </w:rPr>
        <w:t>End-of-Life Care Considerations</w:t>
      </w:r>
      <w:bookmarkEnd w:id="46"/>
      <w:bookmarkEnd w:id="47"/>
    </w:p>
    <w:p w14:paraId="18670B7A" w14:textId="77777777" w:rsidR="1F90C7C9" w:rsidRPr="00225D19" w:rsidRDefault="4B973953" w:rsidP="00A71262">
      <w:pPr>
        <w:spacing w:before="240" w:after="240" w:line="360" w:lineRule="auto"/>
        <w:jc w:val="both"/>
        <w:rPr>
          <w:rFonts w:ascii="Aptos" w:eastAsia="Aptos" w:hAnsi="Aptos" w:cs="Aptos"/>
          <w:b/>
          <w:bCs/>
        </w:rPr>
      </w:pPr>
      <w:r w:rsidRPr="00225D19">
        <w:t>Although osteoarthritis is not a terminal condition, advanced cases particularly when compounded by other chronic illnesses can lead to significant disability and diminished quality of life in later years</w:t>
      </w:r>
      <w:r w:rsidR="000730FA">
        <w:t xml:space="preserve"> </w:t>
      </w:r>
      <w:r w:rsidR="000730FA" w:rsidRPr="000730FA">
        <w:t>(NICE, 2022)</w:t>
      </w:r>
      <w:r w:rsidRPr="00225D19">
        <w:t xml:space="preserve">. In such contexts, palliative approaches may be proper to support pain relief, preserve dignity, and promote independence (WHO, 2020). Advance care planning, carer support, and access to social care services become </w:t>
      </w:r>
      <w:r w:rsidRPr="00225D19">
        <w:lastRenderedPageBreak/>
        <w:t>increasingly vital, especially for individuals who are not candidates for surgical or intensive medical interventions.</w:t>
      </w:r>
      <w:r w:rsidRPr="00225D19">
        <w:rPr>
          <w:rFonts w:ascii="Aptos" w:eastAsia="Aptos" w:hAnsi="Aptos" w:cs="Aptos"/>
          <w:b/>
          <w:bCs/>
        </w:rPr>
        <w:t xml:space="preserve"> </w:t>
      </w:r>
    </w:p>
    <w:p w14:paraId="442FF64D" w14:textId="77777777" w:rsidR="1F90C7C9" w:rsidRPr="00FC5850" w:rsidRDefault="5E050AB8" w:rsidP="0314D2FB">
      <w:pPr>
        <w:pStyle w:val="Heading3"/>
        <w:spacing w:before="281" w:after="281"/>
        <w:rPr>
          <w:rFonts w:asciiTheme="majorHAnsi" w:eastAsia="Aptos" w:hAnsiTheme="majorHAnsi" w:cs="Aptos"/>
          <w:b/>
          <w:bCs/>
          <w:color w:val="auto"/>
        </w:rPr>
      </w:pPr>
      <w:bookmarkStart w:id="48" w:name="_Toc1228361988"/>
      <w:bookmarkStart w:id="49" w:name="_Toc211233983"/>
      <w:r w:rsidRPr="00FC5850">
        <w:rPr>
          <w:rFonts w:asciiTheme="majorHAnsi" w:eastAsia="Aptos" w:hAnsiTheme="majorHAnsi" w:cs="Aptos"/>
          <w:b/>
          <w:bCs/>
          <w:color w:val="auto"/>
        </w:rPr>
        <w:t>Critical Evaluation</w:t>
      </w:r>
      <w:bookmarkEnd w:id="48"/>
      <w:bookmarkEnd w:id="49"/>
    </w:p>
    <w:p w14:paraId="7F08BD8A" w14:textId="77777777" w:rsidR="00357648" w:rsidRPr="00A71262" w:rsidRDefault="17EE6FF1" w:rsidP="00A71262">
      <w:pPr>
        <w:spacing w:line="360" w:lineRule="auto"/>
        <w:jc w:val="both"/>
        <w:rPr>
          <w:rFonts w:eastAsia="Aptos" w:cs="Aptos"/>
        </w:rPr>
      </w:pPr>
      <w:r w:rsidRPr="00A71262">
        <w:rPr>
          <w:rFonts w:eastAsia="Aptos" w:cs="Aptos"/>
        </w:rPr>
        <w:t xml:space="preserve">While person-centred care (PCC) and self-management are widely endorsed in osteoarthritis  policy and practice, implementation challenges persist. Regional disparities in service provision mean that some individuals lack access to physiotherapy or structured support programmes (Versus Arthritis, 2019). </w:t>
      </w:r>
    </w:p>
    <w:p w14:paraId="0D5C419C" w14:textId="77777777" w:rsidR="001014E1" w:rsidRPr="00A71262" w:rsidRDefault="17EE6FF1" w:rsidP="00A71262">
      <w:pPr>
        <w:spacing w:line="360" w:lineRule="auto"/>
        <w:jc w:val="both"/>
        <w:rPr>
          <w:rFonts w:eastAsia="Aptos" w:cs="Aptos"/>
        </w:rPr>
      </w:pPr>
      <w:r w:rsidRPr="00A71262">
        <w:rPr>
          <w:rFonts w:eastAsia="Aptos" w:cs="Aptos"/>
        </w:rPr>
        <w:t>Added barriers</w:t>
      </w:r>
      <w:r w:rsidR="528AA698" w:rsidRPr="00A71262">
        <w:rPr>
          <w:rFonts w:eastAsia="Aptos" w:cs="Aptos"/>
        </w:rPr>
        <w:t xml:space="preserve"> </w:t>
      </w:r>
      <w:r w:rsidRPr="00A71262">
        <w:rPr>
          <w:rFonts w:eastAsia="Aptos" w:cs="Aptos"/>
        </w:rPr>
        <w:t>including low health literacy, mobility limitations, and financial constraints</w:t>
      </w:r>
      <w:r w:rsidR="500C2009" w:rsidRPr="00A71262">
        <w:rPr>
          <w:rFonts w:eastAsia="Aptos" w:cs="Aptos"/>
        </w:rPr>
        <w:t xml:space="preserve"> </w:t>
      </w:r>
      <w:r w:rsidRPr="00A71262">
        <w:rPr>
          <w:rFonts w:eastAsia="Aptos" w:cs="Aptos"/>
        </w:rPr>
        <w:t>further hinder engagement with recommended interventions. Although digital tools offer promising avenues for remote support, older adults may struggle to adopt these technologies without right training and aid (Greenhalgh et al., 2020). To be effective, PCC and self-management must be underpinned by fair funding, robust community infrastructure, and sustained family and carer support.</w:t>
      </w:r>
    </w:p>
    <w:p w14:paraId="274DB57F" w14:textId="77777777" w:rsidR="1F90C7C9" w:rsidRPr="00FC5850" w:rsidRDefault="5E050AB8" w:rsidP="001014E1">
      <w:pPr>
        <w:pStyle w:val="Heading1"/>
        <w:rPr>
          <w:b/>
          <w:bCs/>
          <w:color w:val="auto"/>
          <w:sz w:val="28"/>
          <w:szCs w:val="28"/>
        </w:rPr>
      </w:pPr>
      <w:bookmarkStart w:id="50" w:name="_Toc211233984"/>
      <w:r w:rsidRPr="00FC5850">
        <w:rPr>
          <w:b/>
          <w:bCs/>
          <w:color w:val="auto"/>
          <w:sz w:val="28"/>
          <w:szCs w:val="28"/>
        </w:rPr>
        <w:t>Recommendations and Conclusion</w:t>
      </w:r>
      <w:bookmarkEnd w:id="50"/>
    </w:p>
    <w:p w14:paraId="6B3888F9" w14:textId="77777777" w:rsidR="00751F9B" w:rsidRDefault="5E050AB8" w:rsidP="00751F9B">
      <w:pPr>
        <w:spacing w:before="240" w:after="240"/>
        <w:ind w:left="360"/>
        <w:rPr>
          <w:rFonts w:ascii="Aptos" w:eastAsia="Aptos" w:hAnsi="Aptos" w:cs="Aptos"/>
          <w:b/>
          <w:bCs/>
        </w:rPr>
      </w:pPr>
      <w:r w:rsidRPr="00751F9B">
        <w:rPr>
          <w:rFonts w:ascii="Aptos" w:eastAsia="Aptos" w:hAnsi="Aptos" w:cs="Aptos"/>
          <w:b/>
          <w:bCs/>
        </w:rPr>
        <w:t>Expand Access to Community-Based Programmes</w:t>
      </w:r>
    </w:p>
    <w:p w14:paraId="72EBAF5E" w14:textId="77777777" w:rsidR="1F90C7C9" w:rsidRPr="008D56FD" w:rsidRDefault="5E050AB8" w:rsidP="008D56FD">
      <w:pPr>
        <w:spacing w:before="240" w:after="240" w:line="360" w:lineRule="auto"/>
        <w:ind w:left="360"/>
        <w:jc w:val="both"/>
        <w:rPr>
          <w:rFonts w:eastAsia="Aptos" w:cs="Aptos"/>
          <w:b/>
          <w:bCs/>
        </w:rPr>
      </w:pPr>
      <w:r w:rsidRPr="008D56FD">
        <w:rPr>
          <w:rFonts w:eastAsia="Aptos" w:cs="Aptos"/>
        </w:rPr>
        <w:t xml:space="preserve">National rollout of evidence-based initiatives such as ESCAPE-pain should be prioritised, ensuring </w:t>
      </w:r>
      <w:r w:rsidR="6D229BF9" w:rsidRPr="008D56FD">
        <w:rPr>
          <w:rFonts w:eastAsia="Aptos" w:cs="Aptos"/>
        </w:rPr>
        <w:t>fair</w:t>
      </w:r>
      <w:r w:rsidRPr="008D56FD">
        <w:rPr>
          <w:rFonts w:eastAsia="Aptos" w:cs="Aptos"/>
        </w:rPr>
        <w:t xml:space="preserve"> access regardless of location. Funding must be protected to avoid postcode lotteries in physiotherapy and exercise provision.</w:t>
      </w:r>
    </w:p>
    <w:p w14:paraId="56B38D2D" w14:textId="77777777" w:rsidR="006255BF" w:rsidRPr="008D56FD" w:rsidRDefault="5E050AB8" w:rsidP="008D56FD">
      <w:pPr>
        <w:spacing w:before="240" w:after="240" w:line="360" w:lineRule="auto"/>
        <w:ind w:left="360"/>
        <w:jc w:val="both"/>
        <w:rPr>
          <w:rFonts w:eastAsia="Aptos" w:cs="Aptos"/>
          <w:b/>
          <w:bCs/>
        </w:rPr>
      </w:pPr>
      <w:r w:rsidRPr="008D56FD">
        <w:rPr>
          <w:rFonts w:eastAsia="Aptos" w:cs="Aptos"/>
          <w:b/>
          <w:bCs/>
        </w:rPr>
        <w:t>Address Health Inequalities</w:t>
      </w:r>
    </w:p>
    <w:p w14:paraId="475C7802" w14:textId="50F7AB58" w:rsidR="008D56FD" w:rsidRDefault="5E050AB8" w:rsidP="00AA4E01">
      <w:pPr>
        <w:spacing w:before="240" w:after="240" w:line="360" w:lineRule="auto"/>
        <w:ind w:left="360"/>
        <w:jc w:val="both"/>
        <w:rPr>
          <w:rFonts w:eastAsia="Aptos" w:cs="Aptos"/>
        </w:rPr>
      </w:pPr>
      <w:r w:rsidRPr="008D56FD">
        <w:rPr>
          <w:rFonts w:eastAsia="Aptos" w:cs="Aptos"/>
        </w:rPr>
        <w:t>Targeted support should be offered to those in deprived areas, who are more likely to develop OA earlier and experience worse outcomes (Versus Arthritis, 2019). Initiatives could include free community exercise classes, transport support</w:t>
      </w:r>
      <w:r w:rsidR="7D12B4F5" w:rsidRPr="008D56FD">
        <w:rPr>
          <w:rFonts w:eastAsia="Aptos" w:cs="Aptos"/>
        </w:rPr>
        <w:t>,</w:t>
      </w:r>
      <w:r w:rsidRPr="008D56FD">
        <w:rPr>
          <w:rFonts w:eastAsia="Aptos" w:cs="Aptos"/>
        </w:rPr>
        <w:t xml:space="preserve"> and culturally tailored education materials.</w:t>
      </w:r>
    </w:p>
    <w:p w14:paraId="00A267EB" w14:textId="77777777" w:rsidR="00FC5850" w:rsidRDefault="00FC5850" w:rsidP="00AA4E01">
      <w:pPr>
        <w:spacing w:before="240" w:after="240" w:line="360" w:lineRule="auto"/>
        <w:ind w:left="360"/>
        <w:jc w:val="both"/>
        <w:rPr>
          <w:rFonts w:eastAsia="Aptos" w:cs="Aptos"/>
        </w:rPr>
      </w:pPr>
    </w:p>
    <w:p w14:paraId="371DA9F7" w14:textId="77777777" w:rsidR="00F446E7" w:rsidRDefault="00F446E7" w:rsidP="00AA4E01">
      <w:pPr>
        <w:spacing w:before="240" w:after="240" w:line="360" w:lineRule="auto"/>
        <w:ind w:left="360"/>
        <w:jc w:val="both"/>
        <w:rPr>
          <w:rFonts w:eastAsia="Aptos" w:cs="Aptos"/>
        </w:rPr>
      </w:pPr>
    </w:p>
    <w:p w14:paraId="24AF9D23" w14:textId="77777777" w:rsidR="00F446E7" w:rsidRPr="008D56FD" w:rsidRDefault="00F446E7" w:rsidP="00AA4E01">
      <w:pPr>
        <w:spacing w:before="240" w:after="240" w:line="360" w:lineRule="auto"/>
        <w:ind w:left="360"/>
        <w:jc w:val="both"/>
        <w:rPr>
          <w:rFonts w:eastAsia="Aptos" w:cs="Aptos"/>
        </w:rPr>
      </w:pPr>
    </w:p>
    <w:p w14:paraId="4174C4A3" w14:textId="77777777" w:rsidR="002E1BB6" w:rsidRPr="008D56FD" w:rsidRDefault="5E050AB8" w:rsidP="008D56FD">
      <w:pPr>
        <w:spacing w:before="240" w:after="240" w:line="360" w:lineRule="auto"/>
        <w:ind w:left="360"/>
        <w:jc w:val="both"/>
        <w:rPr>
          <w:rFonts w:eastAsia="Aptos" w:cs="Aptos"/>
          <w:b/>
          <w:bCs/>
        </w:rPr>
      </w:pPr>
      <w:r w:rsidRPr="008D56FD">
        <w:rPr>
          <w:rFonts w:eastAsia="Aptos" w:cs="Aptos"/>
          <w:b/>
          <w:bCs/>
        </w:rPr>
        <w:lastRenderedPageBreak/>
        <w:t>Enhance Integration of Services</w:t>
      </w:r>
    </w:p>
    <w:p w14:paraId="37A867E0" w14:textId="77777777" w:rsidR="1F90C7C9" w:rsidRPr="008D56FD" w:rsidRDefault="5E050AB8" w:rsidP="008D56FD">
      <w:pPr>
        <w:spacing w:before="240" w:after="240" w:line="360" w:lineRule="auto"/>
        <w:ind w:left="360"/>
        <w:jc w:val="both"/>
        <w:rPr>
          <w:rFonts w:eastAsia="Aptos" w:cs="Aptos"/>
          <w:b/>
          <w:bCs/>
        </w:rPr>
      </w:pPr>
      <w:r w:rsidRPr="008D56FD">
        <w:rPr>
          <w:rFonts w:eastAsia="Aptos" w:cs="Aptos"/>
        </w:rPr>
        <w:t>Integrated Care Systems (ICS) should ensure seamless collaboration between GPs, physiotherapists, dieticians</w:t>
      </w:r>
      <w:r w:rsidR="697CABE2" w:rsidRPr="008D56FD">
        <w:rPr>
          <w:rFonts w:eastAsia="Aptos" w:cs="Aptos"/>
        </w:rPr>
        <w:t>,</w:t>
      </w:r>
      <w:r w:rsidRPr="008D56FD">
        <w:rPr>
          <w:rFonts w:eastAsia="Aptos" w:cs="Aptos"/>
        </w:rPr>
        <w:t xml:space="preserve"> and social care providers, reducing fragmented care pathways</w:t>
      </w:r>
      <w:r w:rsidR="005F42F9" w:rsidRPr="008D56FD">
        <w:t xml:space="preserve"> </w:t>
      </w:r>
      <w:r w:rsidR="005F42F9" w:rsidRPr="008D56FD">
        <w:rPr>
          <w:rFonts w:eastAsia="Aptos" w:cs="Aptos"/>
        </w:rPr>
        <w:t>(NHS England, 2022)</w:t>
      </w:r>
    </w:p>
    <w:p w14:paraId="52A5BADD" w14:textId="77777777" w:rsidR="005E2A8A" w:rsidRDefault="5E050AB8" w:rsidP="005E2A8A">
      <w:pPr>
        <w:spacing w:before="240" w:after="240"/>
        <w:ind w:left="360"/>
        <w:rPr>
          <w:rFonts w:ascii="Aptos" w:eastAsia="Aptos" w:hAnsi="Aptos" w:cs="Aptos"/>
          <w:b/>
          <w:bCs/>
        </w:rPr>
      </w:pPr>
      <w:r w:rsidRPr="00751F9B">
        <w:rPr>
          <w:rFonts w:ascii="Aptos" w:eastAsia="Aptos" w:hAnsi="Aptos" w:cs="Aptos"/>
          <w:b/>
          <w:bCs/>
        </w:rPr>
        <w:t>Invest in Digital Inclusion</w:t>
      </w:r>
    </w:p>
    <w:p w14:paraId="3AFE9CDB" w14:textId="77777777" w:rsidR="1F90C7C9" w:rsidRPr="008D56FD" w:rsidRDefault="5E050AB8" w:rsidP="008D56FD">
      <w:pPr>
        <w:spacing w:before="240" w:after="240" w:line="360" w:lineRule="auto"/>
        <w:ind w:left="360"/>
        <w:jc w:val="both"/>
        <w:rPr>
          <w:rFonts w:eastAsia="Aptos" w:cs="Aptos"/>
        </w:rPr>
      </w:pPr>
      <w:r w:rsidRPr="008D56FD">
        <w:rPr>
          <w:rFonts w:eastAsia="Aptos" w:cs="Aptos"/>
        </w:rPr>
        <w:t>Digital health tools should be developed with older adults in mind, ensuring accessibility. Local services should offer training for patients and carers to confidently use telehealth platforms</w:t>
      </w:r>
      <w:r w:rsidR="00CA321B" w:rsidRPr="008D56FD">
        <w:t xml:space="preserve"> (</w:t>
      </w:r>
      <w:r w:rsidR="00CA321B" w:rsidRPr="008D56FD">
        <w:rPr>
          <w:rFonts w:eastAsia="Aptos" w:cs="Aptos"/>
        </w:rPr>
        <w:t>Age UK, 2023)</w:t>
      </w:r>
      <w:r w:rsidRPr="008D56FD">
        <w:rPr>
          <w:rFonts w:eastAsia="Aptos" w:cs="Aptos"/>
        </w:rPr>
        <w:t>.</w:t>
      </w:r>
    </w:p>
    <w:p w14:paraId="54D45EF7" w14:textId="77777777" w:rsidR="00701651" w:rsidRDefault="5E050AB8" w:rsidP="00701651">
      <w:pPr>
        <w:spacing w:before="240" w:after="240"/>
        <w:ind w:left="360"/>
        <w:rPr>
          <w:rFonts w:ascii="Aptos" w:eastAsia="Aptos" w:hAnsi="Aptos" w:cs="Aptos"/>
        </w:rPr>
      </w:pPr>
      <w:r w:rsidRPr="00751F9B">
        <w:rPr>
          <w:rFonts w:ascii="Aptos" w:eastAsia="Aptos" w:hAnsi="Aptos" w:cs="Aptos"/>
          <w:b/>
          <w:bCs/>
        </w:rPr>
        <w:t>Promote Research and Innovation</w:t>
      </w:r>
    </w:p>
    <w:p w14:paraId="724C08A9" w14:textId="77777777" w:rsidR="00701651" w:rsidRPr="008D56FD" w:rsidRDefault="5E050AB8" w:rsidP="008D56FD">
      <w:pPr>
        <w:spacing w:before="240" w:after="240" w:line="360" w:lineRule="auto"/>
        <w:ind w:left="360"/>
        <w:jc w:val="both"/>
        <w:rPr>
          <w:rFonts w:eastAsia="Aptos" w:cs="Aptos"/>
        </w:rPr>
      </w:pPr>
      <w:r w:rsidRPr="008D56FD">
        <w:rPr>
          <w:rFonts w:eastAsia="Aptos" w:cs="Aptos"/>
        </w:rPr>
        <w:t>More investment in regenerative therapies, joint preservation techniques and non-surgical interventions is needed to expand treatment options and reduce reliance on joint replacement surgery</w:t>
      </w:r>
      <w:r w:rsidR="00D4547C" w:rsidRPr="008D56FD">
        <w:t xml:space="preserve"> (</w:t>
      </w:r>
      <w:r w:rsidR="00D4547C" w:rsidRPr="008D56FD">
        <w:rPr>
          <w:rFonts w:eastAsia="Aptos" w:cs="Aptos"/>
        </w:rPr>
        <w:t>Versus Arthritis, 2023)</w:t>
      </w:r>
      <w:r w:rsidRPr="008D56FD">
        <w:rPr>
          <w:rFonts w:eastAsia="Aptos" w:cs="Aptos"/>
        </w:rPr>
        <w:t>.</w:t>
      </w:r>
    </w:p>
    <w:p w14:paraId="69F540EA" w14:textId="77777777" w:rsidR="00051B66" w:rsidRDefault="5E050AB8" w:rsidP="00051B66">
      <w:pPr>
        <w:spacing w:before="240" w:after="240"/>
        <w:ind w:left="360"/>
        <w:rPr>
          <w:rFonts w:ascii="Aptos" w:eastAsia="Aptos" w:hAnsi="Aptos" w:cs="Aptos"/>
          <w:b/>
          <w:bCs/>
        </w:rPr>
      </w:pPr>
      <w:r w:rsidRPr="00751F9B">
        <w:rPr>
          <w:rFonts w:ascii="Aptos" w:eastAsia="Aptos" w:hAnsi="Aptos" w:cs="Aptos"/>
          <w:b/>
          <w:bCs/>
        </w:rPr>
        <w:t>Strengthen Carer Support</w:t>
      </w:r>
    </w:p>
    <w:p w14:paraId="00C8453A" w14:textId="77777777" w:rsidR="1F90C7C9" w:rsidRPr="008D56FD" w:rsidRDefault="5E050AB8" w:rsidP="008D56FD">
      <w:pPr>
        <w:spacing w:before="240" w:after="240" w:line="360" w:lineRule="auto"/>
        <w:ind w:left="360"/>
        <w:jc w:val="both"/>
        <w:rPr>
          <w:rFonts w:eastAsia="Aptos" w:cs="Aptos"/>
          <w:b/>
          <w:bCs/>
        </w:rPr>
      </w:pPr>
      <w:r w:rsidRPr="008D56FD">
        <w:rPr>
          <w:rFonts w:eastAsia="Aptos" w:cs="Aptos"/>
        </w:rPr>
        <w:t>Families providing care need structured support, such as respite services, financial allowances</w:t>
      </w:r>
      <w:r w:rsidR="3DBAB9F3" w:rsidRPr="008D56FD">
        <w:rPr>
          <w:rFonts w:eastAsia="Aptos" w:cs="Aptos"/>
        </w:rPr>
        <w:t>,</w:t>
      </w:r>
      <w:r w:rsidRPr="008D56FD">
        <w:rPr>
          <w:rFonts w:eastAsia="Aptos" w:cs="Aptos"/>
        </w:rPr>
        <w:t xml:space="preserve"> and educational programmes. Recognising carers within care planning will improve outcomes for both patients and families</w:t>
      </w:r>
      <w:r w:rsidR="00BB7FA1" w:rsidRPr="008D56FD">
        <w:t xml:space="preserve"> (</w:t>
      </w:r>
      <w:r w:rsidR="00BB7FA1" w:rsidRPr="008D56FD">
        <w:rPr>
          <w:rFonts w:eastAsia="Aptos" w:cs="Aptos"/>
        </w:rPr>
        <w:t>NHS England, 2022)</w:t>
      </w:r>
      <w:r w:rsidRPr="008D56FD">
        <w:rPr>
          <w:rFonts w:eastAsia="Aptos" w:cs="Aptos"/>
        </w:rPr>
        <w:t>.</w:t>
      </w:r>
    </w:p>
    <w:p w14:paraId="1E146AFC" w14:textId="77777777" w:rsidR="00BB7FA1" w:rsidRDefault="5E050AB8" w:rsidP="00751F9B">
      <w:pPr>
        <w:spacing w:before="240" w:after="240"/>
        <w:ind w:left="360"/>
      </w:pPr>
      <w:r w:rsidRPr="00751F9B">
        <w:rPr>
          <w:rFonts w:ascii="Aptos" w:eastAsia="Aptos" w:hAnsi="Aptos" w:cs="Aptos"/>
          <w:b/>
          <w:bCs/>
        </w:rPr>
        <w:t>End-of-Life Planning for Complex Cases</w:t>
      </w:r>
    </w:p>
    <w:p w14:paraId="1CE500C0" w14:textId="77777777" w:rsidR="00FC5850" w:rsidRDefault="5E050AB8" w:rsidP="00FC5850">
      <w:pPr>
        <w:spacing w:before="240" w:after="240" w:line="360" w:lineRule="auto"/>
        <w:ind w:left="360"/>
        <w:jc w:val="both"/>
        <w:rPr>
          <w:rFonts w:eastAsia="Aptos" w:cs="Aptos"/>
        </w:rPr>
      </w:pPr>
      <w:r w:rsidRPr="008D56FD">
        <w:rPr>
          <w:rFonts w:eastAsia="Aptos" w:cs="Aptos"/>
        </w:rPr>
        <w:t>While OA is not fatal, for patients with multiple long-term conditions, healthcare teams should provide guidance on palliative options, pain relief</w:t>
      </w:r>
      <w:r w:rsidR="6AA78E42" w:rsidRPr="008D56FD">
        <w:rPr>
          <w:rFonts w:eastAsia="Aptos" w:cs="Aptos"/>
        </w:rPr>
        <w:t>,</w:t>
      </w:r>
      <w:r w:rsidRPr="008D56FD">
        <w:rPr>
          <w:rFonts w:eastAsia="Aptos" w:cs="Aptos"/>
        </w:rPr>
        <w:t xml:space="preserve"> and dignity-preserving care</w:t>
      </w:r>
      <w:r w:rsidR="00533E62" w:rsidRPr="008D56FD">
        <w:t xml:space="preserve"> </w:t>
      </w:r>
      <w:r w:rsidR="00533E62" w:rsidRPr="008D56FD">
        <w:rPr>
          <w:rFonts w:eastAsia="Aptos" w:cs="Aptos"/>
        </w:rPr>
        <w:t>(NICE, 2023)</w:t>
      </w:r>
      <w:r w:rsidRPr="008D56FD">
        <w:rPr>
          <w:rFonts w:eastAsia="Aptos" w:cs="Aptos"/>
        </w:rPr>
        <w:t>.</w:t>
      </w:r>
      <w:bookmarkStart w:id="51" w:name="_Toc1062443047"/>
      <w:bookmarkStart w:id="52" w:name="_Toc211233985"/>
    </w:p>
    <w:p w14:paraId="35F0CEB4" w14:textId="77777777" w:rsidR="00F446E7" w:rsidRDefault="00F446E7" w:rsidP="00FC5850">
      <w:pPr>
        <w:spacing w:before="240" w:after="240" w:line="360" w:lineRule="auto"/>
        <w:ind w:left="360"/>
        <w:jc w:val="both"/>
        <w:rPr>
          <w:rFonts w:eastAsia="Aptos" w:cs="Aptos"/>
        </w:rPr>
      </w:pPr>
    </w:p>
    <w:p w14:paraId="31F3AB70" w14:textId="77777777" w:rsidR="00F446E7" w:rsidRDefault="00F446E7" w:rsidP="00FC5850">
      <w:pPr>
        <w:spacing w:before="240" w:after="240" w:line="360" w:lineRule="auto"/>
        <w:ind w:left="360"/>
        <w:jc w:val="both"/>
        <w:rPr>
          <w:rFonts w:eastAsia="Aptos" w:cs="Aptos"/>
        </w:rPr>
      </w:pPr>
    </w:p>
    <w:p w14:paraId="0CB23308" w14:textId="77777777" w:rsidR="00F446E7" w:rsidRDefault="00F446E7" w:rsidP="00FC5850">
      <w:pPr>
        <w:spacing w:before="240" w:after="240" w:line="360" w:lineRule="auto"/>
        <w:ind w:left="360"/>
        <w:jc w:val="both"/>
        <w:rPr>
          <w:rFonts w:eastAsia="Aptos" w:cs="Aptos"/>
        </w:rPr>
      </w:pPr>
    </w:p>
    <w:p w14:paraId="124AAC62" w14:textId="77777777" w:rsidR="00F446E7" w:rsidRDefault="00F446E7" w:rsidP="00FC5850">
      <w:pPr>
        <w:spacing w:before="240" w:after="240" w:line="360" w:lineRule="auto"/>
        <w:ind w:left="360"/>
        <w:jc w:val="both"/>
        <w:rPr>
          <w:rFonts w:eastAsia="Aptos" w:cs="Aptos"/>
        </w:rPr>
      </w:pPr>
    </w:p>
    <w:p w14:paraId="567A1220" w14:textId="77777777" w:rsidR="00F446E7" w:rsidRDefault="00F446E7" w:rsidP="00FC5850">
      <w:pPr>
        <w:spacing w:before="240" w:after="240" w:line="360" w:lineRule="auto"/>
        <w:ind w:left="360"/>
        <w:jc w:val="both"/>
        <w:rPr>
          <w:rFonts w:eastAsia="Aptos" w:cs="Aptos"/>
        </w:rPr>
      </w:pPr>
    </w:p>
    <w:p w14:paraId="07B844DF" w14:textId="2DAE905D" w:rsidR="006D5AE5" w:rsidRPr="00FC5850" w:rsidRDefault="006D5AE5" w:rsidP="00FC5850">
      <w:pPr>
        <w:spacing w:before="240" w:after="240" w:line="360" w:lineRule="auto"/>
        <w:ind w:left="360"/>
        <w:jc w:val="both"/>
        <w:rPr>
          <w:rFonts w:eastAsia="Aptos" w:cs="Aptos"/>
        </w:rPr>
      </w:pPr>
      <w:r w:rsidRPr="00FC5850">
        <w:rPr>
          <w:rFonts w:asciiTheme="majorHAnsi" w:hAnsiTheme="majorHAnsi"/>
          <w:b/>
          <w:bCs/>
          <w:sz w:val="28"/>
          <w:szCs w:val="28"/>
        </w:rPr>
        <w:lastRenderedPageBreak/>
        <w:t>Conclusion</w:t>
      </w:r>
      <w:bookmarkEnd w:id="51"/>
      <w:bookmarkEnd w:id="52"/>
    </w:p>
    <w:p w14:paraId="32E3B3BB" w14:textId="6CC0A6E9" w:rsidR="00DF18B2" w:rsidRDefault="00DF18B2" w:rsidP="00DF18B2">
      <w:pPr>
        <w:spacing w:line="360" w:lineRule="auto"/>
        <w:jc w:val="both"/>
      </w:pPr>
      <w:r w:rsidRPr="00DF18B2">
        <w:t>Osteoarthritis (OA) is a multifactorial condition influenced by modifiable and non-modifiable risk factors. Age is the strongest predictor, with risk increasing after 45 due to reduced cartilage resilience (</w:t>
      </w:r>
      <w:proofErr w:type="spellStart"/>
      <w:r w:rsidRPr="00DF18B2">
        <w:t>Litwic</w:t>
      </w:r>
      <w:proofErr w:type="spellEnd"/>
      <w:r w:rsidRPr="00DF18B2">
        <w:t xml:space="preserve"> et al., 2013). Women are more commonly affected post-menopause, suggesting hormonal changes may contribute to onset (Srikanth et al., 2005). Genetic predisposition also plays a role, particularly in those with a family history of hand or hip OA (</w:t>
      </w:r>
      <w:proofErr w:type="spellStart"/>
      <w:r w:rsidRPr="00DF18B2">
        <w:t>Zengini</w:t>
      </w:r>
      <w:proofErr w:type="spellEnd"/>
      <w:r w:rsidRPr="00DF18B2">
        <w:t>, Finan and Wilkinson, 2016). Obesity places excess strain on load-bearing joints and promotes systemic inflammation, accelerating joint damage (Vincent et al., 2012). Other risks include previous joint injuries (NICE, 2022) and occupations involving heavy lifting or prolonged standing (Palmer, 2012). OA is no longer seen as simple “wear and tear” but as a complex interplay of mechanical, metabolic, inflammatory, and genetic factors (Hunter, 2019), shifting clinical focus toward prevention and early intervention.</w:t>
      </w:r>
    </w:p>
    <w:p w14:paraId="64AF77CC" w14:textId="77777777" w:rsidR="00FC5850" w:rsidRDefault="00FC5850" w:rsidP="00DF18B2">
      <w:pPr>
        <w:spacing w:line="360" w:lineRule="auto"/>
        <w:jc w:val="both"/>
      </w:pPr>
    </w:p>
    <w:p w14:paraId="50164BD1" w14:textId="77777777" w:rsidR="00FC5850" w:rsidRDefault="00FC5850" w:rsidP="00DF18B2">
      <w:pPr>
        <w:spacing w:line="360" w:lineRule="auto"/>
        <w:jc w:val="both"/>
      </w:pPr>
    </w:p>
    <w:p w14:paraId="543B5597" w14:textId="77777777" w:rsidR="00FC5850" w:rsidRDefault="00FC5850" w:rsidP="00DF18B2">
      <w:pPr>
        <w:spacing w:line="360" w:lineRule="auto"/>
        <w:jc w:val="both"/>
      </w:pPr>
    </w:p>
    <w:p w14:paraId="17E4F42D" w14:textId="77777777" w:rsidR="00FC5850" w:rsidRDefault="00FC5850" w:rsidP="00DF18B2">
      <w:pPr>
        <w:spacing w:line="360" w:lineRule="auto"/>
        <w:jc w:val="both"/>
      </w:pPr>
    </w:p>
    <w:p w14:paraId="2CC752DC" w14:textId="77777777" w:rsidR="00FC5850" w:rsidRDefault="00FC5850" w:rsidP="00DF18B2">
      <w:pPr>
        <w:spacing w:line="360" w:lineRule="auto"/>
        <w:jc w:val="both"/>
      </w:pPr>
    </w:p>
    <w:p w14:paraId="45687ED0" w14:textId="77777777" w:rsidR="00FC5850" w:rsidRDefault="00FC5850" w:rsidP="00DF18B2">
      <w:pPr>
        <w:spacing w:line="360" w:lineRule="auto"/>
        <w:jc w:val="both"/>
      </w:pPr>
    </w:p>
    <w:p w14:paraId="2B2DA5F8" w14:textId="77777777" w:rsidR="00FC5850" w:rsidRDefault="00FC5850" w:rsidP="00DF18B2">
      <w:pPr>
        <w:spacing w:line="360" w:lineRule="auto"/>
        <w:jc w:val="both"/>
      </w:pPr>
    </w:p>
    <w:p w14:paraId="195EF593" w14:textId="77777777" w:rsidR="00FC5850" w:rsidRDefault="00FC5850" w:rsidP="00DF18B2">
      <w:pPr>
        <w:spacing w:line="360" w:lineRule="auto"/>
        <w:jc w:val="both"/>
      </w:pPr>
    </w:p>
    <w:p w14:paraId="705BB275" w14:textId="77777777" w:rsidR="00FC5850" w:rsidRDefault="00FC5850" w:rsidP="00DF18B2">
      <w:pPr>
        <w:spacing w:line="360" w:lineRule="auto"/>
        <w:jc w:val="both"/>
      </w:pPr>
    </w:p>
    <w:p w14:paraId="361D1866" w14:textId="77777777" w:rsidR="00FC5850" w:rsidRDefault="00FC5850" w:rsidP="00DF18B2">
      <w:pPr>
        <w:spacing w:line="360" w:lineRule="auto"/>
        <w:jc w:val="both"/>
      </w:pPr>
    </w:p>
    <w:p w14:paraId="7EAA8FE4" w14:textId="77777777" w:rsidR="00FC5850" w:rsidRDefault="00FC5850" w:rsidP="00DF18B2">
      <w:pPr>
        <w:spacing w:line="360" w:lineRule="auto"/>
        <w:jc w:val="both"/>
      </w:pPr>
    </w:p>
    <w:p w14:paraId="08D6EFB3" w14:textId="77777777" w:rsidR="00FC5850" w:rsidRDefault="00FC5850" w:rsidP="00DF18B2">
      <w:pPr>
        <w:spacing w:line="360" w:lineRule="auto"/>
        <w:jc w:val="both"/>
      </w:pPr>
    </w:p>
    <w:p w14:paraId="35B62D08" w14:textId="77777777" w:rsidR="00FC5850" w:rsidRPr="00DF18B2" w:rsidRDefault="00FC5850" w:rsidP="00DF18B2">
      <w:pPr>
        <w:spacing w:line="360" w:lineRule="auto"/>
        <w:jc w:val="both"/>
      </w:pPr>
    </w:p>
    <w:p w14:paraId="0226207D" w14:textId="74108E58" w:rsidR="0E59C3B4" w:rsidRPr="00225D19" w:rsidRDefault="19DE3499" w:rsidP="0E59C3B4">
      <w:r w:rsidRPr="00225D19">
        <w:lastRenderedPageBreak/>
        <w:t>REFERENCES.</w:t>
      </w:r>
    </w:p>
    <w:p w14:paraId="0BB8FAE2" w14:textId="77777777" w:rsidR="19DE3499" w:rsidRPr="00B53262" w:rsidRDefault="19DE3499" w:rsidP="00B53262">
      <w:pPr>
        <w:spacing w:line="276" w:lineRule="auto"/>
        <w:jc w:val="both"/>
      </w:pPr>
      <w:r w:rsidRPr="00B53262">
        <w:rPr>
          <w:rFonts w:eastAsia="Aptos" w:cs="Aptos"/>
        </w:rPr>
        <w:t xml:space="preserve">Bair, M. J., Wu, J., Damush, T. M., Sutherland, J. M., </w:t>
      </w:r>
      <w:r w:rsidR="00F04ECA" w:rsidRPr="00B53262">
        <w:rPr>
          <w:rFonts w:eastAsia="Aptos" w:cs="Aptos"/>
        </w:rPr>
        <w:t>and</w:t>
      </w:r>
      <w:r w:rsidRPr="00B53262">
        <w:rPr>
          <w:rFonts w:eastAsia="Aptos" w:cs="Aptos"/>
        </w:rPr>
        <w:t xml:space="preserve"> Kroenke, K. (2008) ‘Association of depression and anxiety alone and in combination with chronic musculoskeletal pain in primary care patients.’ </w:t>
      </w:r>
      <w:r w:rsidRPr="00B53262">
        <w:rPr>
          <w:rFonts w:eastAsia="Aptos" w:cs="Aptos"/>
          <w:i/>
          <w:iCs/>
        </w:rPr>
        <w:t>Psychosomatic medicine</w:t>
      </w:r>
      <w:r w:rsidRPr="00B53262">
        <w:rPr>
          <w:rFonts w:eastAsia="Aptos" w:cs="Aptos"/>
        </w:rPr>
        <w:t xml:space="preserve">, </w:t>
      </w:r>
      <w:r w:rsidR="00E61CE0" w:rsidRPr="00B53262">
        <w:rPr>
          <w:rFonts w:eastAsia="Aptos" w:cs="Aptos"/>
        </w:rPr>
        <w:t>pp</w:t>
      </w:r>
      <w:r w:rsidR="003E2E2E" w:rsidRPr="00B53262">
        <w:rPr>
          <w:rFonts w:eastAsia="Aptos" w:cs="Aptos"/>
        </w:rPr>
        <w:t>.</w:t>
      </w:r>
      <w:r w:rsidR="00E61CE0" w:rsidRPr="00B53262">
        <w:rPr>
          <w:rFonts w:eastAsia="Aptos" w:cs="Aptos"/>
        </w:rPr>
        <w:t xml:space="preserve"> </w:t>
      </w:r>
      <w:r w:rsidRPr="00B53262">
        <w:rPr>
          <w:rFonts w:eastAsia="Aptos" w:cs="Aptos"/>
          <w:i/>
          <w:iCs/>
        </w:rPr>
        <w:t>70</w:t>
      </w:r>
      <w:r w:rsidRPr="00B53262">
        <w:rPr>
          <w:rFonts w:eastAsia="Aptos" w:cs="Aptos"/>
        </w:rPr>
        <w:t xml:space="preserve">(8), 890–897.Available at: </w:t>
      </w:r>
      <w:hyperlink r:id="rId14">
        <w:r w:rsidRPr="00B53262">
          <w:rPr>
            <w:rStyle w:val="Hyperlink"/>
            <w:rFonts w:eastAsia="Aptos" w:cs="Aptos"/>
            <w:color w:val="auto"/>
          </w:rPr>
          <w:t>https://doi.org/10.1097/PSY.0b013e318185c510</w:t>
        </w:r>
      </w:hyperlink>
      <w:r w:rsidRPr="00B53262">
        <w:rPr>
          <w:rFonts w:eastAsia="Aptos" w:cs="Aptos"/>
        </w:rPr>
        <w:t xml:space="preserve">.  </w:t>
      </w:r>
      <w:r w:rsidRPr="00B53262">
        <w:rPr>
          <w:rFonts w:eastAsia="Aptos" w:cs="Aptos"/>
          <w:lang w:val="en-US"/>
        </w:rPr>
        <w:t xml:space="preserve"> </w:t>
      </w:r>
    </w:p>
    <w:p w14:paraId="527D6EAB" w14:textId="77777777" w:rsidR="19DE3499" w:rsidRPr="00B53262" w:rsidRDefault="19DE3499" w:rsidP="00B53262">
      <w:pPr>
        <w:spacing w:line="276" w:lineRule="auto"/>
        <w:jc w:val="both"/>
      </w:pPr>
      <w:r w:rsidRPr="00B53262">
        <w:rPr>
          <w:rFonts w:eastAsia="Aptos" w:cs="Aptos"/>
        </w:rPr>
        <w:t xml:space="preserve">Bannuru, R. R., Osani, M. C., Vaysbrot, E. E., Arden, N. K., Bennell, K., Bierma-Zeinstra, S. M. A., Kraus, V. B., Lohmander, L. S., Abbott, J. H., Bhandari, M., Blanco, F. J., Espinosa, R., Haugen, I. K., Lin, J., Mandl, L. A., Moilanen, E., Nakamura, N., Snyder-Mackler, L., Trojian, T., Underwood, M., … McAlindon, T. E. (2019)  ‘OARSI guidelines for the non-surgical management of knee, hip, and polyarticular osteoarthritis.’ </w:t>
      </w:r>
      <w:r w:rsidRPr="00B53262">
        <w:rPr>
          <w:rFonts w:eastAsia="Aptos" w:cs="Aptos"/>
          <w:i/>
          <w:iCs/>
        </w:rPr>
        <w:t>Osteoarthritis and cartilage</w:t>
      </w:r>
      <w:r w:rsidRPr="00B53262">
        <w:rPr>
          <w:rFonts w:eastAsia="Aptos" w:cs="Aptos"/>
        </w:rPr>
        <w:t xml:space="preserve">, </w:t>
      </w:r>
      <w:r w:rsidR="000D18DB" w:rsidRPr="00B53262">
        <w:rPr>
          <w:rFonts w:eastAsia="Aptos" w:cs="Aptos"/>
        </w:rPr>
        <w:t>pp</w:t>
      </w:r>
      <w:r w:rsidR="00FF6336" w:rsidRPr="00B53262">
        <w:rPr>
          <w:rFonts w:eastAsia="Aptos" w:cs="Aptos"/>
        </w:rPr>
        <w:t>.</w:t>
      </w:r>
      <w:r w:rsidR="004652EB" w:rsidRPr="00B53262">
        <w:rPr>
          <w:rFonts w:eastAsia="Aptos" w:cs="Aptos"/>
        </w:rPr>
        <w:t xml:space="preserve"> </w:t>
      </w:r>
      <w:r w:rsidRPr="00B53262">
        <w:rPr>
          <w:rFonts w:eastAsia="Aptos" w:cs="Aptos"/>
          <w:i/>
          <w:iCs/>
        </w:rPr>
        <w:t>27</w:t>
      </w:r>
      <w:r w:rsidRPr="00B53262">
        <w:rPr>
          <w:rFonts w:eastAsia="Aptos" w:cs="Aptos"/>
        </w:rPr>
        <w:t xml:space="preserve">(11), 1578–1589. Available at:  </w:t>
      </w:r>
      <w:bookmarkStart w:id="53" w:name="_Hlk210815388"/>
      <w:r w:rsidRPr="00B53262">
        <w:fldChar w:fldCharType="begin"/>
      </w:r>
      <w:r w:rsidRPr="00B53262">
        <w:instrText>HYPERLINK "https://doi.org/10.1016/j.joca.2019.06.011" \h</w:instrText>
      </w:r>
      <w:r w:rsidRPr="00B53262">
        <w:fldChar w:fldCharType="separate"/>
      </w:r>
      <w:r w:rsidRPr="00B53262">
        <w:rPr>
          <w:rStyle w:val="Hyperlink"/>
          <w:rFonts w:eastAsia="Aptos" w:cs="Aptos"/>
          <w:color w:val="auto"/>
        </w:rPr>
        <w:t>https://doi.org/10.1016/j.joca.2019.06.011</w:t>
      </w:r>
      <w:r w:rsidRPr="00B53262">
        <w:fldChar w:fldCharType="end"/>
      </w:r>
      <w:r w:rsidRPr="00B53262">
        <w:rPr>
          <w:rFonts w:eastAsia="Aptos" w:cs="Aptos"/>
        </w:rPr>
        <w:t xml:space="preserve">.  </w:t>
      </w:r>
      <w:r w:rsidRPr="00B53262">
        <w:rPr>
          <w:rFonts w:eastAsia="Aptos" w:cs="Aptos"/>
          <w:lang w:val="en-US"/>
        </w:rPr>
        <w:t xml:space="preserve"> </w:t>
      </w:r>
      <w:bookmarkEnd w:id="53"/>
    </w:p>
    <w:p w14:paraId="310B7A4B" w14:textId="77777777" w:rsidR="19DE3499" w:rsidRPr="00B53262" w:rsidRDefault="19DE3499" w:rsidP="00B53262">
      <w:pPr>
        <w:spacing w:line="276" w:lineRule="auto"/>
        <w:jc w:val="both"/>
        <w:rPr>
          <w:color w:val="EE0000"/>
        </w:rPr>
      </w:pPr>
      <w:r w:rsidRPr="00B53262">
        <w:rPr>
          <w:rFonts w:eastAsia="Aptos" w:cs="Aptos"/>
        </w:rPr>
        <w:t>Bartels, C.M., Ramly, E., Johnson, H.M., Lauver, D.R., Panyard, D.J., Li, Z., Sampene, E., Lewicki, K. and McBride, P.E., (2018) ‘Connecting rheumatology patients to primary care for high blood pressure: specialty clinic protocol improves follow</w:t>
      </w:r>
      <w:r w:rsidRPr="00B53262">
        <w:rPr>
          <w:rFonts w:ascii="Cambria Math" w:eastAsia="Cambria Math" w:hAnsi="Cambria Math" w:cs="Cambria Math"/>
        </w:rPr>
        <w:t>‐</w:t>
      </w:r>
      <w:r w:rsidRPr="00B53262">
        <w:rPr>
          <w:rFonts w:eastAsia="Aptos" w:cs="Aptos"/>
        </w:rPr>
        <w:t xml:space="preserve">up and population blood pressures.’ </w:t>
      </w:r>
      <w:r w:rsidRPr="00B53262">
        <w:rPr>
          <w:rFonts w:eastAsia="Aptos" w:cs="Aptos"/>
          <w:i/>
          <w:iCs/>
        </w:rPr>
        <w:t>Arthritis care &amp; research</w:t>
      </w:r>
      <w:r w:rsidRPr="00B53262">
        <w:rPr>
          <w:rFonts w:eastAsia="Aptos" w:cs="Aptos"/>
        </w:rPr>
        <w:t xml:space="preserve">, </w:t>
      </w:r>
      <w:r w:rsidRPr="00B53262">
        <w:rPr>
          <w:rFonts w:eastAsia="Aptos" w:cs="Aptos"/>
          <w:i/>
          <w:iCs/>
        </w:rPr>
        <w:t>71</w:t>
      </w:r>
      <w:r w:rsidRPr="00B53262">
        <w:rPr>
          <w:rFonts w:eastAsia="Aptos" w:cs="Aptos"/>
        </w:rPr>
        <w:t>(4), pp.461-470. Available at:</w:t>
      </w:r>
      <w:r w:rsidR="00801487" w:rsidRPr="00B53262">
        <w:rPr>
          <w:rFonts w:eastAsia="Aptos" w:cs="Aptos"/>
        </w:rPr>
        <w:t xml:space="preserve"> </w:t>
      </w:r>
      <w:hyperlink r:id="rId15" w:history="1">
        <w:r w:rsidR="00A80442" w:rsidRPr="00B53262">
          <w:rPr>
            <w:rStyle w:val="Hyperlink"/>
            <w:rFonts w:eastAsia="Aptos" w:cs="Aptos"/>
            <w:color w:val="auto"/>
          </w:rPr>
          <w:t>https://doi.org/10.1002/acr.23612</w:t>
        </w:r>
      </w:hyperlink>
      <w:r w:rsidR="00A80442" w:rsidRPr="00B53262">
        <w:rPr>
          <w:rFonts w:eastAsia="Aptos" w:cs="Aptos"/>
        </w:rPr>
        <w:t xml:space="preserve">. </w:t>
      </w:r>
      <w:r w:rsidR="00382129" w:rsidRPr="00B53262">
        <w:rPr>
          <w:rFonts w:eastAsia="Aptos" w:cs="Aptos"/>
        </w:rPr>
        <w:t xml:space="preserve"> </w:t>
      </w:r>
      <w:r w:rsidRPr="00B53262">
        <w:rPr>
          <w:rFonts w:eastAsia="Aptos" w:cs="Aptos"/>
        </w:rPr>
        <w:t xml:space="preserve"> </w:t>
      </w:r>
    </w:p>
    <w:p w14:paraId="205F542F" w14:textId="77777777" w:rsidR="19DE3499" w:rsidRPr="00B53262" w:rsidRDefault="19DE3499" w:rsidP="00B53262">
      <w:pPr>
        <w:spacing w:line="276" w:lineRule="auto"/>
        <w:jc w:val="both"/>
      </w:pPr>
      <w:r w:rsidRPr="00B53262">
        <w:rPr>
          <w:rFonts w:eastAsia="Aptos" w:cs="Aptos"/>
        </w:rPr>
        <w:t>Carers UK (2021) ‘</w:t>
      </w:r>
      <w:r w:rsidRPr="00B53262">
        <w:rPr>
          <w:rFonts w:eastAsia="Aptos" w:cs="Aptos"/>
          <w:i/>
          <w:iCs/>
        </w:rPr>
        <w:t xml:space="preserve">State of Caring 2021’ Available at: </w:t>
      </w:r>
      <w:r w:rsidR="008C0460" w:rsidRPr="00B53262">
        <w:rPr>
          <w:rFonts w:eastAsia="Aptos" w:cs="Aptos"/>
          <w:u w:val="single"/>
        </w:rPr>
        <w:t>https://</w:t>
      </w:r>
      <w:r w:rsidR="00190063" w:rsidRPr="00B53262">
        <w:rPr>
          <w:rFonts w:eastAsia="Aptos" w:cs="Aptos"/>
          <w:u w:val="single"/>
        </w:rPr>
        <w:t>www.</w:t>
      </w:r>
      <w:hyperlink r:id="rId16">
        <w:r w:rsidRPr="00B53262">
          <w:rPr>
            <w:rStyle w:val="Hyperlink"/>
            <w:rFonts w:eastAsia="Aptos" w:cs="Aptos"/>
            <w:color w:val="auto"/>
          </w:rPr>
          <w:t>carers-ni-state-of-caringfinal.pdf.</w:t>
        </w:r>
      </w:hyperlink>
      <w:r w:rsidRPr="00B53262">
        <w:rPr>
          <w:rFonts w:eastAsia="Aptos" w:cs="Aptos"/>
        </w:rPr>
        <w:t xml:space="preserve"> (Accessed: 11 September 2025). </w:t>
      </w:r>
      <w:r w:rsidRPr="00B53262">
        <w:rPr>
          <w:rFonts w:eastAsia="Aptos" w:cs="Aptos"/>
          <w:lang w:val="en-US"/>
        </w:rPr>
        <w:t xml:space="preserve"> </w:t>
      </w:r>
    </w:p>
    <w:p w14:paraId="042D46C0" w14:textId="77777777" w:rsidR="19DE3499" w:rsidRPr="00B53262" w:rsidRDefault="19DE3499" w:rsidP="00B53262">
      <w:pPr>
        <w:spacing w:line="276" w:lineRule="auto"/>
        <w:jc w:val="both"/>
      </w:pPr>
      <w:r w:rsidRPr="00B53262">
        <w:rPr>
          <w:rFonts w:eastAsia="Aptos" w:cs="Aptos"/>
        </w:rPr>
        <w:t xml:space="preserve">Charles, A., Ham, C., Baird, B., Alderwick, H. and Bennett, L. (2018) </w:t>
      </w:r>
      <w:r w:rsidR="003A09DE" w:rsidRPr="00B53262">
        <w:rPr>
          <w:rFonts w:eastAsia="Aptos" w:cs="Aptos"/>
        </w:rPr>
        <w:t>‘</w:t>
      </w:r>
      <w:r w:rsidRPr="00B53262">
        <w:rPr>
          <w:rFonts w:eastAsia="Aptos" w:cs="Aptos"/>
          <w:i/>
          <w:iCs/>
        </w:rPr>
        <w:t>Reimagining community services: Making the most of our assets</w:t>
      </w:r>
      <w:r w:rsidRPr="00B53262">
        <w:rPr>
          <w:rFonts w:eastAsia="Aptos" w:cs="Aptos"/>
        </w:rPr>
        <w:t>.</w:t>
      </w:r>
      <w:r w:rsidR="003A09DE" w:rsidRPr="00B53262">
        <w:rPr>
          <w:rFonts w:eastAsia="Aptos" w:cs="Aptos"/>
        </w:rPr>
        <w:t>’</w:t>
      </w:r>
      <w:r w:rsidRPr="00B53262">
        <w:rPr>
          <w:rFonts w:eastAsia="Aptos" w:cs="Aptos"/>
        </w:rPr>
        <w:t xml:space="preserve"> The King’s Fund. Available at: </w:t>
      </w:r>
      <w:hyperlink r:id="rId17">
        <w:bookmarkStart w:id="54" w:name="_Hlk210815621"/>
        <w:r w:rsidRPr="00B53262">
          <w:rPr>
            <w:rStyle w:val="Hyperlink"/>
            <w:rFonts w:eastAsia="Aptos" w:cs="Aptos"/>
            <w:color w:val="auto"/>
          </w:rPr>
          <w:t>https://www.</w:t>
        </w:r>
        <w:bookmarkEnd w:id="54"/>
        <w:r w:rsidRPr="00B53262">
          <w:rPr>
            <w:rStyle w:val="Hyperlink"/>
            <w:rFonts w:eastAsia="Aptos" w:cs="Aptos"/>
            <w:color w:val="auto"/>
          </w:rPr>
          <w:t>kingsfund.org.uk/publications/community-services-assets</w:t>
        </w:r>
      </w:hyperlink>
      <w:r w:rsidR="003A09DE" w:rsidRPr="00B53262">
        <w:t>.</w:t>
      </w:r>
      <w:r w:rsidRPr="00B53262">
        <w:rPr>
          <w:rFonts w:eastAsia="Aptos" w:cs="Aptos"/>
        </w:rPr>
        <w:t xml:space="preserve"> (Accessed: 11 September 2025). </w:t>
      </w:r>
      <w:r w:rsidRPr="00B53262">
        <w:rPr>
          <w:rFonts w:eastAsia="Aptos" w:cs="Aptos"/>
          <w:lang w:val="en-US"/>
        </w:rPr>
        <w:t xml:space="preserve"> </w:t>
      </w:r>
    </w:p>
    <w:p w14:paraId="57FFE5A7" w14:textId="77777777" w:rsidR="19DE3499" w:rsidRPr="00B53262" w:rsidRDefault="19DE3499" w:rsidP="00B53262">
      <w:pPr>
        <w:spacing w:line="276" w:lineRule="auto"/>
        <w:jc w:val="both"/>
      </w:pPr>
      <w:r w:rsidRPr="00B53262">
        <w:rPr>
          <w:rFonts w:eastAsia="Aptos" w:cs="Aptos"/>
        </w:rPr>
        <w:t xml:space="preserve">Charles, A., Wenzel, L., Kershaw, M., Ham, C. and Walsh, N., (2018) ‘A year of integrated care systems.’ </w:t>
      </w:r>
      <w:r w:rsidRPr="00B53262">
        <w:rPr>
          <w:rFonts w:eastAsia="Aptos" w:cs="Aptos"/>
          <w:i/>
          <w:iCs/>
        </w:rPr>
        <w:t>Reviewing the journey so far. London: The King’s Fund</w:t>
      </w:r>
      <w:r w:rsidRPr="00B53262">
        <w:rPr>
          <w:rFonts w:eastAsia="Aptos" w:cs="Aptos"/>
        </w:rPr>
        <w:t xml:space="preserve">, </w:t>
      </w:r>
      <w:r w:rsidRPr="00B53262">
        <w:rPr>
          <w:rFonts w:eastAsia="Aptos" w:cs="Aptos"/>
          <w:i/>
          <w:iCs/>
        </w:rPr>
        <w:t>2009</w:t>
      </w:r>
      <w:r w:rsidRPr="00B53262">
        <w:rPr>
          <w:rFonts w:eastAsia="Aptos" w:cs="Aptos"/>
        </w:rPr>
        <w:t>, p</w:t>
      </w:r>
      <w:r w:rsidR="006945DA" w:rsidRPr="00B53262">
        <w:rPr>
          <w:rFonts w:eastAsia="Aptos" w:cs="Aptos"/>
        </w:rPr>
        <w:t>p</w:t>
      </w:r>
      <w:r w:rsidRPr="00B53262">
        <w:rPr>
          <w:rFonts w:eastAsia="Aptos" w:cs="Aptos"/>
        </w:rPr>
        <w:t xml:space="preserve">.2018. Available at: </w:t>
      </w:r>
      <w:r w:rsidR="006945DA" w:rsidRPr="00B53262">
        <w:rPr>
          <w:rFonts w:eastAsia="Aptos" w:cs="Aptos"/>
          <w:u w:val="single"/>
        </w:rPr>
        <w:t>https://www.</w:t>
      </w:r>
      <w:hyperlink r:id="rId18">
        <w:r w:rsidRPr="00B53262">
          <w:rPr>
            <w:rStyle w:val="Hyperlink"/>
            <w:rFonts w:eastAsia="Aptos" w:cs="Aptos"/>
            <w:color w:val="auto"/>
          </w:rPr>
          <w:t>A Year Of Integrated Care Systems | The King's Fund.</w:t>
        </w:r>
      </w:hyperlink>
      <w:r w:rsidRPr="00B53262">
        <w:rPr>
          <w:rFonts w:eastAsia="Aptos" w:cs="Aptos"/>
        </w:rPr>
        <w:t xml:space="preserve"> (Accessed: 14 September 2025).  </w:t>
      </w:r>
      <w:r w:rsidRPr="00B53262">
        <w:rPr>
          <w:rFonts w:eastAsia="Aptos" w:cs="Aptos"/>
          <w:lang w:val="en-US"/>
        </w:rPr>
        <w:t xml:space="preserve"> </w:t>
      </w:r>
    </w:p>
    <w:p w14:paraId="0F1A1076" w14:textId="77777777" w:rsidR="19DE3499" w:rsidRPr="00B53262" w:rsidRDefault="19DE3499" w:rsidP="00B53262">
      <w:pPr>
        <w:spacing w:line="276" w:lineRule="auto"/>
        <w:jc w:val="both"/>
      </w:pPr>
      <w:r w:rsidRPr="00B53262">
        <w:rPr>
          <w:rFonts w:eastAsia="Aptos" w:cs="Aptos"/>
        </w:rPr>
        <w:t>Chou, R., Turner, J. A., Devine, E. B., Hansen, R. N., Sullivan, S. D., Blazina, I., Dana, T., Bougatsos, C</w:t>
      </w:r>
      <w:r w:rsidR="006945DA" w:rsidRPr="00B53262">
        <w:rPr>
          <w:rFonts w:eastAsia="Aptos" w:cs="Aptos"/>
        </w:rPr>
        <w:t xml:space="preserve"> and</w:t>
      </w:r>
      <w:r w:rsidRPr="00B53262">
        <w:rPr>
          <w:rFonts w:eastAsia="Aptos" w:cs="Aptos"/>
        </w:rPr>
        <w:t xml:space="preserve"> Deyo, R. A. (2015) ‘The effectiveness and risks of long-term opioid therapy for chronic pain: a systematic review for a National Institutes of Health Pathways to Prevention Workshop.’ </w:t>
      </w:r>
      <w:r w:rsidRPr="00B53262">
        <w:rPr>
          <w:rFonts w:eastAsia="Aptos" w:cs="Aptos"/>
          <w:i/>
          <w:iCs/>
        </w:rPr>
        <w:t>Annals of internal medicine</w:t>
      </w:r>
      <w:r w:rsidRPr="00B53262">
        <w:rPr>
          <w:rFonts w:eastAsia="Aptos" w:cs="Aptos"/>
        </w:rPr>
        <w:t xml:space="preserve">, </w:t>
      </w:r>
      <w:r w:rsidR="006945DA" w:rsidRPr="00B53262">
        <w:rPr>
          <w:rFonts w:eastAsia="Aptos" w:cs="Aptos"/>
        </w:rPr>
        <w:t>pp.</w:t>
      </w:r>
      <w:r w:rsidRPr="00B53262">
        <w:rPr>
          <w:rFonts w:eastAsia="Aptos" w:cs="Aptos"/>
          <w:i/>
          <w:iCs/>
        </w:rPr>
        <w:t>162</w:t>
      </w:r>
      <w:r w:rsidRPr="00B53262">
        <w:rPr>
          <w:rFonts w:eastAsia="Aptos" w:cs="Aptos"/>
        </w:rPr>
        <w:t xml:space="preserve">(4), 276–286. </w:t>
      </w:r>
      <w:hyperlink r:id="rId19">
        <w:r w:rsidRPr="00B53262">
          <w:rPr>
            <w:rStyle w:val="Hyperlink"/>
            <w:rFonts w:eastAsia="Aptos" w:cs="Aptos"/>
            <w:color w:val="auto"/>
          </w:rPr>
          <w:t>https://doi.org/10.7326/M14-2559</w:t>
        </w:r>
      </w:hyperlink>
      <w:r w:rsidRPr="00B53262">
        <w:rPr>
          <w:rFonts w:eastAsia="Aptos" w:cs="Aptos"/>
        </w:rPr>
        <w:t xml:space="preserve">  </w:t>
      </w:r>
      <w:r w:rsidRPr="00B53262">
        <w:rPr>
          <w:rFonts w:eastAsia="Aptos" w:cs="Aptos"/>
          <w:lang w:val="en-US"/>
        </w:rPr>
        <w:t xml:space="preserve"> </w:t>
      </w:r>
    </w:p>
    <w:p w14:paraId="75F63BB5" w14:textId="77777777" w:rsidR="19DE3499" w:rsidRPr="00B53262" w:rsidRDefault="19DE3499" w:rsidP="00B53262">
      <w:pPr>
        <w:spacing w:line="276" w:lineRule="auto"/>
        <w:jc w:val="both"/>
      </w:pPr>
      <w:r w:rsidRPr="00B53262">
        <w:rPr>
          <w:rFonts w:eastAsia="Aptos" w:cs="Aptos"/>
        </w:rPr>
        <w:t xml:space="preserve">Engel, G.L., </w:t>
      </w:r>
      <w:r w:rsidR="00737073" w:rsidRPr="00B53262">
        <w:rPr>
          <w:rFonts w:eastAsia="Aptos" w:cs="Aptos"/>
        </w:rPr>
        <w:t>(</w:t>
      </w:r>
      <w:r w:rsidRPr="00B53262">
        <w:rPr>
          <w:rFonts w:eastAsia="Aptos" w:cs="Aptos"/>
        </w:rPr>
        <w:t>1977</w:t>
      </w:r>
      <w:r w:rsidR="00737073" w:rsidRPr="00B53262">
        <w:rPr>
          <w:rFonts w:eastAsia="Aptos" w:cs="Aptos"/>
        </w:rPr>
        <w:t>)</w:t>
      </w:r>
      <w:r w:rsidRPr="00B53262">
        <w:rPr>
          <w:rFonts w:eastAsia="Aptos" w:cs="Aptos"/>
        </w:rPr>
        <w:t xml:space="preserve">. The need for a new medical model: a challenge for biomedicine. </w:t>
      </w:r>
      <w:r w:rsidRPr="00B53262">
        <w:rPr>
          <w:rFonts w:eastAsia="Aptos" w:cs="Aptos"/>
          <w:i/>
          <w:iCs/>
        </w:rPr>
        <w:t>Science</w:t>
      </w:r>
      <w:r w:rsidRPr="00B53262">
        <w:rPr>
          <w:rFonts w:eastAsia="Aptos" w:cs="Aptos"/>
        </w:rPr>
        <w:t xml:space="preserve">, </w:t>
      </w:r>
      <w:r w:rsidRPr="00B53262">
        <w:rPr>
          <w:rFonts w:eastAsia="Aptos" w:cs="Aptos"/>
          <w:i/>
          <w:iCs/>
        </w:rPr>
        <w:t>196</w:t>
      </w:r>
      <w:r w:rsidRPr="00B53262">
        <w:rPr>
          <w:rFonts w:eastAsia="Aptos" w:cs="Aptos"/>
        </w:rPr>
        <w:t xml:space="preserve">(4286), pp.129-136. Available at: </w:t>
      </w:r>
      <w:r w:rsidR="00E11FC9" w:rsidRPr="00B53262">
        <w:rPr>
          <w:rFonts w:eastAsia="Aptos" w:cs="Aptos"/>
          <w:u w:val="single"/>
        </w:rPr>
        <w:t>https://www.</w:t>
      </w:r>
      <w:hyperlink r:id="rId20">
        <w:r w:rsidR="00E11FC9" w:rsidRPr="00B53262">
          <w:rPr>
            <w:rStyle w:val="Hyperlink"/>
            <w:rFonts w:eastAsia="Aptos" w:cs="Aptos"/>
            <w:color w:val="auto"/>
          </w:rPr>
          <w:t>t</w:t>
        </w:r>
        <w:r w:rsidRPr="00B53262">
          <w:rPr>
            <w:rStyle w:val="Hyperlink"/>
            <w:rFonts w:eastAsia="Aptos" w:cs="Aptos"/>
            <w:color w:val="auto"/>
          </w:rPr>
          <w:t>he Need for a New Medical Model: A Challenge for Biomedicine | Science.</w:t>
        </w:r>
      </w:hyperlink>
      <w:r w:rsidRPr="00B53262">
        <w:rPr>
          <w:rFonts w:eastAsia="Aptos" w:cs="Aptos"/>
        </w:rPr>
        <w:t xml:space="preserve"> Accessed: (14 September 2025).  </w:t>
      </w:r>
      <w:r w:rsidRPr="00B53262">
        <w:rPr>
          <w:rFonts w:eastAsia="Aptos" w:cs="Aptos"/>
          <w:lang w:val="en-US"/>
        </w:rPr>
        <w:t xml:space="preserve"> </w:t>
      </w:r>
    </w:p>
    <w:p w14:paraId="025D7B7B" w14:textId="77777777" w:rsidR="19DE3499" w:rsidRPr="00B53262" w:rsidRDefault="19DE3499" w:rsidP="00B53262">
      <w:pPr>
        <w:spacing w:line="276" w:lineRule="auto"/>
        <w:jc w:val="both"/>
      </w:pPr>
      <w:r w:rsidRPr="00B53262">
        <w:rPr>
          <w:rFonts w:eastAsia="Aptos" w:cs="Aptos"/>
        </w:rPr>
        <w:lastRenderedPageBreak/>
        <w:t xml:space="preserve">England, N.H.S. and Improvement, N.H.S., (2022) ‘Delivery plan for tackling the COVID-19 backlog of elective care.’ </w:t>
      </w:r>
      <w:r w:rsidRPr="00B53262">
        <w:rPr>
          <w:rFonts w:eastAsia="Aptos" w:cs="Aptos"/>
          <w:i/>
          <w:iCs/>
        </w:rPr>
        <w:t xml:space="preserve"> </w:t>
      </w:r>
      <w:r w:rsidRPr="00B53262">
        <w:rPr>
          <w:rFonts w:eastAsia="Aptos" w:cs="Aptos"/>
        </w:rPr>
        <w:t xml:space="preserve">Available at: </w:t>
      </w:r>
      <w:r w:rsidR="002B47C8" w:rsidRPr="00B53262">
        <w:rPr>
          <w:rFonts w:eastAsia="Aptos" w:cs="Aptos"/>
          <w:u w:val="single"/>
        </w:rPr>
        <w:t>https://www.</w:t>
      </w:r>
      <w:hyperlink r:id="rId21">
        <w:r w:rsidRPr="00B53262">
          <w:rPr>
            <w:rStyle w:val="Hyperlink"/>
            <w:rFonts w:eastAsia="Aptos" w:cs="Aptos"/>
            <w:color w:val="auto"/>
          </w:rPr>
          <w:t>The NHS Long Term Plan and COVID-19 | The Health Foundation.</w:t>
        </w:r>
      </w:hyperlink>
      <w:r w:rsidRPr="00B53262">
        <w:rPr>
          <w:rFonts w:eastAsia="Aptos" w:cs="Aptos"/>
        </w:rPr>
        <w:t xml:space="preserve"> (Accessed: 11 September 2025). </w:t>
      </w:r>
      <w:r w:rsidRPr="00B53262">
        <w:rPr>
          <w:rFonts w:eastAsia="Aptos" w:cs="Aptos"/>
          <w:lang w:val="en-US"/>
        </w:rPr>
        <w:t xml:space="preserve"> </w:t>
      </w:r>
    </w:p>
    <w:p w14:paraId="5756C060" w14:textId="77777777" w:rsidR="19DE3499" w:rsidRPr="00B53262" w:rsidRDefault="19DE3499" w:rsidP="00B53262">
      <w:pPr>
        <w:spacing w:line="276" w:lineRule="auto"/>
        <w:jc w:val="both"/>
      </w:pPr>
      <w:r w:rsidRPr="00B53262">
        <w:rPr>
          <w:rFonts w:eastAsia="Aptos" w:cs="Aptos"/>
        </w:rPr>
        <w:t xml:space="preserve">Fransen, M., McConnell, S., Harmer, A. R., Van der Esch, M., Simic, M., &amp; Bennell, K. L. (2015) ‘Exercise for osteoarthritis of the knee: a Cochrane systematic review.’ </w:t>
      </w:r>
      <w:r w:rsidRPr="00B53262">
        <w:rPr>
          <w:rFonts w:eastAsia="Aptos" w:cs="Aptos"/>
          <w:i/>
          <w:iCs/>
        </w:rPr>
        <w:t>British journal of sports medicine</w:t>
      </w:r>
      <w:r w:rsidRPr="00B53262">
        <w:rPr>
          <w:rFonts w:eastAsia="Aptos" w:cs="Aptos"/>
        </w:rPr>
        <w:t xml:space="preserve">, </w:t>
      </w:r>
      <w:r w:rsidRPr="00B53262">
        <w:rPr>
          <w:rFonts w:eastAsia="Aptos" w:cs="Aptos"/>
          <w:i/>
          <w:iCs/>
        </w:rPr>
        <w:t>49</w:t>
      </w:r>
      <w:r w:rsidRPr="00B53262">
        <w:rPr>
          <w:rFonts w:eastAsia="Aptos" w:cs="Aptos"/>
        </w:rPr>
        <w:t xml:space="preserve">(24), 1554–1557.  Available at: </w:t>
      </w:r>
      <w:hyperlink r:id="rId22">
        <w:r w:rsidRPr="00B53262">
          <w:rPr>
            <w:rStyle w:val="Hyperlink"/>
            <w:rFonts w:eastAsia="Aptos" w:cs="Aptos"/>
            <w:color w:val="auto"/>
          </w:rPr>
          <w:t>https://doi.org/10.1136/bjsports-2015-095424</w:t>
        </w:r>
      </w:hyperlink>
      <w:r w:rsidRPr="00B53262">
        <w:rPr>
          <w:rFonts w:eastAsia="Aptos" w:cs="Aptos"/>
        </w:rPr>
        <w:t xml:space="preserve">.  </w:t>
      </w:r>
      <w:r w:rsidRPr="00B53262">
        <w:rPr>
          <w:rFonts w:eastAsia="Aptos" w:cs="Aptos"/>
          <w:lang w:val="en-US"/>
        </w:rPr>
        <w:t xml:space="preserve"> </w:t>
      </w:r>
    </w:p>
    <w:p w14:paraId="361F008A" w14:textId="77777777" w:rsidR="19DE3499" w:rsidRPr="00B53262" w:rsidRDefault="19DE3499" w:rsidP="00B53262">
      <w:pPr>
        <w:spacing w:line="276" w:lineRule="auto"/>
        <w:jc w:val="both"/>
      </w:pPr>
      <w:r w:rsidRPr="00B53262">
        <w:rPr>
          <w:rFonts w:eastAsia="Aptos" w:cs="Aptos"/>
        </w:rPr>
        <w:t xml:space="preserve">Greenhalgh, T., Wherton, J., Shaw, S., &amp; Morrison, C. (2020) ‘Video consultations for covid-19.’ </w:t>
      </w:r>
      <w:r w:rsidRPr="00B53262">
        <w:rPr>
          <w:rFonts w:eastAsia="Aptos" w:cs="Aptos"/>
          <w:i/>
          <w:iCs/>
        </w:rPr>
        <w:t>BMJ (Clinical research ed.)</w:t>
      </w:r>
      <w:r w:rsidRPr="00B53262">
        <w:rPr>
          <w:rFonts w:eastAsia="Aptos" w:cs="Aptos"/>
        </w:rPr>
        <w:t xml:space="preserve">, </w:t>
      </w:r>
      <w:r w:rsidRPr="00B53262">
        <w:rPr>
          <w:rFonts w:eastAsia="Aptos" w:cs="Aptos"/>
          <w:i/>
          <w:iCs/>
        </w:rPr>
        <w:t>368</w:t>
      </w:r>
      <w:r w:rsidRPr="00B53262">
        <w:rPr>
          <w:rFonts w:eastAsia="Aptos" w:cs="Aptos"/>
        </w:rPr>
        <w:t xml:space="preserve">, m998. Available at: </w:t>
      </w:r>
      <w:r w:rsidR="00CB7E2D" w:rsidRPr="00B53262">
        <w:rPr>
          <w:rFonts w:eastAsia="Aptos" w:cs="Aptos"/>
          <w:u w:val="single"/>
        </w:rPr>
        <w:t>https://www.</w:t>
      </w:r>
      <w:hyperlink r:id="rId23">
        <w:r w:rsidRPr="00B53262">
          <w:rPr>
            <w:rStyle w:val="Hyperlink"/>
            <w:rFonts w:eastAsia="Aptos" w:cs="Aptos"/>
            <w:color w:val="auto"/>
          </w:rPr>
          <w:t>Video consultations for covid-19 - PubMed.</w:t>
        </w:r>
      </w:hyperlink>
      <w:r w:rsidRPr="00B53262">
        <w:rPr>
          <w:rFonts w:eastAsia="Aptos" w:cs="Aptos"/>
        </w:rPr>
        <w:t xml:space="preserve"> (Accessed: 11 September 2025). </w:t>
      </w:r>
      <w:r w:rsidRPr="00B53262">
        <w:rPr>
          <w:rFonts w:eastAsia="Aptos" w:cs="Aptos"/>
          <w:lang w:val="en-US"/>
        </w:rPr>
        <w:t xml:space="preserve"> </w:t>
      </w:r>
    </w:p>
    <w:p w14:paraId="5E647A8F" w14:textId="77777777" w:rsidR="19DE3499" w:rsidRPr="00B53262" w:rsidRDefault="19DE3499" w:rsidP="00B53262">
      <w:pPr>
        <w:spacing w:line="276" w:lineRule="auto"/>
        <w:jc w:val="both"/>
      </w:pPr>
      <w:r w:rsidRPr="00B53262">
        <w:rPr>
          <w:rFonts w:eastAsia="Aptos" w:cs="Aptos"/>
        </w:rPr>
        <w:t xml:space="preserve">Greenwood, N., Mackenzie, A., Cloud, G.C. and Wilson, N., (2009) </w:t>
      </w:r>
      <w:r w:rsidR="005D5A45" w:rsidRPr="00B53262">
        <w:rPr>
          <w:rFonts w:eastAsia="Aptos" w:cs="Aptos"/>
        </w:rPr>
        <w:t>‘</w:t>
      </w:r>
      <w:r w:rsidRPr="00B53262">
        <w:rPr>
          <w:rFonts w:eastAsia="Aptos" w:cs="Aptos"/>
        </w:rPr>
        <w:t xml:space="preserve">Informal primary carers of stroke survivors living at home–challenges, satisfactions and coping: a systematic review of qualitative studies.’ </w:t>
      </w:r>
      <w:r w:rsidRPr="00B53262">
        <w:rPr>
          <w:rFonts w:eastAsia="Aptos" w:cs="Aptos"/>
          <w:i/>
          <w:iCs/>
        </w:rPr>
        <w:t>Disability and rehabilitation</w:t>
      </w:r>
      <w:r w:rsidRPr="00B53262">
        <w:rPr>
          <w:rFonts w:eastAsia="Aptos" w:cs="Aptos"/>
        </w:rPr>
        <w:t xml:space="preserve">, </w:t>
      </w:r>
      <w:r w:rsidRPr="00B53262">
        <w:rPr>
          <w:rFonts w:eastAsia="Aptos" w:cs="Aptos"/>
          <w:i/>
          <w:iCs/>
        </w:rPr>
        <w:t>31</w:t>
      </w:r>
      <w:r w:rsidRPr="00B53262">
        <w:rPr>
          <w:rFonts w:eastAsia="Aptos" w:cs="Aptos"/>
        </w:rPr>
        <w:t xml:space="preserve">(5), pp.337-351. Available at:  </w:t>
      </w:r>
      <w:hyperlink>
        <w:r w:rsidRPr="00B53262">
          <w:rPr>
            <w:rStyle w:val="Hyperlink"/>
            <w:rFonts w:eastAsia="Aptos" w:cs="Aptos"/>
            <w:color w:val="auto"/>
          </w:rPr>
          <w:t>https://</w:t>
        </w:r>
      </w:hyperlink>
      <w:r w:rsidRPr="00B53262">
        <w:rPr>
          <w:rFonts w:eastAsia="Aptos" w:cs="Aptos"/>
        </w:rPr>
        <w:t xml:space="preserve"> </w:t>
      </w:r>
      <w:hyperlink r:id="rId24">
        <w:r w:rsidRPr="00B53262">
          <w:rPr>
            <w:rStyle w:val="Hyperlink"/>
            <w:rFonts w:eastAsia="Aptos" w:cs="Aptos"/>
            <w:color w:val="auto"/>
          </w:rPr>
          <w:t>Informal primary carers of stroke survivors living at home–challenges, satisfactions and coping: A systematic review of qualitative studies: Disability and Rehabilitation: Vol 31, No 5.</w:t>
        </w:r>
      </w:hyperlink>
      <w:r w:rsidRPr="00B53262">
        <w:rPr>
          <w:rFonts w:eastAsia="Aptos" w:cs="Aptos"/>
        </w:rPr>
        <w:t xml:space="preserve"> (Accessed: 12 September 2025). </w:t>
      </w:r>
      <w:r w:rsidRPr="00B53262">
        <w:rPr>
          <w:rFonts w:eastAsia="Aptos" w:cs="Aptos"/>
          <w:lang w:val="en-US"/>
        </w:rPr>
        <w:t xml:space="preserve"> </w:t>
      </w:r>
    </w:p>
    <w:p w14:paraId="4FBEA447" w14:textId="77777777" w:rsidR="19DE3499" w:rsidRPr="00B53262" w:rsidRDefault="19DE3499" w:rsidP="00B53262">
      <w:pPr>
        <w:spacing w:line="276" w:lineRule="auto"/>
        <w:jc w:val="both"/>
      </w:pPr>
      <w:r w:rsidRPr="00B53262">
        <w:rPr>
          <w:rFonts w:eastAsia="Aptos" w:cs="Aptos"/>
        </w:rPr>
        <w:t xml:space="preserve">Hawker, G.A., Stewart, L., French, M.R., Cibere, J., Jordan, J.M., March, L., Suarez-Almazor, M. and Gooberman-Hill, R., ( 2008) ‘Understanding the pain experience in hip and knee osteoarthritis–an OARSI/OMERACT initiative.’ </w:t>
      </w:r>
      <w:r w:rsidRPr="00B53262">
        <w:rPr>
          <w:rFonts w:eastAsia="Aptos" w:cs="Aptos"/>
          <w:i/>
          <w:iCs/>
        </w:rPr>
        <w:t>Osteoarthritis and cartilage</w:t>
      </w:r>
      <w:r w:rsidRPr="00B53262">
        <w:rPr>
          <w:rFonts w:eastAsia="Aptos" w:cs="Aptos"/>
        </w:rPr>
        <w:t xml:space="preserve">, </w:t>
      </w:r>
      <w:r w:rsidRPr="00B53262">
        <w:rPr>
          <w:rFonts w:eastAsia="Aptos" w:cs="Aptos"/>
          <w:i/>
          <w:iCs/>
        </w:rPr>
        <w:t>16</w:t>
      </w:r>
      <w:r w:rsidRPr="00B53262">
        <w:rPr>
          <w:rFonts w:eastAsia="Aptos" w:cs="Aptos"/>
        </w:rPr>
        <w:t xml:space="preserve">(4), pp.415-422.Available at: </w:t>
      </w:r>
      <w:r w:rsidR="00676834" w:rsidRPr="00B53262">
        <w:rPr>
          <w:rFonts w:eastAsia="Aptos" w:cs="Aptos"/>
          <w:u w:val="single"/>
        </w:rPr>
        <w:t>https://www.</w:t>
      </w:r>
      <w:hyperlink r:id="rId25">
        <w:r w:rsidR="003D60B4" w:rsidRPr="00B53262">
          <w:rPr>
            <w:rStyle w:val="Hyperlink"/>
            <w:rFonts w:eastAsia="Aptos" w:cs="Aptos"/>
            <w:color w:val="auto"/>
          </w:rPr>
          <w:t>u</w:t>
        </w:r>
        <w:r w:rsidRPr="00B53262">
          <w:rPr>
            <w:rStyle w:val="Hyperlink"/>
            <w:rFonts w:eastAsia="Aptos" w:cs="Aptos"/>
            <w:color w:val="auto"/>
          </w:rPr>
          <w:t>nderstanding the pain experience in hip and knee osteoarthritis – an OARSI/OMERACT initiative - ScienceDirect.</w:t>
        </w:r>
      </w:hyperlink>
      <w:r w:rsidRPr="00B53262">
        <w:rPr>
          <w:rFonts w:eastAsia="Aptos" w:cs="Aptos"/>
        </w:rPr>
        <w:t xml:space="preserve"> (Accessed: 12 September 2025). </w:t>
      </w:r>
      <w:r w:rsidRPr="00B53262">
        <w:rPr>
          <w:rFonts w:eastAsia="Aptos" w:cs="Aptos"/>
          <w:lang w:val="en-US"/>
        </w:rPr>
        <w:t xml:space="preserve"> </w:t>
      </w:r>
    </w:p>
    <w:p w14:paraId="5FB119F3" w14:textId="77777777" w:rsidR="19DE3499" w:rsidRPr="00B53262" w:rsidRDefault="19DE3499" w:rsidP="00B53262">
      <w:pPr>
        <w:spacing w:line="276" w:lineRule="auto"/>
        <w:jc w:val="both"/>
      </w:pPr>
      <w:r w:rsidRPr="00B53262">
        <w:rPr>
          <w:rFonts w:eastAsia="Aptos" w:cs="Aptos"/>
        </w:rPr>
        <w:t>Health Foundation (2016) ‘</w:t>
      </w:r>
      <w:r w:rsidRPr="00B53262">
        <w:rPr>
          <w:rFonts w:eastAsia="Aptos" w:cs="Aptos"/>
          <w:i/>
          <w:iCs/>
        </w:rPr>
        <w:t>Person-centred care made simple</w:t>
      </w:r>
      <w:r w:rsidRPr="00B53262">
        <w:rPr>
          <w:rFonts w:eastAsia="Aptos" w:cs="Aptos"/>
        </w:rPr>
        <w:t xml:space="preserve">.’ Available at: </w:t>
      </w:r>
      <w:hyperlink r:id="rId26">
        <w:r w:rsidRPr="00B53262">
          <w:rPr>
            <w:rStyle w:val="Hyperlink"/>
            <w:rFonts w:eastAsia="Aptos" w:cs="Aptos"/>
            <w:color w:val="auto"/>
          </w:rPr>
          <w:t>https://www.health.org.uk/publications/person-centred-care-made-simple</w:t>
        </w:r>
      </w:hyperlink>
      <w:r w:rsidRPr="00B53262">
        <w:rPr>
          <w:rFonts w:eastAsia="Aptos" w:cs="Aptos"/>
        </w:rPr>
        <w:t xml:space="preserve"> (Accessed: 11 September 2025). </w:t>
      </w:r>
      <w:r w:rsidRPr="00B53262">
        <w:rPr>
          <w:rFonts w:eastAsia="Aptos" w:cs="Aptos"/>
          <w:lang w:val="en-US"/>
        </w:rPr>
        <w:t xml:space="preserve"> </w:t>
      </w:r>
    </w:p>
    <w:p w14:paraId="283D572C" w14:textId="77777777" w:rsidR="19DE3499" w:rsidRPr="00B53262" w:rsidRDefault="19DE3499" w:rsidP="00B53262">
      <w:pPr>
        <w:spacing w:line="276" w:lineRule="auto"/>
        <w:jc w:val="both"/>
      </w:pPr>
      <w:r w:rsidRPr="00B53262">
        <w:rPr>
          <w:rFonts w:eastAsia="Aptos" w:cs="Aptos"/>
        </w:rPr>
        <w:t xml:space="preserve">Hunter, D.J. and Bierma-Zeinstra, S. (2019) ‘Osteoarthritis’, </w:t>
      </w:r>
      <w:r w:rsidRPr="00B53262">
        <w:rPr>
          <w:rFonts w:eastAsia="Aptos" w:cs="Aptos"/>
          <w:i/>
          <w:iCs/>
        </w:rPr>
        <w:t>Lancet,</w:t>
      </w:r>
      <w:r w:rsidRPr="00B53262">
        <w:rPr>
          <w:rFonts w:eastAsia="Aptos" w:cs="Aptos"/>
        </w:rPr>
        <w:t xml:space="preserve"> London, England. Available at: </w:t>
      </w:r>
      <w:r w:rsidR="00ED65F2" w:rsidRPr="00B53262">
        <w:rPr>
          <w:rFonts w:eastAsia="Aptos" w:cs="Aptos"/>
          <w:u w:val="single"/>
        </w:rPr>
        <w:t>https://doi.org/</w:t>
      </w:r>
      <w:hyperlink r:id="rId27">
        <w:r w:rsidRPr="00B53262">
          <w:rPr>
            <w:rStyle w:val="Hyperlink"/>
            <w:rFonts w:eastAsia="Aptos" w:cs="Aptos"/>
            <w:color w:val="auto"/>
          </w:rPr>
          <w:t>10.1016/S0140-6736(19)30417-9.</w:t>
        </w:r>
      </w:hyperlink>
      <w:r w:rsidRPr="00B53262">
        <w:rPr>
          <w:rFonts w:eastAsia="Aptos" w:cs="Aptos"/>
        </w:rPr>
        <w:t xml:space="preserve"> </w:t>
      </w:r>
      <w:r w:rsidRPr="00B53262">
        <w:rPr>
          <w:rFonts w:eastAsia="Aptos" w:cs="Aptos"/>
          <w:lang w:val="en-US"/>
        </w:rPr>
        <w:t xml:space="preserve"> </w:t>
      </w:r>
    </w:p>
    <w:p w14:paraId="5445E8EF" w14:textId="77777777" w:rsidR="19DE3499" w:rsidRPr="00B53262" w:rsidRDefault="19DE3499" w:rsidP="00B53262">
      <w:pPr>
        <w:spacing w:line="276" w:lineRule="auto"/>
        <w:jc w:val="both"/>
      </w:pPr>
      <w:r w:rsidRPr="00B53262">
        <w:rPr>
          <w:rFonts w:eastAsia="Aptos" w:cs="Aptos"/>
        </w:rPr>
        <w:t>Jin, J.O., Kawai, T., Cha, S. and Yu, Q., (2013) ‘Interleukin</w:t>
      </w:r>
      <w:r w:rsidRPr="00B53262">
        <w:rPr>
          <w:rFonts w:ascii="Cambria Math" w:eastAsia="Cambria Math" w:hAnsi="Cambria Math" w:cs="Cambria Math"/>
        </w:rPr>
        <w:t>‐</w:t>
      </w:r>
      <w:r w:rsidRPr="00B53262">
        <w:rPr>
          <w:rFonts w:eastAsia="Aptos" w:cs="Aptos"/>
        </w:rPr>
        <w:t>7 enhances the Th</w:t>
      </w:r>
      <w:r w:rsidR="00F90C49" w:rsidRPr="00B53262">
        <w:rPr>
          <w:rFonts w:eastAsia="Aptos" w:cs="Aptos"/>
        </w:rPr>
        <w:t>e</w:t>
      </w:r>
      <w:r w:rsidRPr="00B53262">
        <w:rPr>
          <w:rFonts w:eastAsia="Aptos" w:cs="Aptos"/>
        </w:rPr>
        <w:t xml:space="preserve">1 response to promote the development of Sjögren's syndrome–like autoimmune exocrinopathy in mice.’ </w:t>
      </w:r>
      <w:r w:rsidRPr="00B53262">
        <w:rPr>
          <w:rFonts w:eastAsia="Aptos" w:cs="Aptos"/>
          <w:i/>
          <w:iCs/>
        </w:rPr>
        <w:t>Arthritis &amp; Rheumatism</w:t>
      </w:r>
      <w:r w:rsidRPr="00B53262">
        <w:rPr>
          <w:rFonts w:eastAsia="Aptos" w:cs="Aptos"/>
        </w:rPr>
        <w:t xml:space="preserve">, </w:t>
      </w:r>
      <w:r w:rsidRPr="00B53262">
        <w:rPr>
          <w:rFonts w:eastAsia="Aptos" w:cs="Aptos"/>
          <w:i/>
          <w:iCs/>
        </w:rPr>
        <w:t>65</w:t>
      </w:r>
      <w:r w:rsidRPr="00B53262">
        <w:rPr>
          <w:rFonts w:eastAsia="Aptos" w:cs="Aptos"/>
        </w:rPr>
        <w:t xml:space="preserve">(8), pp.2132-2142. Available at: </w:t>
      </w:r>
      <w:bookmarkStart w:id="55" w:name="_Hlk210817671"/>
      <w:r w:rsidR="0037705A" w:rsidRPr="00B53262">
        <w:rPr>
          <w:rFonts w:eastAsia="Aptos" w:cs="Aptos"/>
          <w:u w:val="single"/>
        </w:rPr>
        <w:t>https:</w:t>
      </w:r>
      <w:r w:rsidR="00FE2707" w:rsidRPr="00B53262">
        <w:rPr>
          <w:rFonts w:eastAsia="Aptos" w:cs="Aptos"/>
          <w:u w:val="single"/>
        </w:rPr>
        <w:t>//www.</w:t>
      </w:r>
      <w:bookmarkEnd w:id="55"/>
      <w:r w:rsidRPr="00B53262">
        <w:fldChar w:fldCharType="begin"/>
      </w:r>
      <w:r w:rsidRPr="00B53262">
        <w:instrText>HYPERLINK "https://onlinelibrary.wiley.com/doi/abs/10.1002/art.38007" \h</w:instrText>
      </w:r>
      <w:r w:rsidRPr="00B53262">
        <w:fldChar w:fldCharType="separate"/>
      </w:r>
      <w:r w:rsidR="00FE2707" w:rsidRPr="00B53262">
        <w:rPr>
          <w:rStyle w:val="Hyperlink"/>
          <w:rFonts w:eastAsia="Aptos" w:cs="Aptos"/>
          <w:color w:val="auto"/>
        </w:rPr>
        <w:t>i</w:t>
      </w:r>
      <w:r w:rsidRPr="00B53262">
        <w:rPr>
          <w:rStyle w:val="Hyperlink"/>
          <w:rFonts w:eastAsia="Aptos" w:cs="Aptos"/>
          <w:color w:val="auto"/>
        </w:rPr>
        <w:t>nterleukin</w:t>
      </w:r>
      <w:r w:rsidRPr="00B53262">
        <w:rPr>
          <w:rStyle w:val="Hyperlink"/>
          <w:rFonts w:ascii="Cambria Math" w:eastAsia="Cambria Math" w:hAnsi="Cambria Math" w:cs="Cambria Math"/>
          <w:color w:val="auto"/>
        </w:rPr>
        <w:t>‐</w:t>
      </w:r>
      <w:r w:rsidRPr="00B53262">
        <w:rPr>
          <w:rStyle w:val="Hyperlink"/>
          <w:rFonts w:eastAsia="Aptos" w:cs="Aptos"/>
          <w:color w:val="auto"/>
        </w:rPr>
        <w:t xml:space="preserve">7 Enhances the Th1 Response to Promote the Development of Sjögren's Syndrome–like Autoimmune </w:t>
      </w:r>
      <w:proofErr w:type="spellStart"/>
      <w:r w:rsidRPr="00B53262">
        <w:rPr>
          <w:rStyle w:val="Hyperlink"/>
          <w:rFonts w:eastAsia="Aptos" w:cs="Aptos"/>
          <w:color w:val="auto"/>
        </w:rPr>
        <w:t>Exocrinopathy</w:t>
      </w:r>
      <w:proofErr w:type="spellEnd"/>
      <w:r w:rsidRPr="00B53262">
        <w:rPr>
          <w:rStyle w:val="Hyperlink"/>
          <w:rFonts w:eastAsia="Aptos" w:cs="Aptos"/>
          <w:color w:val="auto"/>
        </w:rPr>
        <w:t xml:space="preserve"> in Mice - Jin - 2013 - Arthritis &amp; Rheumatism - Wiley Online Library</w:t>
      </w:r>
      <w:r w:rsidRPr="00B53262">
        <w:fldChar w:fldCharType="end"/>
      </w:r>
      <w:r w:rsidRPr="00B53262">
        <w:rPr>
          <w:rFonts w:eastAsia="Aptos" w:cs="Aptos"/>
        </w:rPr>
        <w:t xml:space="preserve"> (Accessed: 12 September 2025). </w:t>
      </w:r>
      <w:r w:rsidRPr="00B53262">
        <w:rPr>
          <w:rFonts w:eastAsia="Aptos" w:cs="Aptos"/>
          <w:lang w:val="en-US"/>
        </w:rPr>
        <w:t xml:space="preserve"> </w:t>
      </w:r>
    </w:p>
    <w:p w14:paraId="1905EA46" w14:textId="77777777" w:rsidR="19DE3499" w:rsidRPr="00B53262" w:rsidRDefault="19DE3499" w:rsidP="00B53262">
      <w:pPr>
        <w:spacing w:line="276" w:lineRule="auto"/>
        <w:jc w:val="both"/>
      </w:pPr>
      <w:r w:rsidRPr="00B53262">
        <w:rPr>
          <w:rFonts w:eastAsia="Aptos" w:cs="Aptos"/>
        </w:rPr>
        <w:t xml:space="preserve">Kars Fertelli, T., (2020) ‘Effects of education about rheumatoid arthritis and sexuality on the sexual problems of women with rheumatoid arthritis.’ </w:t>
      </w:r>
      <w:r w:rsidRPr="00B53262">
        <w:rPr>
          <w:rFonts w:eastAsia="Aptos" w:cs="Aptos"/>
          <w:i/>
          <w:iCs/>
        </w:rPr>
        <w:t>Clinical Nursing Research</w:t>
      </w:r>
      <w:r w:rsidRPr="00B53262">
        <w:rPr>
          <w:rFonts w:eastAsia="Aptos" w:cs="Aptos"/>
        </w:rPr>
        <w:t xml:space="preserve">, </w:t>
      </w:r>
      <w:r w:rsidRPr="00B53262">
        <w:rPr>
          <w:rFonts w:eastAsia="Aptos" w:cs="Aptos"/>
          <w:i/>
          <w:iCs/>
        </w:rPr>
        <w:t>29</w:t>
      </w:r>
      <w:r w:rsidRPr="00B53262">
        <w:rPr>
          <w:rFonts w:eastAsia="Aptos" w:cs="Aptos"/>
        </w:rPr>
        <w:t>(3), pp.189-199. Available. at:</w:t>
      </w:r>
      <w:r w:rsidRPr="00B53262">
        <w:rPr>
          <w:rFonts w:eastAsia="Aptos" w:cs="Aptos"/>
          <w:u w:val="single"/>
        </w:rPr>
        <w:t xml:space="preserve"> </w:t>
      </w:r>
      <w:r w:rsidR="00FE2707" w:rsidRPr="00B53262">
        <w:rPr>
          <w:rFonts w:eastAsia="Aptos" w:cs="Aptos"/>
          <w:u w:val="single"/>
        </w:rPr>
        <w:t>https://www.</w:t>
      </w:r>
      <w:hyperlink r:id="rId28">
        <w:r w:rsidRPr="00B53262">
          <w:rPr>
            <w:rStyle w:val="Hyperlink"/>
            <w:rFonts w:eastAsia="Aptos" w:cs="Aptos"/>
            <w:color w:val="auto"/>
          </w:rPr>
          <w:t xml:space="preserve">Effects of Education About Rheumatoid </w:t>
        </w:r>
        <w:r w:rsidRPr="00B53262">
          <w:rPr>
            <w:rStyle w:val="Hyperlink"/>
            <w:rFonts w:eastAsia="Aptos" w:cs="Aptos"/>
            <w:color w:val="auto"/>
          </w:rPr>
          <w:lastRenderedPageBreak/>
          <w:t>Arthritis and Sexuality on the Sexual Problems of Women With Rheumatoid Arthritis - Tülay Kars Fertelli, 2020.</w:t>
        </w:r>
      </w:hyperlink>
      <w:r w:rsidRPr="00B53262">
        <w:rPr>
          <w:rFonts w:eastAsia="Aptos" w:cs="Aptos"/>
        </w:rPr>
        <w:t xml:space="preserve"> (Accessed: 11 September 2025). </w:t>
      </w:r>
      <w:r w:rsidRPr="00B53262">
        <w:rPr>
          <w:rFonts w:eastAsia="Aptos" w:cs="Aptos"/>
          <w:lang w:val="en-US"/>
        </w:rPr>
        <w:t xml:space="preserve"> </w:t>
      </w:r>
    </w:p>
    <w:p w14:paraId="12F943EB" w14:textId="77777777" w:rsidR="19DE3499" w:rsidRPr="00B53262" w:rsidRDefault="19DE3499" w:rsidP="00B53262">
      <w:pPr>
        <w:spacing w:line="276" w:lineRule="auto"/>
        <w:jc w:val="both"/>
      </w:pPr>
      <w:r w:rsidRPr="00B53262">
        <w:rPr>
          <w:rFonts w:eastAsia="Aptos" w:cs="Aptos"/>
        </w:rPr>
        <w:t xml:space="preserve">Keith T. Palmer (2012) ‘The older worker with osteoarthritis of the knee,’ </w:t>
      </w:r>
      <w:r w:rsidRPr="00B53262">
        <w:rPr>
          <w:rFonts w:eastAsia="Aptos" w:cs="Aptos"/>
          <w:i/>
          <w:iCs/>
        </w:rPr>
        <w:t>British Medical Bulletin</w:t>
      </w:r>
      <w:r w:rsidRPr="00B53262">
        <w:rPr>
          <w:rFonts w:eastAsia="Aptos" w:cs="Aptos"/>
        </w:rPr>
        <w:t>, Available at:</w:t>
      </w:r>
      <w:r w:rsidRPr="00B53262">
        <w:rPr>
          <w:rFonts w:eastAsia="Aptos" w:cs="Aptos"/>
          <w:u w:val="single"/>
        </w:rPr>
        <w:t xml:space="preserve"> </w:t>
      </w:r>
      <w:r w:rsidR="004A7D29" w:rsidRPr="00B53262">
        <w:rPr>
          <w:rFonts w:eastAsia="Aptos" w:cs="Aptos"/>
          <w:u w:val="single"/>
        </w:rPr>
        <w:t>https://www.</w:t>
      </w:r>
      <w:r w:rsidRPr="00B53262">
        <w:rPr>
          <w:rFonts w:eastAsia="Aptos" w:cs="Aptos"/>
          <w:u w:val="single"/>
        </w:rPr>
        <w:t xml:space="preserve"> </w:t>
      </w:r>
      <w:hyperlink r:id="rId29" w:anchor="google_vignette">
        <w:r w:rsidRPr="00B53262">
          <w:rPr>
            <w:rStyle w:val="Hyperlink"/>
            <w:rFonts w:eastAsia="Aptos" w:cs="Aptos"/>
            <w:color w:val="auto"/>
          </w:rPr>
          <w:t>older worker with osteoarthritis of the knee | British Medical Bulletin | Oxford Academic.</w:t>
        </w:r>
      </w:hyperlink>
      <w:r w:rsidRPr="00B53262">
        <w:rPr>
          <w:rFonts w:eastAsia="Aptos" w:cs="Aptos"/>
        </w:rPr>
        <w:t xml:space="preserve"> (Accessed: 10 September 2025). </w:t>
      </w:r>
      <w:r w:rsidRPr="00B53262">
        <w:rPr>
          <w:rFonts w:eastAsia="Aptos" w:cs="Aptos"/>
          <w:lang w:val="en-US"/>
        </w:rPr>
        <w:t xml:space="preserve"> </w:t>
      </w:r>
    </w:p>
    <w:p w14:paraId="7FAF4298" w14:textId="77777777" w:rsidR="19DE3499" w:rsidRPr="00B53262" w:rsidRDefault="19DE3499" w:rsidP="00B53262">
      <w:pPr>
        <w:spacing w:line="276" w:lineRule="auto"/>
        <w:jc w:val="both"/>
      </w:pPr>
      <w:r w:rsidRPr="00B53262">
        <w:rPr>
          <w:rFonts w:eastAsia="Aptos" w:cs="Aptos"/>
        </w:rPr>
        <w:t xml:space="preserve">Khan, M., Evaniew, N., Bedi, A., Ayeni, O.R. and Bhandari, M., (2014) ‘Arthroscopic surgery for degenerative tears of the meniscus: a systematic review and meta-analysis.’ </w:t>
      </w:r>
      <w:r w:rsidRPr="00B53262">
        <w:rPr>
          <w:rFonts w:eastAsia="Aptos" w:cs="Aptos"/>
          <w:i/>
          <w:iCs/>
        </w:rPr>
        <w:t>Cmaj</w:t>
      </w:r>
      <w:r w:rsidRPr="00B53262">
        <w:rPr>
          <w:rFonts w:eastAsia="Aptos" w:cs="Aptos"/>
        </w:rPr>
        <w:t xml:space="preserve">, </w:t>
      </w:r>
      <w:r w:rsidRPr="00B53262">
        <w:rPr>
          <w:rFonts w:eastAsia="Aptos" w:cs="Aptos"/>
          <w:i/>
          <w:iCs/>
        </w:rPr>
        <w:t>186</w:t>
      </w:r>
      <w:r w:rsidRPr="00B53262">
        <w:rPr>
          <w:rFonts w:eastAsia="Aptos" w:cs="Aptos"/>
        </w:rPr>
        <w:t xml:space="preserve">(14), pp.1057-1064. Available at:  </w:t>
      </w:r>
      <w:hyperlink r:id="rId30">
        <w:r w:rsidRPr="00B53262">
          <w:rPr>
            <w:rStyle w:val="Hyperlink"/>
            <w:rFonts w:eastAsia="Aptos" w:cs="Aptos"/>
            <w:color w:val="auto"/>
          </w:rPr>
          <w:t>https://doi.org/10.1503/cmaj.140433</w:t>
        </w:r>
      </w:hyperlink>
      <w:r w:rsidRPr="00B53262">
        <w:rPr>
          <w:rFonts w:eastAsia="Aptos" w:cs="Aptos"/>
        </w:rPr>
        <w:t xml:space="preserve">.  </w:t>
      </w:r>
      <w:r w:rsidRPr="00B53262">
        <w:rPr>
          <w:rFonts w:eastAsia="Aptos" w:cs="Aptos"/>
          <w:lang w:val="en-US"/>
        </w:rPr>
        <w:t xml:space="preserve"> </w:t>
      </w:r>
    </w:p>
    <w:p w14:paraId="019AB237" w14:textId="77777777" w:rsidR="19DE3499" w:rsidRPr="00B53262" w:rsidRDefault="19DE3499" w:rsidP="00B53262">
      <w:pPr>
        <w:spacing w:line="276" w:lineRule="auto"/>
        <w:jc w:val="both"/>
      </w:pPr>
      <w:r w:rsidRPr="00B53262">
        <w:rPr>
          <w:rFonts w:eastAsia="Aptos" w:cs="Aptos"/>
        </w:rPr>
        <w:t xml:space="preserve">Litwic, A., Edwards, M. H., Dennison, E. M., &amp; Cooper, C. (2013). ‘Epidemiology and burden of osteoarthritis’. </w:t>
      </w:r>
      <w:r w:rsidRPr="00B53262">
        <w:rPr>
          <w:rFonts w:eastAsia="Aptos" w:cs="Aptos"/>
          <w:i/>
          <w:iCs/>
        </w:rPr>
        <w:t xml:space="preserve">British medical bulletin. </w:t>
      </w:r>
      <w:r w:rsidRPr="00B53262">
        <w:rPr>
          <w:rFonts w:eastAsia="Aptos" w:cs="Aptos"/>
        </w:rPr>
        <w:t xml:space="preserve">Available at: </w:t>
      </w:r>
      <w:hyperlink r:id="rId31">
        <w:r w:rsidRPr="00B53262">
          <w:rPr>
            <w:rStyle w:val="Hyperlink"/>
            <w:rFonts w:eastAsia="Aptos" w:cs="Aptos"/>
            <w:color w:val="auto"/>
          </w:rPr>
          <w:t>https://doi.org/10.1093/bmb/lds038</w:t>
        </w:r>
      </w:hyperlink>
      <w:r w:rsidRPr="00B53262">
        <w:rPr>
          <w:rFonts w:eastAsia="Aptos" w:cs="Aptos"/>
        </w:rPr>
        <w:t xml:space="preserve">.  </w:t>
      </w:r>
      <w:r w:rsidRPr="00B53262">
        <w:rPr>
          <w:rFonts w:eastAsia="Aptos" w:cs="Aptos"/>
          <w:lang w:val="en-US"/>
        </w:rPr>
        <w:t xml:space="preserve"> </w:t>
      </w:r>
    </w:p>
    <w:p w14:paraId="26B39829" w14:textId="77777777" w:rsidR="19DE3499" w:rsidRPr="00B53262" w:rsidRDefault="19DE3499" w:rsidP="00B53262">
      <w:pPr>
        <w:spacing w:line="276" w:lineRule="auto"/>
        <w:jc w:val="both"/>
      </w:pPr>
      <w:r w:rsidRPr="00B53262">
        <w:rPr>
          <w:rFonts w:eastAsia="Aptos" w:cs="Aptos"/>
        </w:rPr>
        <w:t xml:space="preserve">Lopes, David G., Daniela Costa, Eduardo B. Cruz, Nuno Mendonça, Ana Rita Henriques, Jaime Branco, Helena Canhão, and Ana M. Rodrigues. (2022) "Association of physical activity with physical function and quality of life in people with hip and knee osteoarthritis: longitudinal analysis of a population-based cohort." </w:t>
      </w:r>
      <w:r w:rsidRPr="00B53262">
        <w:rPr>
          <w:rFonts w:eastAsia="Aptos" w:cs="Aptos"/>
          <w:i/>
          <w:iCs/>
        </w:rPr>
        <w:t>Arthritis Research &amp; Therapy</w:t>
      </w:r>
      <w:r w:rsidRPr="00B53262">
        <w:rPr>
          <w:rFonts w:eastAsia="Aptos" w:cs="Aptos"/>
        </w:rPr>
        <w:t xml:space="preserve"> 25, no. 1 (2023): 14. Available at: </w:t>
      </w:r>
      <w:r w:rsidR="008B0815" w:rsidRPr="00B53262">
        <w:rPr>
          <w:rFonts w:eastAsia="Aptos" w:cs="Aptos"/>
        </w:rPr>
        <w:t>h</w:t>
      </w:r>
      <w:r w:rsidR="008B0815" w:rsidRPr="00B53262">
        <w:rPr>
          <w:rFonts w:eastAsia="Aptos" w:cs="Aptos"/>
          <w:u w:val="single"/>
        </w:rPr>
        <w:t>ttps://www.</w:t>
      </w:r>
      <w:hyperlink r:id="rId32">
        <w:r w:rsidRPr="00B53262">
          <w:rPr>
            <w:rStyle w:val="Hyperlink"/>
            <w:rFonts w:eastAsia="Aptos" w:cs="Aptos"/>
            <w:color w:val="auto"/>
          </w:rPr>
          <w:t>Association of physical activity with physical function and quality of life in people with hip and knee osteoarthritis: longitudinal analysis of a population-based cohort | Arthritis Research &amp; Therapy.</w:t>
        </w:r>
      </w:hyperlink>
      <w:r w:rsidRPr="00B53262">
        <w:rPr>
          <w:rFonts w:eastAsia="Aptos" w:cs="Aptos"/>
        </w:rPr>
        <w:t xml:space="preserve"> (Accessed: 11 September 2025). </w:t>
      </w:r>
      <w:r w:rsidRPr="00B53262">
        <w:rPr>
          <w:rFonts w:eastAsia="Aptos" w:cs="Aptos"/>
          <w:lang w:val="en-US"/>
        </w:rPr>
        <w:t xml:space="preserve"> </w:t>
      </w:r>
    </w:p>
    <w:p w14:paraId="52E12EDE" w14:textId="77777777" w:rsidR="19DE3499" w:rsidRPr="00B53262" w:rsidRDefault="19DE3499" w:rsidP="00B53262">
      <w:pPr>
        <w:spacing w:line="276" w:lineRule="auto"/>
        <w:jc w:val="both"/>
      </w:pPr>
      <w:r w:rsidRPr="00B53262">
        <w:rPr>
          <w:rFonts w:eastAsia="Aptos" w:cs="Aptos"/>
        </w:rPr>
        <w:t>Marmot, M., Allen, J., Boyce, T., Goldblatt, P. and Morrison, J. (2020) ‘</w:t>
      </w:r>
      <w:r w:rsidRPr="00B53262">
        <w:rPr>
          <w:rFonts w:eastAsia="Aptos" w:cs="Aptos"/>
          <w:i/>
          <w:iCs/>
        </w:rPr>
        <w:t>Health Equity in England: The Marmot Review 10 Years On</w:t>
      </w:r>
      <w:r w:rsidRPr="00B53262">
        <w:rPr>
          <w:rFonts w:eastAsia="Aptos" w:cs="Aptos"/>
        </w:rPr>
        <w:t xml:space="preserve">.’ London: Institute of Health Equity. Available at: </w:t>
      </w:r>
      <w:hyperlink r:id="rId33">
        <w:r w:rsidRPr="00B53262">
          <w:rPr>
            <w:rStyle w:val="Hyperlink"/>
            <w:rFonts w:eastAsia="Aptos" w:cs="Aptos"/>
            <w:color w:val="auto"/>
          </w:rPr>
          <w:t>https://www.health.org.uk/publications/reports/the-marmot-review-10-years-on</w:t>
        </w:r>
      </w:hyperlink>
      <w:r w:rsidRPr="00B53262">
        <w:rPr>
          <w:rFonts w:eastAsia="Aptos" w:cs="Aptos"/>
        </w:rPr>
        <w:t xml:space="preserve"> (Accessed: 11 September 2025). </w:t>
      </w:r>
      <w:r w:rsidRPr="00B53262">
        <w:rPr>
          <w:rFonts w:eastAsia="Aptos" w:cs="Aptos"/>
          <w:lang w:val="en-US"/>
        </w:rPr>
        <w:t xml:space="preserve"> </w:t>
      </w:r>
    </w:p>
    <w:p w14:paraId="23CFD50D" w14:textId="77777777" w:rsidR="19DE3499" w:rsidRPr="00B53262" w:rsidRDefault="19DE3499" w:rsidP="00B53262">
      <w:pPr>
        <w:spacing w:line="276" w:lineRule="auto"/>
        <w:jc w:val="both"/>
      </w:pPr>
      <w:r w:rsidRPr="00B53262">
        <w:rPr>
          <w:rFonts w:eastAsia="Aptos" w:cs="Aptos"/>
        </w:rPr>
        <w:t>McTaggart</w:t>
      </w:r>
      <w:r w:rsidRPr="00B53262">
        <w:rPr>
          <w:rFonts w:ascii="Cambria Math" w:eastAsia="Cambria Math" w:hAnsi="Cambria Math" w:cs="Cambria Math"/>
        </w:rPr>
        <w:t>‐</w:t>
      </w:r>
      <w:r w:rsidRPr="00B53262">
        <w:rPr>
          <w:rFonts w:eastAsia="Aptos" w:cs="Aptos"/>
        </w:rPr>
        <w:t xml:space="preserve">Cowan, H.M., Brazier, J.E. and Tsuchiya, A., (2010) ‘Clustering Rasch results: a novel method for developing rheumatoid arthritis states for use in valuation studies.’ </w:t>
      </w:r>
      <w:r w:rsidRPr="00B53262">
        <w:rPr>
          <w:rFonts w:eastAsia="Aptos" w:cs="Aptos"/>
          <w:i/>
          <w:iCs/>
        </w:rPr>
        <w:t>Value in Health</w:t>
      </w:r>
      <w:r w:rsidRPr="00B53262">
        <w:rPr>
          <w:rFonts w:eastAsia="Aptos" w:cs="Aptos"/>
        </w:rPr>
        <w:t xml:space="preserve">, </w:t>
      </w:r>
      <w:r w:rsidRPr="00B53262">
        <w:rPr>
          <w:rFonts w:eastAsia="Aptos" w:cs="Aptos"/>
          <w:i/>
          <w:iCs/>
        </w:rPr>
        <w:t>13</w:t>
      </w:r>
      <w:r w:rsidRPr="00B53262">
        <w:rPr>
          <w:rFonts w:eastAsia="Aptos" w:cs="Aptos"/>
        </w:rPr>
        <w:t xml:space="preserve">(6), pp.787-795. Available at:  </w:t>
      </w:r>
      <w:r w:rsidR="008B0815" w:rsidRPr="00B53262">
        <w:rPr>
          <w:rFonts w:eastAsia="Aptos" w:cs="Aptos"/>
          <w:u w:val="single"/>
        </w:rPr>
        <w:t>https://www.</w:t>
      </w:r>
      <w:hyperlink r:id="rId34">
        <w:r w:rsidRPr="00B53262">
          <w:rPr>
            <w:rStyle w:val="Hyperlink"/>
            <w:rFonts w:eastAsia="Aptos" w:cs="Aptos"/>
            <w:color w:val="auto"/>
          </w:rPr>
          <w:t>Clustering Rasch Results: A Novel Method for Developing Rheumatoid Arthritis States for Use in Valuation Studies - McTaggart</w:t>
        </w:r>
        <w:r w:rsidRPr="00B53262">
          <w:rPr>
            <w:rStyle w:val="Hyperlink"/>
            <w:rFonts w:ascii="Cambria Math" w:eastAsia="Cambria Math" w:hAnsi="Cambria Math" w:cs="Cambria Math"/>
            <w:color w:val="auto"/>
          </w:rPr>
          <w:t>‐</w:t>
        </w:r>
        <w:r w:rsidRPr="00B53262">
          <w:rPr>
            <w:rStyle w:val="Hyperlink"/>
            <w:rFonts w:eastAsia="Aptos" w:cs="Aptos"/>
            <w:color w:val="auto"/>
          </w:rPr>
          <w:t>Cowan - 2010 - Value in Health - Wiley Online Library</w:t>
        </w:r>
      </w:hyperlink>
      <w:r w:rsidRPr="00B53262">
        <w:rPr>
          <w:rFonts w:eastAsia="Aptos" w:cs="Aptos"/>
        </w:rPr>
        <w:t xml:space="preserve"> (Accessed: 11 September 2025). </w:t>
      </w:r>
      <w:r w:rsidRPr="00B53262">
        <w:rPr>
          <w:rFonts w:eastAsia="Aptos" w:cs="Aptos"/>
          <w:lang w:val="en-US"/>
        </w:rPr>
        <w:t xml:space="preserve"> </w:t>
      </w:r>
    </w:p>
    <w:p w14:paraId="772D2025" w14:textId="77777777" w:rsidR="19DE3499" w:rsidRPr="00B53262" w:rsidRDefault="19DE3499" w:rsidP="00B53262">
      <w:pPr>
        <w:spacing w:line="276" w:lineRule="auto"/>
        <w:jc w:val="both"/>
      </w:pPr>
      <w:r w:rsidRPr="00B53262">
        <w:rPr>
          <w:rFonts w:eastAsia="Aptos" w:cs="Aptos"/>
        </w:rPr>
        <w:t xml:space="preserve">Murray, M.L., Pinches, H., Mafham, M., Hartley, S., Carpenter, J., Landray, M.J., Love, S.B., Parmar, M. and Sydes, M., (2022) ‘Use of NHS Digital datasets as trial data in the UK: a position paper’. Available at: </w:t>
      </w:r>
      <w:hyperlink r:id="rId35">
        <w:r w:rsidRPr="00B53262">
          <w:rPr>
            <w:rStyle w:val="Hyperlink"/>
            <w:rFonts w:eastAsia="Aptos" w:cs="Aptos"/>
            <w:color w:val="auto"/>
          </w:rPr>
          <w:t>https://doi.</w:t>
        </w:r>
      </w:hyperlink>
      <w:hyperlink r:id="rId36">
        <w:r w:rsidRPr="00B53262">
          <w:rPr>
            <w:rStyle w:val="Hyperlink"/>
            <w:rFonts w:eastAsia="Aptos" w:cs="Aptos"/>
            <w:color w:val="auto"/>
          </w:rPr>
          <w:t>10.5281/zenodo.6047154.</w:t>
        </w:r>
      </w:hyperlink>
      <w:r w:rsidRPr="00B53262">
        <w:rPr>
          <w:rFonts w:eastAsia="Aptos" w:cs="Aptos"/>
          <w:u w:val="single"/>
        </w:rPr>
        <w:t xml:space="preserve"> </w:t>
      </w:r>
      <w:r w:rsidRPr="00B53262">
        <w:rPr>
          <w:rFonts w:eastAsia="Aptos" w:cs="Aptos"/>
        </w:rPr>
        <w:t xml:space="preserve"> </w:t>
      </w:r>
      <w:r w:rsidRPr="00B53262">
        <w:rPr>
          <w:rFonts w:eastAsia="Aptos" w:cs="Aptos"/>
          <w:lang w:val="en-US"/>
        </w:rPr>
        <w:t xml:space="preserve"> </w:t>
      </w:r>
    </w:p>
    <w:p w14:paraId="19373623" w14:textId="77777777" w:rsidR="19DE3499" w:rsidRPr="00B53262" w:rsidRDefault="19DE3499" w:rsidP="00B53262">
      <w:pPr>
        <w:spacing w:line="276" w:lineRule="auto"/>
        <w:jc w:val="both"/>
        <w:rPr>
          <w:rFonts w:eastAsia="Aptos" w:cs="Aptos"/>
          <w:lang w:val="en-US"/>
        </w:rPr>
      </w:pPr>
      <w:r w:rsidRPr="00B53262">
        <w:rPr>
          <w:rFonts w:eastAsia="Aptos" w:cs="Aptos"/>
        </w:rPr>
        <w:t xml:space="preserve">National Institute for Health and Care Excellence (NICE) (2022) ‘Osteoarthritis: care and management.’ Available at: </w:t>
      </w:r>
      <w:hyperlink r:id="rId37">
        <w:r w:rsidRPr="00B53262">
          <w:rPr>
            <w:rStyle w:val="Hyperlink"/>
            <w:rFonts w:eastAsia="Aptos" w:cs="Aptos"/>
            <w:color w:val="auto"/>
          </w:rPr>
          <w:t>https://www.nice.org.uk/guidance/cg177</w:t>
        </w:r>
      </w:hyperlink>
      <w:r w:rsidRPr="00B53262">
        <w:rPr>
          <w:rFonts w:eastAsia="Aptos" w:cs="Aptos"/>
        </w:rPr>
        <w:t xml:space="preserve">.  (Accessed: 11 September 2025). </w:t>
      </w:r>
      <w:r w:rsidRPr="00B53262">
        <w:rPr>
          <w:rFonts w:eastAsia="Aptos" w:cs="Aptos"/>
          <w:lang w:val="en-US"/>
        </w:rPr>
        <w:t xml:space="preserve">    </w:t>
      </w:r>
    </w:p>
    <w:p w14:paraId="76249894" w14:textId="77777777" w:rsidR="19DE3499" w:rsidRPr="00B53262" w:rsidRDefault="19DE3499" w:rsidP="00B53262">
      <w:pPr>
        <w:spacing w:line="276" w:lineRule="auto"/>
        <w:jc w:val="both"/>
      </w:pPr>
      <w:r w:rsidRPr="00B53262">
        <w:rPr>
          <w:rFonts w:eastAsia="Aptos" w:cs="Aptos"/>
        </w:rPr>
        <w:t xml:space="preserve">National Joint Registry (2022) </w:t>
      </w:r>
      <w:r w:rsidRPr="00B53262">
        <w:rPr>
          <w:rFonts w:eastAsia="Aptos" w:cs="Aptos"/>
          <w:i/>
          <w:iCs/>
        </w:rPr>
        <w:t>Annual Report 2022</w:t>
      </w:r>
      <w:r w:rsidRPr="00B53262">
        <w:rPr>
          <w:rFonts w:eastAsia="Aptos" w:cs="Aptos"/>
        </w:rPr>
        <w:t xml:space="preserve">. Available at: </w:t>
      </w:r>
      <w:hyperlink r:id="rId38">
        <w:r w:rsidRPr="00B53262">
          <w:rPr>
            <w:rStyle w:val="Hyperlink"/>
            <w:rFonts w:eastAsia="Aptos" w:cs="Aptos"/>
            <w:color w:val="auto"/>
          </w:rPr>
          <w:t>https://reports.njrcentre.org.uk/.</w:t>
        </w:r>
      </w:hyperlink>
      <w:r w:rsidRPr="00B53262">
        <w:rPr>
          <w:rFonts w:eastAsia="Aptos" w:cs="Aptos"/>
        </w:rPr>
        <w:t xml:space="preserve"> (Accessed: 11 September 2025). </w:t>
      </w:r>
      <w:r w:rsidRPr="00B53262">
        <w:rPr>
          <w:rFonts w:eastAsia="Aptos" w:cs="Aptos"/>
          <w:lang w:val="en-US"/>
        </w:rPr>
        <w:t xml:space="preserve"> </w:t>
      </w:r>
    </w:p>
    <w:p w14:paraId="74FE6AFC" w14:textId="77777777" w:rsidR="19DE3499" w:rsidRPr="00B53262" w:rsidRDefault="19DE3499" w:rsidP="00B53262">
      <w:pPr>
        <w:spacing w:line="276" w:lineRule="auto"/>
        <w:jc w:val="both"/>
      </w:pPr>
      <w:r w:rsidRPr="00B53262">
        <w:rPr>
          <w:rFonts w:eastAsia="Aptos" w:cs="Aptos"/>
        </w:rPr>
        <w:lastRenderedPageBreak/>
        <w:t>NHS (2025) ‘</w:t>
      </w:r>
      <w:r w:rsidRPr="00B53262">
        <w:rPr>
          <w:rFonts w:eastAsia="Aptos" w:cs="Aptos"/>
          <w:i/>
          <w:iCs/>
        </w:rPr>
        <w:t>Osteoarthritis Treatment and support’</w:t>
      </w:r>
      <w:r w:rsidRPr="00B53262">
        <w:rPr>
          <w:rFonts w:eastAsia="Aptos" w:cs="Aptos"/>
        </w:rPr>
        <w:t xml:space="preserve">.  Available at: </w:t>
      </w:r>
      <w:hyperlink r:id="rId39">
        <w:r w:rsidRPr="00B53262">
          <w:rPr>
            <w:rStyle w:val="Hyperlink"/>
            <w:rFonts w:eastAsia="Aptos" w:cs="Aptos"/>
            <w:color w:val="auto"/>
          </w:rPr>
          <w:t>https://www.nhs.uk/conditions/osteoarthritis/treatment/</w:t>
        </w:r>
      </w:hyperlink>
      <w:r w:rsidRPr="00B53262">
        <w:rPr>
          <w:rFonts w:eastAsia="Aptos" w:cs="Aptos"/>
        </w:rPr>
        <w:t xml:space="preserve"> (Accessed: 11 September 2025). </w:t>
      </w:r>
      <w:r w:rsidRPr="00B53262">
        <w:rPr>
          <w:rFonts w:eastAsia="Aptos" w:cs="Aptos"/>
          <w:lang w:val="en-US"/>
        </w:rPr>
        <w:t xml:space="preserve"> </w:t>
      </w:r>
    </w:p>
    <w:p w14:paraId="5F5B4440" w14:textId="77777777" w:rsidR="19DE3499" w:rsidRPr="00B53262" w:rsidRDefault="19DE3499" w:rsidP="00B53262">
      <w:pPr>
        <w:spacing w:line="276" w:lineRule="auto"/>
        <w:jc w:val="both"/>
      </w:pPr>
      <w:r w:rsidRPr="00B53262">
        <w:rPr>
          <w:rFonts w:eastAsia="Aptos" w:cs="Aptos"/>
        </w:rPr>
        <w:t xml:space="preserve">NHS Digital (2021) ‘Health Survey for England 2021.’ Available at: </w:t>
      </w:r>
      <w:r w:rsidR="002D05BB" w:rsidRPr="00B53262">
        <w:rPr>
          <w:rFonts w:eastAsia="Aptos" w:cs="Aptos"/>
          <w:u w:val="single"/>
        </w:rPr>
        <w:t>https://www.</w:t>
      </w:r>
      <w:hyperlink r:id="rId40">
        <w:r w:rsidRPr="00B53262">
          <w:rPr>
            <w:rStyle w:val="Hyperlink"/>
            <w:rFonts w:eastAsia="Aptos" w:cs="Aptos"/>
            <w:color w:val="auto"/>
          </w:rPr>
          <w:t>Health Survey for England, 2021 part 1 - NHS England Digital.</w:t>
        </w:r>
      </w:hyperlink>
      <w:r w:rsidRPr="00B53262">
        <w:rPr>
          <w:rFonts w:eastAsia="Aptos" w:cs="Aptos"/>
        </w:rPr>
        <w:t xml:space="preserve"> (Accessed: 11 September 2025). </w:t>
      </w:r>
      <w:r w:rsidRPr="00B53262">
        <w:rPr>
          <w:rFonts w:eastAsia="Aptos" w:cs="Aptos"/>
          <w:lang w:val="en-US"/>
        </w:rPr>
        <w:t xml:space="preserve"> </w:t>
      </w:r>
    </w:p>
    <w:p w14:paraId="4B562B15" w14:textId="77777777" w:rsidR="19DE3499" w:rsidRPr="00B53262" w:rsidRDefault="19DE3499" w:rsidP="00B53262">
      <w:pPr>
        <w:spacing w:line="276" w:lineRule="auto"/>
        <w:jc w:val="both"/>
      </w:pPr>
      <w:r w:rsidRPr="00B53262">
        <w:rPr>
          <w:rFonts w:eastAsia="Aptos" w:cs="Aptos"/>
        </w:rPr>
        <w:t>NHS England (2019) ‘</w:t>
      </w:r>
      <w:r w:rsidRPr="00B53262">
        <w:rPr>
          <w:rFonts w:eastAsia="Aptos" w:cs="Aptos"/>
          <w:i/>
          <w:iCs/>
        </w:rPr>
        <w:t>The NHS Long Term Plan</w:t>
      </w:r>
      <w:r w:rsidRPr="00B53262">
        <w:rPr>
          <w:rFonts w:eastAsia="Aptos" w:cs="Aptos"/>
        </w:rPr>
        <w:t xml:space="preserve">.’ Available at: </w:t>
      </w:r>
      <w:hyperlink r:id="rId41">
        <w:r w:rsidRPr="00B53262">
          <w:rPr>
            <w:rStyle w:val="Hyperlink"/>
            <w:rFonts w:eastAsia="Aptos" w:cs="Aptos"/>
            <w:color w:val="auto"/>
          </w:rPr>
          <w:t>https://www.longtermplan.nhs.uk/.</w:t>
        </w:r>
      </w:hyperlink>
      <w:r w:rsidRPr="00B53262">
        <w:rPr>
          <w:rFonts w:eastAsia="Aptos" w:cs="Aptos"/>
        </w:rPr>
        <w:t xml:space="preserve"> (Accessed: 11 September 2025). </w:t>
      </w:r>
      <w:r w:rsidRPr="00B53262">
        <w:rPr>
          <w:rFonts w:eastAsia="Aptos" w:cs="Aptos"/>
          <w:lang w:val="en-US"/>
        </w:rPr>
        <w:t xml:space="preserve"> </w:t>
      </w:r>
    </w:p>
    <w:p w14:paraId="43BFAAAE" w14:textId="77777777" w:rsidR="19DE3499" w:rsidRPr="00B53262" w:rsidRDefault="19DE3499" w:rsidP="00B53262">
      <w:pPr>
        <w:spacing w:line="276" w:lineRule="auto"/>
        <w:jc w:val="both"/>
      </w:pPr>
      <w:r w:rsidRPr="00B53262">
        <w:rPr>
          <w:rFonts w:eastAsia="Aptos" w:cs="Aptos"/>
        </w:rPr>
        <w:t xml:space="preserve">NHS England (2019) </w:t>
      </w:r>
      <w:r w:rsidRPr="00B53262">
        <w:rPr>
          <w:rFonts w:eastAsia="Aptos" w:cs="Aptos"/>
          <w:i/>
          <w:iCs/>
        </w:rPr>
        <w:t>The NHS Long Term Plan</w:t>
      </w:r>
      <w:r w:rsidRPr="00B53262">
        <w:rPr>
          <w:rFonts w:eastAsia="Aptos" w:cs="Aptos"/>
        </w:rPr>
        <w:t xml:space="preserve">. </w:t>
      </w:r>
      <w:r w:rsidRPr="00B53262">
        <w:rPr>
          <w:rFonts w:eastAsia="Aptos" w:cs="Aptos"/>
          <w:u w:val="single"/>
        </w:rPr>
        <w:t>Available at:</w:t>
      </w:r>
      <w:r w:rsidR="002D05BB" w:rsidRPr="00B53262">
        <w:rPr>
          <w:rFonts w:eastAsia="Aptos" w:cs="Aptos"/>
          <w:u w:val="single"/>
        </w:rPr>
        <w:t xml:space="preserve"> https://www.</w:t>
      </w:r>
      <w:hyperlink r:id="rId42">
        <w:r w:rsidRPr="00B53262">
          <w:rPr>
            <w:rStyle w:val="Hyperlink"/>
            <w:rFonts w:eastAsia="Aptos" w:cs="Aptos"/>
            <w:color w:val="auto"/>
          </w:rPr>
          <w:t>NHS England » NHS Long Term Plan to tackle major killer conditions and save up to half a million lives</w:t>
        </w:r>
      </w:hyperlink>
      <w:r w:rsidR="00883636" w:rsidRPr="00B53262">
        <w:t>.</w:t>
      </w:r>
      <w:r w:rsidRPr="00B53262">
        <w:rPr>
          <w:rFonts w:eastAsia="Aptos" w:cs="Aptos"/>
        </w:rPr>
        <w:t xml:space="preserve"> (Accessed: 11 September 2025). </w:t>
      </w:r>
      <w:r w:rsidRPr="00B53262">
        <w:rPr>
          <w:rFonts w:eastAsia="Aptos" w:cs="Aptos"/>
          <w:lang w:val="en-US"/>
        </w:rPr>
        <w:t xml:space="preserve"> </w:t>
      </w:r>
    </w:p>
    <w:p w14:paraId="2B03BE30" w14:textId="77777777" w:rsidR="19DE3499" w:rsidRPr="00B53262" w:rsidRDefault="19DE3499" w:rsidP="00B53262">
      <w:pPr>
        <w:spacing w:line="276" w:lineRule="auto"/>
        <w:jc w:val="both"/>
      </w:pPr>
      <w:r w:rsidRPr="00B53262">
        <w:rPr>
          <w:rFonts w:eastAsia="Aptos" w:cs="Aptos"/>
        </w:rPr>
        <w:t>Peak Health Physiotherapy (2022) ‘</w:t>
      </w:r>
      <w:r w:rsidRPr="00B53262">
        <w:rPr>
          <w:rFonts w:eastAsia="Aptos" w:cs="Aptos"/>
          <w:i/>
          <w:iCs/>
        </w:rPr>
        <w:t>Osteoarthritis ‘How Can You Help Your Pain’</w:t>
      </w:r>
      <w:r w:rsidRPr="00B53262">
        <w:rPr>
          <w:rFonts w:eastAsia="Aptos" w:cs="Aptos"/>
        </w:rPr>
        <w:t xml:space="preserve">.   Available at: </w:t>
      </w:r>
      <w:hyperlink r:id="rId43">
        <w:r w:rsidRPr="00B53262">
          <w:rPr>
            <w:rStyle w:val="Hyperlink"/>
            <w:rFonts w:eastAsia="Aptos" w:cs="Aptos"/>
            <w:color w:val="auto"/>
          </w:rPr>
          <w:t>Osteoarthritis - How Can You Help Your Pain | Peak Health Physiotherapy</w:t>
        </w:r>
      </w:hyperlink>
      <w:r w:rsidRPr="00B53262">
        <w:rPr>
          <w:rFonts w:eastAsia="Aptos" w:cs="Aptos"/>
        </w:rPr>
        <w:t xml:space="preserve"> (Accessed: 11 September 2025). </w:t>
      </w:r>
      <w:r w:rsidRPr="00B53262">
        <w:rPr>
          <w:rFonts w:eastAsia="Aptos" w:cs="Aptos"/>
          <w:lang w:val="en-US"/>
        </w:rPr>
        <w:t xml:space="preserve"> </w:t>
      </w:r>
    </w:p>
    <w:p w14:paraId="49A3FD45" w14:textId="77777777" w:rsidR="19DE3499" w:rsidRPr="00B53262" w:rsidRDefault="19DE3499" w:rsidP="00B53262">
      <w:pPr>
        <w:spacing w:line="276" w:lineRule="auto"/>
        <w:jc w:val="both"/>
      </w:pPr>
      <w:r w:rsidRPr="00B53262">
        <w:rPr>
          <w:rFonts w:eastAsia="Aptos" w:cs="Aptos"/>
        </w:rPr>
        <w:t>Public Health England (2020) ‘</w:t>
      </w:r>
      <w:r w:rsidRPr="00B53262">
        <w:rPr>
          <w:rFonts w:eastAsia="Aptos" w:cs="Aptos"/>
          <w:i/>
          <w:iCs/>
        </w:rPr>
        <w:t>Healthy ageing: consensus statement</w:t>
      </w:r>
      <w:r w:rsidRPr="00B53262">
        <w:rPr>
          <w:rFonts w:eastAsia="Aptos" w:cs="Aptos"/>
        </w:rPr>
        <w:t xml:space="preserve">.’ Available at: </w:t>
      </w:r>
      <w:hyperlink r:id="rId44">
        <w:r w:rsidRPr="00B53262">
          <w:rPr>
            <w:rStyle w:val="Hyperlink"/>
            <w:rFonts w:eastAsia="Aptos" w:cs="Aptos"/>
            <w:color w:val="auto"/>
          </w:rPr>
          <w:t>https://www.gov.uk/government/publications/healthy-ageing-consensus-statement</w:t>
        </w:r>
      </w:hyperlink>
      <w:r w:rsidRPr="00B53262">
        <w:rPr>
          <w:rFonts w:eastAsia="Aptos" w:cs="Aptos"/>
        </w:rPr>
        <w:t xml:space="preserve"> (Accessed: 11 September 2025). </w:t>
      </w:r>
      <w:r w:rsidRPr="00B53262">
        <w:rPr>
          <w:rFonts w:eastAsia="Aptos" w:cs="Aptos"/>
          <w:lang w:val="en-US"/>
        </w:rPr>
        <w:t xml:space="preserve"> </w:t>
      </w:r>
    </w:p>
    <w:p w14:paraId="333824FF" w14:textId="77777777" w:rsidR="19DE3499" w:rsidRPr="00B53262" w:rsidRDefault="19DE3499" w:rsidP="00B53262">
      <w:pPr>
        <w:spacing w:line="276" w:lineRule="auto"/>
        <w:jc w:val="both"/>
      </w:pPr>
      <w:r w:rsidRPr="00B53262">
        <w:rPr>
          <w:rFonts w:eastAsia="Aptos" w:cs="Aptos"/>
        </w:rPr>
        <w:t xml:space="preserve">Qiao, L., Li, M., Deng, F., Wen, X., Deng, H., Xue, Z., Wan, P., Xiang, R., Xie, Y., He, H. and Fan, X., (2024) ‘Epidemiological trends of osteoarthritis at the global, regional, and national levels from 1990 to 2021 and projections to 2050.’ </w:t>
      </w:r>
      <w:r w:rsidRPr="00B53262">
        <w:rPr>
          <w:rFonts w:eastAsia="Aptos" w:cs="Aptos"/>
          <w:i/>
          <w:iCs/>
        </w:rPr>
        <w:t>medRxiv</w:t>
      </w:r>
      <w:r w:rsidRPr="00B53262">
        <w:rPr>
          <w:rFonts w:eastAsia="Aptos" w:cs="Aptos"/>
        </w:rPr>
        <w:t xml:space="preserve">, pp.2024-06. Available at: </w:t>
      </w:r>
      <w:hyperlink r:id="rId45">
        <w:r w:rsidRPr="00B53262">
          <w:rPr>
            <w:rStyle w:val="Hyperlink"/>
            <w:rFonts w:eastAsia="Aptos" w:cs="Aptos"/>
            <w:color w:val="auto"/>
          </w:rPr>
          <w:t>Epidemiological trends of osteoarthritis at the global, regional, and national levels from 1990 to 2021 and projections to 2050 | medRxiv.</w:t>
        </w:r>
      </w:hyperlink>
      <w:r w:rsidRPr="00B53262">
        <w:rPr>
          <w:rFonts w:eastAsia="Aptos" w:cs="Aptos"/>
        </w:rPr>
        <w:t xml:space="preserve"> (Accessed: 12 September 2025). </w:t>
      </w:r>
      <w:r w:rsidRPr="00B53262">
        <w:rPr>
          <w:rFonts w:eastAsia="Aptos" w:cs="Aptos"/>
          <w:lang w:val="en-US"/>
        </w:rPr>
        <w:t xml:space="preserve"> </w:t>
      </w:r>
    </w:p>
    <w:p w14:paraId="0BF017D1" w14:textId="77777777" w:rsidR="19DE3499" w:rsidRPr="00B53262" w:rsidRDefault="19DE3499" w:rsidP="00B53262">
      <w:pPr>
        <w:spacing w:line="276" w:lineRule="auto"/>
        <w:jc w:val="both"/>
      </w:pPr>
      <w:r w:rsidRPr="00B53262">
        <w:rPr>
          <w:rFonts w:eastAsia="Aptos" w:cs="Aptos"/>
        </w:rPr>
        <w:t xml:space="preserve">Riddle, D. L., &amp; Stratford, P. W. (2013) ‘Unilateral vs bilateral symptomatic knee osteoarthritis: associations between pain intensity and function.’ </w:t>
      </w:r>
      <w:r w:rsidRPr="00B53262">
        <w:rPr>
          <w:rFonts w:eastAsia="Aptos" w:cs="Aptos"/>
          <w:i/>
          <w:iCs/>
        </w:rPr>
        <w:t>Rheumatology (Oxford, England)</w:t>
      </w:r>
      <w:r w:rsidRPr="00B53262">
        <w:rPr>
          <w:rFonts w:eastAsia="Aptos" w:cs="Aptos"/>
        </w:rPr>
        <w:t xml:space="preserve">, </w:t>
      </w:r>
      <w:r w:rsidRPr="00B53262">
        <w:rPr>
          <w:rFonts w:eastAsia="Aptos" w:cs="Aptos"/>
          <w:i/>
          <w:iCs/>
        </w:rPr>
        <w:t>52</w:t>
      </w:r>
      <w:r w:rsidRPr="00B53262">
        <w:rPr>
          <w:rFonts w:eastAsia="Aptos" w:cs="Aptos"/>
        </w:rPr>
        <w:t xml:space="preserve">(12), </w:t>
      </w:r>
      <w:r w:rsidR="006E4579" w:rsidRPr="00B53262">
        <w:rPr>
          <w:rFonts w:eastAsia="Aptos" w:cs="Aptos"/>
        </w:rPr>
        <w:t xml:space="preserve">pp. </w:t>
      </w:r>
      <w:r w:rsidRPr="00B53262">
        <w:rPr>
          <w:rFonts w:eastAsia="Aptos" w:cs="Aptos"/>
        </w:rPr>
        <w:t xml:space="preserve">2229–2237. </w:t>
      </w:r>
      <w:hyperlink r:id="rId46">
        <w:r w:rsidRPr="00B53262">
          <w:rPr>
            <w:rStyle w:val="Hyperlink"/>
            <w:rFonts w:eastAsia="Aptos" w:cs="Aptos"/>
            <w:color w:val="auto"/>
          </w:rPr>
          <w:t>https://doi.org/10.1093/rheumatology/ket291</w:t>
        </w:r>
      </w:hyperlink>
      <w:r w:rsidRPr="00B53262">
        <w:rPr>
          <w:rFonts w:eastAsia="Aptos" w:cs="Aptos"/>
        </w:rPr>
        <w:t xml:space="preserve">.  </w:t>
      </w:r>
      <w:r w:rsidRPr="00B53262">
        <w:rPr>
          <w:rFonts w:eastAsia="Aptos" w:cs="Aptos"/>
          <w:lang w:val="en-US"/>
        </w:rPr>
        <w:t xml:space="preserve"> </w:t>
      </w:r>
    </w:p>
    <w:p w14:paraId="14CE63DA" w14:textId="77777777" w:rsidR="19DE3499" w:rsidRPr="00B53262" w:rsidRDefault="19DE3499" w:rsidP="00B53262">
      <w:pPr>
        <w:spacing w:line="276" w:lineRule="auto"/>
        <w:jc w:val="both"/>
      </w:pPr>
      <w:r w:rsidRPr="00B53262">
        <w:rPr>
          <w:rFonts w:eastAsia="Aptos" w:cs="Aptos"/>
        </w:rPr>
        <w:t xml:space="preserve">Robinson, S.M., Ryan, S., Adams, N., Hassell, A. and Walker, D., (2018) ‘An exploration of the experiences of rheumatology nurses counselling patients on methotrexate therapy.’ </w:t>
      </w:r>
      <w:r w:rsidRPr="00B53262">
        <w:rPr>
          <w:rFonts w:eastAsia="Aptos" w:cs="Aptos"/>
          <w:i/>
          <w:iCs/>
        </w:rPr>
        <w:t>Musculoskeletal Care</w:t>
      </w:r>
      <w:r w:rsidRPr="00B53262">
        <w:rPr>
          <w:rFonts w:eastAsia="Aptos" w:cs="Aptos"/>
        </w:rPr>
        <w:t xml:space="preserve">, </w:t>
      </w:r>
      <w:r w:rsidRPr="00B53262">
        <w:rPr>
          <w:rFonts w:eastAsia="Aptos" w:cs="Aptos"/>
          <w:i/>
          <w:iCs/>
        </w:rPr>
        <w:t>16</w:t>
      </w:r>
      <w:r w:rsidRPr="00B53262">
        <w:rPr>
          <w:rFonts w:eastAsia="Aptos" w:cs="Aptos"/>
        </w:rPr>
        <w:t>(4), pp.</w:t>
      </w:r>
      <w:r w:rsidR="006E4579" w:rsidRPr="00B53262">
        <w:rPr>
          <w:rFonts w:eastAsia="Aptos" w:cs="Aptos"/>
        </w:rPr>
        <w:t xml:space="preserve"> </w:t>
      </w:r>
      <w:r w:rsidRPr="00B53262">
        <w:rPr>
          <w:rFonts w:eastAsia="Aptos" w:cs="Aptos"/>
        </w:rPr>
        <w:t xml:space="preserve">463-470. Available at: </w:t>
      </w:r>
      <w:hyperlink r:id="rId47">
        <w:r w:rsidRPr="00B53262">
          <w:rPr>
            <w:rStyle w:val="Hyperlink"/>
            <w:rFonts w:eastAsia="Aptos" w:cs="Aptos"/>
            <w:color w:val="auto"/>
          </w:rPr>
          <w:t>An exploration of the experiences of rheumatology nurses counselling patients on methotrexate therapy - Robinson - 2018 - Musculoskeletal Care - Wiley Online Library.</w:t>
        </w:r>
      </w:hyperlink>
      <w:r w:rsidRPr="00B53262">
        <w:rPr>
          <w:rFonts w:eastAsia="Aptos" w:cs="Aptos"/>
        </w:rPr>
        <w:t xml:space="preserve"> (Accessed: 11 September 2025). </w:t>
      </w:r>
      <w:r w:rsidRPr="00B53262">
        <w:rPr>
          <w:rFonts w:eastAsia="Aptos" w:cs="Aptos"/>
          <w:lang w:val="en-US"/>
        </w:rPr>
        <w:t xml:space="preserve"> </w:t>
      </w:r>
    </w:p>
    <w:p w14:paraId="4CD95B24" w14:textId="77777777" w:rsidR="19DE3499" w:rsidRPr="00B53262" w:rsidRDefault="19DE3499" w:rsidP="00B53262">
      <w:pPr>
        <w:spacing w:line="276" w:lineRule="auto"/>
        <w:jc w:val="both"/>
      </w:pPr>
      <w:r w:rsidRPr="00B53262">
        <w:rPr>
          <w:rFonts w:eastAsia="Aptos" w:cs="Aptos"/>
        </w:rPr>
        <w:t>Sabah, S.A., Knight, R., Nicolson, P.J., Taylor, A., Kendrick, B., Alvand, A., Petrou, S., Beard, D.J., Price, A.J. and Palmer, A.J., (2023) ‘Epidemiology of revision hip replacement surgery in the UK over the past 15 years</w:t>
      </w:r>
      <w:r w:rsidR="006E4579" w:rsidRPr="00B53262">
        <w:rPr>
          <w:rFonts w:eastAsia="Aptos" w:cs="Aptos"/>
        </w:rPr>
        <w:t xml:space="preserve"> </w:t>
      </w:r>
      <w:r w:rsidRPr="00B53262">
        <w:rPr>
          <w:rFonts w:eastAsia="Aptos" w:cs="Aptos"/>
        </w:rPr>
        <w:t xml:space="preserve">an analysis from the National Joint Registry’. </w:t>
      </w:r>
      <w:r w:rsidRPr="00B53262">
        <w:rPr>
          <w:rFonts w:eastAsia="Aptos" w:cs="Aptos"/>
          <w:i/>
          <w:iCs/>
        </w:rPr>
        <w:t xml:space="preserve">BMJ.  </w:t>
      </w:r>
      <w:r w:rsidRPr="00B53262">
        <w:rPr>
          <w:rFonts w:eastAsia="Aptos" w:cs="Aptos"/>
        </w:rPr>
        <w:t xml:space="preserve">Available at: </w:t>
      </w:r>
      <w:hyperlink r:id="rId48">
        <w:r w:rsidRPr="00B53262">
          <w:rPr>
            <w:rStyle w:val="Hyperlink"/>
            <w:rFonts w:eastAsia="Aptos" w:cs="Aptos"/>
            <w:color w:val="auto"/>
          </w:rPr>
          <w:t>Epidemiology of revision hip replacement surgery in the UK over the past 15 years</w:t>
        </w:r>
        <w:r w:rsidR="006E4579" w:rsidRPr="00B53262">
          <w:rPr>
            <w:rStyle w:val="Hyperlink"/>
            <w:rFonts w:eastAsia="Aptos" w:cs="Aptos"/>
            <w:color w:val="auto"/>
          </w:rPr>
          <w:t xml:space="preserve"> </w:t>
        </w:r>
        <w:r w:rsidRPr="00B53262">
          <w:rPr>
            <w:rStyle w:val="Hyperlink"/>
            <w:rFonts w:eastAsia="Aptos" w:cs="Aptos"/>
            <w:color w:val="auto"/>
          </w:rPr>
          <w:t>an analysis from the National Joint Registry | BMJ Open.</w:t>
        </w:r>
      </w:hyperlink>
      <w:r w:rsidRPr="00B53262">
        <w:rPr>
          <w:rFonts w:eastAsia="Aptos" w:cs="Aptos"/>
        </w:rPr>
        <w:t xml:space="preserve"> (Accessed: 11 September 2025). </w:t>
      </w:r>
      <w:r w:rsidRPr="00B53262">
        <w:rPr>
          <w:rFonts w:eastAsia="Aptos" w:cs="Aptos"/>
          <w:lang w:val="en-US"/>
        </w:rPr>
        <w:t xml:space="preserve"> </w:t>
      </w:r>
    </w:p>
    <w:p w14:paraId="498A4FB7" w14:textId="77777777" w:rsidR="19DE3499" w:rsidRPr="00B53262" w:rsidRDefault="19DE3499" w:rsidP="00B53262">
      <w:pPr>
        <w:spacing w:line="276" w:lineRule="auto"/>
        <w:jc w:val="both"/>
      </w:pPr>
      <w:r w:rsidRPr="00B53262">
        <w:rPr>
          <w:rFonts w:eastAsia="Aptos" w:cs="Aptos"/>
        </w:rPr>
        <w:lastRenderedPageBreak/>
        <w:t xml:space="preserve">Srikanth, V.K., Fryer, J.L., Zhai, G., Winzenberg, T.M., Hosmer, D. and Jones, G., (2005) ‘A meta-analysis of sex differences prevalence, incidence and severity of osteoarthritis.’ </w:t>
      </w:r>
      <w:r w:rsidRPr="00B53262">
        <w:rPr>
          <w:rFonts w:eastAsia="Aptos" w:cs="Aptos"/>
          <w:i/>
          <w:iCs/>
        </w:rPr>
        <w:t>Osteoarthritis and cartilage</w:t>
      </w:r>
      <w:r w:rsidRPr="00B53262">
        <w:rPr>
          <w:rFonts w:eastAsia="Aptos" w:cs="Aptos"/>
        </w:rPr>
        <w:t xml:space="preserve">, Available at: </w:t>
      </w:r>
      <w:hyperlink r:id="rId49">
        <w:r w:rsidRPr="00B53262">
          <w:rPr>
            <w:rStyle w:val="Hyperlink"/>
            <w:rFonts w:eastAsia="Aptos" w:cs="Aptos"/>
            <w:color w:val="auto"/>
          </w:rPr>
          <w:t>A meta-analysis of sex differences prevalence, incidence and severity of osteoarthritis - ScienceDirect.</w:t>
        </w:r>
      </w:hyperlink>
      <w:r w:rsidRPr="00B53262">
        <w:rPr>
          <w:rFonts w:eastAsia="Aptos" w:cs="Aptos"/>
        </w:rPr>
        <w:t xml:space="preserve"> (Accessed: 10 September 2025). </w:t>
      </w:r>
      <w:r w:rsidRPr="00B53262">
        <w:rPr>
          <w:rFonts w:eastAsia="Aptos" w:cs="Aptos"/>
          <w:lang w:val="en-US"/>
        </w:rPr>
        <w:t xml:space="preserve"> </w:t>
      </w:r>
    </w:p>
    <w:p w14:paraId="5A20FEF0" w14:textId="77777777" w:rsidR="19DE3499" w:rsidRPr="00B53262" w:rsidRDefault="19DE3499" w:rsidP="00B53262">
      <w:pPr>
        <w:spacing w:line="276" w:lineRule="auto"/>
        <w:jc w:val="both"/>
      </w:pPr>
      <w:r w:rsidRPr="00B53262">
        <w:rPr>
          <w:rFonts w:eastAsia="Aptos" w:cs="Aptos"/>
        </w:rPr>
        <w:t xml:space="preserve">Stubbs, B., Binnekade, T., Eggermont, L., Sepehry, A. A., Patchay, S., </w:t>
      </w:r>
      <w:r w:rsidR="00207DFA" w:rsidRPr="00B53262">
        <w:rPr>
          <w:rFonts w:eastAsia="Aptos" w:cs="Aptos"/>
        </w:rPr>
        <w:t>and</w:t>
      </w:r>
      <w:r w:rsidRPr="00B53262">
        <w:rPr>
          <w:rFonts w:eastAsia="Aptos" w:cs="Aptos"/>
        </w:rPr>
        <w:t xml:space="preserve"> Schofield, P. (2014) ‘Pain and the risk for falls in community-dwelling older adults: systematic review and meta-analysis.’ </w:t>
      </w:r>
      <w:r w:rsidRPr="00B53262">
        <w:rPr>
          <w:rFonts w:eastAsia="Aptos" w:cs="Aptos"/>
          <w:i/>
          <w:iCs/>
        </w:rPr>
        <w:t>Archives of physical medicine and rehabilitation</w:t>
      </w:r>
      <w:r w:rsidRPr="00B53262">
        <w:rPr>
          <w:rFonts w:eastAsia="Aptos" w:cs="Aptos"/>
        </w:rPr>
        <w:t xml:space="preserve">, </w:t>
      </w:r>
      <w:r w:rsidRPr="00B53262">
        <w:rPr>
          <w:rFonts w:eastAsia="Aptos" w:cs="Aptos"/>
          <w:i/>
          <w:iCs/>
        </w:rPr>
        <w:t>95</w:t>
      </w:r>
      <w:r w:rsidRPr="00B53262">
        <w:rPr>
          <w:rFonts w:eastAsia="Aptos" w:cs="Aptos"/>
        </w:rPr>
        <w:t xml:space="preserve">(1), </w:t>
      </w:r>
      <w:r w:rsidR="00207DFA" w:rsidRPr="00B53262">
        <w:rPr>
          <w:rFonts w:eastAsia="Aptos" w:cs="Aptos"/>
        </w:rPr>
        <w:t>pp.</w:t>
      </w:r>
      <w:r w:rsidRPr="00B53262">
        <w:rPr>
          <w:rFonts w:eastAsia="Aptos" w:cs="Aptos"/>
        </w:rPr>
        <w:t xml:space="preserve">175–187.e9.  Available at: </w:t>
      </w:r>
      <w:hyperlink r:id="rId50">
        <w:r w:rsidRPr="00B53262">
          <w:rPr>
            <w:rStyle w:val="Hyperlink"/>
            <w:rFonts w:eastAsia="Aptos" w:cs="Aptos"/>
            <w:color w:val="auto"/>
          </w:rPr>
          <w:t>https://doi.org/10.1016/j.apmr.2013.08.241</w:t>
        </w:r>
      </w:hyperlink>
      <w:r w:rsidRPr="00B53262">
        <w:rPr>
          <w:rFonts w:eastAsia="Aptos" w:cs="Aptos"/>
        </w:rPr>
        <w:t xml:space="preserve">.  </w:t>
      </w:r>
      <w:r w:rsidRPr="00B53262">
        <w:rPr>
          <w:rFonts w:eastAsia="Aptos" w:cs="Aptos"/>
          <w:lang w:val="en-US"/>
        </w:rPr>
        <w:t xml:space="preserve"> </w:t>
      </w:r>
    </w:p>
    <w:p w14:paraId="3EE126C3" w14:textId="77777777" w:rsidR="19DE3499" w:rsidRPr="00B53262" w:rsidRDefault="19DE3499" w:rsidP="00B53262">
      <w:pPr>
        <w:spacing w:line="276" w:lineRule="auto"/>
        <w:jc w:val="both"/>
      </w:pPr>
      <w:r w:rsidRPr="00B53262">
        <w:rPr>
          <w:rFonts w:eastAsia="Aptos" w:cs="Aptos"/>
        </w:rPr>
        <w:t>The King’s Fund (2022) ‘</w:t>
      </w:r>
      <w:r w:rsidRPr="00B53262">
        <w:rPr>
          <w:rFonts w:eastAsia="Aptos" w:cs="Aptos"/>
          <w:i/>
          <w:iCs/>
        </w:rPr>
        <w:t>What are Integrated Care Systems?’</w:t>
      </w:r>
      <w:r w:rsidRPr="00B53262">
        <w:rPr>
          <w:rFonts w:eastAsia="Aptos" w:cs="Aptos"/>
        </w:rPr>
        <w:t xml:space="preserve">  Available at: </w:t>
      </w:r>
      <w:hyperlink r:id="rId51">
        <w:r w:rsidRPr="00B53262">
          <w:rPr>
            <w:rStyle w:val="Hyperlink"/>
            <w:rFonts w:eastAsia="Aptos" w:cs="Aptos"/>
            <w:color w:val="auto"/>
          </w:rPr>
          <w:t>https://www.kingsfund.org.uk/publications/integrated-care-systems-explained</w:t>
        </w:r>
      </w:hyperlink>
      <w:r w:rsidRPr="00B53262">
        <w:rPr>
          <w:rFonts w:eastAsia="Aptos" w:cs="Aptos"/>
        </w:rPr>
        <w:t xml:space="preserve">.(Accessed: 11 September 2025). </w:t>
      </w:r>
      <w:r w:rsidRPr="00B53262">
        <w:rPr>
          <w:rFonts w:eastAsia="Aptos" w:cs="Aptos"/>
          <w:lang w:val="en-US"/>
        </w:rPr>
        <w:t xml:space="preserve"> </w:t>
      </w:r>
    </w:p>
    <w:p w14:paraId="5E98DE0E" w14:textId="77777777" w:rsidR="19DE3499" w:rsidRPr="00B53262" w:rsidRDefault="19DE3499" w:rsidP="00B53262">
      <w:pPr>
        <w:spacing w:line="276" w:lineRule="auto"/>
        <w:jc w:val="both"/>
      </w:pPr>
      <w:r w:rsidRPr="00B53262">
        <w:rPr>
          <w:rFonts w:eastAsia="Aptos" w:cs="Aptos"/>
        </w:rPr>
        <w:t xml:space="preserve">Versus Arthritis (2019) ‘The state of musculoskeletal health 2019.’ </w:t>
      </w:r>
      <w:r w:rsidRPr="00B53262">
        <w:rPr>
          <w:rFonts w:eastAsia="Aptos" w:cs="Aptos"/>
          <w:i/>
          <w:iCs/>
        </w:rPr>
        <w:t>Versus Arthritis</w:t>
      </w:r>
      <w:r w:rsidRPr="00B53262">
        <w:rPr>
          <w:rFonts w:eastAsia="Aptos" w:cs="Aptos"/>
        </w:rPr>
        <w:t xml:space="preserve">, </w:t>
      </w:r>
      <w:r w:rsidRPr="00B53262">
        <w:rPr>
          <w:rFonts w:eastAsia="Aptos" w:cs="Aptos"/>
          <w:i/>
          <w:iCs/>
        </w:rPr>
        <w:t>91</w:t>
      </w:r>
      <w:r w:rsidRPr="00B53262">
        <w:rPr>
          <w:rFonts w:eastAsia="Aptos" w:cs="Aptos"/>
        </w:rPr>
        <w:t xml:space="preserve">(5), pp.31-32. Available at: </w:t>
      </w:r>
      <w:hyperlink r:id="rId52">
        <w:r w:rsidRPr="00B53262">
          <w:rPr>
            <w:rStyle w:val="Hyperlink"/>
            <w:rFonts w:eastAsia="Aptos" w:cs="Aptos"/>
            <w:color w:val="auto"/>
          </w:rPr>
          <w:t>The State of Musculoskeletal Health.</w:t>
        </w:r>
      </w:hyperlink>
      <w:r w:rsidRPr="00B53262">
        <w:rPr>
          <w:rFonts w:eastAsia="Aptos" w:cs="Aptos"/>
        </w:rPr>
        <w:t xml:space="preserve"> (Accessed: 11 September 2025). </w:t>
      </w:r>
      <w:r w:rsidRPr="00B53262">
        <w:rPr>
          <w:rFonts w:eastAsia="Aptos" w:cs="Aptos"/>
          <w:lang w:val="en-US"/>
        </w:rPr>
        <w:t xml:space="preserve"> </w:t>
      </w:r>
    </w:p>
    <w:p w14:paraId="298BA969" w14:textId="77777777" w:rsidR="19DE3499" w:rsidRPr="00B53262" w:rsidRDefault="19DE3499" w:rsidP="00B53262">
      <w:pPr>
        <w:spacing w:line="276" w:lineRule="auto"/>
        <w:jc w:val="both"/>
      </w:pPr>
      <w:r w:rsidRPr="00B53262">
        <w:rPr>
          <w:rFonts w:eastAsia="Aptos" w:cs="Aptos"/>
        </w:rPr>
        <w:t>Versus Arthritis (2019) ‘</w:t>
      </w:r>
      <w:r w:rsidRPr="00B53262">
        <w:rPr>
          <w:rFonts w:eastAsia="Aptos" w:cs="Aptos"/>
          <w:i/>
          <w:iCs/>
        </w:rPr>
        <w:t>The State of Musculoskeletal Health 2019</w:t>
      </w:r>
      <w:r w:rsidRPr="00B53262">
        <w:rPr>
          <w:rFonts w:eastAsia="Aptos" w:cs="Aptos"/>
        </w:rPr>
        <w:t xml:space="preserve">.’ Available at: </w:t>
      </w:r>
      <w:hyperlink r:id="rId53">
        <w:r w:rsidRPr="00B53262">
          <w:rPr>
            <w:rStyle w:val="Hyperlink"/>
            <w:rFonts w:eastAsia="Aptos" w:cs="Aptos"/>
            <w:color w:val="auto"/>
          </w:rPr>
          <w:t>Global Burden of Musculoskeletal Disorders in Adults Aged 50 and Over, 1990–2021: Risk Factors and Sociodemographic Inequalities - PMC.</w:t>
        </w:r>
      </w:hyperlink>
      <w:r w:rsidRPr="00B53262">
        <w:rPr>
          <w:rFonts w:eastAsia="Aptos" w:cs="Aptos"/>
        </w:rPr>
        <w:t xml:space="preserve"> (Accessed: 11 September 2025). </w:t>
      </w:r>
      <w:r w:rsidRPr="00B53262">
        <w:rPr>
          <w:rFonts w:eastAsia="Aptos" w:cs="Aptos"/>
          <w:lang w:val="en-US"/>
        </w:rPr>
        <w:t xml:space="preserve"> </w:t>
      </w:r>
    </w:p>
    <w:p w14:paraId="6DEEF151" w14:textId="77777777" w:rsidR="19DE3499" w:rsidRPr="00B53262" w:rsidRDefault="19DE3499" w:rsidP="00B53262">
      <w:pPr>
        <w:spacing w:line="276" w:lineRule="auto"/>
        <w:jc w:val="both"/>
      </w:pPr>
      <w:r w:rsidRPr="00B53262">
        <w:rPr>
          <w:rFonts w:eastAsia="Aptos" w:cs="Aptos"/>
        </w:rPr>
        <w:t xml:space="preserve">Versus Arthritis (2019) ‘The state of musculoskeletal health.’ </w:t>
      </w:r>
      <w:r w:rsidRPr="00B53262">
        <w:rPr>
          <w:rFonts w:eastAsia="Aptos" w:cs="Aptos"/>
          <w:i/>
          <w:iCs/>
        </w:rPr>
        <w:t>Versus Arthritis</w:t>
      </w:r>
      <w:r w:rsidRPr="00B53262">
        <w:rPr>
          <w:rFonts w:eastAsia="Aptos" w:cs="Aptos"/>
        </w:rPr>
        <w:t xml:space="preserve">, </w:t>
      </w:r>
      <w:r w:rsidRPr="00B53262">
        <w:rPr>
          <w:rFonts w:eastAsia="Aptos" w:cs="Aptos"/>
          <w:i/>
          <w:iCs/>
        </w:rPr>
        <w:t>91</w:t>
      </w:r>
      <w:r w:rsidRPr="00B53262">
        <w:rPr>
          <w:rFonts w:eastAsia="Aptos" w:cs="Aptos"/>
        </w:rPr>
        <w:t xml:space="preserve">(5), pp.31-32. Available at: </w:t>
      </w:r>
      <w:hyperlink r:id="rId54">
        <w:r w:rsidRPr="00B53262">
          <w:rPr>
            <w:rStyle w:val="Hyperlink"/>
            <w:rFonts w:eastAsia="Aptos" w:cs="Aptos"/>
            <w:color w:val="auto"/>
          </w:rPr>
          <w:t>Versus Arthritis Musculoskeletal Disorders Research Advisory Group Priority Setting Exercise Protocol | medRxiv.</w:t>
        </w:r>
      </w:hyperlink>
      <w:r w:rsidRPr="00B53262">
        <w:rPr>
          <w:rFonts w:eastAsia="Aptos" w:cs="Aptos"/>
        </w:rPr>
        <w:t xml:space="preserve">  (Accessed: 11 September 2025). </w:t>
      </w:r>
      <w:r w:rsidRPr="00B53262">
        <w:rPr>
          <w:rFonts w:eastAsia="Aptos" w:cs="Aptos"/>
          <w:lang w:val="en-US"/>
        </w:rPr>
        <w:t xml:space="preserve"> </w:t>
      </w:r>
    </w:p>
    <w:p w14:paraId="02AC97E8" w14:textId="77777777" w:rsidR="19DE3499" w:rsidRPr="00B53262" w:rsidRDefault="19DE3499" w:rsidP="00B53262">
      <w:pPr>
        <w:spacing w:line="276" w:lineRule="auto"/>
        <w:jc w:val="both"/>
      </w:pPr>
      <w:r w:rsidRPr="00B53262">
        <w:rPr>
          <w:rFonts w:eastAsia="Aptos" w:cs="Aptos"/>
        </w:rPr>
        <w:t xml:space="preserve">Vincent, H.K., Heywood, K., Connelly, J. and Hurley, R.W., (2012) ‘Obesity and weight loss in the treatment and prevention of osteoarthritis.’ </w:t>
      </w:r>
      <w:r w:rsidRPr="00B53262">
        <w:rPr>
          <w:rFonts w:eastAsia="Aptos" w:cs="Aptos"/>
          <w:i/>
          <w:iCs/>
        </w:rPr>
        <w:t>PM&amp;R</w:t>
      </w:r>
      <w:r w:rsidRPr="00B53262">
        <w:rPr>
          <w:rFonts w:eastAsia="Aptos" w:cs="Aptos"/>
        </w:rPr>
        <w:t xml:space="preserve">, </w:t>
      </w:r>
      <w:r w:rsidRPr="00B53262">
        <w:rPr>
          <w:rFonts w:eastAsia="Aptos" w:cs="Aptos"/>
          <w:i/>
          <w:iCs/>
        </w:rPr>
        <w:t>4</w:t>
      </w:r>
      <w:r w:rsidRPr="00B53262">
        <w:rPr>
          <w:rFonts w:eastAsia="Aptos" w:cs="Aptos"/>
        </w:rPr>
        <w:t>(5), pp. S59-S67.</w:t>
      </w:r>
      <w:r w:rsidR="00D93B2E" w:rsidRPr="00B53262">
        <w:rPr>
          <w:rFonts w:eastAsia="Aptos" w:cs="Aptos"/>
        </w:rPr>
        <w:t xml:space="preserve"> </w:t>
      </w:r>
      <w:r w:rsidRPr="00B53262">
        <w:rPr>
          <w:rFonts w:eastAsia="Aptos" w:cs="Aptos"/>
        </w:rPr>
        <w:t xml:space="preserve">Available at: </w:t>
      </w:r>
      <w:hyperlink r:id="rId55">
        <w:r w:rsidRPr="00B53262">
          <w:rPr>
            <w:rStyle w:val="Hyperlink"/>
            <w:rFonts w:eastAsia="Aptos" w:cs="Aptos"/>
            <w:color w:val="auto"/>
          </w:rPr>
          <w:t>Obesity and Weight Loss in the Treatment and Prevention of Osteoarthritis - ScienceDirect.</w:t>
        </w:r>
      </w:hyperlink>
      <w:r w:rsidRPr="00B53262">
        <w:rPr>
          <w:rFonts w:eastAsia="Aptos" w:cs="Aptos"/>
        </w:rPr>
        <w:t xml:space="preserve"> (Accessed: 12 September 2025). </w:t>
      </w:r>
      <w:r w:rsidRPr="00B53262">
        <w:rPr>
          <w:rFonts w:eastAsia="Aptos" w:cs="Aptos"/>
          <w:lang w:val="en-US"/>
        </w:rPr>
        <w:t xml:space="preserve"> </w:t>
      </w:r>
    </w:p>
    <w:p w14:paraId="324C4CEA" w14:textId="77777777" w:rsidR="19DE3499" w:rsidRPr="00B53262" w:rsidRDefault="19DE3499" w:rsidP="00B53262">
      <w:pPr>
        <w:spacing w:line="276" w:lineRule="auto"/>
        <w:jc w:val="both"/>
      </w:pPr>
      <w:r w:rsidRPr="00B53262">
        <w:rPr>
          <w:rFonts w:eastAsia="Aptos" w:cs="Aptos"/>
        </w:rPr>
        <w:t xml:space="preserve">Vos, T., Lim, S.S., Abbafati, C., Abbas, K.M., Abbasi, M., Abbasifard, M., Abbasi-Kangevari, M., Abbastabar, H., Abd-Allah, F., Abdelalim, A. and Abdollahi, M., (2020) ‘Global burden of 369 diseases and injuries in 204 countries and territories,’ 1990–2019: a systematic analysis for the Global Burden of Disease Study 2019. </w:t>
      </w:r>
      <w:r w:rsidRPr="00B53262">
        <w:rPr>
          <w:rFonts w:eastAsia="Aptos" w:cs="Aptos"/>
          <w:i/>
          <w:iCs/>
        </w:rPr>
        <w:t>The lancet</w:t>
      </w:r>
      <w:r w:rsidRPr="00B53262">
        <w:rPr>
          <w:rFonts w:eastAsia="Aptos" w:cs="Aptos"/>
        </w:rPr>
        <w:t xml:space="preserve">, </w:t>
      </w:r>
      <w:r w:rsidRPr="00B53262">
        <w:rPr>
          <w:rFonts w:eastAsia="Aptos" w:cs="Aptos"/>
          <w:i/>
          <w:iCs/>
        </w:rPr>
        <w:t>396</w:t>
      </w:r>
      <w:r w:rsidRPr="00B53262">
        <w:rPr>
          <w:rFonts w:eastAsia="Aptos" w:cs="Aptos"/>
        </w:rPr>
        <w:t xml:space="preserve">(10258), pp.1204-1222. Available at: </w:t>
      </w:r>
      <w:hyperlink r:id="rId56">
        <w:r w:rsidRPr="00B53262">
          <w:rPr>
            <w:rStyle w:val="Hyperlink"/>
            <w:rFonts w:eastAsia="Aptos" w:cs="Aptos"/>
            <w:color w:val="auto"/>
          </w:rPr>
          <w:t>Global burden of 369 diseases and injuries in 204 countries and territories, 1990–2019: a systematic analysis for the Global Burden of Disease Study 2019  The Lancet.</w:t>
        </w:r>
      </w:hyperlink>
      <w:r w:rsidRPr="00B53262">
        <w:rPr>
          <w:rFonts w:eastAsia="Aptos" w:cs="Aptos"/>
        </w:rPr>
        <w:t xml:space="preserve"> (Accessed: 12 September 2025). </w:t>
      </w:r>
      <w:r w:rsidRPr="00B53262">
        <w:rPr>
          <w:rFonts w:eastAsia="Aptos" w:cs="Aptos"/>
          <w:lang w:val="en-US"/>
        </w:rPr>
        <w:t xml:space="preserve"> </w:t>
      </w:r>
    </w:p>
    <w:p w14:paraId="342F783D" w14:textId="77777777" w:rsidR="19DE3499" w:rsidRPr="00B53262" w:rsidRDefault="19DE3499" w:rsidP="00B53262">
      <w:pPr>
        <w:spacing w:line="276" w:lineRule="auto"/>
        <w:jc w:val="both"/>
      </w:pPr>
      <w:r w:rsidRPr="00B53262">
        <w:rPr>
          <w:rFonts w:eastAsia="Aptos" w:cs="Aptos"/>
        </w:rPr>
        <w:t xml:space="preserve">World Health Organization (2002) </w:t>
      </w:r>
      <w:r w:rsidRPr="00B53262">
        <w:rPr>
          <w:rFonts w:eastAsia="Aptos" w:cs="Aptos"/>
          <w:i/>
          <w:iCs/>
        </w:rPr>
        <w:t>Innovative Care for Chronic Conditions: Building Blocks for Action</w:t>
      </w:r>
      <w:r w:rsidRPr="00B53262">
        <w:rPr>
          <w:rFonts w:eastAsia="Aptos" w:cs="Aptos"/>
        </w:rPr>
        <w:t xml:space="preserve">. Geneva: WHO. Available at: </w:t>
      </w:r>
      <w:hyperlink r:id="rId57">
        <w:r w:rsidRPr="00B53262">
          <w:rPr>
            <w:rStyle w:val="Hyperlink"/>
            <w:rFonts w:eastAsia="Aptos" w:cs="Aptos"/>
            <w:color w:val="auto"/>
          </w:rPr>
          <w:t>https://apps.who.int/iris/handle/10665/42500</w:t>
        </w:r>
      </w:hyperlink>
      <w:r w:rsidR="00EF4244" w:rsidRPr="00B53262">
        <w:t>.</w:t>
      </w:r>
      <w:r w:rsidRPr="00B53262">
        <w:rPr>
          <w:rFonts w:eastAsia="Aptos" w:cs="Aptos"/>
        </w:rPr>
        <w:t xml:space="preserve"> (Accessed: 11 September 2025). </w:t>
      </w:r>
      <w:r w:rsidRPr="00B53262">
        <w:rPr>
          <w:rFonts w:eastAsia="Aptos" w:cs="Aptos"/>
          <w:lang w:val="en-US"/>
        </w:rPr>
        <w:t xml:space="preserve"> </w:t>
      </w:r>
    </w:p>
    <w:p w14:paraId="1C2494BA" w14:textId="77777777" w:rsidR="19DE3499" w:rsidRPr="00B53262" w:rsidRDefault="19DE3499" w:rsidP="00B53262">
      <w:pPr>
        <w:spacing w:line="276" w:lineRule="auto"/>
        <w:jc w:val="both"/>
      </w:pPr>
      <w:r w:rsidRPr="00B53262">
        <w:rPr>
          <w:rFonts w:eastAsia="Aptos" w:cs="Aptos"/>
        </w:rPr>
        <w:t>World Health Organization (2020) ‘</w:t>
      </w:r>
      <w:r w:rsidRPr="00B53262">
        <w:rPr>
          <w:rFonts w:eastAsia="Aptos" w:cs="Aptos"/>
          <w:i/>
          <w:iCs/>
        </w:rPr>
        <w:t>Palliative care</w:t>
      </w:r>
      <w:r w:rsidRPr="00B53262">
        <w:rPr>
          <w:rFonts w:eastAsia="Aptos" w:cs="Aptos"/>
        </w:rPr>
        <w:t xml:space="preserve">.’ Available at: </w:t>
      </w:r>
      <w:hyperlink r:id="rId58">
        <w:r w:rsidRPr="00B53262">
          <w:rPr>
            <w:rStyle w:val="Hyperlink"/>
            <w:rFonts w:eastAsia="Aptos" w:cs="Aptos"/>
            <w:color w:val="auto"/>
          </w:rPr>
          <w:t>https://www.who.int/news-room/fact-sheets/detail/palliative-care.</w:t>
        </w:r>
      </w:hyperlink>
      <w:r w:rsidRPr="00B53262">
        <w:rPr>
          <w:rFonts w:eastAsia="Aptos" w:cs="Aptos"/>
        </w:rPr>
        <w:t xml:space="preserve"> (Accessed: 11 September 2025) </w:t>
      </w:r>
      <w:r w:rsidRPr="00B53262">
        <w:rPr>
          <w:rFonts w:eastAsia="Aptos" w:cs="Aptos"/>
          <w:lang w:val="en-US"/>
        </w:rPr>
        <w:t xml:space="preserve"> </w:t>
      </w:r>
    </w:p>
    <w:p w14:paraId="426A71DF" w14:textId="77777777" w:rsidR="19DE3499" w:rsidRPr="00B53262" w:rsidRDefault="19DE3499" w:rsidP="00B53262">
      <w:pPr>
        <w:spacing w:line="276" w:lineRule="auto"/>
        <w:jc w:val="both"/>
      </w:pPr>
      <w:r w:rsidRPr="00B53262">
        <w:rPr>
          <w:rFonts w:eastAsia="Aptos" w:cs="Aptos"/>
        </w:rPr>
        <w:lastRenderedPageBreak/>
        <w:t>World Health Organization (2023) ‘Musculoskeletal conditions.’ Available at</w:t>
      </w:r>
      <w:r w:rsidRPr="00B53262">
        <w:rPr>
          <w:rFonts w:eastAsia="Aptos" w:cs="Aptos"/>
          <w:u w:val="single"/>
        </w:rPr>
        <w:t xml:space="preserve"> </w:t>
      </w:r>
      <w:hyperlink r:id="rId59">
        <w:r w:rsidRPr="00B53262">
          <w:rPr>
            <w:rStyle w:val="Hyperlink"/>
            <w:rFonts w:eastAsia="Aptos" w:cs="Aptos"/>
            <w:color w:val="auto"/>
          </w:rPr>
          <w:t>Musculoskeletal health.</w:t>
        </w:r>
      </w:hyperlink>
      <w:r w:rsidRPr="00B53262">
        <w:rPr>
          <w:rFonts w:eastAsia="Aptos" w:cs="Aptos"/>
        </w:rPr>
        <w:t xml:space="preserve"> (Accessed: 11 September 2025). </w:t>
      </w:r>
      <w:r w:rsidRPr="00B53262">
        <w:rPr>
          <w:rFonts w:eastAsia="Aptos" w:cs="Aptos"/>
          <w:lang w:val="en-US"/>
        </w:rPr>
        <w:t xml:space="preserve"> </w:t>
      </w:r>
    </w:p>
    <w:p w14:paraId="089F4ABC" w14:textId="77777777" w:rsidR="1E6F8F8C" w:rsidRPr="00646F09" w:rsidRDefault="19DE3499" w:rsidP="00B53262">
      <w:pPr>
        <w:spacing w:line="276" w:lineRule="auto"/>
        <w:jc w:val="both"/>
      </w:pPr>
      <w:r w:rsidRPr="00B53262">
        <w:rPr>
          <w:rFonts w:eastAsia="Aptos" w:cs="Aptos"/>
        </w:rPr>
        <w:t xml:space="preserve">Zeng, C., Wei, J., Persson, M. S. M., Sarmanova, A., Doherty, M., Xie, D., Wang, Y., Li, X., Li, J., Long, H., Lei, G., &amp; Zhang, W. (2018) ‘Relative efficacy and safety of topical non-steroidal anti-inflammatory drugs for osteoarthritis: a systematic review and network meta-analysis of randomised controlled trials and observational studies.’ </w:t>
      </w:r>
      <w:r w:rsidRPr="00B53262">
        <w:rPr>
          <w:rFonts w:eastAsia="Aptos" w:cs="Aptos"/>
          <w:i/>
          <w:iCs/>
        </w:rPr>
        <w:t>British journal of sports medicine</w:t>
      </w:r>
      <w:r w:rsidRPr="00B53262">
        <w:rPr>
          <w:rFonts w:eastAsia="Aptos" w:cs="Aptos"/>
        </w:rPr>
        <w:t xml:space="preserve">, </w:t>
      </w:r>
      <w:r w:rsidRPr="00B53262">
        <w:rPr>
          <w:rFonts w:eastAsia="Aptos" w:cs="Aptos"/>
          <w:i/>
          <w:iCs/>
        </w:rPr>
        <w:t>52</w:t>
      </w:r>
      <w:r w:rsidRPr="00B53262">
        <w:rPr>
          <w:rFonts w:eastAsia="Aptos" w:cs="Aptos"/>
        </w:rPr>
        <w:t xml:space="preserve">(10), 642–650. </w:t>
      </w:r>
      <w:hyperlink r:id="rId60">
        <w:r w:rsidRPr="00B53262">
          <w:rPr>
            <w:rStyle w:val="Hyperlink"/>
            <w:rFonts w:eastAsia="Aptos" w:cs="Aptos"/>
            <w:color w:val="auto"/>
          </w:rPr>
          <w:t>https://doi.org/10.1136/bjsports-2017-098043</w:t>
        </w:r>
      </w:hyperlink>
      <w:r w:rsidRPr="00B53262">
        <w:rPr>
          <w:rFonts w:eastAsia="Aptos" w:cs="Aptos"/>
        </w:rPr>
        <w:t xml:space="preserve">.  </w:t>
      </w:r>
      <w:r w:rsidRPr="00B53262">
        <w:rPr>
          <w:rFonts w:eastAsia="Aptos" w:cs="Aptos"/>
          <w:lang w:val="en-US"/>
        </w:rPr>
        <w:t xml:space="preserve"> </w:t>
      </w:r>
    </w:p>
    <w:p w14:paraId="6202D627" w14:textId="77777777" w:rsidR="19DE3499" w:rsidRPr="00B53262" w:rsidRDefault="19DE3499" w:rsidP="00B53262">
      <w:pPr>
        <w:spacing w:line="276" w:lineRule="auto"/>
        <w:jc w:val="both"/>
      </w:pPr>
      <w:r w:rsidRPr="00B53262">
        <w:rPr>
          <w:rFonts w:eastAsia="Aptos" w:cs="Aptos"/>
        </w:rPr>
        <w:t xml:space="preserve">Zengini, E., Finan, C., &amp; Wilkinson, J. M. (2016) ‘The Genetic Epidemiological Landscape of Hip and Knee Osteoarthritis: Where Are We Now and Where Are We Going.’  </w:t>
      </w:r>
      <w:r w:rsidRPr="00B53262">
        <w:rPr>
          <w:rFonts w:eastAsia="Aptos" w:cs="Aptos"/>
          <w:i/>
          <w:iCs/>
        </w:rPr>
        <w:t>The Journal of rheumatology</w:t>
      </w:r>
      <w:r w:rsidRPr="00B53262">
        <w:rPr>
          <w:rFonts w:eastAsia="Aptos" w:cs="Aptos"/>
        </w:rPr>
        <w:t xml:space="preserve">, </w:t>
      </w:r>
      <w:r w:rsidRPr="00B53262">
        <w:rPr>
          <w:rFonts w:eastAsia="Aptos" w:cs="Aptos"/>
          <w:i/>
          <w:iCs/>
        </w:rPr>
        <w:t>43</w:t>
      </w:r>
      <w:r w:rsidRPr="00B53262">
        <w:rPr>
          <w:rFonts w:eastAsia="Aptos" w:cs="Aptos"/>
        </w:rPr>
        <w:t xml:space="preserve">(2), 260–266.Available at:  </w:t>
      </w:r>
      <w:hyperlink r:id="rId61">
        <w:r w:rsidRPr="00B53262">
          <w:rPr>
            <w:rStyle w:val="Hyperlink"/>
            <w:rFonts w:eastAsia="Aptos" w:cs="Aptos"/>
            <w:color w:val="auto"/>
          </w:rPr>
          <w:t>https://doi.org/10.3899/jrheum.150710</w:t>
        </w:r>
      </w:hyperlink>
      <w:r w:rsidRPr="00B53262">
        <w:rPr>
          <w:rFonts w:eastAsia="Aptos" w:cs="Aptos"/>
          <w:lang w:val="en-US"/>
        </w:rPr>
        <w:t xml:space="preserve"> </w:t>
      </w:r>
    </w:p>
    <w:p w14:paraId="21DE776D" w14:textId="77777777" w:rsidR="19DE3499" w:rsidRPr="00B53262" w:rsidRDefault="19DE3499" w:rsidP="00B53262">
      <w:pPr>
        <w:spacing w:line="276" w:lineRule="auto"/>
        <w:jc w:val="both"/>
      </w:pPr>
      <w:r w:rsidRPr="00B53262">
        <w:rPr>
          <w:rFonts w:eastAsia="Aptos" w:cs="Aptos"/>
        </w:rPr>
        <w:t xml:space="preserve"> </w:t>
      </w:r>
    </w:p>
    <w:p w14:paraId="6E986198" w14:textId="77777777" w:rsidR="19DE3499" w:rsidRPr="00B53262" w:rsidRDefault="19DE3499" w:rsidP="00B53262">
      <w:pPr>
        <w:spacing w:line="276" w:lineRule="auto"/>
        <w:jc w:val="both"/>
      </w:pPr>
      <w:r w:rsidRPr="00B53262">
        <w:rPr>
          <w:rFonts w:eastAsia="Aptos" w:cs="Aptos"/>
        </w:rPr>
        <w:t xml:space="preserve"> </w:t>
      </w:r>
    </w:p>
    <w:p w14:paraId="66E4EB9E" w14:textId="77777777" w:rsidR="19DE3499" w:rsidRPr="00B53262" w:rsidRDefault="19DE3499" w:rsidP="00B53262">
      <w:pPr>
        <w:spacing w:line="276" w:lineRule="auto"/>
        <w:jc w:val="both"/>
      </w:pPr>
      <w:r w:rsidRPr="00B53262">
        <w:rPr>
          <w:rFonts w:eastAsia="Aptos" w:cs="Aptos"/>
        </w:rPr>
        <w:t xml:space="preserve"> </w:t>
      </w:r>
    </w:p>
    <w:p w14:paraId="772FFFB6" w14:textId="77777777" w:rsidR="19DE3499" w:rsidRPr="00B53262" w:rsidRDefault="19DE3499" w:rsidP="00B53262">
      <w:pPr>
        <w:spacing w:line="276" w:lineRule="auto"/>
        <w:jc w:val="both"/>
      </w:pPr>
      <w:r w:rsidRPr="00B53262">
        <w:rPr>
          <w:rFonts w:eastAsia="Aptos" w:cs="Aptos"/>
        </w:rPr>
        <w:t xml:space="preserve"> </w:t>
      </w:r>
    </w:p>
    <w:p w14:paraId="0771D7DD" w14:textId="77777777" w:rsidR="19DE3499" w:rsidRPr="00B53262" w:rsidRDefault="19DE3499" w:rsidP="00B53262">
      <w:pPr>
        <w:spacing w:line="276" w:lineRule="auto"/>
        <w:jc w:val="both"/>
      </w:pPr>
      <w:r w:rsidRPr="00B53262">
        <w:rPr>
          <w:rFonts w:eastAsia="Aptos" w:cs="Aptos"/>
        </w:rPr>
        <w:t xml:space="preserve"> </w:t>
      </w:r>
    </w:p>
    <w:p w14:paraId="3572FEBF" w14:textId="77777777" w:rsidR="19DE3499" w:rsidRPr="00B53262" w:rsidRDefault="19DE3499" w:rsidP="00B53262">
      <w:pPr>
        <w:spacing w:line="276" w:lineRule="auto"/>
        <w:jc w:val="both"/>
      </w:pPr>
      <w:r w:rsidRPr="00B53262">
        <w:rPr>
          <w:rFonts w:eastAsia="Aptos" w:cs="Aptos"/>
        </w:rPr>
        <w:t xml:space="preserve"> </w:t>
      </w:r>
    </w:p>
    <w:p w14:paraId="17A3A77A" w14:textId="77777777" w:rsidR="19DE3499" w:rsidRPr="00B53262" w:rsidRDefault="19DE3499" w:rsidP="00B53262">
      <w:pPr>
        <w:spacing w:line="276" w:lineRule="auto"/>
        <w:jc w:val="both"/>
      </w:pPr>
      <w:r w:rsidRPr="00B53262">
        <w:rPr>
          <w:rFonts w:eastAsia="Aptos" w:cs="Aptos"/>
        </w:rPr>
        <w:t xml:space="preserve"> </w:t>
      </w:r>
    </w:p>
    <w:p w14:paraId="7C5CAEBC" w14:textId="77777777" w:rsidR="3864A4C8" w:rsidRPr="00B53262" w:rsidRDefault="3864A4C8" w:rsidP="00B53262">
      <w:pPr>
        <w:spacing w:line="276" w:lineRule="auto"/>
        <w:jc w:val="both"/>
        <w:rPr>
          <w:rFonts w:eastAsia="Aptos" w:cs="Aptos"/>
        </w:rPr>
      </w:pPr>
    </w:p>
    <w:p w14:paraId="0AA86414" w14:textId="77777777" w:rsidR="1ED65496" w:rsidRPr="00B53262" w:rsidRDefault="1ED65496" w:rsidP="00B53262">
      <w:pPr>
        <w:jc w:val="both"/>
      </w:pPr>
    </w:p>
    <w:p w14:paraId="7913F774" w14:textId="77777777" w:rsidR="537BA60F" w:rsidRPr="00B53262" w:rsidRDefault="537BA60F" w:rsidP="00B53262">
      <w:pPr>
        <w:jc w:val="both"/>
      </w:pPr>
    </w:p>
    <w:p w14:paraId="0E091315" w14:textId="77777777" w:rsidR="537BA60F" w:rsidRPr="00B53262" w:rsidRDefault="537BA60F" w:rsidP="00B53262">
      <w:pPr>
        <w:jc w:val="both"/>
      </w:pPr>
    </w:p>
    <w:p w14:paraId="0D2DBC83" w14:textId="77777777" w:rsidR="537BA60F" w:rsidRPr="00B53262" w:rsidRDefault="537BA60F" w:rsidP="00B53262">
      <w:pPr>
        <w:jc w:val="both"/>
      </w:pPr>
    </w:p>
    <w:p w14:paraId="2EA5A3B1" w14:textId="77777777" w:rsidR="537BA60F" w:rsidRPr="00B53262" w:rsidRDefault="537BA60F" w:rsidP="00B53262">
      <w:pPr>
        <w:jc w:val="both"/>
      </w:pPr>
    </w:p>
    <w:p w14:paraId="23857653" w14:textId="77777777" w:rsidR="537BA60F" w:rsidRPr="00B53262" w:rsidRDefault="537BA60F" w:rsidP="00B53262">
      <w:pPr>
        <w:jc w:val="both"/>
      </w:pPr>
    </w:p>
    <w:p w14:paraId="52190A65" w14:textId="77777777" w:rsidR="537BA60F" w:rsidRPr="00B53262" w:rsidRDefault="537BA60F" w:rsidP="00B53262">
      <w:pPr>
        <w:jc w:val="both"/>
      </w:pPr>
    </w:p>
    <w:p w14:paraId="25B0A008" w14:textId="77777777" w:rsidR="537BA60F" w:rsidRPr="00225D19" w:rsidRDefault="537BA60F" w:rsidP="537BA60F"/>
    <w:sectPr w:rsidR="537BA60F" w:rsidRPr="00225D19" w:rsidSect="002E7FCF">
      <w:footerReference w:type="default" r:id="rId62"/>
      <w:pgSz w:w="11906" w:h="16838"/>
      <w:pgMar w:top="1440" w:right="1440" w:bottom="1440" w:left="1440" w:header="708" w:footer="708" w:gutter="0"/>
      <w:pgBorders w:offsetFrom="page">
        <w:top w:val="dashDotStroked" w:sz="24" w:space="24" w:color="47D459" w:themeColor="accent3" w:themeTint="99"/>
        <w:left w:val="dashDotStroked" w:sz="24" w:space="24" w:color="47D459" w:themeColor="accent3" w:themeTint="99"/>
        <w:bottom w:val="dashDotStroked" w:sz="24" w:space="24" w:color="47D459" w:themeColor="accent3" w:themeTint="99"/>
        <w:right w:val="dashDotStroked" w:sz="24" w:space="24" w:color="47D459" w:themeColor="accent3" w:themeTint="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CF17F" w14:textId="77777777" w:rsidR="00020BA5" w:rsidRDefault="00020BA5" w:rsidP="00757A2B">
      <w:pPr>
        <w:spacing w:after="0" w:line="240" w:lineRule="auto"/>
      </w:pPr>
      <w:r>
        <w:separator/>
      </w:r>
    </w:p>
  </w:endnote>
  <w:endnote w:type="continuationSeparator" w:id="0">
    <w:p w14:paraId="44854090" w14:textId="77777777" w:rsidR="00020BA5" w:rsidRDefault="00020BA5" w:rsidP="00757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8834847"/>
      <w:docPartObj>
        <w:docPartGallery w:val="Page Numbers (Bottom of Page)"/>
        <w:docPartUnique/>
      </w:docPartObj>
    </w:sdtPr>
    <w:sdtEndPr>
      <w:rPr>
        <w:noProof/>
      </w:rPr>
    </w:sdtEndPr>
    <w:sdtContent>
      <w:p w14:paraId="03F8167F" w14:textId="77777777" w:rsidR="00757A2B" w:rsidRDefault="00757A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83B377" w14:textId="77777777" w:rsidR="00757A2B" w:rsidRDefault="00757A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2CBB1" w14:textId="77777777" w:rsidR="00020BA5" w:rsidRDefault="00020BA5" w:rsidP="00757A2B">
      <w:pPr>
        <w:spacing w:after="0" w:line="240" w:lineRule="auto"/>
      </w:pPr>
      <w:r>
        <w:separator/>
      </w:r>
    </w:p>
  </w:footnote>
  <w:footnote w:type="continuationSeparator" w:id="0">
    <w:p w14:paraId="59AA64E3" w14:textId="77777777" w:rsidR="00020BA5" w:rsidRDefault="00020BA5" w:rsidP="00757A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93543"/>
    <w:multiLevelType w:val="hybridMultilevel"/>
    <w:tmpl w:val="FFFFFFFF"/>
    <w:lvl w:ilvl="0" w:tplc="96C461AC">
      <w:start w:val="1"/>
      <w:numFmt w:val="bullet"/>
      <w:lvlText w:val=""/>
      <w:lvlJc w:val="left"/>
      <w:pPr>
        <w:ind w:left="720" w:hanging="360"/>
      </w:pPr>
      <w:rPr>
        <w:rFonts w:ascii="Symbol" w:hAnsi="Symbol" w:hint="default"/>
      </w:rPr>
    </w:lvl>
    <w:lvl w:ilvl="1" w:tplc="93F6AA16">
      <w:start w:val="1"/>
      <w:numFmt w:val="bullet"/>
      <w:lvlText w:val="o"/>
      <w:lvlJc w:val="left"/>
      <w:pPr>
        <w:ind w:left="1440" w:hanging="360"/>
      </w:pPr>
      <w:rPr>
        <w:rFonts w:ascii="Courier New" w:hAnsi="Courier New" w:hint="default"/>
      </w:rPr>
    </w:lvl>
    <w:lvl w:ilvl="2" w:tplc="ABDE137E">
      <w:start w:val="1"/>
      <w:numFmt w:val="bullet"/>
      <w:lvlText w:val=""/>
      <w:lvlJc w:val="left"/>
      <w:pPr>
        <w:ind w:left="2160" w:hanging="360"/>
      </w:pPr>
      <w:rPr>
        <w:rFonts w:ascii="Wingdings" w:hAnsi="Wingdings" w:hint="default"/>
      </w:rPr>
    </w:lvl>
    <w:lvl w:ilvl="3" w:tplc="19FC4D66">
      <w:start w:val="1"/>
      <w:numFmt w:val="bullet"/>
      <w:lvlText w:val=""/>
      <w:lvlJc w:val="left"/>
      <w:pPr>
        <w:ind w:left="2880" w:hanging="360"/>
      </w:pPr>
      <w:rPr>
        <w:rFonts w:ascii="Symbol" w:hAnsi="Symbol" w:hint="default"/>
      </w:rPr>
    </w:lvl>
    <w:lvl w:ilvl="4" w:tplc="A7E8F952">
      <w:start w:val="1"/>
      <w:numFmt w:val="bullet"/>
      <w:lvlText w:val="o"/>
      <w:lvlJc w:val="left"/>
      <w:pPr>
        <w:ind w:left="3600" w:hanging="360"/>
      </w:pPr>
      <w:rPr>
        <w:rFonts w:ascii="Courier New" w:hAnsi="Courier New" w:hint="default"/>
      </w:rPr>
    </w:lvl>
    <w:lvl w:ilvl="5" w:tplc="80385E54">
      <w:start w:val="1"/>
      <w:numFmt w:val="bullet"/>
      <w:lvlText w:val=""/>
      <w:lvlJc w:val="left"/>
      <w:pPr>
        <w:ind w:left="4320" w:hanging="360"/>
      </w:pPr>
      <w:rPr>
        <w:rFonts w:ascii="Wingdings" w:hAnsi="Wingdings" w:hint="default"/>
      </w:rPr>
    </w:lvl>
    <w:lvl w:ilvl="6" w:tplc="30D26E30">
      <w:start w:val="1"/>
      <w:numFmt w:val="bullet"/>
      <w:lvlText w:val=""/>
      <w:lvlJc w:val="left"/>
      <w:pPr>
        <w:ind w:left="5040" w:hanging="360"/>
      </w:pPr>
      <w:rPr>
        <w:rFonts w:ascii="Symbol" w:hAnsi="Symbol" w:hint="default"/>
      </w:rPr>
    </w:lvl>
    <w:lvl w:ilvl="7" w:tplc="AF782108">
      <w:start w:val="1"/>
      <w:numFmt w:val="bullet"/>
      <w:lvlText w:val="o"/>
      <w:lvlJc w:val="left"/>
      <w:pPr>
        <w:ind w:left="5760" w:hanging="360"/>
      </w:pPr>
      <w:rPr>
        <w:rFonts w:ascii="Courier New" w:hAnsi="Courier New" w:hint="default"/>
      </w:rPr>
    </w:lvl>
    <w:lvl w:ilvl="8" w:tplc="848682E0">
      <w:start w:val="1"/>
      <w:numFmt w:val="bullet"/>
      <w:lvlText w:val=""/>
      <w:lvlJc w:val="left"/>
      <w:pPr>
        <w:ind w:left="6480" w:hanging="360"/>
      </w:pPr>
      <w:rPr>
        <w:rFonts w:ascii="Wingdings" w:hAnsi="Wingdings" w:hint="default"/>
      </w:rPr>
    </w:lvl>
  </w:abstractNum>
  <w:abstractNum w:abstractNumId="1" w15:restartNumberingAfterBreak="0">
    <w:nsid w:val="090F2F88"/>
    <w:multiLevelType w:val="hybridMultilevel"/>
    <w:tmpl w:val="FFFFFFFF"/>
    <w:lvl w:ilvl="0" w:tplc="14123522">
      <w:start w:val="1"/>
      <w:numFmt w:val="decimal"/>
      <w:lvlText w:val="%1."/>
      <w:lvlJc w:val="left"/>
      <w:pPr>
        <w:ind w:left="720" w:hanging="360"/>
      </w:pPr>
    </w:lvl>
    <w:lvl w:ilvl="1" w:tplc="C3DC66FC">
      <w:start w:val="1"/>
      <w:numFmt w:val="lowerLetter"/>
      <w:lvlText w:val="%2."/>
      <w:lvlJc w:val="left"/>
      <w:pPr>
        <w:ind w:left="1440" w:hanging="360"/>
      </w:pPr>
    </w:lvl>
    <w:lvl w:ilvl="2" w:tplc="58C63C6C">
      <w:start w:val="1"/>
      <w:numFmt w:val="lowerRoman"/>
      <w:lvlText w:val="%3."/>
      <w:lvlJc w:val="right"/>
      <w:pPr>
        <w:ind w:left="2160" w:hanging="180"/>
      </w:pPr>
    </w:lvl>
    <w:lvl w:ilvl="3" w:tplc="810C3682">
      <w:start w:val="1"/>
      <w:numFmt w:val="decimal"/>
      <w:lvlText w:val="%4."/>
      <w:lvlJc w:val="left"/>
      <w:pPr>
        <w:ind w:left="2880" w:hanging="360"/>
      </w:pPr>
    </w:lvl>
    <w:lvl w:ilvl="4" w:tplc="71CE724A">
      <w:start w:val="1"/>
      <w:numFmt w:val="lowerLetter"/>
      <w:lvlText w:val="%5."/>
      <w:lvlJc w:val="left"/>
      <w:pPr>
        <w:ind w:left="3600" w:hanging="360"/>
      </w:pPr>
    </w:lvl>
    <w:lvl w:ilvl="5" w:tplc="F92EF09C">
      <w:start w:val="1"/>
      <w:numFmt w:val="lowerRoman"/>
      <w:lvlText w:val="%6."/>
      <w:lvlJc w:val="right"/>
      <w:pPr>
        <w:ind w:left="4320" w:hanging="180"/>
      </w:pPr>
    </w:lvl>
    <w:lvl w:ilvl="6" w:tplc="49580574">
      <w:start w:val="1"/>
      <w:numFmt w:val="decimal"/>
      <w:lvlText w:val="%7."/>
      <w:lvlJc w:val="left"/>
      <w:pPr>
        <w:ind w:left="5040" w:hanging="360"/>
      </w:pPr>
    </w:lvl>
    <w:lvl w:ilvl="7" w:tplc="9FB21522">
      <w:start w:val="1"/>
      <w:numFmt w:val="lowerLetter"/>
      <w:lvlText w:val="%8."/>
      <w:lvlJc w:val="left"/>
      <w:pPr>
        <w:ind w:left="5760" w:hanging="360"/>
      </w:pPr>
    </w:lvl>
    <w:lvl w:ilvl="8" w:tplc="061A79E0">
      <w:start w:val="1"/>
      <w:numFmt w:val="lowerRoman"/>
      <w:lvlText w:val="%9."/>
      <w:lvlJc w:val="right"/>
      <w:pPr>
        <w:ind w:left="6480" w:hanging="180"/>
      </w:pPr>
    </w:lvl>
  </w:abstractNum>
  <w:abstractNum w:abstractNumId="2" w15:restartNumberingAfterBreak="0">
    <w:nsid w:val="0C2FB3F5"/>
    <w:multiLevelType w:val="hybridMultilevel"/>
    <w:tmpl w:val="FFFFFFFF"/>
    <w:lvl w:ilvl="0" w:tplc="5A409FCE">
      <w:start w:val="1"/>
      <w:numFmt w:val="bullet"/>
      <w:lvlText w:val=""/>
      <w:lvlJc w:val="left"/>
      <w:pPr>
        <w:ind w:left="720" w:hanging="360"/>
      </w:pPr>
      <w:rPr>
        <w:rFonts w:ascii="Symbol" w:hAnsi="Symbol" w:hint="default"/>
      </w:rPr>
    </w:lvl>
    <w:lvl w:ilvl="1" w:tplc="14FE9A16">
      <w:start w:val="1"/>
      <w:numFmt w:val="bullet"/>
      <w:lvlText w:val="o"/>
      <w:lvlJc w:val="left"/>
      <w:pPr>
        <w:ind w:left="1440" w:hanging="360"/>
      </w:pPr>
      <w:rPr>
        <w:rFonts w:ascii="Courier New" w:hAnsi="Courier New" w:hint="default"/>
      </w:rPr>
    </w:lvl>
    <w:lvl w:ilvl="2" w:tplc="BF5837CE">
      <w:start w:val="1"/>
      <w:numFmt w:val="bullet"/>
      <w:lvlText w:val=""/>
      <w:lvlJc w:val="left"/>
      <w:pPr>
        <w:ind w:left="2160" w:hanging="360"/>
      </w:pPr>
      <w:rPr>
        <w:rFonts w:ascii="Wingdings" w:hAnsi="Wingdings" w:hint="default"/>
      </w:rPr>
    </w:lvl>
    <w:lvl w:ilvl="3" w:tplc="33385FB4">
      <w:start w:val="1"/>
      <w:numFmt w:val="bullet"/>
      <w:lvlText w:val=""/>
      <w:lvlJc w:val="left"/>
      <w:pPr>
        <w:ind w:left="2880" w:hanging="360"/>
      </w:pPr>
      <w:rPr>
        <w:rFonts w:ascii="Symbol" w:hAnsi="Symbol" w:hint="default"/>
      </w:rPr>
    </w:lvl>
    <w:lvl w:ilvl="4" w:tplc="D8444306">
      <w:start w:val="1"/>
      <w:numFmt w:val="bullet"/>
      <w:lvlText w:val="o"/>
      <w:lvlJc w:val="left"/>
      <w:pPr>
        <w:ind w:left="3600" w:hanging="360"/>
      </w:pPr>
      <w:rPr>
        <w:rFonts w:ascii="Courier New" w:hAnsi="Courier New" w:hint="default"/>
      </w:rPr>
    </w:lvl>
    <w:lvl w:ilvl="5" w:tplc="B0589CC4">
      <w:start w:val="1"/>
      <w:numFmt w:val="bullet"/>
      <w:lvlText w:val=""/>
      <w:lvlJc w:val="left"/>
      <w:pPr>
        <w:ind w:left="4320" w:hanging="360"/>
      </w:pPr>
      <w:rPr>
        <w:rFonts w:ascii="Wingdings" w:hAnsi="Wingdings" w:hint="default"/>
      </w:rPr>
    </w:lvl>
    <w:lvl w:ilvl="6" w:tplc="85D01F38">
      <w:start w:val="1"/>
      <w:numFmt w:val="bullet"/>
      <w:lvlText w:val=""/>
      <w:lvlJc w:val="left"/>
      <w:pPr>
        <w:ind w:left="5040" w:hanging="360"/>
      </w:pPr>
      <w:rPr>
        <w:rFonts w:ascii="Symbol" w:hAnsi="Symbol" w:hint="default"/>
      </w:rPr>
    </w:lvl>
    <w:lvl w:ilvl="7" w:tplc="23DC2DD2">
      <w:start w:val="1"/>
      <w:numFmt w:val="bullet"/>
      <w:lvlText w:val="o"/>
      <w:lvlJc w:val="left"/>
      <w:pPr>
        <w:ind w:left="5760" w:hanging="360"/>
      </w:pPr>
      <w:rPr>
        <w:rFonts w:ascii="Courier New" w:hAnsi="Courier New" w:hint="default"/>
      </w:rPr>
    </w:lvl>
    <w:lvl w:ilvl="8" w:tplc="20AA7D80">
      <w:start w:val="1"/>
      <w:numFmt w:val="bullet"/>
      <w:lvlText w:val=""/>
      <w:lvlJc w:val="left"/>
      <w:pPr>
        <w:ind w:left="6480" w:hanging="360"/>
      </w:pPr>
      <w:rPr>
        <w:rFonts w:ascii="Wingdings" w:hAnsi="Wingdings" w:hint="default"/>
      </w:rPr>
    </w:lvl>
  </w:abstractNum>
  <w:abstractNum w:abstractNumId="3" w15:restartNumberingAfterBreak="0">
    <w:nsid w:val="0EE9ADA4"/>
    <w:multiLevelType w:val="hybridMultilevel"/>
    <w:tmpl w:val="FFFFFFFF"/>
    <w:lvl w:ilvl="0" w:tplc="1722B4A4">
      <w:start w:val="1"/>
      <w:numFmt w:val="bullet"/>
      <w:lvlText w:val=""/>
      <w:lvlJc w:val="left"/>
      <w:pPr>
        <w:ind w:left="720" w:hanging="360"/>
      </w:pPr>
      <w:rPr>
        <w:rFonts w:ascii="Symbol" w:hAnsi="Symbol" w:hint="default"/>
      </w:rPr>
    </w:lvl>
    <w:lvl w:ilvl="1" w:tplc="6E926592">
      <w:start w:val="1"/>
      <w:numFmt w:val="bullet"/>
      <w:lvlText w:val="o"/>
      <w:lvlJc w:val="left"/>
      <w:pPr>
        <w:ind w:left="1440" w:hanging="360"/>
      </w:pPr>
      <w:rPr>
        <w:rFonts w:ascii="Courier New" w:hAnsi="Courier New" w:hint="default"/>
      </w:rPr>
    </w:lvl>
    <w:lvl w:ilvl="2" w:tplc="288834E0">
      <w:start w:val="1"/>
      <w:numFmt w:val="bullet"/>
      <w:lvlText w:val=""/>
      <w:lvlJc w:val="left"/>
      <w:pPr>
        <w:ind w:left="2160" w:hanging="360"/>
      </w:pPr>
      <w:rPr>
        <w:rFonts w:ascii="Wingdings" w:hAnsi="Wingdings" w:hint="default"/>
      </w:rPr>
    </w:lvl>
    <w:lvl w:ilvl="3" w:tplc="C2A27334">
      <w:start w:val="1"/>
      <w:numFmt w:val="bullet"/>
      <w:lvlText w:val=""/>
      <w:lvlJc w:val="left"/>
      <w:pPr>
        <w:ind w:left="2880" w:hanging="360"/>
      </w:pPr>
      <w:rPr>
        <w:rFonts w:ascii="Symbol" w:hAnsi="Symbol" w:hint="default"/>
      </w:rPr>
    </w:lvl>
    <w:lvl w:ilvl="4" w:tplc="256848EC">
      <w:start w:val="1"/>
      <w:numFmt w:val="bullet"/>
      <w:lvlText w:val="o"/>
      <w:lvlJc w:val="left"/>
      <w:pPr>
        <w:ind w:left="3600" w:hanging="360"/>
      </w:pPr>
      <w:rPr>
        <w:rFonts w:ascii="Courier New" w:hAnsi="Courier New" w:hint="default"/>
      </w:rPr>
    </w:lvl>
    <w:lvl w:ilvl="5" w:tplc="EB164DBA">
      <w:start w:val="1"/>
      <w:numFmt w:val="bullet"/>
      <w:lvlText w:val=""/>
      <w:lvlJc w:val="left"/>
      <w:pPr>
        <w:ind w:left="4320" w:hanging="360"/>
      </w:pPr>
      <w:rPr>
        <w:rFonts w:ascii="Wingdings" w:hAnsi="Wingdings" w:hint="default"/>
      </w:rPr>
    </w:lvl>
    <w:lvl w:ilvl="6" w:tplc="6302D030">
      <w:start w:val="1"/>
      <w:numFmt w:val="bullet"/>
      <w:lvlText w:val=""/>
      <w:lvlJc w:val="left"/>
      <w:pPr>
        <w:ind w:left="5040" w:hanging="360"/>
      </w:pPr>
      <w:rPr>
        <w:rFonts w:ascii="Symbol" w:hAnsi="Symbol" w:hint="default"/>
      </w:rPr>
    </w:lvl>
    <w:lvl w:ilvl="7" w:tplc="4824FE6E">
      <w:start w:val="1"/>
      <w:numFmt w:val="bullet"/>
      <w:lvlText w:val="o"/>
      <w:lvlJc w:val="left"/>
      <w:pPr>
        <w:ind w:left="5760" w:hanging="360"/>
      </w:pPr>
      <w:rPr>
        <w:rFonts w:ascii="Courier New" w:hAnsi="Courier New" w:hint="default"/>
      </w:rPr>
    </w:lvl>
    <w:lvl w:ilvl="8" w:tplc="663EE000">
      <w:start w:val="1"/>
      <w:numFmt w:val="bullet"/>
      <w:lvlText w:val=""/>
      <w:lvlJc w:val="left"/>
      <w:pPr>
        <w:ind w:left="6480" w:hanging="360"/>
      </w:pPr>
      <w:rPr>
        <w:rFonts w:ascii="Wingdings" w:hAnsi="Wingdings" w:hint="default"/>
      </w:rPr>
    </w:lvl>
  </w:abstractNum>
  <w:abstractNum w:abstractNumId="4" w15:restartNumberingAfterBreak="0">
    <w:nsid w:val="41DE3E00"/>
    <w:multiLevelType w:val="hybridMultilevel"/>
    <w:tmpl w:val="FFFFFFFF"/>
    <w:lvl w:ilvl="0" w:tplc="EC3C754A">
      <w:start w:val="1"/>
      <w:numFmt w:val="decimal"/>
      <w:lvlText w:val="%1."/>
      <w:lvlJc w:val="left"/>
      <w:pPr>
        <w:ind w:left="720" w:hanging="360"/>
      </w:pPr>
    </w:lvl>
    <w:lvl w:ilvl="1" w:tplc="2DC4232C">
      <w:start w:val="1"/>
      <w:numFmt w:val="lowerLetter"/>
      <w:lvlText w:val="%2."/>
      <w:lvlJc w:val="left"/>
      <w:pPr>
        <w:ind w:left="1440" w:hanging="360"/>
      </w:pPr>
    </w:lvl>
    <w:lvl w:ilvl="2" w:tplc="BC64D936">
      <w:start w:val="1"/>
      <w:numFmt w:val="lowerRoman"/>
      <w:lvlText w:val="%3."/>
      <w:lvlJc w:val="right"/>
      <w:pPr>
        <w:ind w:left="2160" w:hanging="180"/>
      </w:pPr>
    </w:lvl>
    <w:lvl w:ilvl="3" w:tplc="6F6AC76E">
      <w:start w:val="1"/>
      <w:numFmt w:val="decimal"/>
      <w:lvlText w:val="%4."/>
      <w:lvlJc w:val="left"/>
      <w:pPr>
        <w:ind w:left="2880" w:hanging="360"/>
      </w:pPr>
    </w:lvl>
    <w:lvl w:ilvl="4" w:tplc="46102496">
      <w:start w:val="1"/>
      <w:numFmt w:val="lowerLetter"/>
      <w:lvlText w:val="%5."/>
      <w:lvlJc w:val="left"/>
      <w:pPr>
        <w:ind w:left="3600" w:hanging="360"/>
      </w:pPr>
    </w:lvl>
    <w:lvl w:ilvl="5" w:tplc="0C86B5DE">
      <w:start w:val="1"/>
      <w:numFmt w:val="lowerRoman"/>
      <w:lvlText w:val="%6."/>
      <w:lvlJc w:val="right"/>
      <w:pPr>
        <w:ind w:left="4320" w:hanging="180"/>
      </w:pPr>
    </w:lvl>
    <w:lvl w:ilvl="6" w:tplc="A7E2FB4A">
      <w:start w:val="1"/>
      <w:numFmt w:val="decimal"/>
      <w:lvlText w:val="%7."/>
      <w:lvlJc w:val="left"/>
      <w:pPr>
        <w:ind w:left="5040" w:hanging="360"/>
      </w:pPr>
    </w:lvl>
    <w:lvl w:ilvl="7" w:tplc="0C9657C6">
      <w:start w:val="1"/>
      <w:numFmt w:val="lowerLetter"/>
      <w:lvlText w:val="%8."/>
      <w:lvlJc w:val="left"/>
      <w:pPr>
        <w:ind w:left="5760" w:hanging="360"/>
      </w:pPr>
    </w:lvl>
    <w:lvl w:ilvl="8" w:tplc="97D41032">
      <w:start w:val="1"/>
      <w:numFmt w:val="lowerRoman"/>
      <w:lvlText w:val="%9."/>
      <w:lvlJc w:val="right"/>
      <w:pPr>
        <w:ind w:left="6480" w:hanging="180"/>
      </w:pPr>
    </w:lvl>
  </w:abstractNum>
  <w:abstractNum w:abstractNumId="5" w15:restartNumberingAfterBreak="0">
    <w:nsid w:val="55F9003C"/>
    <w:multiLevelType w:val="hybridMultilevel"/>
    <w:tmpl w:val="FFFFFFFF"/>
    <w:lvl w:ilvl="0" w:tplc="E146E402">
      <w:start w:val="1"/>
      <w:numFmt w:val="bullet"/>
      <w:lvlText w:val=""/>
      <w:lvlJc w:val="left"/>
      <w:pPr>
        <w:ind w:left="720" w:hanging="360"/>
      </w:pPr>
      <w:rPr>
        <w:rFonts w:ascii="Symbol" w:hAnsi="Symbol" w:hint="default"/>
      </w:rPr>
    </w:lvl>
    <w:lvl w:ilvl="1" w:tplc="E5D83582">
      <w:start w:val="1"/>
      <w:numFmt w:val="bullet"/>
      <w:lvlText w:val="o"/>
      <w:lvlJc w:val="left"/>
      <w:pPr>
        <w:ind w:left="1440" w:hanging="360"/>
      </w:pPr>
      <w:rPr>
        <w:rFonts w:ascii="Courier New" w:hAnsi="Courier New" w:hint="default"/>
      </w:rPr>
    </w:lvl>
    <w:lvl w:ilvl="2" w:tplc="1A965432">
      <w:start w:val="1"/>
      <w:numFmt w:val="bullet"/>
      <w:lvlText w:val=""/>
      <w:lvlJc w:val="left"/>
      <w:pPr>
        <w:ind w:left="2160" w:hanging="360"/>
      </w:pPr>
      <w:rPr>
        <w:rFonts w:ascii="Wingdings" w:hAnsi="Wingdings" w:hint="default"/>
      </w:rPr>
    </w:lvl>
    <w:lvl w:ilvl="3" w:tplc="809E9E42">
      <w:start w:val="1"/>
      <w:numFmt w:val="bullet"/>
      <w:lvlText w:val=""/>
      <w:lvlJc w:val="left"/>
      <w:pPr>
        <w:ind w:left="2880" w:hanging="360"/>
      </w:pPr>
      <w:rPr>
        <w:rFonts w:ascii="Symbol" w:hAnsi="Symbol" w:hint="default"/>
      </w:rPr>
    </w:lvl>
    <w:lvl w:ilvl="4" w:tplc="D4568754">
      <w:start w:val="1"/>
      <w:numFmt w:val="bullet"/>
      <w:lvlText w:val="o"/>
      <w:lvlJc w:val="left"/>
      <w:pPr>
        <w:ind w:left="3600" w:hanging="360"/>
      </w:pPr>
      <w:rPr>
        <w:rFonts w:ascii="Courier New" w:hAnsi="Courier New" w:hint="default"/>
      </w:rPr>
    </w:lvl>
    <w:lvl w:ilvl="5" w:tplc="40A6A4DA">
      <w:start w:val="1"/>
      <w:numFmt w:val="bullet"/>
      <w:lvlText w:val=""/>
      <w:lvlJc w:val="left"/>
      <w:pPr>
        <w:ind w:left="4320" w:hanging="360"/>
      </w:pPr>
      <w:rPr>
        <w:rFonts w:ascii="Wingdings" w:hAnsi="Wingdings" w:hint="default"/>
      </w:rPr>
    </w:lvl>
    <w:lvl w:ilvl="6" w:tplc="DA5697BE">
      <w:start w:val="1"/>
      <w:numFmt w:val="bullet"/>
      <w:lvlText w:val=""/>
      <w:lvlJc w:val="left"/>
      <w:pPr>
        <w:ind w:left="5040" w:hanging="360"/>
      </w:pPr>
      <w:rPr>
        <w:rFonts w:ascii="Symbol" w:hAnsi="Symbol" w:hint="default"/>
      </w:rPr>
    </w:lvl>
    <w:lvl w:ilvl="7" w:tplc="DE4226B0">
      <w:start w:val="1"/>
      <w:numFmt w:val="bullet"/>
      <w:lvlText w:val="o"/>
      <w:lvlJc w:val="left"/>
      <w:pPr>
        <w:ind w:left="5760" w:hanging="360"/>
      </w:pPr>
      <w:rPr>
        <w:rFonts w:ascii="Courier New" w:hAnsi="Courier New" w:hint="default"/>
      </w:rPr>
    </w:lvl>
    <w:lvl w:ilvl="8" w:tplc="B56ECDF6">
      <w:start w:val="1"/>
      <w:numFmt w:val="bullet"/>
      <w:lvlText w:val=""/>
      <w:lvlJc w:val="left"/>
      <w:pPr>
        <w:ind w:left="6480" w:hanging="360"/>
      </w:pPr>
      <w:rPr>
        <w:rFonts w:ascii="Wingdings" w:hAnsi="Wingdings" w:hint="default"/>
      </w:rPr>
    </w:lvl>
  </w:abstractNum>
  <w:num w:numId="1" w16cid:durableId="1230340045">
    <w:abstractNumId w:val="0"/>
  </w:num>
  <w:num w:numId="2" w16cid:durableId="1287613892">
    <w:abstractNumId w:val="3"/>
  </w:num>
  <w:num w:numId="3" w16cid:durableId="1616522008">
    <w:abstractNumId w:val="1"/>
  </w:num>
  <w:num w:numId="4" w16cid:durableId="2075083835">
    <w:abstractNumId w:val="5"/>
  </w:num>
  <w:num w:numId="5" w16cid:durableId="457381526">
    <w:abstractNumId w:val="2"/>
  </w:num>
  <w:num w:numId="6" w16cid:durableId="9626899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C40"/>
    <w:rsid w:val="00000463"/>
    <w:rsid w:val="00000B60"/>
    <w:rsid w:val="00002128"/>
    <w:rsid w:val="000045B3"/>
    <w:rsid w:val="00004794"/>
    <w:rsid w:val="000047C0"/>
    <w:rsid w:val="0000492D"/>
    <w:rsid w:val="000051C4"/>
    <w:rsid w:val="00005697"/>
    <w:rsid w:val="0000632E"/>
    <w:rsid w:val="0000667D"/>
    <w:rsid w:val="000102D9"/>
    <w:rsid w:val="0001057C"/>
    <w:rsid w:val="00011C7F"/>
    <w:rsid w:val="00012A6A"/>
    <w:rsid w:val="00013358"/>
    <w:rsid w:val="000137E1"/>
    <w:rsid w:val="0001480C"/>
    <w:rsid w:val="00014A59"/>
    <w:rsid w:val="00016A1A"/>
    <w:rsid w:val="00017E27"/>
    <w:rsid w:val="00020BA5"/>
    <w:rsid w:val="00021EA3"/>
    <w:rsid w:val="0002438F"/>
    <w:rsid w:val="00024846"/>
    <w:rsid w:val="00026340"/>
    <w:rsid w:val="0002799A"/>
    <w:rsid w:val="000300DA"/>
    <w:rsid w:val="00031C40"/>
    <w:rsid w:val="00031DAD"/>
    <w:rsid w:val="00032376"/>
    <w:rsid w:val="0003251A"/>
    <w:rsid w:val="00033354"/>
    <w:rsid w:val="0003640A"/>
    <w:rsid w:val="00037C29"/>
    <w:rsid w:val="00037D23"/>
    <w:rsid w:val="00040C3D"/>
    <w:rsid w:val="000418C5"/>
    <w:rsid w:val="00042204"/>
    <w:rsid w:val="0004361C"/>
    <w:rsid w:val="00043905"/>
    <w:rsid w:val="00044106"/>
    <w:rsid w:val="000449AA"/>
    <w:rsid w:val="000452B4"/>
    <w:rsid w:val="00045614"/>
    <w:rsid w:val="000465FB"/>
    <w:rsid w:val="00046C4B"/>
    <w:rsid w:val="000479F0"/>
    <w:rsid w:val="00047C0F"/>
    <w:rsid w:val="00047DA7"/>
    <w:rsid w:val="00047E6F"/>
    <w:rsid w:val="00051B66"/>
    <w:rsid w:val="00052F01"/>
    <w:rsid w:val="000537DD"/>
    <w:rsid w:val="00053F83"/>
    <w:rsid w:val="0005474F"/>
    <w:rsid w:val="000556F6"/>
    <w:rsid w:val="000569A1"/>
    <w:rsid w:val="000569D8"/>
    <w:rsid w:val="00056A5F"/>
    <w:rsid w:val="000570D2"/>
    <w:rsid w:val="00057442"/>
    <w:rsid w:val="00061095"/>
    <w:rsid w:val="0006127E"/>
    <w:rsid w:val="000615F0"/>
    <w:rsid w:val="00062710"/>
    <w:rsid w:val="00063028"/>
    <w:rsid w:val="000630EE"/>
    <w:rsid w:val="000641BE"/>
    <w:rsid w:val="000649ED"/>
    <w:rsid w:val="00065759"/>
    <w:rsid w:val="000657B0"/>
    <w:rsid w:val="00065DAC"/>
    <w:rsid w:val="0006625F"/>
    <w:rsid w:val="00066A15"/>
    <w:rsid w:val="00067323"/>
    <w:rsid w:val="0007099C"/>
    <w:rsid w:val="000728FB"/>
    <w:rsid w:val="00072D86"/>
    <w:rsid w:val="000730FA"/>
    <w:rsid w:val="00074926"/>
    <w:rsid w:val="00074D56"/>
    <w:rsid w:val="00077DE8"/>
    <w:rsid w:val="00080175"/>
    <w:rsid w:val="00080ACC"/>
    <w:rsid w:val="000811CD"/>
    <w:rsid w:val="00082339"/>
    <w:rsid w:val="00082C28"/>
    <w:rsid w:val="00082E5C"/>
    <w:rsid w:val="00085D54"/>
    <w:rsid w:val="00085FF2"/>
    <w:rsid w:val="00087A1D"/>
    <w:rsid w:val="000904CF"/>
    <w:rsid w:val="00090FCF"/>
    <w:rsid w:val="0009170D"/>
    <w:rsid w:val="000918B5"/>
    <w:rsid w:val="00092636"/>
    <w:rsid w:val="000940FE"/>
    <w:rsid w:val="00095287"/>
    <w:rsid w:val="0009769C"/>
    <w:rsid w:val="000A1AC2"/>
    <w:rsid w:val="000A2B24"/>
    <w:rsid w:val="000A56BD"/>
    <w:rsid w:val="000A5B91"/>
    <w:rsid w:val="000A6CDE"/>
    <w:rsid w:val="000A6EB8"/>
    <w:rsid w:val="000A75F7"/>
    <w:rsid w:val="000B0285"/>
    <w:rsid w:val="000B06A8"/>
    <w:rsid w:val="000B0A25"/>
    <w:rsid w:val="000B2CDF"/>
    <w:rsid w:val="000B5326"/>
    <w:rsid w:val="000B7048"/>
    <w:rsid w:val="000B7878"/>
    <w:rsid w:val="000C0008"/>
    <w:rsid w:val="000C0A0F"/>
    <w:rsid w:val="000C1109"/>
    <w:rsid w:val="000C113D"/>
    <w:rsid w:val="000C26DB"/>
    <w:rsid w:val="000C3320"/>
    <w:rsid w:val="000C398D"/>
    <w:rsid w:val="000C53C8"/>
    <w:rsid w:val="000C6E26"/>
    <w:rsid w:val="000C6F53"/>
    <w:rsid w:val="000C7E53"/>
    <w:rsid w:val="000D0EFD"/>
    <w:rsid w:val="000D18DB"/>
    <w:rsid w:val="000D24F2"/>
    <w:rsid w:val="000D34D3"/>
    <w:rsid w:val="000D3DA3"/>
    <w:rsid w:val="000D52CA"/>
    <w:rsid w:val="000D5ABD"/>
    <w:rsid w:val="000D5E6A"/>
    <w:rsid w:val="000D66C1"/>
    <w:rsid w:val="000D74F7"/>
    <w:rsid w:val="000D770E"/>
    <w:rsid w:val="000E00F6"/>
    <w:rsid w:val="000E1A30"/>
    <w:rsid w:val="000E1F08"/>
    <w:rsid w:val="000E2DC4"/>
    <w:rsid w:val="000E3371"/>
    <w:rsid w:val="000E3B91"/>
    <w:rsid w:val="000E41AE"/>
    <w:rsid w:val="000E47CA"/>
    <w:rsid w:val="000E48FE"/>
    <w:rsid w:val="000F0EED"/>
    <w:rsid w:val="000F2D34"/>
    <w:rsid w:val="000F2EAF"/>
    <w:rsid w:val="000F362C"/>
    <w:rsid w:val="000F4357"/>
    <w:rsid w:val="000F590C"/>
    <w:rsid w:val="000F5D5D"/>
    <w:rsid w:val="000F5E54"/>
    <w:rsid w:val="000F62A5"/>
    <w:rsid w:val="000F6F45"/>
    <w:rsid w:val="000F6FD2"/>
    <w:rsid w:val="000F72C1"/>
    <w:rsid w:val="001014E1"/>
    <w:rsid w:val="00102195"/>
    <w:rsid w:val="001021B4"/>
    <w:rsid w:val="00103096"/>
    <w:rsid w:val="00103963"/>
    <w:rsid w:val="001054E3"/>
    <w:rsid w:val="001062EC"/>
    <w:rsid w:val="00106E5C"/>
    <w:rsid w:val="00106F0A"/>
    <w:rsid w:val="00107102"/>
    <w:rsid w:val="0010781F"/>
    <w:rsid w:val="0011015C"/>
    <w:rsid w:val="001117A1"/>
    <w:rsid w:val="00111E44"/>
    <w:rsid w:val="0011209E"/>
    <w:rsid w:val="00112405"/>
    <w:rsid w:val="00112770"/>
    <w:rsid w:val="00112A9C"/>
    <w:rsid w:val="00113E02"/>
    <w:rsid w:val="00114909"/>
    <w:rsid w:val="0011644A"/>
    <w:rsid w:val="001165F1"/>
    <w:rsid w:val="00117642"/>
    <w:rsid w:val="00117A40"/>
    <w:rsid w:val="00120C80"/>
    <w:rsid w:val="001214B2"/>
    <w:rsid w:val="001224C0"/>
    <w:rsid w:val="0012392A"/>
    <w:rsid w:val="001239BF"/>
    <w:rsid w:val="00124933"/>
    <w:rsid w:val="00125AE3"/>
    <w:rsid w:val="00126B40"/>
    <w:rsid w:val="00126E0C"/>
    <w:rsid w:val="00126E37"/>
    <w:rsid w:val="00131688"/>
    <w:rsid w:val="001322A5"/>
    <w:rsid w:val="0013366C"/>
    <w:rsid w:val="0013367F"/>
    <w:rsid w:val="0013381E"/>
    <w:rsid w:val="00133A6E"/>
    <w:rsid w:val="00134A2E"/>
    <w:rsid w:val="00135CC1"/>
    <w:rsid w:val="00136574"/>
    <w:rsid w:val="00140DBC"/>
    <w:rsid w:val="00142EA1"/>
    <w:rsid w:val="001448BB"/>
    <w:rsid w:val="00144D01"/>
    <w:rsid w:val="00144D5D"/>
    <w:rsid w:val="0014545A"/>
    <w:rsid w:val="00145700"/>
    <w:rsid w:val="00145A36"/>
    <w:rsid w:val="00145A53"/>
    <w:rsid w:val="00146139"/>
    <w:rsid w:val="001467CF"/>
    <w:rsid w:val="001508B8"/>
    <w:rsid w:val="001515F6"/>
    <w:rsid w:val="00151647"/>
    <w:rsid w:val="00151A28"/>
    <w:rsid w:val="00152925"/>
    <w:rsid w:val="00154629"/>
    <w:rsid w:val="00154B45"/>
    <w:rsid w:val="0015594A"/>
    <w:rsid w:val="00155A3D"/>
    <w:rsid w:val="00156DDD"/>
    <w:rsid w:val="00157FE0"/>
    <w:rsid w:val="00160452"/>
    <w:rsid w:val="00160611"/>
    <w:rsid w:val="00163D52"/>
    <w:rsid w:val="00163ED7"/>
    <w:rsid w:val="001641AC"/>
    <w:rsid w:val="00165427"/>
    <w:rsid w:val="00167CCA"/>
    <w:rsid w:val="00167CD8"/>
    <w:rsid w:val="00167DA4"/>
    <w:rsid w:val="0017048E"/>
    <w:rsid w:val="0017095B"/>
    <w:rsid w:val="00170D99"/>
    <w:rsid w:val="00171350"/>
    <w:rsid w:val="001723E3"/>
    <w:rsid w:val="00172DC6"/>
    <w:rsid w:val="00172EE0"/>
    <w:rsid w:val="00173559"/>
    <w:rsid w:val="00180816"/>
    <w:rsid w:val="00180B05"/>
    <w:rsid w:val="00181E44"/>
    <w:rsid w:val="00181EB6"/>
    <w:rsid w:val="0018265F"/>
    <w:rsid w:val="0018350E"/>
    <w:rsid w:val="001838CD"/>
    <w:rsid w:val="0018443B"/>
    <w:rsid w:val="00184853"/>
    <w:rsid w:val="00186E38"/>
    <w:rsid w:val="00187CEF"/>
    <w:rsid w:val="00187FBC"/>
    <w:rsid w:val="00190063"/>
    <w:rsid w:val="0019156B"/>
    <w:rsid w:val="00191EDA"/>
    <w:rsid w:val="00191F1F"/>
    <w:rsid w:val="00192C21"/>
    <w:rsid w:val="00193378"/>
    <w:rsid w:val="00193D0A"/>
    <w:rsid w:val="00193D72"/>
    <w:rsid w:val="0019534A"/>
    <w:rsid w:val="00195973"/>
    <w:rsid w:val="00196CCD"/>
    <w:rsid w:val="00196F25"/>
    <w:rsid w:val="001972A5"/>
    <w:rsid w:val="001A182E"/>
    <w:rsid w:val="001A261A"/>
    <w:rsid w:val="001A28C2"/>
    <w:rsid w:val="001A2ADE"/>
    <w:rsid w:val="001A3496"/>
    <w:rsid w:val="001A4A5E"/>
    <w:rsid w:val="001A4E4D"/>
    <w:rsid w:val="001A5532"/>
    <w:rsid w:val="001A5BD0"/>
    <w:rsid w:val="001A618D"/>
    <w:rsid w:val="001A6F2C"/>
    <w:rsid w:val="001A751C"/>
    <w:rsid w:val="001A7F61"/>
    <w:rsid w:val="001B0785"/>
    <w:rsid w:val="001B07E1"/>
    <w:rsid w:val="001B19CC"/>
    <w:rsid w:val="001B19FD"/>
    <w:rsid w:val="001B30B6"/>
    <w:rsid w:val="001B31A7"/>
    <w:rsid w:val="001B5CD7"/>
    <w:rsid w:val="001B7D22"/>
    <w:rsid w:val="001B89BC"/>
    <w:rsid w:val="001C004B"/>
    <w:rsid w:val="001C0632"/>
    <w:rsid w:val="001C10F6"/>
    <w:rsid w:val="001C16BE"/>
    <w:rsid w:val="001C1D32"/>
    <w:rsid w:val="001C3462"/>
    <w:rsid w:val="001C3D2A"/>
    <w:rsid w:val="001C4A4E"/>
    <w:rsid w:val="001C53CF"/>
    <w:rsid w:val="001C7C2D"/>
    <w:rsid w:val="001D0464"/>
    <w:rsid w:val="001D1638"/>
    <w:rsid w:val="001D164D"/>
    <w:rsid w:val="001D17E5"/>
    <w:rsid w:val="001D1DD0"/>
    <w:rsid w:val="001D222C"/>
    <w:rsid w:val="001D2E89"/>
    <w:rsid w:val="001D3700"/>
    <w:rsid w:val="001D3A40"/>
    <w:rsid w:val="001D3EC7"/>
    <w:rsid w:val="001D501A"/>
    <w:rsid w:val="001D51D4"/>
    <w:rsid w:val="001D54BD"/>
    <w:rsid w:val="001D5790"/>
    <w:rsid w:val="001D67AD"/>
    <w:rsid w:val="001D6C08"/>
    <w:rsid w:val="001D75E1"/>
    <w:rsid w:val="001D78EB"/>
    <w:rsid w:val="001D7B08"/>
    <w:rsid w:val="001E10BB"/>
    <w:rsid w:val="001E24CB"/>
    <w:rsid w:val="001E26E0"/>
    <w:rsid w:val="001E4D16"/>
    <w:rsid w:val="001E4D94"/>
    <w:rsid w:val="001E53AB"/>
    <w:rsid w:val="001E56DF"/>
    <w:rsid w:val="001E6F7E"/>
    <w:rsid w:val="001E6F9B"/>
    <w:rsid w:val="001E73CE"/>
    <w:rsid w:val="001E7A79"/>
    <w:rsid w:val="001F0A07"/>
    <w:rsid w:val="001F1A66"/>
    <w:rsid w:val="001F22D1"/>
    <w:rsid w:val="001F2B9A"/>
    <w:rsid w:val="001F2C30"/>
    <w:rsid w:val="001F43C7"/>
    <w:rsid w:val="001F4ABE"/>
    <w:rsid w:val="001F5DCE"/>
    <w:rsid w:val="001F63B0"/>
    <w:rsid w:val="0020112E"/>
    <w:rsid w:val="002021A2"/>
    <w:rsid w:val="00202B04"/>
    <w:rsid w:val="00203E30"/>
    <w:rsid w:val="00204444"/>
    <w:rsid w:val="00204794"/>
    <w:rsid w:val="00204902"/>
    <w:rsid w:val="00205E96"/>
    <w:rsid w:val="002067BF"/>
    <w:rsid w:val="002073F9"/>
    <w:rsid w:val="00207DFA"/>
    <w:rsid w:val="00210BA9"/>
    <w:rsid w:val="0021221C"/>
    <w:rsid w:val="002128B0"/>
    <w:rsid w:val="00214B72"/>
    <w:rsid w:val="0021551D"/>
    <w:rsid w:val="00215A52"/>
    <w:rsid w:val="0021633E"/>
    <w:rsid w:val="00216843"/>
    <w:rsid w:val="00216DBE"/>
    <w:rsid w:val="00217007"/>
    <w:rsid w:val="00217137"/>
    <w:rsid w:val="0022152C"/>
    <w:rsid w:val="00221BFC"/>
    <w:rsid w:val="0022286D"/>
    <w:rsid w:val="002252EC"/>
    <w:rsid w:val="00225B3C"/>
    <w:rsid w:val="00225D19"/>
    <w:rsid w:val="002261DE"/>
    <w:rsid w:val="00226288"/>
    <w:rsid w:val="00226CBB"/>
    <w:rsid w:val="00227941"/>
    <w:rsid w:val="00230082"/>
    <w:rsid w:val="002306E7"/>
    <w:rsid w:val="00232F60"/>
    <w:rsid w:val="0023308E"/>
    <w:rsid w:val="00235728"/>
    <w:rsid w:val="00235D74"/>
    <w:rsid w:val="002362C1"/>
    <w:rsid w:val="002370BA"/>
    <w:rsid w:val="00237DCE"/>
    <w:rsid w:val="00237EC6"/>
    <w:rsid w:val="00240E5B"/>
    <w:rsid w:val="00241158"/>
    <w:rsid w:val="0024186B"/>
    <w:rsid w:val="00241978"/>
    <w:rsid w:val="00241C7C"/>
    <w:rsid w:val="0024201E"/>
    <w:rsid w:val="00242031"/>
    <w:rsid w:val="00242500"/>
    <w:rsid w:val="0024352E"/>
    <w:rsid w:val="00243FFD"/>
    <w:rsid w:val="00244BBF"/>
    <w:rsid w:val="00245154"/>
    <w:rsid w:val="00245A8F"/>
    <w:rsid w:val="002461AD"/>
    <w:rsid w:val="00246263"/>
    <w:rsid w:val="00250CBB"/>
    <w:rsid w:val="002510C4"/>
    <w:rsid w:val="00251306"/>
    <w:rsid w:val="002522B6"/>
    <w:rsid w:val="002526C3"/>
    <w:rsid w:val="002546D1"/>
    <w:rsid w:val="002546EA"/>
    <w:rsid w:val="002555EF"/>
    <w:rsid w:val="0025591D"/>
    <w:rsid w:val="00255E2F"/>
    <w:rsid w:val="002569D0"/>
    <w:rsid w:val="0026010F"/>
    <w:rsid w:val="00264D2E"/>
    <w:rsid w:val="00266972"/>
    <w:rsid w:val="00266A58"/>
    <w:rsid w:val="0026FD21"/>
    <w:rsid w:val="002700C5"/>
    <w:rsid w:val="002701F9"/>
    <w:rsid w:val="00270642"/>
    <w:rsid w:val="00270C70"/>
    <w:rsid w:val="00275979"/>
    <w:rsid w:val="00275F58"/>
    <w:rsid w:val="00276C16"/>
    <w:rsid w:val="0028061C"/>
    <w:rsid w:val="002806C7"/>
    <w:rsid w:val="00280BC0"/>
    <w:rsid w:val="00280D6E"/>
    <w:rsid w:val="002817B5"/>
    <w:rsid w:val="00281E7A"/>
    <w:rsid w:val="0028268C"/>
    <w:rsid w:val="00283760"/>
    <w:rsid w:val="0028591D"/>
    <w:rsid w:val="002864E2"/>
    <w:rsid w:val="00290A27"/>
    <w:rsid w:val="00293AF2"/>
    <w:rsid w:val="002947C5"/>
    <w:rsid w:val="002950E9"/>
    <w:rsid w:val="00295EEF"/>
    <w:rsid w:val="00296186"/>
    <w:rsid w:val="0029F1B6"/>
    <w:rsid w:val="002A1130"/>
    <w:rsid w:val="002A142B"/>
    <w:rsid w:val="002A1B35"/>
    <w:rsid w:val="002A3153"/>
    <w:rsid w:val="002A3C78"/>
    <w:rsid w:val="002A6882"/>
    <w:rsid w:val="002A7B50"/>
    <w:rsid w:val="002B1623"/>
    <w:rsid w:val="002B1F3D"/>
    <w:rsid w:val="002B3954"/>
    <w:rsid w:val="002B4129"/>
    <w:rsid w:val="002B47C8"/>
    <w:rsid w:val="002B7384"/>
    <w:rsid w:val="002B7F9D"/>
    <w:rsid w:val="002C02DB"/>
    <w:rsid w:val="002C0B02"/>
    <w:rsid w:val="002C1DE1"/>
    <w:rsid w:val="002C2F92"/>
    <w:rsid w:val="002C46AF"/>
    <w:rsid w:val="002C4952"/>
    <w:rsid w:val="002C4A8B"/>
    <w:rsid w:val="002C5CCA"/>
    <w:rsid w:val="002C6CFD"/>
    <w:rsid w:val="002C6F1E"/>
    <w:rsid w:val="002C7D9C"/>
    <w:rsid w:val="002D05BB"/>
    <w:rsid w:val="002D08AC"/>
    <w:rsid w:val="002D162F"/>
    <w:rsid w:val="002D35B3"/>
    <w:rsid w:val="002D35F4"/>
    <w:rsid w:val="002D36A1"/>
    <w:rsid w:val="002D3F9F"/>
    <w:rsid w:val="002D5562"/>
    <w:rsid w:val="002D5E06"/>
    <w:rsid w:val="002D76A8"/>
    <w:rsid w:val="002D777E"/>
    <w:rsid w:val="002E1BB6"/>
    <w:rsid w:val="002E4042"/>
    <w:rsid w:val="002E4B1F"/>
    <w:rsid w:val="002E5FA5"/>
    <w:rsid w:val="002E66BB"/>
    <w:rsid w:val="002E7505"/>
    <w:rsid w:val="002E7FCF"/>
    <w:rsid w:val="002E9F5C"/>
    <w:rsid w:val="002F0E87"/>
    <w:rsid w:val="002F4AED"/>
    <w:rsid w:val="003003BE"/>
    <w:rsid w:val="00300E4F"/>
    <w:rsid w:val="00301433"/>
    <w:rsid w:val="0030233B"/>
    <w:rsid w:val="00302DD2"/>
    <w:rsid w:val="0030360B"/>
    <w:rsid w:val="00303B3D"/>
    <w:rsid w:val="00303F39"/>
    <w:rsid w:val="0030538A"/>
    <w:rsid w:val="0030651D"/>
    <w:rsid w:val="003104AE"/>
    <w:rsid w:val="0031076A"/>
    <w:rsid w:val="00311175"/>
    <w:rsid w:val="003128B8"/>
    <w:rsid w:val="00312977"/>
    <w:rsid w:val="00312CD9"/>
    <w:rsid w:val="003136F3"/>
    <w:rsid w:val="00315E42"/>
    <w:rsid w:val="003165A3"/>
    <w:rsid w:val="003168B1"/>
    <w:rsid w:val="003177FE"/>
    <w:rsid w:val="00321FE6"/>
    <w:rsid w:val="0032201E"/>
    <w:rsid w:val="00322380"/>
    <w:rsid w:val="003236B0"/>
    <w:rsid w:val="00324239"/>
    <w:rsid w:val="00325B85"/>
    <w:rsid w:val="00326A0E"/>
    <w:rsid w:val="00326A64"/>
    <w:rsid w:val="00330605"/>
    <w:rsid w:val="003306AA"/>
    <w:rsid w:val="00331B09"/>
    <w:rsid w:val="00333CCC"/>
    <w:rsid w:val="003351F7"/>
    <w:rsid w:val="0033570C"/>
    <w:rsid w:val="00336055"/>
    <w:rsid w:val="00337BCE"/>
    <w:rsid w:val="00340AB6"/>
    <w:rsid w:val="0034189F"/>
    <w:rsid w:val="003420BC"/>
    <w:rsid w:val="0034293B"/>
    <w:rsid w:val="00342C19"/>
    <w:rsid w:val="003443BA"/>
    <w:rsid w:val="003447A9"/>
    <w:rsid w:val="003458FA"/>
    <w:rsid w:val="00346F6B"/>
    <w:rsid w:val="0034703C"/>
    <w:rsid w:val="003473AD"/>
    <w:rsid w:val="00347D11"/>
    <w:rsid w:val="003503D1"/>
    <w:rsid w:val="00350ECF"/>
    <w:rsid w:val="003510D4"/>
    <w:rsid w:val="003521D1"/>
    <w:rsid w:val="00352656"/>
    <w:rsid w:val="003533CB"/>
    <w:rsid w:val="00354316"/>
    <w:rsid w:val="0035433E"/>
    <w:rsid w:val="003572ED"/>
    <w:rsid w:val="00357648"/>
    <w:rsid w:val="00357A6E"/>
    <w:rsid w:val="00360B85"/>
    <w:rsid w:val="00362C2F"/>
    <w:rsid w:val="00362C56"/>
    <w:rsid w:val="003636BF"/>
    <w:rsid w:val="00365445"/>
    <w:rsid w:val="00365803"/>
    <w:rsid w:val="0036640A"/>
    <w:rsid w:val="00367979"/>
    <w:rsid w:val="00371295"/>
    <w:rsid w:val="00371457"/>
    <w:rsid w:val="003722A5"/>
    <w:rsid w:val="00374502"/>
    <w:rsid w:val="00376E91"/>
    <w:rsid w:val="0037705A"/>
    <w:rsid w:val="00377B42"/>
    <w:rsid w:val="00377CB0"/>
    <w:rsid w:val="00381300"/>
    <w:rsid w:val="00382129"/>
    <w:rsid w:val="00382A2B"/>
    <w:rsid w:val="00383329"/>
    <w:rsid w:val="0038361C"/>
    <w:rsid w:val="0038452F"/>
    <w:rsid w:val="0038461D"/>
    <w:rsid w:val="003846AE"/>
    <w:rsid w:val="00384890"/>
    <w:rsid w:val="00384B91"/>
    <w:rsid w:val="00384F58"/>
    <w:rsid w:val="00385527"/>
    <w:rsid w:val="00386992"/>
    <w:rsid w:val="00387613"/>
    <w:rsid w:val="0039169F"/>
    <w:rsid w:val="0039396A"/>
    <w:rsid w:val="00393CDF"/>
    <w:rsid w:val="0039655A"/>
    <w:rsid w:val="003974DC"/>
    <w:rsid w:val="003A09DE"/>
    <w:rsid w:val="003A1D9F"/>
    <w:rsid w:val="003A24B5"/>
    <w:rsid w:val="003A2898"/>
    <w:rsid w:val="003A2B0F"/>
    <w:rsid w:val="003A459D"/>
    <w:rsid w:val="003A5A86"/>
    <w:rsid w:val="003B0039"/>
    <w:rsid w:val="003B2784"/>
    <w:rsid w:val="003B3FC6"/>
    <w:rsid w:val="003B60A0"/>
    <w:rsid w:val="003B687B"/>
    <w:rsid w:val="003C1B10"/>
    <w:rsid w:val="003C2BC0"/>
    <w:rsid w:val="003C39C0"/>
    <w:rsid w:val="003C3AFC"/>
    <w:rsid w:val="003C4E6A"/>
    <w:rsid w:val="003C542C"/>
    <w:rsid w:val="003C6956"/>
    <w:rsid w:val="003C7350"/>
    <w:rsid w:val="003C7DC6"/>
    <w:rsid w:val="003D10A3"/>
    <w:rsid w:val="003D1B37"/>
    <w:rsid w:val="003D29C2"/>
    <w:rsid w:val="003D3051"/>
    <w:rsid w:val="003D3BE0"/>
    <w:rsid w:val="003D3D8C"/>
    <w:rsid w:val="003D45D9"/>
    <w:rsid w:val="003D533C"/>
    <w:rsid w:val="003D60B4"/>
    <w:rsid w:val="003D6698"/>
    <w:rsid w:val="003D7130"/>
    <w:rsid w:val="003E00DC"/>
    <w:rsid w:val="003E057D"/>
    <w:rsid w:val="003E0B40"/>
    <w:rsid w:val="003E2561"/>
    <w:rsid w:val="003E2BAD"/>
    <w:rsid w:val="003E2DC1"/>
    <w:rsid w:val="003E2E2E"/>
    <w:rsid w:val="003E2EFF"/>
    <w:rsid w:val="003E37EE"/>
    <w:rsid w:val="003E4611"/>
    <w:rsid w:val="003E4FA9"/>
    <w:rsid w:val="003E5191"/>
    <w:rsid w:val="003E549A"/>
    <w:rsid w:val="003E5F37"/>
    <w:rsid w:val="003E7FB9"/>
    <w:rsid w:val="003F24DB"/>
    <w:rsid w:val="003F2954"/>
    <w:rsid w:val="003F2FC5"/>
    <w:rsid w:val="003F4536"/>
    <w:rsid w:val="003F46B7"/>
    <w:rsid w:val="003F4811"/>
    <w:rsid w:val="003F6D77"/>
    <w:rsid w:val="0040123C"/>
    <w:rsid w:val="00401B13"/>
    <w:rsid w:val="004024D8"/>
    <w:rsid w:val="004027A3"/>
    <w:rsid w:val="00403C54"/>
    <w:rsid w:val="00405553"/>
    <w:rsid w:val="00405DD6"/>
    <w:rsid w:val="0040614A"/>
    <w:rsid w:val="0040740F"/>
    <w:rsid w:val="00411379"/>
    <w:rsid w:val="0041177E"/>
    <w:rsid w:val="004119C2"/>
    <w:rsid w:val="00411C08"/>
    <w:rsid w:val="00411D2B"/>
    <w:rsid w:val="00414CC1"/>
    <w:rsid w:val="00415149"/>
    <w:rsid w:val="00415889"/>
    <w:rsid w:val="00416864"/>
    <w:rsid w:val="00416AD2"/>
    <w:rsid w:val="004170E2"/>
    <w:rsid w:val="00417F2C"/>
    <w:rsid w:val="004209FD"/>
    <w:rsid w:val="00421254"/>
    <w:rsid w:val="004215F2"/>
    <w:rsid w:val="00421ECE"/>
    <w:rsid w:val="004229C6"/>
    <w:rsid w:val="00423180"/>
    <w:rsid w:val="004251BE"/>
    <w:rsid w:val="00427086"/>
    <w:rsid w:val="004277B5"/>
    <w:rsid w:val="004277C4"/>
    <w:rsid w:val="004277C8"/>
    <w:rsid w:val="00427986"/>
    <w:rsid w:val="00430017"/>
    <w:rsid w:val="004306C1"/>
    <w:rsid w:val="00430FA6"/>
    <w:rsid w:val="0043109C"/>
    <w:rsid w:val="0043287B"/>
    <w:rsid w:val="0043331E"/>
    <w:rsid w:val="00433B90"/>
    <w:rsid w:val="00434749"/>
    <w:rsid w:val="0043595C"/>
    <w:rsid w:val="004361A7"/>
    <w:rsid w:val="004371F8"/>
    <w:rsid w:val="00437832"/>
    <w:rsid w:val="0043786B"/>
    <w:rsid w:val="00441820"/>
    <w:rsid w:val="00441C4A"/>
    <w:rsid w:val="004421A5"/>
    <w:rsid w:val="0044338B"/>
    <w:rsid w:val="00443CBF"/>
    <w:rsid w:val="00443D0D"/>
    <w:rsid w:val="00444042"/>
    <w:rsid w:val="00444166"/>
    <w:rsid w:val="004445E9"/>
    <w:rsid w:val="004468E0"/>
    <w:rsid w:val="00447F80"/>
    <w:rsid w:val="0044B22C"/>
    <w:rsid w:val="00450DEC"/>
    <w:rsid w:val="00450E1C"/>
    <w:rsid w:val="004516F8"/>
    <w:rsid w:val="00451749"/>
    <w:rsid w:val="00452F8F"/>
    <w:rsid w:val="00453EDB"/>
    <w:rsid w:val="00453F44"/>
    <w:rsid w:val="00454071"/>
    <w:rsid w:val="0045740C"/>
    <w:rsid w:val="004602DE"/>
    <w:rsid w:val="00460830"/>
    <w:rsid w:val="004615E7"/>
    <w:rsid w:val="00462F9A"/>
    <w:rsid w:val="00464EFA"/>
    <w:rsid w:val="004652EB"/>
    <w:rsid w:val="0046568C"/>
    <w:rsid w:val="00465A57"/>
    <w:rsid w:val="0047036B"/>
    <w:rsid w:val="00471382"/>
    <w:rsid w:val="004741BD"/>
    <w:rsid w:val="0047531B"/>
    <w:rsid w:val="0047611F"/>
    <w:rsid w:val="0047668D"/>
    <w:rsid w:val="00476CF3"/>
    <w:rsid w:val="004770A9"/>
    <w:rsid w:val="00477810"/>
    <w:rsid w:val="0048073E"/>
    <w:rsid w:val="00483246"/>
    <w:rsid w:val="00483B47"/>
    <w:rsid w:val="0048403F"/>
    <w:rsid w:val="0048427B"/>
    <w:rsid w:val="004847D4"/>
    <w:rsid w:val="00484B5C"/>
    <w:rsid w:val="00485209"/>
    <w:rsid w:val="004854DA"/>
    <w:rsid w:val="00486558"/>
    <w:rsid w:val="004865C8"/>
    <w:rsid w:val="0048751E"/>
    <w:rsid w:val="0048762F"/>
    <w:rsid w:val="004879D8"/>
    <w:rsid w:val="00487C7C"/>
    <w:rsid w:val="00487E21"/>
    <w:rsid w:val="004915A1"/>
    <w:rsid w:val="004923A9"/>
    <w:rsid w:val="00493AA3"/>
    <w:rsid w:val="004942A6"/>
    <w:rsid w:val="004943E0"/>
    <w:rsid w:val="00495EFA"/>
    <w:rsid w:val="00496A57"/>
    <w:rsid w:val="00497F69"/>
    <w:rsid w:val="004A0E27"/>
    <w:rsid w:val="004A219B"/>
    <w:rsid w:val="004A2371"/>
    <w:rsid w:val="004A319E"/>
    <w:rsid w:val="004A3ACB"/>
    <w:rsid w:val="004A3DEB"/>
    <w:rsid w:val="004A578E"/>
    <w:rsid w:val="004A6A56"/>
    <w:rsid w:val="004A7D29"/>
    <w:rsid w:val="004B0F2C"/>
    <w:rsid w:val="004B129F"/>
    <w:rsid w:val="004B151B"/>
    <w:rsid w:val="004B1E8E"/>
    <w:rsid w:val="004B1FD2"/>
    <w:rsid w:val="004B2B9F"/>
    <w:rsid w:val="004B37CA"/>
    <w:rsid w:val="004B3B1E"/>
    <w:rsid w:val="004B46D8"/>
    <w:rsid w:val="004B67C4"/>
    <w:rsid w:val="004B6FDC"/>
    <w:rsid w:val="004C2D84"/>
    <w:rsid w:val="004C3405"/>
    <w:rsid w:val="004C3DEB"/>
    <w:rsid w:val="004C3F59"/>
    <w:rsid w:val="004C4F04"/>
    <w:rsid w:val="004C552C"/>
    <w:rsid w:val="004C56FE"/>
    <w:rsid w:val="004C5897"/>
    <w:rsid w:val="004C6610"/>
    <w:rsid w:val="004C6CFB"/>
    <w:rsid w:val="004D025D"/>
    <w:rsid w:val="004D0774"/>
    <w:rsid w:val="004D09C6"/>
    <w:rsid w:val="004D32D5"/>
    <w:rsid w:val="004D34E0"/>
    <w:rsid w:val="004D4610"/>
    <w:rsid w:val="004D6700"/>
    <w:rsid w:val="004D6E18"/>
    <w:rsid w:val="004D7215"/>
    <w:rsid w:val="004D73A2"/>
    <w:rsid w:val="004D7B75"/>
    <w:rsid w:val="004E08E2"/>
    <w:rsid w:val="004E0A69"/>
    <w:rsid w:val="004E1E38"/>
    <w:rsid w:val="004E23AB"/>
    <w:rsid w:val="004E3F33"/>
    <w:rsid w:val="004E500D"/>
    <w:rsid w:val="004E6D6F"/>
    <w:rsid w:val="004E7440"/>
    <w:rsid w:val="004E7A96"/>
    <w:rsid w:val="004F0DBC"/>
    <w:rsid w:val="004F2F8A"/>
    <w:rsid w:val="004F4113"/>
    <w:rsid w:val="004F4DBB"/>
    <w:rsid w:val="004F6FEA"/>
    <w:rsid w:val="004F7F9B"/>
    <w:rsid w:val="004FA56E"/>
    <w:rsid w:val="005007E6"/>
    <w:rsid w:val="00500BD8"/>
    <w:rsid w:val="005020EB"/>
    <w:rsid w:val="0050356D"/>
    <w:rsid w:val="005046A0"/>
    <w:rsid w:val="00504994"/>
    <w:rsid w:val="00506A9C"/>
    <w:rsid w:val="00507439"/>
    <w:rsid w:val="00507474"/>
    <w:rsid w:val="00510FBA"/>
    <w:rsid w:val="00511811"/>
    <w:rsid w:val="00511C90"/>
    <w:rsid w:val="00512477"/>
    <w:rsid w:val="005144DF"/>
    <w:rsid w:val="0051458A"/>
    <w:rsid w:val="00517145"/>
    <w:rsid w:val="00517727"/>
    <w:rsid w:val="00520049"/>
    <w:rsid w:val="00520712"/>
    <w:rsid w:val="00520A6B"/>
    <w:rsid w:val="00522BA9"/>
    <w:rsid w:val="00523085"/>
    <w:rsid w:val="00523CB0"/>
    <w:rsid w:val="005247D7"/>
    <w:rsid w:val="005268BA"/>
    <w:rsid w:val="005268DB"/>
    <w:rsid w:val="00527225"/>
    <w:rsid w:val="00527A2E"/>
    <w:rsid w:val="00527BAE"/>
    <w:rsid w:val="00530FFA"/>
    <w:rsid w:val="005314C6"/>
    <w:rsid w:val="00533E62"/>
    <w:rsid w:val="00534576"/>
    <w:rsid w:val="0053492C"/>
    <w:rsid w:val="00534FA3"/>
    <w:rsid w:val="005375B4"/>
    <w:rsid w:val="005409B2"/>
    <w:rsid w:val="0054259A"/>
    <w:rsid w:val="005446F4"/>
    <w:rsid w:val="00544954"/>
    <w:rsid w:val="00546E05"/>
    <w:rsid w:val="00550977"/>
    <w:rsid w:val="00550D4F"/>
    <w:rsid w:val="00551DDE"/>
    <w:rsid w:val="005523A6"/>
    <w:rsid w:val="00553E79"/>
    <w:rsid w:val="00555C28"/>
    <w:rsid w:val="00556C54"/>
    <w:rsid w:val="00557165"/>
    <w:rsid w:val="005573BE"/>
    <w:rsid w:val="00561CCE"/>
    <w:rsid w:val="00562AE8"/>
    <w:rsid w:val="00562CE1"/>
    <w:rsid w:val="00564824"/>
    <w:rsid w:val="00565A8C"/>
    <w:rsid w:val="005674D9"/>
    <w:rsid w:val="00567AC1"/>
    <w:rsid w:val="00570584"/>
    <w:rsid w:val="00574053"/>
    <w:rsid w:val="00577427"/>
    <w:rsid w:val="005808B6"/>
    <w:rsid w:val="005817BA"/>
    <w:rsid w:val="00582CD2"/>
    <w:rsid w:val="00583674"/>
    <w:rsid w:val="00583FE0"/>
    <w:rsid w:val="00584EF6"/>
    <w:rsid w:val="0058716E"/>
    <w:rsid w:val="005874A9"/>
    <w:rsid w:val="005874EB"/>
    <w:rsid w:val="005875EC"/>
    <w:rsid w:val="0058775E"/>
    <w:rsid w:val="005878F3"/>
    <w:rsid w:val="005905D7"/>
    <w:rsid w:val="005912F9"/>
    <w:rsid w:val="00593840"/>
    <w:rsid w:val="0059429C"/>
    <w:rsid w:val="0059583D"/>
    <w:rsid w:val="00595EF1"/>
    <w:rsid w:val="005968E1"/>
    <w:rsid w:val="00597FBC"/>
    <w:rsid w:val="005A090A"/>
    <w:rsid w:val="005A1AF7"/>
    <w:rsid w:val="005A3485"/>
    <w:rsid w:val="005A3CF1"/>
    <w:rsid w:val="005A4557"/>
    <w:rsid w:val="005A483A"/>
    <w:rsid w:val="005A53CC"/>
    <w:rsid w:val="005A60A4"/>
    <w:rsid w:val="005A67AB"/>
    <w:rsid w:val="005A6A12"/>
    <w:rsid w:val="005A77FA"/>
    <w:rsid w:val="005ACF3C"/>
    <w:rsid w:val="005B06F8"/>
    <w:rsid w:val="005B1252"/>
    <w:rsid w:val="005B3929"/>
    <w:rsid w:val="005B3AD3"/>
    <w:rsid w:val="005B40B5"/>
    <w:rsid w:val="005B43F9"/>
    <w:rsid w:val="005B4740"/>
    <w:rsid w:val="005B6E9D"/>
    <w:rsid w:val="005B708E"/>
    <w:rsid w:val="005B7454"/>
    <w:rsid w:val="005C0ED4"/>
    <w:rsid w:val="005C234A"/>
    <w:rsid w:val="005C2F3D"/>
    <w:rsid w:val="005C44E9"/>
    <w:rsid w:val="005C4EDF"/>
    <w:rsid w:val="005C6118"/>
    <w:rsid w:val="005C642E"/>
    <w:rsid w:val="005C7291"/>
    <w:rsid w:val="005D102B"/>
    <w:rsid w:val="005D24C5"/>
    <w:rsid w:val="005D4B33"/>
    <w:rsid w:val="005D5A45"/>
    <w:rsid w:val="005D6B1D"/>
    <w:rsid w:val="005D6C4A"/>
    <w:rsid w:val="005D7943"/>
    <w:rsid w:val="005E1708"/>
    <w:rsid w:val="005E1CD8"/>
    <w:rsid w:val="005E1F21"/>
    <w:rsid w:val="005E1F37"/>
    <w:rsid w:val="005E1FCE"/>
    <w:rsid w:val="005E2291"/>
    <w:rsid w:val="005E28F6"/>
    <w:rsid w:val="005E2A8A"/>
    <w:rsid w:val="005E2EAB"/>
    <w:rsid w:val="005E2F02"/>
    <w:rsid w:val="005E51CB"/>
    <w:rsid w:val="005E52FF"/>
    <w:rsid w:val="005E5308"/>
    <w:rsid w:val="005E5D09"/>
    <w:rsid w:val="005E6350"/>
    <w:rsid w:val="005E7E71"/>
    <w:rsid w:val="005F1A32"/>
    <w:rsid w:val="005F387D"/>
    <w:rsid w:val="005F42F9"/>
    <w:rsid w:val="005F4B85"/>
    <w:rsid w:val="005F64BA"/>
    <w:rsid w:val="005F6E3A"/>
    <w:rsid w:val="005F783B"/>
    <w:rsid w:val="00600378"/>
    <w:rsid w:val="0060060A"/>
    <w:rsid w:val="00600EBE"/>
    <w:rsid w:val="00602317"/>
    <w:rsid w:val="00603993"/>
    <w:rsid w:val="00606113"/>
    <w:rsid w:val="0060646E"/>
    <w:rsid w:val="00606FE0"/>
    <w:rsid w:val="00613937"/>
    <w:rsid w:val="00613AC2"/>
    <w:rsid w:val="006141FC"/>
    <w:rsid w:val="006169FD"/>
    <w:rsid w:val="00616A65"/>
    <w:rsid w:val="00617015"/>
    <w:rsid w:val="006179B1"/>
    <w:rsid w:val="00617F04"/>
    <w:rsid w:val="00620576"/>
    <w:rsid w:val="00620A12"/>
    <w:rsid w:val="006228EF"/>
    <w:rsid w:val="00625349"/>
    <w:rsid w:val="006255BF"/>
    <w:rsid w:val="00626F5F"/>
    <w:rsid w:val="00630C44"/>
    <w:rsid w:val="00633239"/>
    <w:rsid w:val="00633937"/>
    <w:rsid w:val="00633D5B"/>
    <w:rsid w:val="00634E42"/>
    <w:rsid w:val="006358A7"/>
    <w:rsid w:val="00635C5F"/>
    <w:rsid w:val="0063607A"/>
    <w:rsid w:val="006413A8"/>
    <w:rsid w:val="006425D1"/>
    <w:rsid w:val="00643A09"/>
    <w:rsid w:val="0064622A"/>
    <w:rsid w:val="0064672E"/>
    <w:rsid w:val="00646F09"/>
    <w:rsid w:val="0065035F"/>
    <w:rsid w:val="006510B4"/>
    <w:rsid w:val="00651A36"/>
    <w:rsid w:val="00651AE5"/>
    <w:rsid w:val="00652DD8"/>
    <w:rsid w:val="0065413C"/>
    <w:rsid w:val="00654559"/>
    <w:rsid w:val="00654854"/>
    <w:rsid w:val="006550F2"/>
    <w:rsid w:val="00655425"/>
    <w:rsid w:val="006567D7"/>
    <w:rsid w:val="00656FFF"/>
    <w:rsid w:val="006576FF"/>
    <w:rsid w:val="0066044E"/>
    <w:rsid w:val="00660A05"/>
    <w:rsid w:val="006615F5"/>
    <w:rsid w:val="00661F9F"/>
    <w:rsid w:val="00662EBA"/>
    <w:rsid w:val="00663559"/>
    <w:rsid w:val="00663A18"/>
    <w:rsid w:val="00663BCD"/>
    <w:rsid w:val="00663BD0"/>
    <w:rsid w:val="00663C27"/>
    <w:rsid w:val="006656E1"/>
    <w:rsid w:val="00665BB8"/>
    <w:rsid w:val="00665E9C"/>
    <w:rsid w:val="006661E0"/>
    <w:rsid w:val="00666244"/>
    <w:rsid w:val="0066728C"/>
    <w:rsid w:val="00667635"/>
    <w:rsid w:val="00667DBB"/>
    <w:rsid w:val="00670025"/>
    <w:rsid w:val="006708FB"/>
    <w:rsid w:val="006719BF"/>
    <w:rsid w:val="00672603"/>
    <w:rsid w:val="00673DBA"/>
    <w:rsid w:val="00675815"/>
    <w:rsid w:val="00676834"/>
    <w:rsid w:val="00676B5E"/>
    <w:rsid w:val="00676E69"/>
    <w:rsid w:val="0067779B"/>
    <w:rsid w:val="006778C5"/>
    <w:rsid w:val="00680258"/>
    <w:rsid w:val="006808A3"/>
    <w:rsid w:val="00680BDD"/>
    <w:rsid w:val="00682B4E"/>
    <w:rsid w:val="006843E4"/>
    <w:rsid w:val="00686CB1"/>
    <w:rsid w:val="00686F81"/>
    <w:rsid w:val="00686FAF"/>
    <w:rsid w:val="006878FA"/>
    <w:rsid w:val="0069126C"/>
    <w:rsid w:val="006928B7"/>
    <w:rsid w:val="00693C48"/>
    <w:rsid w:val="00693EB4"/>
    <w:rsid w:val="006945DA"/>
    <w:rsid w:val="006956F5"/>
    <w:rsid w:val="00695FBE"/>
    <w:rsid w:val="006A0448"/>
    <w:rsid w:val="006A2CCF"/>
    <w:rsid w:val="006A2F7B"/>
    <w:rsid w:val="006A38A2"/>
    <w:rsid w:val="006A4354"/>
    <w:rsid w:val="006A4880"/>
    <w:rsid w:val="006A4FC9"/>
    <w:rsid w:val="006A520B"/>
    <w:rsid w:val="006A6296"/>
    <w:rsid w:val="006A66C8"/>
    <w:rsid w:val="006A7A7F"/>
    <w:rsid w:val="006A7AB0"/>
    <w:rsid w:val="006B3435"/>
    <w:rsid w:val="006B3B82"/>
    <w:rsid w:val="006B4354"/>
    <w:rsid w:val="006B53CE"/>
    <w:rsid w:val="006B5F0D"/>
    <w:rsid w:val="006B6012"/>
    <w:rsid w:val="006B6223"/>
    <w:rsid w:val="006B75F1"/>
    <w:rsid w:val="006B7E9F"/>
    <w:rsid w:val="006C06C4"/>
    <w:rsid w:val="006C100A"/>
    <w:rsid w:val="006C2040"/>
    <w:rsid w:val="006C207C"/>
    <w:rsid w:val="006C2313"/>
    <w:rsid w:val="006C2E4F"/>
    <w:rsid w:val="006C3EB4"/>
    <w:rsid w:val="006C6DCD"/>
    <w:rsid w:val="006C6DFF"/>
    <w:rsid w:val="006C769D"/>
    <w:rsid w:val="006D06EC"/>
    <w:rsid w:val="006D0ABF"/>
    <w:rsid w:val="006D10AA"/>
    <w:rsid w:val="006D15A2"/>
    <w:rsid w:val="006D5AE5"/>
    <w:rsid w:val="006D70B4"/>
    <w:rsid w:val="006E1306"/>
    <w:rsid w:val="006E1B4C"/>
    <w:rsid w:val="006E1FB1"/>
    <w:rsid w:val="006E23FB"/>
    <w:rsid w:val="006E2E45"/>
    <w:rsid w:val="006E31FD"/>
    <w:rsid w:val="006E4579"/>
    <w:rsid w:val="006E45E4"/>
    <w:rsid w:val="006E4D86"/>
    <w:rsid w:val="006E6475"/>
    <w:rsid w:val="006E6D7B"/>
    <w:rsid w:val="006E7753"/>
    <w:rsid w:val="006F09CC"/>
    <w:rsid w:val="006F0BE8"/>
    <w:rsid w:val="006F102E"/>
    <w:rsid w:val="006F11C8"/>
    <w:rsid w:val="006F168B"/>
    <w:rsid w:val="006F180F"/>
    <w:rsid w:val="006F1CDA"/>
    <w:rsid w:val="006F3992"/>
    <w:rsid w:val="006F4795"/>
    <w:rsid w:val="006F5B9E"/>
    <w:rsid w:val="00701206"/>
    <w:rsid w:val="007015DE"/>
    <w:rsid w:val="00701651"/>
    <w:rsid w:val="00705BBB"/>
    <w:rsid w:val="00710B2A"/>
    <w:rsid w:val="00711928"/>
    <w:rsid w:val="007124C6"/>
    <w:rsid w:val="0071277A"/>
    <w:rsid w:val="00713BB0"/>
    <w:rsid w:val="00713BCB"/>
    <w:rsid w:val="00715F95"/>
    <w:rsid w:val="00717E4B"/>
    <w:rsid w:val="0072004F"/>
    <w:rsid w:val="0072018F"/>
    <w:rsid w:val="00720948"/>
    <w:rsid w:val="00721A17"/>
    <w:rsid w:val="0072300B"/>
    <w:rsid w:val="00723588"/>
    <w:rsid w:val="00723863"/>
    <w:rsid w:val="0072459E"/>
    <w:rsid w:val="00724E43"/>
    <w:rsid w:val="0072589F"/>
    <w:rsid w:val="00726A27"/>
    <w:rsid w:val="0072744B"/>
    <w:rsid w:val="0072746C"/>
    <w:rsid w:val="0072B03E"/>
    <w:rsid w:val="00732874"/>
    <w:rsid w:val="007347D5"/>
    <w:rsid w:val="00734814"/>
    <w:rsid w:val="00734AEF"/>
    <w:rsid w:val="007350E4"/>
    <w:rsid w:val="00737073"/>
    <w:rsid w:val="0074044B"/>
    <w:rsid w:val="00740D1C"/>
    <w:rsid w:val="00743B56"/>
    <w:rsid w:val="00743DD9"/>
    <w:rsid w:val="00744829"/>
    <w:rsid w:val="007460C6"/>
    <w:rsid w:val="00746ACA"/>
    <w:rsid w:val="00747510"/>
    <w:rsid w:val="00750122"/>
    <w:rsid w:val="007503CB"/>
    <w:rsid w:val="00750AB6"/>
    <w:rsid w:val="00751F9B"/>
    <w:rsid w:val="00754030"/>
    <w:rsid w:val="0075409C"/>
    <w:rsid w:val="00754FE9"/>
    <w:rsid w:val="00756810"/>
    <w:rsid w:val="0075688C"/>
    <w:rsid w:val="0075692B"/>
    <w:rsid w:val="007577BF"/>
    <w:rsid w:val="00757A2B"/>
    <w:rsid w:val="00761203"/>
    <w:rsid w:val="00761944"/>
    <w:rsid w:val="00764750"/>
    <w:rsid w:val="0076590A"/>
    <w:rsid w:val="0076633D"/>
    <w:rsid w:val="00766FDE"/>
    <w:rsid w:val="00770458"/>
    <w:rsid w:val="007712F5"/>
    <w:rsid w:val="0077187D"/>
    <w:rsid w:val="007721D1"/>
    <w:rsid w:val="00773D20"/>
    <w:rsid w:val="0077404E"/>
    <w:rsid w:val="00775792"/>
    <w:rsid w:val="00777F05"/>
    <w:rsid w:val="007811C9"/>
    <w:rsid w:val="00782398"/>
    <w:rsid w:val="007842F1"/>
    <w:rsid w:val="007844CD"/>
    <w:rsid w:val="00784DFD"/>
    <w:rsid w:val="007855F0"/>
    <w:rsid w:val="007869FC"/>
    <w:rsid w:val="0078773A"/>
    <w:rsid w:val="00787A05"/>
    <w:rsid w:val="00790B01"/>
    <w:rsid w:val="00790E3A"/>
    <w:rsid w:val="00791B03"/>
    <w:rsid w:val="00792957"/>
    <w:rsid w:val="007935C6"/>
    <w:rsid w:val="00795968"/>
    <w:rsid w:val="00796140"/>
    <w:rsid w:val="007A1B4E"/>
    <w:rsid w:val="007A32BB"/>
    <w:rsid w:val="007A37E1"/>
    <w:rsid w:val="007A457E"/>
    <w:rsid w:val="007A4E16"/>
    <w:rsid w:val="007A5A5C"/>
    <w:rsid w:val="007A5F72"/>
    <w:rsid w:val="007A60F2"/>
    <w:rsid w:val="007A6F40"/>
    <w:rsid w:val="007A75D9"/>
    <w:rsid w:val="007B0C89"/>
    <w:rsid w:val="007B0F11"/>
    <w:rsid w:val="007B0F39"/>
    <w:rsid w:val="007B14A7"/>
    <w:rsid w:val="007B20D6"/>
    <w:rsid w:val="007B20EB"/>
    <w:rsid w:val="007B2770"/>
    <w:rsid w:val="007B3E47"/>
    <w:rsid w:val="007B41C5"/>
    <w:rsid w:val="007B5C2C"/>
    <w:rsid w:val="007B7508"/>
    <w:rsid w:val="007B768C"/>
    <w:rsid w:val="007B7B46"/>
    <w:rsid w:val="007C0CD5"/>
    <w:rsid w:val="007C16CA"/>
    <w:rsid w:val="007C32B4"/>
    <w:rsid w:val="007C42C5"/>
    <w:rsid w:val="007C5FB0"/>
    <w:rsid w:val="007D05F6"/>
    <w:rsid w:val="007D0850"/>
    <w:rsid w:val="007D0A8B"/>
    <w:rsid w:val="007D23C5"/>
    <w:rsid w:val="007D2A67"/>
    <w:rsid w:val="007D4274"/>
    <w:rsid w:val="007D457C"/>
    <w:rsid w:val="007D493B"/>
    <w:rsid w:val="007D61E8"/>
    <w:rsid w:val="007D7981"/>
    <w:rsid w:val="007E06EF"/>
    <w:rsid w:val="007E3587"/>
    <w:rsid w:val="007E3D55"/>
    <w:rsid w:val="007E56F8"/>
    <w:rsid w:val="007E5A4C"/>
    <w:rsid w:val="007E6818"/>
    <w:rsid w:val="007E688E"/>
    <w:rsid w:val="007E6CC2"/>
    <w:rsid w:val="007E7191"/>
    <w:rsid w:val="007F101D"/>
    <w:rsid w:val="007F185E"/>
    <w:rsid w:val="007F2366"/>
    <w:rsid w:val="007F358F"/>
    <w:rsid w:val="007F395D"/>
    <w:rsid w:val="007F5358"/>
    <w:rsid w:val="007F5556"/>
    <w:rsid w:val="007F68BA"/>
    <w:rsid w:val="007FF4A3"/>
    <w:rsid w:val="00801105"/>
    <w:rsid w:val="008011A1"/>
    <w:rsid w:val="008013B5"/>
    <w:rsid w:val="00801487"/>
    <w:rsid w:val="0080270C"/>
    <w:rsid w:val="00803741"/>
    <w:rsid w:val="008041A2"/>
    <w:rsid w:val="00804F8A"/>
    <w:rsid w:val="0080546C"/>
    <w:rsid w:val="00805E20"/>
    <w:rsid w:val="008064F6"/>
    <w:rsid w:val="00810B06"/>
    <w:rsid w:val="00812083"/>
    <w:rsid w:val="00814044"/>
    <w:rsid w:val="00821560"/>
    <w:rsid w:val="00821C6D"/>
    <w:rsid w:val="008247D1"/>
    <w:rsid w:val="00830750"/>
    <w:rsid w:val="00831284"/>
    <w:rsid w:val="0083259D"/>
    <w:rsid w:val="008337CA"/>
    <w:rsid w:val="008339C5"/>
    <w:rsid w:val="00834813"/>
    <w:rsid w:val="00837021"/>
    <w:rsid w:val="0083705C"/>
    <w:rsid w:val="00840376"/>
    <w:rsid w:val="00841E2C"/>
    <w:rsid w:val="0084218B"/>
    <w:rsid w:val="008428BB"/>
    <w:rsid w:val="00843A2A"/>
    <w:rsid w:val="00845C88"/>
    <w:rsid w:val="008468B4"/>
    <w:rsid w:val="0084714B"/>
    <w:rsid w:val="00847460"/>
    <w:rsid w:val="00847661"/>
    <w:rsid w:val="00847CAE"/>
    <w:rsid w:val="008505A6"/>
    <w:rsid w:val="008509FA"/>
    <w:rsid w:val="00850DB2"/>
    <w:rsid w:val="00851277"/>
    <w:rsid w:val="008512D9"/>
    <w:rsid w:val="00851474"/>
    <w:rsid w:val="00853F13"/>
    <w:rsid w:val="0085411F"/>
    <w:rsid w:val="00854C2F"/>
    <w:rsid w:val="00856841"/>
    <w:rsid w:val="00857DEC"/>
    <w:rsid w:val="0086247A"/>
    <w:rsid w:val="00863189"/>
    <w:rsid w:val="00863D9C"/>
    <w:rsid w:val="008663AA"/>
    <w:rsid w:val="0086659E"/>
    <w:rsid w:val="008669A4"/>
    <w:rsid w:val="00870FAD"/>
    <w:rsid w:val="00871334"/>
    <w:rsid w:val="00871B66"/>
    <w:rsid w:val="008720D9"/>
    <w:rsid w:val="00873864"/>
    <w:rsid w:val="0087498A"/>
    <w:rsid w:val="00875BBD"/>
    <w:rsid w:val="0087604F"/>
    <w:rsid w:val="008769E9"/>
    <w:rsid w:val="00876B43"/>
    <w:rsid w:val="00876CAA"/>
    <w:rsid w:val="00877B9F"/>
    <w:rsid w:val="008811C2"/>
    <w:rsid w:val="008811FB"/>
    <w:rsid w:val="00881F40"/>
    <w:rsid w:val="0088261D"/>
    <w:rsid w:val="008826EA"/>
    <w:rsid w:val="00882764"/>
    <w:rsid w:val="00882912"/>
    <w:rsid w:val="0088356D"/>
    <w:rsid w:val="00883636"/>
    <w:rsid w:val="008856F6"/>
    <w:rsid w:val="0089231B"/>
    <w:rsid w:val="00892700"/>
    <w:rsid w:val="00892D4A"/>
    <w:rsid w:val="0089446D"/>
    <w:rsid w:val="00894E0E"/>
    <w:rsid w:val="008950E7"/>
    <w:rsid w:val="008973D3"/>
    <w:rsid w:val="00897F51"/>
    <w:rsid w:val="008A01F0"/>
    <w:rsid w:val="008A074A"/>
    <w:rsid w:val="008A098D"/>
    <w:rsid w:val="008A3126"/>
    <w:rsid w:val="008A5ACE"/>
    <w:rsid w:val="008B0815"/>
    <w:rsid w:val="008B2646"/>
    <w:rsid w:val="008B45F8"/>
    <w:rsid w:val="008B481F"/>
    <w:rsid w:val="008B4BCD"/>
    <w:rsid w:val="008C0460"/>
    <w:rsid w:val="008C1A31"/>
    <w:rsid w:val="008C21D6"/>
    <w:rsid w:val="008C5CD7"/>
    <w:rsid w:val="008C663D"/>
    <w:rsid w:val="008C74F5"/>
    <w:rsid w:val="008C7BCB"/>
    <w:rsid w:val="008D0A3B"/>
    <w:rsid w:val="008D0EEF"/>
    <w:rsid w:val="008D2824"/>
    <w:rsid w:val="008D38C4"/>
    <w:rsid w:val="008D4D72"/>
    <w:rsid w:val="008D502A"/>
    <w:rsid w:val="008D56FD"/>
    <w:rsid w:val="008D574D"/>
    <w:rsid w:val="008D6C4B"/>
    <w:rsid w:val="008D7902"/>
    <w:rsid w:val="008D7BE0"/>
    <w:rsid w:val="008E043E"/>
    <w:rsid w:val="008E09B1"/>
    <w:rsid w:val="008E0C73"/>
    <w:rsid w:val="008E13A9"/>
    <w:rsid w:val="008E154B"/>
    <w:rsid w:val="008E15EC"/>
    <w:rsid w:val="008E1979"/>
    <w:rsid w:val="008E22A6"/>
    <w:rsid w:val="008E29E0"/>
    <w:rsid w:val="008E5749"/>
    <w:rsid w:val="008E5F6C"/>
    <w:rsid w:val="008F1B90"/>
    <w:rsid w:val="008F523C"/>
    <w:rsid w:val="008F54F5"/>
    <w:rsid w:val="008F668F"/>
    <w:rsid w:val="00900770"/>
    <w:rsid w:val="009012E3"/>
    <w:rsid w:val="00901525"/>
    <w:rsid w:val="009021B6"/>
    <w:rsid w:val="009035E9"/>
    <w:rsid w:val="009046D5"/>
    <w:rsid w:val="00907F40"/>
    <w:rsid w:val="00911AC4"/>
    <w:rsid w:val="009131AD"/>
    <w:rsid w:val="009131DA"/>
    <w:rsid w:val="009132D5"/>
    <w:rsid w:val="00915CF6"/>
    <w:rsid w:val="00917AC1"/>
    <w:rsid w:val="00921DEA"/>
    <w:rsid w:val="009227A7"/>
    <w:rsid w:val="00923A2E"/>
    <w:rsid w:val="0092469E"/>
    <w:rsid w:val="00924C72"/>
    <w:rsid w:val="009266AB"/>
    <w:rsid w:val="00930541"/>
    <w:rsid w:val="00930D47"/>
    <w:rsid w:val="00930E2C"/>
    <w:rsid w:val="00931D18"/>
    <w:rsid w:val="009326D3"/>
    <w:rsid w:val="009333E1"/>
    <w:rsid w:val="00933AD1"/>
    <w:rsid w:val="00934797"/>
    <w:rsid w:val="00934CE0"/>
    <w:rsid w:val="00934F5D"/>
    <w:rsid w:val="00940073"/>
    <w:rsid w:val="009426BD"/>
    <w:rsid w:val="00943876"/>
    <w:rsid w:val="00951A77"/>
    <w:rsid w:val="009521A7"/>
    <w:rsid w:val="0095262C"/>
    <w:rsid w:val="00952768"/>
    <w:rsid w:val="009541B9"/>
    <w:rsid w:val="00954F2A"/>
    <w:rsid w:val="009550EF"/>
    <w:rsid w:val="009555AC"/>
    <w:rsid w:val="009578BD"/>
    <w:rsid w:val="00957B1A"/>
    <w:rsid w:val="0096155F"/>
    <w:rsid w:val="009622AA"/>
    <w:rsid w:val="00962711"/>
    <w:rsid w:val="00962BC0"/>
    <w:rsid w:val="00962E25"/>
    <w:rsid w:val="0096324F"/>
    <w:rsid w:val="009647F6"/>
    <w:rsid w:val="00965323"/>
    <w:rsid w:val="009653C2"/>
    <w:rsid w:val="009657C0"/>
    <w:rsid w:val="00965B85"/>
    <w:rsid w:val="0096639E"/>
    <w:rsid w:val="00966A4F"/>
    <w:rsid w:val="00966FFF"/>
    <w:rsid w:val="009672CB"/>
    <w:rsid w:val="00967B29"/>
    <w:rsid w:val="009747FF"/>
    <w:rsid w:val="00975D5D"/>
    <w:rsid w:val="00983832"/>
    <w:rsid w:val="009848A7"/>
    <w:rsid w:val="00987744"/>
    <w:rsid w:val="00987D4E"/>
    <w:rsid w:val="0098E60A"/>
    <w:rsid w:val="009920B6"/>
    <w:rsid w:val="00992245"/>
    <w:rsid w:val="00992946"/>
    <w:rsid w:val="009947A6"/>
    <w:rsid w:val="0099767E"/>
    <w:rsid w:val="00997A38"/>
    <w:rsid w:val="009A2377"/>
    <w:rsid w:val="009A4234"/>
    <w:rsid w:val="009A5F1D"/>
    <w:rsid w:val="009A6763"/>
    <w:rsid w:val="009A6D9B"/>
    <w:rsid w:val="009A74FD"/>
    <w:rsid w:val="009B0CDE"/>
    <w:rsid w:val="009B1889"/>
    <w:rsid w:val="009B1FEB"/>
    <w:rsid w:val="009B2483"/>
    <w:rsid w:val="009B308B"/>
    <w:rsid w:val="009B5A18"/>
    <w:rsid w:val="009B60FE"/>
    <w:rsid w:val="009B617E"/>
    <w:rsid w:val="009C07A7"/>
    <w:rsid w:val="009C1067"/>
    <w:rsid w:val="009C1DC8"/>
    <w:rsid w:val="009C22AB"/>
    <w:rsid w:val="009C3254"/>
    <w:rsid w:val="009C495A"/>
    <w:rsid w:val="009C57E4"/>
    <w:rsid w:val="009C5CBE"/>
    <w:rsid w:val="009C6775"/>
    <w:rsid w:val="009D3A80"/>
    <w:rsid w:val="009D53D3"/>
    <w:rsid w:val="009D66BA"/>
    <w:rsid w:val="009D6E66"/>
    <w:rsid w:val="009D718B"/>
    <w:rsid w:val="009D7A25"/>
    <w:rsid w:val="009E0041"/>
    <w:rsid w:val="009E0187"/>
    <w:rsid w:val="009E067B"/>
    <w:rsid w:val="009E0D8A"/>
    <w:rsid w:val="009E1DB4"/>
    <w:rsid w:val="009E1F49"/>
    <w:rsid w:val="009E53D0"/>
    <w:rsid w:val="009E6243"/>
    <w:rsid w:val="009E6278"/>
    <w:rsid w:val="009E7072"/>
    <w:rsid w:val="009F01A6"/>
    <w:rsid w:val="009F0680"/>
    <w:rsid w:val="009F0801"/>
    <w:rsid w:val="009F146E"/>
    <w:rsid w:val="009F234B"/>
    <w:rsid w:val="009F2AD1"/>
    <w:rsid w:val="009F3796"/>
    <w:rsid w:val="009F53C2"/>
    <w:rsid w:val="009F6EC5"/>
    <w:rsid w:val="009F6FAB"/>
    <w:rsid w:val="00A017C1"/>
    <w:rsid w:val="00A04BEE"/>
    <w:rsid w:val="00A05FE6"/>
    <w:rsid w:val="00A11AAF"/>
    <w:rsid w:val="00A154CC"/>
    <w:rsid w:val="00A15AE2"/>
    <w:rsid w:val="00A16863"/>
    <w:rsid w:val="00A16989"/>
    <w:rsid w:val="00A16B7A"/>
    <w:rsid w:val="00A17678"/>
    <w:rsid w:val="00A20379"/>
    <w:rsid w:val="00A20657"/>
    <w:rsid w:val="00A20C69"/>
    <w:rsid w:val="00A23592"/>
    <w:rsid w:val="00A24185"/>
    <w:rsid w:val="00A25241"/>
    <w:rsid w:val="00A25FE9"/>
    <w:rsid w:val="00A2668C"/>
    <w:rsid w:val="00A277EF"/>
    <w:rsid w:val="00A32C3C"/>
    <w:rsid w:val="00A335A1"/>
    <w:rsid w:val="00A3433C"/>
    <w:rsid w:val="00A34397"/>
    <w:rsid w:val="00A348FE"/>
    <w:rsid w:val="00A35519"/>
    <w:rsid w:val="00A368E6"/>
    <w:rsid w:val="00A37909"/>
    <w:rsid w:val="00A40BB0"/>
    <w:rsid w:val="00A418ED"/>
    <w:rsid w:val="00A42495"/>
    <w:rsid w:val="00A42566"/>
    <w:rsid w:val="00A42CF4"/>
    <w:rsid w:val="00A43287"/>
    <w:rsid w:val="00A448B9"/>
    <w:rsid w:val="00A44DAB"/>
    <w:rsid w:val="00A453DE"/>
    <w:rsid w:val="00A45BF9"/>
    <w:rsid w:val="00A468D1"/>
    <w:rsid w:val="00A5138B"/>
    <w:rsid w:val="00A51558"/>
    <w:rsid w:val="00A5206F"/>
    <w:rsid w:val="00A52223"/>
    <w:rsid w:val="00A5267B"/>
    <w:rsid w:val="00A531AE"/>
    <w:rsid w:val="00A531E7"/>
    <w:rsid w:val="00A532B1"/>
    <w:rsid w:val="00A5455B"/>
    <w:rsid w:val="00A548EC"/>
    <w:rsid w:val="00A54F63"/>
    <w:rsid w:val="00A55864"/>
    <w:rsid w:val="00A56FD9"/>
    <w:rsid w:val="00A572F6"/>
    <w:rsid w:val="00A60F66"/>
    <w:rsid w:val="00A61F8F"/>
    <w:rsid w:val="00A63076"/>
    <w:rsid w:val="00A63A45"/>
    <w:rsid w:val="00A64076"/>
    <w:rsid w:val="00A65498"/>
    <w:rsid w:val="00A65E06"/>
    <w:rsid w:val="00A672A3"/>
    <w:rsid w:val="00A67950"/>
    <w:rsid w:val="00A70E6A"/>
    <w:rsid w:val="00A71262"/>
    <w:rsid w:val="00A71EB2"/>
    <w:rsid w:val="00A72A15"/>
    <w:rsid w:val="00A744A9"/>
    <w:rsid w:val="00A7697F"/>
    <w:rsid w:val="00A76C5A"/>
    <w:rsid w:val="00A7730C"/>
    <w:rsid w:val="00A80442"/>
    <w:rsid w:val="00A80EDA"/>
    <w:rsid w:val="00A813C1"/>
    <w:rsid w:val="00A8361B"/>
    <w:rsid w:val="00A8395B"/>
    <w:rsid w:val="00A84968"/>
    <w:rsid w:val="00A84D1B"/>
    <w:rsid w:val="00A85239"/>
    <w:rsid w:val="00A853BB"/>
    <w:rsid w:val="00A8585F"/>
    <w:rsid w:val="00A858BD"/>
    <w:rsid w:val="00A86C0B"/>
    <w:rsid w:val="00A902D6"/>
    <w:rsid w:val="00A9129A"/>
    <w:rsid w:val="00A91EE8"/>
    <w:rsid w:val="00A9268A"/>
    <w:rsid w:val="00A93518"/>
    <w:rsid w:val="00A93F35"/>
    <w:rsid w:val="00A9416F"/>
    <w:rsid w:val="00A95119"/>
    <w:rsid w:val="00A9534D"/>
    <w:rsid w:val="00A95E09"/>
    <w:rsid w:val="00AA0EA7"/>
    <w:rsid w:val="00AA1E7D"/>
    <w:rsid w:val="00AA33EB"/>
    <w:rsid w:val="00AA4438"/>
    <w:rsid w:val="00AA4E01"/>
    <w:rsid w:val="00AA5C07"/>
    <w:rsid w:val="00AA5F5B"/>
    <w:rsid w:val="00AA69D8"/>
    <w:rsid w:val="00AA6EF4"/>
    <w:rsid w:val="00AA776B"/>
    <w:rsid w:val="00AA7F11"/>
    <w:rsid w:val="00AB0FE5"/>
    <w:rsid w:val="00AB15A1"/>
    <w:rsid w:val="00AB2D6C"/>
    <w:rsid w:val="00AB46D0"/>
    <w:rsid w:val="00AB4B06"/>
    <w:rsid w:val="00AC5183"/>
    <w:rsid w:val="00AC52E4"/>
    <w:rsid w:val="00AC599A"/>
    <w:rsid w:val="00AC7428"/>
    <w:rsid w:val="00AC7F15"/>
    <w:rsid w:val="00AD1E93"/>
    <w:rsid w:val="00AD200E"/>
    <w:rsid w:val="00AD27FC"/>
    <w:rsid w:val="00AD2D26"/>
    <w:rsid w:val="00AD3B81"/>
    <w:rsid w:val="00AD5ADF"/>
    <w:rsid w:val="00AD6A34"/>
    <w:rsid w:val="00AD6C49"/>
    <w:rsid w:val="00AD77E2"/>
    <w:rsid w:val="00AE1FB3"/>
    <w:rsid w:val="00AE3BF8"/>
    <w:rsid w:val="00AE5F40"/>
    <w:rsid w:val="00AE6773"/>
    <w:rsid w:val="00AE68BA"/>
    <w:rsid w:val="00AE7A2C"/>
    <w:rsid w:val="00AE7A8B"/>
    <w:rsid w:val="00AF039A"/>
    <w:rsid w:val="00AF05F4"/>
    <w:rsid w:val="00AF1779"/>
    <w:rsid w:val="00AF20B3"/>
    <w:rsid w:val="00AF2B23"/>
    <w:rsid w:val="00AF32C6"/>
    <w:rsid w:val="00AF3D0B"/>
    <w:rsid w:val="00AF4C79"/>
    <w:rsid w:val="00AF7223"/>
    <w:rsid w:val="00B0059D"/>
    <w:rsid w:val="00B0222C"/>
    <w:rsid w:val="00B0367D"/>
    <w:rsid w:val="00B048F6"/>
    <w:rsid w:val="00B04AB4"/>
    <w:rsid w:val="00B0603E"/>
    <w:rsid w:val="00B0627A"/>
    <w:rsid w:val="00B10BD3"/>
    <w:rsid w:val="00B11576"/>
    <w:rsid w:val="00B12AD0"/>
    <w:rsid w:val="00B12AEB"/>
    <w:rsid w:val="00B12B40"/>
    <w:rsid w:val="00B13BD0"/>
    <w:rsid w:val="00B14817"/>
    <w:rsid w:val="00B14C49"/>
    <w:rsid w:val="00B1750D"/>
    <w:rsid w:val="00B208DA"/>
    <w:rsid w:val="00B20C5E"/>
    <w:rsid w:val="00B20EC0"/>
    <w:rsid w:val="00B21503"/>
    <w:rsid w:val="00B2254B"/>
    <w:rsid w:val="00B2255F"/>
    <w:rsid w:val="00B22604"/>
    <w:rsid w:val="00B23709"/>
    <w:rsid w:val="00B25761"/>
    <w:rsid w:val="00B25DE9"/>
    <w:rsid w:val="00B26533"/>
    <w:rsid w:val="00B26CA3"/>
    <w:rsid w:val="00B27F65"/>
    <w:rsid w:val="00B30CC3"/>
    <w:rsid w:val="00B31459"/>
    <w:rsid w:val="00B31612"/>
    <w:rsid w:val="00B343A9"/>
    <w:rsid w:val="00B35927"/>
    <w:rsid w:val="00B35ABB"/>
    <w:rsid w:val="00B3641E"/>
    <w:rsid w:val="00B3651D"/>
    <w:rsid w:val="00B3717E"/>
    <w:rsid w:val="00B37191"/>
    <w:rsid w:val="00B40F80"/>
    <w:rsid w:val="00B41D02"/>
    <w:rsid w:val="00B42A13"/>
    <w:rsid w:val="00B430E2"/>
    <w:rsid w:val="00B44240"/>
    <w:rsid w:val="00B44BCC"/>
    <w:rsid w:val="00B4599C"/>
    <w:rsid w:val="00B46530"/>
    <w:rsid w:val="00B469F2"/>
    <w:rsid w:val="00B46D22"/>
    <w:rsid w:val="00B470B9"/>
    <w:rsid w:val="00B49879"/>
    <w:rsid w:val="00B5202A"/>
    <w:rsid w:val="00B5268D"/>
    <w:rsid w:val="00B52FA5"/>
    <w:rsid w:val="00B53262"/>
    <w:rsid w:val="00B5448E"/>
    <w:rsid w:val="00B54F28"/>
    <w:rsid w:val="00B57B63"/>
    <w:rsid w:val="00B6070A"/>
    <w:rsid w:val="00B607B9"/>
    <w:rsid w:val="00B607E5"/>
    <w:rsid w:val="00B614FF"/>
    <w:rsid w:val="00B61781"/>
    <w:rsid w:val="00B61B5A"/>
    <w:rsid w:val="00B62207"/>
    <w:rsid w:val="00B62C91"/>
    <w:rsid w:val="00B62E8E"/>
    <w:rsid w:val="00B65531"/>
    <w:rsid w:val="00B665E3"/>
    <w:rsid w:val="00B66855"/>
    <w:rsid w:val="00B72CD1"/>
    <w:rsid w:val="00B72EA0"/>
    <w:rsid w:val="00B73F05"/>
    <w:rsid w:val="00B73F33"/>
    <w:rsid w:val="00B7428A"/>
    <w:rsid w:val="00B755EA"/>
    <w:rsid w:val="00B771C3"/>
    <w:rsid w:val="00B77AC4"/>
    <w:rsid w:val="00B80A33"/>
    <w:rsid w:val="00B810DE"/>
    <w:rsid w:val="00B815B4"/>
    <w:rsid w:val="00B816C6"/>
    <w:rsid w:val="00B8222F"/>
    <w:rsid w:val="00B82E91"/>
    <w:rsid w:val="00B83339"/>
    <w:rsid w:val="00B84BBB"/>
    <w:rsid w:val="00B84F3B"/>
    <w:rsid w:val="00B85175"/>
    <w:rsid w:val="00B85813"/>
    <w:rsid w:val="00B85B6E"/>
    <w:rsid w:val="00B87128"/>
    <w:rsid w:val="00B900C7"/>
    <w:rsid w:val="00B90442"/>
    <w:rsid w:val="00B90707"/>
    <w:rsid w:val="00B9113E"/>
    <w:rsid w:val="00B91661"/>
    <w:rsid w:val="00B93219"/>
    <w:rsid w:val="00B94632"/>
    <w:rsid w:val="00B951E3"/>
    <w:rsid w:val="00B95CBC"/>
    <w:rsid w:val="00B977B9"/>
    <w:rsid w:val="00BA28AA"/>
    <w:rsid w:val="00BA2D78"/>
    <w:rsid w:val="00BA33CC"/>
    <w:rsid w:val="00BA42B2"/>
    <w:rsid w:val="00BA5AFB"/>
    <w:rsid w:val="00BA5D72"/>
    <w:rsid w:val="00BA76EE"/>
    <w:rsid w:val="00BB257F"/>
    <w:rsid w:val="00BB2B54"/>
    <w:rsid w:val="00BB2BAC"/>
    <w:rsid w:val="00BB2BEF"/>
    <w:rsid w:val="00BB385B"/>
    <w:rsid w:val="00BB55C6"/>
    <w:rsid w:val="00BB6BCE"/>
    <w:rsid w:val="00BB7FA1"/>
    <w:rsid w:val="00BBF3A2"/>
    <w:rsid w:val="00BC06AC"/>
    <w:rsid w:val="00BC0A40"/>
    <w:rsid w:val="00BC3E6E"/>
    <w:rsid w:val="00BC4A97"/>
    <w:rsid w:val="00BC5610"/>
    <w:rsid w:val="00BC63B9"/>
    <w:rsid w:val="00BD0D8F"/>
    <w:rsid w:val="00BD10B8"/>
    <w:rsid w:val="00BD4130"/>
    <w:rsid w:val="00BD53D5"/>
    <w:rsid w:val="00BD56C1"/>
    <w:rsid w:val="00BD65A0"/>
    <w:rsid w:val="00BD7C30"/>
    <w:rsid w:val="00BE0E97"/>
    <w:rsid w:val="00BE137D"/>
    <w:rsid w:val="00BE2174"/>
    <w:rsid w:val="00BE3602"/>
    <w:rsid w:val="00BE37F3"/>
    <w:rsid w:val="00BE43B5"/>
    <w:rsid w:val="00BE5071"/>
    <w:rsid w:val="00BE66C1"/>
    <w:rsid w:val="00BF0235"/>
    <w:rsid w:val="00BF168E"/>
    <w:rsid w:val="00BF1A61"/>
    <w:rsid w:val="00BF2CB6"/>
    <w:rsid w:val="00BF42D8"/>
    <w:rsid w:val="00BF4A7B"/>
    <w:rsid w:val="00BF4B87"/>
    <w:rsid w:val="00BF4D58"/>
    <w:rsid w:val="00BF4E35"/>
    <w:rsid w:val="00BF5F7D"/>
    <w:rsid w:val="00BF617E"/>
    <w:rsid w:val="00BF686E"/>
    <w:rsid w:val="00BF7A9D"/>
    <w:rsid w:val="00C001DD"/>
    <w:rsid w:val="00C030BD"/>
    <w:rsid w:val="00C0434B"/>
    <w:rsid w:val="00C04475"/>
    <w:rsid w:val="00C06592"/>
    <w:rsid w:val="00C0758D"/>
    <w:rsid w:val="00C0792A"/>
    <w:rsid w:val="00C07C03"/>
    <w:rsid w:val="00C07F89"/>
    <w:rsid w:val="00C10747"/>
    <w:rsid w:val="00C10910"/>
    <w:rsid w:val="00C10CC7"/>
    <w:rsid w:val="00C13CDA"/>
    <w:rsid w:val="00C13EB8"/>
    <w:rsid w:val="00C147AA"/>
    <w:rsid w:val="00C15E76"/>
    <w:rsid w:val="00C1650A"/>
    <w:rsid w:val="00C1657B"/>
    <w:rsid w:val="00C16739"/>
    <w:rsid w:val="00C1682F"/>
    <w:rsid w:val="00C16AE0"/>
    <w:rsid w:val="00C170F5"/>
    <w:rsid w:val="00C17319"/>
    <w:rsid w:val="00C1744C"/>
    <w:rsid w:val="00C175DA"/>
    <w:rsid w:val="00C177F9"/>
    <w:rsid w:val="00C20CB0"/>
    <w:rsid w:val="00C27753"/>
    <w:rsid w:val="00C27A50"/>
    <w:rsid w:val="00C27C6D"/>
    <w:rsid w:val="00C31084"/>
    <w:rsid w:val="00C32D2F"/>
    <w:rsid w:val="00C33212"/>
    <w:rsid w:val="00C337D7"/>
    <w:rsid w:val="00C35C07"/>
    <w:rsid w:val="00C35EE4"/>
    <w:rsid w:val="00C36A5A"/>
    <w:rsid w:val="00C379A9"/>
    <w:rsid w:val="00C40704"/>
    <w:rsid w:val="00C411DD"/>
    <w:rsid w:val="00C41245"/>
    <w:rsid w:val="00C41393"/>
    <w:rsid w:val="00C41831"/>
    <w:rsid w:val="00C4397C"/>
    <w:rsid w:val="00C4433A"/>
    <w:rsid w:val="00C44CA9"/>
    <w:rsid w:val="00C46BC0"/>
    <w:rsid w:val="00C47410"/>
    <w:rsid w:val="00C50BED"/>
    <w:rsid w:val="00C50D13"/>
    <w:rsid w:val="00C51007"/>
    <w:rsid w:val="00C51670"/>
    <w:rsid w:val="00C51A5E"/>
    <w:rsid w:val="00C53115"/>
    <w:rsid w:val="00C53B25"/>
    <w:rsid w:val="00C546D9"/>
    <w:rsid w:val="00C5511F"/>
    <w:rsid w:val="00C5543E"/>
    <w:rsid w:val="00C56729"/>
    <w:rsid w:val="00C57379"/>
    <w:rsid w:val="00C57F8D"/>
    <w:rsid w:val="00C61043"/>
    <w:rsid w:val="00C61F70"/>
    <w:rsid w:val="00C621B8"/>
    <w:rsid w:val="00C62792"/>
    <w:rsid w:val="00C62B42"/>
    <w:rsid w:val="00C63486"/>
    <w:rsid w:val="00C63A78"/>
    <w:rsid w:val="00C660DB"/>
    <w:rsid w:val="00C71A2F"/>
    <w:rsid w:val="00C71A7B"/>
    <w:rsid w:val="00C723FD"/>
    <w:rsid w:val="00C725EC"/>
    <w:rsid w:val="00C72C53"/>
    <w:rsid w:val="00C7385C"/>
    <w:rsid w:val="00C74873"/>
    <w:rsid w:val="00C761C0"/>
    <w:rsid w:val="00C77750"/>
    <w:rsid w:val="00C77915"/>
    <w:rsid w:val="00C82952"/>
    <w:rsid w:val="00C82C2F"/>
    <w:rsid w:val="00C82C3A"/>
    <w:rsid w:val="00C83956"/>
    <w:rsid w:val="00C84A05"/>
    <w:rsid w:val="00C84C12"/>
    <w:rsid w:val="00C85490"/>
    <w:rsid w:val="00C87361"/>
    <w:rsid w:val="00C87C3C"/>
    <w:rsid w:val="00C87D1A"/>
    <w:rsid w:val="00C90253"/>
    <w:rsid w:val="00C90518"/>
    <w:rsid w:val="00C91BD4"/>
    <w:rsid w:val="00C927B6"/>
    <w:rsid w:val="00C936F6"/>
    <w:rsid w:val="00C94D86"/>
    <w:rsid w:val="00C96B09"/>
    <w:rsid w:val="00C96CA9"/>
    <w:rsid w:val="00C9ECC5"/>
    <w:rsid w:val="00CA0D67"/>
    <w:rsid w:val="00CA321B"/>
    <w:rsid w:val="00CA344D"/>
    <w:rsid w:val="00CA597C"/>
    <w:rsid w:val="00CA6455"/>
    <w:rsid w:val="00CA650E"/>
    <w:rsid w:val="00CA7C53"/>
    <w:rsid w:val="00CA7F09"/>
    <w:rsid w:val="00CB1CB1"/>
    <w:rsid w:val="00CB66C4"/>
    <w:rsid w:val="00CB7827"/>
    <w:rsid w:val="00CB78D1"/>
    <w:rsid w:val="00CB7E2D"/>
    <w:rsid w:val="00CC0C34"/>
    <w:rsid w:val="00CC2A12"/>
    <w:rsid w:val="00CC2BF9"/>
    <w:rsid w:val="00CC2DB5"/>
    <w:rsid w:val="00CC4861"/>
    <w:rsid w:val="00CC4D92"/>
    <w:rsid w:val="00CC5181"/>
    <w:rsid w:val="00CC5F1F"/>
    <w:rsid w:val="00CC6474"/>
    <w:rsid w:val="00CD11D5"/>
    <w:rsid w:val="00CD21F7"/>
    <w:rsid w:val="00CD2EAE"/>
    <w:rsid w:val="00CD59A8"/>
    <w:rsid w:val="00CD6ECB"/>
    <w:rsid w:val="00CD7133"/>
    <w:rsid w:val="00CD783E"/>
    <w:rsid w:val="00CD7CCF"/>
    <w:rsid w:val="00CE17AA"/>
    <w:rsid w:val="00CE37DF"/>
    <w:rsid w:val="00CE3AEE"/>
    <w:rsid w:val="00CE63A2"/>
    <w:rsid w:val="00CE7AD6"/>
    <w:rsid w:val="00CF020E"/>
    <w:rsid w:val="00CF0FAA"/>
    <w:rsid w:val="00CF140E"/>
    <w:rsid w:val="00CF1F37"/>
    <w:rsid w:val="00CF29FA"/>
    <w:rsid w:val="00CF35D1"/>
    <w:rsid w:val="00CF4640"/>
    <w:rsid w:val="00CF47A8"/>
    <w:rsid w:val="00CF5E99"/>
    <w:rsid w:val="00CF6125"/>
    <w:rsid w:val="00D01161"/>
    <w:rsid w:val="00D01210"/>
    <w:rsid w:val="00D042A2"/>
    <w:rsid w:val="00D047AD"/>
    <w:rsid w:val="00D05464"/>
    <w:rsid w:val="00D05B55"/>
    <w:rsid w:val="00D0638B"/>
    <w:rsid w:val="00D1066E"/>
    <w:rsid w:val="00D10A7A"/>
    <w:rsid w:val="00D10AA5"/>
    <w:rsid w:val="00D10B7E"/>
    <w:rsid w:val="00D118A2"/>
    <w:rsid w:val="00D12489"/>
    <w:rsid w:val="00D136D6"/>
    <w:rsid w:val="00D13A0D"/>
    <w:rsid w:val="00D13D8B"/>
    <w:rsid w:val="00D1491C"/>
    <w:rsid w:val="00D153D2"/>
    <w:rsid w:val="00D1616C"/>
    <w:rsid w:val="00D17284"/>
    <w:rsid w:val="00D17497"/>
    <w:rsid w:val="00D20880"/>
    <w:rsid w:val="00D22991"/>
    <w:rsid w:val="00D233C4"/>
    <w:rsid w:val="00D237C0"/>
    <w:rsid w:val="00D23D01"/>
    <w:rsid w:val="00D23D4C"/>
    <w:rsid w:val="00D24B2A"/>
    <w:rsid w:val="00D24ED7"/>
    <w:rsid w:val="00D25B13"/>
    <w:rsid w:val="00D25E47"/>
    <w:rsid w:val="00D262C5"/>
    <w:rsid w:val="00D26ED0"/>
    <w:rsid w:val="00D277FD"/>
    <w:rsid w:val="00D27DC7"/>
    <w:rsid w:val="00D302EA"/>
    <w:rsid w:val="00D30C2F"/>
    <w:rsid w:val="00D31C79"/>
    <w:rsid w:val="00D31F6A"/>
    <w:rsid w:val="00D33BBB"/>
    <w:rsid w:val="00D34D63"/>
    <w:rsid w:val="00D34F10"/>
    <w:rsid w:val="00D353CF"/>
    <w:rsid w:val="00D35A19"/>
    <w:rsid w:val="00D3679C"/>
    <w:rsid w:val="00D37C23"/>
    <w:rsid w:val="00D417D1"/>
    <w:rsid w:val="00D428EF"/>
    <w:rsid w:val="00D42FE5"/>
    <w:rsid w:val="00D43675"/>
    <w:rsid w:val="00D44A12"/>
    <w:rsid w:val="00D4547C"/>
    <w:rsid w:val="00D45A2A"/>
    <w:rsid w:val="00D466DD"/>
    <w:rsid w:val="00D470D3"/>
    <w:rsid w:val="00D504A0"/>
    <w:rsid w:val="00D50F31"/>
    <w:rsid w:val="00D51F8B"/>
    <w:rsid w:val="00D52B06"/>
    <w:rsid w:val="00D53090"/>
    <w:rsid w:val="00D53B66"/>
    <w:rsid w:val="00D53DED"/>
    <w:rsid w:val="00D56117"/>
    <w:rsid w:val="00D56560"/>
    <w:rsid w:val="00D576CD"/>
    <w:rsid w:val="00D57F7C"/>
    <w:rsid w:val="00D60C1B"/>
    <w:rsid w:val="00D6299F"/>
    <w:rsid w:val="00D650F4"/>
    <w:rsid w:val="00D65CB1"/>
    <w:rsid w:val="00D660C1"/>
    <w:rsid w:val="00D66D7A"/>
    <w:rsid w:val="00D67768"/>
    <w:rsid w:val="00D71C45"/>
    <w:rsid w:val="00D72569"/>
    <w:rsid w:val="00D74B5A"/>
    <w:rsid w:val="00D7545A"/>
    <w:rsid w:val="00D77145"/>
    <w:rsid w:val="00D77D15"/>
    <w:rsid w:val="00D80827"/>
    <w:rsid w:val="00D82B6B"/>
    <w:rsid w:val="00D83E26"/>
    <w:rsid w:val="00D84ED3"/>
    <w:rsid w:val="00D861D4"/>
    <w:rsid w:val="00D86DA9"/>
    <w:rsid w:val="00D9059D"/>
    <w:rsid w:val="00D9124D"/>
    <w:rsid w:val="00D91974"/>
    <w:rsid w:val="00D92A35"/>
    <w:rsid w:val="00D9300C"/>
    <w:rsid w:val="00D93B2E"/>
    <w:rsid w:val="00D93FD7"/>
    <w:rsid w:val="00D95C10"/>
    <w:rsid w:val="00DA005B"/>
    <w:rsid w:val="00DA0AB5"/>
    <w:rsid w:val="00DA0C1A"/>
    <w:rsid w:val="00DA1F5F"/>
    <w:rsid w:val="00DA3483"/>
    <w:rsid w:val="00DA35FC"/>
    <w:rsid w:val="00DA5DC7"/>
    <w:rsid w:val="00DA6D1F"/>
    <w:rsid w:val="00DA7CC8"/>
    <w:rsid w:val="00DB0234"/>
    <w:rsid w:val="00DB25FE"/>
    <w:rsid w:val="00DB2C1C"/>
    <w:rsid w:val="00DB517E"/>
    <w:rsid w:val="00DB73A0"/>
    <w:rsid w:val="00DC1273"/>
    <w:rsid w:val="00DC18D8"/>
    <w:rsid w:val="00DC2BC3"/>
    <w:rsid w:val="00DC3132"/>
    <w:rsid w:val="00DC3677"/>
    <w:rsid w:val="00DC38DB"/>
    <w:rsid w:val="00DC426C"/>
    <w:rsid w:val="00DC4F74"/>
    <w:rsid w:val="00DC5AC0"/>
    <w:rsid w:val="00DC5C8E"/>
    <w:rsid w:val="00DD0268"/>
    <w:rsid w:val="00DD0FBD"/>
    <w:rsid w:val="00DD2126"/>
    <w:rsid w:val="00DD2ED8"/>
    <w:rsid w:val="00DD3628"/>
    <w:rsid w:val="00DD38C2"/>
    <w:rsid w:val="00DD486F"/>
    <w:rsid w:val="00DD5F99"/>
    <w:rsid w:val="00DD664D"/>
    <w:rsid w:val="00DD7295"/>
    <w:rsid w:val="00DD7EFA"/>
    <w:rsid w:val="00DD7F3A"/>
    <w:rsid w:val="00DE0187"/>
    <w:rsid w:val="00DE0AF0"/>
    <w:rsid w:val="00DE10F6"/>
    <w:rsid w:val="00DE235D"/>
    <w:rsid w:val="00DE249E"/>
    <w:rsid w:val="00DE3288"/>
    <w:rsid w:val="00DE5267"/>
    <w:rsid w:val="00DE60CC"/>
    <w:rsid w:val="00DE753B"/>
    <w:rsid w:val="00DF0A93"/>
    <w:rsid w:val="00DF0D85"/>
    <w:rsid w:val="00DF0F00"/>
    <w:rsid w:val="00DF18B2"/>
    <w:rsid w:val="00DF2938"/>
    <w:rsid w:val="00DF2C3A"/>
    <w:rsid w:val="00DF309F"/>
    <w:rsid w:val="00DF4C1D"/>
    <w:rsid w:val="00DF6721"/>
    <w:rsid w:val="00DF6863"/>
    <w:rsid w:val="00E000D3"/>
    <w:rsid w:val="00E00882"/>
    <w:rsid w:val="00E00ABE"/>
    <w:rsid w:val="00E00CA1"/>
    <w:rsid w:val="00E01253"/>
    <w:rsid w:val="00E01409"/>
    <w:rsid w:val="00E02338"/>
    <w:rsid w:val="00E02F59"/>
    <w:rsid w:val="00E03388"/>
    <w:rsid w:val="00E034AB"/>
    <w:rsid w:val="00E046EF"/>
    <w:rsid w:val="00E077D1"/>
    <w:rsid w:val="00E10A7C"/>
    <w:rsid w:val="00E113AB"/>
    <w:rsid w:val="00E11FC9"/>
    <w:rsid w:val="00E143FD"/>
    <w:rsid w:val="00E14A3B"/>
    <w:rsid w:val="00E163D7"/>
    <w:rsid w:val="00E2062F"/>
    <w:rsid w:val="00E2094E"/>
    <w:rsid w:val="00E212EB"/>
    <w:rsid w:val="00E21A37"/>
    <w:rsid w:val="00E22462"/>
    <w:rsid w:val="00E22DDB"/>
    <w:rsid w:val="00E232ED"/>
    <w:rsid w:val="00E24255"/>
    <w:rsid w:val="00E26B34"/>
    <w:rsid w:val="00E2741C"/>
    <w:rsid w:val="00E3013A"/>
    <w:rsid w:val="00E31460"/>
    <w:rsid w:val="00E31E2B"/>
    <w:rsid w:val="00E32899"/>
    <w:rsid w:val="00E32987"/>
    <w:rsid w:val="00E332AA"/>
    <w:rsid w:val="00E349E2"/>
    <w:rsid w:val="00E3548D"/>
    <w:rsid w:val="00E35689"/>
    <w:rsid w:val="00E35843"/>
    <w:rsid w:val="00E3730A"/>
    <w:rsid w:val="00E40F1E"/>
    <w:rsid w:val="00E4203A"/>
    <w:rsid w:val="00E4245A"/>
    <w:rsid w:val="00E435A6"/>
    <w:rsid w:val="00E44A4D"/>
    <w:rsid w:val="00E5014D"/>
    <w:rsid w:val="00E50357"/>
    <w:rsid w:val="00E50E9B"/>
    <w:rsid w:val="00E51B41"/>
    <w:rsid w:val="00E53392"/>
    <w:rsid w:val="00E5367E"/>
    <w:rsid w:val="00E54225"/>
    <w:rsid w:val="00E55D4D"/>
    <w:rsid w:val="00E56100"/>
    <w:rsid w:val="00E56302"/>
    <w:rsid w:val="00E56BBE"/>
    <w:rsid w:val="00E576BB"/>
    <w:rsid w:val="00E609B3"/>
    <w:rsid w:val="00E61CE0"/>
    <w:rsid w:val="00E62D51"/>
    <w:rsid w:val="00E633B7"/>
    <w:rsid w:val="00E6663E"/>
    <w:rsid w:val="00E6687F"/>
    <w:rsid w:val="00E67590"/>
    <w:rsid w:val="00E6785D"/>
    <w:rsid w:val="00E7038E"/>
    <w:rsid w:val="00E718DA"/>
    <w:rsid w:val="00E71AC5"/>
    <w:rsid w:val="00E73BEE"/>
    <w:rsid w:val="00E74B16"/>
    <w:rsid w:val="00E74B8A"/>
    <w:rsid w:val="00E74FB3"/>
    <w:rsid w:val="00E76303"/>
    <w:rsid w:val="00E7721C"/>
    <w:rsid w:val="00E80B33"/>
    <w:rsid w:val="00E80C1A"/>
    <w:rsid w:val="00E812CD"/>
    <w:rsid w:val="00E81371"/>
    <w:rsid w:val="00E8243A"/>
    <w:rsid w:val="00E82B2C"/>
    <w:rsid w:val="00E83028"/>
    <w:rsid w:val="00E83AD2"/>
    <w:rsid w:val="00E83E52"/>
    <w:rsid w:val="00E842F1"/>
    <w:rsid w:val="00E84E43"/>
    <w:rsid w:val="00E86EFC"/>
    <w:rsid w:val="00E873E5"/>
    <w:rsid w:val="00E87763"/>
    <w:rsid w:val="00E87A00"/>
    <w:rsid w:val="00E94DCD"/>
    <w:rsid w:val="00E9531E"/>
    <w:rsid w:val="00E96173"/>
    <w:rsid w:val="00E96F60"/>
    <w:rsid w:val="00EA0AB6"/>
    <w:rsid w:val="00EA18EA"/>
    <w:rsid w:val="00EA1E89"/>
    <w:rsid w:val="00EA24D6"/>
    <w:rsid w:val="00EA2EBD"/>
    <w:rsid w:val="00EA305E"/>
    <w:rsid w:val="00EA3312"/>
    <w:rsid w:val="00EA3699"/>
    <w:rsid w:val="00EA423B"/>
    <w:rsid w:val="00EA5688"/>
    <w:rsid w:val="00EA6B47"/>
    <w:rsid w:val="00EA6DC0"/>
    <w:rsid w:val="00EA79F5"/>
    <w:rsid w:val="00EB0B5C"/>
    <w:rsid w:val="00EB0EDB"/>
    <w:rsid w:val="00EB228E"/>
    <w:rsid w:val="00EB3718"/>
    <w:rsid w:val="00EB3949"/>
    <w:rsid w:val="00EB3F10"/>
    <w:rsid w:val="00EB420E"/>
    <w:rsid w:val="00EB5093"/>
    <w:rsid w:val="00EC0132"/>
    <w:rsid w:val="00EC0DFD"/>
    <w:rsid w:val="00EC0E19"/>
    <w:rsid w:val="00EC37D6"/>
    <w:rsid w:val="00EC4FDD"/>
    <w:rsid w:val="00ED1938"/>
    <w:rsid w:val="00ED1FC8"/>
    <w:rsid w:val="00ED2D38"/>
    <w:rsid w:val="00ED3218"/>
    <w:rsid w:val="00ED5751"/>
    <w:rsid w:val="00ED645C"/>
    <w:rsid w:val="00ED65F2"/>
    <w:rsid w:val="00ED6803"/>
    <w:rsid w:val="00ED7745"/>
    <w:rsid w:val="00EE174B"/>
    <w:rsid w:val="00EE3358"/>
    <w:rsid w:val="00EE3824"/>
    <w:rsid w:val="00EE3983"/>
    <w:rsid w:val="00EE44F2"/>
    <w:rsid w:val="00EE554C"/>
    <w:rsid w:val="00EE66FA"/>
    <w:rsid w:val="00EE6B7A"/>
    <w:rsid w:val="00EE6EE9"/>
    <w:rsid w:val="00EE7EA9"/>
    <w:rsid w:val="00EF0C6D"/>
    <w:rsid w:val="00EF12BE"/>
    <w:rsid w:val="00EF12F6"/>
    <w:rsid w:val="00EF2055"/>
    <w:rsid w:val="00EF25B9"/>
    <w:rsid w:val="00EF332F"/>
    <w:rsid w:val="00EF4244"/>
    <w:rsid w:val="00EF63E0"/>
    <w:rsid w:val="00EF6F0C"/>
    <w:rsid w:val="00EF708D"/>
    <w:rsid w:val="00EF7373"/>
    <w:rsid w:val="00F0010F"/>
    <w:rsid w:val="00F01B9E"/>
    <w:rsid w:val="00F037C3"/>
    <w:rsid w:val="00F048F7"/>
    <w:rsid w:val="00F04A15"/>
    <w:rsid w:val="00F04ECA"/>
    <w:rsid w:val="00F05AE4"/>
    <w:rsid w:val="00F061C7"/>
    <w:rsid w:val="00F06EAB"/>
    <w:rsid w:val="00F06F19"/>
    <w:rsid w:val="00F06FA1"/>
    <w:rsid w:val="00F10393"/>
    <w:rsid w:val="00F1172C"/>
    <w:rsid w:val="00F11EEA"/>
    <w:rsid w:val="00F13DEA"/>
    <w:rsid w:val="00F165FC"/>
    <w:rsid w:val="00F1750E"/>
    <w:rsid w:val="00F21CBC"/>
    <w:rsid w:val="00F224D0"/>
    <w:rsid w:val="00F22D74"/>
    <w:rsid w:val="00F234D0"/>
    <w:rsid w:val="00F23DCE"/>
    <w:rsid w:val="00F24209"/>
    <w:rsid w:val="00F2559D"/>
    <w:rsid w:val="00F25FE7"/>
    <w:rsid w:val="00F27F44"/>
    <w:rsid w:val="00F3082A"/>
    <w:rsid w:val="00F30DC1"/>
    <w:rsid w:val="00F32145"/>
    <w:rsid w:val="00F32614"/>
    <w:rsid w:val="00F33184"/>
    <w:rsid w:val="00F336AA"/>
    <w:rsid w:val="00F34C72"/>
    <w:rsid w:val="00F36C5C"/>
    <w:rsid w:val="00F37277"/>
    <w:rsid w:val="00F4013D"/>
    <w:rsid w:val="00F410BF"/>
    <w:rsid w:val="00F41375"/>
    <w:rsid w:val="00F41952"/>
    <w:rsid w:val="00F4214C"/>
    <w:rsid w:val="00F42DDB"/>
    <w:rsid w:val="00F43DCD"/>
    <w:rsid w:val="00F4451E"/>
    <w:rsid w:val="00F446E7"/>
    <w:rsid w:val="00F462E2"/>
    <w:rsid w:val="00F50BAE"/>
    <w:rsid w:val="00F5150F"/>
    <w:rsid w:val="00F52D4B"/>
    <w:rsid w:val="00F53940"/>
    <w:rsid w:val="00F54489"/>
    <w:rsid w:val="00F544CB"/>
    <w:rsid w:val="00F55A5F"/>
    <w:rsid w:val="00F570BD"/>
    <w:rsid w:val="00F57369"/>
    <w:rsid w:val="00F57A4C"/>
    <w:rsid w:val="00F57BD3"/>
    <w:rsid w:val="00F6148B"/>
    <w:rsid w:val="00F62B9A"/>
    <w:rsid w:val="00F656E7"/>
    <w:rsid w:val="00F65E70"/>
    <w:rsid w:val="00F663DD"/>
    <w:rsid w:val="00F66F1D"/>
    <w:rsid w:val="00F707E6"/>
    <w:rsid w:val="00F70E8C"/>
    <w:rsid w:val="00F710FA"/>
    <w:rsid w:val="00F71206"/>
    <w:rsid w:val="00F72193"/>
    <w:rsid w:val="00F72694"/>
    <w:rsid w:val="00F72EAE"/>
    <w:rsid w:val="00F73440"/>
    <w:rsid w:val="00F734D5"/>
    <w:rsid w:val="00F745A5"/>
    <w:rsid w:val="00F749AF"/>
    <w:rsid w:val="00F750AE"/>
    <w:rsid w:val="00F758BA"/>
    <w:rsid w:val="00F76C58"/>
    <w:rsid w:val="00F76E4C"/>
    <w:rsid w:val="00F77378"/>
    <w:rsid w:val="00F7740B"/>
    <w:rsid w:val="00F774FE"/>
    <w:rsid w:val="00F80E3F"/>
    <w:rsid w:val="00F82E61"/>
    <w:rsid w:val="00F83C1E"/>
    <w:rsid w:val="00F83FE5"/>
    <w:rsid w:val="00F84340"/>
    <w:rsid w:val="00F84ADE"/>
    <w:rsid w:val="00F8677F"/>
    <w:rsid w:val="00F878BA"/>
    <w:rsid w:val="00F9011F"/>
    <w:rsid w:val="00F90C49"/>
    <w:rsid w:val="00F91F82"/>
    <w:rsid w:val="00F94B66"/>
    <w:rsid w:val="00F95CFE"/>
    <w:rsid w:val="00F96A3C"/>
    <w:rsid w:val="00F96B9C"/>
    <w:rsid w:val="00F96CB9"/>
    <w:rsid w:val="00F97ED3"/>
    <w:rsid w:val="00FA03A2"/>
    <w:rsid w:val="00FA091C"/>
    <w:rsid w:val="00FA0C66"/>
    <w:rsid w:val="00FA1738"/>
    <w:rsid w:val="00FA1C79"/>
    <w:rsid w:val="00FA42A6"/>
    <w:rsid w:val="00FA4458"/>
    <w:rsid w:val="00FA4E84"/>
    <w:rsid w:val="00FA5CBC"/>
    <w:rsid w:val="00FA5E96"/>
    <w:rsid w:val="00FA62E0"/>
    <w:rsid w:val="00FA6568"/>
    <w:rsid w:val="00FA659B"/>
    <w:rsid w:val="00FA67C1"/>
    <w:rsid w:val="00FB0DAD"/>
    <w:rsid w:val="00FB295F"/>
    <w:rsid w:val="00FB2C3C"/>
    <w:rsid w:val="00FB2C5C"/>
    <w:rsid w:val="00FB531A"/>
    <w:rsid w:val="00FB7AC4"/>
    <w:rsid w:val="00FB7EDC"/>
    <w:rsid w:val="00FC0511"/>
    <w:rsid w:val="00FC0950"/>
    <w:rsid w:val="00FC0FCC"/>
    <w:rsid w:val="00FC56B2"/>
    <w:rsid w:val="00FC5850"/>
    <w:rsid w:val="00FC611C"/>
    <w:rsid w:val="00FC6E94"/>
    <w:rsid w:val="00FC7330"/>
    <w:rsid w:val="00FD00FB"/>
    <w:rsid w:val="00FD01B6"/>
    <w:rsid w:val="00FD239F"/>
    <w:rsid w:val="00FD2641"/>
    <w:rsid w:val="00FD35E7"/>
    <w:rsid w:val="00FD3B10"/>
    <w:rsid w:val="00FD3B3F"/>
    <w:rsid w:val="00FD4C3C"/>
    <w:rsid w:val="00FD7023"/>
    <w:rsid w:val="00FE058B"/>
    <w:rsid w:val="00FE1093"/>
    <w:rsid w:val="00FE1287"/>
    <w:rsid w:val="00FE2707"/>
    <w:rsid w:val="00FE71E1"/>
    <w:rsid w:val="00FE79CD"/>
    <w:rsid w:val="00FF22FE"/>
    <w:rsid w:val="00FF234E"/>
    <w:rsid w:val="00FF23CB"/>
    <w:rsid w:val="00FF2543"/>
    <w:rsid w:val="00FF30D9"/>
    <w:rsid w:val="00FF3F54"/>
    <w:rsid w:val="00FF498C"/>
    <w:rsid w:val="00FF59A1"/>
    <w:rsid w:val="00FF6336"/>
    <w:rsid w:val="01050181"/>
    <w:rsid w:val="0124EBEC"/>
    <w:rsid w:val="01311B51"/>
    <w:rsid w:val="01329AC5"/>
    <w:rsid w:val="0150C322"/>
    <w:rsid w:val="015869E9"/>
    <w:rsid w:val="016E3FEA"/>
    <w:rsid w:val="017F1157"/>
    <w:rsid w:val="0198D6CD"/>
    <w:rsid w:val="019D9594"/>
    <w:rsid w:val="01A72728"/>
    <w:rsid w:val="01D19554"/>
    <w:rsid w:val="01E328BC"/>
    <w:rsid w:val="01F7C5C9"/>
    <w:rsid w:val="01FB2551"/>
    <w:rsid w:val="021B4E73"/>
    <w:rsid w:val="023DB160"/>
    <w:rsid w:val="024BA4C5"/>
    <w:rsid w:val="0257D19B"/>
    <w:rsid w:val="0277A641"/>
    <w:rsid w:val="0292FDA5"/>
    <w:rsid w:val="02B4D420"/>
    <w:rsid w:val="02B7EA4F"/>
    <w:rsid w:val="02C89D0A"/>
    <w:rsid w:val="02CA43DB"/>
    <w:rsid w:val="02D58E75"/>
    <w:rsid w:val="02E40536"/>
    <w:rsid w:val="02F607F9"/>
    <w:rsid w:val="02F8FC04"/>
    <w:rsid w:val="02FD0196"/>
    <w:rsid w:val="0314D2FB"/>
    <w:rsid w:val="03214CD4"/>
    <w:rsid w:val="0342EF39"/>
    <w:rsid w:val="035DD1EC"/>
    <w:rsid w:val="035FC75F"/>
    <w:rsid w:val="0376D0B8"/>
    <w:rsid w:val="037A8E95"/>
    <w:rsid w:val="03817B4F"/>
    <w:rsid w:val="038C5699"/>
    <w:rsid w:val="038D5CD4"/>
    <w:rsid w:val="0395F636"/>
    <w:rsid w:val="03A09667"/>
    <w:rsid w:val="03AF9719"/>
    <w:rsid w:val="03B753FD"/>
    <w:rsid w:val="03BF11D3"/>
    <w:rsid w:val="03C086E9"/>
    <w:rsid w:val="03D620C0"/>
    <w:rsid w:val="03DA9441"/>
    <w:rsid w:val="03EDEFC0"/>
    <w:rsid w:val="03FDA2E1"/>
    <w:rsid w:val="0401DCED"/>
    <w:rsid w:val="040C567B"/>
    <w:rsid w:val="0410F24A"/>
    <w:rsid w:val="04179E14"/>
    <w:rsid w:val="041F9201"/>
    <w:rsid w:val="0424C0C5"/>
    <w:rsid w:val="04251A79"/>
    <w:rsid w:val="0435933A"/>
    <w:rsid w:val="043F5D5D"/>
    <w:rsid w:val="044117EA"/>
    <w:rsid w:val="044A7322"/>
    <w:rsid w:val="044B7A69"/>
    <w:rsid w:val="045458E9"/>
    <w:rsid w:val="04702070"/>
    <w:rsid w:val="0476C2C9"/>
    <w:rsid w:val="048F7A69"/>
    <w:rsid w:val="04CFCB1A"/>
    <w:rsid w:val="04E24205"/>
    <w:rsid w:val="04EB8314"/>
    <w:rsid w:val="04FEEB4B"/>
    <w:rsid w:val="053697DC"/>
    <w:rsid w:val="053EA25B"/>
    <w:rsid w:val="055B0BB9"/>
    <w:rsid w:val="055EB776"/>
    <w:rsid w:val="05657450"/>
    <w:rsid w:val="0565CDD4"/>
    <w:rsid w:val="05835C87"/>
    <w:rsid w:val="059C53BF"/>
    <w:rsid w:val="05A8C5B6"/>
    <w:rsid w:val="05D5D96A"/>
    <w:rsid w:val="05FEE38A"/>
    <w:rsid w:val="06050894"/>
    <w:rsid w:val="060BBD64"/>
    <w:rsid w:val="063BE2A2"/>
    <w:rsid w:val="063C2613"/>
    <w:rsid w:val="0644CF67"/>
    <w:rsid w:val="064CB638"/>
    <w:rsid w:val="064D9ED4"/>
    <w:rsid w:val="066548CB"/>
    <w:rsid w:val="0687A6DB"/>
    <w:rsid w:val="06BCE697"/>
    <w:rsid w:val="06DBCEC9"/>
    <w:rsid w:val="06E1799E"/>
    <w:rsid w:val="06FE82BB"/>
    <w:rsid w:val="070A80F8"/>
    <w:rsid w:val="070EDAE9"/>
    <w:rsid w:val="0710A406"/>
    <w:rsid w:val="0757232F"/>
    <w:rsid w:val="076445F6"/>
    <w:rsid w:val="07716619"/>
    <w:rsid w:val="0779078C"/>
    <w:rsid w:val="077B4A13"/>
    <w:rsid w:val="07839405"/>
    <w:rsid w:val="07AF33C0"/>
    <w:rsid w:val="07B5C043"/>
    <w:rsid w:val="07C32F2E"/>
    <w:rsid w:val="07CB2A5D"/>
    <w:rsid w:val="07DF0961"/>
    <w:rsid w:val="07E2076C"/>
    <w:rsid w:val="07E97EF3"/>
    <w:rsid w:val="081053F9"/>
    <w:rsid w:val="08141C50"/>
    <w:rsid w:val="08173E2F"/>
    <w:rsid w:val="08248161"/>
    <w:rsid w:val="083D90E0"/>
    <w:rsid w:val="083F202F"/>
    <w:rsid w:val="0842DE73"/>
    <w:rsid w:val="08513C58"/>
    <w:rsid w:val="0851DE50"/>
    <w:rsid w:val="08573B30"/>
    <w:rsid w:val="085AA5B9"/>
    <w:rsid w:val="085D9DB6"/>
    <w:rsid w:val="0887FFAA"/>
    <w:rsid w:val="089E712F"/>
    <w:rsid w:val="08A9A201"/>
    <w:rsid w:val="08B4BC44"/>
    <w:rsid w:val="08C385E7"/>
    <w:rsid w:val="08C6E0B3"/>
    <w:rsid w:val="08D96D3C"/>
    <w:rsid w:val="08E0EC15"/>
    <w:rsid w:val="08E17961"/>
    <w:rsid w:val="08EC40A2"/>
    <w:rsid w:val="0908B449"/>
    <w:rsid w:val="094D5B68"/>
    <w:rsid w:val="095DB6B1"/>
    <w:rsid w:val="095EA64F"/>
    <w:rsid w:val="096AF165"/>
    <w:rsid w:val="097AC12A"/>
    <w:rsid w:val="098697F7"/>
    <w:rsid w:val="098FC4C7"/>
    <w:rsid w:val="0991CE6F"/>
    <w:rsid w:val="0995C93E"/>
    <w:rsid w:val="09A25DB3"/>
    <w:rsid w:val="09C19662"/>
    <w:rsid w:val="09C8C7D1"/>
    <w:rsid w:val="09E17D08"/>
    <w:rsid w:val="09E3F421"/>
    <w:rsid w:val="09F4CCFC"/>
    <w:rsid w:val="0A03B490"/>
    <w:rsid w:val="0A0AA6DF"/>
    <w:rsid w:val="0A2920B1"/>
    <w:rsid w:val="0AA1FF5F"/>
    <w:rsid w:val="0AF6A879"/>
    <w:rsid w:val="0AFF8D40"/>
    <w:rsid w:val="0B0F8DC0"/>
    <w:rsid w:val="0B57E8B6"/>
    <w:rsid w:val="0B5B65EB"/>
    <w:rsid w:val="0B660277"/>
    <w:rsid w:val="0B69E245"/>
    <w:rsid w:val="0B6B59CD"/>
    <w:rsid w:val="0B6C19FF"/>
    <w:rsid w:val="0B6F7E2C"/>
    <w:rsid w:val="0B910805"/>
    <w:rsid w:val="0BAA4E0E"/>
    <w:rsid w:val="0BBAC849"/>
    <w:rsid w:val="0BCFA49A"/>
    <w:rsid w:val="0BE5B44F"/>
    <w:rsid w:val="0BF613F2"/>
    <w:rsid w:val="0C1E57AD"/>
    <w:rsid w:val="0C4C7701"/>
    <w:rsid w:val="0C53E923"/>
    <w:rsid w:val="0C5BDD7A"/>
    <w:rsid w:val="0C750177"/>
    <w:rsid w:val="0CAA05DD"/>
    <w:rsid w:val="0CB357D3"/>
    <w:rsid w:val="0CC91DE5"/>
    <w:rsid w:val="0CD87A45"/>
    <w:rsid w:val="0CDB833A"/>
    <w:rsid w:val="0CEB4488"/>
    <w:rsid w:val="0D1ABFC5"/>
    <w:rsid w:val="0D373FF2"/>
    <w:rsid w:val="0D4C296B"/>
    <w:rsid w:val="0D5E728B"/>
    <w:rsid w:val="0D6BF96B"/>
    <w:rsid w:val="0D7520F7"/>
    <w:rsid w:val="0D75E8DB"/>
    <w:rsid w:val="0D7B6370"/>
    <w:rsid w:val="0D800E7C"/>
    <w:rsid w:val="0D853C12"/>
    <w:rsid w:val="0D8BB463"/>
    <w:rsid w:val="0D922EA6"/>
    <w:rsid w:val="0DA4AF7A"/>
    <w:rsid w:val="0DA719B6"/>
    <w:rsid w:val="0DB8D040"/>
    <w:rsid w:val="0DD8A467"/>
    <w:rsid w:val="0DDC6F21"/>
    <w:rsid w:val="0DE00ED0"/>
    <w:rsid w:val="0DE87A5A"/>
    <w:rsid w:val="0DE98A9B"/>
    <w:rsid w:val="0DEB31EA"/>
    <w:rsid w:val="0DEF24DF"/>
    <w:rsid w:val="0DF28861"/>
    <w:rsid w:val="0DF61863"/>
    <w:rsid w:val="0E160B0F"/>
    <w:rsid w:val="0E48C407"/>
    <w:rsid w:val="0E532704"/>
    <w:rsid w:val="0E59C3B4"/>
    <w:rsid w:val="0E5EAD91"/>
    <w:rsid w:val="0E728C9C"/>
    <w:rsid w:val="0E9B96B8"/>
    <w:rsid w:val="0E9C75E3"/>
    <w:rsid w:val="0EA105EC"/>
    <w:rsid w:val="0EA1CFB0"/>
    <w:rsid w:val="0EA6C78C"/>
    <w:rsid w:val="0ED6ED86"/>
    <w:rsid w:val="0EDD3FC0"/>
    <w:rsid w:val="0F1452FD"/>
    <w:rsid w:val="0F3B380C"/>
    <w:rsid w:val="0F59DA5E"/>
    <w:rsid w:val="0F5C28FD"/>
    <w:rsid w:val="0F5F6C25"/>
    <w:rsid w:val="0F72208C"/>
    <w:rsid w:val="0F767F50"/>
    <w:rsid w:val="0F76BC21"/>
    <w:rsid w:val="0F86C97F"/>
    <w:rsid w:val="0F90B5D0"/>
    <w:rsid w:val="0F91F3D6"/>
    <w:rsid w:val="0F9D21B5"/>
    <w:rsid w:val="0FB75CD3"/>
    <w:rsid w:val="0FB8F423"/>
    <w:rsid w:val="0FDB98C3"/>
    <w:rsid w:val="0FE44EA8"/>
    <w:rsid w:val="10035633"/>
    <w:rsid w:val="101FB777"/>
    <w:rsid w:val="1025E7E9"/>
    <w:rsid w:val="102CB5DD"/>
    <w:rsid w:val="1032C847"/>
    <w:rsid w:val="103EFDDC"/>
    <w:rsid w:val="10453080"/>
    <w:rsid w:val="104D9AC7"/>
    <w:rsid w:val="10508670"/>
    <w:rsid w:val="105B1949"/>
    <w:rsid w:val="106A6B49"/>
    <w:rsid w:val="106DC8C5"/>
    <w:rsid w:val="1076D507"/>
    <w:rsid w:val="1082171B"/>
    <w:rsid w:val="108B4E92"/>
    <w:rsid w:val="108C376F"/>
    <w:rsid w:val="109BE4ED"/>
    <w:rsid w:val="10AE97D9"/>
    <w:rsid w:val="10BC483B"/>
    <w:rsid w:val="10C81A66"/>
    <w:rsid w:val="10D5D0C9"/>
    <w:rsid w:val="10ECEFA9"/>
    <w:rsid w:val="11006588"/>
    <w:rsid w:val="110F35D8"/>
    <w:rsid w:val="1111E0A7"/>
    <w:rsid w:val="1116588C"/>
    <w:rsid w:val="112EB5FF"/>
    <w:rsid w:val="113514E7"/>
    <w:rsid w:val="11381470"/>
    <w:rsid w:val="114BF253"/>
    <w:rsid w:val="11509DFF"/>
    <w:rsid w:val="115375E1"/>
    <w:rsid w:val="115F9986"/>
    <w:rsid w:val="11728A7C"/>
    <w:rsid w:val="11731548"/>
    <w:rsid w:val="1173E4BD"/>
    <w:rsid w:val="1181DA44"/>
    <w:rsid w:val="118C527B"/>
    <w:rsid w:val="11916A79"/>
    <w:rsid w:val="11BAD82B"/>
    <w:rsid w:val="11C0B1DB"/>
    <w:rsid w:val="11D120C3"/>
    <w:rsid w:val="11E1FB85"/>
    <w:rsid w:val="11F5F0B8"/>
    <w:rsid w:val="11F82932"/>
    <w:rsid w:val="1212B839"/>
    <w:rsid w:val="1251B9D1"/>
    <w:rsid w:val="12765466"/>
    <w:rsid w:val="12808FF5"/>
    <w:rsid w:val="1283E59E"/>
    <w:rsid w:val="12BA1D20"/>
    <w:rsid w:val="12C257C4"/>
    <w:rsid w:val="12C8AE73"/>
    <w:rsid w:val="12D660E8"/>
    <w:rsid w:val="12EBF0BE"/>
    <w:rsid w:val="12FF4ABF"/>
    <w:rsid w:val="130175A4"/>
    <w:rsid w:val="130A5239"/>
    <w:rsid w:val="131F2E01"/>
    <w:rsid w:val="1323176B"/>
    <w:rsid w:val="132380D7"/>
    <w:rsid w:val="133A7F0E"/>
    <w:rsid w:val="133AD870"/>
    <w:rsid w:val="133C3D7D"/>
    <w:rsid w:val="136E1EC0"/>
    <w:rsid w:val="138E39E8"/>
    <w:rsid w:val="1397A155"/>
    <w:rsid w:val="13B580AF"/>
    <w:rsid w:val="13B8759E"/>
    <w:rsid w:val="13BEE468"/>
    <w:rsid w:val="13E0060D"/>
    <w:rsid w:val="13E3AC5F"/>
    <w:rsid w:val="13EDF680"/>
    <w:rsid w:val="13F5E474"/>
    <w:rsid w:val="13FA3B13"/>
    <w:rsid w:val="1400F553"/>
    <w:rsid w:val="142858A1"/>
    <w:rsid w:val="1450F79D"/>
    <w:rsid w:val="145C29FA"/>
    <w:rsid w:val="145F8522"/>
    <w:rsid w:val="1476DC4E"/>
    <w:rsid w:val="14977D5B"/>
    <w:rsid w:val="1499946D"/>
    <w:rsid w:val="149FB800"/>
    <w:rsid w:val="14BE4FB0"/>
    <w:rsid w:val="14DD6D8B"/>
    <w:rsid w:val="14F692C4"/>
    <w:rsid w:val="1507AF47"/>
    <w:rsid w:val="150D67CF"/>
    <w:rsid w:val="15296A0F"/>
    <w:rsid w:val="152BBCBC"/>
    <w:rsid w:val="1535170A"/>
    <w:rsid w:val="1546CE13"/>
    <w:rsid w:val="1562E57D"/>
    <w:rsid w:val="15654EBF"/>
    <w:rsid w:val="156BCA66"/>
    <w:rsid w:val="157F4AE9"/>
    <w:rsid w:val="15A96207"/>
    <w:rsid w:val="15AC7F08"/>
    <w:rsid w:val="15C0E39F"/>
    <w:rsid w:val="15E7764E"/>
    <w:rsid w:val="160014FB"/>
    <w:rsid w:val="16089647"/>
    <w:rsid w:val="16183070"/>
    <w:rsid w:val="1625EC40"/>
    <w:rsid w:val="1645F5FD"/>
    <w:rsid w:val="16787246"/>
    <w:rsid w:val="169524CE"/>
    <w:rsid w:val="169C89BE"/>
    <w:rsid w:val="16ABE032"/>
    <w:rsid w:val="16BB31A1"/>
    <w:rsid w:val="16C778E3"/>
    <w:rsid w:val="16C93BD4"/>
    <w:rsid w:val="16E77310"/>
    <w:rsid w:val="16EB1DA7"/>
    <w:rsid w:val="1702EFCD"/>
    <w:rsid w:val="170D86CA"/>
    <w:rsid w:val="171A04D1"/>
    <w:rsid w:val="17426FED"/>
    <w:rsid w:val="174B2327"/>
    <w:rsid w:val="17514FCD"/>
    <w:rsid w:val="175988FC"/>
    <w:rsid w:val="175CF5BF"/>
    <w:rsid w:val="178BF1FB"/>
    <w:rsid w:val="178FBD5E"/>
    <w:rsid w:val="1794DD08"/>
    <w:rsid w:val="17967F89"/>
    <w:rsid w:val="1796C07A"/>
    <w:rsid w:val="17A5261D"/>
    <w:rsid w:val="17B27D1F"/>
    <w:rsid w:val="17B4AF72"/>
    <w:rsid w:val="17EE6FF1"/>
    <w:rsid w:val="180603D2"/>
    <w:rsid w:val="181FE801"/>
    <w:rsid w:val="182BA6B0"/>
    <w:rsid w:val="183AC002"/>
    <w:rsid w:val="18454F6D"/>
    <w:rsid w:val="185BAEB4"/>
    <w:rsid w:val="1861A131"/>
    <w:rsid w:val="187765E5"/>
    <w:rsid w:val="187C4FF9"/>
    <w:rsid w:val="18A0E6C9"/>
    <w:rsid w:val="18EE685D"/>
    <w:rsid w:val="18F58C19"/>
    <w:rsid w:val="1904F4E1"/>
    <w:rsid w:val="191A7904"/>
    <w:rsid w:val="19425E99"/>
    <w:rsid w:val="1950CCE8"/>
    <w:rsid w:val="1960FE44"/>
    <w:rsid w:val="199047D8"/>
    <w:rsid w:val="199DCF38"/>
    <w:rsid w:val="19BDAEE3"/>
    <w:rsid w:val="19C0E48C"/>
    <w:rsid w:val="19D8EC41"/>
    <w:rsid w:val="19DE3499"/>
    <w:rsid w:val="19E6C374"/>
    <w:rsid w:val="19FE5B27"/>
    <w:rsid w:val="1A032380"/>
    <w:rsid w:val="1A03EC5B"/>
    <w:rsid w:val="1A0EE499"/>
    <w:rsid w:val="1A4609C8"/>
    <w:rsid w:val="1A48DE41"/>
    <w:rsid w:val="1A6E05A1"/>
    <w:rsid w:val="1A741C19"/>
    <w:rsid w:val="1A823C7F"/>
    <w:rsid w:val="1A8A5CE2"/>
    <w:rsid w:val="1A9DBC52"/>
    <w:rsid w:val="1AA9B2FB"/>
    <w:rsid w:val="1AAEE3E4"/>
    <w:rsid w:val="1AD70FBC"/>
    <w:rsid w:val="1ADB3DB0"/>
    <w:rsid w:val="1AEA2EDE"/>
    <w:rsid w:val="1AF2F31D"/>
    <w:rsid w:val="1AFA2217"/>
    <w:rsid w:val="1AFFBAB3"/>
    <w:rsid w:val="1B02AACB"/>
    <w:rsid w:val="1B2E2B41"/>
    <w:rsid w:val="1B517219"/>
    <w:rsid w:val="1B51F2F1"/>
    <w:rsid w:val="1B5450C8"/>
    <w:rsid w:val="1B6A4AD9"/>
    <w:rsid w:val="1B793C71"/>
    <w:rsid w:val="1B7C0DC2"/>
    <w:rsid w:val="1B7DA049"/>
    <w:rsid w:val="1B83FBE0"/>
    <w:rsid w:val="1B9394B4"/>
    <w:rsid w:val="1B9426F9"/>
    <w:rsid w:val="1B96B086"/>
    <w:rsid w:val="1B99B320"/>
    <w:rsid w:val="1BA6B1FA"/>
    <w:rsid w:val="1BBB9163"/>
    <w:rsid w:val="1BE5CC49"/>
    <w:rsid w:val="1BE67311"/>
    <w:rsid w:val="1C04AC5D"/>
    <w:rsid w:val="1C075A03"/>
    <w:rsid w:val="1C08EB68"/>
    <w:rsid w:val="1C0C35FD"/>
    <w:rsid w:val="1C1DC44C"/>
    <w:rsid w:val="1C5D57F6"/>
    <w:rsid w:val="1C6D6A8A"/>
    <w:rsid w:val="1C7214ED"/>
    <w:rsid w:val="1C7D3772"/>
    <w:rsid w:val="1C90147A"/>
    <w:rsid w:val="1C95CA39"/>
    <w:rsid w:val="1CACA891"/>
    <w:rsid w:val="1CAEAD23"/>
    <w:rsid w:val="1CB9C570"/>
    <w:rsid w:val="1CBED38C"/>
    <w:rsid w:val="1CC83586"/>
    <w:rsid w:val="1CD9BE31"/>
    <w:rsid w:val="1CDA20C2"/>
    <w:rsid w:val="1CE0885F"/>
    <w:rsid w:val="1D14EC53"/>
    <w:rsid w:val="1D3A1CE8"/>
    <w:rsid w:val="1D428D24"/>
    <w:rsid w:val="1D68749A"/>
    <w:rsid w:val="1D81A192"/>
    <w:rsid w:val="1D892D2D"/>
    <w:rsid w:val="1D932281"/>
    <w:rsid w:val="1DB60FB9"/>
    <w:rsid w:val="1DCA1A10"/>
    <w:rsid w:val="1DD6E78A"/>
    <w:rsid w:val="1DE3D65A"/>
    <w:rsid w:val="1DF77086"/>
    <w:rsid w:val="1E08066A"/>
    <w:rsid w:val="1E089A28"/>
    <w:rsid w:val="1E208838"/>
    <w:rsid w:val="1E2405C4"/>
    <w:rsid w:val="1E29AD34"/>
    <w:rsid w:val="1E3CDC60"/>
    <w:rsid w:val="1E48266E"/>
    <w:rsid w:val="1E48FE58"/>
    <w:rsid w:val="1E51CADE"/>
    <w:rsid w:val="1E54959F"/>
    <w:rsid w:val="1E5D3145"/>
    <w:rsid w:val="1E6F8F8C"/>
    <w:rsid w:val="1E821FA3"/>
    <w:rsid w:val="1EA37BF3"/>
    <w:rsid w:val="1EA47550"/>
    <w:rsid w:val="1EB632AE"/>
    <w:rsid w:val="1EBD20DA"/>
    <w:rsid w:val="1ED65496"/>
    <w:rsid w:val="1EDF8901"/>
    <w:rsid w:val="1EFE6350"/>
    <w:rsid w:val="1F020E40"/>
    <w:rsid w:val="1F1413CB"/>
    <w:rsid w:val="1F1962E3"/>
    <w:rsid w:val="1F2033A8"/>
    <w:rsid w:val="1F2A13CB"/>
    <w:rsid w:val="1F34DD2C"/>
    <w:rsid w:val="1F3A4CD3"/>
    <w:rsid w:val="1F6A7489"/>
    <w:rsid w:val="1F6E3B9A"/>
    <w:rsid w:val="1F7E6BFB"/>
    <w:rsid w:val="1F8C9F62"/>
    <w:rsid w:val="1F90C7C9"/>
    <w:rsid w:val="1F93C5BA"/>
    <w:rsid w:val="1F9924CE"/>
    <w:rsid w:val="1FAE77BC"/>
    <w:rsid w:val="1FC044B5"/>
    <w:rsid w:val="1FC89F32"/>
    <w:rsid w:val="1FDB2755"/>
    <w:rsid w:val="1FDC3324"/>
    <w:rsid w:val="1FFE374C"/>
    <w:rsid w:val="20055665"/>
    <w:rsid w:val="20274CEA"/>
    <w:rsid w:val="2027C2DA"/>
    <w:rsid w:val="202FFD52"/>
    <w:rsid w:val="203577EA"/>
    <w:rsid w:val="2043A503"/>
    <w:rsid w:val="204540D4"/>
    <w:rsid w:val="204BBE17"/>
    <w:rsid w:val="204D0B59"/>
    <w:rsid w:val="206CF963"/>
    <w:rsid w:val="208A55AD"/>
    <w:rsid w:val="20A4581A"/>
    <w:rsid w:val="20B964DF"/>
    <w:rsid w:val="20DA5858"/>
    <w:rsid w:val="20E62FF6"/>
    <w:rsid w:val="20FB9BB7"/>
    <w:rsid w:val="20FFB0B7"/>
    <w:rsid w:val="2138AF82"/>
    <w:rsid w:val="213AA7CE"/>
    <w:rsid w:val="21427845"/>
    <w:rsid w:val="2148F434"/>
    <w:rsid w:val="21608873"/>
    <w:rsid w:val="21737858"/>
    <w:rsid w:val="217B9773"/>
    <w:rsid w:val="21858D80"/>
    <w:rsid w:val="2190055B"/>
    <w:rsid w:val="21933F6A"/>
    <w:rsid w:val="2195FB31"/>
    <w:rsid w:val="21AE1C86"/>
    <w:rsid w:val="21C2AC5F"/>
    <w:rsid w:val="21C7626B"/>
    <w:rsid w:val="21CB0239"/>
    <w:rsid w:val="21CD1B06"/>
    <w:rsid w:val="21D262F8"/>
    <w:rsid w:val="21D99DE1"/>
    <w:rsid w:val="21E55AF7"/>
    <w:rsid w:val="21FB1C90"/>
    <w:rsid w:val="22168E37"/>
    <w:rsid w:val="221DA351"/>
    <w:rsid w:val="2226BC95"/>
    <w:rsid w:val="2227C5BD"/>
    <w:rsid w:val="22397C17"/>
    <w:rsid w:val="224A0F7B"/>
    <w:rsid w:val="224ABEEF"/>
    <w:rsid w:val="224F7B4B"/>
    <w:rsid w:val="22555736"/>
    <w:rsid w:val="225C368B"/>
    <w:rsid w:val="226D4076"/>
    <w:rsid w:val="228B1703"/>
    <w:rsid w:val="228FF8A5"/>
    <w:rsid w:val="229C0F71"/>
    <w:rsid w:val="22A0BD78"/>
    <w:rsid w:val="22A225EB"/>
    <w:rsid w:val="22A49BED"/>
    <w:rsid w:val="22B00694"/>
    <w:rsid w:val="22D33DC3"/>
    <w:rsid w:val="22D82D85"/>
    <w:rsid w:val="22F94050"/>
    <w:rsid w:val="22FCDE97"/>
    <w:rsid w:val="22FD48AD"/>
    <w:rsid w:val="23031D3C"/>
    <w:rsid w:val="2310CB00"/>
    <w:rsid w:val="2334C305"/>
    <w:rsid w:val="233A406C"/>
    <w:rsid w:val="2361ED64"/>
    <w:rsid w:val="237F366F"/>
    <w:rsid w:val="23BB170A"/>
    <w:rsid w:val="23C00230"/>
    <w:rsid w:val="23DA2A6C"/>
    <w:rsid w:val="23DFD1A9"/>
    <w:rsid w:val="23E99395"/>
    <w:rsid w:val="23FE71F3"/>
    <w:rsid w:val="2417BB0E"/>
    <w:rsid w:val="24259343"/>
    <w:rsid w:val="2443D6A5"/>
    <w:rsid w:val="244870C3"/>
    <w:rsid w:val="244F7F39"/>
    <w:rsid w:val="245185F9"/>
    <w:rsid w:val="246C12F1"/>
    <w:rsid w:val="2473C978"/>
    <w:rsid w:val="2481A6F9"/>
    <w:rsid w:val="2490E14C"/>
    <w:rsid w:val="249931A4"/>
    <w:rsid w:val="249F1A8F"/>
    <w:rsid w:val="24A16D96"/>
    <w:rsid w:val="24A1D133"/>
    <w:rsid w:val="24BB5CAF"/>
    <w:rsid w:val="24BB8870"/>
    <w:rsid w:val="24BDBC1A"/>
    <w:rsid w:val="24C35DCC"/>
    <w:rsid w:val="2506D801"/>
    <w:rsid w:val="25075959"/>
    <w:rsid w:val="2522C806"/>
    <w:rsid w:val="2522EC7F"/>
    <w:rsid w:val="252DB058"/>
    <w:rsid w:val="2530051B"/>
    <w:rsid w:val="253F9D6A"/>
    <w:rsid w:val="2543A180"/>
    <w:rsid w:val="254CFC7B"/>
    <w:rsid w:val="2559A8BD"/>
    <w:rsid w:val="257242CA"/>
    <w:rsid w:val="2573EB25"/>
    <w:rsid w:val="25888EA5"/>
    <w:rsid w:val="258B1A61"/>
    <w:rsid w:val="259D5D4F"/>
    <w:rsid w:val="25A3B7F9"/>
    <w:rsid w:val="25AF3FF4"/>
    <w:rsid w:val="25D1BA99"/>
    <w:rsid w:val="25D46D98"/>
    <w:rsid w:val="25E689C0"/>
    <w:rsid w:val="25E798EF"/>
    <w:rsid w:val="25EA46AB"/>
    <w:rsid w:val="25EECBF6"/>
    <w:rsid w:val="26102837"/>
    <w:rsid w:val="26222410"/>
    <w:rsid w:val="2644FAEF"/>
    <w:rsid w:val="264A9E6D"/>
    <w:rsid w:val="264D00A5"/>
    <w:rsid w:val="265EFBB2"/>
    <w:rsid w:val="26613C31"/>
    <w:rsid w:val="26828CF4"/>
    <w:rsid w:val="26D64087"/>
    <w:rsid w:val="26F0B25C"/>
    <w:rsid w:val="26F34DC5"/>
    <w:rsid w:val="2704EF61"/>
    <w:rsid w:val="2720DB83"/>
    <w:rsid w:val="27613A02"/>
    <w:rsid w:val="27702D87"/>
    <w:rsid w:val="27740F40"/>
    <w:rsid w:val="278365ED"/>
    <w:rsid w:val="279844E1"/>
    <w:rsid w:val="27BB8819"/>
    <w:rsid w:val="27BCDCC7"/>
    <w:rsid w:val="27BEBD6A"/>
    <w:rsid w:val="27EB5406"/>
    <w:rsid w:val="28171745"/>
    <w:rsid w:val="28296CCE"/>
    <w:rsid w:val="282A6C6D"/>
    <w:rsid w:val="283410FB"/>
    <w:rsid w:val="283B2267"/>
    <w:rsid w:val="283BF056"/>
    <w:rsid w:val="2849DC04"/>
    <w:rsid w:val="287F2100"/>
    <w:rsid w:val="28C530A8"/>
    <w:rsid w:val="28D1FD35"/>
    <w:rsid w:val="28DA91BF"/>
    <w:rsid w:val="28DE82FD"/>
    <w:rsid w:val="28E602A2"/>
    <w:rsid w:val="28EC2626"/>
    <w:rsid w:val="28ECCD5F"/>
    <w:rsid w:val="290B2210"/>
    <w:rsid w:val="290FCDD0"/>
    <w:rsid w:val="291B017D"/>
    <w:rsid w:val="291BB10D"/>
    <w:rsid w:val="2921F1FF"/>
    <w:rsid w:val="292D1FF0"/>
    <w:rsid w:val="294256DB"/>
    <w:rsid w:val="294584C8"/>
    <w:rsid w:val="2946A460"/>
    <w:rsid w:val="2947D4EE"/>
    <w:rsid w:val="294A5279"/>
    <w:rsid w:val="29570184"/>
    <w:rsid w:val="295BB8F1"/>
    <w:rsid w:val="29635959"/>
    <w:rsid w:val="296C8087"/>
    <w:rsid w:val="2976DA86"/>
    <w:rsid w:val="297BA705"/>
    <w:rsid w:val="29854DB3"/>
    <w:rsid w:val="29A0A8EA"/>
    <w:rsid w:val="29A60A92"/>
    <w:rsid w:val="29AB2D72"/>
    <w:rsid w:val="29B1DD66"/>
    <w:rsid w:val="29D5AA94"/>
    <w:rsid w:val="29E1A260"/>
    <w:rsid w:val="29ECA60F"/>
    <w:rsid w:val="29FC3008"/>
    <w:rsid w:val="2A295548"/>
    <w:rsid w:val="2A38A950"/>
    <w:rsid w:val="2A3C8A75"/>
    <w:rsid w:val="2A58ECAF"/>
    <w:rsid w:val="2A7C5922"/>
    <w:rsid w:val="2AB094CD"/>
    <w:rsid w:val="2AB496A8"/>
    <w:rsid w:val="2AD05485"/>
    <w:rsid w:val="2AD22327"/>
    <w:rsid w:val="2AD51735"/>
    <w:rsid w:val="2AD5C100"/>
    <w:rsid w:val="2ADE3898"/>
    <w:rsid w:val="2B04BEF3"/>
    <w:rsid w:val="2B068D6C"/>
    <w:rsid w:val="2B0A9D5D"/>
    <w:rsid w:val="2B144225"/>
    <w:rsid w:val="2B187832"/>
    <w:rsid w:val="2B48C72F"/>
    <w:rsid w:val="2B96637A"/>
    <w:rsid w:val="2BA7519E"/>
    <w:rsid w:val="2BC0A7B7"/>
    <w:rsid w:val="2BCE59A0"/>
    <w:rsid w:val="2BD0896F"/>
    <w:rsid w:val="2BD6392B"/>
    <w:rsid w:val="2BE5B339"/>
    <w:rsid w:val="2BEAC821"/>
    <w:rsid w:val="2C038D0B"/>
    <w:rsid w:val="2C2FE237"/>
    <w:rsid w:val="2C36F1B2"/>
    <w:rsid w:val="2C42D9C2"/>
    <w:rsid w:val="2C500CF9"/>
    <w:rsid w:val="2C580672"/>
    <w:rsid w:val="2C5DF32D"/>
    <w:rsid w:val="2C6B4AFA"/>
    <w:rsid w:val="2C712EBF"/>
    <w:rsid w:val="2CD37F68"/>
    <w:rsid w:val="2CD8F164"/>
    <w:rsid w:val="2CF3A21B"/>
    <w:rsid w:val="2D0D53A1"/>
    <w:rsid w:val="2D174329"/>
    <w:rsid w:val="2D18EBB0"/>
    <w:rsid w:val="2D29CC1E"/>
    <w:rsid w:val="2D2ACB4B"/>
    <w:rsid w:val="2D349967"/>
    <w:rsid w:val="2D38F23D"/>
    <w:rsid w:val="2D38F693"/>
    <w:rsid w:val="2D3AC7CB"/>
    <w:rsid w:val="2D51465C"/>
    <w:rsid w:val="2D68FB9D"/>
    <w:rsid w:val="2D8B143C"/>
    <w:rsid w:val="2DBD148E"/>
    <w:rsid w:val="2DBD66FD"/>
    <w:rsid w:val="2DC570FB"/>
    <w:rsid w:val="2DC6147E"/>
    <w:rsid w:val="2DD538C8"/>
    <w:rsid w:val="2DDB59CF"/>
    <w:rsid w:val="2DDF2B77"/>
    <w:rsid w:val="2DE94809"/>
    <w:rsid w:val="2DEBB219"/>
    <w:rsid w:val="2DF39889"/>
    <w:rsid w:val="2DF4B190"/>
    <w:rsid w:val="2DF69A99"/>
    <w:rsid w:val="2E029CCE"/>
    <w:rsid w:val="2E26E1F0"/>
    <w:rsid w:val="2E28F140"/>
    <w:rsid w:val="2E485E9E"/>
    <w:rsid w:val="2E4FFC19"/>
    <w:rsid w:val="2E61FE35"/>
    <w:rsid w:val="2E62769B"/>
    <w:rsid w:val="2E7AC936"/>
    <w:rsid w:val="2E809CA1"/>
    <w:rsid w:val="2E87AD54"/>
    <w:rsid w:val="2E955B20"/>
    <w:rsid w:val="2E9A442F"/>
    <w:rsid w:val="2EA0A544"/>
    <w:rsid w:val="2EA99748"/>
    <w:rsid w:val="2EABAB53"/>
    <w:rsid w:val="2EBE7F6E"/>
    <w:rsid w:val="2F1A4B60"/>
    <w:rsid w:val="2F6DDA99"/>
    <w:rsid w:val="2F819A25"/>
    <w:rsid w:val="2F8C97C0"/>
    <w:rsid w:val="2FD25D84"/>
    <w:rsid w:val="2FF78E31"/>
    <w:rsid w:val="30041AE4"/>
    <w:rsid w:val="302A552E"/>
    <w:rsid w:val="303802F8"/>
    <w:rsid w:val="303E159E"/>
    <w:rsid w:val="303F261D"/>
    <w:rsid w:val="30442C34"/>
    <w:rsid w:val="304E82DA"/>
    <w:rsid w:val="3052B5AB"/>
    <w:rsid w:val="3053B52B"/>
    <w:rsid w:val="30698AAD"/>
    <w:rsid w:val="30784B7D"/>
    <w:rsid w:val="30849E08"/>
    <w:rsid w:val="30A1DC80"/>
    <w:rsid w:val="30A2DFD0"/>
    <w:rsid w:val="30B925D1"/>
    <w:rsid w:val="30D93EF3"/>
    <w:rsid w:val="30E45BA2"/>
    <w:rsid w:val="31051145"/>
    <w:rsid w:val="31059FF5"/>
    <w:rsid w:val="3105ECE5"/>
    <w:rsid w:val="3108D7D7"/>
    <w:rsid w:val="310B2771"/>
    <w:rsid w:val="310E544E"/>
    <w:rsid w:val="31103A35"/>
    <w:rsid w:val="311EA065"/>
    <w:rsid w:val="3120180D"/>
    <w:rsid w:val="31281F6F"/>
    <w:rsid w:val="3129D7A3"/>
    <w:rsid w:val="313C990F"/>
    <w:rsid w:val="31602F46"/>
    <w:rsid w:val="31885810"/>
    <w:rsid w:val="318BC70E"/>
    <w:rsid w:val="31A18745"/>
    <w:rsid w:val="31AC8D25"/>
    <w:rsid w:val="31B712C9"/>
    <w:rsid w:val="31CA130E"/>
    <w:rsid w:val="320BCFB6"/>
    <w:rsid w:val="320F51CC"/>
    <w:rsid w:val="3213F985"/>
    <w:rsid w:val="3216C4E2"/>
    <w:rsid w:val="321BD0B0"/>
    <w:rsid w:val="32503FF2"/>
    <w:rsid w:val="32589B36"/>
    <w:rsid w:val="325E77C7"/>
    <w:rsid w:val="32685DEC"/>
    <w:rsid w:val="327612F1"/>
    <w:rsid w:val="327C4235"/>
    <w:rsid w:val="327E36AD"/>
    <w:rsid w:val="32933916"/>
    <w:rsid w:val="32A74226"/>
    <w:rsid w:val="32ADE41E"/>
    <w:rsid w:val="32BCB5F6"/>
    <w:rsid w:val="32CA6040"/>
    <w:rsid w:val="32FBFE25"/>
    <w:rsid w:val="33005EF1"/>
    <w:rsid w:val="331A5D87"/>
    <w:rsid w:val="331DF2AA"/>
    <w:rsid w:val="3325720D"/>
    <w:rsid w:val="33389708"/>
    <w:rsid w:val="3341C6F7"/>
    <w:rsid w:val="33C47287"/>
    <w:rsid w:val="33EDFC34"/>
    <w:rsid w:val="34114D56"/>
    <w:rsid w:val="34173444"/>
    <w:rsid w:val="341E98BD"/>
    <w:rsid w:val="342C2A27"/>
    <w:rsid w:val="343A4E80"/>
    <w:rsid w:val="343A7430"/>
    <w:rsid w:val="344C04E2"/>
    <w:rsid w:val="345D19AF"/>
    <w:rsid w:val="346E7D96"/>
    <w:rsid w:val="347802B6"/>
    <w:rsid w:val="349FA720"/>
    <w:rsid w:val="34B96B0C"/>
    <w:rsid w:val="34BA1C42"/>
    <w:rsid w:val="34D1DAA3"/>
    <w:rsid w:val="34EB569D"/>
    <w:rsid w:val="34F2111C"/>
    <w:rsid w:val="34F299A9"/>
    <w:rsid w:val="34F51B4B"/>
    <w:rsid w:val="34FB26A1"/>
    <w:rsid w:val="350BA723"/>
    <w:rsid w:val="3531075D"/>
    <w:rsid w:val="3542429D"/>
    <w:rsid w:val="35481B4D"/>
    <w:rsid w:val="3549C211"/>
    <w:rsid w:val="355792E7"/>
    <w:rsid w:val="355D7C8F"/>
    <w:rsid w:val="355D8AC1"/>
    <w:rsid w:val="356E7BB3"/>
    <w:rsid w:val="3583E1A1"/>
    <w:rsid w:val="3587FA30"/>
    <w:rsid w:val="359756AA"/>
    <w:rsid w:val="35AC2DB4"/>
    <w:rsid w:val="35B42538"/>
    <w:rsid w:val="35BE38B3"/>
    <w:rsid w:val="35FF2A53"/>
    <w:rsid w:val="35FF93D5"/>
    <w:rsid w:val="3604CC97"/>
    <w:rsid w:val="361EEB74"/>
    <w:rsid w:val="3625BD78"/>
    <w:rsid w:val="3646B7F9"/>
    <w:rsid w:val="3654355B"/>
    <w:rsid w:val="367474C5"/>
    <w:rsid w:val="367E9451"/>
    <w:rsid w:val="369E68F7"/>
    <w:rsid w:val="36A9AACC"/>
    <w:rsid w:val="36D5D3BB"/>
    <w:rsid w:val="36DEF354"/>
    <w:rsid w:val="36E0A714"/>
    <w:rsid w:val="372C333A"/>
    <w:rsid w:val="3745E186"/>
    <w:rsid w:val="375A9C85"/>
    <w:rsid w:val="378B4AB4"/>
    <w:rsid w:val="37920B75"/>
    <w:rsid w:val="3794A891"/>
    <w:rsid w:val="37968210"/>
    <w:rsid w:val="37A8DE21"/>
    <w:rsid w:val="37BBF5EA"/>
    <w:rsid w:val="37F91E89"/>
    <w:rsid w:val="380FC2C1"/>
    <w:rsid w:val="381045A7"/>
    <w:rsid w:val="3818F04E"/>
    <w:rsid w:val="382967CB"/>
    <w:rsid w:val="38361A4B"/>
    <w:rsid w:val="385CA5A7"/>
    <w:rsid w:val="385ECE4F"/>
    <w:rsid w:val="3864A4C8"/>
    <w:rsid w:val="386A5B7D"/>
    <w:rsid w:val="386E7890"/>
    <w:rsid w:val="38766188"/>
    <w:rsid w:val="38997741"/>
    <w:rsid w:val="38A1E6C6"/>
    <w:rsid w:val="38A9BC40"/>
    <w:rsid w:val="38B4DE22"/>
    <w:rsid w:val="38BE0243"/>
    <w:rsid w:val="38DB0FE1"/>
    <w:rsid w:val="38DEF607"/>
    <w:rsid w:val="38EE5860"/>
    <w:rsid w:val="38F59E36"/>
    <w:rsid w:val="3908AB4A"/>
    <w:rsid w:val="391E1079"/>
    <w:rsid w:val="3951BAF1"/>
    <w:rsid w:val="396BC9D6"/>
    <w:rsid w:val="396F215F"/>
    <w:rsid w:val="39810348"/>
    <w:rsid w:val="39874591"/>
    <w:rsid w:val="398C840E"/>
    <w:rsid w:val="39B2C86B"/>
    <w:rsid w:val="39B4F31E"/>
    <w:rsid w:val="39C700D3"/>
    <w:rsid w:val="39CFE040"/>
    <w:rsid w:val="39E0F4D4"/>
    <w:rsid w:val="39F168E0"/>
    <w:rsid w:val="39F69170"/>
    <w:rsid w:val="3A06CA60"/>
    <w:rsid w:val="3A10F8A9"/>
    <w:rsid w:val="3A12419E"/>
    <w:rsid w:val="3A3C389A"/>
    <w:rsid w:val="3A4325F0"/>
    <w:rsid w:val="3A4DB0EE"/>
    <w:rsid w:val="3A8D9BA5"/>
    <w:rsid w:val="3A992929"/>
    <w:rsid w:val="3AA0993A"/>
    <w:rsid w:val="3AA2DD41"/>
    <w:rsid w:val="3ABD9C04"/>
    <w:rsid w:val="3AD65671"/>
    <w:rsid w:val="3AEBB056"/>
    <w:rsid w:val="3AF991F1"/>
    <w:rsid w:val="3AFF9A94"/>
    <w:rsid w:val="3B07406F"/>
    <w:rsid w:val="3B09BF84"/>
    <w:rsid w:val="3B4A296B"/>
    <w:rsid w:val="3B4E1A93"/>
    <w:rsid w:val="3B4E1C5D"/>
    <w:rsid w:val="3B51E55A"/>
    <w:rsid w:val="3B700A15"/>
    <w:rsid w:val="3B72E972"/>
    <w:rsid w:val="3B7602B7"/>
    <w:rsid w:val="3B96FC8F"/>
    <w:rsid w:val="3BBD37F3"/>
    <w:rsid w:val="3BC03B5C"/>
    <w:rsid w:val="3BDDA31B"/>
    <w:rsid w:val="3BFB1940"/>
    <w:rsid w:val="3BFB25D4"/>
    <w:rsid w:val="3BFB669E"/>
    <w:rsid w:val="3C02851E"/>
    <w:rsid w:val="3C0F6307"/>
    <w:rsid w:val="3C1255BE"/>
    <w:rsid w:val="3C201A70"/>
    <w:rsid w:val="3C2B25A6"/>
    <w:rsid w:val="3C30186F"/>
    <w:rsid w:val="3C30E160"/>
    <w:rsid w:val="3C3B4CB1"/>
    <w:rsid w:val="3C876452"/>
    <w:rsid w:val="3CA8700F"/>
    <w:rsid w:val="3CB1C113"/>
    <w:rsid w:val="3CB396FC"/>
    <w:rsid w:val="3CBCBF94"/>
    <w:rsid w:val="3CC55A78"/>
    <w:rsid w:val="3CD53A6C"/>
    <w:rsid w:val="3CEB24F1"/>
    <w:rsid w:val="3CFF2750"/>
    <w:rsid w:val="3D0D45FD"/>
    <w:rsid w:val="3D19882D"/>
    <w:rsid w:val="3D4345EB"/>
    <w:rsid w:val="3D47C7A7"/>
    <w:rsid w:val="3D508663"/>
    <w:rsid w:val="3D84A858"/>
    <w:rsid w:val="3DA82084"/>
    <w:rsid w:val="3DB83F34"/>
    <w:rsid w:val="3DBAB9F3"/>
    <w:rsid w:val="3DE863F9"/>
    <w:rsid w:val="3E05025C"/>
    <w:rsid w:val="3E070E3F"/>
    <w:rsid w:val="3E0BE10B"/>
    <w:rsid w:val="3E1646E5"/>
    <w:rsid w:val="3E1908F4"/>
    <w:rsid w:val="3E2FB532"/>
    <w:rsid w:val="3E35052B"/>
    <w:rsid w:val="3E44391D"/>
    <w:rsid w:val="3E6CAA51"/>
    <w:rsid w:val="3E766D2C"/>
    <w:rsid w:val="3EF870B4"/>
    <w:rsid w:val="3F16F2D6"/>
    <w:rsid w:val="3F26BCB9"/>
    <w:rsid w:val="3F3B663C"/>
    <w:rsid w:val="3F561863"/>
    <w:rsid w:val="3F59FF87"/>
    <w:rsid w:val="3F61CBB2"/>
    <w:rsid w:val="3F6DA4AB"/>
    <w:rsid w:val="3F8CDCE4"/>
    <w:rsid w:val="3F957381"/>
    <w:rsid w:val="3F97E29A"/>
    <w:rsid w:val="3FB85FCC"/>
    <w:rsid w:val="3FD1002F"/>
    <w:rsid w:val="3FDBAF19"/>
    <w:rsid w:val="3FDDFFFB"/>
    <w:rsid w:val="3FF06303"/>
    <w:rsid w:val="3FFF6CEB"/>
    <w:rsid w:val="401303EE"/>
    <w:rsid w:val="4014671A"/>
    <w:rsid w:val="401529C5"/>
    <w:rsid w:val="402CA262"/>
    <w:rsid w:val="4041530F"/>
    <w:rsid w:val="404B5B29"/>
    <w:rsid w:val="4050EFCC"/>
    <w:rsid w:val="40809778"/>
    <w:rsid w:val="4090286E"/>
    <w:rsid w:val="40BF3814"/>
    <w:rsid w:val="40BFCB2A"/>
    <w:rsid w:val="40F67106"/>
    <w:rsid w:val="4108C074"/>
    <w:rsid w:val="410E6A74"/>
    <w:rsid w:val="411A0B5F"/>
    <w:rsid w:val="41579BE7"/>
    <w:rsid w:val="417237AC"/>
    <w:rsid w:val="419475D1"/>
    <w:rsid w:val="41AE3012"/>
    <w:rsid w:val="41B5290F"/>
    <w:rsid w:val="41DDA8C7"/>
    <w:rsid w:val="42105F4B"/>
    <w:rsid w:val="422A879B"/>
    <w:rsid w:val="425A09E5"/>
    <w:rsid w:val="42678936"/>
    <w:rsid w:val="426B9C89"/>
    <w:rsid w:val="4283658F"/>
    <w:rsid w:val="4287A748"/>
    <w:rsid w:val="42A29E70"/>
    <w:rsid w:val="42ABE36C"/>
    <w:rsid w:val="42B1481C"/>
    <w:rsid w:val="42BDFE9B"/>
    <w:rsid w:val="42C50A7D"/>
    <w:rsid w:val="42C6037F"/>
    <w:rsid w:val="42C8A98F"/>
    <w:rsid w:val="42CB7B32"/>
    <w:rsid w:val="42DBF8B8"/>
    <w:rsid w:val="42F51DD1"/>
    <w:rsid w:val="43097296"/>
    <w:rsid w:val="434E1FBF"/>
    <w:rsid w:val="43639B11"/>
    <w:rsid w:val="4374C483"/>
    <w:rsid w:val="437BAD91"/>
    <w:rsid w:val="43823ACE"/>
    <w:rsid w:val="4386BE65"/>
    <w:rsid w:val="438ECF47"/>
    <w:rsid w:val="438F4643"/>
    <w:rsid w:val="439AFC83"/>
    <w:rsid w:val="439C9BCC"/>
    <w:rsid w:val="43AD1156"/>
    <w:rsid w:val="43B164AB"/>
    <w:rsid w:val="43BB720E"/>
    <w:rsid w:val="43F12290"/>
    <w:rsid w:val="44020E9B"/>
    <w:rsid w:val="4409631E"/>
    <w:rsid w:val="4428E78D"/>
    <w:rsid w:val="445A399C"/>
    <w:rsid w:val="445C21D4"/>
    <w:rsid w:val="4466BB28"/>
    <w:rsid w:val="4481942B"/>
    <w:rsid w:val="4482CB55"/>
    <w:rsid w:val="44854087"/>
    <w:rsid w:val="448AE139"/>
    <w:rsid w:val="448AEDF1"/>
    <w:rsid w:val="448EABF7"/>
    <w:rsid w:val="44917C91"/>
    <w:rsid w:val="449DBA4E"/>
    <w:rsid w:val="44A2A9C7"/>
    <w:rsid w:val="44A42600"/>
    <w:rsid w:val="44A6201F"/>
    <w:rsid w:val="44B7D9BD"/>
    <w:rsid w:val="44BF9C9D"/>
    <w:rsid w:val="44C8CBFF"/>
    <w:rsid w:val="44C914AA"/>
    <w:rsid w:val="44E0D689"/>
    <w:rsid w:val="44F949DA"/>
    <w:rsid w:val="4502C1F9"/>
    <w:rsid w:val="450AE951"/>
    <w:rsid w:val="450E8FF1"/>
    <w:rsid w:val="451BD2B4"/>
    <w:rsid w:val="4524F2B4"/>
    <w:rsid w:val="45373BF6"/>
    <w:rsid w:val="453B23CE"/>
    <w:rsid w:val="4546631D"/>
    <w:rsid w:val="457465FC"/>
    <w:rsid w:val="45AEDF78"/>
    <w:rsid w:val="45C69453"/>
    <w:rsid w:val="45DA06A1"/>
    <w:rsid w:val="45DFCAD2"/>
    <w:rsid w:val="45E0E70D"/>
    <w:rsid w:val="45E0F6DE"/>
    <w:rsid w:val="45E1BF2D"/>
    <w:rsid w:val="45E49865"/>
    <w:rsid w:val="45E69234"/>
    <w:rsid w:val="4603C60F"/>
    <w:rsid w:val="461305AB"/>
    <w:rsid w:val="46378DB1"/>
    <w:rsid w:val="463C241D"/>
    <w:rsid w:val="465CFE96"/>
    <w:rsid w:val="46679A75"/>
    <w:rsid w:val="467F0716"/>
    <w:rsid w:val="4690B381"/>
    <w:rsid w:val="46918EAE"/>
    <w:rsid w:val="46A78F7F"/>
    <w:rsid w:val="46C02144"/>
    <w:rsid w:val="46D0BE68"/>
    <w:rsid w:val="46DE2992"/>
    <w:rsid w:val="46DE3A44"/>
    <w:rsid w:val="471457FD"/>
    <w:rsid w:val="4719F468"/>
    <w:rsid w:val="471C76CB"/>
    <w:rsid w:val="47308768"/>
    <w:rsid w:val="4744E7B3"/>
    <w:rsid w:val="477608E9"/>
    <w:rsid w:val="47875F7E"/>
    <w:rsid w:val="478B07B4"/>
    <w:rsid w:val="47B2DAF1"/>
    <w:rsid w:val="47BE5B85"/>
    <w:rsid w:val="47DA523E"/>
    <w:rsid w:val="480B53BF"/>
    <w:rsid w:val="480C5FC8"/>
    <w:rsid w:val="482A8F28"/>
    <w:rsid w:val="483774A7"/>
    <w:rsid w:val="48643381"/>
    <w:rsid w:val="48716C3D"/>
    <w:rsid w:val="487DE371"/>
    <w:rsid w:val="48861DCC"/>
    <w:rsid w:val="4893C0B7"/>
    <w:rsid w:val="48C4255C"/>
    <w:rsid w:val="48C488EA"/>
    <w:rsid w:val="48C9329F"/>
    <w:rsid w:val="490691D1"/>
    <w:rsid w:val="4907D213"/>
    <w:rsid w:val="490C9B0E"/>
    <w:rsid w:val="49170CE2"/>
    <w:rsid w:val="492A6E41"/>
    <w:rsid w:val="4937C21C"/>
    <w:rsid w:val="4951FA9C"/>
    <w:rsid w:val="495940BB"/>
    <w:rsid w:val="495EF9CA"/>
    <w:rsid w:val="496C8F44"/>
    <w:rsid w:val="4982D58B"/>
    <w:rsid w:val="49835A34"/>
    <w:rsid w:val="499246CC"/>
    <w:rsid w:val="49BCC7F5"/>
    <w:rsid w:val="49CAC8BC"/>
    <w:rsid w:val="49E765A6"/>
    <w:rsid w:val="49EDFC6C"/>
    <w:rsid w:val="49F229EA"/>
    <w:rsid w:val="49FEC050"/>
    <w:rsid w:val="4A0F9883"/>
    <w:rsid w:val="4A19CBA8"/>
    <w:rsid w:val="4A2B97F2"/>
    <w:rsid w:val="4A34CCE7"/>
    <w:rsid w:val="4A3A47D8"/>
    <w:rsid w:val="4A41318F"/>
    <w:rsid w:val="4A42BD5A"/>
    <w:rsid w:val="4A576C7F"/>
    <w:rsid w:val="4A7BF435"/>
    <w:rsid w:val="4A8839FA"/>
    <w:rsid w:val="4A8E1C83"/>
    <w:rsid w:val="4A9F7612"/>
    <w:rsid w:val="4ACB9BC1"/>
    <w:rsid w:val="4ACCE85E"/>
    <w:rsid w:val="4ADAA85E"/>
    <w:rsid w:val="4B1D3449"/>
    <w:rsid w:val="4B308958"/>
    <w:rsid w:val="4B5C7AE7"/>
    <w:rsid w:val="4B63462D"/>
    <w:rsid w:val="4B796223"/>
    <w:rsid w:val="4B799025"/>
    <w:rsid w:val="4B973953"/>
    <w:rsid w:val="4BB13435"/>
    <w:rsid w:val="4BBB16ED"/>
    <w:rsid w:val="4BCDE77A"/>
    <w:rsid w:val="4BDA0C3E"/>
    <w:rsid w:val="4C09E35B"/>
    <w:rsid w:val="4C359EB5"/>
    <w:rsid w:val="4C382C14"/>
    <w:rsid w:val="4C44EB06"/>
    <w:rsid w:val="4C47A843"/>
    <w:rsid w:val="4C593256"/>
    <w:rsid w:val="4C5F6134"/>
    <w:rsid w:val="4C6EBF11"/>
    <w:rsid w:val="4CA21A7B"/>
    <w:rsid w:val="4CAC7D75"/>
    <w:rsid w:val="4CAFD6A6"/>
    <w:rsid w:val="4CBB8149"/>
    <w:rsid w:val="4CBBE548"/>
    <w:rsid w:val="4CBD3EE9"/>
    <w:rsid w:val="4CC98AE9"/>
    <w:rsid w:val="4CCEAFCC"/>
    <w:rsid w:val="4CD3985F"/>
    <w:rsid w:val="4CF9B65C"/>
    <w:rsid w:val="4D2C2D6C"/>
    <w:rsid w:val="4D3FB2A0"/>
    <w:rsid w:val="4D4C9C9A"/>
    <w:rsid w:val="4D4FF2F0"/>
    <w:rsid w:val="4D541026"/>
    <w:rsid w:val="4D62236D"/>
    <w:rsid w:val="4D686E7C"/>
    <w:rsid w:val="4DB932FB"/>
    <w:rsid w:val="4DCE4669"/>
    <w:rsid w:val="4DE239DB"/>
    <w:rsid w:val="4DE8641E"/>
    <w:rsid w:val="4DEA9CFA"/>
    <w:rsid w:val="4E02600B"/>
    <w:rsid w:val="4E03BB63"/>
    <w:rsid w:val="4E08E930"/>
    <w:rsid w:val="4E1091BA"/>
    <w:rsid w:val="4E21C80B"/>
    <w:rsid w:val="4E2A6BBA"/>
    <w:rsid w:val="4E39872D"/>
    <w:rsid w:val="4E56360A"/>
    <w:rsid w:val="4E5BB495"/>
    <w:rsid w:val="4E67DD24"/>
    <w:rsid w:val="4E689767"/>
    <w:rsid w:val="4E7A1AD6"/>
    <w:rsid w:val="4E89D13B"/>
    <w:rsid w:val="4E90EEA4"/>
    <w:rsid w:val="4EAEB1B6"/>
    <w:rsid w:val="4EC98A2B"/>
    <w:rsid w:val="4ED05FE1"/>
    <w:rsid w:val="4EDAE5C1"/>
    <w:rsid w:val="4F01A585"/>
    <w:rsid w:val="4F1E22D6"/>
    <w:rsid w:val="4F31E41F"/>
    <w:rsid w:val="4F5AFD6D"/>
    <w:rsid w:val="4F70BAEF"/>
    <w:rsid w:val="4F899EFA"/>
    <w:rsid w:val="4FA20C04"/>
    <w:rsid w:val="4FB5AF6A"/>
    <w:rsid w:val="4FBC98F1"/>
    <w:rsid w:val="4FCB4DDE"/>
    <w:rsid w:val="4FCE7928"/>
    <w:rsid w:val="4FDB6969"/>
    <w:rsid w:val="4FDBD133"/>
    <w:rsid w:val="4FE005FE"/>
    <w:rsid w:val="4FE4183A"/>
    <w:rsid w:val="4FE892FF"/>
    <w:rsid w:val="5009E61F"/>
    <w:rsid w:val="500C2009"/>
    <w:rsid w:val="500C38EB"/>
    <w:rsid w:val="501A1AF5"/>
    <w:rsid w:val="5027C31D"/>
    <w:rsid w:val="5029A183"/>
    <w:rsid w:val="50321A9C"/>
    <w:rsid w:val="506A6432"/>
    <w:rsid w:val="5073E9F5"/>
    <w:rsid w:val="5078D37D"/>
    <w:rsid w:val="507CD2F8"/>
    <w:rsid w:val="5091F58D"/>
    <w:rsid w:val="50B4264E"/>
    <w:rsid w:val="50D23647"/>
    <w:rsid w:val="50EEEC57"/>
    <w:rsid w:val="50F0D56B"/>
    <w:rsid w:val="50F34FF9"/>
    <w:rsid w:val="51119AB9"/>
    <w:rsid w:val="51229BA2"/>
    <w:rsid w:val="5137C10E"/>
    <w:rsid w:val="513C186C"/>
    <w:rsid w:val="51613346"/>
    <w:rsid w:val="5168155C"/>
    <w:rsid w:val="516E4192"/>
    <w:rsid w:val="517E81B4"/>
    <w:rsid w:val="51892CB4"/>
    <w:rsid w:val="51A1C55D"/>
    <w:rsid w:val="51A28198"/>
    <w:rsid w:val="51A6FEC9"/>
    <w:rsid w:val="51AA7C37"/>
    <w:rsid w:val="51BEB73A"/>
    <w:rsid w:val="51D51514"/>
    <w:rsid w:val="51D799A0"/>
    <w:rsid w:val="51F24A13"/>
    <w:rsid w:val="5222D050"/>
    <w:rsid w:val="522A5A96"/>
    <w:rsid w:val="5230F171"/>
    <w:rsid w:val="5239F87E"/>
    <w:rsid w:val="524D3D51"/>
    <w:rsid w:val="5255D902"/>
    <w:rsid w:val="526773A2"/>
    <w:rsid w:val="52705C49"/>
    <w:rsid w:val="528AA698"/>
    <w:rsid w:val="528E0AB2"/>
    <w:rsid w:val="5296B0B8"/>
    <w:rsid w:val="52BCD7D9"/>
    <w:rsid w:val="52D27217"/>
    <w:rsid w:val="52DAB430"/>
    <w:rsid w:val="52DE468A"/>
    <w:rsid w:val="52E24327"/>
    <w:rsid w:val="52F719C4"/>
    <w:rsid w:val="532385BE"/>
    <w:rsid w:val="53343A40"/>
    <w:rsid w:val="5361CE0B"/>
    <w:rsid w:val="5366F7C4"/>
    <w:rsid w:val="537701D4"/>
    <w:rsid w:val="537BA60F"/>
    <w:rsid w:val="537F8A6F"/>
    <w:rsid w:val="5388D14E"/>
    <w:rsid w:val="538E8AE0"/>
    <w:rsid w:val="53AABD5C"/>
    <w:rsid w:val="53B8B26B"/>
    <w:rsid w:val="53C0B414"/>
    <w:rsid w:val="53C33E8A"/>
    <w:rsid w:val="53DE5CFC"/>
    <w:rsid w:val="53ED1B0E"/>
    <w:rsid w:val="53FB63FD"/>
    <w:rsid w:val="5439E601"/>
    <w:rsid w:val="543F6916"/>
    <w:rsid w:val="5449FC01"/>
    <w:rsid w:val="54512213"/>
    <w:rsid w:val="545BDA6A"/>
    <w:rsid w:val="54603BC8"/>
    <w:rsid w:val="5466CCF5"/>
    <w:rsid w:val="5474F08F"/>
    <w:rsid w:val="54776B33"/>
    <w:rsid w:val="547E2FBE"/>
    <w:rsid w:val="549320D1"/>
    <w:rsid w:val="54976BF9"/>
    <w:rsid w:val="54B6886C"/>
    <w:rsid w:val="54D4FD4E"/>
    <w:rsid w:val="54D8BF62"/>
    <w:rsid w:val="54FC0A83"/>
    <w:rsid w:val="5500FE99"/>
    <w:rsid w:val="5501564C"/>
    <w:rsid w:val="55018CC0"/>
    <w:rsid w:val="55080D5E"/>
    <w:rsid w:val="550EE09C"/>
    <w:rsid w:val="55239697"/>
    <w:rsid w:val="5535504C"/>
    <w:rsid w:val="55681890"/>
    <w:rsid w:val="55731FA8"/>
    <w:rsid w:val="557F8192"/>
    <w:rsid w:val="55A8A466"/>
    <w:rsid w:val="55B95A77"/>
    <w:rsid w:val="55EC1CF2"/>
    <w:rsid w:val="55ED977E"/>
    <w:rsid w:val="55FBD333"/>
    <w:rsid w:val="55FD0A8F"/>
    <w:rsid w:val="56047BA9"/>
    <w:rsid w:val="560F7615"/>
    <w:rsid w:val="5612CB49"/>
    <w:rsid w:val="56177D2E"/>
    <w:rsid w:val="561C8A2C"/>
    <w:rsid w:val="561F1DD3"/>
    <w:rsid w:val="56471582"/>
    <w:rsid w:val="564FCD8F"/>
    <w:rsid w:val="5651C99F"/>
    <w:rsid w:val="565B451A"/>
    <w:rsid w:val="565E03E5"/>
    <w:rsid w:val="56738824"/>
    <w:rsid w:val="5675FFFC"/>
    <w:rsid w:val="567DBE82"/>
    <w:rsid w:val="56855CAA"/>
    <w:rsid w:val="5688614E"/>
    <w:rsid w:val="5699135E"/>
    <w:rsid w:val="56E0A75C"/>
    <w:rsid w:val="56E1231A"/>
    <w:rsid w:val="56EAEA6F"/>
    <w:rsid w:val="56EE0850"/>
    <w:rsid w:val="5706BA58"/>
    <w:rsid w:val="571D173F"/>
    <w:rsid w:val="572DED33"/>
    <w:rsid w:val="574DBC43"/>
    <w:rsid w:val="575FEB9B"/>
    <w:rsid w:val="5768AF95"/>
    <w:rsid w:val="57768FB5"/>
    <w:rsid w:val="582358F1"/>
    <w:rsid w:val="5831EFAC"/>
    <w:rsid w:val="5835363E"/>
    <w:rsid w:val="5837EBF9"/>
    <w:rsid w:val="5842988B"/>
    <w:rsid w:val="58592C1B"/>
    <w:rsid w:val="585D515E"/>
    <w:rsid w:val="58682A22"/>
    <w:rsid w:val="586A83CC"/>
    <w:rsid w:val="586F8B61"/>
    <w:rsid w:val="58A6CED2"/>
    <w:rsid w:val="58A7A083"/>
    <w:rsid w:val="58C79274"/>
    <w:rsid w:val="58CE2683"/>
    <w:rsid w:val="58D14960"/>
    <w:rsid w:val="58D183E6"/>
    <w:rsid w:val="58E46C9F"/>
    <w:rsid w:val="590863B0"/>
    <w:rsid w:val="5943390C"/>
    <w:rsid w:val="59479F62"/>
    <w:rsid w:val="5967481A"/>
    <w:rsid w:val="5975BC76"/>
    <w:rsid w:val="59775D90"/>
    <w:rsid w:val="59916909"/>
    <w:rsid w:val="59A3CA9A"/>
    <w:rsid w:val="59C9B34B"/>
    <w:rsid w:val="59D3F554"/>
    <w:rsid w:val="59F38256"/>
    <w:rsid w:val="5A003130"/>
    <w:rsid w:val="5A0BC700"/>
    <w:rsid w:val="5A0F6229"/>
    <w:rsid w:val="5A2114D1"/>
    <w:rsid w:val="5A4B5D0C"/>
    <w:rsid w:val="5A58AE01"/>
    <w:rsid w:val="5A69BB91"/>
    <w:rsid w:val="5A6C1EA5"/>
    <w:rsid w:val="5A7B269A"/>
    <w:rsid w:val="5AB438A4"/>
    <w:rsid w:val="5AB50454"/>
    <w:rsid w:val="5AC67230"/>
    <w:rsid w:val="5AD9D572"/>
    <w:rsid w:val="5ADD877F"/>
    <w:rsid w:val="5AE78779"/>
    <w:rsid w:val="5AEB4160"/>
    <w:rsid w:val="5AF66A85"/>
    <w:rsid w:val="5AFCE862"/>
    <w:rsid w:val="5AFF9D53"/>
    <w:rsid w:val="5B193E01"/>
    <w:rsid w:val="5B3230F9"/>
    <w:rsid w:val="5B36210D"/>
    <w:rsid w:val="5B4F1601"/>
    <w:rsid w:val="5B62BAFB"/>
    <w:rsid w:val="5B75431D"/>
    <w:rsid w:val="5B7C556D"/>
    <w:rsid w:val="5B8DBDC2"/>
    <w:rsid w:val="5B9AEB5B"/>
    <w:rsid w:val="5BA4BC22"/>
    <w:rsid w:val="5BACC925"/>
    <w:rsid w:val="5BB64E91"/>
    <w:rsid w:val="5BBCE18D"/>
    <w:rsid w:val="5BC32E8C"/>
    <w:rsid w:val="5BC7CDB2"/>
    <w:rsid w:val="5BD564A7"/>
    <w:rsid w:val="5BE6FD07"/>
    <w:rsid w:val="5BF1EAB7"/>
    <w:rsid w:val="5BF390CA"/>
    <w:rsid w:val="5BFDB236"/>
    <w:rsid w:val="5C09FF56"/>
    <w:rsid w:val="5C14FBBA"/>
    <w:rsid w:val="5C1BC8AE"/>
    <w:rsid w:val="5C226E99"/>
    <w:rsid w:val="5C2C162D"/>
    <w:rsid w:val="5C47F429"/>
    <w:rsid w:val="5C57EF01"/>
    <w:rsid w:val="5C75318F"/>
    <w:rsid w:val="5C8A50F2"/>
    <w:rsid w:val="5C96839C"/>
    <w:rsid w:val="5CAFB63E"/>
    <w:rsid w:val="5CC98971"/>
    <w:rsid w:val="5CD63412"/>
    <w:rsid w:val="5CFEDF8B"/>
    <w:rsid w:val="5D15AB56"/>
    <w:rsid w:val="5D56F018"/>
    <w:rsid w:val="5D5E5ABB"/>
    <w:rsid w:val="5D76EA31"/>
    <w:rsid w:val="5D7FEB77"/>
    <w:rsid w:val="5D8864AB"/>
    <w:rsid w:val="5DB624F7"/>
    <w:rsid w:val="5DCE7F2C"/>
    <w:rsid w:val="5DD1755A"/>
    <w:rsid w:val="5DD5C173"/>
    <w:rsid w:val="5DEC7624"/>
    <w:rsid w:val="5DF30A74"/>
    <w:rsid w:val="5DFDBFA4"/>
    <w:rsid w:val="5E050AB8"/>
    <w:rsid w:val="5E3237F1"/>
    <w:rsid w:val="5E702DBC"/>
    <w:rsid w:val="5E746E76"/>
    <w:rsid w:val="5EB5E78B"/>
    <w:rsid w:val="5ECDE295"/>
    <w:rsid w:val="5EE562FF"/>
    <w:rsid w:val="5EE82745"/>
    <w:rsid w:val="5EEDB81F"/>
    <w:rsid w:val="5EF26250"/>
    <w:rsid w:val="5F0A26BE"/>
    <w:rsid w:val="5F1EE825"/>
    <w:rsid w:val="5F463B14"/>
    <w:rsid w:val="5F4A9A6B"/>
    <w:rsid w:val="5F559146"/>
    <w:rsid w:val="5F6FEAFC"/>
    <w:rsid w:val="5F78E948"/>
    <w:rsid w:val="5FB3A949"/>
    <w:rsid w:val="5FBF48C7"/>
    <w:rsid w:val="5FCB1975"/>
    <w:rsid w:val="5FE5406C"/>
    <w:rsid w:val="5FEF98A1"/>
    <w:rsid w:val="5FF0CD75"/>
    <w:rsid w:val="5FF7A20B"/>
    <w:rsid w:val="600FFA0B"/>
    <w:rsid w:val="6015FF34"/>
    <w:rsid w:val="6017B1FD"/>
    <w:rsid w:val="604288AA"/>
    <w:rsid w:val="60544350"/>
    <w:rsid w:val="6058BF0D"/>
    <w:rsid w:val="606664F0"/>
    <w:rsid w:val="60674949"/>
    <w:rsid w:val="60827839"/>
    <w:rsid w:val="608433F7"/>
    <w:rsid w:val="6088B092"/>
    <w:rsid w:val="608DF28E"/>
    <w:rsid w:val="60A130AA"/>
    <w:rsid w:val="60CCAE62"/>
    <w:rsid w:val="60D7CB13"/>
    <w:rsid w:val="60D9A7B5"/>
    <w:rsid w:val="60DCBC1E"/>
    <w:rsid w:val="60E06080"/>
    <w:rsid w:val="60F30486"/>
    <w:rsid w:val="60FC24A1"/>
    <w:rsid w:val="6109EBCE"/>
    <w:rsid w:val="610ED775"/>
    <w:rsid w:val="610EE5EF"/>
    <w:rsid w:val="61507DAE"/>
    <w:rsid w:val="6154AD24"/>
    <w:rsid w:val="616EB022"/>
    <w:rsid w:val="617B0880"/>
    <w:rsid w:val="617E44EE"/>
    <w:rsid w:val="6180DFC3"/>
    <w:rsid w:val="61853015"/>
    <w:rsid w:val="61976683"/>
    <w:rsid w:val="61B61C28"/>
    <w:rsid w:val="61CFF5BD"/>
    <w:rsid w:val="61EA12FE"/>
    <w:rsid w:val="61ED0EA0"/>
    <w:rsid w:val="621A57F3"/>
    <w:rsid w:val="62301E61"/>
    <w:rsid w:val="623706B0"/>
    <w:rsid w:val="62584E13"/>
    <w:rsid w:val="625F49CD"/>
    <w:rsid w:val="62835D31"/>
    <w:rsid w:val="628686DD"/>
    <w:rsid w:val="628CB12D"/>
    <w:rsid w:val="628EDEBB"/>
    <w:rsid w:val="62976AC7"/>
    <w:rsid w:val="62A48CF8"/>
    <w:rsid w:val="62ABF7D0"/>
    <w:rsid w:val="62CAA3CD"/>
    <w:rsid w:val="62CAF891"/>
    <w:rsid w:val="62CDE5BE"/>
    <w:rsid w:val="62F0FD6D"/>
    <w:rsid w:val="6300E753"/>
    <w:rsid w:val="63510F3F"/>
    <w:rsid w:val="63542A41"/>
    <w:rsid w:val="635B6E8E"/>
    <w:rsid w:val="63681840"/>
    <w:rsid w:val="636B609F"/>
    <w:rsid w:val="63741BEE"/>
    <w:rsid w:val="63870BB3"/>
    <w:rsid w:val="638FC767"/>
    <w:rsid w:val="6397655F"/>
    <w:rsid w:val="63981D29"/>
    <w:rsid w:val="639C655E"/>
    <w:rsid w:val="639FFC4A"/>
    <w:rsid w:val="63B50E6A"/>
    <w:rsid w:val="63C3EF4B"/>
    <w:rsid w:val="63C6396F"/>
    <w:rsid w:val="63E04C0A"/>
    <w:rsid w:val="63F01BA6"/>
    <w:rsid w:val="640D6CBB"/>
    <w:rsid w:val="642D271D"/>
    <w:rsid w:val="643D3B58"/>
    <w:rsid w:val="6441BA25"/>
    <w:rsid w:val="64BD3044"/>
    <w:rsid w:val="64C02A99"/>
    <w:rsid w:val="64E8F275"/>
    <w:rsid w:val="6501BCB7"/>
    <w:rsid w:val="65060183"/>
    <w:rsid w:val="6527F082"/>
    <w:rsid w:val="65593E30"/>
    <w:rsid w:val="656FECC9"/>
    <w:rsid w:val="6572CA37"/>
    <w:rsid w:val="658056B0"/>
    <w:rsid w:val="6592DE57"/>
    <w:rsid w:val="65975E95"/>
    <w:rsid w:val="65B0A795"/>
    <w:rsid w:val="65B6CFBC"/>
    <w:rsid w:val="65F13239"/>
    <w:rsid w:val="65F50B41"/>
    <w:rsid w:val="65FC3AD4"/>
    <w:rsid w:val="65FDD803"/>
    <w:rsid w:val="660F9E44"/>
    <w:rsid w:val="663D6B55"/>
    <w:rsid w:val="6644EC99"/>
    <w:rsid w:val="6648ACD5"/>
    <w:rsid w:val="6648DD93"/>
    <w:rsid w:val="665D6E96"/>
    <w:rsid w:val="666604B1"/>
    <w:rsid w:val="66684499"/>
    <w:rsid w:val="666FDB4B"/>
    <w:rsid w:val="66716884"/>
    <w:rsid w:val="66773D4F"/>
    <w:rsid w:val="667FBF4D"/>
    <w:rsid w:val="6696AE48"/>
    <w:rsid w:val="669C86EC"/>
    <w:rsid w:val="66A88AE2"/>
    <w:rsid w:val="66AAFEBE"/>
    <w:rsid w:val="66BB2FFD"/>
    <w:rsid w:val="66EAA37A"/>
    <w:rsid w:val="66F6DF3D"/>
    <w:rsid w:val="66FA7C3A"/>
    <w:rsid w:val="66FE6F32"/>
    <w:rsid w:val="670A2711"/>
    <w:rsid w:val="671248A9"/>
    <w:rsid w:val="672FF3E5"/>
    <w:rsid w:val="67436CEB"/>
    <w:rsid w:val="674685B8"/>
    <w:rsid w:val="675931BC"/>
    <w:rsid w:val="6777CD93"/>
    <w:rsid w:val="6778E586"/>
    <w:rsid w:val="679980E5"/>
    <w:rsid w:val="67A03B88"/>
    <w:rsid w:val="67B00D2A"/>
    <w:rsid w:val="67B42924"/>
    <w:rsid w:val="67C30BAD"/>
    <w:rsid w:val="67D358D3"/>
    <w:rsid w:val="67DC6196"/>
    <w:rsid w:val="67E06C59"/>
    <w:rsid w:val="683E05F0"/>
    <w:rsid w:val="68450CFB"/>
    <w:rsid w:val="6861A1C5"/>
    <w:rsid w:val="6867691B"/>
    <w:rsid w:val="686C8633"/>
    <w:rsid w:val="68734381"/>
    <w:rsid w:val="68755691"/>
    <w:rsid w:val="68A00F79"/>
    <w:rsid w:val="68A27100"/>
    <w:rsid w:val="68AA05AE"/>
    <w:rsid w:val="68AE8EC4"/>
    <w:rsid w:val="68C75CA7"/>
    <w:rsid w:val="68CC6E49"/>
    <w:rsid w:val="68E35F5E"/>
    <w:rsid w:val="68E3BFBE"/>
    <w:rsid w:val="68E56EF0"/>
    <w:rsid w:val="68EE10E9"/>
    <w:rsid w:val="6911BE48"/>
    <w:rsid w:val="691B2C7D"/>
    <w:rsid w:val="691F5ED1"/>
    <w:rsid w:val="69289ABF"/>
    <w:rsid w:val="6931793A"/>
    <w:rsid w:val="6936860F"/>
    <w:rsid w:val="6936F0CC"/>
    <w:rsid w:val="69386A1A"/>
    <w:rsid w:val="694583ED"/>
    <w:rsid w:val="6957C0F1"/>
    <w:rsid w:val="6963962E"/>
    <w:rsid w:val="697CABE2"/>
    <w:rsid w:val="6983E576"/>
    <w:rsid w:val="699329F4"/>
    <w:rsid w:val="69B56ED2"/>
    <w:rsid w:val="69CA2D7E"/>
    <w:rsid w:val="69E06CCC"/>
    <w:rsid w:val="69E309A8"/>
    <w:rsid w:val="69F834A9"/>
    <w:rsid w:val="6A1058A1"/>
    <w:rsid w:val="6A36D95D"/>
    <w:rsid w:val="6A3986FE"/>
    <w:rsid w:val="6A3AB706"/>
    <w:rsid w:val="6A494CC5"/>
    <w:rsid w:val="6A504F17"/>
    <w:rsid w:val="6A690DD0"/>
    <w:rsid w:val="6A840067"/>
    <w:rsid w:val="6A994EC4"/>
    <w:rsid w:val="6A9A20DD"/>
    <w:rsid w:val="6A9B315E"/>
    <w:rsid w:val="6A9F07CF"/>
    <w:rsid w:val="6A9FB4F7"/>
    <w:rsid w:val="6AA0F215"/>
    <w:rsid w:val="6AA78E42"/>
    <w:rsid w:val="6AAC29B0"/>
    <w:rsid w:val="6AB250ED"/>
    <w:rsid w:val="6AC885F1"/>
    <w:rsid w:val="6AD917B4"/>
    <w:rsid w:val="6ADF46FD"/>
    <w:rsid w:val="6AE7A16C"/>
    <w:rsid w:val="6B21D0AA"/>
    <w:rsid w:val="6B2D7749"/>
    <w:rsid w:val="6B398AB1"/>
    <w:rsid w:val="6B45C4D2"/>
    <w:rsid w:val="6B4FE21E"/>
    <w:rsid w:val="6B5412BF"/>
    <w:rsid w:val="6B77B519"/>
    <w:rsid w:val="6B882E9A"/>
    <w:rsid w:val="6B8C7BFD"/>
    <w:rsid w:val="6B8DD460"/>
    <w:rsid w:val="6B9B1ECE"/>
    <w:rsid w:val="6B9D183C"/>
    <w:rsid w:val="6BADB1F3"/>
    <w:rsid w:val="6BCF2270"/>
    <w:rsid w:val="6BF58048"/>
    <w:rsid w:val="6C1256D9"/>
    <w:rsid w:val="6C1E8E54"/>
    <w:rsid w:val="6C32513B"/>
    <w:rsid w:val="6C36316A"/>
    <w:rsid w:val="6C3B0CB4"/>
    <w:rsid w:val="6C683132"/>
    <w:rsid w:val="6C7964B6"/>
    <w:rsid w:val="6C80D68E"/>
    <w:rsid w:val="6C89BFF3"/>
    <w:rsid w:val="6C9C1269"/>
    <w:rsid w:val="6CA3C8C7"/>
    <w:rsid w:val="6CBBF3A3"/>
    <w:rsid w:val="6CC2FBD5"/>
    <w:rsid w:val="6CC598CF"/>
    <w:rsid w:val="6CC6D244"/>
    <w:rsid w:val="6CC7C0FD"/>
    <w:rsid w:val="6CCD213D"/>
    <w:rsid w:val="6D026084"/>
    <w:rsid w:val="6D229BF9"/>
    <w:rsid w:val="6D2CE540"/>
    <w:rsid w:val="6D2F04C1"/>
    <w:rsid w:val="6D2FF900"/>
    <w:rsid w:val="6D366EA5"/>
    <w:rsid w:val="6D483A79"/>
    <w:rsid w:val="6D70FBFB"/>
    <w:rsid w:val="6D9BB245"/>
    <w:rsid w:val="6DB2E918"/>
    <w:rsid w:val="6DBB7E27"/>
    <w:rsid w:val="6DD2F75B"/>
    <w:rsid w:val="6DD7EB5E"/>
    <w:rsid w:val="6E0A400D"/>
    <w:rsid w:val="6E1EBBE6"/>
    <w:rsid w:val="6E2A992D"/>
    <w:rsid w:val="6E36544B"/>
    <w:rsid w:val="6E40918C"/>
    <w:rsid w:val="6E4C5ACA"/>
    <w:rsid w:val="6E4E9DBA"/>
    <w:rsid w:val="6E723E82"/>
    <w:rsid w:val="6E816E41"/>
    <w:rsid w:val="6E8F5B29"/>
    <w:rsid w:val="6EADAF76"/>
    <w:rsid w:val="6EB290B7"/>
    <w:rsid w:val="6EC2A5CF"/>
    <w:rsid w:val="6EC45341"/>
    <w:rsid w:val="6EC64FE1"/>
    <w:rsid w:val="6ECC331C"/>
    <w:rsid w:val="6ECED79C"/>
    <w:rsid w:val="6ED43F3B"/>
    <w:rsid w:val="6ED5D348"/>
    <w:rsid w:val="6EF7D916"/>
    <w:rsid w:val="6F107892"/>
    <w:rsid w:val="6F22807B"/>
    <w:rsid w:val="6F3D560D"/>
    <w:rsid w:val="6F4A783B"/>
    <w:rsid w:val="6F525399"/>
    <w:rsid w:val="6F5C8B2D"/>
    <w:rsid w:val="6F6A5F71"/>
    <w:rsid w:val="6F7A3A0C"/>
    <w:rsid w:val="6F7A7E5B"/>
    <w:rsid w:val="6FBB1874"/>
    <w:rsid w:val="6FBD6884"/>
    <w:rsid w:val="6FE420D2"/>
    <w:rsid w:val="6FFAE9C6"/>
    <w:rsid w:val="6FFFCF4F"/>
    <w:rsid w:val="70059490"/>
    <w:rsid w:val="700C15B1"/>
    <w:rsid w:val="70127ACC"/>
    <w:rsid w:val="701E0C90"/>
    <w:rsid w:val="703155FC"/>
    <w:rsid w:val="70414268"/>
    <w:rsid w:val="70534169"/>
    <w:rsid w:val="7054528E"/>
    <w:rsid w:val="70675673"/>
    <w:rsid w:val="70677192"/>
    <w:rsid w:val="706D0795"/>
    <w:rsid w:val="70ADA006"/>
    <w:rsid w:val="70B21638"/>
    <w:rsid w:val="70C84436"/>
    <w:rsid w:val="70D1EF37"/>
    <w:rsid w:val="70E18EB2"/>
    <w:rsid w:val="70E7B674"/>
    <w:rsid w:val="70F17678"/>
    <w:rsid w:val="70FC1BD4"/>
    <w:rsid w:val="71121A60"/>
    <w:rsid w:val="71483DA4"/>
    <w:rsid w:val="714BC7A8"/>
    <w:rsid w:val="71504F85"/>
    <w:rsid w:val="715AEFD4"/>
    <w:rsid w:val="7165BF4F"/>
    <w:rsid w:val="716E7664"/>
    <w:rsid w:val="71836351"/>
    <w:rsid w:val="719EA040"/>
    <w:rsid w:val="71A39196"/>
    <w:rsid w:val="71AAA75C"/>
    <w:rsid w:val="71BDF725"/>
    <w:rsid w:val="71C16B2E"/>
    <w:rsid w:val="71CCE12B"/>
    <w:rsid w:val="71D1BE94"/>
    <w:rsid w:val="71DE5D70"/>
    <w:rsid w:val="71ED0460"/>
    <w:rsid w:val="723B1ED3"/>
    <w:rsid w:val="725059EA"/>
    <w:rsid w:val="728A5F3B"/>
    <w:rsid w:val="72927E8A"/>
    <w:rsid w:val="72AD4A14"/>
    <w:rsid w:val="72BA43A6"/>
    <w:rsid w:val="72C611C2"/>
    <w:rsid w:val="72C9D79F"/>
    <w:rsid w:val="72D76DC7"/>
    <w:rsid w:val="72EEA9C4"/>
    <w:rsid w:val="72F22680"/>
    <w:rsid w:val="73058993"/>
    <w:rsid w:val="73105ECC"/>
    <w:rsid w:val="7312634F"/>
    <w:rsid w:val="73356002"/>
    <w:rsid w:val="7341532C"/>
    <w:rsid w:val="73540747"/>
    <w:rsid w:val="735B84E1"/>
    <w:rsid w:val="735F24CF"/>
    <w:rsid w:val="73699CFB"/>
    <w:rsid w:val="7371EB3D"/>
    <w:rsid w:val="737619A2"/>
    <w:rsid w:val="7380E4D1"/>
    <w:rsid w:val="73823334"/>
    <w:rsid w:val="7391DAD4"/>
    <w:rsid w:val="739C5ED5"/>
    <w:rsid w:val="73A5F4AF"/>
    <w:rsid w:val="73B0D862"/>
    <w:rsid w:val="73BE16C8"/>
    <w:rsid w:val="73EA77E6"/>
    <w:rsid w:val="73FFC824"/>
    <w:rsid w:val="74080C43"/>
    <w:rsid w:val="740D8929"/>
    <w:rsid w:val="7414C458"/>
    <w:rsid w:val="7422F12C"/>
    <w:rsid w:val="74363456"/>
    <w:rsid w:val="743A3118"/>
    <w:rsid w:val="7441F8BE"/>
    <w:rsid w:val="7445544A"/>
    <w:rsid w:val="7448474E"/>
    <w:rsid w:val="7449E82E"/>
    <w:rsid w:val="745B0175"/>
    <w:rsid w:val="74868E8D"/>
    <w:rsid w:val="7491EAB2"/>
    <w:rsid w:val="7494F413"/>
    <w:rsid w:val="74D69428"/>
    <w:rsid w:val="74D6EEAE"/>
    <w:rsid w:val="74EC1E8B"/>
    <w:rsid w:val="7509E679"/>
    <w:rsid w:val="7526A106"/>
    <w:rsid w:val="75290D47"/>
    <w:rsid w:val="752B7F44"/>
    <w:rsid w:val="75407A35"/>
    <w:rsid w:val="754C6DAB"/>
    <w:rsid w:val="754E41F2"/>
    <w:rsid w:val="7560BD80"/>
    <w:rsid w:val="756785B2"/>
    <w:rsid w:val="7589F32D"/>
    <w:rsid w:val="758AB775"/>
    <w:rsid w:val="75B9FE56"/>
    <w:rsid w:val="75C5FDF5"/>
    <w:rsid w:val="75CE1367"/>
    <w:rsid w:val="75D4DC7D"/>
    <w:rsid w:val="75F39E9A"/>
    <w:rsid w:val="76065BC1"/>
    <w:rsid w:val="760D63FD"/>
    <w:rsid w:val="761B6C2C"/>
    <w:rsid w:val="7624D69A"/>
    <w:rsid w:val="7647CE42"/>
    <w:rsid w:val="764B45E6"/>
    <w:rsid w:val="7655B2B1"/>
    <w:rsid w:val="765D7DC7"/>
    <w:rsid w:val="7668D1FE"/>
    <w:rsid w:val="766D2841"/>
    <w:rsid w:val="767903CA"/>
    <w:rsid w:val="76D8C91B"/>
    <w:rsid w:val="77089D33"/>
    <w:rsid w:val="7751DEB1"/>
    <w:rsid w:val="7757B39F"/>
    <w:rsid w:val="775F0086"/>
    <w:rsid w:val="775F16AB"/>
    <w:rsid w:val="776A25F9"/>
    <w:rsid w:val="7773BCCD"/>
    <w:rsid w:val="7795A6BD"/>
    <w:rsid w:val="77A3927A"/>
    <w:rsid w:val="77AC3B46"/>
    <w:rsid w:val="77C23A02"/>
    <w:rsid w:val="77D8272B"/>
    <w:rsid w:val="77EAABD5"/>
    <w:rsid w:val="77EAC0AF"/>
    <w:rsid w:val="781C8372"/>
    <w:rsid w:val="781E218F"/>
    <w:rsid w:val="782BE369"/>
    <w:rsid w:val="782C0EC3"/>
    <w:rsid w:val="782F9AAA"/>
    <w:rsid w:val="783AB1F8"/>
    <w:rsid w:val="783DEFC5"/>
    <w:rsid w:val="7841981C"/>
    <w:rsid w:val="7845BBB9"/>
    <w:rsid w:val="785C671D"/>
    <w:rsid w:val="78641C27"/>
    <w:rsid w:val="7869CFC5"/>
    <w:rsid w:val="786A5D7B"/>
    <w:rsid w:val="788865E9"/>
    <w:rsid w:val="789A80D7"/>
    <w:rsid w:val="789D0726"/>
    <w:rsid w:val="78AF3D90"/>
    <w:rsid w:val="78B7D273"/>
    <w:rsid w:val="78C1B5DF"/>
    <w:rsid w:val="78D719C8"/>
    <w:rsid w:val="78DEB223"/>
    <w:rsid w:val="78F3B49B"/>
    <w:rsid w:val="78FBF58B"/>
    <w:rsid w:val="79035872"/>
    <w:rsid w:val="790C867A"/>
    <w:rsid w:val="790D0F8E"/>
    <w:rsid w:val="79180B49"/>
    <w:rsid w:val="79212D73"/>
    <w:rsid w:val="792822E8"/>
    <w:rsid w:val="792E69E1"/>
    <w:rsid w:val="7939FD4D"/>
    <w:rsid w:val="7952F3B2"/>
    <w:rsid w:val="79639379"/>
    <w:rsid w:val="79657D21"/>
    <w:rsid w:val="7976C4D5"/>
    <w:rsid w:val="79775ED0"/>
    <w:rsid w:val="79880706"/>
    <w:rsid w:val="7994E414"/>
    <w:rsid w:val="79C0F9C9"/>
    <w:rsid w:val="79DE2B80"/>
    <w:rsid w:val="79FD6659"/>
    <w:rsid w:val="7A05A530"/>
    <w:rsid w:val="7A2C6A26"/>
    <w:rsid w:val="7A2F8345"/>
    <w:rsid w:val="7A3329FA"/>
    <w:rsid w:val="7A381901"/>
    <w:rsid w:val="7A4ADADC"/>
    <w:rsid w:val="7A4C414B"/>
    <w:rsid w:val="7A56E844"/>
    <w:rsid w:val="7A5E1CEE"/>
    <w:rsid w:val="7A7A1AE7"/>
    <w:rsid w:val="7A8784F8"/>
    <w:rsid w:val="7AB10A8D"/>
    <w:rsid w:val="7ABFF56B"/>
    <w:rsid w:val="7AC68FCC"/>
    <w:rsid w:val="7AD8185B"/>
    <w:rsid w:val="7AD859ED"/>
    <w:rsid w:val="7AE83246"/>
    <w:rsid w:val="7AF6D309"/>
    <w:rsid w:val="7AFEBD1D"/>
    <w:rsid w:val="7B06C163"/>
    <w:rsid w:val="7B2DEF36"/>
    <w:rsid w:val="7B3E80FF"/>
    <w:rsid w:val="7B46E5D3"/>
    <w:rsid w:val="7B4DF892"/>
    <w:rsid w:val="7B5177BC"/>
    <w:rsid w:val="7B5A415D"/>
    <w:rsid w:val="7B6892D6"/>
    <w:rsid w:val="7B71B0B7"/>
    <w:rsid w:val="7B84905D"/>
    <w:rsid w:val="7B877CAC"/>
    <w:rsid w:val="7B8E6362"/>
    <w:rsid w:val="7B914F42"/>
    <w:rsid w:val="7B9F188F"/>
    <w:rsid w:val="7BB6F4FD"/>
    <w:rsid w:val="7BB956E8"/>
    <w:rsid w:val="7BBE504F"/>
    <w:rsid w:val="7C39EE0C"/>
    <w:rsid w:val="7C3CCDFE"/>
    <w:rsid w:val="7C492A58"/>
    <w:rsid w:val="7C627947"/>
    <w:rsid w:val="7C6314CA"/>
    <w:rsid w:val="7C72AEFF"/>
    <w:rsid w:val="7C84C661"/>
    <w:rsid w:val="7C875B74"/>
    <w:rsid w:val="7C93F4EE"/>
    <w:rsid w:val="7C987483"/>
    <w:rsid w:val="7C995C6B"/>
    <w:rsid w:val="7CB45637"/>
    <w:rsid w:val="7CB8E8D2"/>
    <w:rsid w:val="7CE03F7A"/>
    <w:rsid w:val="7CE908F2"/>
    <w:rsid w:val="7CEA108F"/>
    <w:rsid w:val="7CEF9789"/>
    <w:rsid w:val="7CF57FE4"/>
    <w:rsid w:val="7D09FBED"/>
    <w:rsid w:val="7D12B4F5"/>
    <w:rsid w:val="7D16AF17"/>
    <w:rsid w:val="7D1D2FE9"/>
    <w:rsid w:val="7D1F8743"/>
    <w:rsid w:val="7D246FA6"/>
    <w:rsid w:val="7D305FA7"/>
    <w:rsid w:val="7D330A04"/>
    <w:rsid w:val="7D438720"/>
    <w:rsid w:val="7D4BF1E6"/>
    <w:rsid w:val="7D5A86F2"/>
    <w:rsid w:val="7D6D9467"/>
    <w:rsid w:val="7D9C03BB"/>
    <w:rsid w:val="7D9DA559"/>
    <w:rsid w:val="7DB9B62C"/>
    <w:rsid w:val="7DC56DFD"/>
    <w:rsid w:val="7DD11667"/>
    <w:rsid w:val="7DE02A15"/>
    <w:rsid w:val="7DEEAE93"/>
    <w:rsid w:val="7DF1BDBF"/>
    <w:rsid w:val="7DF34998"/>
    <w:rsid w:val="7DF684FF"/>
    <w:rsid w:val="7DFAA2F1"/>
    <w:rsid w:val="7E1CF658"/>
    <w:rsid w:val="7E71CA39"/>
    <w:rsid w:val="7E7E91FC"/>
    <w:rsid w:val="7E972316"/>
    <w:rsid w:val="7E9E8739"/>
    <w:rsid w:val="7EB48429"/>
    <w:rsid w:val="7EC7DA38"/>
    <w:rsid w:val="7ECF408B"/>
    <w:rsid w:val="7ED6EF47"/>
    <w:rsid w:val="7EDBD40B"/>
    <w:rsid w:val="7EDD5A18"/>
    <w:rsid w:val="7EE84844"/>
    <w:rsid w:val="7EFE2B22"/>
    <w:rsid w:val="7F0499AD"/>
    <w:rsid w:val="7F0BFB6E"/>
    <w:rsid w:val="7F12DF31"/>
    <w:rsid w:val="7F186CA3"/>
    <w:rsid w:val="7F1D8869"/>
    <w:rsid w:val="7F3B7851"/>
    <w:rsid w:val="7F41BD42"/>
    <w:rsid w:val="7F5665BC"/>
    <w:rsid w:val="7F643BAE"/>
    <w:rsid w:val="7F669F32"/>
    <w:rsid w:val="7F8EADFC"/>
    <w:rsid w:val="7F8EB1F3"/>
    <w:rsid w:val="7F9A119B"/>
    <w:rsid w:val="7FA6DFE4"/>
    <w:rsid w:val="7FD2B9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DF471C"/>
  <w15:chartTrackingRefBased/>
  <w15:docId w15:val="{3C7B6012-0778-49F0-ABC5-53CD5EB6C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1C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1C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31C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1C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1C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1C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1C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1C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1C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1C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31C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31C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1C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1C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1C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1C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1C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1C40"/>
    <w:rPr>
      <w:rFonts w:eastAsiaTheme="majorEastAsia" w:cstheme="majorBidi"/>
      <w:color w:val="272727" w:themeColor="text1" w:themeTint="D8"/>
    </w:rPr>
  </w:style>
  <w:style w:type="paragraph" w:styleId="Title">
    <w:name w:val="Title"/>
    <w:basedOn w:val="Normal"/>
    <w:next w:val="Normal"/>
    <w:link w:val="TitleChar"/>
    <w:uiPriority w:val="10"/>
    <w:qFormat/>
    <w:rsid w:val="00031C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1C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1C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1C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1C40"/>
    <w:pPr>
      <w:spacing w:before="160"/>
      <w:jc w:val="center"/>
    </w:pPr>
    <w:rPr>
      <w:i/>
      <w:iCs/>
      <w:color w:val="404040" w:themeColor="text1" w:themeTint="BF"/>
    </w:rPr>
  </w:style>
  <w:style w:type="character" w:customStyle="1" w:styleId="QuoteChar">
    <w:name w:val="Quote Char"/>
    <w:basedOn w:val="DefaultParagraphFont"/>
    <w:link w:val="Quote"/>
    <w:uiPriority w:val="29"/>
    <w:rsid w:val="00031C40"/>
    <w:rPr>
      <w:i/>
      <w:iCs/>
      <w:color w:val="404040" w:themeColor="text1" w:themeTint="BF"/>
    </w:rPr>
  </w:style>
  <w:style w:type="paragraph" w:styleId="ListParagraph">
    <w:name w:val="List Paragraph"/>
    <w:basedOn w:val="Normal"/>
    <w:uiPriority w:val="34"/>
    <w:qFormat/>
    <w:rsid w:val="00031C40"/>
    <w:pPr>
      <w:ind w:left="720"/>
      <w:contextualSpacing/>
    </w:pPr>
  </w:style>
  <w:style w:type="character" w:styleId="IntenseEmphasis">
    <w:name w:val="Intense Emphasis"/>
    <w:basedOn w:val="DefaultParagraphFont"/>
    <w:uiPriority w:val="21"/>
    <w:qFormat/>
    <w:rsid w:val="00031C40"/>
    <w:rPr>
      <w:i/>
      <w:iCs/>
      <w:color w:val="0F4761" w:themeColor="accent1" w:themeShade="BF"/>
    </w:rPr>
  </w:style>
  <w:style w:type="paragraph" w:styleId="IntenseQuote">
    <w:name w:val="Intense Quote"/>
    <w:basedOn w:val="Normal"/>
    <w:next w:val="Normal"/>
    <w:link w:val="IntenseQuoteChar"/>
    <w:uiPriority w:val="30"/>
    <w:qFormat/>
    <w:rsid w:val="00031C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1C40"/>
    <w:rPr>
      <w:i/>
      <w:iCs/>
      <w:color w:val="0F4761" w:themeColor="accent1" w:themeShade="BF"/>
    </w:rPr>
  </w:style>
  <w:style w:type="character" w:styleId="IntenseReference">
    <w:name w:val="Intense Reference"/>
    <w:basedOn w:val="DefaultParagraphFont"/>
    <w:uiPriority w:val="32"/>
    <w:qFormat/>
    <w:rsid w:val="00031C40"/>
    <w:rPr>
      <w:b/>
      <w:bCs/>
      <w:smallCaps/>
      <w:color w:val="0F4761" w:themeColor="accent1" w:themeShade="BF"/>
      <w:spacing w:val="5"/>
    </w:rPr>
  </w:style>
  <w:style w:type="character" w:styleId="Hyperlink">
    <w:name w:val="Hyperlink"/>
    <w:basedOn w:val="DefaultParagraphFont"/>
    <w:uiPriority w:val="99"/>
    <w:unhideWhenUsed/>
    <w:rsid w:val="00FD3B10"/>
    <w:rPr>
      <w:color w:val="467886"/>
      <w:u w:val="single"/>
    </w:rPr>
  </w:style>
  <w:style w:type="paragraph" w:styleId="Header">
    <w:name w:val="header"/>
    <w:basedOn w:val="Normal"/>
    <w:link w:val="HeaderChar"/>
    <w:uiPriority w:val="99"/>
    <w:unhideWhenUsed/>
    <w:rsid w:val="00757A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A2B"/>
  </w:style>
  <w:style w:type="paragraph" w:styleId="Footer">
    <w:name w:val="footer"/>
    <w:basedOn w:val="Normal"/>
    <w:link w:val="FooterChar"/>
    <w:uiPriority w:val="99"/>
    <w:unhideWhenUsed/>
    <w:rsid w:val="00757A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A2B"/>
  </w:style>
  <w:style w:type="paragraph" w:styleId="TOCHeading">
    <w:name w:val="TOC Heading"/>
    <w:basedOn w:val="Heading1"/>
    <w:next w:val="Normal"/>
    <w:uiPriority w:val="39"/>
    <w:unhideWhenUsed/>
    <w:qFormat/>
    <w:rsid w:val="005E2291"/>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5E2291"/>
    <w:pPr>
      <w:spacing w:after="100"/>
      <w:ind w:left="240"/>
    </w:pPr>
  </w:style>
  <w:style w:type="paragraph" w:styleId="TOC3">
    <w:name w:val="toc 3"/>
    <w:basedOn w:val="Normal"/>
    <w:next w:val="Normal"/>
    <w:autoRedefine/>
    <w:uiPriority w:val="39"/>
    <w:unhideWhenUsed/>
    <w:rsid w:val="005E2291"/>
    <w:pPr>
      <w:spacing w:after="100"/>
      <w:ind w:left="480"/>
    </w:pPr>
  </w:style>
  <w:style w:type="paragraph" w:styleId="TOC1">
    <w:name w:val="toc 1"/>
    <w:basedOn w:val="Normal"/>
    <w:next w:val="Normal"/>
    <w:autoRedefine/>
    <w:uiPriority w:val="39"/>
    <w:unhideWhenUsed/>
    <w:rsid w:val="005E2291"/>
    <w:pPr>
      <w:spacing w:after="100"/>
    </w:pPr>
  </w:style>
  <w:style w:type="character" w:styleId="UnresolvedMention">
    <w:name w:val="Unresolved Mention"/>
    <w:basedOn w:val="DefaultParagraphFont"/>
    <w:uiPriority w:val="99"/>
    <w:semiHidden/>
    <w:unhideWhenUsed/>
    <w:rsid w:val="00A804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kingsfund.org.uk/insight-and-analysis/reports/year-integrated-care-systems" TargetMode="External"/><Relationship Id="rId26" Type="http://schemas.openxmlformats.org/officeDocument/2006/relationships/hyperlink" Target="https://www.health.org.uk/publications/person-centred-care-made-simple" TargetMode="External"/><Relationship Id="rId39" Type="http://schemas.openxmlformats.org/officeDocument/2006/relationships/hyperlink" Target="https://www.nhs.uk/conditions/osteoarthritis/treatment/" TargetMode="External"/><Relationship Id="rId21" Type="http://schemas.openxmlformats.org/officeDocument/2006/relationships/hyperlink" Target="https://www.health.org.uk/reports-and-analysis/reports/the-nhs-long-term-plan-and-covid-19?gad_source=1&amp;gad_campaignid=1642812643&amp;gbraid=0AAAAADunFmTO8V5TG8YKfrOs1iqzrSTlu&amp;gclid=Cj0KCQjwrJTGBhCbARIsANFBfgsH6x13Z3wr0__XiZKydGIRns-ykRIYEUJCLNGgm9M1-KAKPY7q9iAaAlF-EALw_wcB" TargetMode="External"/><Relationship Id="rId34" Type="http://schemas.openxmlformats.org/officeDocument/2006/relationships/hyperlink" Target="https://onlinelibrary.wiley.com/doi/full/10.1111/j.1524-4733.2010.00757.x" TargetMode="External"/><Relationship Id="rId42" Type="http://schemas.openxmlformats.org/officeDocument/2006/relationships/hyperlink" Target="https://www.england.nhs.uk/2019/01/long-term-plan/" TargetMode="External"/><Relationship Id="rId47" Type="http://schemas.openxmlformats.org/officeDocument/2006/relationships/hyperlink" Target="https://onlinelibrary.wiley.com/doi/abs/10.1002/msc.1361" TargetMode="External"/><Relationship Id="rId50" Type="http://schemas.openxmlformats.org/officeDocument/2006/relationships/hyperlink" Target="https://doi.org/10.1016/j.apmr.2013.08.241" TargetMode="External"/><Relationship Id="rId55" Type="http://schemas.openxmlformats.org/officeDocument/2006/relationships/hyperlink" Target="https://www.sciencedirect.com/science/article/abs/pii/S1934148212000287"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arersuk.org/media/wgsij0bo/carers-ni-state-of-caringfinal.pdf" TargetMode="External"/><Relationship Id="rId29" Type="http://schemas.openxmlformats.org/officeDocument/2006/relationships/hyperlink" Target="https://academic.oup.com/bmb/article-abstract/102/1/79/312052?login=false" TargetMode="External"/><Relationship Id="rId11" Type="http://schemas.openxmlformats.org/officeDocument/2006/relationships/image" Target="media/image1.png"/><Relationship Id="rId24" Type="http://schemas.openxmlformats.org/officeDocument/2006/relationships/hyperlink" Target="https://www.tandfonline.com/doi/abs/10.1080/09638280802051721" TargetMode="External"/><Relationship Id="rId32" Type="http://schemas.openxmlformats.org/officeDocument/2006/relationships/hyperlink" Target="https://link.springer.com/article/10.1186/s13075-023-02996-x" TargetMode="External"/><Relationship Id="rId37" Type="http://schemas.openxmlformats.org/officeDocument/2006/relationships/hyperlink" Target="https://www.nice.org.uk/guidance/cg177" TargetMode="External"/><Relationship Id="rId40" Type="http://schemas.openxmlformats.org/officeDocument/2006/relationships/hyperlink" Target="https://digital.nhs.uk/data-and-information/publications/statistical/health-survey-for-england/2021" TargetMode="External"/><Relationship Id="rId45" Type="http://schemas.openxmlformats.org/officeDocument/2006/relationships/hyperlink" Target="https://www.medrxiv.org/content/10.1101/2024.06.30.24309697v2" TargetMode="External"/><Relationship Id="rId53" Type="http://schemas.openxmlformats.org/officeDocument/2006/relationships/hyperlink" Target="https://pmc.ncbi.nlm.nih.gov/articles/PMC12242706/" TargetMode="External"/><Relationship Id="rId58" Type="http://schemas.openxmlformats.org/officeDocument/2006/relationships/hyperlink" Target="https://www.who.int/news-room/fact-sheets/detail/palliative-care." TargetMode="External"/><Relationship Id="rId5" Type="http://schemas.openxmlformats.org/officeDocument/2006/relationships/numbering" Target="numbering.xml"/><Relationship Id="rId61" Type="http://schemas.openxmlformats.org/officeDocument/2006/relationships/hyperlink" Target="https://doi.org/10.3899/jrheum.150710" TargetMode="External"/><Relationship Id="rId19" Type="http://schemas.openxmlformats.org/officeDocument/2006/relationships/hyperlink" Target="https://doi.org/10.7326/M14-2559" TargetMode="External"/><Relationship Id="rId14" Type="http://schemas.openxmlformats.org/officeDocument/2006/relationships/hyperlink" Target="https://doi.org/10.1097/PSY.0b013e318185c510" TargetMode="External"/><Relationship Id="rId22" Type="http://schemas.openxmlformats.org/officeDocument/2006/relationships/hyperlink" Target="https://doi.org/10.1136/bjsports-2015-095424" TargetMode="External"/><Relationship Id="rId27" Type="http://schemas.openxmlformats.org/officeDocument/2006/relationships/hyperlink" Target="https://doi.org/10.1016/s0140-6736(19)30417-9" TargetMode="External"/><Relationship Id="rId30" Type="http://schemas.openxmlformats.org/officeDocument/2006/relationships/hyperlink" Target="https://doi.org/10.1503/cmaj.140433" TargetMode="External"/><Relationship Id="rId35" Type="http://schemas.openxmlformats.org/officeDocument/2006/relationships/hyperlink" Target="https://doi.org/10.5281/zenodo.6047154." TargetMode="External"/><Relationship Id="rId43" Type="http://schemas.openxmlformats.org/officeDocument/2006/relationships/hyperlink" Target="https://peakhealthphysio.co.uk/osteoarthritis-how-can-you-help-your-pain/" TargetMode="External"/><Relationship Id="rId48" Type="http://schemas.openxmlformats.org/officeDocument/2006/relationships/hyperlink" Target="https://bmjopen.bmj.com/content/13/10/e072462.abstract" TargetMode="External"/><Relationship Id="rId56" Type="http://schemas.openxmlformats.org/officeDocument/2006/relationships/hyperlink" Target="https://www.thelancet.com/journals/lancet/article/PIIS01406736(20)30925-9/fulltext"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kingsfund.org.uk/publications/integrated-care-systems-explained"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kingsfund.org.uk/publications/community-services-assets" TargetMode="External"/><Relationship Id="rId25" Type="http://schemas.openxmlformats.org/officeDocument/2006/relationships/hyperlink" Target="https://www.sciencedirect.com/science/article/pii/S1063458407004037" TargetMode="External"/><Relationship Id="rId33" Type="http://schemas.openxmlformats.org/officeDocument/2006/relationships/hyperlink" Target="https://www.health.org.uk/publications/reports/the-marmot-review-10-years-on" TargetMode="External"/><Relationship Id="rId38" Type="http://schemas.openxmlformats.org/officeDocument/2006/relationships/hyperlink" Target="https://reports.njrcentre.org.uk/" TargetMode="External"/><Relationship Id="rId46" Type="http://schemas.openxmlformats.org/officeDocument/2006/relationships/hyperlink" Target="https://doi.org/10.1093/rheumatology/ket291" TargetMode="External"/><Relationship Id="rId59" Type="http://schemas.openxmlformats.org/officeDocument/2006/relationships/hyperlink" Target="https://www.who.int/news-room/fact-sheets/detail/musculoskeletal-conditions" TargetMode="External"/><Relationship Id="rId20" Type="http://schemas.openxmlformats.org/officeDocument/2006/relationships/hyperlink" Target="https://www.science.org/doi/abs/10.1126/science.847460" TargetMode="External"/><Relationship Id="rId41" Type="http://schemas.openxmlformats.org/officeDocument/2006/relationships/hyperlink" Target="https://www.longtermplan.nhs.uk/" TargetMode="External"/><Relationship Id="rId54" Type="http://schemas.openxmlformats.org/officeDocument/2006/relationships/hyperlink" Target="https://www.medrxiv.org/content/10.1101/2021.10.04.21264485v1"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1002/acr.23612" TargetMode="External"/><Relationship Id="rId23" Type="http://schemas.openxmlformats.org/officeDocument/2006/relationships/hyperlink" Target="https://pubmed.ncbi.nlm.nih.gov/32165352/" TargetMode="External"/><Relationship Id="rId28" Type="http://schemas.openxmlformats.org/officeDocument/2006/relationships/hyperlink" Target="https://journals.sagepub.com/doi/abs/10.1177/1054773819858493" TargetMode="External"/><Relationship Id="rId36" Type="http://schemas.openxmlformats.org/officeDocument/2006/relationships/hyperlink" Target="https://doi.org/10.5281/zenodo.6047154" TargetMode="External"/><Relationship Id="rId49" Type="http://schemas.openxmlformats.org/officeDocument/2006/relationships/hyperlink" Target="https://www.sciencedirect.com/science/article/pii/S1063458405001123" TargetMode="External"/><Relationship Id="rId57" Type="http://schemas.openxmlformats.org/officeDocument/2006/relationships/hyperlink" Target="https://apps.who.int/iris/handle/10665/42500" TargetMode="External"/><Relationship Id="rId10" Type="http://schemas.openxmlformats.org/officeDocument/2006/relationships/endnotes" Target="endnotes.xml"/><Relationship Id="rId31" Type="http://schemas.openxmlformats.org/officeDocument/2006/relationships/hyperlink" Target="https://doi.org/10.1093/bmb/lds038" TargetMode="External"/><Relationship Id="rId44" Type="http://schemas.openxmlformats.org/officeDocument/2006/relationships/hyperlink" Target="https://www.gov.uk/government/publications/healthy-ageing-consensus-statement" TargetMode="External"/><Relationship Id="rId52" Type="http://schemas.openxmlformats.org/officeDocument/2006/relationships/hyperlink" Target="https://versusarthritis.org/about-arthritis/data-and-statistics/the-state-of-musculoskeletal-health/" TargetMode="External"/><Relationship Id="rId60" Type="http://schemas.openxmlformats.org/officeDocument/2006/relationships/hyperlink" Target="https://doi.org/10.1136/bjsports-2017-098043" TargetMode="Externa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4" ma:contentTypeDescription="Create a new document." ma:contentTypeScope="" ma:versionID="45afefa3a063e365b889fd1562f139fe">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b315f332d06f04be559a98571ac28ced"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3CD5D70F-186A-4D1B-9EF1-00091D4776D7}">
  <ds:schemaRefs>
    <ds:schemaRef ds:uri="http://schemas.microsoft.com/sharepoint/v3/contenttype/forms"/>
  </ds:schemaRefs>
</ds:datastoreItem>
</file>

<file path=customXml/itemProps2.xml><?xml version="1.0" encoding="utf-8"?>
<ds:datastoreItem xmlns:ds="http://schemas.openxmlformats.org/officeDocument/2006/customXml" ds:itemID="{D1C40A12-8079-431E-A778-C7411580D670}">
  <ds:schemaRefs>
    <ds:schemaRef ds:uri="http://schemas.openxmlformats.org/officeDocument/2006/bibliography"/>
  </ds:schemaRefs>
</ds:datastoreItem>
</file>

<file path=customXml/itemProps3.xml><?xml version="1.0" encoding="utf-8"?>
<ds:datastoreItem xmlns:ds="http://schemas.openxmlformats.org/officeDocument/2006/customXml" ds:itemID="{A1B58F45-3914-4BA1-A7B9-E48F16FCA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948ECE-B48C-4EA2-AEC3-B7044F885B44}">
  <ds:schemaRefs>
    <ds:schemaRef ds:uri="http://purl.org/dc/dcmitype/"/>
    <ds:schemaRef ds:uri="http://purl.org/dc/term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a450a3cc-050d-4aca-8a4e-543025a63de0"/>
    <ds:schemaRef ds:uri="http://schemas.microsoft.com/office/2006/metadata/properties"/>
    <ds:schemaRef ds:uri="461f81f1-dbc4-4122-adb0-1c0e154b813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6223</Words>
  <Characters>40394</Characters>
  <Application>Microsoft Office Word</Application>
  <DocSecurity>0</DocSecurity>
  <Lines>734</Lines>
  <Paragraphs>244</Paragraphs>
  <ScaleCrop>false</ScaleCrop>
  <Company/>
  <LinksUpToDate>false</LinksUpToDate>
  <CharactersWithSpaces>46373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Rosena Lucy (2210256)</dc:creator>
  <cp:keywords/>
  <dc:description/>
  <cp:lastModifiedBy>Rosena Lucy (2210256)</cp:lastModifiedBy>
  <cp:revision>2</cp:revision>
  <dcterms:created xsi:type="dcterms:W3CDTF">2025-10-16T11:53:00Z</dcterms:created>
  <dcterms:modified xsi:type="dcterms:W3CDTF">2025-10-16T11:53:00Z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