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3D4203" w14:textId="3BDDA014" w:rsidR="00AE0C3F" w:rsidRPr="00EB7F2D" w:rsidRDefault="00AE0C3F" w:rsidP="00FD60AA">
      <w:pPr>
        <w:ind w:firstLine="284"/>
        <w:jc w:val="center"/>
        <w:rPr>
          <w:b/>
          <w:sz w:val="48"/>
          <w:szCs w:val="48"/>
          <w:shd w:val="clear" w:color="auto" w:fill="FFFFFF"/>
        </w:rPr>
      </w:pPr>
      <w:bookmarkStart w:id="0" w:name="_Hlk79090332"/>
      <w:r w:rsidRPr="00EB7F2D">
        <w:rPr>
          <w:b/>
          <w:sz w:val="48"/>
          <w:szCs w:val="48"/>
          <w:shd w:val="clear" w:color="auto" w:fill="FFFFFF"/>
        </w:rPr>
        <w:t>DATA CENTRE TECHNOLOGIES</w:t>
      </w:r>
    </w:p>
    <w:bookmarkEnd w:id="0"/>
    <w:p w14:paraId="12585BD6" w14:textId="77777777" w:rsidR="002A21AF" w:rsidRDefault="002A21AF" w:rsidP="00FD60AA">
      <w:pPr>
        <w:tabs>
          <w:tab w:val="left" w:pos="5538"/>
        </w:tabs>
        <w:ind w:firstLine="284"/>
        <w:jc w:val="center"/>
        <w:rPr>
          <w:b/>
          <w:lang w:val="en-GB"/>
        </w:rPr>
        <w:sectPr w:rsidR="002A21AF" w:rsidSect="002A21AF">
          <w:pgSz w:w="12240" w:h="15840"/>
          <w:pgMar w:top="1440" w:right="1440" w:bottom="1440" w:left="1440" w:header="720" w:footer="720" w:gutter="0"/>
          <w:pgNumType w:fmt="numberInDash"/>
          <w:cols w:space="720"/>
        </w:sectPr>
      </w:pPr>
    </w:p>
    <w:p w14:paraId="031A18DA" w14:textId="2DF104F8" w:rsidR="00AE0C3F" w:rsidRPr="00DB5FAF" w:rsidRDefault="00AE0C3F" w:rsidP="00FD60AA">
      <w:pPr>
        <w:tabs>
          <w:tab w:val="left" w:pos="5538"/>
        </w:tabs>
        <w:ind w:firstLine="284"/>
        <w:jc w:val="center"/>
        <w:rPr>
          <w:b/>
          <w:lang w:val="en-GB"/>
        </w:rPr>
      </w:pPr>
    </w:p>
    <w:p w14:paraId="3ACB7174" w14:textId="1C715786" w:rsidR="00A57361" w:rsidRDefault="00A57361" w:rsidP="00FD60AA">
      <w:pPr>
        <w:ind w:firstLine="284"/>
        <w:jc w:val="center"/>
        <w:rPr>
          <w:bCs/>
          <w:sz w:val="18"/>
          <w:szCs w:val="18"/>
        </w:rPr>
      </w:pPr>
      <w:r w:rsidRPr="00EB7F2D">
        <w:rPr>
          <w:bCs/>
          <w:sz w:val="18"/>
          <w:szCs w:val="18"/>
        </w:rPr>
        <w:t>Student: Celdwan Bandeira</w:t>
      </w:r>
    </w:p>
    <w:p w14:paraId="439B10E3" w14:textId="6081461F" w:rsidR="00A813C9" w:rsidRDefault="00A813C9" w:rsidP="00A813C9">
      <w:pPr>
        <w:ind w:firstLine="284"/>
        <w:jc w:val="center"/>
        <w:rPr>
          <w:bCs/>
          <w:i/>
          <w:iCs/>
          <w:sz w:val="18"/>
          <w:szCs w:val="18"/>
        </w:rPr>
      </w:pPr>
      <w:r w:rsidRPr="00EB7F2D">
        <w:rPr>
          <w:bCs/>
          <w:i/>
          <w:iCs/>
          <w:sz w:val="18"/>
          <w:szCs w:val="18"/>
        </w:rPr>
        <w:t>University of Wales Trinity Saint David</w:t>
      </w:r>
    </w:p>
    <w:p w14:paraId="5A6C08AC" w14:textId="7A5F47CE" w:rsidR="00237FB4" w:rsidRDefault="00237FB4" w:rsidP="00A813C9">
      <w:pPr>
        <w:ind w:firstLine="284"/>
        <w:jc w:val="center"/>
        <w:rPr>
          <w:bCs/>
          <w:i/>
          <w:iCs/>
          <w:sz w:val="18"/>
          <w:szCs w:val="18"/>
        </w:rPr>
      </w:pPr>
      <w:r>
        <w:rPr>
          <w:bCs/>
          <w:i/>
          <w:iCs/>
          <w:sz w:val="18"/>
          <w:szCs w:val="18"/>
        </w:rPr>
        <w:t>BSc Cloud Computing</w:t>
      </w:r>
    </w:p>
    <w:p w14:paraId="6CFA22D4" w14:textId="5317157A" w:rsidR="00A813C9" w:rsidRPr="00EB7F2D" w:rsidRDefault="00A813C9" w:rsidP="00A813C9">
      <w:pPr>
        <w:ind w:firstLine="284"/>
        <w:jc w:val="center"/>
        <w:rPr>
          <w:bCs/>
          <w:i/>
          <w:iCs/>
          <w:sz w:val="18"/>
          <w:szCs w:val="18"/>
        </w:rPr>
      </w:pPr>
      <w:r w:rsidRPr="00EB7F2D">
        <w:rPr>
          <w:bCs/>
          <w:i/>
          <w:iCs/>
          <w:sz w:val="18"/>
          <w:szCs w:val="18"/>
        </w:rPr>
        <w:t>London, UK</w:t>
      </w:r>
    </w:p>
    <w:p w14:paraId="22296E21" w14:textId="77777777" w:rsidR="00A813C9" w:rsidRDefault="00A57361" w:rsidP="004649D1">
      <w:pPr>
        <w:ind w:firstLine="284"/>
        <w:jc w:val="center"/>
        <w:rPr>
          <w:lang w:val="en-GB"/>
        </w:rPr>
      </w:pPr>
      <w:r w:rsidRPr="00EB7F2D">
        <w:rPr>
          <w:bCs/>
          <w:sz w:val="18"/>
          <w:szCs w:val="18"/>
        </w:rPr>
        <w:t>Email:1812407@student.uwtsd.ac.uk</w:t>
      </w:r>
    </w:p>
    <w:p w14:paraId="1B3819AC" w14:textId="411AFECF" w:rsidR="004649D1" w:rsidRPr="004649D1" w:rsidRDefault="004649D1" w:rsidP="004649D1">
      <w:pPr>
        <w:tabs>
          <w:tab w:val="left" w:pos="4355"/>
        </w:tabs>
        <w:ind w:firstLine="284"/>
        <w:jc w:val="center"/>
        <w:rPr>
          <w:i/>
          <w:iCs/>
          <w:sz w:val="18"/>
          <w:szCs w:val="18"/>
          <w:lang w:val="en-GB"/>
        </w:rPr>
        <w:sectPr w:rsidR="004649D1" w:rsidRPr="004649D1" w:rsidSect="00A57361">
          <w:type w:val="continuous"/>
          <w:pgSz w:w="12240" w:h="15840"/>
          <w:pgMar w:top="1440" w:right="1440" w:bottom="1440" w:left="1440" w:header="720" w:footer="720" w:gutter="0"/>
          <w:pgNumType w:fmt="numberInDash"/>
          <w:cols w:space="720"/>
        </w:sectPr>
      </w:pPr>
      <w:r w:rsidRPr="004649D1">
        <w:rPr>
          <w:i/>
          <w:iCs/>
          <w:sz w:val="18"/>
          <w:szCs w:val="18"/>
          <w:lang w:val="en-GB"/>
        </w:rPr>
        <w:t>Lecturer:</w:t>
      </w:r>
      <w:r>
        <w:rPr>
          <w:i/>
          <w:iCs/>
          <w:sz w:val="18"/>
          <w:szCs w:val="18"/>
          <w:lang w:val="en-GB"/>
        </w:rPr>
        <w:t xml:space="preserve"> </w:t>
      </w:r>
      <w:r w:rsidRPr="004649D1">
        <w:rPr>
          <w:i/>
          <w:iCs/>
          <w:sz w:val="18"/>
          <w:szCs w:val="18"/>
        </w:rPr>
        <w:t>Koushik</w:t>
      </w:r>
      <w:r>
        <w:rPr>
          <w:i/>
          <w:iCs/>
          <w:sz w:val="18"/>
          <w:szCs w:val="18"/>
        </w:rPr>
        <w:t xml:space="preserve"> </w:t>
      </w:r>
      <w:proofErr w:type="spellStart"/>
      <w:r w:rsidRPr="004649D1">
        <w:rPr>
          <w:i/>
          <w:iCs/>
          <w:sz w:val="18"/>
          <w:szCs w:val="18"/>
        </w:rPr>
        <w:t>Modak</w:t>
      </w:r>
      <w:proofErr w:type="spellEnd"/>
    </w:p>
    <w:p w14:paraId="22622BD7" w14:textId="77777777" w:rsidR="00AE0C3F" w:rsidRPr="00DB5FAF" w:rsidRDefault="00AE0C3F" w:rsidP="00FD60AA">
      <w:pPr>
        <w:pStyle w:val="Heading1"/>
        <w:spacing w:after="0"/>
        <w:ind w:firstLine="284"/>
        <w:rPr>
          <w:color w:val="auto"/>
          <w:sz w:val="24"/>
          <w:szCs w:val="24"/>
          <w:lang w:val="en-GB"/>
        </w:rPr>
        <w:sectPr w:rsidR="00AE0C3F" w:rsidRPr="00DB5FAF" w:rsidSect="00C61A70">
          <w:type w:val="continuous"/>
          <w:pgSz w:w="12240" w:h="15840"/>
          <w:pgMar w:top="1440" w:right="1440" w:bottom="1440" w:left="1440" w:header="720" w:footer="720" w:gutter="0"/>
          <w:pgNumType w:start="1"/>
          <w:cols w:num="2" w:space="720"/>
          <w:titlePg/>
          <w:docGrid w:linePitch="326"/>
        </w:sectPr>
      </w:pPr>
    </w:p>
    <w:p w14:paraId="55CA46AD" w14:textId="2E9A8ED0" w:rsidR="00C61A70" w:rsidRPr="00EB7F2D" w:rsidRDefault="00C61A70" w:rsidP="00FD60AA">
      <w:pPr>
        <w:ind w:firstLine="284"/>
        <w:rPr>
          <w:sz w:val="18"/>
          <w:szCs w:val="18"/>
          <w:lang w:val="en-GB"/>
        </w:rPr>
      </w:pPr>
      <w:r w:rsidRPr="00EB7F2D">
        <w:rPr>
          <w:b/>
          <w:i/>
          <w:sz w:val="18"/>
          <w:szCs w:val="18"/>
        </w:rPr>
        <w:t>Abstract:</w:t>
      </w:r>
      <w:r w:rsidRPr="00EB7F2D">
        <w:rPr>
          <w:i/>
          <w:sz w:val="18"/>
          <w:szCs w:val="18"/>
        </w:rPr>
        <w:t xml:space="preserve"> </w:t>
      </w:r>
      <w:r w:rsidRPr="00EB7F2D">
        <w:rPr>
          <w:b/>
          <w:bCs/>
          <w:i/>
          <w:sz w:val="18"/>
          <w:szCs w:val="18"/>
        </w:rPr>
        <w:t>A data centre is the modern process of the management of IT operations of different enterprises. The study covers the data centre management design of the Victoria University of Manchester after the merger with the Manchester Institute of Science and Technology (UMIST). Concepts and designs of the data centre are covered in the process for better understanding. Different actors of the data centre technology have been elaborated along with the discussion of the advantages and challenges of data centre management in the study. The architecture of data centre has been mentioned along with the design for the development, the performance enhancement features have been stated. The scalability maintenance is mentioned elaborately in the study.</w:t>
      </w:r>
    </w:p>
    <w:p w14:paraId="3681E143" w14:textId="2024B56C" w:rsidR="00AE0C3F" w:rsidRDefault="00AE0C3F" w:rsidP="00FD60AA">
      <w:pPr>
        <w:pStyle w:val="Heading1"/>
        <w:spacing w:after="0"/>
        <w:ind w:firstLine="284"/>
        <w:rPr>
          <w:i/>
          <w:iCs/>
          <w:sz w:val="18"/>
          <w:szCs w:val="18"/>
          <w:lang w:val="en-GB"/>
        </w:rPr>
      </w:pPr>
      <w:r w:rsidRPr="001B307E">
        <w:rPr>
          <w:i/>
          <w:iCs/>
          <w:color w:val="auto"/>
          <w:sz w:val="18"/>
          <w:szCs w:val="18"/>
          <w:lang w:val="en-GB"/>
        </w:rPr>
        <w:t>Keywords</w:t>
      </w:r>
      <w:r w:rsidR="00EB7F2D" w:rsidRPr="001B307E">
        <w:rPr>
          <w:i/>
          <w:iCs/>
          <w:color w:val="auto"/>
          <w:sz w:val="18"/>
          <w:szCs w:val="18"/>
          <w:lang w:val="en-GB"/>
        </w:rPr>
        <w:t xml:space="preserve"> - </w:t>
      </w:r>
      <w:r w:rsidRPr="001B307E">
        <w:rPr>
          <w:i/>
          <w:iCs/>
          <w:sz w:val="18"/>
          <w:szCs w:val="18"/>
          <w:lang w:val="en-GB"/>
        </w:rPr>
        <w:t>Data centre, IT, CRM, KPI, Sustainability.</w:t>
      </w:r>
    </w:p>
    <w:p w14:paraId="3B50A249" w14:textId="77777777" w:rsidR="00A813C9" w:rsidRPr="00A813C9" w:rsidRDefault="00A813C9" w:rsidP="00A813C9">
      <w:pPr>
        <w:rPr>
          <w:lang w:val="en-GB"/>
        </w:rPr>
      </w:pPr>
    </w:p>
    <w:p w14:paraId="2FABA048" w14:textId="01FFBFE8" w:rsidR="00AE0C3F" w:rsidRPr="002145FA" w:rsidRDefault="00AE0C3F" w:rsidP="00FD60AA">
      <w:pPr>
        <w:pStyle w:val="Heading1"/>
        <w:spacing w:before="0" w:after="0"/>
        <w:ind w:firstLine="284"/>
        <w:jc w:val="center"/>
        <w:rPr>
          <w:b w:val="0"/>
          <w:bCs/>
          <w:sz w:val="20"/>
          <w:szCs w:val="20"/>
        </w:rPr>
      </w:pPr>
      <w:r w:rsidRPr="002145FA">
        <w:rPr>
          <w:b w:val="0"/>
          <w:bCs/>
          <w:sz w:val="20"/>
          <w:szCs w:val="20"/>
        </w:rPr>
        <w:t>I</w:t>
      </w:r>
      <w:r w:rsidR="00C871DB" w:rsidRPr="002145FA">
        <w:rPr>
          <w:b w:val="0"/>
          <w:bCs/>
          <w:sz w:val="20"/>
          <w:szCs w:val="20"/>
        </w:rPr>
        <w:t>NTRODUCTION</w:t>
      </w:r>
    </w:p>
    <w:p w14:paraId="6630B4EF" w14:textId="309886B4" w:rsidR="00AE0C3F" w:rsidRPr="002145FA" w:rsidRDefault="00AE0C3F" w:rsidP="00FD60AA">
      <w:pPr>
        <w:ind w:firstLine="284"/>
        <w:rPr>
          <w:sz w:val="20"/>
          <w:szCs w:val="20"/>
          <w:lang w:val="en-GB"/>
        </w:rPr>
      </w:pPr>
      <w:r w:rsidRPr="002145FA">
        <w:rPr>
          <w:b/>
          <w:i/>
          <w:sz w:val="20"/>
          <w:szCs w:val="20"/>
          <w:lang w:val="en-GB"/>
        </w:rPr>
        <w:t xml:space="preserve">The data centre </w:t>
      </w:r>
      <w:r w:rsidRPr="002145FA">
        <w:rPr>
          <w:sz w:val="20"/>
          <w:szCs w:val="20"/>
          <w:lang w:val="en-GB"/>
        </w:rPr>
        <w:t xml:space="preserve">is a building that is used to centralise the IT operations of large amounts of data of an organisation by the implementation of a supercomputer.  This process allows accumulating and storing data or providing access to data of the connected business. Different equipment of the networks is becoming </w:t>
      </w:r>
      <w:r w:rsidR="00460AD4" w:rsidRPr="002145FA">
        <w:rPr>
          <w:sz w:val="20"/>
          <w:szCs w:val="20"/>
          <w:lang w:val="en-GB"/>
        </w:rPr>
        <w:t>cheaper,</w:t>
      </w:r>
      <w:r w:rsidRPr="002145FA">
        <w:rPr>
          <w:sz w:val="20"/>
          <w:szCs w:val="20"/>
          <w:lang w:val="en-GB"/>
        </w:rPr>
        <w:t xml:space="preserve"> and the processing of the data requires more advancement. Key elements of a data centre are routers, switches, firewalls, storage systems, and server and application delivery controllers. The infrastructure of the modern data centre has</w:t>
      </w:r>
      <w:r w:rsidR="00460AD4" w:rsidRPr="002145FA">
        <w:rPr>
          <w:sz w:val="20"/>
          <w:szCs w:val="20"/>
          <w:lang w:val="en-GB"/>
        </w:rPr>
        <w:t xml:space="preserve"> </w:t>
      </w:r>
      <w:r w:rsidRPr="002145FA">
        <w:rPr>
          <w:sz w:val="20"/>
          <w:szCs w:val="20"/>
          <w:lang w:val="en-GB"/>
        </w:rPr>
        <w:t>become</w:t>
      </w:r>
      <w:r w:rsidR="00460AD4" w:rsidRPr="002145FA">
        <w:rPr>
          <w:sz w:val="20"/>
          <w:szCs w:val="20"/>
          <w:lang w:val="en-GB"/>
        </w:rPr>
        <w:t xml:space="preserve"> </w:t>
      </w:r>
      <w:r w:rsidRPr="002145FA">
        <w:rPr>
          <w:sz w:val="20"/>
          <w:szCs w:val="20"/>
          <w:lang w:val="en-GB"/>
        </w:rPr>
        <w:t xml:space="preserve">virtual. </w:t>
      </w:r>
    </w:p>
    <w:p w14:paraId="759A194D" w14:textId="77B9970F" w:rsidR="00AE0C3F" w:rsidRPr="002145FA" w:rsidRDefault="00AE0C3F" w:rsidP="00FD60AA">
      <w:pPr>
        <w:ind w:firstLine="284"/>
        <w:rPr>
          <w:sz w:val="20"/>
          <w:szCs w:val="20"/>
          <w:lang w:val="en-GB"/>
        </w:rPr>
      </w:pPr>
      <w:r w:rsidRPr="002145FA">
        <w:rPr>
          <w:sz w:val="20"/>
          <w:szCs w:val="20"/>
          <w:lang w:val="en-GB"/>
        </w:rPr>
        <w:t xml:space="preserve">The study highlights the centralisation of the IT operation of the </w:t>
      </w:r>
      <w:r w:rsidRPr="002145FA">
        <w:rPr>
          <w:b/>
          <w:i/>
          <w:sz w:val="20"/>
          <w:szCs w:val="20"/>
          <w:lang w:val="en-GB"/>
        </w:rPr>
        <w:t>Victoria University of Manchester after the merger with the Manchester   Institute of Science and Technology (UMIST)</w:t>
      </w:r>
      <w:r w:rsidRPr="002145FA">
        <w:rPr>
          <w:sz w:val="20"/>
          <w:szCs w:val="20"/>
          <w:lang w:val="en-GB"/>
        </w:rPr>
        <w:t xml:space="preserve">. The concept of the data centre and factors of the data centre will be included in the study along with its advantages and challenges. A brief background of the study and the methodology of the research will be further added in the study. The analysis part of the study consists of network topology, management, fault tolerance, </w:t>
      </w:r>
      <w:r w:rsidR="00A05D2C" w:rsidRPr="002145FA">
        <w:rPr>
          <w:sz w:val="20"/>
          <w:szCs w:val="20"/>
          <w:lang w:val="en-GB"/>
        </w:rPr>
        <w:t>performance,</w:t>
      </w:r>
      <w:r w:rsidRPr="002145FA">
        <w:rPr>
          <w:sz w:val="20"/>
          <w:szCs w:val="20"/>
          <w:lang w:val="en-GB"/>
        </w:rPr>
        <w:t xml:space="preserve"> and scalability. The security and sustainability of the data centre technology will be included in the context of the University of Manchester and Manchester Institute of Science and Technology.</w:t>
      </w:r>
    </w:p>
    <w:p w14:paraId="56824ED3" w14:textId="2EDB279B" w:rsidR="00AE0C3F" w:rsidRPr="006C3172" w:rsidRDefault="006C3172" w:rsidP="00FD60AA">
      <w:pPr>
        <w:pStyle w:val="Heading1"/>
        <w:spacing w:before="120" w:after="0"/>
        <w:ind w:firstLine="284"/>
        <w:rPr>
          <w:b w:val="0"/>
          <w:bCs/>
          <w:i/>
          <w:iCs/>
          <w:sz w:val="20"/>
          <w:szCs w:val="20"/>
          <w:lang w:val="en-GB"/>
        </w:rPr>
      </w:pPr>
      <w:bookmarkStart w:id="1" w:name="_rdah7tk3g3bg" w:colFirst="0" w:colLast="0"/>
      <w:bookmarkStart w:id="2" w:name="_pss4c2jr1ih2" w:colFirst="0" w:colLast="0"/>
      <w:bookmarkEnd w:id="1"/>
      <w:bookmarkEnd w:id="2"/>
      <w:r w:rsidRPr="006C3172">
        <w:rPr>
          <w:b w:val="0"/>
          <w:bCs/>
          <w:i/>
          <w:iCs/>
          <w:sz w:val="20"/>
          <w:szCs w:val="20"/>
          <w:lang w:val="en-GB"/>
        </w:rPr>
        <w:t xml:space="preserve">Concept of Data Centre </w:t>
      </w:r>
    </w:p>
    <w:p w14:paraId="6016D1B6" w14:textId="61466275" w:rsidR="00AE0C3F" w:rsidRPr="002145FA" w:rsidRDefault="00AE0C3F" w:rsidP="00FD60AA">
      <w:pPr>
        <w:ind w:firstLine="284"/>
        <w:rPr>
          <w:sz w:val="20"/>
          <w:szCs w:val="20"/>
          <w:lang w:val="en-GB"/>
        </w:rPr>
      </w:pPr>
      <w:r w:rsidRPr="002145FA">
        <w:rPr>
          <w:sz w:val="20"/>
          <w:szCs w:val="20"/>
          <w:lang w:val="en-GB"/>
        </w:rPr>
        <w:t xml:space="preserve">The data centre is a technical competency used by organisations to operate complex network operations. </w:t>
      </w:r>
      <w:r w:rsidRPr="002145FA">
        <w:rPr>
          <w:sz w:val="20"/>
          <w:szCs w:val="20"/>
          <w:lang w:val="en-GB"/>
        </w:rPr>
        <w:t>The design of the data centre is dependent upon the computing network and resource storing capacity. The consignment of the data and application is done effectively by the data centre technology. In the modern networking system, the network and data are connected through multiple data centres [</w:t>
      </w:r>
      <w:r w:rsidR="008C49CB" w:rsidRPr="002145FA">
        <w:rPr>
          <w:sz w:val="20"/>
          <w:szCs w:val="20"/>
          <w:lang w:val="en-GB"/>
        </w:rPr>
        <w:t>1</w:t>
      </w:r>
      <w:r w:rsidRPr="002145FA">
        <w:rPr>
          <w:sz w:val="20"/>
          <w:szCs w:val="20"/>
          <w:lang w:val="en-GB"/>
        </w:rPr>
        <w:t xml:space="preserve">]. The private and public cloud networking is processed through data centre technologies. Data centres can connect with multiple clouds and sites and in the premises. Public clouds are also the accumulation of data centres. </w:t>
      </w:r>
    </w:p>
    <w:p w14:paraId="667823E2" w14:textId="77777777" w:rsidR="00AE0C3F" w:rsidRPr="002145FA" w:rsidRDefault="00AE0C3F" w:rsidP="007B5BE6">
      <w:pPr>
        <w:ind w:firstLine="284"/>
        <w:rPr>
          <w:sz w:val="20"/>
          <w:szCs w:val="20"/>
          <w:lang w:val="en-GB"/>
        </w:rPr>
      </w:pPr>
      <w:r w:rsidRPr="002145FA">
        <w:rPr>
          <w:noProof/>
          <w:sz w:val="20"/>
          <w:szCs w:val="20"/>
          <w:lang w:val="en-US"/>
        </w:rPr>
        <w:drawing>
          <wp:inline distT="114300" distB="114300" distL="114300" distR="114300" wp14:anchorId="3F30DC69" wp14:editId="50848C9F">
            <wp:extent cx="2743200" cy="1536700"/>
            <wp:effectExtent l="76200" t="76200" r="114300" b="1206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743200" cy="153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9D2CC8" w14:textId="77777777" w:rsidR="00AE0C3F" w:rsidRPr="002145FA" w:rsidRDefault="00AE0C3F" w:rsidP="00FD60AA">
      <w:pPr>
        <w:ind w:firstLine="284"/>
        <w:rPr>
          <w:b/>
          <w:sz w:val="16"/>
          <w:szCs w:val="16"/>
          <w:lang w:val="en-GB"/>
        </w:rPr>
      </w:pPr>
      <w:r w:rsidRPr="002145FA">
        <w:rPr>
          <w:b/>
          <w:sz w:val="16"/>
          <w:szCs w:val="16"/>
          <w:lang w:val="en-GB"/>
        </w:rPr>
        <w:t xml:space="preserve">Figure 1: Data centre Infrastructure </w:t>
      </w:r>
    </w:p>
    <w:p w14:paraId="3BCBC26F" w14:textId="48E32F14" w:rsidR="00AE0C3F" w:rsidRPr="002145FA" w:rsidRDefault="00AE0C3F" w:rsidP="00FD60AA">
      <w:pPr>
        <w:ind w:firstLine="284"/>
        <w:rPr>
          <w:sz w:val="16"/>
          <w:szCs w:val="16"/>
          <w:lang w:val="en-GB"/>
        </w:rPr>
      </w:pPr>
      <w:r w:rsidRPr="002145FA">
        <w:rPr>
          <w:sz w:val="16"/>
          <w:szCs w:val="16"/>
          <w:lang w:val="en-GB"/>
        </w:rPr>
        <w:t>(Source: [</w:t>
      </w:r>
      <w:r w:rsidR="008C49CB" w:rsidRPr="002145FA">
        <w:rPr>
          <w:sz w:val="16"/>
          <w:szCs w:val="16"/>
          <w:lang w:val="en-GB"/>
        </w:rPr>
        <w:t>2</w:t>
      </w:r>
      <w:r w:rsidRPr="002145FA">
        <w:rPr>
          <w:sz w:val="16"/>
          <w:szCs w:val="16"/>
          <w:lang w:val="en-GB"/>
        </w:rPr>
        <w:t>])</w:t>
      </w:r>
    </w:p>
    <w:p w14:paraId="12EEE4A2" w14:textId="77777777" w:rsidR="00AE0C3F" w:rsidRPr="002145FA" w:rsidRDefault="00AE0C3F" w:rsidP="00FD60AA">
      <w:pPr>
        <w:ind w:firstLine="284"/>
        <w:rPr>
          <w:sz w:val="20"/>
          <w:szCs w:val="20"/>
          <w:lang w:val="en-GB"/>
        </w:rPr>
      </w:pPr>
    </w:p>
    <w:p w14:paraId="71C5D930" w14:textId="3AF2C1B4" w:rsidR="00AE0C3F" w:rsidRDefault="00AE0C3F" w:rsidP="00B21231">
      <w:pPr>
        <w:ind w:firstLine="284"/>
        <w:rPr>
          <w:sz w:val="20"/>
          <w:szCs w:val="20"/>
          <w:lang w:val="en-GB"/>
        </w:rPr>
      </w:pPr>
      <w:r w:rsidRPr="002145FA">
        <w:rPr>
          <w:sz w:val="20"/>
          <w:szCs w:val="20"/>
          <w:lang w:val="en-GB"/>
        </w:rPr>
        <w:t xml:space="preserve">Network infrastructure, storage infrastructure and computing resources are the key components of a data centre. Network infrastructure helps to connect the physical and virtual servers, </w:t>
      </w:r>
      <w:proofErr w:type="gramStart"/>
      <w:r w:rsidRPr="002145FA">
        <w:rPr>
          <w:sz w:val="20"/>
          <w:szCs w:val="20"/>
          <w:lang w:val="en-GB"/>
        </w:rPr>
        <w:t>storage</w:t>
      </w:r>
      <w:proofErr w:type="gramEnd"/>
      <w:r w:rsidRPr="002145FA">
        <w:rPr>
          <w:sz w:val="20"/>
          <w:szCs w:val="20"/>
          <w:lang w:val="en-GB"/>
        </w:rPr>
        <w:t xml:space="preserve"> and extrinsic data connections to the terminal users. The largest super university in the UK is centralising the IT operations to ease the process of computing. The everyday work process of the operation of the university will be managed by ICT infrastructure management [3</w:t>
      </w:r>
      <w:r w:rsidRPr="00116418">
        <w:rPr>
          <w:color w:val="FF0000"/>
          <w:sz w:val="20"/>
          <w:szCs w:val="20"/>
          <w:lang w:val="en-GB"/>
        </w:rPr>
        <w:t>.</w:t>
      </w:r>
      <w:r w:rsidRPr="002145FA">
        <w:rPr>
          <w:sz w:val="20"/>
          <w:szCs w:val="20"/>
          <w:lang w:val="en-GB"/>
        </w:rPr>
        <w:t xml:space="preserve"> A significant groundwork of data centres is important to back the hardware and software. Uninterrupted supply of power is crucial in collaboration with proper ventilation and cooling systems. Backup power supply and external network connectivity are the other two important elements of the data centre technologies. </w:t>
      </w:r>
    </w:p>
    <w:p w14:paraId="5D010BF9" w14:textId="77777777" w:rsidR="00A813C9" w:rsidRPr="002145FA" w:rsidRDefault="00A813C9" w:rsidP="00B21231">
      <w:pPr>
        <w:ind w:firstLine="284"/>
        <w:rPr>
          <w:sz w:val="20"/>
          <w:szCs w:val="20"/>
          <w:lang w:val="en-GB"/>
        </w:rPr>
      </w:pPr>
    </w:p>
    <w:p w14:paraId="4E2A0B6F" w14:textId="1389073F" w:rsidR="00AE0C3F" w:rsidRPr="00C46943" w:rsidRDefault="00C46943" w:rsidP="00FD60AA">
      <w:pPr>
        <w:pStyle w:val="Heading2"/>
        <w:spacing w:before="0" w:after="0"/>
        <w:ind w:firstLine="284"/>
        <w:jc w:val="center"/>
        <w:rPr>
          <w:b w:val="0"/>
          <w:bCs/>
          <w:i/>
          <w:iCs/>
          <w:color w:val="auto"/>
          <w:sz w:val="20"/>
          <w:szCs w:val="20"/>
          <w:lang w:val="en-GB"/>
        </w:rPr>
      </w:pPr>
      <w:bookmarkStart w:id="3" w:name="_l2linyz8gtqd" w:colFirst="0" w:colLast="0"/>
      <w:bookmarkEnd w:id="3"/>
      <w:r w:rsidRPr="00C46943">
        <w:rPr>
          <w:b w:val="0"/>
          <w:bCs/>
          <w:i/>
          <w:iCs/>
          <w:color w:val="auto"/>
          <w:sz w:val="20"/>
          <w:szCs w:val="20"/>
          <w:lang w:val="en-GB"/>
        </w:rPr>
        <w:t>Factors of Data Centre Building</w:t>
      </w:r>
    </w:p>
    <w:p w14:paraId="3E058B0C" w14:textId="464DBF54" w:rsidR="00AE0C3F" w:rsidRPr="002145FA" w:rsidRDefault="00AE0C3F" w:rsidP="00FD60AA">
      <w:pPr>
        <w:ind w:firstLine="284"/>
        <w:rPr>
          <w:sz w:val="20"/>
          <w:szCs w:val="20"/>
          <w:lang w:val="en-GB"/>
        </w:rPr>
      </w:pPr>
      <w:r w:rsidRPr="002145FA">
        <w:rPr>
          <w:sz w:val="20"/>
          <w:szCs w:val="20"/>
          <w:lang w:val="en-GB"/>
        </w:rPr>
        <w:t>The Standard of the infrastructure of the data centre is a crucial factor for seamless operation. The most applied standard of data centre technology is ANSI/TIA-</w:t>
      </w:r>
      <w:r w:rsidRPr="002145FA">
        <w:rPr>
          <w:sz w:val="20"/>
          <w:szCs w:val="20"/>
          <w:lang w:val="en-GB"/>
        </w:rPr>
        <w:lastRenderedPageBreak/>
        <w:t xml:space="preserve">942. The certification is substantial for different tiers of the data centres. First-tier data centres are the basic infrastructures. This type of data centre can provide basic </w:t>
      </w:r>
      <w:r w:rsidR="004716B0">
        <w:rPr>
          <w:sz w:val="20"/>
          <w:szCs w:val="20"/>
          <w:lang w:val="en-GB"/>
        </w:rPr>
        <w:t xml:space="preserve"> </w:t>
      </w:r>
      <w:r w:rsidRPr="002145FA">
        <w:rPr>
          <w:sz w:val="20"/>
          <w:szCs w:val="20"/>
          <w:lang w:val="en-GB"/>
        </w:rPr>
        <w:t xml:space="preserve"> of data in the physical events. The distribution path of this type of data centre is single and non-redundant [</w:t>
      </w:r>
      <w:r w:rsidR="0022724C" w:rsidRPr="002145FA">
        <w:rPr>
          <w:sz w:val="20"/>
          <w:szCs w:val="20"/>
          <w:lang w:val="en-GB"/>
        </w:rPr>
        <w:t>4</w:t>
      </w:r>
      <w:r w:rsidRPr="002145FA">
        <w:rPr>
          <w:sz w:val="20"/>
          <w:szCs w:val="20"/>
          <w:lang w:val="en-GB"/>
        </w:rPr>
        <w:t xml:space="preserve">]. The capacity of the components is single. Tier two data centres are redundant capacity infrastructures. Protection against physical events is improved in this type of infrastructure. The distribution path is single. </w:t>
      </w:r>
    </w:p>
    <w:p w14:paraId="75B43082" w14:textId="7832C22D" w:rsidR="00AE0C3F" w:rsidRPr="002145FA" w:rsidRDefault="00AE0C3F" w:rsidP="00FD60AA">
      <w:pPr>
        <w:ind w:firstLine="284"/>
        <w:rPr>
          <w:sz w:val="20"/>
          <w:szCs w:val="20"/>
          <w:lang w:val="en-GB"/>
        </w:rPr>
      </w:pPr>
      <w:r w:rsidRPr="002145FA">
        <w:rPr>
          <w:sz w:val="20"/>
          <w:szCs w:val="20"/>
          <w:lang w:val="en-GB"/>
        </w:rPr>
        <w:t xml:space="preserve">On the other hand, the tier three data centres are concurrently maintainable. It contains multiple distribution paths. Virtual protection is provided against any kind of physical events in this type of data centre. The components are removable. In this process, this data centre does not disrupt the services of the terminal users. The </w:t>
      </w:r>
      <w:r w:rsidR="00155B11" w:rsidRPr="002145FA">
        <w:rPr>
          <w:sz w:val="20"/>
          <w:szCs w:val="20"/>
          <w:lang w:val="en-GB"/>
        </w:rPr>
        <w:t>fourth-tier</w:t>
      </w:r>
      <w:r w:rsidRPr="002145FA">
        <w:rPr>
          <w:sz w:val="20"/>
          <w:szCs w:val="20"/>
          <w:lang w:val="en-GB"/>
        </w:rPr>
        <w:t xml:space="preserve"> data centres are the fault-tolerable sites. The highest level of tolerance against the fault is provided by this kind of infrastructure of data centre technology [</w:t>
      </w:r>
      <w:r w:rsidR="0022724C" w:rsidRPr="002145FA">
        <w:rPr>
          <w:sz w:val="20"/>
          <w:szCs w:val="20"/>
          <w:lang w:val="en-GB"/>
        </w:rPr>
        <w:t>5</w:t>
      </w:r>
      <w:r w:rsidRPr="002145FA">
        <w:rPr>
          <w:sz w:val="20"/>
          <w:szCs w:val="20"/>
          <w:lang w:val="en-GB"/>
        </w:rPr>
        <w:t xml:space="preserve">]. It provides multiple distributions that are </w:t>
      </w:r>
      <w:r w:rsidR="00C478E8">
        <w:rPr>
          <w:sz w:val="20"/>
          <w:szCs w:val="20"/>
          <w:lang w:val="en-GB"/>
        </w:rPr>
        <w:t xml:space="preserve"> </w:t>
      </w:r>
      <w:r w:rsidRPr="002145FA">
        <w:rPr>
          <w:sz w:val="20"/>
          <w:szCs w:val="20"/>
          <w:lang w:val="en-GB"/>
        </w:rPr>
        <w:t xml:space="preserve">independent. It can maintain the sites all at once which is significant. A single fault in the system causes no downtime. </w:t>
      </w:r>
    </w:p>
    <w:p w14:paraId="56F676AE" w14:textId="6589D7D8" w:rsidR="00C8310B" w:rsidRPr="00C46943" w:rsidRDefault="00C46943" w:rsidP="00FD60AA">
      <w:pPr>
        <w:pStyle w:val="Heading2"/>
        <w:spacing w:after="0"/>
        <w:ind w:firstLine="284"/>
        <w:jc w:val="center"/>
        <w:rPr>
          <w:b w:val="0"/>
          <w:bCs/>
          <w:i/>
          <w:iCs/>
          <w:color w:val="auto"/>
          <w:sz w:val="20"/>
          <w:szCs w:val="20"/>
          <w:lang w:val="en-GB"/>
        </w:rPr>
      </w:pPr>
      <w:bookmarkStart w:id="4" w:name="_q4jr9kz42q5f" w:colFirst="0" w:colLast="0"/>
      <w:bookmarkEnd w:id="4"/>
      <w:r w:rsidRPr="00C46943">
        <w:rPr>
          <w:b w:val="0"/>
          <w:bCs/>
          <w:i/>
          <w:iCs/>
          <w:color w:val="auto"/>
          <w:sz w:val="20"/>
          <w:szCs w:val="20"/>
          <w:lang w:val="en-GB"/>
        </w:rPr>
        <w:t>Advantages of Data Centre Building</w:t>
      </w:r>
    </w:p>
    <w:p w14:paraId="0B51DE7C" w14:textId="121BFE46" w:rsidR="00AE0C3F" w:rsidRPr="00565B3F" w:rsidRDefault="00AE0C3F" w:rsidP="00FD60AA">
      <w:pPr>
        <w:pStyle w:val="Heading2"/>
        <w:spacing w:after="0"/>
        <w:ind w:firstLine="284"/>
        <w:rPr>
          <w:b w:val="0"/>
          <w:bCs/>
          <w:color w:val="auto"/>
          <w:sz w:val="20"/>
          <w:szCs w:val="20"/>
          <w:lang w:val="en-GB"/>
        </w:rPr>
      </w:pPr>
      <w:r w:rsidRPr="00565B3F">
        <w:rPr>
          <w:b w:val="0"/>
          <w:bCs/>
          <w:color w:val="auto"/>
          <w:sz w:val="20"/>
          <w:szCs w:val="20"/>
          <w:lang w:val="en-GB"/>
        </w:rPr>
        <w:t>Data centre technology is an important area of modern cloud computing. Management of the data is one of the key challenges that enterprises face during the operation. The agility of a business or any sector of education can be advanced by the implementation of the data centres. Big data, AI and machine l</w:t>
      </w:r>
      <w:r w:rsidR="00993930" w:rsidRPr="00565B3F">
        <w:rPr>
          <w:b w:val="0"/>
          <w:bCs/>
          <w:color w:val="auto"/>
          <w:sz w:val="20"/>
          <w:szCs w:val="20"/>
          <w:lang w:val="en-GB"/>
        </w:rPr>
        <w:t>earning</w:t>
      </w:r>
      <w:r w:rsidRPr="00565B3F">
        <w:rPr>
          <w:b w:val="0"/>
          <w:bCs/>
          <w:color w:val="auto"/>
          <w:sz w:val="20"/>
          <w:szCs w:val="20"/>
          <w:lang w:val="en-GB"/>
        </w:rPr>
        <w:t xml:space="preserve"> can be handled efficiently by the implementation of the data centres. Customer relationship management (CRM) software can be maintained by data entities to collaborate with different cloud sites of the premises. It increases the productivity of the organisation. </w:t>
      </w:r>
    </w:p>
    <w:p w14:paraId="5ED0FC15" w14:textId="78D4437A" w:rsidR="00AE0C3F" w:rsidRPr="002145FA" w:rsidRDefault="00AE0C3F" w:rsidP="00FD60AA">
      <w:pPr>
        <w:ind w:firstLine="284"/>
        <w:rPr>
          <w:sz w:val="20"/>
          <w:szCs w:val="20"/>
          <w:lang w:val="en-GB"/>
        </w:rPr>
      </w:pPr>
      <w:r w:rsidRPr="002145FA">
        <w:rPr>
          <w:sz w:val="20"/>
          <w:szCs w:val="20"/>
          <w:lang w:val="en-GB"/>
        </w:rPr>
        <w:t xml:space="preserve">Various advantages are provided by the data centres like consolidated leadership, reduced barriers, higher profit margins, efficient data storage, management, </w:t>
      </w:r>
      <w:proofErr w:type="gramStart"/>
      <w:r w:rsidRPr="002145FA">
        <w:rPr>
          <w:sz w:val="20"/>
          <w:szCs w:val="20"/>
          <w:lang w:val="en-GB"/>
        </w:rPr>
        <w:t>safety</w:t>
      </w:r>
      <w:proofErr w:type="gramEnd"/>
      <w:r w:rsidRPr="002145FA">
        <w:rPr>
          <w:sz w:val="20"/>
          <w:szCs w:val="20"/>
          <w:lang w:val="en-GB"/>
        </w:rPr>
        <w:t xml:space="preserve"> and growth. Recognition of the different operations of an enterprise such as management, leadership, and governance </w:t>
      </w:r>
      <w:r w:rsidR="002E4375" w:rsidRPr="002145FA">
        <w:rPr>
          <w:sz w:val="20"/>
          <w:szCs w:val="20"/>
          <w:lang w:val="en-GB"/>
        </w:rPr>
        <w:t>are</w:t>
      </w:r>
      <w:r w:rsidRPr="002145FA">
        <w:rPr>
          <w:sz w:val="20"/>
          <w:szCs w:val="20"/>
          <w:lang w:val="en-GB"/>
        </w:rPr>
        <w:t xml:space="preserve"> provided by the consolidated leadership advantages [</w:t>
      </w:r>
      <w:r w:rsidR="008C49CB" w:rsidRPr="002145FA">
        <w:rPr>
          <w:sz w:val="20"/>
          <w:szCs w:val="20"/>
          <w:lang w:val="en-GB"/>
        </w:rPr>
        <w:t>2</w:t>
      </w:r>
      <w:r w:rsidRPr="002145FA">
        <w:rPr>
          <w:sz w:val="20"/>
          <w:szCs w:val="20"/>
          <w:lang w:val="en-GB"/>
        </w:rPr>
        <w:t xml:space="preserve">]. The IT infrastructure of the enterprise helps to manage all the operations efficiently. Barriers to the service provision of different locations can be managed by the data centre. Cost of sales and data security can be effectively managed by the implementation of the data centres in the organisation. Consistent management of the storage is provided by the data centre technology which is important for the education industry. </w:t>
      </w:r>
    </w:p>
    <w:p w14:paraId="1263A4F2" w14:textId="48A7A528" w:rsidR="00AE0C3F" w:rsidRPr="00C46943" w:rsidRDefault="00C46943" w:rsidP="00FD60AA">
      <w:pPr>
        <w:pStyle w:val="Heading2"/>
        <w:spacing w:before="120" w:after="0"/>
        <w:ind w:firstLine="284"/>
        <w:jc w:val="center"/>
        <w:rPr>
          <w:b w:val="0"/>
          <w:bCs/>
          <w:i/>
          <w:iCs/>
          <w:color w:val="auto"/>
          <w:sz w:val="20"/>
          <w:szCs w:val="20"/>
          <w:lang w:val="en-GB"/>
        </w:rPr>
      </w:pPr>
      <w:bookmarkStart w:id="5" w:name="_8kgx9eqtt8pq" w:colFirst="0" w:colLast="0"/>
      <w:bookmarkEnd w:id="5"/>
      <w:r w:rsidRPr="00C46943">
        <w:rPr>
          <w:b w:val="0"/>
          <w:bCs/>
          <w:i/>
          <w:iCs/>
          <w:color w:val="auto"/>
          <w:sz w:val="20"/>
          <w:szCs w:val="20"/>
          <w:lang w:val="en-GB"/>
        </w:rPr>
        <w:t>Challenges of Data Centre Building</w:t>
      </w:r>
    </w:p>
    <w:p w14:paraId="13BBA04C" w14:textId="24D48182" w:rsidR="00AE0C3F" w:rsidRPr="002145FA" w:rsidRDefault="00AE0C3F" w:rsidP="00FD60AA">
      <w:pPr>
        <w:ind w:firstLine="284"/>
        <w:rPr>
          <w:sz w:val="20"/>
          <w:szCs w:val="20"/>
          <w:lang w:val="en-GB"/>
        </w:rPr>
      </w:pPr>
      <w:r w:rsidRPr="002145FA">
        <w:rPr>
          <w:sz w:val="20"/>
          <w:szCs w:val="20"/>
          <w:lang w:val="en-GB"/>
        </w:rPr>
        <w:t xml:space="preserve">Despite lots of advancements in the process, the data centre technology faces challenges in the operation.  Key challenges of the infrastructure are real-time monitoring, </w:t>
      </w:r>
      <w:r w:rsidRPr="002145FA">
        <w:rPr>
          <w:sz w:val="20"/>
          <w:szCs w:val="20"/>
          <w:lang w:val="en-GB"/>
        </w:rPr>
        <w:t>capacity planning and management, uptime and performance maintenance, the efficiency of energy and cost-cutting. The unexpected breakdown is possible in the management of the data centre technology. Power distribution connection cables, cooling systems are needed to be managed effusively. It is a major challenge for the implementation of the technology [</w:t>
      </w:r>
      <w:r w:rsidR="00E219EE" w:rsidRPr="002145FA">
        <w:rPr>
          <w:sz w:val="20"/>
          <w:szCs w:val="20"/>
          <w:lang w:val="en-GB"/>
        </w:rPr>
        <w:t>6</w:t>
      </w:r>
      <w:r w:rsidRPr="002145FA">
        <w:rPr>
          <w:sz w:val="20"/>
          <w:szCs w:val="20"/>
          <w:lang w:val="en-GB"/>
        </w:rPr>
        <w:t>]. Over provision of the resources are provided by the data managers which cause the loss of storage.</w:t>
      </w:r>
    </w:p>
    <w:p w14:paraId="200148EC" w14:textId="77777777" w:rsidR="00AE0C3F" w:rsidRPr="002145FA" w:rsidRDefault="00AE0C3F" w:rsidP="00FD60AA">
      <w:pPr>
        <w:ind w:firstLine="284"/>
        <w:rPr>
          <w:sz w:val="20"/>
          <w:szCs w:val="20"/>
          <w:lang w:val="en-GB"/>
        </w:rPr>
      </w:pPr>
      <w:r w:rsidRPr="002145FA">
        <w:rPr>
          <w:noProof/>
          <w:sz w:val="20"/>
          <w:szCs w:val="20"/>
          <w:lang w:val="en-US"/>
        </w:rPr>
        <w:drawing>
          <wp:inline distT="0" distB="0" distL="0" distR="0" wp14:anchorId="08139FDC" wp14:editId="73E86434">
            <wp:extent cx="2743200" cy="16002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5739E2" w14:textId="77777777" w:rsidR="00AE0C3F" w:rsidRPr="002145FA" w:rsidRDefault="00AE0C3F" w:rsidP="00FD60AA">
      <w:pPr>
        <w:ind w:firstLine="284"/>
        <w:rPr>
          <w:b/>
          <w:sz w:val="20"/>
          <w:szCs w:val="20"/>
          <w:lang w:val="en-GB"/>
        </w:rPr>
      </w:pPr>
    </w:p>
    <w:p w14:paraId="69547D1F" w14:textId="77777777" w:rsidR="00AE0C3F" w:rsidRPr="002145FA" w:rsidRDefault="00AE0C3F" w:rsidP="00FD60AA">
      <w:pPr>
        <w:ind w:firstLine="284"/>
        <w:rPr>
          <w:b/>
          <w:sz w:val="16"/>
          <w:szCs w:val="16"/>
          <w:lang w:val="en-GB"/>
        </w:rPr>
      </w:pPr>
      <w:r w:rsidRPr="002145FA">
        <w:rPr>
          <w:b/>
          <w:sz w:val="16"/>
          <w:szCs w:val="16"/>
          <w:lang w:val="en-GB"/>
        </w:rPr>
        <w:t>Figure 2: Challenges of data centre</w:t>
      </w:r>
    </w:p>
    <w:p w14:paraId="69510F5C" w14:textId="77777777" w:rsidR="00AE0C3F" w:rsidRPr="002145FA" w:rsidRDefault="00AE0C3F" w:rsidP="00FD60AA">
      <w:pPr>
        <w:ind w:firstLine="284"/>
        <w:rPr>
          <w:sz w:val="20"/>
          <w:szCs w:val="20"/>
          <w:lang w:val="en-GB"/>
        </w:rPr>
      </w:pPr>
      <w:r w:rsidRPr="002145FA">
        <w:rPr>
          <w:sz w:val="20"/>
          <w:szCs w:val="20"/>
          <w:lang w:val="en-GB"/>
        </w:rPr>
        <w:t>(Source: created by Author)</w:t>
      </w:r>
    </w:p>
    <w:p w14:paraId="65C73B59" w14:textId="58BFA540" w:rsidR="00AE0C3F" w:rsidRPr="002145FA" w:rsidRDefault="00AE0C3F" w:rsidP="00FD60AA">
      <w:pPr>
        <w:ind w:firstLine="284"/>
        <w:rPr>
          <w:sz w:val="20"/>
          <w:szCs w:val="20"/>
          <w:lang w:val="en-GB"/>
        </w:rPr>
      </w:pPr>
      <w:r w:rsidRPr="002145FA">
        <w:rPr>
          <w:sz w:val="20"/>
          <w:szCs w:val="20"/>
          <w:lang w:val="en-GB"/>
        </w:rPr>
        <w:t>Energy also wastes in this process. Uptime measurement is a challenge for management. Cooling and energy management are the factors of the uptime management of the data centre managers. Cutting the maintenance cost is another major challenge for the maintenance of the data centre technology [</w:t>
      </w:r>
      <w:r w:rsidR="00E219EE" w:rsidRPr="002145FA">
        <w:rPr>
          <w:sz w:val="20"/>
          <w:szCs w:val="20"/>
          <w:lang w:val="en-GB"/>
        </w:rPr>
        <w:t>7</w:t>
      </w:r>
      <w:r w:rsidRPr="002145FA">
        <w:rPr>
          <w:sz w:val="20"/>
          <w:szCs w:val="20"/>
          <w:lang w:val="en-GB"/>
        </w:rPr>
        <w:t xml:space="preserve">]. Productivity of the staff is also important for the proper management of the data centre. All the challenges create barriers in the operating system. It supports the network servers across huge amounts of data in a multi-cloud infrastructure. </w:t>
      </w:r>
    </w:p>
    <w:p w14:paraId="5FB83E5B" w14:textId="77777777" w:rsidR="00AE0C3F" w:rsidRPr="002145FA" w:rsidRDefault="00AE0C3F" w:rsidP="00FD60AA">
      <w:pPr>
        <w:ind w:firstLine="284"/>
        <w:rPr>
          <w:b/>
          <w:sz w:val="20"/>
          <w:szCs w:val="20"/>
          <w:lang w:val="en-GB"/>
        </w:rPr>
      </w:pPr>
    </w:p>
    <w:p w14:paraId="54B2E00D" w14:textId="77777777" w:rsidR="00AE0C3F" w:rsidRPr="002145FA" w:rsidRDefault="00AE0C3F" w:rsidP="00FD60AA">
      <w:pPr>
        <w:ind w:firstLine="284"/>
        <w:rPr>
          <w:b/>
          <w:sz w:val="20"/>
          <w:szCs w:val="20"/>
          <w:lang w:val="en-GB"/>
        </w:rPr>
      </w:pPr>
      <w:r w:rsidRPr="002145FA">
        <w:rPr>
          <w:b/>
          <w:sz w:val="20"/>
          <w:szCs w:val="20"/>
          <w:lang w:val="en-GB"/>
        </w:rPr>
        <w:t xml:space="preserve">Background/Overview: </w:t>
      </w:r>
    </w:p>
    <w:p w14:paraId="6D4A23B8" w14:textId="213A11C0" w:rsidR="00AE0C3F" w:rsidRPr="002145FA" w:rsidRDefault="00AE0C3F" w:rsidP="00FD60AA">
      <w:pPr>
        <w:ind w:firstLine="284"/>
        <w:rPr>
          <w:sz w:val="20"/>
          <w:szCs w:val="20"/>
          <w:lang w:val="en-GB"/>
        </w:rPr>
      </w:pPr>
      <w:r w:rsidRPr="002145FA">
        <w:rPr>
          <w:sz w:val="20"/>
          <w:szCs w:val="20"/>
          <w:lang w:val="en-GB"/>
        </w:rPr>
        <w:t>The Victoria University of Manchester was established from Owens College. On the other hand, the technical School has been renamed after World War I to the Manchester Institute of Science and Technology (UMIST) in England. Both the universities merged and is known as the University of Manchester forming the largest university in the nation.</w:t>
      </w:r>
      <w:r w:rsidR="002443DD">
        <w:rPr>
          <w:sz w:val="20"/>
          <w:szCs w:val="20"/>
          <w:lang w:val="en-GB"/>
        </w:rPr>
        <w:t xml:space="preserve"> </w:t>
      </w:r>
      <w:r w:rsidRPr="002145FA">
        <w:rPr>
          <w:sz w:val="20"/>
          <w:szCs w:val="20"/>
          <w:lang w:val="en-GB"/>
        </w:rPr>
        <w:t xml:space="preserve">The university is planning to develop a datacentre in order to centralize the IT operation and various equipment of both the organisations for the storage of data, processing data are stored and disseminating the data or other applications. The university aims to educate 34000 students per year and start more subjects and increase the departments as compared to other universities. </w:t>
      </w:r>
    </w:p>
    <w:p w14:paraId="5049313E" w14:textId="77777777" w:rsidR="00AE0C3F" w:rsidRPr="002145FA" w:rsidRDefault="00AE0C3F" w:rsidP="00FD60AA">
      <w:pPr>
        <w:ind w:firstLine="284"/>
        <w:rPr>
          <w:sz w:val="20"/>
          <w:szCs w:val="20"/>
          <w:lang w:val="en-GB"/>
        </w:rPr>
      </w:pPr>
      <w:r w:rsidRPr="002145FA">
        <w:rPr>
          <w:sz w:val="20"/>
          <w:szCs w:val="20"/>
          <w:lang w:val="en-GB"/>
        </w:rPr>
        <w:t xml:space="preserve">The data centre that will be developed by the University of Manchester is essential for the continuation of the daily operations. The data centre will also allow the sharing of research data with the collaborating institutes and answer additional and new questions. The university will be able to increase the </w:t>
      </w:r>
      <w:r w:rsidRPr="002145FA">
        <w:rPr>
          <w:sz w:val="20"/>
          <w:szCs w:val="20"/>
          <w:lang w:val="en-GB"/>
        </w:rPr>
        <w:lastRenderedPageBreak/>
        <w:t xml:space="preserve">efficiency of the operations.  Data centre development is also beneficial to lessen the damage caused by power failures or other disasters. The university will be able to utilise data centre for various requirements of networking set up of the systems. </w:t>
      </w:r>
    </w:p>
    <w:p w14:paraId="22F30AD7" w14:textId="77777777" w:rsidR="00AE0C3F" w:rsidRPr="002145FA" w:rsidRDefault="00AE0C3F" w:rsidP="00FD60AA">
      <w:pPr>
        <w:ind w:firstLine="284"/>
        <w:rPr>
          <w:b/>
          <w:sz w:val="20"/>
          <w:szCs w:val="20"/>
          <w:lang w:val="en-GB"/>
        </w:rPr>
      </w:pPr>
      <w:r w:rsidRPr="002145FA">
        <w:rPr>
          <w:b/>
          <w:sz w:val="20"/>
          <w:szCs w:val="20"/>
          <w:lang w:val="en-GB"/>
        </w:rPr>
        <w:t>Research Methodology:</w:t>
      </w:r>
    </w:p>
    <w:p w14:paraId="60F3A27C" w14:textId="77777777" w:rsidR="00AE0C3F" w:rsidRPr="002145FA" w:rsidRDefault="00AE0C3F" w:rsidP="00FD60AA">
      <w:pPr>
        <w:ind w:firstLine="284"/>
        <w:rPr>
          <w:sz w:val="20"/>
          <w:szCs w:val="20"/>
          <w:lang w:val="en-GB"/>
        </w:rPr>
      </w:pPr>
      <w:r w:rsidRPr="002145FA">
        <w:rPr>
          <w:b/>
          <w:i/>
          <w:sz w:val="20"/>
          <w:szCs w:val="20"/>
          <w:lang w:val="en-GB"/>
        </w:rPr>
        <w:t>Positivism philosophy</w:t>
      </w:r>
      <w:r w:rsidRPr="002145FA">
        <w:rPr>
          <w:sz w:val="20"/>
          <w:szCs w:val="20"/>
          <w:lang w:val="en-GB"/>
        </w:rPr>
        <w:t xml:space="preserve"> will be followed in the research. The philosophy states that the knowledge that is acquired from the process of observation is trustworthy and reliable. The interpretation of data is done in an objective manner. However, the </w:t>
      </w:r>
      <w:r w:rsidRPr="002145FA">
        <w:rPr>
          <w:b/>
          <w:i/>
          <w:sz w:val="20"/>
          <w:szCs w:val="20"/>
          <w:lang w:val="en-GB"/>
        </w:rPr>
        <w:t>deductive approach</w:t>
      </w:r>
      <w:r w:rsidRPr="002145FA">
        <w:rPr>
          <w:sz w:val="20"/>
          <w:szCs w:val="20"/>
          <w:lang w:val="en-GB"/>
        </w:rPr>
        <w:t xml:space="preserve"> is planned to be followed for the completion of the project. The approach allows the development of hypotheses after evaluating the existing literature. The approach allows the logical reasoning of one or more literature or statements to draw the conclusion. </w:t>
      </w:r>
      <w:r w:rsidRPr="002145FA">
        <w:rPr>
          <w:b/>
          <w:i/>
          <w:sz w:val="20"/>
          <w:szCs w:val="20"/>
          <w:lang w:val="en-GB"/>
        </w:rPr>
        <w:t>Descriptive design</w:t>
      </w:r>
      <w:r w:rsidRPr="002145FA">
        <w:rPr>
          <w:sz w:val="20"/>
          <w:szCs w:val="20"/>
          <w:lang w:val="en-GB"/>
        </w:rPr>
        <w:t xml:space="preserve"> has been utilised in the research </w:t>
      </w:r>
      <w:proofErr w:type="gramStart"/>
      <w:r w:rsidRPr="002145FA">
        <w:rPr>
          <w:sz w:val="20"/>
          <w:szCs w:val="20"/>
          <w:lang w:val="en-GB"/>
        </w:rPr>
        <w:t>in order to</w:t>
      </w:r>
      <w:proofErr w:type="gramEnd"/>
      <w:r w:rsidRPr="002145FA">
        <w:rPr>
          <w:sz w:val="20"/>
          <w:szCs w:val="20"/>
          <w:lang w:val="en-GB"/>
        </w:rPr>
        <w:t xml:space="preserve"> describe the impacts of the data centre systematically and accurately. </w:t>
      </w:r>
    </w:p>
    <w:p w14:paraId="7DAD5AB7" w14:textId="2F5DEC34" w:rsidR="00AE0C3F" w:rsidRPr="002145FA" w:rsidRDefault="00AE0C3F" w:rsidP="00FD60AA">
      <w:pPr>
        <w:ind w:firstLine="284"/>
        <w:rPr>
          <w:sz w:val="20"/>
          <w:szCs w:val="20"/>
          <w:lang w:val="en-GB"/>
        </w:rPr>
      </w:pPr>
      <w:r w:rsidRPr="002145FA">
        <w:rPr>
          <w:sz w:val="20"/>
          <w:szCs w:val="20"/>
          <w:lang w:val="en-GB"/>
        </w:rPr>
        <w:t xml:space="preserve">The data for the research will be collected by the </w:t>
      </w:r>
      <w:r w:rsidRPr="002145FA">
        <w:rPr>
          <w:b/>
          <w:i/>
          <w:sz w:val="20"/>
          <w:szCs w:val="20"/>
          <w:lang w:val="en-GB"/>
        </w:rPr>
        <w:t>secondary method of data collection</w:t>
      </w:r>
      <w:r w:rsidRPr="002145FA">
        <w:rPr>
          <w:sz w:val="20"/>
          <w:szCs w:val="20"/>
          <w:lang w:val="en-GB"/>
        </w:rPr>
        <w:t xml:space="preserve">. The existing literature will be evaluated along with technical and trade journals. However, the qualitative data analysis method to answer the prime questions related to the research. The why, </w:t>
      </w:r>
      <w:proofErr w:type="gramStart"/>
      <w:r w:rsidRPr="002145FA">
        <w:rPr>
          <w:sz w:val="20"/>
          <w:szCs w:val="20"/>
          <w:lang w:val="en-GB"/>
        </w:rPr>
        <w:t>how</w:t>
      </w:r>
      <w:proofErr w:type="gramEnd"/>
      <w:r w:rsidRPr="002145FA">
        <w:rPr>
          <w:sz w:val="20"/>
          <w:szCs w:val="20"/>
          <w:lang w:val="en-GB"/>
        </w:rPr>
        <w:t xml:space="preserve"> and what question will be answered by the data analysis technique. The research ethics will be </w:t>
      </w:r>
      <w:r w:rsidR="00155B11" w:rsidRPr="002145FA">
        <w:rPr>
          <w:sz w:val="20"/>
          <w:szCs w:val="20"/>
          <w:lang w:val="en-GB"/>
        </w:rPr>
        <w:t>maintained,</w:t>
      </w:r>
      <w:r w:rsidRPr="002145FA">
        <w:rPr>
          <w:sz w:val="20"/>
          <w:szCs w:val="20"/>
          <w:lang w:val="en-GB"/>
        </w:rPr>
        <w:t xml:space="preserve"> and the individuals associated with the research will be given equal respect. The anonymity of the individuals will be maintained. The confidentiality will be maintained along with the protection of research data. The data will be utilised in the research after informed consent. </w:t>
      </w:r>
    </w:p>
    <w:p w14:paraId="7E7E1F5B" w14:textId="77777777" w:rsidR="00AE0C3F" w:rsidRPr="002145FA" w:rsidRDefault="00AE0C3F" w:rsidP="00FD60AA">
      <w:pPr>
        <w:ind w:firstLine="284"/>
        <w:rPr>
          <w:b/>
          <w:sz w:val="20"/>
          <w:szCs w:val="20"/>
          <w:lang w:val="en-GB"/>
        </w:rPr>
      </w:pPr>
      <w:r w:rsidRPr="002145FA">
        <w:rPr>
          <w:b/>
          <w:sz w:val="20"/>
          <w:szCs w:val="20"/>
          <w:lang w:val="en-GB"/>
        </w:rPr>
        <w:t>Analysis and Discussion:</w:t>
      </w:r>
    </w:p>
    <w:p w14:paraId="4785D015" w14:textId="77777777" w:rsidR="00AE0C3F" w:rsidRPr="002145FA" w:rsidRDefault="00AE0C3F" w:rsidP="00FD60AA">
      <w:pPr>
        <w:ind w:firstLine="284"/>
        <w:rPr>
          <w:b/>
          <w:sz w:val="20"/>
          <w:szCs w:val="20"/>
          <w:lang w:val="en-GB"/>
        </w:rPr>
      </w:pPr>
      <w:r w:rsidRPr="002145FA">
        <w:rPr>
          <w:b/>
          <w:sz w:val="20"/>
          <w:szCs w:val="20"/>
          <w:lang w:val="en-GB"/>
        </w:rPr>
        <w:t>Design &amp; Architecture</w:t>
      </w:r>
    </w:p>
    <w:p w14:paraId="738C905D" w14:textId="5190980D" w:rsidR="00AE0C3F" w:rsidRPr="002145FA" w:rsidRDefault="00AE0C3F" w:rsidP="00FD60AA">
      <w:pPr>
        <w:ind w:firstLine="284"/>
        <w:rPr>
          <w:sz w:val="20"/>
          <w:szCs w:val="20"/>
          <w:lang w:val="en-GB"/>
        </w:rPr>
      </w:pPr>
      <w:r w:rsidRPr="002145FA">
        <w:rPr>
          <w:sz w:val="20"/>
          <w:szCs w:val="20"/>
          <w:lang w:val="en-GB"/>
        </w:rPr>
        <w:t xml:space="preserve">Data centre design should be planned effectively as the development is expensive and the University of Manchester will have to bear a large amount for the development </w:t>
      </w:r>
      <w:r w:rsidR="004716B0">
        <w:rPr>
          <w:sz w:val="20"/>
          <w:szCs w:val="20"/>
          <w:lang w:val="en-GB"/>
        </w:rPr>
        <w:t xml:space="preserve"> </w:t>
      </w:r>
      <w:r w:rsidRPr="002145FA">
        <w:rPr>
          <w:sz w:val="20"/>
          <w:szCs w:val="20"/>
          <w:lang w:val="en-GB"/>
        </w:rPr>
        <w:t>. Data centre designing involves the development of the IT resources, the architectural layout and the infrastructure that will support the operation of the data centre in the University of Manchester [</w:t>
      </w:r>
      <w:r w:rsidR="00E219EE" w:rsidRPr="002145FA">
        <w:rPr>
          <w:sz w:val="20"/>
          <w:szCs w:val="20"/>
          <w:lang w:val="en-GB"/>
        </w:rPr>
        <w:t>7</w:t>
      </w:r>
      <w:r w:rsidRPr="002145FA">
        <w:rPr>
          <w:sz w:val="20"/>
          <w:szCs w:val="20"/>
          <w:lang w:val="en-GB"/>
        </w:rPr>
        <w:t xml:space="preserve">]. The design of the data centre allows the attainment of logical conceptualisation of the data centre before implementing it in the University. The power requirements for the data centre </w:t>
      </w:r>
      <w:proofErr w:type="gramStart"/>
      <w:r w:rsidRPr="002145FA">
        <w:rPr>
          <w:sz w:val="20"/>
          <w:szCs w:val="20"/>
          <w:lang w:val="en-GB"/>
        </w:rPr>
        <w:t>is</w:t>
      </w:r>
      <w:proofErr w:type="gramEnd"/>
      <w:r w:rsidRPr="002145FA">
        <w:rPr>
          <w:sz w:val="20"/>
          <w:szCs w:val="20"/>
          <w:lang w:val="en-GB"/>
        </w:rPr>
        <w:t xml:space="preserve"> massive and the plan should be done after evaluation of the present and the future requirement. The</w:t>
      </w:r>
      <w:r w:rsidRPr="002145FA">
        <w:rPr>
          <w:b/>
          <w:i/>
          <w:sz w:val="20"/>
          <w:szCs w:val="20"/>
          <w:lang w:val="en-GB"/>
        </w:rPr>
        <w:t xml:space="preserve"> multi-tier design model</w:t>
      </w:r>
      <w:r w:rsidRPr="002145FA">
        <w:rPr>
          <w:sz w:val="20"/>
          <w:szCs w:val="20"/>
          <w:lang w:val="en-GB"/>
        </w:rPr>
        <w:t xml:space="preserve"> is the widely used design for the development of the data centre. The multilayer model is web-based, application or databases. The model is flexible yet expensive. Multi-tier utilises the software that is executed as a different process on a system using IPC. Resiliency is enhanced </w:t>
      </w:r>
      <w:proofErr w:type="gramStart"/>
      <w:r w:rsidRPr="002145FA">
        <w:rPr>
          <w:sz w:val="20"/>
          <w:szCs w:val="20"/>
          <w:lang w:val="en-GB"/>
        </w:rPr>
        <w:t>by the use of</w:t>
      </w:r>
      <w:proofErr w:type="gramEnd"/>
      <w:r w:rsidRPr="002145FA">
        <w:rPr>
          <w:sz w:val="20"/>
          <w:szCs w:val="20"/>
          <w:lang w:val="en-GB"/>
        </w:rPr>
        <w:t xml:space="preserve"> multi-tier design. </w:t>
      </w:r>
    </w:p>
    <w:p w14:paraId="728B3EB6" w14:textId="0BE5A081" w:rsidR="00AE0C3F" w:rsidRPr="002145FA" w:rsidRDefault="00AE0C3F" w:rsidP="00FD60AA">
      <w:pPr>
        <w:ind w:firstLine="284"/>
        <w:rPr>
          <w:sz w:val="20"/>
          <w:szCs w:val="20"/>
          <w:lang w:val="en-GB"/>
        </w:rPr>
      </w:pPr>
      <w:r w:rsidRPr="002145FA">
        <w:rPr>
          <w:sz w:val="20"/>
          <w:szCs w:val="20"/>
          <w:lang w:val="en-GB"/>
        </w:rPr>
        <w:t xml:space="preserve">However, the architecture of a data centre involves the various users that include the core layer. Such as Aggregation layer and Access layer. The </w:t>
      </w:r>
      <w:r w:rsidRPr="002145FA">
        <w:rPr>
          <w:b/>
          <w:i/>
          <w:sz w:val="20"/>
          <w:szCs w:val="20"/>
          <w:lang w:val="en-GB"/>
        </w:rPr>
        <w:t>core layer</w:t>
      </w:r>
      <w:r w:rsidRPr="002145FA">
        <w:rPr>
          <w:sz w:val="20"/>
          <w:szCs w:val="20"/>
          <w:lang w:val="en-GB"/>
        </w:rPr>
        <w:t xml:space="preserve"> </w:t>
      </w:r>
      <w:r w:rsidRPr="002145FA">
        <w:rPr>
          <w:sz w:val="20"/>
          <w:szCs w:val="20"/>
          <w:lang w:val="en-GB"/>
        </w:rPr>
        <w:t>provides the switch of the packets at a high-speed for the data flowing in and out from the data centre [</w:t>
      </w:r>
      <w:r w:rsidR="00E219EE" w:rsidRPr="002145FA">
        <w:rPr>
          <w:sz w:val="20"/>
          <w:szCs w:val="20"/>
          <w:lang w:val="en-GB"/>
        </w:rPr>
        <w:t>8</w:t>
      </w:r>
      <w:r w:rsidRPr="002145FA">
        <w:rPr>
          <w:sz w:val="20"/>
          <w:szCs w:val="20"/>
          <w:lang w:val="en-GB"/>
        </w:rPr>
        <w:t xml:space="preserve">]. The layer also maintains the connectivity to different aggregation modules and offers resilient </w:t>
      </w:r>
      <w:r w:rsidR="00155B11" w:rsidRPr="002145FA">
        <w:rPr>
          <w:sz w:val="20"/>
          <w:szCs w:val="20"/>
          <w:lang w:val="en-GB"/>
        </w:rPr>
        <w:t>layer 3</w:t>
      </w:r>
      <w:r w:rsidRPr="002145FA">
        <w:rPr>
          <w:sz w:val="20"/>
          <w:szCs w:val="20"/>
          <w:lang w:val="en-GB"/>
        </w:rPr>
        <w:t xml:space="preserve">. </w:t>
      </w:r>
    </w:p>
    <w:p w14:paraId="62F1C0EE" w14:textId="77777777" w:rsidR="00AE0C3F" w:rsidRPr="002145FA" w:rsidRDefault="00AE0C3F" w:rsidP="00FD60AA">
      <w:pPr>
        <w:ind w:firstLine="284"/>
        <w:rPr>
          <w:sz w:val="20"/>
          <w:szCs w:val="20"/>
          <w:lang w:val="en-GB"/>
        </w:rPr>
      </w:pPr>
      <w:r w:rsidRPr="002145FA">
        <w:rPr>
          <w:noProof/>
          <w:sz w:val="20"/>
          <w:szCs w:val="20"/>
          <w:lang w:val="en-US"/>
        </w:rPr>
        <w:drawing>
          <wp:inline distT="0" distB="0" distL="0" distR="0" wp14:anchorId="35592251" wp14:editId="378647FB">
            <wp:extent cx="2806798" cy="1978562"/>
            <wp:effectExtent l="19050" t="19050" r="12602" b="21688"/>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0540" cy="1981200"/>
                    </a:xfrm>
                    <a:prstGeom prst="rect">
                      <a:avLst/>
                    </a:prstGeom>
                    <a:noFill/>
                    <a:ln w="25400" cmpd="sng">
                      <a:solidFill>
                        <a:srgbClr val="000000"/>
                      </a:solidFill>
                      <a:miter lim="800000"/>
                      <a:headEnd/>
                      <a:tailEnd/>
                    </a:ln>
                    <a:effectLst/>
                  </pic:spPr>
                </pic:pic>
              </a:graphicData>
            </a:graphic>
          </wp:inline>
        </w:drawing>
      </w:r>
    </w:p>
    <w:p w14:paraId="6F834B31" w14:textId="77777777" w:rsidR="00AE0C3F" w:rsidRPr="002145FA" w:rsidRDefault="00AE0C3F" w:rsidP="00FD60AA">
      <w:pPr>
        <w:ind w:firstLine="284"/>
        <w:rPr>
          <w:b/>
          <w:sz w:val="20"/>
          <w:szCs w:val="20"/>
          <w:lang w:val="en-GB"/>
        </w:rPr>
      </w:pPr>
    </w:p>
    <w:p w14:paraId="1AE883C0" w14:textId="77777777" w:rsidR="00AE0C3F" w:rsidRPr="002145FA" w:rsidRDefault="00AE0C3F" w:rsidP="00FD60AA">
      <w:pPr>
        <w:ind w:firstLine="284"/>
        <w:rPr>
          <w:b/>
          <w:sz w:val="16"/>
          <w:szCs w:val="16"/>
          <w:lang w:val="en-GB"/>
        </w:rPr>
      </w:pPr>
      <w:r w:rsidRPr="002145FA">
        <w:rPr>
          <w:b/>
          <w:sz w:val="16"/>
          <w:szCs w:val="16"/>
          <w:lang w:val="en-GB"/>
        </w:rPr>
        <w:t>Figure 3: Data Centre Architecture Overview</w:t>
      </w:r>
    </w:p>
    <w:p w14:paraId="6513146B" w14:textId="5693CF2E" w:rsidR="00AE0C3F" w:rsidRPr="002145FA" w:rsidRDefault="00AE0C3F" w:rsidP="00FD60AA">
      <w:pPr>
        <w:ind w:firstLine="284"/>
        <w:rPr>
          <w:sz w:val="16"/>
          <w:szCs w:val="16"/>
          <w:lang w:val="en-GB"/>
        </w:rPr>
      </w:pPr>
      <w:r w:rsidRPr="002145FA">
        <w:rPr>
          <w:sz w:val="16"/>
          <w:szCs w:val="16"/>
          <w:lang w:val="en-GB"/>
        </w:rPr>
        <w:t>(Source: [</w:t>
      </w:r>
      <w:r w:rsidR="0022724C" w:rsidRPr="002145FA">
        <w:rPr>
          <w:sz w:val="16"/>
          <w:szCs w:val="16"/>
          <w:lang w:val="en-GB"/>
        </w:rPr>
        <w:t>4</w:t>
      </w:r>
      <w:r w:rsidRPr="002145FA">
        <w:rPr>
          <w:sz w:val="16"/>
          <w:szCs w:val="16"/>
          <w:lang w:val="en-GB"/>
        </w:rPr>
        <w:t>])</w:t>
      </w:r>
    </w:p>
    <w:p w14:paraId="28034B80" w14:textId="3084676A" w:rsidR="00AE0C3F" w:rsidRPr="002145FA" w:rsidRDefault="00AE0C3F" w:rsidP="00FD60AA">
      <w:pPr>
        <w:ind w:firstLine="284"/>
        <w:rPr>
          <w:sz w:val="20"/>
          <w:szCs w:val="20"/>
          <w:lang w:val="en-GB"/>
        </w:rPr>
      </w:pPr>
      <w:r w:rsidRPr="002145FA">
        <w:rPr>
          <w:sz w:val="20"/>
          <w:szCs w:val="20"/>
          <w:lang w:val="en-GB"/>
        </w:rPr>
        <w:t xml:space="preserve">The </w:t>
      </w:r>
      <w:r w:rsidRPr="002145FA">
        <w:rPr>
          <w:b/>
          <w:i/>
          <w:sz w:val="20"/>
          <w:szCs w:val="20"/>
          <w:lang w:val="en-GB"/>
        </w:rPr>
        <w:t xml:space="preserve">aggregation layer </w:t>
      </w:r>
      <w:r w:rsidRPr="002145FA">
        <w:rPr>
          <w:sz w:val="20"/>
          <w:szCs w:val="20"/>
          <w:lang w:val="en-GB"/>
        </w:rPr>
        <w:t xml:space="preserve">offers essential functions that involve integration of the services module, defining the domain of layer 2, processing of the spanning trees and lastly the redundancy of default gateway. The multi-tier traffic flows in between the servers and is beneficial for utilising firewalls or server load balancing. </w:t>
      </w:r>
      <w:r w:rsidRPr="002145FA">
        <w:rPr>
          <w:b/>
          <w:i/>
          <w:sz w:val="20"/>
          <w:szCs w:val="20"/>
          <w:lang w:val="en-GB"/>
        </w:rPr>
        <w:t>Access layer</w:t>
      </w:r>
      <w:r w:rsidRPr="002145FA">
        <w:rPr>
          <w:sz w:val="20"/>
          <w:szCs w:val="20"/>
          <w:lang w:val="en-GB"/>
        </w:rPr>
        <w:t xml:space="preserve"> is the point where the servers can </w:t>
      </w:r>
      <w:proofErr w:type="gramStart"/>
      <w:r w:rsidRPr="002145FA">
        <w:rPr>
          <w:sz w:val="20"/>
          <w:szCs w:val="20"/>
          <w:lang w:val="en-GB"/>
        </w:rPr>
        <w:t>actually link</w:t>
      </w:r>
      <w:proofErr w:type="gramEnd"/>
      <w:r w:rsidRPr="002145FA">
        <w:rPr>
          <w:sz w:val="20"/>
          <w:szCs w:val="20"/>
          <w:lang w:val="en-GB"/>
        </w:rPr>
        <w:t xml:space="preserve"> to the network of the university [</w:t>
      </w:r>
      <w:r w:rsidR="00E219EE" w:rsidRPr="002145FA">
        <w:rPr>
          <w:sz w:val="20"/>
          <w:szCs w:val="20"/>
          <w:lang w:val="en-GB"/>
        </w:rPr>
        <w:t>9</w:t>
      </w:r>
      <w:r w:rsidRPr="002145FA">
        <w:rPr>
          <w:sz w:val="20"/>
          <w:szCs w:val="20"/>
          <w:lang w:val="en-GB"/>
        </w:rPr>
        <w:t xml:space="preserve">]. The element of the server comprises 1RU server, clustered servers, blade servers along with switches that are integral, etc. </w:t>
      </w:r>
    </w:p>
    <w:p w14:paraId="2174464B" w14:textId="77777777" w:rsidR="00AE0C3F" w:rsidRPr="002145FA" w:rsidRDefault="00AE0C3F" w:rsidP="00FD60AA">
      <w:pPr>
        <w:ind w:firstLine="284"/>
        <w:rPr>
          <w:b/>
          <w:sz w:val="20"/>
          <w:szCs w:val="20"/>
          <w:lang w:val="en-GB"/>
        </w:rPr>
      </w:pPr>
      <w:r w:rsidRPr="002145FA">
        <w:rPr>
          <w:b/>
          <w:sz w:val="20"/>
          <w:szCs w:val="20"/>
          <w:lang w:val="en-GB"/>
        </w:rPr>
        <w:t>Network topology</w:t>
      </w:r>
    </w:p>
    <w:p w14:paraId="04B96818" w14:textId="1F98FB54" w:rsidR="00AE0C3F" w:rsidRPr="002145FA" w:rsidRDefault="00AE0C3F" w:rsidP="00FD60AA">
      <w:pPr>
        <w:ind w:firstLine="284"/>
        <w:rPr>
          <w:sz w:val="20"/>
          <w:szCs w:val="20"/>
          <w:lang w:val="en-GB"/>
        </w:rPr>
      </w:pPr>
      <w:r w:rsidRPr="002145FA">
        <w:rPr>
          <w:sz w:val="20"/>
          <w:szCs w:val="20"/>
          <w:lang w:val="en-GB"/>
        </w:rPr>
        <w:t xml:space="preserve">Data centres mainly consist of </w:t>
      </w:r>
      <w:r w:rsidR="00155B11" w:rsidRPr="002145FA">
        <w:rPr>
          <w:sz w:val="20"/>
          <w:szCs w:val="20"/>
          <w:lang w:val="en-GB"/>
        </w:rPr>
        <w:t>three-layer</w:t>
      </w:r>
      <w:r w:rsidRPr="002145FA">
        <w:rPr>
          <w:sz w:val="20"/>
          <w:szCs w:val="20"/>
          <w:lang w:val="en-GB"/>
        </w:rPr>
        <w:t xml:space="preserve"> topologies and can be selected from a long list. </w:t>
      </w:r>
      <w:r w:rsidRPr="002145FA">
        <w:rPr>
          <w:b/>
          <w:i/>
          <w:sz w:val="20"/>
          <w:szCs w:val="20"/>
          <w:lang w:val="en-GB"/>
        </w:rPr>
        <w:t xml:space="preserve">Leaf spine topology </w:t>
      </w:r>
      <w:r w:rsidRPr="002145FA">
        <w:rPr>
          <w:sz w:val="20"/>
          <w:szCs w:val="20"/>
          <w:lang w:val="en-GB"/>
        </w:rPr>
        <w:t xml:space="preserve">in a data centre is beneficial to monitor the east-west traffic on the network. The topology allows the utilisation of more switches </w:t>
      </w:r>
      <w:proofErr w:type="gramStart"/>
      <w:r w:rsidRPr="002145FA">
        <w:rPr>
          <w:sz w:val="20"/>
          <w:szCs w:val="20"/>
          <w:lang w:val="en-GB"/>
        </w:rPr>
        <w:t>in order to</w:t>
      </w:r>
      <w:proofErr w:type="gramEnd"/>
      <w:r w:rsidRPr="002145FA">
        <w:rPr>
          <w:sz w:val="20"/>
          <w:szCs w:val="20"/>
          <w:lang w:val="en-GB"/>
        </w:rPr>
        <w:t xml:space="preserve"> tackle the network traffic of the data centre.  The topology comprises two layers that include leaf and spine. The leaf comprises switches that aggregates the network traffic from servers and allows connection directly into the network core [1</w:t>
      </w:r>
      <w:r w:rsidR="00E219EE" w:rsidRPr="002145FA">
        <w:rPr>
          <w:sz w:val="20"/>
          <w:szCs w:val="20"/>
          <w:lang w:val="en-GB"/>
        </w:rPr>
        <w:t>0</w:t>
      </w:r>
      <w:r w:rsidRPr="002145FA">
        <w:rPr>
          <w:sz w:val="20"/>
          <w:szCs w:val="20"/>
          <w:lang w:val="en-GB"/>
        </w:rPr>
        <w:t xml:space="preserve">]. The topology will allow the data flow to take shortcuts form the source to the destination. </w:t>
      </w:r>
    </w:p>
    <w:p w14:paraId="57DB00B6" w14:textId="507FE9C7" w:rsidR="00AE0C3F" w:rsidRPr="002145FA" w:rsidRDefault="00AE0C3F" w:rsidP="00FD60AA">
      <w:pPr>
        <w:ind w:firstLine="284"/>
        <w:rPr>
          <w:sz w:val="20"/>
          <w:szCs w:val="20"/>
          <w:lang w:val="en-GB"/>
        </w:rPr>
      </w:pPr>
      <w:r w:rsidRPr="002145FA">
        <w:rPr>
          <w:sz w:val="20"/>
          <w:szCs w:val="20"/>
          <w:lang w:val="en-GB"/>
        </w:rPr>
        <w:t xml:space="preserve">Similarly, the </w:t>
      </w:r>
      <w:r w:rsidRPr="002145FA">
        <w:rPr>
          <w:b/>
          <w:i/>
          <w:sz w:val="20"/>
          <w:szCs w:val="20"/>
          <w:lang w:val="en-GB"/>
        </w:rPr>
        <w:t>jellyfish topology</w:t>
      </w:r>
      <w:r w:rsidRPr="002145FA">
        <w:rPr>
          <w:sz w:val="20"/>
          <w:szCs w:val="20"/>
          <w:lang w:val="en-GB"/>
        </w:rPr>
        <w:t xml:space="preserve"> </w:t>
      </w:r>
      <w:proofErr w:type="gramStart"/>
      <w:r w:rsidRPr="002145FA">
        <w:rPr>
          <w:sz w:val="20"/>
          <w:szCs w:val="20"/>
          <w:lang w:val="en-GB"/>
        </w:rPr>
        <w:t>is considered to be</w:t>
      </w:r>
      <w:proofErr w:type="gramEnd"/>
      <w:r w:rsidRPr="002145FA">
        <w:rPr>
          <w:sz w:val="20"/>
          <w:szCs w:val="20"/>
          <w:lang w:val="en-GB"/>
        </w:rPr>
        <w:t xml:space="preserve"> a </w:t>
      </w:r>
      <w:r w:rsidR="00155B11" w:rsidRPr="002145FA">
        <w:rPr>
          <w:sz w:val="20"/>
          <w:szCs w:val="20"/>
          <w:lang w:val="en-GB"/>
        </w:rPr>
        <w:t>high-capacity</w:t>
      </w:r>
      <w:r w:rsidRPr="002145FA">
        <w:rPr>
          <w:sz w:val="20"/>
          <w:szCs w:val="20"/>
          <w:lang w:val="en-GB"/>
        </w:rPr>
        <w:t xml:space="preserve"> topology to establish network interconnection by utilizing the topology of a random graph.   The switches in the network can be interconnected as per the choice of the network designer. The jellyfish topology has yielded 25 % more results as compared to the traditional topologies in the network. The topology will also allow the incorporation of flexibility while developing the network topology of the data centre at the University of Manchester. The topology can be used at the switch layer [1</w:t>
      </w:r>
      <w:r w:rsidR="00E219EE" w:rsidRPr="002145FA">
        <w:rPr>
          <w:sz w:val="20"/>
          <w:szCs w:val="20"/>
          <w:lang w:val="en-GB"/>
        </w:rPr>
        <w:t>1</w:t>
      </w:r>
      <w:r w:rsidRPr="002145FA">
        <w:rPr>
          <w:sz w:val="20"/>
          <w:szCs w:val="20"/>
          <w:lang w:val="en-GB"/>
        </w:rPr>
        <w:t xml:space="preserve">]. The topology is efficient and offers more bandwidth to the network developer. </w:t>
      </w:r>
      <w:r w:rsidR="00155B11" w:rsidRPr="002145FA">
        <w:rPr>
          <w:sz w:val="20"/>
          <w:szCs w:val="20"/>
          <w:lang w:val="en-GB"/>
        </w:rPr>
        <w:t>Therefore,</w:t>
      </w:r>
      <w:r w:rsidRPr="002145FA">
        <w:rPr>
          <w:sz w:val="20"/>
          <w:szCs w:val="20"/>
          <w:lang w:val="en-GB"/>
        </w:rPr>
        <w:t xml:space="preserve"> the topologies will be </w:t>
      </w:r>
      <w:r w:rsidRPr="002145FA">
        <w:rPr>
          <w:sz w:val="20"/>
          <w:szCs w:val="20"/>
          <w:lang w:val="en-GB"/>
        </w:rPr>
        <w:lastRenderedPageBreak/>
        <w:t xml:space="preserve">effective for the development of a data centre for the University of Manchester. </w:t>
      </w:r>
    </w:p>
    <w:p w14:paraId="07B73577" w14:textId="77777777" w:rsidR="00AE0C3F" w:rsidRPr="002145FA" w:rsidRDefault="00AE0C3F" w:rsidP="00FD60AA">
      <w:pPr>
        <w:ind w:firstLine="284"/>
        <w:rPr>
          <w:b/>
          <w:sz w:val="20"/>
          <w:szCs w:val="20"/>
          <w:lang w:val="en-GB"/>
        </w:rPr>
      </w:pPr>
      <w:r w:rsidRPr="002145FA">
        <w:rPr>
          <w:b/>
          <w:sz w:val="20"/>
          <w:szCs w:val="20"/>
          <w:lang w:val="en-GB"/>
        </w:rPr>
        <w:t>Management</w:t>
      </w:r>
    </w:p>
    <w:p w14:paraId="1A8AC690" w14:textId="77777777" w:rsidR="00AE0C3F" w:rsidRPr="002145FA" w:rsidRDefault="00AE0C3F" w:rsidP="00FD60AA">
      <w:pPr>
        <w:ind w:firstLine="284"/>
        <w:rPr>
          <w:sz w:val="20"/>
          <w:szCs w:val="20"/>
          <w:lang w:val="en-GB"/>
        </w:rPr>
      </w:pPr>
      <w:r w:rsidRPr="002145FA">
        <w:rPr>
          <w:sz w:val="20"/>
          <w:szCs w:val="20"/>
          <w:lang w:val="en-GB"/>
        </w:rPr>
        <w:t xml:space="preserve">The facility management is the process of maintaining the management of the data centre. Data centre management is very essential </w:t>
      </w:r>
      <w:proofErr w:type="gramStart"/>
      <w:r w:rsidRPr="002145FA">
        <w:rPr>
          <w:sz w:val="20"/>
          <w:szCs w:val="20"/>
          <w:lang w:val="en-GB"/>
        </w:rPr>
        <w:t>in order to</w:t>
      </w:r>
      <w:proofErr w:type="gramEnd"/>
      <w:r w:rsidRPr="002145FA">
        <w:rPr>
          <w:sz w:val="20"/>
          <w:szCs w:val="20"/>
          <w:lang w:val="en-GB"/>
        </w:rPr>
        <w:t xml:space="preserve"> protect the data and avoid the chance of data breach. The data stored in the data centres are vital </w:t>
      </w:r>
      <w:proofErr w:type="gramStart"/>
      <w:r w:rsidRPr="002145FA">
        <w:rPr>
          <w:sz w:val="20"/>
          <w:szCs w:val="20"/>
          <w:lang w:val="en-GB"/>
        </w:rPr>
        <w:t>and also</w:t>
      </w:r>
      <w:proofErr w:type="gramEnd"/>
      <w:r w:rsidRPr="002145FA">
        <w:rPr>
          <w:sz w:val="20"/>
          <w:szCs w:val="20"/>
          <w:lang w:val="en-GB"/>
        </w:rPr>
        <w:t xml:space="preserve"> contain various sensitive information of individuals.  The management of data centres should maintain the practices of </w:t>
      </w:r>
      <w:r w:rsidRPr="002145FA">
        <w:rPr>
          <w:b/>
          <w:i/>
          <w:sz w:val="20"/>
          <w:szCs w:val="20"/>
          <w:lang w:val="en-GB"/>
        </w:rPr>
        <w:t>monitoring the activities</w:t>
      </w:r>
      <w:r w:rsidRPr="002145FA">
        <w:rPr>
          <w:sz w:val="20"/>
          <w:szCs w:val="20"/>
          <w:lang w:val="en-GB"/>
        </w:rPr>
        <w:t xml:space="preserve"> that are taking place in the systems and the servers to identify the occurrence of any breach to the security of the company. The </w:t>
      </w:r>
      <w:r w:rsidRPr="002145FA">
        <w:rPr>
          <w:b/>
          <w:i/>
          <w:sz w:val="20"/>
          <w:szCs w:val="20"/>
          <w:lang w:val="en-GB"/>
        </w:rPr>
        <w:t>evaluation of the facilities</w:t>
      </w:r>
      <w:r w:rsidRPr="002145FA">
        <w:rPr>
          <w:sz w:val="20"/>
          <w:szCs w:val="20"/>
          <w:lang w:val="en-GB"/>
        </w:rPr>
        <w:t xml:space="preserve"> of the data centre should be assured </w:t>
      </w:r>
      <w:proofErr w:type="gramStart"/>
      <w:r w:rsidRPr="002145FA">
        <w:rPr>
          <w:sz w:val="20"/>
          <w:szCs w:val="20"/>
          <w:lang w:val="en-GB"/>
        </w:rPr>
        <w:t>in order to</w:t>
      </w:r>
      <w:proofErr w:type="gramEnd"/>
      <w:r w:rsidRPr="002145FA">
        <w:rPr>
          <w:sz w:val="20"/>
          <w:szCs w:val="20"/>
          <w:lang w:val="en-GB"/>
        </w:rPr>
        <w:t xml:space="preserve"> increase the efficiency and obtain the highest result from the equipment present. </w:t>
      </w:r>
    </w:p>
    <w:p w14:paraId="58F03BDB" w14:textId="77777777" w:rsidR="00AE0C3F" w:rsidRPr="002145FA" w:rsidRDefault="00AE0C3F" w:rsidP="00FD60AA">
      <w:pPr>
        <w:ind w:firstLine="284"/>
        <w:rPr>
          <w:sz w:val="20"/>
          <w:szCs w:val="20"/>
          <w:lang w:val="en-GB"/>
        </w:rPr>
      </w:pPr>
      <w:r w:rsidRPr="002145FA">
        <w:rPr>
          <w:noProof/>
          <w:sz w:val="20"/>
          <w:szCs w:val="20"/>
          <w:lang w:val="en-US"/>
        </w:rPr>
        <w:drawing>
          <wp:inline distT="0" distB="0" distL="0" distR="0" wp14:anchorId="358437C2" wp14:editId="21821AEC">
            <wp:extent cx="2771217" cy="1862403"/>
            <wp:effectExtent l="38100" t="38100" r="10160" b="241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6207" cy="1892638"/>
                    </a:xfrm>
                    <a:prstGeom prst="rect">
                      <a:avLst/>
                    </a:prstGeom>
                    <a:noFill/>
                    <a:ln w="25400" cmpd="sng">
                      <a:solidFill>
                        <a:srgbClr val="000000"/>
                      </a:solidFill>
                      <a:miter lim="800000"/>
                      <a:headEnd/>
                      <a:tailEnd/>
                    </a:ln>
                    <a:effectLst/>
                  </pic:spPr>
                </pic:pic>
              </a:graphicData>
            </a:graphic>
          </wp:inline>
        </w:drawing>
      </w:r>
    </w:p>
    <w:p w14:paraId="13352D95" w14:textId="77777777" w:rsidR="00AE0C3F" w:rsidRPr="002145FA" w:rsidRDefault="00AE0C3F" w:rsidP="00FD60AA">
      <w:pPr>
        <w:ind w:firstLine="284"/>
        <w:rPr>
          <w:b/>
          <w:sz w:val="16"/>
          <w:szCs w:val="16"/>
          <w:lang w:val="en-GB"/>
        </w:rPr>
      </w:pPr>
      <w:r w:rsidRPr="002145FA">
        <w:rPr>
          <w:b/>
          <w:sz w:val="16"/>
          <w:szCs w:val="16"/>
          <w:lang w:val="en-GB"/>
        </w:rPr>
        <w:t>Figure 4: Data Centre Management Services</w:t>
      </w:r>
    </w:p>
    <w:p w14:paraId="7A226B9E" w14:textId="07B36B11" w:rsidR="00AE0C3F" w:rsidRPr="002145FA" w:rsidRDefault="00AE0C3F" w:rsidP="00FD60AA">
      <w:pPr>
        <w:ind w:firstLine="284"/>
        <w:rPr>
          <w:sz w:val="16"/>
          <w:szCs w:val="16"/>
          <w:lang w:val="en-GB"/>
        </w:rPr>
      </w:pPr>
      <w:r w:rsidRPr="002145FA">
        <w:rPr>
          <w:sz w:val="16"/>
          <w:szCs w:val="16"/>
          <w:lang w:val="en-GB"/>
        </w:rPr>
        <w:t>(Source:[</w:t>
      </w:r>
      <w:r w:rsidR="0022724C" w:rsidRPr="002145FA">
        <w:rPr>
          <w:sz w:val="16"/>
          <w:szCs w:val="16"/>
          <w:lang w:val="en-GB"/>
        </w:rPr>
        <w:t>5</w:t>
      </w:r>
      <w:r w:rsidRPr="002145FA">
        <w:rPr>
          <w:sz w:val="16"/>
          <w:szCs w:val="16"/>
          <w:lang w:val="en-GB"/>
        </w:rPr>
        <w:t>])</w:t>
      </w:r>
    </w:p>
    <w:p w14:paraId="158778F9" w14:textId="063489C9" w:rsidR="00AE0C3F" w:rsidRPr="002145FA" w:rsidRDefault="00AE0C3F" w:rsidP="00FD60AA">
      <w:pPr>
        <w:ind w:firstLine="284"/>
        <w:rPr>
          <w:sz w:val="20"/>
          <w:szCs w:val="20"/>
          <w:lang w:val="en-GB"/>
        </w:rPr>
      </w:pPr>
      <w:r w:rsidRPr="002145FA">
        <w:rPr>
          <w:sz w:val="20"/>
          <w:szCs w:val="20"/>
          <w:lang w:val="en-GB"/>
        </w:rPr>
        <w:t xml:space="preserve">However, the analysis should be done </w:t>
      </w:r>
      <w:proofErr w:type="gramStart"/>
      <w:r w:rsidRPr="002145FA">
        <w:rPr>
          <w:sz w:val="20"/>
          <w:szCs w:val="20"/>
          <w:lang w:val="en-GB"/>
        </w:rPr>
        <w:t>in order to</w:t>
      </w:r>
      <w:proofErr w:type="gramEnd"/>
      <w:r w:rsidRPr="002145FA">
        <w:rPr>
          <w:sz w:val="20"/>
          <w:szCs w:val="20"/>
          <w:lang w:val="en-GB"/>
        </w:rPr>
        <w:t xml:space="preserve"> save energy usage and also use less space for setting up the data centre.  Moreover, the </w:t>
      </w:r>
      <w:r w:rsidRPr="002145FA">
        <w:rPr>
          <w:b/>
          <w:i/>
          <w:sz w:val="20"/>
          <w:szCs w:val="20"/>
          <w:lang w:val="en-GB"/>
        </w:rPr>
        <w:t>action layer of the data centre should be automated</w:t>
      </w:r>
      <w:r w:rsidRPr="002145FA">
        <w:rPr>
          <w:sz w:val="20"/>
          <w:szCs w:val="20"/>
          <w:lang w:val="en-GB"/>
        </w:rPr>
        <w:t xml:space="preserve"> for synchronising the management of every IT hardware, monitoring the network and every application used [1</w:t>
      </w:r>
      <w:r w:rsidR="00E219EE" w:rsidRPr="002145FA">
        <w:rPr>
          <w:sz w:val="20"/>
          <w:szCs w:val="20"/>
          <w:lang w:val="en-GB"/>
        </w:rPr>
        <w:t>2</w:t>
      </w:r>
      <w:r w:rsidRPr="002145FA">
        <w:rPr>
          <w:sz w:val="20"/>
          <w:szCs w:val="20"/>
          <w:lang w:val="en-GB"/>
        </w:rPr>
        <w:t xml:space="preserve">]. The availability of power to the servers at all points of time is essential for the users to access the data. The management of data centres also include the protection from known or unknown risks and prevention of unauthorised access. </w:t>
      </w:r>
    </w:p>
    <w:p w14:paraId="0938A394" w14:textId="77777777" w:rsidR="00AE0C3F" w:rsidRPr="002145FA" w:rsidRDefault="00AE0C3F" w:rsidP="00FD60AA">
      <w:pPr>
        <w:ind w:firstLine="284"/>
        <w:rPr>
          <w:b/>
          <w:sz w:val="20"/>
          <w:szCs w:val="20"/>
          <w:lang w:val="en-GB"/>
        </w:rPr>
      </w:pPr>
      <w:r w:rsidRPr="002145FA">
        <w:rPr>
          <w:b/>
          <w:sz w:val="20"/>
          <w:szCs w:val="20"/>
          <w:lang w:val="en-GB"/>
        </w:rPr>
        <w:t>Fault Tolerance</w:t>
      </w:r>
    </w:p>
    <w:p w14:paraId="5CE8244E" w14:textId="63FBE535" w:rsidR="00AE0C3F" w:rsidRPr="002145FA" w:rsidRDefault="00AE0C3F" w:rsidP="00FD60AA">
      <w:pPr>
        <w:ind w:firstLine="284"/>
        <w:rPr>
          <w:sz w:val="20"/>
          <w:szCs w:val="20"/>
          <w:lang w:val="en-GB"/>
        </w:rPr>
      </w:pPr>
      <w:r w:rsidRPr="002145FA">
        <w:rPr>
          <w:sz w:val="20"/>
          <w:szCs w:val="20"/>
          <w:lang w:val="en-GB"/>
        </w:rPr>
        <w:t xml:space="preserve">Fault tolerance refers to the method that allows the operating system to provide response while the occurrence of failure in the hardware or software continues to be operating. The fault tolerance of a data centre depends on the existence of </w:t>
      </w:r>
      <w:r w:rsidRPr="002145FA">
        <w:rPr>
          <w:b/>
          <w:i/>
          <w:sz w:val="20"/>
          <w:szCs w:val="20"/>
          <w:lang w:val="en-GB"/>
        </w:rPr>
        <w:t>two parallel power sources</w:t>
      </w:r>
      <w:r w:rsidRPr="002145FA">
        <w:rPr>
          <w:sz w:val="20"/>
          <w:szCs w:val="20"/>
          <w:lang w:val="en-GB"/>
        </w:rPr>
        <w:t xml:space="preserve">. The data centres should also have </w:t>
      </w:r>
      <w:r w:rsidRPr="002145FA">
        <w:rPr>
          <w:b/>
          <w:i/>
          <w:sz w:val="20"/>
          <w:szCs w:val="20"/>
          <w:lang w:val="en-GB"/>
        </w:rPr>
        <w:t>proper cooling systems</w:t>
      </w:r>
      <w:r w:rsidRPr="002145FA">
        <w:rPr>
          <w:sz w:val="20"/>
          <w:szCs w:val="20"/>
          <w:lang w:val="en-GB"/>
        </w:rPr>
        <w:t xml:space="preserve"> to be fault tolerant. The need for electricity in a data centre is huge hence; the data centre for the university should be planned so that two different sources of power are available. The failure of one will </w:t>
      </w:r>
      <w:r w:rsidRPr="0025652D">
        <w:rPr>
          <w:sz w:val="20"/>
          <w:szCs w:val="20"/>
          <w:lang w:val="en-GB"/>
        </w:rPr>
        <w:t>allow the second one to provide support to the servers [1</w:t>
      </w:r>
      <w:r w:rsidR="008D4D9A" w:rsidRPr="0025652D">
        <w:rPr>
          <w:sz w:val="20"/>
          <w:szCs w:val="20"/>
          <w:lang w:val="en-GB"/>
        </w:rPr>
        <w:t>2</w:t>
      </w:r>
      <w:r w:rsidRPr="0025652D">
        <w:rPr>
          <w:sz w:val="20"/>
          <w:szCs w:val="20"/>
          <w:lang w:val="en-GB"/>
        </w:rPr>
        <w:t xml:space="preserve">]. The present requirement of the university should be </w:t>
      </w:r>
      <w:r w:rsidRPr="0025652D">
        <w:rPr>
          <w:sz w:val="20"/>
          <w:szCs w:val="20"/>
          <w:lang w:val="en-GB"/>
        </w:rPr>
        <w:t>properly evaluated long with the potential needs in the future to</w:t>
      </w:r>
      <w:r w:rsidRPr="002145FA">
        <w:rPr>
          <w:sz w:val="20"/>
          <w:szCs w:val="20"/>
          <w:lang w:val="en-GB"/>
        </w:rPr>
        <w:t xml:space="preserve"> implement the power sources.  </w:t>
      </w:r>
    </w:p>
    <w:p w14:paraId="50C59F60" w14:textId="77777777" w:rsidR="00AE0C3F" w:rsidRPr="002145FA" w:rsidRDefault="00AE0C3F" w:rsidP="00FD60AA">
      <w:pPr>
        <w:ind w:firstLine="284"/>
        <w:rPr>
          <w:sz w:val="20"/>
          <w:szCs w:val="20"/>
          <w:lang w:val="en-GB"/>
        </w:rPr>
      </w:pPr>
      <w:r w:rsidRPr="002145FA">
        <w:rPr>
          <w:sz w:val="20"/>
          <w:szCs w:val="20"/>
          <w:lang w:val="en-GB"/>
        </w:rPr>
        <w:t xml:space="preserve">The addition of hardware to the systems in a data centre will lead to generation of heat that needs to be removed </w:t>
      </w:r>
      <w:proofErr w:type="gramStart"/>
      <w:r w:rsidRPr="002145FA">
        <w:rPr>
          <w:sz w:val="20"/>
          <w:szCs w:val="20"/>
          <w:lang w:val="en-GB"/>
        </w:rPr>
        <w:t>in order to</w:t>
      </w:r>
      <w:proofErr w:type="gramEnd"/>
      <w:r w:rsidRPr="002145FA">
        <w:rPr>
          <w:sz w:val="20"/>
          <w:szCs w:val="20"/>
          <w:lang w:val="en-GB"/>
        </w:rPr>
        <w:t xml:space="preserve"> make the data centre fault tolerant. The set-up of cooling systems in the data centres is very important </w:t>
      </w:r>
      <w:proofErr w:type="gramStart"/>
      <w:r w:rsidRPr="002145FA">
        <w:rPr>
          <w:sz w:val="20"/>
          <w:szCs w:val="20"/>
          <w:lang w:val="en-GB"/>
        </w:rPr>
        <w:t>in order to</w:t>
      </w:r>
      <w:proofErr w:type="gramEnd"/>
      <w:r w:rsidRPr="002145FA">
        <w:rPr>
          <w:sz w:val="20"/>
          <w:szCs w:val="20"/>
          <w:lang w:val="en-GB"/>
        </w:rPr>
        <w:t xml:space="preserve"> protect the servers and other machines from faults and failures. However, the use of chilled water systems is the widely used technique to cool the data centres. The large sized data centres also utilise the chilled water technique for the cooling purpose. </w:t>
      </w:r>
    </w:p>
    <w:p w14:paraId="487FF3F3" w14:textId="77777777" w:rsidR="00AE0C3F" w:rsidRPr="002145FA" w:rsidRDefault="00AE0C3F" w:rsidP="00FD60AA">
      <w:pPr>
        <w:ind w:firstLine="284"/>
        <w:rPr>
          <w:b/>
          <w:sz w:val="20"/>
          <w:szCs w:val="20"/>
          <w:lang w:val="en-GB"/>
        </w:rPr>
      </w:pPr>
      <w:r w:rsidRPr="002145FA">
        <w:rPr>
          <w:b/>
          <w:sz w:val="20"/>
          <w:szCs w:val="20"/>
          <w:lang w:val="en-GB"/>
        </w:rPr>
        <w:t>Performance</w:t>
      </w:r>
    </w:p>
    <w:p w14:paraId="6FBE9574" w14:textId="77777777" w:rsidR="00AE0C3F" w:rsidRPr="002145FA" w:rsidRDefault="00AE0C3F" w:rsidP="00FD60AA">
      <w:pPr>
        <w:ind w:firstLine="284"/>
        <w:rPr>
          <w:sz w:val="20"/>
          <w:szCs w:val="20"/>
          <w:lang w:val="en-GB"/>
        </w:rPr>
      </w:pPr>
      <w:r w:rsidRPr="002145FA">
        <w:rPr>
          <w:sz w:val="20"/>
          <w:szCs w:val="20"/>
          <w:lang w:val="en-GB"/>
        </w:rPr>
        <w:t xml:space="preserve">Performance evaluation of data centres will allow the data centre managers to monitor the parameters that are most essential to use the data strategically </w:t>
      </w:r>
      <w:proofErr w:type="gramStart"/>
      <w:r w:rsidRPr="002145FA">
        <w:rPr>
          <w:sz w:val="20"/>
          <w:szCs w:val="20"/>
          <w:lang w:val="en-GB"/>
        </w:rPr>
        <w:t>in order to</w:t>
      </w:r>
      <w:proofErr w:type="gramEnd"/>
      <w:r w:rsidRPr="002145FA">
        <w:rPr>
          <w:sz w:val="20"/>
          <w:szCs w:val="20"/>
          <w:lang w:val="en-GB"/>
        </w:rPr>
        <w:t xml:space="preserve"> define the best practices of the data centre. Recognition of the key performance indicators is vital to enhance efficiency of the data centre of the University of Manchester. The</w:t>
      </w:r>
      <w:r w:rsidRPr="002145FA">
        <w:rPr>
          <w:b/>
          <w:i/>
          <w:sz w:val="20"/>
          <w:szCs w:val="20"/>
          <w:lang w:val="en-GB"/>
        </w:rPr>
        <w:t xml:space="preserve"> availability of sufficient supply of power and advanced cooling systems</w:t>
      </w:r>
      <w:r w:rsidRPr="002145FA">
        <w:rPr>
          <w:sz w:val="20"/>
          <w:szCs w:val="20"/>
          <w:lang w:val="en-GB"/>
        </w:rPr>
        <w:t xml:space="preserve"> to make the data centre fault tolerant is one of the main factors that affects the performance. However, the </w:t>
      </w:r>
      <w:r w:rsidRPr="002145FA">
        <w:rPr>
          <w:b/>
          <w:i/>
          <w:sz w:val="20"/>
          <w:szCs w:val="20"/>
          <w:lang w:val="en-GB"/>
        </w:rPr>
        <w:t>availability of accurate and real-time data</w:t>
      </w:r>
      <w:r w:rsidRPr="002145FA">
        <w:rPr>
          <w:sz w:val="20"/>
          <w:szCs w:val="20"/>
          <w:lang w:val="en-GB"/>
        </w:rPr>
        <w:t xml:space="preserve"> allows the process of data driven decision </w:t>
      </w:r>
      <w:proofErr w:type="gramStart"/>
      <w:r w:rsidRPr="002145FA">
        <w:rPr>
          <w:sz w:val="20"/>
          <w:szCs w:val="20"/>
          <w:lang w:val="en-GB"/>
        </w:rPr>
        <w:t>in order to</w:t>
      </w:r>
      <w:proofErr w:type="gramEnd"/>
      <w:r w:rsidRPr="002145FA">
        <w:rPr>
          <w:sz w:val="20"/>
          <w:szCs w:val="20"/>
          <w:lang w:val="en-GB"/>
        </w:rPr>
        <w:t xml:space="preserve"> deploy various IT equipment and other resources in the data centre. </w:t>
      </w:r>
    </w:p>
    <w:p w14:paraId="7D787DB8" w14:textId="5E1F616F" w:rsidR="00AE0C3F" w:rsidRPr="002145FA" w:rsidRDefault="00AE0C3F" w:rsidP="00FD60AA">
      <w:pPr>
        <w:ind w:firstLine="284"/>
        <w:rPr>
          <w:sz w:val="20"/>
          <w:szCs w:val="20"/>
          <w:lang w:val="en-GB"/>
        </w:rPr>
      </w:pPr>
      <w:r w:rsidRPr="002145FA">
        <w:rPr>
          <w:b/>
          <w:i/>
          <w:sz w:val="20"/>
          <w:szCs w:val="20"/>
          <w:lang w:val="en-GB"/>
        </w:rPr>
        <w:t>Tracking the energy cost</w:t>
      </w:r>
      <w:r w:rsidRPr="002145FA">
        <w:rPr>
          <w:sz w:val="20"/>
          <w:szCs w:val="20"/>
          <w:lang w:val="en-GB"/>
        </w:rPr>
        <w:t xml:space="preserve"> of the data centre is essential to maintain the performance as the cost of energy might be equal to 50% of total expenses borne by the university to run the data centre [1</w:t>
      </w:r>
      <w:r w:rsidR="00055EEC" w:rsidRPr="002145FA">
        <w:rPr>
          <w:sz w:val="20"/>
          <w:szCs w:val="20"/>
          <w:lang w:val="en-GB"/>
        </w:rPr>
        <w:t>4</w:t>
      </w:r>
      <w:r w:rsidRPr="002145FA">
        <w:rPr>
          <w:sz w:val="20"/>
          <w:szCs w:val="20"/>
          <w:lang w:val="en-GB"/>
        </w:rPr>
        <w:t xml:space="preserve">]. This will be beneficial to meet the energy requirements within a budget. The data centre managers should have a </w:t>
      </w:r>
      <w:r w:rsidRPr="002145FA">
        <w:rPr>
          <w:b/>
          <w:i/>
          <w:sz w:val="20"/>
          <w:szCs w:val="20"/>
          <w:lang w:val="en-GB"/>
        </w:rPr>
        <w:t>track of the change</w:t>
      </w:r>
      <w:r w:rsidRPr="002145FA">
        <w:rPr>
          <w:sz w:val="20"/>
          <w:szCs w:val="20"/>
          <w:lang w:val="en-GB"/>
        </w:rPr>
        <w:t xml:space="preserve">s in the systems </w:t>
      </w:r>
      <w:proofErr w:type="gramStart"/>
      <w:r w:rsidRPr="002145FA">
        <w:rPr>
          <w:sz w:val="20"/>
          <w:szCs w:val="20"/>
          <w:lang w:val="en-GB"/>
        </w:rPr>
        <w:t>and also</w:t>
      </w:r>
      <w:proofErr w:type="gramEnd"/>
      <w:r w:rsidRPr="002145FA">
        <w:rPr>
          <w:sz w:val="20"/>
          <w:szCs w:val="20"/>
          <w:lang w:val="en-GB"/>
        </w:rPr>
        <w:t xml:space="preserve"> the </w:t>
      </w:r>
      <w:r w:rsidRPr="002145FA">
        <w:rPr>
          <w:b/>
          <w:i/>
          <w:sz w:val="20"/>
          <w:szCs w:val="20"/>
          <w:lang w:val="en-GB"/>
        </w:rPr>
        <w:t>details of the person responsible for the changes</w:t>
      </w:r>
      <w:r w:rsidRPr="002145FA">
        <w:rPr>
          <w:sz w:val="20"/>
          <w:szCs w:val="20"/>
          <w:lang w:val="en-GB"/>
        </w:rPr>
        <w:t>. The managers should identify the changes that have been requested from the phase of creation till approval so that the quality of work is high and reduction of delay in the workflow is assured. The highest performing organizations keep the change success rate to 99%. The maintenance of the key performance indicator is essential to enhance the data centre that the University of Manchester is planning to develop.</w:t>
      </w:r>
    </w:p>
    <w:p w14:paraId="127C0258" w14:textId="77777777" w:rsidR="00AE0C3F" w:rsidRPr="002145FA" w:rsidRDefault="00AE0C3F" w:rsidP="00FD60AA">
      <w:pPr>
        <w:ind w:firstLine="284"/>
        <w:rPr>
          <w:b/>
          <w:sz w:val="20"/>
          <w:szCs w:val="20"/>
          <w:lang w:val="en-GB"/>
        </w:rPr>
      </w:pPr>
      <w:r w:rsidRPr="002145FA">
        <w:rPr>
          <w:b/>
          <w:sz w:val="20"/>
          <w:szCs w:val="20"/>
          <w:lang w:val="en-GB"/>
        </w:rPr>
        <w:t>Scalability</w:t>
      </w:r>
    </w:p>
    <w:p w14:paraId="3A729F3E" w14:textId="636B6C78" w:rsidR="00AE0C3F" w:rsidRPr="002145FA" w:rsidRDefault="00AE0C3F" w:rsidP="00FD60AA">
      <w:pPr>
        <w:ind w:firstLine="284"/>
        <w:rPr>
          <w:sz w:val="20"/>
          <w:szCs w:val="20"/>
          <w:lang w:val="en-GB"/>
        </w:rPr>
      </w:pPr>
      <w:r w:rsidRPr="002145FA">
        <w:rPr>
          <w:sz w:val="20"/>
          <w:szCs w:val="20"/>
          <w:lang w:val="en-GB"/>
        </w:rPr>
        <w:t xml:space="preserve">Scalability refers to the capability of the systems in the data centres to work better after enhancement and the occurrence of change in volume is executed. Scalability of data centres allows the adaptation of the rapid changes with the growth of data. The growth of data can occur due to the growth of traffic or with the increase of volume of data. Scalability assures the enhancement of efficiency </w:t>
      </w:r>
      <w:proofErr w:type="gramStart"/>
      <w:r w:rsidRPr="002145FA">
        <w:rPr>
          <w:sz w:val="20"/>
          <w:szCs w:val="20"/>
          <w:lang w:val="en-GB"/>
        </w:rPr>
        <w:t>and also</w:t>
      </w:r>
      <w:proofErr w:type="gramEnd"/>
      <w:r w:rsidRPr="002145FA">
        <w:rPr>
          <w:sz w:val="20"/>
          <w:szCs w:val="20"/>
          <w:lang w:val="en-GB"/>
        </w:rPr>
        <w:t xml:space="preserve"> maintains the quality of work. </w:t>
      </w:r>
      <w:r w:rsidRPr="002145FA">
        <w:rPr>
          <w:b/>
          <w:i/>
          <w:sz w:val="20"/>
          <w:szCs w:val="20"/>
          <w:lang w:val="en-GB"/>
        </w:rPr>
        <w:t>Data capacity evaluation</w:t>
      </w:r>
      <w:r w:rsidRPr="002145FA">
        <w:rPr>
          <w:sz w:val="20"/>
          <w:szCs w:val="20"/>
          <w:lang w:val="en-GB"/>
        </w:rPr>
        <w:t xml:space="preserve"> of the data centre allows the maintenance of scalability in the data centre set by University of Manchester [1</w:t>
      </w:r>
      <w:r w:rsidR="00055EEC" w:rsidRPr="002145FA">
        <w:rPr>
          <w:sz w:val="20"/>
          <w:szCs w:val="20"/>
          <w:lang w:val="en-GB"/>
        </w:rPr>
        <w:t>5</w:t>
      </w:r>
      <w:r w:rsidRPr="002145FA">
        <w:rPr>
          <w:sz w:val="20"/>
          <w:szCs w:val="20"/>
          <w:lang w:val="en-GB"/>
        </w:rPr>
        <w:t xml:space="preserve">]. The requirements of the various applications are identified and provided </w:t>
      </w:r>
      <w:proofErr w:type="gramStart"/>
      <w:r w:rsidRPr="002145FA">
        <w:rPr>
          <w:sz w:val="20"/>
          <w:szCs w:val="20"/>
          <w:lang w:val="en-GB"/>
        </w:rPr>
        <w:t>in order to</w:t>
      </w:r>
      <w:proofErr w:type="gramEnd"/>
      <w:r w:rsidRPr="002145FA">
        <w:rPr>
          <w:sz w:val="20"/>
          <w:szCs w:val="20"/>
          <w:lang w:val="en-GB"/>
        </w:rPr>
        <w:t xml:space="preserve"> increase the output gained. </w:t>
      </w:r>
    </w:p>
    <w:p w14:paraId="5A53ECFB" w14:textId="77777777" w:rsidR="00AE0C3F" w:rsidRPr="002145FA" w:rsidRDefault="00AE0C3F" w:rsidP="00FD60AA">
      <w:pPr>
        <w:ind w:firstLine="284"/>
        <w:rPr>
          <w:sz w:val="20"/>
          <w:szCs w:val="20"/>
          <w:lang w:val="en-GB"/>
        </w:rPr>
      </w:pPr>
      <w:r w:rsidRPr="002145FA">
        <w:rPr>
          <w:b/>
          <w:i/>
          <w:sz w:val="20"/>
          <w:szCs w:val="20"/>
          <w:lang w:val="en-GB"/>
        </w:rPr>
        <w:lastRenderedPageBreak/>
        <w:t>Monitoring the data access pattern</w:t>
      </w:r>
      <w:r w:rsidRPr="002145FA">
        <w:rPr>
          <w:sz w:val="20"/>
          <w:szCs w:val="20"/>
          <w:lang w:val="en-GB"/>
        </w:rPr>
        <w:t xml:space="preserve"> in the data centre will allow the maintenance of scalability. The avoidance of scatter and gather issues across servers is also essential for the maintenance of scalability. </w:t>
      </w:r>
      <w:r w:rsidRPr="002145FA">
        <w:rPr>
          <w:b/>
          <w:i/>
          <w:sz w:val="20"/>
          <w:szCs w:val="20"/>
          <w:lang w:val="en-GB"/>
        </w:rPr>
        <w:t xml:space="preserve">Incorporation of different techniques for </w:t>
      </w:r>
      <w:proofErr w:type="spellStart"/>
      <w:r w:rsidRPr="002145FA">
        <w:rPr>
          <w:b/>
          <w:i/>
          <w:sz w:val="20"/>
          <w:szCs w:val="20"/>
          <w:lang w:val="en-GB"/>
        </w:rPr>
        <w:t>sharding</w:t>
      </w:r>
      <w:proofErr w:type="spellEnd"/>
      <w:r w:rsidRPr="002145FA">
        <w:rPr>
          <w:sz w:val="20"/>
          <w:szCs w:val="20"/>
          <w:lang w:val="en-GB"/>
        </w:rPr>
        <w:t xml:space="preserve"> will allow the data centre managers of University of Manchester to enhance the scalability factor. </w:t>
      </w:r>
      <w:proofErr w:type="spellStart"/>
      <w:r w:rsidRPr="002145FA">
        <w:rPr>
          <w:sz w:val="20"/>
          <w:szCs w:val="20"/>
          <w:lang w:val="en-GB"/>
        </w:rPr>
        <w:t>Sharding</w:t>
      </w:r>
      <w:proofErr w:type="spellEnd"/>
      <w:r w:rsidRPr="002145FA">
        <w:rPr>
          <w:sz w:val="20"/>
          <w:szCs w:val="20"/>
          <w:lang w:val="en-GB"/>
        </w:rPr>
        <w:t xml:space="preserve"> is an essential concept that allows the machines to store data in various resources. However, self-service ability of scaling can act as a catalyst to enhance system scalability. Data centres are architectures in a pattern that provides enough capacity. Self service allows the implementation of vertical scaling that allows the addition of different resources to the node that is already present for the enhancement of the capacity. On the other hand, horizontal scaling by self service allows the removal of nodes or additions present in the distributed data store.  </w:t>
      </w:r>
    </w:p>
    <w:p w14:paraId="60B742C2" w14:textId="77777777" w:rsidR="00AE0C3F" w:rsidRPr="002145FA" w:rsidRDefault="00AE0C3F" w:rsidP="00FD60AA">
      <w:pPr>
        <w:ind w:firstLine="284"/>
        <w:rPr>
          <w:b/>
          <w:sz w:val="20"/>
          <w:szCs w:val="20"/>
          <w:lang w:val="en-GB"/>
        </w:rPr>
      </w:pPr>
      <w:r w:rsidRPr="002145FA">
        <w:rPr>
          <w:b/>
          <w:sz w:val="20"/>
          <w:szCs w:val="20"/>
          <w:lang w:val="en-GB"/>
        </w:rPr>
        <w:t>Energy Usage and Sustainability</w:t>
      </w:r>
    </w:p>
    <w:p w14:paraId="7188E3B1" w14:textId="65E0D914" w:rsidR="00AE0C3F" w:rsidRPr="002145FA" w:rsidRDefault="00AE0C3F" w:rsidP="00FD60AA">
      <w:pPr>
        <w:ind w:firstLine="284"/>
        <w:rPr>
          <w:sz w:val="20"/>
          <w:szCs w:val="20"/>
          <w:lang w:val="en-GB"/>
        </w:rPr>
      </w:pPr>
      <w:r w:rsidRPr="002145FA">
        <w:rPr>
          <w:sz w:val="20"/>
          <w:szCs w:val="20"/>
          <w:lang w:val="en-GB"/>
        </w:rPr>
        <w:t xml:space="preserve">The data centres present in the United Kingdom operate with energy consumption of around 41.11 </w:t>
      </w:r>
      <w:proofErr w:type="spellStart"/>
      <w:r w:rsidRPr="002145FA">
        <w:rPr>
          <w:sz w:val="20"/>
          <w:szCs w:val="20"/>
          <w:lang w:val="en-GB"/>
        </w:rPr>
        <w:t>Twh</w:t>
      </w:r>
      <w:proofErr w:type="spellEnd"/>
      <w:r w:rsidRPr="002145FA">
        <w:rPr>
          <w:sz w:val="20"/>
          <w:szCs w:val="20"/>
          <w:lang w:val="en-GB"/>
        </w:rPr>
        <w:t xml:space="preserve"> annually. The number is higher for some cases.  1w of energy that is provided to the ICT, around 0.8w is used by the infrastructure that is supporting the service. CCA for data centres deals with 129 facilities from target units of 57.  The tidal energy usage was 2.573 </w:t>
      </w:r>
      <w:proofErr w:type="spellStart"/>
      <w:r w:rsidRPr="002145FA">
        <w:rPr>
          <w:sz w:val="20"/>
          <w:szCs w:val="20"/>
          <w:lang w:val="en-GB"/>
        </w:rPr>
        <w:t>Twh</w:t>
      </w:r>
      <w:proofErr w:type="spellEnd"/>
      <w:r w:rsidRPr="002145FA">
        <w:rPr>
          <w:sz w:val="20"/>
          <w:szCs w:val="20"/>
          <w:lang w:val="en-GB"/>
        </w:rPr>
        <w:t xml:space="preserve"> annually that clearly indicates the increase of the participants [1</w:t>
      </w:r>
      <w:r w:rsidR="00055EEC" w:rsidRPr="002145FA">
        <w:rPr>
          <w:sz w:val="20"/>
          <w:szCs w:val="20"/>
          <w:lang w:val="en-GB"/>
        </w:rPr>
        <w:t>6</w:t>
      </w:r>
      <w:r w:rsidRPr="002145FA">
        <w:rPr>
          <w:sz w:val="20"/>
          <w:szCs w:val="20"/>
          <w:lang w:val="en-GB"/>
        </w:rPr>
        <w:t xml:space="preserve">]. However, </w:t>
      </w:r>
      <w:proofErr w:type="gramStart"/>
      <w:r w:rsidRPr="002145FA">
        <w:rPr>
          <w:sz w:val="20"/>
          <w:szCs w:val="20"/>
          <w:lang w:val="en-GB"/>
        </w:rPr>
        <w:t>it is clear that the</w:t>
      </w:r>
      <w:proofErr w:type="gramEnd"/>
      <w:r w:rsidRPr="002145FA">
        <w:rPr>
          <w:sz w:val="20"/>
          <w:szCs w:val="20"/>
          <w:lang w:val="en-GB"/>
        </w:rPr>
        <w:t xml:space="preserve"> data centres use a massive amount of power.</w:t>
      </w:r>
    </w:p>
    <w:p w14:paraId="2B93E7A0" w14:textId="77777777" w:rsidR="00AE0C3F" w:rsidRPr="002145FA" w:rsidRDefault="00AE0C3F" w:rsidP="00FD60AA">
      <w:pPr>
        <w:ind w:firstLine="284"/>
        <w:rPr>
          <w:sz w:val="20"/>
          <w:szCs w:val="20"/>
          <w:lang w:val="en-GB"/>
        </w:rPr>
      </w:pPr>
      <w:r w:rsidRPr="002145FA">
        <w:rPr>
          <w:sz w:val="20"/>
          <w:szCs w:val="20"/>
          <w:lang w:val="en-GB"/>
        </w:rPr>
        <w:t xml:space="preserve">The data centres can be made sustainable by the reduction of the energy used for the operation. However, the implementation of advanced cooling systems will allow the data centres to reduce power consumption and become more sustainable. Therefore, the reduction of the costs borne by the University of Manchester to meet the power requirements allows the maintenance of sustainability. </w:t>
      </w:r>
    </w:p>
    <w:p w14:paraId="6429B55F" w14:textId="77777777" w:rsidR="00AE0C3F" w:rsidRPr="002145FA" w:rsidRDefault="00AE0C3F" w:rsidP="00FD60AA">
      <w:pPr>
        <w:ind w:firstLine="284"/>
        <w:rPr>
          <w:b/>
          <w:sz w:val="20"/>
          <w:szCs w:val="20"/>
          <w:lang w:val="en-GB"/>
        </w:rPr>
      </w:pPr>
      <w:r w:rsidRPr="002145FA">
        <w:rPr>
          <w:b/>
          <w:sz w:val="20"/>
          <w:szCs w:val="20"/>
          <w:lang w:val="en-GB"/>
        </w:rPr>
        <w:t>Security</w:t>
      </w:r>
    </w:p>
    <w:p w14:paraId="2F1FEBF5" w14:textId="77777777" w:rsidR="00AE0C3F" w:rsidRPr="002145FA" w:rsidRDefault="00AE0C3F" w:rsidP="00FD60AA">
      <w:pPr>
        <w:ind w:firstLine="284"/>
        <w:rPr>
          <w:sz w:val="20"/>
          <w:szCs w:val="20"/>
          <w:lang w:val="en-GB"/>
        </w:rPr>
      </w:pPr>
      <w:r w:rsidRPr="002145FA">
        <w:rPr>
          <w:sz w:val="20"/>
          <w:szCs w:val="20"/>
          <w:lang w:val="en-GB"/>
        </w:rPr>
        <w:t xml:space="preserve">Security at the data centres should be maintained high </w:t>
      </w:r>
      <w:proofErr w:type="gramStart"/>
      <w:r w:rsidRPr="002145FA">
        <w:rPr>
          <w:sz w:val="20"/>
          <w:szCs w:val="20"/>
          <w:lang w:val="en-GB"/>
        </w:rPr>
        <w:t>in order to</w:t>
      </w:r>
      <w:proofErr w:type="gramEnd"/>
      <w:r w:rsidRPr="002145FA">
        <w:rPr>
          <w:sz w:val="20"/>
          <w:szCs w:val="20"/>
          <w:lang w:val="en-GB"/>
        </w:rPr>
        <w:t xml:space="preserve"> protect the data from unauthorised access. Security in the data centre should involve the physical practices and implementation of technologies to protect the centre from external threats. The security tools that should be used in the data centre firewalls filtering the packets, proxy firewalls, hybrid firewalls and stateful firewalls. </w:t>
      </w:r>
    </w:p>
    <w:p w14:paraId="76ABE5CD" w14:textId="77777777" w:rsidR="00AE0C3F" w:rsidRPr="002145FA" w:rsidRDefault="00AE0C3F" w:rsidP="00FD60AA">
      <w:pPr>
        <w:ind w:firstLine="284"/>
        <w:rPr>
          <w:sz w:val="20"/>
          <w:szCs w:val="20"/>
          <w:lang w:val="en-GB"/>
        </w:rPr>
      </w:pPr>
      <w:r w:rsidRPr="002145FA">
        <w:rPr>
          <w:noProof/>
          <w:sz w:val="20"/>
          <w:szCs w:val="20"/>
          <w:lang w:val="en-US"/>
        </w:rPr>
        <w:drawing>
          <wp:inline distT="0" distB="0" distL="0" distR="0" wp14:anchorId="5C362690" wp14:editId="247249F1">
            <wp:extent cx="2600325" cy="1762125"/>
            <wp:effectExtent l="19050" t="1905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00325" cy="1762125"/>
                    </a:xfrm>
                    <a:prstGeom prst="rect">
                      <a:avLst/>
                    </a:prstGeom>
                    <a:noFill/>
                    <a:ln w="25400" cmpd="sng">
                      <a:solidFill>
                        <a:srgbClr val="000000"/>
                      </a:solidFill>
                      <a:miter lim="800000"/>
                      <a:headEnd/>
                      <a:tailEnd/>
                    </a:ln>
                    <a:effectLst/>
                  </pic:spPr>
                </pic:pic>
              </a:graphicData>
            </a:graphic>
          </wp:inline>
        </w:drawing>
      </w:r>
    </w:p>
    <w:p w14:paraId="3B9BD479" w14:textId="77777777" w:rsidR="00AE0C3F" w:rsidRPr="002145FA" w:rsidRDefault="00AE0C3F" w:rsidP="00FD60AA">
      <w:pPr>
        <w:ind w:firstLine="284"/>
        <w:rPr>
          <w:b/>
          <w:sz w:val="16"/>
          <w:szCs w:val="16"/>
          <w:lang w:val="en-GB"/>
        </w:rPr>
      </w:pPr>
      <w:r w:rsidRPr="002145FA">
        <w:rPr>
          <w:b/>
          <w:sz w:val="16"/>
          <w:szCs w:val="16"/>
          <w:lang w:val="en-GB"/>
        </w:rPr>
        <w:t>Figure 5: Data Centre Security</w:t>
      </w:r>
    </w:p>
    <w:p w14:paraId="6432E81E" w14:textId="77777777" w:rsidR="00AE0C3F" w:rsidRPr="002145FA" w:rsidRDefault="00AE0C3F" w:rsidP="00FD60AA">
      <w:pPr>
        <w:ind w:firstLine="284"/>
        <w:rPr>
          <w:sz w:val="16"/>
          <w:szCs w:val="16"/>
          <w:lang w:val="en-GB"/>
        </w:rPr>
      </w:pPr>
      <w:r w:rsidRPr="002145FA">
        <w:rPr>
          <w:sz w:val="16"/>
          <w:szCs w:val="16"/>
          <w:lang w:val="en-GB"/>
        </w:rPr>
        <w:t>(Source:[3])</w:t>
      </w:r>
    </w:p>
    <w:p w14:paraId="0FFFAFA7" w14:textId="77777777" w:rsidR="00AE0C3F" w:rsidRPr="002145FA" w:rsidRDefault="00AE0C3F" w:rsidP="00FD60AA">
      <w:pPr>
        <w:ind w:firstLine="284"/>
        <w:rPr>
          <w:sz w:val="20"/>
          <w:szCs w:val="20"/>
          <w:lang w:val="en-GB"/>
        </w:rPr>
      </w:pPr>
      <w:r w:rsidRPr="002145FA">
        <w:rPr>
          <w:sz w:val="20"/>
          <w:szCs w:val="20"/>
          <w:lang w:val="en-GB"/>
        </w:rPr>
        <w:t xml:space="preserve">The use of the security tools will allow enforcement of the security policies beside the maintenance of physical security at the premises. The packet filtering firewall allows the control of flow of data to and from the network [18]. Similarly, the proxy firewall will allow the protection of the network resources by the filtration of messages at the application layer. Hybrid firewalls allow a high level of protection in the data centre by providing a set of security proxies. The security tools are essential to maintain security of the data centre </w:t>
      </w:r>
      <w:proofErr w:type="gramStart"/>
      <w:r w:rsidRPr="002145FA">
        <w:rPr>
          <w:sz w:val="20"/>
          <w:szCs w:val="20"/>
          <w:lang w:val="en-GB"/>
        </w:rPr>
        <w:t>in order to</w:t>
      </w:r>
      <w:proofErr w:type="gramEnd"/>
      <w:r w:rsidRPr="002145FA">
        <w:rPr>
          <w:sz w:val="20"/>
          <w:szCs w:val="20"/>
          <w:lang w:val="en-GB"/>
        </w:rPr>
        <w:t xml:space="preserve"> protect the stored data. </w:t>
      </w:r>
    </w:p>
    <w:p w14:paraId="5F024A98" w14:textId="77777777" w:rsidR="00AE0C3F" w:rsidRPr="002145FA" w:rsidRDefault="00AE0C3F" w:rsidP="00FD60AA">
      <w:pPr>
        <w:ind w:firstLine="284"/>
        <w:rPr>
          <w:b/>
          <w:sz w:val="20"/>
          <w:szCs w:val="20"/>
          <w:lang w:val="en-GB"/>
        </w:rPr>
      </w:pPr>
      <w:r w:rsidRPr="002145FA">
        <w:rPr>
          <w:b/>
          <w:sz w:val="20"/>
          <w:szCs w:val="20"/>
          <w:lang w:val="en-GB"/>
        </w:rPr>
        <w:t>Findings and Recommendations and Justifications</w:t>
      </w:r>
    </w:p>
    <w:p w14:paraId="75F49A82" w14:textId="77777777" w:rsidR="00AE0C3F" w:rsidRPr="002145FA" w:rsidRDefault="00AE0C3F" w:rsidP="00FD60AA">
      <w:pPr>
        <w:ind w:firstLine="284"/>
        <w:rPr>
          <w:sz w:val="20"/>
          <w:szCs w:val="20"/>
          <w:lang w:val="en-GB"/>
        </w:rPr>
      </w:pPr>
      <w:r w:rsidRPr="002145FA">
        <w:rPr>
          <w:sz w:val="20"/>
          <w:szCs w:val="20"/>
          <w:lang w:val="en-GB"/>
        </w:rPr>
        <w:t xml:space="preserve">Data centre that the University of Manchester has decided to develop will be very important to expand the department and allow educating the target of 34000 students annually. However, the university will also be effective to store the data of all students and use the same at any point of time. The data centre should have the advanced cooling system that will be beneficial to reduce the heat </w:t>
      </w:r>
      <w:proofErr w:type="gramStart"/>
      <w:r w:rsidRPr="002145FA">
        <w:rPr>
          <w:sz w:val="20"/>
          <w:szCs w:val="20"/>
          <w:lang w:val="en-GB"/>
        </w:rPr>
        <w:t>and also</w:t>
      </w:r>
      <w:proofErr w:type="gramEnd"/>
      <w:r w:rsidRPr="002145FA">
        <w:rPr>
          <w:sz w:val="20"/>
          <w:szCs w:val="20"/>
          <w:lang w:val="en-GB"/>
        </w:rPr>
        <w:t xml:space="preserve"> maintain sustainability. The reduction of heat is essential to avoid failure </w:t>
      </w:r>
      <w:proofErr w:type="gramStart"/>
      <w:r w:rsidRPr="002145FA">
        <w:rPr>
          <w:sz w:val="20"/>
          <w:szCs w:val="20"/>
          <w:lang w:val="en-GB"/>
        </w:rPr>
        <w:t>and also</w:t>
      </w:r>
      <w:proofErr w:type="gramEnd"/>
      <w:r w:rsidRPr="002145FA">
        <w:rPr>
          <w:sz w:val="20"/>
          <w:szCs w:val="20"/>
          <w:lang w:val="en-GB"/>
        </w:rPr>
        <w:t xml:space="preserve"> reduce the amount of power consumed by the systems. Therefore, the firewalls should be implemented for enhancing the security protocols of the data centre and prevent the unauthorised access of the data and cause damage. The justification for recommendations will allow the maintenance of sustainability along with the increase of performance of the systems. Therefore, the plan for data centre by University of Manchester will be beneficial to develop the structure of the institute. </w:t>
      </w:r>
    </w:p>
    <w:p w14:paraId="43D85FA4" w14:textId="77777777" w:rsidR="00AE0C3F" w:rsidRPr="002145FA" w:rsidRDefault="00AE0C3F" w:rsidP="00FD60AA">
      <w:pPr>
        <w:ind w:firstLine="284"/>
        <w:rPr>
          <w:b/>
          <w:sz w:val="20"/>
          <w:szCs w:val="20"/>
          <w:lang w:val="en-GB"/>
        </w:rPr>
      </w:pPr>
      <w:r w:rsidRPr="002145FA">
        <w:rPr>
          <w:b/>
          <w:sz w:val="20"/>
          <w:szCs w:val="20"/>
          <w:lang w:val="en-GB"/>
        </w:rPr>
        <w:t>Conclusion and Future Direction</w:t>
      </w:r>
    </w:p>
    <w:p w14:paraId="5ED9FE81" w14:textId="0B4DF3AB" w:rsidR="00AE0C3F" w:rsidRPr="002145FA" w:rsidRDefault="00AE0C3F" w:rsidP="00FD60AA">
      <w:pPr>
        <w:ind w:firstLine="284"/>
        <w:rPr>
          <w:sz w:val="20"/>
          <w:szCs w:val="20"/>
          <w:lang w:val="en-GB"/>
        </w:rPr>
      </w:pPr>
      <w:r w:rsidRPr="002145FA">
        <w:rPr>
          <w:sz w:val="20"/>
          <w:szCs w:val="20"/>
          <w:lang w:val="en-GB"/>
        </w:rPr>
        <w:t xml:space="preserve">The study has a detailed elaboration of the architecture for the development of data centre. The network topologies have been stated for indicating the importance in the development of data centres. The fault tolerance features of data centre </w:t>
      </w:r>
      <w:proofErr w:type="gramStart"/>
      <w:r w:rsidRPr="002145FA">
        <w:rPr>
          <w:sz w:val="20"/>
          <w:szCs w:val="20"/>
          <w:lang w:val="en-GB"/>
        </w:rPr>
        <w:t>is</w:t>
      </w:r>
      <w:proofErr w:type="gramEnd"/>
      <w:r w:rsidRPr="002145FA">
        <w:rPr>
          <w:sz w:val="20"/>
          <w:szCs w:val="20"/>
          <w:lang w:val="en-GB"/>
        </w:rPr>
        <w:t xml:space="preserve"> mentioned in order to provide the measures that will be effective for the development of data centres. However, the university will be able to store all data in the data centre and apply the security measures as per requirements</w:t>
      </w:r>
      <w:r w:rsidR="00AC7838">
        <w:rPr>
          <w:sz w:val="20"/>
          <w:szCs w:val="20"/>
          <w:lang w:val="en-GB"/>
        </w:rPr>
        <w:t>.</w:t>
      </w:r>
    </w:p>
    <w:p w14:paraId="6C05723A" w14:textId="230E97C7" w:rsidR="00AE0C3F" w:rsidRPr="002145FA" w:rsidRDefault="00AE0C3F" w:rsidP="00FD60AA">
      <w:pPr>
        <w:ind w:firstLine="284"/>
        <w:rPr>
          <w:sz w:val="20"/>
          <w:szCs w:val="20"/>
          <w:lang w:val="en-GB"/>
        </w:rPr>
      </w:pPr>
      <w:r w:rsidRPr="002145FA">
        <w:rPr>
          <w:sz w:val="20"/>
          <w:szCs w:val="20"/>
          <w:lang w:val="en-GB"/>
        </w:rPr>
        <w:lastRenderedPageBreak/>
        <w:t xml:space="preserve">Increase the sustainability and performance. The management of the data centre can be enhanced after evaluating the arising requirement without outsourcing the individuals.  Therefore, the only factor that the university should consider is the reduction of energy consumption by the data centres servers and other infrastructure. </w:t>
      </w:r>
    </w:p>
    <w:p w14:paraId="01E18304" w14:textId="436BDC23" w:rsidR="007056E5" w:rsidRPr="00DB5FAF" w:rsidRDefault="007056E5" w:rsidP="00FD60AA">
      <w:pPr>
        <w:ind w:firstLine="284"/>
        <w:rPr>
          <w:lang w:val="en-GB"/>
        </w:rPr>
      </w:pPr>
    </w:p>
    <w:p w14:paraId="27FC1355" w14:textId="027A7630" w:rsidR="00AE0C3F" w:rsidRPr="001B627F" w:rsidRDefault="00AE0C3F" w:rsidP="00FD60AA">
      <w:pPr>
        <w:pStyle w:val="Heading1"/>
        <w:spacing w:after="0" w:line="240" w:lineRule="atLeast"/>
        <w:ind w:left="283" w:hanging="425"/>
        <w:rPr>
          <w:sz w:val="20"/>
          <w:szCs w:val="20"/>
        </w:rPr>
      </w:pPr>
      <w:r w:rsidRPr="001B627F">
        <w:rPr>
          <w:b w:val="0"/>
          <w:bCs/>
          <w:sz w:val="20"/>
          <w:szCs w:val="20"/>
        </w:rPr>
        <w:t>R</w:t>
      </w:r>
      <w:r w:rsidR="001B627F" w:rsidRPr="001B627F">
        <w:rPr>
          <w:b w:val="0"/>
          <w:bCs/>
          <w:sz w:val="20"/>
          <w:szCs w:val="20"/>
        </w:rPr>
        <w:t>EFERENCE LIST</w:t>
      </w:r>
      <w:r w:rsidRPr="001B627F">
        <w:rPr>
          <w:sz w:val="20"/>
          <w:szCs w:val="20"/>
        </w:rPr>
        <w:t xml:space="preserve"> </w:t>
      </w:r>
    </w:p>
    <w:p w14:paraId="2703EC9E" w14:textId="77777777" w:rsidR="00594864" w:rsidRDefault="00594864" w:rsidP="00FD60AA">
      <w:pPr>
        <w:widowControl w:val="0"/>
        <w:autoSpaceDE w:val="0"/>
        <w:autoSpaceDN w:val="0"/>
        <w:adjustRightInd w:val="0"/>
        <w:spacing w:line="240" w:lineRule="atLeast"/>
        <w:ind w:left="283" w:hanging="425"/>
        <w:rPr>
          <w:sz w:val="16"/>
          <w:szCs w:val="16"/>
          <w:lang w:val="en-US"/>
        </w:rPr>
      </w:pPr>
    </w:p>
    <w:p w14:paraId="125426E8" w14:textId="48DC5C14"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w:t>
      </w:r>
      <w:r w:rsidR="00594864" w:rsidRPr="002F7B95">
        <w:rPr>
          <w:sz w:val="16"/>
          <w:szCs w:val="16"/>
          <w:lang w:val="en-US"/>
        </w:rPr>
        <w:tab/>
      </w:r>
      <w:r w:rsidRPr="002F7B95">
        <w:rPr>
          <w:sz w:val="16"/>
          <w:szCs w:val="16"/>
          <w:lang w:val="en-US"/>
        </w:rPr>
        <w:t xml:space="preserve">M. </w:t>
      </w:r>
      <w:proofErr w:type="spellStart"/>
      <w:r w:rsidRPr="002F7B95">
        <w:rPr>
          <w:sz w:val="16"/>
          <w:szCs w:val="16"/>
          <w:lang w:val="en-US"/>
        </w:rPr>
        <w:t>Pańkowska</w:t>
      </w:r>
      <w:proofErr w:type="spellEnd"/>
      <w:r w:rsidRPr="002F7B95">
        <w:rPr>
          <w:sz w:val="16"/>
          <w:szCs w:val="16"/>
          <w:lang w:val="en-US"/>
        </w:rPr>
        <w:t xml:space="preserve">, K. </w:t>
      </w:r>
      <w:proofErr w:type="spellStart"/>
      <w:r w:rsidRPr="002F7B95">
        <w:rPr>
          <w:sz w:val="16"/>
          <w:szCs w:val="16"/>
          <w:lang w:val="en-US"/>
        </w:rPr>
        <w:t>Pyszny</w:t>
      </w:r>
      <w:proofErr w:type="spellEnd"/>
      <w:r w:rsidRPr="002F7B95">
        <w:rPr>
          <w:sz w:val="16"/>
          <w:szCs w:val="16"/>
          <w:lang w:val="en-US"/>
        </w:rPr>
        <w:t xml:space="preserve">, and A. Strzelecki, “Users’ Adoption of Sustainable Cloud Computing Solutions,” </w:t>
      </w:r>
      <w:r w:rsidRPr="002F7B95">
        <w:rPr>
          <w:i/>
          <w:iCs/>
          <w:sz w:val="16"/>
          <w:szCs w:val="16"/>
          <w:lang w:val="en-US"/>
        </w:rPr>
        <w:t>Sustainability</w:t>
      </w:r>
      <w:r w:rsidRPr="002F7B95">
        <w:rPr>
          <w:sz w:val="16"/>
          <w:szCs w:val="16"/>
          <w:lang w:val="en-US"/>
        </w:rPr>
        <w:t xml:space="preserve">, vol. 12, no. 23, p. 9930, Nov. 2020, </w:t>
      </w:r>
      <w:proofErr w:type="spellStart"/>
      <w:r w:rsidRPr="002F7B95">
        <w:rPr>
          <w:sz w:val="16"/>
          <w:szCs w:val="16"/>
          <w:lang w:val="en-US"/>
        </w:rPr>
        <w:t>doi</w:t>
      </w:r>
      <w:proofErr w:type="spellEnd"/>
      <w:r w:rsidRPr="002F7B95">
        <w:rPr>
          <w:sz w:val="16"/>
          <w:szCs w:val="16"/>
          <w:lang w:val="en-US"/>
        </w:rPr>
        <w:t xml:space="preserve">: </w:t>
      </w:r>
      <w:hyperlink r:id="rId16" w:history="1">
        <w:r w:rsidRPr="002F7B95">
          <w:rPr>
            <w:sz w:val="16"/>
            <w:szCs w:val="16"/>
            <w:lang w:val="en-US"/>
          </w:rPr>
          <w:t>10.3390/su12239930</w:t>
        </w:r>
      </w:hyperlink>
      <w:r w:rsidRPr="002F7B95">
        <w:rPr>
          <w:sz w:val="16"/>
          <w:szCs w:val="16"/>
          <w:lang w:val="en-US"/>
        </w:rPr>
        <w:t>.</w:t>
      </w:r>
    </w:p>
    <w:p w14:paraId="41653CFE" w14:textId="6BA5C885"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[2]</w:t>
      </w:r>
      <w:r w:rsidR="00F24038" w:rsidRPr="002F7B95">
        <w:rPr>
          <w:sz w:val="16"/>
          <w:szCs w:val="16"/>
          <w:lang w:val="en-US"/>
        </w:rPr>
        <w:t xml:space="preserve"> </w:t>
      </w:r>
      <w:r w:rsidR="00594864" w:rsidRPr="002F7B95">
        <w:rPr>
          <w:sz w:val="16"/>
          <w:szCs w:val="16"/>
          <w:lang w:val="en-US"/>
        </w:rPr>
        <w:tab/>
      </w:r>
      <w:r w:rsidRPr="002F7B95">
        <w:rPr>
          <w:sz w:val="16"/>
          <w:szCs w:val="16"/>
          <w:lang w:val="en-US"/>
        </w:rPr>
        <w:t>F. J. García-</w:t>
      </w:r>
      <w:proofErr w:type="spellStart"/>
      <w:r w:rsidRPr="002F7B95">
        <w:rPr>
          <w:sz w:val="16"/>
          <w:szCs w:val="16"/>
          <w:lang w:val="en-US"/>
        </w:rPr>
        <w:t>Peñalvo</w:t>
      </w:r>
      <w:proofErr w:type="spellEnd"/>
      <w:r w:rsidRPr="002F7B95">
        <w:rPr>
          <w:sz w:val="16"/>
          <w:szCs w:val="16"/>
          <w:lang w:val="en-US"/>
        </w:rPr>
        <w:t>, C. Casado-</w:t>
      </w:r>
      <w:proofErr w:type="spellStart"/>
      <w:r w:rsidRPr="002F7B95">
        <w:rPr>
          <w:sz w:val="16"/>
          <w:szCs w:val="16"/>
          <w:lang w:val="en-US"/>
        </w:rPr>
        <w:t>Lumbreras</w:t>
      </w:r>
      <w:proofErr w:type="spellEnd"/>
      <w:r w:rsidRPr="002F7B95">
        <w:rPr>
          <w:sz w:val="16"/>
          <w:szCs w:val="16"/>
          <w:lang w:val="en-US"/>
        </w:rPr>
        <w:t xml:space="preserve">, R. </w:t>
      </w:r>
      <w:proofErr w:type="spellStart"/>
      <w:r w:rsidRPr="002F7B95">
        <w:rPr>
          <w:sz w:val="16"/>
          <w:szCs w:val="16"/>
          <w:lang w:val="en-US"/>
        </w:rPr>
        <w:t>Colomo</w:t>
      </w:r>
      <w:proofErr w:type="spellEnd"/>
      <w:r w:rsidRPr="002F7B95">
        <w:rPr>
          <w:sz w:val="16"/>
          <w:szCs w:val="16"/>
          <w:lang w:val="en-US"/>
        </w:rPr>
        <w:t xml:space="preserve">-Palacios, and A. Yadav, “Smart Learning,” </w:t>
      </w:r>
      <w:r w:rsidRPr="002F7B95">
        <w:rPr>
          <w:i/>
          <w:iCs/>
          <w:sz w:val="16"/>
          <w:szCs w:val="16"/>
          <w:lang w:val="en-US"/>
        </w:rPr>
        <w:t>Applied Sciences</w:t>
      </w:r>
      <w:r w:rsidRPr="002F7B95">
        <w:rPr>
          <w:sz w:val="16"/>
          <w:szCs w:val="16"/>
          <w:lang w:val="en-US"/>
        </w:rPr>
        <w:t xml:space="preserve">, vol. 10, no. 19, p. 6964, Oct. 2020, </w:t>
      </w:r>
      <w:proofErr w:type="spellStart"/>
      <w:r w:rsidRPr="002F7B95">
        <w:rPr>
          <w:sz w:val="16"/>
          <w:szCs w:val="16"/>
          <w:lang w:val="en-US"/>
        </w:rPr>
        <w:t>doi</w:t>
      </w:r>
      <w:proofErr w:type="spellEnd"/>
      <w:r w:rsidRPr="002F7B95">
        <w:rPr>
          <w:sz w:val="16"/>
          <w:szCs w:val="16"/>
          <w:lang w:val="en-US"/>
        </w:rPr>
        <w:t xml:space="preserve">: </w:t>
      </w:r>
      <w:hyperlink r:id="rId17" w:history="1">
        <w:r w:rsidRPr="002F7B95">
          <w:rPr>
            <w:sz w:val="16"/>
            <w:szCs w:val="16"/>
            <w:lang w:val="en-US"/>
          </w:rPr>
          <w:t>10.3390/app10196964</w:t>
        </w:r>
      </w:hyperlink>
      <w:r w:rsidRPr="002F7B95">
        <w:rPr>
          <w:sz w:val="16"/>
          <w:szCs w:val="16"/>
          <w:lang w:val="en-US"/>
        </w:rPr>
        <w:t>.</w:t>
      </w:r>
    </w:p>
    <w:p w14:paraId="63E1A447" w14:textId="520A825D"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[3]</w:t>
      </w:r>
      <w:r w:rsidR="00594864" w:rsidRPr="002F7B95">
        <w:rPr>
          <w:sz w:val="16"/>
          <w:szCs w:val="16"/>
          <w:lang w:val="en-US"/>
        </w:rPr>
        <w:tab/>
      </w:r>
      <w:r w:rsidR="00F24038" w:rsidRPr="002F7B95">
        <w:rPr>
          <w:sz w:val="16"/>
          <w:szCs w:val="16"/>
          <w:lang w:val="en-US"/>
        </w:rPr>
        <w:t xml:space="preserve"> </w:t>
      </w:r>
      <w:r w:rsidRPr="002F7B95">
        <w:rPr>
          <w:sz w:val="16"/>
          <w:szCs w:val="16"/>
          <w:lang w:val="en-US"/>
        </w:rPr>
        <w:t xml:space="preserve">C. C. Wall </w:t>
      </w:r>
      <w:r w:rsidRPr="002F7B95">
        <w:rPr>
          <w:i/>
          <w:iCs/>
          <w:sz w:val="16"/>
          <w:szCs w:val="16"/>
          <w:lang w:val="en-US"/>
        </w:rPr>
        <w:t>et al.</w:t>
      </w:r>
      <w:r w:rsidRPr="002F7B95">
        <w:rPr>
          <w:sz w:val="16"/>
          <w:szCs w:val="16"/>
          <w:lang w:val="en-US"/>
        </w:rPr>
        <w:t xml:space="preserve">, “The Next Wave of Passive Acoustic Data Management: How Centralized Access Can Enhance Science,” </w:t>
      </w:r>
      <w:r w:rsidRPr="002F7B95">
        <w:rPr>
          <w:i/>
          <w:iCs/>
          <w:sz w:val="16"/>
          <w:szCs w:val="16"/>
          <w:lang w:val="en-US"/>
        </w:rPr>
        <w:t>Frontiers in Marine Science</w:t>
      </w:r>
      <w:r w:rsidRPr="002F7B95">
        <w:rPr>
          <w:sz w:val="16"/>
          <w:szCs w:val="16"/>
          <w:lang w:val="en-US"/>
        </w:rPr>
        <w:t xml:space="preserve">, vol. 8, Jul. 2021, </w:t>
      </w:r>
      <w:proofErr w:type="spellStart"/>
      <w:r w:rsidRPr="002F7B95">
        <w:rPr>
          <w:sz w:val="16"/>
          <w:szCs w:val="16"/>
          <w:lang w:val="en-US"/>
        </w:rPr>
        <w:t>doi</w:t>
      </w:r>
      <w:proofErr w:type="spellEnd"/>
      <w:r w:rsidRPr="002F7B95">
        <w:rPr>
          <w:sz w:val="16"/>
          <w:szCs w:val="16"/>
          <w:lang w:val="en-US"/>
        </w:rPr>
        <w:t xml:space="preserve">: </w:t>
      </w:r>
      <w:hyperlink r:id="rId18" w:history="1">
        <w:r w:rsidRPr="002F7B95">
          <w:rPr>
            <w:sz w:val="16"/>
            <w:szCs w:val="16"/>
            <w:lang w:val="en-US"/>
          </w:rPr>
          <w:t>10.3389/fmars.2021.703682</w:t>
        </w:r>
      </w:hyperlink>
      <w:r w:rsidRPr="002F7B95">
        <w:rPr>
          <w:sz w:val="16"/>
          <w:szCs w:val="16"/>
          <w:lang w:val="en-US"/>
        </w:rPr>
        <w:t>.</w:t>
      </w:r>
    </w:p>
    <w:p w14:paraId="626826FC" w14:textId="783800EC"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[4]</w:t>
      </w:r>
      <w:r w:rsidR="00F24038" w:rsidRPr="002F7B95">
        <w:rPr>
          <w:sz w:val="16"/>
          <w:szCs w:val="16"/>
          <w:lang w:val="en-US"/>
        </w:rPr>
        <w:t xml:space="preserve"> </w:t>
      </w:r>
      <w:r w:rsidR="00594864" w:rsidRPr="002F7B95">
        <w:rPr>
          <w:sz w:val="16"/>
          <w:szCs w:val="16"/>
          <w:lang w:val="en-US"/>
        </w:rPr>
        <w:tab/>
      </w:r>
      <w:r w:rsidRPr="002F7B95">
        <w:rPr>
          <w:sz w:val="16"/>
          <w:szCs w:val="16"/>
          <w:lang w:val="en-US"/>
        </w:rPr>
        <w:t>M.-D. González-</w:t>
      </w:r>
      <w:proofErr w:type="spellStart"/>
      <w:r w:rsidRPr="002F7B95">
        <w:rPr>
          <w:sz w:val="16"/>
          <w:szCs w:val="16"/>
          <w:lang w:val="en-US"/>
        </w:rPr>
        <w:t>Zamar</w:t>
      </w:r>
      <w:proofErr w:type="spellEnd"/>
      <w:r w:rsidRPr="002F7B95">
        <w:rPr>
          <w:sz w:val="16"/>
          <w:szCs w:val="16"/>
          <w:lang w:val="en-US"/>
        </w:rPr>
        <w:t>, E. Abad-Segura, E. López-</w:t>
      </w:r>
      <w:proofErr w:type="spellStart"/>
      <w:r w:rsidRPr="002F7B95">
        <w:rPr>
          <w:sz w:val="16"/>
          <w:szCs w:val="16"/>
          <w:lang w:val="en-US"/>
        </w:rPr>
        <w:t>Meneses</w:t>
      </w:r>
      <w:proofErr w:type="spellEnd"/>
      <w:r w:rsidRPr="002F7B95">
        <w:rPr>
          <w:sz w:val="16"/>
          <w:szCs w:val="16"/>
          <w:lang w:val="en-US"/>
        </w:rPr>
        <w:t>, and J. Gómez-</w:t>
      </w:r>
      <w:proofErr w:type="spellStart"/>
      <w:r w:rsidRPr="002F7B95">
        <w:rPr>
          <w:sz w:val="16"/>
          <w:szCs w:val="16"/>
          <w:lang w:val="en-US"/>
        </w:rPr>
        <w:t>Galán</w:t>
      </w:r>
      <w:proofErr w:type="spellEnd"/>
      <w:r w:rsidRPr="002F7B95">
        <w:rPr>
          <w:sz w:val="16"/>
          <w:szCs w:val="16"/>
          <w:lang w:val="en-US"/>
        </w:rPr>
        <w:t xml:space="preserve">, “Managing ICT for Sustainable Education: Research Analysis in the Context of Higher Education,” </w:t>
      </w:r>
      <w:r w:rsidRPr="002F7B95">
        <w:rPr>
          <w:i/>
          <w:iCs/>
          <w:sz w:val="16"/>
          <w:szCs w:val="16"/>
          <w:lang w:val="en-US"/>
        </w:rPr>
        <w:t>Sustainability</w:t>
      </w:r>
      <w:r w:rsidRPr="002F7B95">
        <w:rPr>
          <w:sz w:val="16"/>
          <w:szCs w:val="16"/>
          <w:lang w:val="en-US"/>
        </w:rPr>
        <w:t xml:space="preserve">, vol. 12, no. 19, p. 8254, Oct. 2020, </w:t>
      </w:r>
      <w:proofErr w:type="spellStart"/>
      <w:r w:rsidRPr="002F7B95">
        <w:rPr>
          <w:sz w:val="16"/>
          <w:szCs w:val="16"/>
          <w:lang w:val="en-US"/>
        </w:rPr>
        <w:t>doi</w:t>
      </w:r>
      <w:proofErr w:type="spellEnd"/>
      <w:r w:rsidRPr="002F7B95">
        <w:rPr>
          <w:sz w:val="16"/>
          <w:szCs w:val="16"/>
          <w:lang w:val="en-US"/>
        </w:rPr>
        <w:t xml:space="preserve">: </w:t>
      </w:r>
      <w:hyperlink r:id="rId19" w:history="1">
        <w:r w:rsidRPr="002F7B95">
          <w:rPr>
            <w:sz w:val="16"/>
            <w:szCs w:val="16"/>
            <w:lang w:val="en-US"/>
          </w:rPr>
          <w:t>10.3390/su12198254</w:t>
        </w:r>
      </w:hyperlink>
      <w:r w:rsidRPr="002F7B95">
        <w:rPr>
          <w:sz w:val="16"/>
          <w:szCs w:val="16"/>
          <w:lang w:val="en-US"/>
        </w:rPr>
        <w:t>.</w:t>
      </w:r>
    </w:p>
    <w:p w14:paraId="50AC80AA" w14:textId="17886775"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[5]</w:t>
      </w:r>
      <w:r w:rsidR="00F24038" w:rsidRPr="002F7B95">
        <w:rPr>
          <w:sz w:val="16"/>
          <w:szCs w:val="16"/>
          <w:lang w:val="en-US"/>
        </w:rPr>
        <w:t xml:space="preserve"> </w:t>
      </w:r>
      <w:r w:rsidR="00594864" w:rsidRPr="002F7B95">
        <w:rPr>
          <w:sz w:val="16"/>
          <w:szCs w:val="16"/>
          <w:lang w:val="en-US"/>
        </w:rPr>
        <w:tab/>
      </w:r>
      <w:r w:rsidRPr="002F7B95">
        <w:rPr>
          <w:sz w:val="16"/>
          <w:szCs w:val="16"/>
          <w:lang w:val="en-US"/>
        </w:rPr>
        <w:t>M. L. Sein-</w:t>
      </w:r>
      <w:proofErr w:type="spellStart"/>
      <w:r w:rsidRPr="002F7B95">
        <w:rPr>
          <w:sz w:val="16"/>
          <w:szCs w:val="16"/>
          <w:lang w:val="en-US"/>
        </w:rPr>
        <w:t>Echaluce</w:t>
      </w:r>
      <w:proofErr w:type="spellEnd"/>
      <w:r w:rsidRPr="002F7B95">
        <w:rPr>
          <w:sz w:val="16"/>
          <w:szCs w:val="16"/>
          <w:lang w:val="en-US"/>
        </w:rPr>
        <w:t xml:space="preserve">, A. </w:t>
      </w:r>
      <w:proofErr w:type="spellStart"/>
      <w:r w:rsidRPr="002F7B95">
        <w:rPr>
          <w:sz w:val="16"/>
          <w:szCs w:val="16"/>
          <w:lang w:val="en-US"/>
        </w:rPr>
        <w:t>Fidalgo</w:t>
      </w:r>
      <w:proofErr w:type="spellEnd"/>
      <w:r w:rsidRPr="002F7B95">
        <w:rPr>
          <w:sz w:val="16"/>
          <w:szCs w:val="16"/>
          <w:lang w:val="en-US"/>
        </w:rPr>
        <w:t>-Blanco, F. J. García-</w:t>
      </w:r>
      <w:proofErr w:type="spellStart"/>
      <w:r w:rsidRPr="002F7B95">
        <w:rPr>
          <w:sz w:val="16"/>
          <w:szCs w:val="16"/>
          <w:lang w:val="en-US"/>
        </w:rPr>
        <w:t>Peñalvo</w:t>
      </w:r>
      <w:proofErr w:type="spellEnd"/>
      <w:r w:rsidRPr="002F7B95">
        <w:rPr>
          <w:sz w:val="16"/>
          <w:szCs w:val="16"/>
          <w:lang w:val="en-US"/>
        </w:rPr>
        <w:t xml:space="preserve">, and D. Fonseca, “Impact of Transparency in the Teamwork Development through Cloud Computing,” </w:t>
      </w:r>
      <w:r w:rsidRPr="002F7B95">
        <w:rPr>
          <w:i/>
          <w:iCs/>
          <w:sz w:val="16"/>
          <w:szCs w:val="16"/>
          <w:lang w:val="en-US"/>
        </w:rPr>
        <w:t>Applied Sciences</w:t>
      </w:r>
      <w:r w:rsidRPr="002F7B95">
        <w:rPr>
          <w:sz w:val="16"/>
          <w:szCs w:val="16"/>
          <w:lang w:val="en-US"/>
        </w:rPr>
        <w:t xml:space="preserve">, vol. 11, no. 9, p. 3887, Apr. 2021, </w:t>
      </w:r>
      <w:proofErr w:type="spellStart"/>
      <w:r w:rsidRPr="002F7B95">
        <w:rPr>
          <w:sz w:val="16"/>
          <w:szCs w:val="16"/>
          <w:lang w:val="en-US"/>
        </w:rPr>
        <w:t>doi</w:t>
      </w:r>
      <w:proofErr w:type="spellEnd"/>
      <w:r w:rsidRPr="002F7B95">
        <w:rPr>
          <w:sz w:val="16"/>
          <w:szCs w:val="16"/>
          <w:lang w:val="en-US"/>
        </w:rPr>
        <w:t xml:space="preserve">: </w:t>
      </w:r>
      <w:hyperlink r:id="rId20" w:history="1">
        <w:r w:rsidRPr="002F7B95">
          <w:rPr>
            <w:sz w:val="16"/>
            <w:szCs w:val="16"/>
            <w:lang w:val="en-US"/>
          </w:rPr>
          <w:t>10.3390/app11093887</w:t>
        </w:r>
      </w:hyperlink>
      <w:r w:rsidRPr="002F7B95">
        <w:rPr>
          <w:sz w:val="16"/>
          <w:szCs w:val="16"/>
          <w:lang w:val="en-US"/>
        </w:rPr>
        <w:t>.</w:t>
      </w:r>
    </w:p>
    <w:p w14:paraId="04D0E1E9" w14:textId="66F5A195"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[6]</w:t>
      </w:r>
      <w:r w:rsidR="00F24038" w:rsidRPr="002F7B95">
        <w:rPr>
          <w:sz w:val="16"/>
          <w:szCs w:val="16"/>
          <w:lang w:val="en-US"/>
        </w:rPr>
        <w:t xml:space="preserve"> </w:t>
      </w:r>
      <w:r w:rsidR="00594864" w:rsidRPr="002F7B95">
        <w:rPr>
          <w:sz w:val="16"/>
          <w:szCs w:val="16"/>
          <w:lang w:val="en-US"/>
        </w:rPr>
        <w:tab/>
      </w:r>
      <w:r w:rsidRPr="002F7B95">
        <w:rPr>
          <w:sz w:val="16"/>
          <w:szCs w:val="16"/>
          <w:lang w:val="en-US"/>
        </w:rPr>
        <w:t>W. Villegas-Ch, M. Román-</w:t>
      </w:r>
      <w:proofErr w:type="spellStart"/>
      <w:r w:rsidRPr="002F7B95">
        <w:rPr>
          <w:sz w:val="16"/>
          <w:szCs w:val="16"/>
          <w:lang w:val="en-US"/>
        </w:rPr>
        <w:t>Cañizares</w:t>
      </w:r>
      <w:proofErr w:type="spellEnd"/>
      <w:r w:rsidRPr="002F7B95">
        <w:rPr>
          <w:sz w:val="16"/>
          <w:szCs w:val="16"/>
          <w:lang w:val="en-US"/>
        </w:rPr>
        <w:t xml:space="preserve">, and X. Palacios-Pacheco, “Improvement of an Online Education Model with the Integration of Machine Learning and Data Analysis in an LMS,” </w:t>
      </w:r>
      <w:r w:rsidRPr="002F7B95">
        <w:rPr>
          <w:i/>
          <w:iCs/>
          <w:sz w:val="16"/>
          <w:szCs w:val="16"/>
          <w:lang w:val="en-US"/>
        </w:rPr>
        <w:t>Applied Sciences</w:t>
      </w:r>
      <w:r w:rsidRPr="002F7B95">
        <w:rPr>
          <w:sz w:val="16"/>
          <w:szCs w:val="16"/>
          <w:lang w:val="en-US"/>
        </w:rPr>
        <w:t xml:space="preserve">, vol. 10, no. 15, p. 5371, Jan. 2020, </w:t>
      </w:r>
      <w:proofErr w:type="spellStart"/>
      <w:r w:rsidRPr="002F7B95">
        <w:rPr>
          <w:sz w:val="16"/>
          <w:szCs w:val="16"/>
          <w:lang w:val="en-US"/>
        </w:rPr>
        <w:t>doi</w:t>
      </w:r>
      <w:proofErr w:type="spellEnd"/>
      <w:r w:rsidRPr="002F7B95">
        <w:rPr>
          <w:sz w:val="16"/>
          <w:szCs w:val="16"/>
          <w:lang w:val="en-US"/>
        </w:rPr>
        <w:t xml:space="preserve">: </w:t>
      </w:r>
      <w:hyperlink r:id="rId21" w:history="1">
        <w:r w:rsidRPr="002F7B95">
          <w:rPr>
            <w:sz w:val="16"/>
            <w:szCs w:val="16"/>
            <w:lang w:val="en-US"/>
          </w:rPr>
          <w:t>10.3390/app10155371</w:t>
        </w:r>
      </w:hyperlink>
      <w:r w:rsidRPr="002F7B95">
        <w:rPr>
          <w:sz w:val="16"/>
          <w:szCs w:val="16"/>
          <w:lang w:val="en-US"/>
        </w:rPr>
        <w:t>.</w:t>
      </w:r>
    </w:p>
    <w:p w14:paraId="5C776D8D" w14:textId="7844C62A"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[7]</w:t>
      </w:r>
      <w:r w:rsidR="00594864" w:rsidRPr="002F7B95">
        <w:rPr>
          <w:sz w:val="16"/>
          <w:szCs w:val="16"/>
          <w:lang w:val="en-US"/>
        </w:rPr>
        <w:tab/>
      </w:r>
      <w:r w:rsidR="00F24038" w:rsidRPr="002F7B95">
        <w:rPr>
          <w:sz w:val="16"/>
          <w:szCs w:val="16"/>
          <w:lang w:val="en-US"/>
        </w:rPr>
        <w:t xml:space="preserve"> </w:t>
      </w:r>
      <w:r w:rsidRPr="002F7B95">
        <w:rPr>
          <w:sz w:val="16"/>
          <w:szCs w:val="16"/>
          <w:lang w:val="en-US"/>
        </w:rPr>
        <w:t xml:space="preserve">A. </w:t>
      </w:r>
      <w:proofErr w:type="spellStart"/>
      <w:r w:rsidRPr="002F7B95">
        <w:rPr>
          <w:sz w:val="16"/>
          <w:szCs w:val="16"/>
          <w:lang w:val="en-US"/>
        </w:rPr>
        <w:t>Rychwalska</w:t>
      </w:r>
      <w:proofErr w:type="spellEnd"/>
      <w:r w:rsidRPr="002F7B95">
        <w:rPr>
          <w:sz w:val="16"/>
          <w:szCs w:val="16"/>
          <w:lang w:val="en-US"/>
        </w:rPr>
        <w:t xml:space="preserve">, G. Goodell, and M. </w:t>
      </w:r>
      <w:proofErr w:type="spellStart"/>
      <w:r w:rsidRPr="002F7B95">
        <w:rPr>
          <w:sz w:val="16"/>
          <w:szCs w:val="16"/>
          <w:lang w:val="en-US"/>
        </w:rPr>
        <w:t>Roszczynska-Kurasinska</w:t>
      </w:r>
      <w:proofErr w:type="spellEnd"/>
      <w:r w:rsidRPr="002F7B95">
        <w:rPr>
          <w:sz w:val="16"/>
          <w:szCs w:val="16"/>
          <w:lang w:val="en-US"/>
        </w:rPr>
        <w:t xml:space="preserve">, “Data Management for Platform-Mediated Public Services: Challenges and Best Practices,” </w:t>
      </w:r>
      <w:r w:rsidRPr="002F7B95">
        <w:rPr>
          <w:i/>
          <w:iCs/>
          <w:sz w:val="16"/>
          <w:szCs w:val="16"/>
          <w:lang w:val="en-US"/>
        </w:rPr>
        <w:t>Surveillance &amp; Society</w:t>
      </w:r>
      <w:r w:rsidRPr="002F7B95">
        <w:rPr>
          <w:sz w:val="16"/>
          <w:szCs w:val="16"/>
          <w:lang w:val="en-US"/>
        </w:rPr>
        <w:t xml:space="preserve">, vol. 19, no. 1, pp. 22–36, Mar. 2021, </w:t>
      </w:r>
      <w:proofErr w:type="spellStart"/>
      <w:r w:rsidRPr="002F7B95">
        <w:rPr>
          <w:sz w:val="16"/>
          <w:szCs w:val="16"/>
          <w:lang w:val="en-US"/>
        </w:rPr>
        <w:t>doi</w:t>
      </w:r>
      <w:proofErr w:type="spellEnd"/>
      <w:r w:rsidRPr="002F7B95">
        <w:rPr>
          <w:sz w:val="16"/>
          <w:szCs w:val="16"/>
          <w:lang w:val="en-US"/>
        </w:rPr>
        <w:t xml:space="preserve">: </w:t>
      </w:r>
      <w:hyperlink r:id="rId22" w:history="1">
        <w:r w:rsidRPr="002F7B95">
          <w:rPr>
            <w:sz w:val="16"/>
            <w:szCs w:val="16"/>
            <w:lang w:val="en-US"/>
          </w:rPr>
          <w:t>10.24908/</w:t>
        </w:r>
        <w:proofErr w:type="gramStart"/>
        <w:r w:rsidRPr="002F7B95">
          <w:rPr>
            <w:sz w:val="16"/>
            <w:szCs w:val="16"/>
            <w:lang w:val="en-US"/>
          </w:rPr>
          <w:t>ss.v</w:t>
        </w:r>
        <w:proofErr w:type="gramEnd"/>
        <w:r w:rsidRPr="002F7B95">
          <w:rPr>
            <w:sz w:val="16"/>
            <w:szCs w:val="16"/>
            <w:lang w:val="en-US"/>
          </w:rPr>
          <w:t>19i1.13986</w:t>
        </w:r>
      </w:hyperlink>
      <w:r w:rsidRPr="002F7B95">
        <w:rPr>
          <w:sz w:val="16"/>
          <w:szCs w:val="16"/>
          <w:lang w:val="en-US"/>
        </w:rPr>
        <w:t>.</w:t>
      </w:r>
    </w:p>
    <w:p w14:paraId="6CB2A61E" w14:textId="01732ED3"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[8]</w:t>
      </w:r>
      <w:r w:rsidR="00F24038" w:rsidRPr="002F7B95">
        <w:rPr>
          <w:sz w:val="16"/>
          <w:szCs w:val="16"/>
          <w:lang w:val="en-US"/>
        </w:rPr>
        <w:t xml:space="preserve"> </w:t>
      </w:r>
      <w:r w:rsidR="00594864" w:rsidRPr="002F7B95">
        <w:rPr>
          <w:sz w:val="16"/>
          <w:szCs w:val="16"/>
          <w:lang w:val="en-US"/>
        </w:rPr>
        <w:tab/>
      </w:r>
      <w:r w:rsidRPr="002F7B95">
        <w:rPr>
          <w:sz w:val="16"/>
          <w:szCs w:val="16"/>
          <w:lang w:val="en-US"/>
        </w:rPr>
        <w:t xml:space="preserve">L. </w:t>
      </w:r>
      <w:proofErr w:type="spellStart"/>
      <w:r w:rsidRPr="002F7B95">
        <w:rPr>
          <w:sz w:val="16"/>
          <w:szCs w:val="16"/>
          <w:lang w:val="en-US"/>
        </w:rPr>
        <w:t>Davoli</w:t>
      </w:r>
      <w:proofErr w:type="spellEnd"/>
      <w:r w:rsidRPr="002F7B95">
        <w:rPr>
          <w:sz w:val="16"/>
          <w:szCs w:val="16"/>
          <w:lang w:val="en-US"/>
        </w:rPr>
        <w:t xml:space="preserve">, E. </w:t>
      </w:r>
      <w:proofErr w:type="spellStart"/>
      <w:r w:rsidRPr="002F7B95">
        <w:rPr>
          <w:sz w:val="16"/>
          <w:szCs w:val="16"/>
          <w:lang w:val="en-US"/>
        </w:rPr>
        <w:t>Pagliari</w:t>
      </w:r>
      <w:proofErr w:type="spellEnd"/>
      <w:r w:rsidRPr="002F7B95">
        <w:rPr>
          <w:sz w:val="16"/>
          <w:szCs w:val="16"/>
          <w:lang w:val="en-US"/>
        </w:rPr>
        <w:t xml:space="preserve">, and G. Ferrari, “Hybrid LoRa-IEEE 802.11s Opportunistic Mesh Networking for Flexible UAV Swarming,” </w:t>
      </w:r>
      <w:r w:rsidRPr="002F7B95">
        <w:rPr>
          <w:i/>
          <w:iCs/>
          <w:sz w:val="16"/>
          <w:szCs w:val="16"/>
          <w:lang w:val="en-US"/>
        </w:rPr>
        <w:t>Drones</w:t>
      </w:r>
      <w:r w:rsidRPr="002F7B95">
        <w:rPr>
          <w:sz w:val="16"/>
          <w:szCs w:val="16"/>
          <w:lang w:val="en-US"/>
        </w:rPr>
        <w:t xml:space="preserve">, vol. 5, no. 2, p. 26, Jun. 2021, </w:t>
      </w:r>
      <w:proofErr w:type="spellStart"/>
      <w:r w:rsidRPr="002F7B95">
        <w:rPr>
          <w:sz w:val="16"/>
          <w:szCs w:val="16"/>
          <w:lang w:val="en-US"/>
        </w:rPr>
        <w:t>doi</w:t>
      </w:r>
      <w:proofErr w:type="spellEnd"/>
      <w:r w:rsidRPr="002F7B95">
        <w:rPr>
          <w:sz w:val="16"/>
          <w:szCs w:val="16"/>
          <w:lang w:val="en-US"/>
        </w:rPr>
        <w:t xml:space="preserve">: </w:t>
      </w:r>
      <w:hyperlink r:id="rId23" w:history="1">
        <w:r w:rsidRPr="002F7B95">
          <w:rPr>
            <w:sz w:val="16"/>
            <w:szCs w:val="16"/>
            <w:lang w:val="en-US"/>
          </w:rPr>
          <w:t>10.3390/drones5020026</w:t>
        </w:r>
      </w:hyperlink>
      <w:r w:rsidRPr="002F7B95">
        <w:rPr>
          <w:sz w:val="16"/>
          <w:szCs w:val="16"/>
          <w:lang w:val="en-US"/>
        </w:rPr>
        <w:t>.</w:t>
      </w:r>
    </w:p>
    <w:p w14:paraId="1C9BBC52" w14:textId="0FF50555"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[9]</w:t>
      </w:r>
      <w:r w:rsidR="00594864" w:rsidRPr="002F7B95">
        <w:rPr>
          <w:sz w:val="16"/>
          <w:szCs w:val="16"/>
          <w:lang w:val="en-US"/>
        </w:rPr>
        <w:tab/>
      </w:r>
      <w:r w:rsidRPr="002F7B95">
        <w:rPr>
          <w:sz w:val="16"/>
          <w:szCs w:val="16"/>
          <w:lang w:val="en-US"/>
        </w:rPr>
        <w:t xml:space="preserve">W. Chu, F. </w:t>
      </w:r>
      <w:proofErr w:type="spellStart"/>
      <w:r w:rsidRPr="002F7B95">
        <w:rPr>
          <w:sz w:val="16"/>
          <w:szCs w:val="16"/>
          <w:lang w:val="en-US"/>
        </w:rPr>
        <w:t>Calise</w:t>
      </w:r>
      <w:proofErr w:type="spellEnd"/>
      <w:r w:rsidRPr="002F7B95">
        <w:rPr>
          <w:sz w:val="16"/>
          <w:szCs w:val="16"/>
          <w:lang w:val="en-US"/>
        </w:rPr>
        <w:t xml:space="preserve">, N. </w:t>
      </w:r>
      <w:proofErr w:type="spellStart"/>
      <w:r w:rsidRPr="002F7B95">
        <w:rPr>
          <w:sz w:val="16"/>
          <w:szCs w:val="16"/>
          <w:lang w:val="en-US"/>
        </w:rPr>
        <w:t>Duić</w:t>
      </w:r>
      <w:proofErr w:type="spellEnd"/>
      <w:r w:rsidRPr="002F7B95">
        <w:rPr>
          <w:sz w:val="16"/>
          <w:szCs w:val="16"/>
          <w:lang w:val="en-US"/>
        </w:rPr>
        <w:t xml:space="preserve">, P. A. </w:t>
      </w:r>
      <w:proofErr w:type="spellStart"/>
      <w:r w:rsidRPr="002F7B95">
        <w:rPr>
          <w:sz w:val="16"/>
          <w:szCs w:val="16"/>
          <w:lang w:val="en-US"/>
        </w:rPr>
        <w:t>Østergaard</w:t>
      </w:r>
      <w:proofErr w:type="spellEnd"/>
      <w:r w:rsidRPr="002F7B95">
        <w:rPr>
          <w:sz w:val="16"/>
          <w:szCs w:val="16"/>
          <w:lang w:val="en-US"/>
        </w:rPr>
        <w:t xml:space="preserve">, M. </w:t>
      </w:r>
      <w:proofErr w:type="spellStart"/>
      <w:r w:rsidRPr="002F7B95">
        <w:rPr>
          <w:sz w:val="16"/>
          <w:szCs w:val="16"/>
          <w:lang w:val="en-US"/>
        </w:rPr>
        <w:t>Vicidomini</w:t>
      </w:r>
      <w:proofErr w:type="spellEnd"/>
      <w:r w:rsidRPr="002F7B95">
        <w:rPr>
          <w:sz w:val="16"/>
          <w:szCs w:val="16"/>
          <w:lang w:val="en-US"/>
        </w:rPr>
        <w:t xml:space="preserve">, and Q. Wang, “Recent Advances in Technology, Strategy and Application of Sustainable Energy Systems,” </w:t>
      </w:r>
      <w:r w:rsidRPr="002F7B95">
        <w:rPr>
          <w:i/>
          <w:iCs/>
          <w:sz w:val="16"/>
          <w:szCs w:val="16"/>
          <w:lang w:val="en-US"/>
        </w:rPr>
        <w:t>Energies</w:t>
      </w:r>
      <w:r w:rsidRPr="002F7B95">
        <w:rPr>
          <w:sz w:val="16"/>
          <w:szCs w:val="16"/>
          <w:lang w:val="en-US"/>
        </w:rPr>
        <w:t xml:space="preserve">, vol. 13, no. 19, p. 5229, Oct. 2020, </w:t>
      </w:r>
      <w:proofErr w:type="spellStart"/>
      <w:r w:rsidRPr="002F7B95">
        <w:rPr>
          <w:sz w:val="16"/>
          <w:szCs w:val="16"/>
          <w:lang w:val="en-US"/>
        </w:rPr>
        <w:t>doi</w:t>
      </w:r>
      <w:proofErr w:type="spellEnd"/>
      <w:r w:rsidRPr="002F7B95">
        <w:rPr>
          <w:sz w:val="16"/>
          <w:szCs w:val="16"/>
          <w:lang w:val="en-US"/>
        </w:rPr>
        <w:t xml:space="preserve">: </w:t>
      </w:r>
      <w:hyperlink r:id="rId24" w:history="1">
        <w:r w:rsidRPr="002F7B95">
          <w:rPr>
            <w:sz w:val="16"/>
            <w:szCs w:val="16"/>
            <w:lang w:val="en-US"/>
          </w:rPr>
          <w:t>10.3390/en13195229</w:t>
        </w:r>
      </w:hyperlink>
      <w:r w:rsidRPr="002F7B95">
        <w:rPr>
          <w:sz w:val="16"/>
          <w:szCs w:val="16"/>
          <w:lang w:val="en-US"/>
        </w:rPr>
        <w:t>.</w:t>
      </w:r>
    </w:p>
    <w:p w14:paraId="1D944D2A" w14:textId="76A89A5B"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[10]</w:t>
      </w:r>
      <w:r w:rsidR="00F24038" w:rsidRPr="002F7B95">
        <w:rPr>
          <w:sz w:val="16"/>
          <w:szCs w:val="16"/>
          <w:lang w:val="en-US"/>
        </w:rPr>
        <w:t xml:space="preserve"> </w:t>
      </w:r>
      <w:r w:rsidR="00594864" w:rsidRPr="002F7B95">
        <w:rPr>
          <w:sz w:val="16"/>
          <w:szCs w:val="16"/>
          <w:lang w:val="en-US"/>
        </w:rPr>
        <w:tab/>
      </w:r>
      <w:r w:rsidRPr="002F7B95">
        <w:rPr>
          <w:sz w:val="16"/>
          <w:szCs w:val="16"/>
          <w:lang w:val="en-US"/>
        </w:rPr>
        <w:t xml:space="preserve">M. </w:t>
      </w:r>
      <w:proofErr w:type="spellStart"/>
      <w:r w:rsidRPr="002F7B95">
        <w:rPr>
          <w:sz w:val="16"/>
          <w:szCs w:val="16"/>
          <w:lang w:val="en-US"/>
        </w:rPr>
        <w:t>Manganelli</w:t>
      </w:r>
      <w:proofErr w:type="spellEnd"/>
      <w:r w:rsidRPr="002F7B95">
        <w:rPr>
          <w:sz w:val="16"/>
          <w:szCs w:val="16"/>
          <w:lang w:val="en-US"/>
        </w:rPr>
        <w:t xml:space="preserve">, A. Soldati, L. </w:t>
      </w:r>
      <w:proofErr w:type="spellStart"/>
      <w:r w:rsidRPr="002F7B95">
        <w:rPr>
          <w:sz w:val="16"/>
          <w:szCs w:val="16"/>
          <w:lang w:val="en-US"/>
        </w:rPr>
        <w:t>Martirano</w:t>
      </w:r>
      <w:proofErr w:type="spellEnd"/>
      <w:r w:rsidRPr="002F7B95">
        <w:rPr>
          <w:sz w:val="16"/>
          <w:szCs w:val="16"/>
          <w:lang w:val="en-US"/>
        </w:rPr>
        <w:t xml:space="preserve">, and S. Ramakrishna, “Strategies for Improving the Sustainability of Data Centers via Energy Mix, Energy Conservation, and Circular Energy,” </w:t>
      </w:r>
      <w:r w:rsidRPr="002F7B95">
        <w:rPr>
          <w:i/>
          <w:iCs/>
          <w:sz w:val="16"/>
          <w:szCs w:val="16"/>
          <w:lang w:val="en-US"/>
        </w:rPr>
        <w:t>Sustainability</w:t>
      </w:r>
      <w:r w:rsidRPr="002F7B95">
        <w:rPr>
          <w:sz w:val="16"/>
          <w:szCs w:val="16"/>
          <w:lang w:val="en-US"/>
        </w:rPr>
        <w:t xml:space="preserve">, vol. 13, no. 11, p. 6114, May 2021, </w:t>
      </w:r>
      <w:proofErr w:type="spellStart"/>
      <w:r w:rsidRPr="002F7B95">
        <w:rPr>
          <w:sz w:val="16"/>
          <w:szCs w:val="16"/>
          <w:lang w:val="en-US"/>
        </w:rPr>
        <w:t>doi</w:t>
      </w:r>
      <w:proofErr w:type="spellEnd"/>
      <w:r w:rsidRPr="002F7B95">
        <w:rPr>
          <w:sz w:val="16"/>
          <w:szCs w:val="16"/>
          <w:lang w:val="en-US"/>
        </w:rPr>
        <w:t xml:space="preserve">: </w:t>
      </w:r>
      <w:hyperlink r:id="rId25" w:history="1">
        <w:r w:rsidRPr="002F7B95">
          <w:rPr>
            <w:sz w:val="16"/>
            <w:szCs w:val="16"/>
            <w:lang w:val="en-US"/>
          </w:rPr>
          <w:t>10.3390/su13116114</w:t>
        </w:r>
      </w:hyperlink>
      <w:r w:rsidRPr="002F7B95">
        <w:rPr>
          <w:sz w:val="16"/>
          <w:szCs w:val="16"/>
          <w:lang w:val="en-US"/>
        </w:rPr>
        <w:t>.</w:t>
      </w:r>
    </w:p>
    <w:p w14:paraId="5D6100A6" w14:textId="1B8433AF"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 xml:space="preserve">[11] </w:t>
      </w:r>
      <w:r w:rsidR="00594864" w:rsidRPr="002F7B95">
        <w:rPr>
          <w:sz w:val="16"/>
          <w:szCs w:val="16"/>
          <w:lang w:val="en-US"/>
        </w:rPr>
        <w:tab/>
      </w:r>
      <w:r w:rsidRPr="002F7B95">
        <w:rPr>
          <w:sz w:val="16"/>
          <w:szCs w:val="16"/>
          <w:lang w:val="en-US"/>
        </w:rPr>
        <w:t xml:space="preserve">T. </w:t>
      </w:r>
      <w:proofErr w:type="spellStart"/>
      <w:r w:rsidRPr="002F7B95">
        <w:rPr>
          <w:sz w:val="16"/>
          <w:szCs w:val="16"/>
          <w:lang w:val="en-US"/>
        </w:rPr>
        <w:t>Menneer</w:t>
      </w:r>
      <w:proofErr w:type="spellEnd"/>
      <w:r w:rsidRPr="002F7B95">
        <w:rPr>
          <w:sz w:val="16"/>
          <w:szCs w:val="16"/>
          <w:lang w:val="en-US"/>
        </w:rPr>
        <w:t xml:space="preserve"> </w:t>
      </w:r>
      <w:r w:rsidRPr="002F7B95">
        <w:rPr>
          <w:i/>
          <w:iCs/>
          <w:sz w:val="16"/>
          <w:szCs w:val="16"/>
          <w:lang w:val="en-US"/>
        </w:rPr>
        <w:t>et al.</w:t>
      </w:r>
      <w:r w:rsidRPr="002F7B95">
        <w:rPr>
          <w:sz w:val="16"/>
          <w:szCs w:val="16"/>
          <w:lang w:val="en-US"/>
        </w:rPr>
        <w:t xml:space="preserve">, “Changes in Domestic Energy and Water Usage during the UK COVID-19 Lockdown Using High-Resolution </w:t>
      </w:r>
      <w:r w:rsidRPr="002F7B95">
        <w:rPr>
          <w:sz w:val="16"/>
          <w:szCs w:val="16"/>
          <w:lang w:val="en-US"/>
        </w:rPr>
        <w:t xml:space="preserve">Temporal Data,” </w:t>
      </w:r>
      <w:r w:rsidRPr="002F7B95">
        <w:rPr>
          <w:i/>
          <w:iCs/>
          <w:sz w:val="16"/>
          <w:szCs w:val="16"/>
          <w:lang w:val="en-US"/>
        </w:rPr>
        <w:t>International Journal of Environmental Research and Public Health</w:t>
      </w:r>
      <w:r w:rsidRPr="002F7B95">
        <w:rPr>
          <w:sz w:val="16"/>
          <w:szCs w:val="16"/>
          <w:lang w:val="en-US"/>
        </w:rPr>
        <w:t xml:space="preserve">, vol. 18, no. 13, p. 6818, Jun. 2021, </w:t>
      </w:r>
      <w:proofErr w:type="spellStart"/>
      <w:r w:rsidRPr="002F7B95">
        <w:rPr>
          <w:sz w:val="16"/>
          <w:szCs w:val="16"/>
          <w:lang w:val="en-US"/>
        </w:rPr>
        <w:t>doi</w:t>
      </w:r>
      <w:proofErr w:type="spellEnd"/>
      <w:r w:rsidRPr="002F7B95">
        <w:rPr>
          <w:sz w:val="16"/>
          <w:szCs w:val="16"/>
          <w:lang w:val="en-US"/>
        </w:rPr>
        <w:t xml:space="preserve">: </w:t>
      </w:r>
      <w:hyperlink r:id="rId26" w:history="1">
        <w:r w:rsidRPr="002F7B95">
          <w:rPr>
            <w:sz w:val="16"/>
            <w:szCs w:val="16"/>
            <w:lang w:val="en-US"/>
          </w:rPr>
          <w:t>10.3390/ijerph18136818</w:t>
        </w:r>
      </w:hyperlink>
      <w:r w:rsidRPr="002F7B95">
        <w:rPr>
          <w:sz w:val="16"/>
          <w:szCs w:val="16"/>
          <w:lang w:val="en-US"/>
        </w:rPr>
        <w:t>.</w:t>
      </w:r>
    </w:p>
    <w:p w14:paraId="6D62C994" w14:textId="39BF8822"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[12]</w:t>
      </w:r>
      <w:r w:rsidR="00594864" w:rsidRPr="002F7B95">
        <w:rPr>
          <w:sz w:val="16"/>
          <w:szCs w:val="16"/>
          <w:lang w:val="en-US"/>
        </w:rPr>
        <w:tab/>
      </w:r>
      <w:r w:rsidRPr="002F7B95">
        <w:rPr>
          <w:sz w:val="16"/>
          <w:szCs w:val="16"/>
          <w:lang w:val="en-US"/>
        </w:rPr>
        <w:t xml:space="preserve"> A. Mutule </w:t>
      </w:r>
      <w:r w:rsidRPr="002F7B95">
        <w:rPr>
          <w:i/>
          <w:iCs/>
          <w:sz w:val="16"/>
          <w:szCs w:val="16"/>
          <w:lang w:val="en-US"/>
        </w:rPr>
        <w:t>et al.</w:t>
      </w:r>
      <w:r w:rsidRPr="002F7B95">
        <w:rPr>
          <w:sz w:val="16"/>
          <w:szCs w:val="16"/>
          <w:lang w:val="en-US"/>
        </w:rPr>
        <w:t xml:space="preserve">, “Implementing Smart City Technologies to Inspire Change in Consumer Energy </w:t>
      </w:r>
      <w:proofErr w:type="spellStart"/>
      <w:r w:rsidRPr="002F7B95">
        <w:rPr>
          <w:sz w:val="16"/>
          <w:szCs w:val="16"/>
          <w:lang w:val="en-US"/>
        </w:rPr>
        <w:t>Behaviour</w:t>
      </w:r>
      <w:proofErr w:type="spellEnd"/>
      <w:r w:rsidRPr="002F7B95">
        <w:rPr>
          <w:sz w:val="16"/>
          <w:szCs w:val="16"/>
          <w:lang w:val="en-US"/>
        </w:rPr>
        <w:t xml:space="preserve">,” </w:t>
      </w:r>
      <w:r w:rsidRPr="002F7B95">
        <w:rPr>
          <w:i/>
          <w:iCs/>
          <w:sz w:val="16"/>
          <w:szCs w:val="16"/>
          <w:lang w:val="en-US"/>
        </w:rPr>
        <w:t>Energies</w:t>
      </w:r>
      <w:r w:rsidRPr="002F7B95">
        <w:rPr>
          <w:sz w:val="16"/>
          <w:szCs w:val="16"/>
          <w:lang w:val="en-US"/>
        </w:rPr>
        <w:t xml:space="preserve">, vol. 14, no. 14, p. 4310, Jul. 2021, </w:t>
      </w:r>
      <w:proofErr w:type="spellStart"/>
      <w:r w:rsidRPr="002F7B95">
        <w:rPr>
          <w:sz w:val="16"/>
          <w:szCs w:val="16"/>
          <w:lang w:val="en-US"/>
        </w:rPr>
        <w:t>doi</w:t>
      </w:r>
      <w:proofErr w:type="spellEnd"/>
      <w:r w:rsidRPr="002F7B95">
        <w:rPr>
          <w:sz w:val="16"/>
          <w:szCs w:val="16"/>
          <w:lang w:val="en-US"/>
        </w:rPr>
        <w:t xml:space="preserve">: </w:t>
      </w:r>
      <w:hyperlink r:id="rId27" w:history="1">
        <w:r w:rsidRPr="002F7B95">
          <w:rPr>
            <w:sz w:val="16"/>
            <w:szCs w:val="16"/>
            <w:lang w:val="en-US"/>
          </w:rPr>
          <w:t>10.3390/en14144310</w:t>
        </w:r>
      </w:hyperlink>
      <w:r w:rsidRPr="002F7B95">
        <w:rPr>
          <w:sz w:val="16"/>
          <w:szCs w:val="16"/>
          <w:lang w:val="en-US"/>
        </w:rPr>
        <w:t>.</w:t>
      </w:r>
    </w:p>
    <w:p w14:paraId="01DC147A" w14:textId="03D645BD"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 xml:space="preserve">[13] </w:t>
      </w:r>
      <w:r w:rsidR="00594864" w:rsidRPr="002F7B95">
        <w:rPr>
          <w:sz w:val="16"/>
          <w:szCs w:val="16"/>
          <w:lang w:val="en-US"/>
        </w:rPr>
        <w:tab/>
      </w:r>
      <w:r w:rsidRPr="002F7B95">
        <w:rPr>
          <w:sz w:val="16"/>
          <w:szCs w:val="16"/>
          <w:lang w:val="en-US"/>
        </w:rPr>
        <w:t xml:space="preserve">M. Boland and M. </w:t>
      </w:r>
      <w:proofErr w:type="spellStart"/>
      <w:r w:rsidRPr="002F7B95">
        <w:rPr>
          <w:sz w:val="16"/>
          <w:szCs w:val="16"/>
          <w:lang w:val="en-US"/>
        </w:rPr>
        <w:t>O’Riordan</w:t>
      </w:r>
      <w:proofErr w:type="spellEnd"/>
      <w:r w:rsidRPr="002F7B95">
        <w:rPr>
          <w:sz w:val="16"/>
          <w:szCs w:val="16"/>
          <w:lang w:val="en-US"/>
        </w:rPr>
        <w:t xml:space="preserve">, “Preparedness and management of global public health threats at points of entry in Ireland and the EU in the context of a potential Brexit,” </w:t>
      </w:r>
      <w:r w:rsidRPr="002F7B95">
        <w:rPr>
          <w:i/>
          <w:iCs/>
          <w:sz w:val="16"/>
          <w:szCs w:val="16"/>
          <w:lang w:val="en-US"/>
        </w:rPr>
        <w:t>Globalization and Health</w:t>
      </w:r>
      <w:r w:rsidRPr="002F7B95">
        <w:rPr>
          <w:sz w:val="16"/>
          <w:szCs w:val="16"/>
          <w:lang w:val="en-US"/>
        </w:rPr>
        <w:t xml:space="preserve">, vol. 15, no. 1, Sep. 2019, </w:t>
      </w:r>
      <w:proofErr w:type="spellStart"/>
      <w:r w:rsidRPr="002F7B95">
        <w:rPr>
          <w:sz w:val="16"/>
          <w:szCs w:val="16"/>
          <w:lang w:val="en-US"/>
        </w:rPr>
        <w:t>doi</w:t>
      </w:r>
      <w:proofErr w:type="spellEnd"/>
      <w:r w:rsidRPr="002F7B95">
        <w:rPr>
          <w:sz w:val="16"/>
          <w:szCs w:val="16"/>
          <w:lang w:val="en-US"/>
        </w:rPr>
        <w:t xml:space="preserve">: </w:t>
      </w:r>
      <w:hyperlink r:id="rId28" w:history="1">
        <w:r w:rsidRPr="002F7B95">
          <w:rPr>
            <w:sz w:val="16"/>
            <w:szCs w:val="16"/>
            <w:lang w:val="en-US"/>
          </w:rPr>
          <w:t>10.1186/s12992-019-0496-4</w:t>
        </w:r>
      </w:hyperlink>
      <w:r w:rsidRPr="002F7B95">
        <w:rPr>
          <w:sz w:val="16"/>
          <w:szCs w:val="16"/>
          <w:lang w:val="en-US"/>
        </w:rPr>
        <w:t>.</w:t>
      </w:r>
    </w:p>
    <w:p w14:paraId="730A3A66" w14:textId="4E3E1EC7"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[14]</w:t>
      </w:r>
      <w:r w:rsidR="00594864" w:rsidRPr="002F7B95">
        <w:rPr>
          <w:sz w:val="16"/>
          <w:szCs w:val="16"/>
          <w:lang w:val="en-US"/>
        </w:rPr>
        <w:tab/>
      </w:r>
      <w:r w:rsidRPr="002F7B95">
        <w:rPr>
          <w:sz w:val="16"/>
          <w:szCs w:val="16"/>
          <w:lang w:val="en-US"/>
        </w:rPr>
        <w:t xml:space="preserve"> S. </w:t>
      </w:r>
      <w:proofErr w:type="spellStart"/>
      <w:r w:rsidRPr="002F7B95">
        <w:rPr>
          <w:sz w:val="16"/>
          <w:szCs w:val="16"/>
          <w:lang w:val="en-US"/>
        </w:rPr>
        <w:t>Zlatanova</w:t>
      </w:r>
      <w:proofErr w:type="spellEnd"/>
      <w:r w:rsidRPr="002F7B95">
        <w:rPr>
          <w:sz w:val="16"/>
          <w:szCs w:val="16"/>
          <w:lang w:val="en-US"/>
        </w:rPr>
        <w:t xml:space="preserve">, S. </w:t>
      </w:r>
      <w:proofErr w:type="spellStart"/>
      <w:r w:rsidRPr="002F7B95">
        <w:rPr>
          <w:sz w:val="16"/>
          <w:szCs w:val="16"/>
          <w:lang w:val="en-US"/>
        </w:rPr>
        <w:t>Dragicevic</w:t>
      </w:r>
      <w:proofErr w:type="spellEnd"/>
      <w:r w:rsidRPr="002F7B95">
        <w:rPr>
          <w:sz w:val="16"/>
          <w:szCs w:val="16"/>
          <w:lang w:val="en-US"/>
        </w:rPr>
        <w:t xml:space="preserve">, and G. Sithole, “Preface: Technical Commission IV on Spatial Information Science,” </w:t>
      </w:r>
      <w:r w:rsidRPr="002F7B95">
        <w:rPr>
          <w:i/>
          <w:iCs/>
          <w:sz w:val="16"/>
          <w:szCs w:val="16"/>
          <w:lang w:val="en-US"/>
        </w:rPr>
        <w:t>ISPRS Annals of the Photogrammetry, Remote Sensing and Spatial Information Sciences</w:t>
      </w:r>
      <w:r w:rsidRPr="002F7B95">
        <w:rPr>
          <w:sz w:val="16"/>
          <w:szCs w:val="16"/>
          <w:lang w:val="en-US"/>
        </w:rPr>
        <w:t xml:space="preserve">, vol. V–42020, pp. 7–9, Aug. 2020, </w:t>
      </w:r>
      <w:proofErr w:type="spellStart"/>
      <w:r w:rsidRPr="002F7B95">
        <w:rPr>
          <w:sz w:val="16"/>
          <w:szCs w:val="16"/>
          <w:lang w:val="en-US"/>
        </w:rPr>
        <w:t>doi</w:t>
      </w:r>
      <w:proofErr w:type="spellEnd"/>
      <w:r w:rsidRPr="002F7B95">
        <w:rPr>
          <w:sz w:val="16"/>
          <w:szCs w:val="16"/>
          <w:lang w:val="en-US"/>
        </w:rPr>
        <w:t xml:space="preserve">: </w:t>
      </w:r>
      <w:hyperlink r:id="rId29" w:history="1">
        <w:r w:rsidRPr="002F7B95">
          <w:rPr>
            <w:sz w:val="16"/>
            <w:szCs w:val="16"/>
            <w:lang w:val="en-US"/>
          </w:rPr>
          <w:t>10.5194/isprs-annals-v-4-2020-7-2020</w:t>
        </w:r>
      </w:hyperlink>
      <w:r w:rsidRPr="002F7B95">
        <w:rPr>
          <w:sz w:val="16"/>
          <w:szCs w:val="16"/>
          <w:lang w:val="en-US"/>
        </w:rPr>
        <w:t>.</w:t>
      </w:r>
    </w:p>
    <w:p w14:paraId="6A6F5018" w14:textId="7ABD8242"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 xml:space="preserve">[15] </w:t>
      </w:r>
      <w:r w:rsidR="00B53103" w:rsidRPr="002F7B95">
        <w:rPr>
          <w:sz w:val="16"/>
          <w:szCs w:val="16"/>
          <w:lang w:val="en-US"/>
        </w:rPr>
        <w:tab/>
      </w:r>
      <w:r w:rsidRPr="002F7B95">
        <w:rPr>
          <w:sz w:val="16"/>
          <w:szCs w:val="16"/>
          <w:lang w:val="en-US"/>
        </w:rPr>
        <w:t xml:space="preserve">S. </w:t>
      </w:r>
      <w:proofErr w:type="spellStart"/>
      <w:r w:rsidRPr="002F7B95">
        <w:rPr>
          <w:sz w:val="16"/>
          <w:szCs w:val="16"/>
          <w:lang w:val="en-US"/>
        </w:rPr>
        <w:t>Zlatanova</w:t>
      </w:r>
      <w:proofErr w:type="spellEnd"/>
      <w:r w:rsidRPr="002F7B95">
        <w:rPr>
          <w:sz w:val="16"/>
          <w:szCs w:val="16"/>
          <w:lang w:val="en-US"/>
        </w:rPr>
        <w:t xml:space="preserve">, S. </w:t>
      </w:r>
      <w:proofErr w:type="spellStart"/>
      <w:r w:rsidRPr="002F7B95">
        <w:rPr>
          <w:sz w:val="16"/>
          <w:szCs w:val="16"/>
          <w:lang w:val="en-US"/>
        </w:rPr>
        <w:t>Dragicevic</w:t>
      </w:r>
      <w:proofErr w:type="spellEnd"/>
      <w:r w:rsidRPr="002F7B95">
        <w:rPr>
          <w:sz w:val="16"/>
          <w:szCs w:val="16"/>
          <w:lang w:val="en-US"/>
        </w:rPr>
        <w:t xml:space="preserve">, and G. Sithole, “PREFACE: TECHNICAL COMMISSION IV ON SPATIAL INFORMATION SCIENCE,” </w:t>
      </w:r>
      <w:r w:rsidRPr="002F7B95">
        <w:rPr>
          <w:i/>
          <w:iCs/>
          <w:sz w:val="16"/>
          <w:szCs w:val="16"/>
          <w:lang w:val="en-US"/>
        </w:rPr>
        <w:t>The International Archives of the Photogrammetry, Remote Sensing and Spatial Information Sciences</w:t>
      </w:r>
      <w:r w:rsidRPr="002F7B95">
        <w:rPr>
          <w:sz w:val="16"/>
          <w:szCs w:val="16"/>
          <w:lang w:val="en-US"/>
        </w:rPr>
        <w:t xml:space="preserve">, vol. XLIII-B42020, pp. 7–9, Aug. 2020, </w:t>
      </w:r>
      <w:proofErr w:type="spellStart"/>
      <w:r w:rsidRPr="002F7B95">
        <w:rPr>
          <w:sz w:val="16"/>
          <w:szCs w:val="16"/>
          <w:lang w:val="en-US"/>
        </w:rPr>
        <w:t>doi</w:t>
      </w:r>
      <w:proofErr w:type="spellEnd"/>
      <w:r w:rsidRPr="002F7B95">
        <w:rPr>
          <w:sz w:val="16"/>
          <w:szCs w:val="16"/>
          <w:lang w:val="en-US"/>
        </w:rPr>
        <w:t xml:space="preserve">: </w:t>
      </w:r>
      <w:hyperlink r:id="rId30" w:history="1">
        <w:r w:rsidRPr="002F7B95">
          <w:rPr>
            <w:sz w:val="16"/>
            <w:szCs w:val="16"/>
            <w:lang w:val="en-US"/>
          </w:rPr>
          <w:t>10.5194/isprs-archives-xliii-b4-2020-7-2020</w:t>
        </w:r>
      </w:hyperlink>
      <w:r w:rsidRPr="002F7B95">
        <w:rPr>
          <w:sz w:val="16"/>
          <w:szCs w:val="16"/>
          <w:lang w:val="en-US"/>
        </w:rPr>
        <w:t>.</w:t>
      </w:r>
    </w:p>
    <w:p w14:paraId="4B608EFF" w14:textId="533B2898"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[16]</w:t>
      </w:r>
      <w:r w:rsidR="00B53103" w:rsidRPr="002F7B95">
        <w:rPr>
          <w:sz w:val="16"/>
          <w:szCs w:val="16"/>
          <w:lang w:val="en-US"/>
        </w:rPr>
        <w:tab/>
      </w:r>
      <w:r w:rsidRPr="002F7B95">
        <w:rPr>
          <w:sz w:val="16"/>
          <w:szCs w:val="16"/>
          <w:lang w:val="en-US"/>
        </w:rPr>
        <w:t xml:space="preserve"> R. Bernard, G. Bowsher, and R. Sullivan, “Cyber security and the unexplored threat to global health: a call for global norms,” </w:t>
      </w:r>
      <w:r w:rsidRPr="002F7B95">
        <w:rPr>
          <w:i/>
          <w:iCs/>
          <w:sz w:val="16"/>
          <w:szCs w:val="16"/>
          <w:lang w:val="en-US"/>
        </w:rPr>
        <w:t>Global Security: Health, Science and Policy</w:t>
      </w:r>
      <w:r w:rsidRPr="002F7B95">
        <w:rPr>
          <w:sz w:val="16"/>
          <w:szCs w:val="16"/>
          <w:lang w:val="en-US"/>
        </w:rPr>
        <w:t xml:space="preserve">, vol. 5, no. 1, pp. 134–141, Jan. 2020, </w:t>
      </w:r>
      <w:proofErr w:type="spellStart"/>
      <w:r w:rsidRPr="002F7B95">
        <w:rPr>
          <w:sz w:val="16"/>
          <w:szCs w:val="16"/>
          <w:lang w:val="en-US"/>
        </w:rPr>
        <w:t>doi</w:t>
      </w:r>
      <w:proofErr w:type="spellEnd"/>
      <w:r w:rsidRPr="002F7B95">
        <w:rPr>
          <w:sz w:val="16"/>
          <w:szCs w:val="16"/>
          <w:lang w:val="en-US"/>
        </w:rPr>
        <w:t xml:space="preserve">: </w:t>
      </w:r>
      <w:hyperlink r:id="rId31" w:history="1">
        <w:r w:rsidRPr="002F7B95">
          <w:rPr>
            <w:sz w:val="16"/>
            <w:szCs w:val="16"/>
            <w:lang w:val="en-US"/>
          </w:rPr>
          <w:t>10.1080/23779497.2020.1865182</w:t>
        </w:r>
      </w:hyperlink>
      <w:r w:rsidRPr="002F7B95">
        <w:rPr>
          <w:sz w:val="16"/>
          <w:szCs w:val="16"/>
          <w:lang w:val="en-US"/>
        </w:rPr>
        <w:t>.</w:t>
      </w:r>
    </w:p>
    <w:p w14:paraId="525AA427" w14:textId="1F912A8F"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 xml:space="preserve">[17] </w:t>
      </w:r>
      <w:r w:rsidR="00B53103" w:rsidRPr="002F7B95">
        <w:rPr>
          <w:sz w:val="16"/>
          <w:szCs w:val="16"/>
          <w:lang w:val="en-US"/>
        </w:rPr>
        <w:tab/>
      </w:r>
      <w:r w:rsidRPr="002F7B95">
        <w:rPr>
          <w:sz w:val="16"/>
          <w:szCs w:val="16"/>
          <w:lang w:val="en-US"/>
        </w:rPr>
        <w:t xml:space="preserve">M. Rezaei and M. </w:t>
      </w:r>
      <w:proofErr w:type="spellStart"/>
      <w:r w:rsidRPr="002F7B95">
        <w:rPr>
          <w:sz w:val="16"/>
          <w:szCs w:val="16"/>
          <w:lang w:val="en-US"/>
        </w:rPr>
        <w:t>Azarmi</w:t>
      </w:r>
      <w:proofErr w:type="spellEnd"/>
      <w:r w:rsidRPr="002F7B95">
        <w:rPr>
          <w:sz w:val="16"/>
          <w:szCs w:val="16"/>
          <w:lang w:val="en-US"/>
        </w:rPr>
        <w:t>, “</w:t>
      </w:r>
      <w:proofErr w:type="spellStart"/>
      <w:r w:rsidRPr="002F7B95">
        <w:rPr>
          <w:sz w:val="16"/>
          <w:szCs w:val="16"/>
          <w:lang w:val="en-US"/>
        </w:rPr>
        <w:t>DeepSOCIAL</w:t>
      </w:r>
      <w:proofErr w:type="spellEnd"/>
      <w:r w:rsidRPr="002F7B95">
        <w:rPr>
          <w:sz w:val="16"/>
          <w:szCs w:val="16"/>
          <w:lang w:val="en-US"/>
        </w:rPr>
        <w:t xml:space="preserve">: Social Distancing Monitoring and Infection Risk Assessment in COVID-19 Pandemic,” </w:t>
      </w:r>
      <w:r w:rsidRPr="002F7B95">
        <w:rPr>
          <w:i/>
          <w:iCs/>
          <w:sz w:val="16"/>
          <w:szCs w:val="16"/>
          <w:lang w:val="en-US"/>
        </w:rPr>
        <w:t>Applied Sciences</w:t>
      </w:r>
      <w:r w:rsidRPr="002F7B95">
        <w:rPr>
          <w:sz w:val="16"/>
          <w:szCs w:val="16"/>
          <w:lang w:val="en-US"/>
        </w:rPr>
        <w:t xml:space="preserve">, vol. 10, no. 21, p. 7514, Oct. 2020, </w:t>
      </w:r>
      <w:proofErr w:type="spellStart"/>
      <w:r w:rsidRPr="002F7B95">
        <w:rPr>
          <w:sz w:val="16"/>
          <w:szCs w:val="16"/>
          <w:lang w:val="en-US"/>
        </w:rPr>
        <w:t>doi</w:t>
      </w:r>
      <w:proofErr w:type="spellEnd"/>
      <w:r w:rsidRPr="002F7B95">
        <w:rPr>
          <w:sz w:val="16"/>
          <w:szCs w:val="16"/>
          <w:lang w:val="en-US"/>
        </w:rPr>
        <w:t xml:space="preserve">: </w:t>
      </w:r>
      <w:hyperlink r:id="rId32" w:history="1">
        <w:r w:rsidRPr="002F7B95">
          <w:rPr>
            <w:sz w:val="16"/>
            <w:szCs w:val="16"/>
            <w:lang w:val="en-US"/>
          </w:rPr>
          <w:t>10.3390/app10217514</w:t>
        </w:r>
      </w:hyperlink>
      <w:r w:rsidRPr="002F7B95">
        <w:rPr>
          <w:sz w:val="16"/>
          <w:szCs w:val="16"/>
          <w:lang w:val="en-US"/>
        </w:rPr>
        <w:t>.</w:t>
      </w:r>
    </w:p>
    <w:p w14:paraId="7A584BFF" w14:textId="1F1A7389"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[18]</w:t>
      </w:r>
      <w:r w:rsidR="00B53103" w:rsidRPr="002F7B95">
        <w:rPr>
          <w:sz w:val="16"/>
          <w:szCs w:val="16"/>
          <w:lang w:val="en-US"/>
        </w:rPr>
        <w:tab/>
      </w:r>
      <w:r w:rsidRPr="002F7B95">
        <w:rPr>
          <w:sz w:val="16"/>
          <w:szCs w:val="16"/>
          <w:lang w:val="en-US"/>
        </w:rPr>
        <w:t xml:space="preserve"> C. E. Knott </w:t>
      </w:r>
      <w:r w:rsidRPr="002F7B95">
        <w:rPr>
          <w:i/>
          <w:iCs/>
          <w:sz w:val="16"/>
          <w:szCs w:val="16"/>
          <w:lang w:val="en-US"/>
        </w:rPr>
        <w:t>et al.</w:t>
      </w:r>
      <w:r w:rsidRPr="002F7B95">
        <w:rPr>
          <w:sz w:val="16"/>
          <w:szCs w:val="16"/>
          <w:lang w:val="en-US"/>
        </w:rPr>
        <w:t xml:space="preserve">, “Connecting and linking neurocognitive, digital phenotyping, physiologic, psychophysical, neuroimaging, genomic, &amp; sensor data with survey data,” </w:t>
      </w:r>
      <w:r w:rsidRPr="002F7B95">
        <w:rPr>
          <w:i/>
          <w:iCs/>
          <w:sz w:val="16"/>
          <w:szCs w:val="16"/>
          <w:lang w:val="en-US"/>
        </w:rPr>
        <w:t>EPJ Data Science</w:t>
      </w:r>
      <w:r w:rsidRPr="002F7B95">
        <w:rPr>
          <w:sz w:val="16"/>
          <w:szCs w:val="16"/>
          <w:lang w:val="en-US"/>
        </w:rPr>
        <w:t xml:space="preserve">, vol. 10, no. 1, Feb. 2021, </w:t>
      </w:r>
      <w:proofErr w:type="spellStart"/>
      <w:r w:rsidRPr="002F7B95">
        <w:rPr>
          <w:sz w:val="16"/>
          <w:szCs w:val="16"/>
          <w:lang w:val="en-US"/>
        </w:rPr>
        <w:t>doi</w:t>
      </w:r>
      <w:proofErr w:type="spellEnd"/>
      <w:r w:rsidRPr="002F7B95">
        <w:rPr>
          <w:sz w:val="16"/>
          <w:szCs w:val="16"/>
          <w:lang w:val="en-US"/>
        </w:rPr>
        <w:t xml:space="preserve">: </w:t>
      </w:r>
      <w:hyperlink r:id="rId33" w:history="1">
        <w:r w:rsidRPr="002F7B95">
          <w:rPr>
            <w:sz w:val="16"/>
            <w:szCs w:val="16"/>
            <w:lang w:val="en-US"/>
          </w:rPr>
          <w:t>10.1140/</w:t>
        </w:r>
        <w:proofErr w:type="spellStart"/>
        <w:r w:rsidRPr="002F7B95">
          <w:rPr>
            <w:sz w:val="16"/>
            <w:szCs w:val="16"/>
            <w:lang w:val="en-US"/>
          </w:rPr>
          <w:t>epjds</w:t>
        </w:r>
        <w:proofErr w:type="spellEnd"/>
        <w:r w:rsidRPr="002F7B95">
          <w:rPr>
            <w:sz w:val="16"/>
            <w:szCs w:val="16"/>
            <w:lang w:val="en-US"/>
          </w:rPr>
          <w:t>/s13688-021-00264-z</w:t>
        </w:r>
      </w:hyperlink>
      <w:r w:rsidRPr="002F7B95">
        <w:rPr>
          <w:sz w:val="16"/>
          <w:szCs w:val="16"/>
          <w:lang w:val="en-US"/>
        </w:rPr>
        <w:t>.</w:t>
      </w:r>
    </w:p>
    <w:p w14:paraId="2868820E" w14:textId="54CF2277"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[19]</w:t>
      </w:r>
      <w:r w:rsidR="00B53103" w:rsidRPr="002F7B95">
        <w:rPr>
          <w:sz w:val="16"/>
          <w:szCs w:val="16"/>
          <w:lang w:val="en-US"/>
        </w:rPr>
        <w:tab/>
      </w:r>
      <w:r w:rsidRPr="002F7B95">
        <w:rPr>
          <w:sz w:val="16"/>
          <w:szCs w:val="16"/>
          <w:lang w:val="en-US"/>
        </w:rPr>
        <w:t xml:space="preserve"> G. </w:t>
      </w:r>
      <w:proofErr w:type="spellStart"/>
      <w:r w:rsidRPr="002F7B95">
        <w:rPr>
          <w:sz w:val="16"/>
          <w:szCs w:val="16"/>
          <w:lang w:val="en-US"/>
        </w:rPr>
        <w:t>Tredrea</w:t>
      </w:r>
      <w:proofErr w:type="spellEnd"/>
      <w:r w:rsidRPr="002F7B95">
        <w:rPr>
          <w:sz w:val="16"/>
          <w:szCs w:val="16"/>
          <w:lang w:val="en-US"/>
        </w:rPr>
        <w:t xml:space="preserve">, S. Coetzee, and V. Rautenbach, “CLOUD-BASED INTEGRATION AND STANDARDIZATION OF ADDRESS DATA FOR DISASTER MANAGEMENT – A SOUTH AFRICAN CASE STUDY,” </w:t>
      </w:r>
      <w:r w:rsidRPr="002F7B95">
        <w:rPr>
          <w:i/>
          <w:iCs/>
          <w:sz w:val="16"/>
          <w:szCs w:val="16"/>
          <w:lang w:val="en-US"/>
        </w:rPr>
        <w:t>The International Archives of the Photogrammetry, Remote Sensing and Spatial Information Sciences</w:t>
      </w:r>
      <w:r w:rsidRPr="002F7B95">
        <w:rPr>
          <w:sz w:val="16"/>
          <w:szCs w:val="16"/>
          <w:lang w:val="en-US"/>
        </w:rPr>
        <w:t xml:space="preserve">, vol. XLIV-3/W12020, pp. 145–150, Nov. 2020, </w:t>
      </w:r>
      <w:proofErr w:type="spellStart"/>
      <w:r w:rsidRPr="002F7B95">
        <w:rPr>
          <w:sz w:val="16"/>
          <w:szCs w:val="16"/>
          <w:lang w:val="en-US"/>
        </w:rPr>
        <w:t>doi</w:t>
      </w:r>
      <w:proofErr w:type="spellEnd"/>
      <w:r w:rsidRPr="002F7B95">
        <w:rPr>
          <w:sz w:val="16"/>
          <w:szCs w:val="16"/>
          <w:lang w:val="en-US"/>
        </w:rPr>
        <w:t xml:space="preserve">: </w:t>
      </w:r>
      <w:hyperlink r:id="rId34" w:history="1">
        <w:r w:rsidRPr="002F7B95">
          <w:rPr>
            <w:sz w:val="16"/>
            <w:szCs w:val="16"/>
            <w:lang w:val="en-US"/>
          </w:rPr>
          <w:t>10.5194/isprs-archives-xliv-3-w1-2020-145-2020</w:t>
        </w:r>
      </w:hyperlink>
      <w:r w:rsidRPr="002F7B95">
        <w:rPr>
          <w:sz w:val="16"/>
          <w:szCs w:val="16"/>
          <w:lang w:val="en-US"/>
        </w:rPr>
        <w:t>.</w:t>
      </w:r>
    </w:p>
    <w:p w14:paraId="4C5215D9" w14:textId="10153606" w:rsidR="0039595A" w:rsidRPr="002F7B95" w:rsidRDefault="0039595A" w:rsidP="00FD60AA">
      <w:pPr>
        <w:widowControl w:val="0"/>
        <w:autoSpaceDE w:val="0"/>
        <w:autoSpaceDN w:val="0"/>
        <w:adjustRightInd w:val="0"/>
        <w:spacing w:line="240" w:lineRule="atLeast"/>
        <w:ind w:left="283" w:hanging="425"/>
        <w:rPr>
          <w:sz w:val="16"/>
          <w:szCs w:val="16"/>
          <w:lang w:val="en-US"/>
        </w:rPr>
      </w:pPr>
      <w:r w:rsidRPr="002F7B95">
        <w:rPr>
          <w:sz w:val="16"/>
          <w:szCs w:val="16"/>
          <w:lang w:val="en-US"/>
        </w:rPr>
        <w:t>[20]</w:t>
      </w:r>
      <w:r w:rsidR="00B53103" w:rsidRPr="002F7B95">
        <w:rPr>
          <w:sz w:val="16"/>
          <w:szCs w:val="16"/>
          <w:lang w:val="en-US"/>
        </w:rPr>
        <w:tab/>
      </w:r>
      <w:r w:rsidRPr="002F7B95">
        <w:rPr>
          <w:sz w:val="16"/>
          <w:szCs w:val="16"/>
          <w:lang w:val="en-US"/>
        </w:rPr>
        <w:t xml:space="preserve"> F. M. Dias, M. L. Martens, S. F. de P. </w:t>
      </w:r>
      <w:proofErr w:type="spellStart"/>
      <w:r w:rsidRPr="002F7B95">
        <w:rPr>
          <w:sz w:val="16"/>
          <w:szCs w:val="16"/>
          <w:lang w:val="en-US"/>
        </w:rPr>
        <w:t>Monken</w:t>
      </w:r>
      <w:proofErr w:type="spellEnd"/>
      <w:r w:rsidRPr="002F7B95">
        <w:rPr>
          <w:sz w:val="16"/>
          <w:szCs w:val="16"/>
          <w:lang w:val="en-US"/>
        </w:rPr>
        <w:t xml:space="preserve">, L. F. da Silva, and E. D. R. </w:t>
      </w:r>
      <w:proofErr w:type="spellStart"/>
      <w:r w:rsidRPr="002F7B95">
        <w:rPr>
          <w:sz w:val="16"/>
          <w:szCs w:val="16"/>
          <w:lang w:val="en-US"/>
        </w:rPr>
        <w:t>Santibanez</w:t>
      </w:r>
      <w:proofErr w:type="spellEnd"/>
      <w:r w:rsidRPr="002F7B95">
        <w:rPr>
          <w:sz w:val="16"/>
          <w:szCs w:val="16"/>
          <w:lang w:val="en-US"/>
        </w:rPr>
        <w:t xml:space="preserve">-Gonzalez, “Risk management focusing on the best practices of data security systems for healthcare,” </w:t>
      </w:r>
      <w:r w:rsidRPr="002F7B95">
        <w:rPr>
          <w:i/>
          <w:iCs/>
          <w:sz w:val="16"/>
          <w:szCs w:val="16"/>
          <w:lang w:val="en-US"/>
        </w:rPr>
        <w:t>International Journal of Innovation</w:t>
      </w:r>
      <w:r w:rsidRPr="002F7B95">
        <w:rPr>
          <w:sz w:val="16"/>
          <w:szCs w:val="16"/>
          <w:lang w:val="en-US"/>
        </w:rPr>
        <w:t xml:space="preserve">, vol. 9, no. 1, pp. 45–78, Apr. 2021, </w:t>
      </w:r>
      <w:proofErr w:type="spellStart"/>
      <w:r w:rsidRPr="002F7B95">
        <w:rPr>
          <w:sz w:val="16"/>
          <w:szCs w:val="16"/>
          <w:lang w:val="en-US"/>
        </w:rPr>
        <w:t>doi</w:t>
      </w:r>
      <w:proofErr w:type="spellEnd"/>
      <w:r w:rsidRPr="002F7B95">
        <w:rPr>
          <w:sz w:val="16"/>
          <w:szCs w:val="16"/>
          <w:lang w:val="en-US"/>
        </w:rPr>
        <w:t xml:space="preserve">: </w:t>
      </w:r>
      <w:hyperlink r:id="rId35" w:history="1">
        <w:r w:rsidRPr="002F7B95">
          <w:rPr>
            <w:sz w:val="16"/>
            <w:szCs w:val="16"/>
            <w:lang w:val="en-US"/>
          </w:rPr>
          <w:t>10.5585/iji.v9i1.18246</w:t>
        </w:r>
      </w:hyperlink>
      <w:r w:rsidRPr="002F7B95">
        <w:rPr>
          <w:sz w:val="16"/>
          <w:szCs w:val="16"/>
          <w:lang w:val="en-US"/>
        </w:rPr>
        <w:t>.</w:t>
      </w:r>
    </w:p>
    <w:p w14:paraId="3F1FBA0A" w14:textId="2D144E27" w:rsidR="004F6689" w:rsidRPr="00416848" w:rsidRDefault="0039595A" w:rsidP="00416848">
      <w:pPr>
        <w:widowControl w:val="0"/>
        <w:autoSpaceDE w:val="0"/>
        <w:autoSpaceDN w:val="0"/>
        <w:adjustRightInd w:val="0"/>
        <w:spacing w:line="240" w:lineRule="atLeast"/>
        <w:ind w:left="283" w:hanging="425"/>
        <w:rPr>
          <w:sz w:val="16"/>
          <w:szCs w:val="16"/>
          <w:lang w:val="en-US"/>
        </w:rPr>
      </w:pPr>
      <w:r w:rsidRPr="002F7B95">
        <w:rPr>
          <w:sz w:val="16"/>
          <w:szCs w:val="16"/>
          <w:lang w:val="en-US"/>
        </w:rPr>
        <w:t>[21]</w:t>
      </w:r>
      <w:r w:rsidR="00B53103" w:rsidRPr="002F7B95">
        <w:rPr>
          <w:sz w:val="16"/>
          <w:szCs w:val="16"/>
          <w:lang w:val="en-US"/>
        </w:rPr>
        <w:tab/>
      </w:r>
      <w:r w:rsidRPr="002F7B95">
        <w:rPr>
          <w:sz w:val="16"/>
          <w:szCs w:val="16"/>
          <w:lang w:val="en-US"/>
        </w:rPr>
        <w:t xml:space="preserve"> P. Raftery, M. Hossain, and J. Palmer, “An innovative and integrated model for global outbreak response and research - a case study of the UK Public Health Rapid Support Team (UK-PHRST),” </w:t>
      </w:r>
      <w:r w:rsidRPr="002F7B95">
        <w:rPr>
          <w:i/>
          <w:iCs/>
          <w:sz w:val="16"/>
          <w:szCs w:val="16"/>
          <w:lang w:val="en-US"/>
        </w:rPr>
        <w:t>BMC Public Health</w:t>
      </w:r>
      <w:r w:rsidRPr="002F7B95">
        <w:rPr>
          <w:sz w:val="16"/>
          <w:szCs w:val="16"/>
          <w:lang w:val="en-US"/>
        </w:rPr>
        <w:t xml:space="preserve">, vol. 21, no. 1, Jul. 2021, </w:t>
      </w:r>
      <w:proofErr w:type="spellStart"/>
      <w:r w:rsidRPr="002F7B95">
        <w:rPr>
          <w:sz w:val="16"/>
          <w:szCs w:val="16"/>
          <w:lang w:val="en-US"/>
        </w:rPr>
        <w:t>doi</w:t>
      </w:r>
      <w:proofErr w:type="spellEnd"/>
      <w:r w:rsidRPr="002F7B95">
        <w:rPr>
          <w:sz w:val="16"/>
          <w:szCs w:val="16"/>
          <w:lang w:val="en-US"/>
        </w:rPr>
        <w:t xml:space="preserve">: </w:t>
      </w:r>
      <w:hyperlink r:id="rId36" w:history="1">
        <w:r w:rsidRPr="002F7B95">
          <w:rPr>
            <w:sz w:val="16"/>
            <w:szCs w:val="16"/>
            <w:lang w:val="en-US"/>
          </w:rPr>
          <w:t>10.1186/s12889-021-11433-0</w:t>
        </w:r>
      </w:hyperlink>
      <w:r w:rsidRPr="002F7B95">
        <w:rPr>
          <w:sz w:val="16"/>
          <w:szCs w:val="16"/>
          <w:lang w:val="en-US"/>
        </w:rPr>
        <w:t>.</w:t>
      </w:r>
    </w:p>
    <w:sectPr w:rsidR="004F6689" w:rsidRPr="00416848" w:rsidSect="001B307E">
      <w:footerReference w:type="default" r:id="rId37"/>
      <w:type w:val="continuous"/>
      <w:pgSz w:w="12240" w:h="15840"/>
      <w:pgMar w:top="1440" w:right="1041" w:bottom="1440" w:left="1440" w:header="720" w:footer="720" w:gutter="0"/>
      <w:pgNumType w:start="1"/>
      <w:cols w:num="2" w:space="61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FA039" w14:textId="77777777" w:rsidR="002760EC" w:rsidRDefault="002760EC">
      <w:r>
        <w:separator/>
      </w:r>
    </w:p>
  </w:endnote>
  <w:endnote w:type="continuationSeparator" w:id="0">
    <w:p w14:paraId="534194DA" w14:textId="77777777" w:rsidR="002760EC" w:rsidRDefault="00276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584C9" w14:textId="77777777" w:rsidR="003478D5" w:rsidRDefault="003478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03F2A0" w14:textId="77777777" w:rsidR="002760EC" w:rsidRDefault="002760EC">
      <w:r>
        <w:separator/>
      </w:r>
    </w:p>
  </w:footnote>
  <w:footnote w:type="continuationSeparator" w:id="0">
    <w:p w14:paraId="619A7B21" w14:textId="77777777" w:rsidR="002760EC" w:rsidRDefault="002760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0C3F"/>
    <w:rsid w:val="00055EEC"/>
    <w:rsid w:val="000B2D75"/>
    <w:rsid w:val="00116418"/>
    <w:rsid w:val="001370FF"/>
    <w:rsid w:val="00155B11"/>
    <w:rsid w:val="001B307E"/>
    <w:rsid w:val="001B627F"/>
    <w:rsid w:val="001C596B"/>
    <w:rsid w:val="002145FA"/>
    <w:rsid w:val="0022724C"/>
    <w:rsid w:val="00237FB4"/>
    <w:rsid w:val="002443DD"/>
    <w:rsid w:val="0025652D"/>
    <w:rsid w:val="002760EC"/>
    <w:rsid w:val="0028387A"/>
    <w:rsid w:val="002A21AF"/>
    <w:rsid w:val="002A719E"/>
    <w:rsid w:val="002D02BB"/>
    <w:rsid w:val="002E4375"/>
    <w:rsid w:val="002E638D"/>
    <w:rsid w:val="002F0BC0"/>
    <w:rsid w:val="002F7B95"/>
    <w:rsid w:val="00306784"/>
    <w:rsid w:val="0031052E"/>
    <w:rsid w:val="003478D5"/>
    <w:rsid w:val="0039595A"/>
    <w:rsid w:val="00416848"/>
    <w:rsid w:val="00460AD4"/>
    <w:rsid w:val="004649D1"/>
    <w:rsid w:val="004716B0"/>
    <w:rsid w:val="00471B30"/>
    <w:rsid w:val="00483EA0"/>
    <w:rsid w:val="004A5BE5"/>
    <w:rsid w:val="004B770F"/>
    <w:rsid w:val="004F18FD"/>
    <w:rsid w:val="004F6689"/>
    <w:rsid w:val="00507887"/>
    <w:rsid w:val="00547A26"/>
    <w:rsid w:val="00565B3F"/>
    <w:rsid w:val="00594864"/>
    <w:rsid w:val="005B09BC"/>
    <w:rsid w:val="005B5B33"/>
    <w:rsid w:val="005D394E"/>
    <w:rsid w:val="005D69B2"/>
    <w:rsid w:val="0061096E"/>
    <w:rsid w:val="006C3172"/>
    <w:rsid w:val="006C6493"/>
    <w:rsid w:val="006F3712"/>
    <w:rsid w:val="007056E5"/>
    <w:rsid w:val="00746922"/>
    <w:rsid w:val="00764E0B"/>
    <w:rsid w:val="007B5BE6"/>
    <w:rsid w:val="007E0104"/>
    <w:rsid w:val="008423DB"/>
    <w:rsid w:val="008C49CB"/>
    <w:rsid w:val="008D4D9A"/>
    <w:rsid w:val="008F55B1"/>
    <w:rsid w:val="00926CFB"/>
    <w:rsid w:val="00936A78"/>
    <w:rsid w:val="00964AB0"/>
    <w:rsid w:val="00985A6D"/>
    <w:rsid w:val="00993930"/>
    <w:rsid w:val="009E1ADB"/>
    <w:rsid w:val="00A05D2C"/>
    <w:rsid w:val="00A465B5"/>
    <w:rsid w:val="00A57361"/>
    <w:rsid w:val="00A813C9"/>
    <w:rsid w:val="00AC681A"/>
    <w:rsid w:val="00AC7838"/>
    <w:rsid w:val="00AE0C3F"/>
    <w:rsid w:val="00B21231"/>
    <w:rsid w:val="00B53103"/>
    <w:rsid w:val="00B93013"/>
    <w:rsid w:val="00BA4E8A"/>
    <w:rsid w:val="00BB11DD"/>
    <w:rsid w:val="00BB2B78"/>
    <w:rsid w:val="00C421A7"/>
    <w:rsid w:val="00C46943"/>
    <w:rsid w:val="00C478E8"/>
    <w:rsid w:val="00C61A70"/>
    <w:rsid w:val="00C8310B"/>
    <w:rsid w:val="00C871DB"/>
    <w:rsid w:val="00C93CE2"/>
    <w:rsid w:val="00CE0448"/>
    <w:rsid w:val="00CE1CB8"/>
    <w:rsid w:val="00CE4B5F"/>
    <w:rsid w:val="00D06D89"/>
    <w:rsid w:val="00D5168C"/>
    <w:rsid w:val="00D97553"/>
    <w:rsid w:val="00DB5FAF"/>
    <w:rsid w:val="00DB6954"/>
    <w:rsid w:val="00E07E32"/>
    <w:rsid w:val="00E12E89"/>
    <w:rsid w:val="00E15FCC"/>
    <w:rsid w:val="00E219EE"/>
    <w:rsid w:val="00E27CA7"/>
    <w:rsid w:val="00EA1C9E"/>
    <w:rsid w:val="00EB7F2D"/>
    <w:rsid w:val="00EC6C50"/>
    <w:rsid w:val="00ED044F"/>
    <w:rsid w:val="00F24038"/>
    <w:rsid w:val="00F45486"/>
    <w:rsid w:val="00F56677"/>
    <w:rsid w:val="00F64707"/>
    <w:rsid w:val="00F67066"/>
    <w:rsid w:val="00FB48CD"/>
    <w:rsid w:val="00FC3546"/>
    <w:rsid w:val="00FD1E33"/>
    <w:rsid w:val="00FD60AA"/>
    <w:rsid w:val="00FE1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901154D"/>
  <w15:docId w15:val="{900892D4-2D48-44DE-819F-E480EF95D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E0C3F"/>
    <w:pPr>
      <w:spacing w:after="0" w:line="240" w:lineRule="auto"/>
      <w:jc w:val="both"/>
    </w:pPr>
    <w:rPr>
      <w:rFonts w:ascii="Times New Roman" w:eastAsia="Times New Roman" w:hAnsi="Times New Roman" w:cs="Times New Roman"/>
      <w:sz w:val="24"/>
      <w:szCs w:val="24"/>
      <w:lang w:val="en-IN"/>
    </w:rPr>
  </w:style>
  <w:style w:type="paragraph" w:styleId="Heading1">
    <w:name w:val="heading 1"/>
    <w:basedOn w:val="Normal"/>
    <w:next w:val="Normal"/>
    <w:link w:val="Heading1Char"/>
    <w:rsid w:val="00AE0C3F"/>
    <w:pPr>
      <w:keepNext/>
      <w:keepLines/>
      <w:spacing w:before="200" w:after="200"/>
      <w:outlineLvl w:val="0"/>
    </w:pPr>
    <w:rPr>
      <w:b/>
      <w:color w:val="333333"/>
      <w:sz w:val="28"/>
      <w:szCs w:val="28"/>
    </w:rPr>
  </w:style>
  <w:style w:type="paragraph" w:styleId="Heading2">
    <w:name w:val="heading 2"/>
    <w:basedOn w:val="Normal"/>
    <w:next w:val="Normal"/>
    <w:link w:val="Heading2Char"/>
    <w:rsid w:val="00AE0C3F"/>
    <w:pPr>
      <w:keepNext/>
      <w:keepLines/>
      <w:spacing w:before="200" w:after="200"/>
      <w:outlineLvl w:val="1"/>
    </w:pPr>
    <w:rPr>
      <w:b/>
      <w:color w:val="33333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0C3F"/>
    <w:rPr>
      <w:rFonts w:ascii="Times New Roman" w:eastAsia="Times New Roman" w:hAnsi="Times New Roman" w:cs="Times New Roman"/>
      <w:b/>
      <w:color w:val="333333"/>
      <w:sz w:val="28"/>
      <w:szCs w:val="28"/>
      <w:lang w:val="en-IN"/>
    </w:rPr>
  </w:style>
  <w:style w:type="character" w:customStyle="1" w:styleId="Heading2Char">
    <w:name w:val="Heading 2 Char"/>
    <w:basedOn w:val="DefaultParagraphFont"/>
    <w:link w:val="Heading2"/>
    <w:rsid w:val="00AE0C3F"/>
    <w:rPr>
      <w:rFonts w:ascii="Times New Roman" w:eastAsia="Times New Roman" w:hAnsi="Times New Roman" w:cs="Times New Roman"/>
      <w:b/>
      <w:color w:val="333333"/>
      <w:sz w:val="26"/>
      <w:szCs w:val="26"/>
      <w:lang w:val="en-IN"/>
    </w:rPr>
  </w:style>
  <w:style w:type="paragraph" w:styleId="Header">
    <w:name w:val="header"/>
    <w:basedOn w:val="Normal"/>
    <w:link w:val="HeaderChar"/>
    <w:uiPriority w:val="99"/>
    <w:unhideWhenUsed/>
    <w:rsid w:val="00AE0C3F"/>
    <w:pPr>
      <w:tabs>
        <w:tab w:val="center" w:pos="4680"/>
        <w:tab w:val="right" w:pos="9360"/>
      </w:tabs>
    </w:pPr>
  </w:style>
  <w:style w:type="character" w:customStyle="1" w:styleId="HeaderChar">
    <w:name w:val="Header Char"/>
    <w:basedOn w:val="DefaultParagraphFont"/>
    <w:link w:val="Header"/>
    <w:uiPriority w:val="99"/>
    <w:rsid w:val="00AE0C3F"/>
    <w:rPr>
      <w:rFonts w:ascii="Times New Roman" w:eastAsia="Times New Roman" w:hAnsi="Times New Roman" w:cs="Times New Roman"/>
      <w:sz w:val="24"/>
      <w:szCs w:val="24"/>
      <w:lang w:val="en-IN"/>
    </w:rPr>
  </w:style>
  <w:style w:type="paragraph" w:styleId="Footer">
    <w:name w:val="footer"/>
    <w:basedOn w:val="Normal"/>
    <w:link w:val="FooterChar"/>
    <w:uiPriority w:val="99"/>
    <w:unhideWhenUsed/>
    <w:rsid w:val="00AE0C3F"/>
    <w:pPr>
      <w:tabs>
        <w:tab w:val="center" w:pos="4680"/>
        <w:tab w:val="right" w:pos="9360"/>
      </w:tabs>
    </w:pPr>
  </w:style>
  <w:style w:type="character" w:customStyle="1" w:styleId="FooterChar">
    <w:name w:val="Footer Char"/>
    <w:basedOn w:val="DefaultParagraphFont"/>
    <w:link w:val="Footer"/>
    <w:uiPriority w:val="99"/>
    <w:rsid w:val="00AE0C3F"/>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AE0C3F"/>
    <w:rPr>
      <w:color w:val="0000FF" w:themeColor="hyperlink"/>
      <w:u w:val="single"/>
    </w:rPr>
  </w:style>
  <w:style w:type="paragraph" w:styleId="NormalWeb">
    <w:name w:val="Normal (Web)"/>
    <w:basedOn w:val="Normal"/>
    <w:uiPriority w:val="99"/>
    <w:semiHidden/>
    <w:unhideWhenUsed/>
    <w:rsid w:val="00AE0C3F"/>
    <w:pPr>
      <w:spacing w:before="100" w:beforeAutospacing="1" w:after="100" w:afterAutospacing="1"/>
      <w:jc w:val="left"/>
    </w:pPr>
    <w:rPr>
      <w:lang w:eastAsia="en-IN"/>
    </w:rPr>
  </w:style>
  <w:style w:type="paragraph" w:styleId="BalloonText">
    <w:name w:val="Balloon Text"/>
    <w:basedOn w:val="Normal"/>
    <w:link w:val="BalloonTextChar"/>
    <w:uiPriority w:val="99"/>
    <w:semiHidden/>
    <w:unhideWhenUsed/>
    <w:rsid w:val="00AE0C3F"/>
    <w:rPr>
      <w:rFonts w:ascii="Tahoma" w:hAnsi="Tahoma" w:cs="Tahoma"/>
      <w:sz w:val="16"/>
      <w:szCs w:val="16"/>
    </w:rPr>
  </w:style>
  <w:style w:type="character" w:customStyle="1" w:styleId="BalloonTextChar">
    <w:name w:val="Balloon Text Char"/>
    <w:basedOn w:val="DefaultParagraphFont"/>
    <w:link w:val="BalloonText"/>
    <w:uiPriority w:val="99"/>
    <w:semiHidden/>
    <w:rsid w:val="00AE0C3F"/>
    <w:rPr>
      <w:rFonts w:ascii="Tahoma" w:eastAsia="Times New Roman" w:hAnsi="Tahoma" w:cs="Tahoma"/>
      <w:sz w:val="16"/>
      <w:szCs w:val="16"/>
      <w:lang w:val="en-IN"/>
    </w:rPr>
  </w:style>
  <w:style w:type="character" w:styleId="UnresolvedMention">
    <w:name w:val="Unresolved Mention"/>
    <w:basedOn w:val="DefaultParagraphFont"/>
    <w:uiPriority w:val="99"/>
    <w:semiHidden/>
    <w:unhideWhenUsed/>
    <w:rsid w:val="001370FF"/>
    <w:rPr>
      <w:color w:val="605E5C"/>
      <w:shd w:val="clear" w:color="auto" w:fill="E1DFDD"/>
    </w:rPr>
  </w:style>
  <w:style w:type="paragraph" w:styleId="ListParagraph">
    <w:name w:val="List Paragraph"/>
    <w:basedOn w:val="Normal"/>
    <w:uiPriority w:val="34"/>
    <w:qFormat/>
    <w:rsid w:val="002145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yperlink" Target="10.3389/fmars.2021.703682" TargetMode="External"/><Relationship Id="rId26" Type="http://schemas.openxmlformats.org/officeDocument/2006/relationships/hyperlink" Target="10.3390/ijerph18136818"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10.3390/app10155371" TargetMode="External"/><Relationship Id="rId34" Type="http://schemas.openxmlformats.org/officeDocument/2006/relationships/hyperlink" Target="10.5194/isprs-archives-xliv-3-w1-2020-145-2020"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10.3390/app10196964" TargetMode="External"/><Relationship Id="rId25" Type="http://schemas.openxmlformats.org/officeDocument/2006/relationships/hyperlink" Target="10.3390/su13116114" TargetMode="External"/><Relationship Id="rId33" Type="http://schemas.openxmlformats.org/officeDocument/2006/relationships/hyperlink" Target="10.1140/epjds/s13688-021-00264-z"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10.3390/su12239930" TargetMode="External"/><Relationship Id="rId20" Type="http://schemas.openxmlformats.org/officeDocument/2006/relationships/hyperlink" Target="10.3390/app11093887" TargetMode="External"/><Relationship Id="rId29" Type="http://schemas.openxmlformats.org/officeDocument/2006/relationships/hyperlink" Target="10.5194/isprs-annals-v-4-2020-7-20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10.3390/en13195229" TargetMode="External"/><Relationship Id="rId32" Type="http://schemas.openxmlformats.org/officeDocument/2006/relationships/hyperlink" Target="10.3390/app10217514"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10.3390/drones5020026" TargetMode="External"/><Relationship Id="rId28" Type="http://schemas.openxmlformats.org/officeDocument/2006/relationships/hyperlink" Target="10.1186/s12992-019-0496-4" TargetMode="External"/><Relationship Id="rId36" Type="http://schemas.openxmlformats.org/officeDocument/2006/relationships/hyperlink" Target="10.1186/s12889-021-11433-0" TargetMode="External"/><Relationship Id="rId10" Type="http://schemas.openxmlformats.org/officeDocument/2006/relationships/diagramQuickStyle" Target="diagrams/quickStyle1.xml"/><Relationship Id="rId19" Type="http://schemas.openxmlformats.org/officeDocument/2006/relationships/hyperlink" Target="10.3390/su12198254" TargetMode="External"/><Relationship Id="rId31" Type="http://schemas.openxmlformats.org/officeDocument/2006/relationships/hyperlink" Target="10.1080/23779497.2020.1865182"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10.24908/ss.v19i1.13986" TargetMode="External"/><Relationship Id="rId27" Type="http://schemas.openxmlformats.org/officeDocument/2006/relationships/hyperlink" Target="10.3390/en14144310" TargetMode="External"/><Relationship Id="rId30" Type="http://schemas.openxmlformats.org/officeDocument/2006/relationships/hyperlink" Target="10.5194/isprs-archives-xliii-b4-2020-7-2020" TargetMode="External"/><Relationship Id="rId35" Type="http://schemas.openxmlformats.org/officeDocument/2006/relationships/hyperlink" Target="10.5585/iji.v9i1.1824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0A2B49-0280-4CD1-87D8-F85F153933D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95431EF8-E7B6-47E6-872E-07554BBFFA9A}">
      <dgm:prSet phldrT="[Text]"/>
      <dgm:spPr/>
      <dgm:t>
        <a:bodyPr/>
        <a:lstStyle/>
        <a:p>
          <a:r>
            <a:rPr lang="en-GB"/>
            <a:t>real-time monitoring</a:t>
          </a:r>
          <a:endParaRPr lang="en-US"/>
        </a:p>
      </dgm:t>
    </dgm:pt>
    <dgm:pt modelId="{4A493665-1A8C-4E42-8145-0B1BDDE7C978}" type="parTrans" cxnId="{2881BF6F-A6AE-4428-914E-5C9B990DECF9}">
      <dgm:prSet/>
      <dgm:spPr/>
      <dgm:t>
        <a:bodyPr/>
        <a:lstStyle/>
        <a:p>
          <a:endParaRPr lang="en-US"/>
        </a:p>
      </dgm:t>
    </dgm:pt>
    <dgm:pt modelId="{FEBBA8F7-72B8-458F-B1FE-D208DB50439E}" type="sibTrans" cxnId="{2881BF6F-A6AE-4428-914E-5C9B990DECF9}">
      <dgm:prSet/>
      <dgm:spPr/>
      <dgm:t>
        <a:bodyPr/>
        <a:lstStyle/>
        <a:p>
          <a:endParaRPr lang="en-US"/>
        </a:p>
      </dgm:t>
    </dgm:pt>
    <dgm:pt modelId="{6F24676D-96CD-49A0-B453-E9E9AEF69840}">
      <dgm:prSet phldrT="[Text]"/>
      <dgm:spPr/>
      <dgm:t>
        <a:bodyPr/>
        <a:lstStyle/>
        <a:p>
          <a:r>
            <a:rPr lang="en-GB"/>
            <a:t>capacity planning and management</a:t>
          </a:r>
          <a:endParaRPr lang="en-US"/>
        </a:p>
      </dgm:t>
    </dgm:pt>
    <dgm:pt modelId="{3C44FD7C-A0EB-45C4-8A03-A7B54FD6809E}" type="parTrans" cxnId="{25C378FA-F8E5-4D08-AB05-AD013E70355D}">
      <dgm:prSet/>
      <dgm:spPr/>
      <dgm:t>
        <a:bodyPr/>
        <a:lstStyle/>
        <a:p>
          <a:endParaRPr lang="en-US"/>
        </a:p>
      </dgm:t>
    </dgm:pt>
    <dgm:pt modelId="{A34B23D7-8F56-4AFD-AE13-799068CB7C40}" type="sibTrans" cxnId="{25C378FA-F8E5-4D08-AB05-AD013E70355D}">
      <dgm:prSet/>
      <dgm:spPr/>
      <dgm:t>
        <a:bodyPr/>
        <a:lstStyle/>
        <a:p>
          <a:endParaRPr lang="en-US"/>
        </a:p>
      </dgm:t>
    </dgm:pt>
    <dgm:pt modelId="{9AB2D1F1-BEEE-403D-BFBA-68C9A48E1911}">
      <dgm:prSet phldrT="[Text]"/>
      <dgm:spPr/>
      <dgm:t>
        <a:bodyPr/>
        <a:lstStyle/>
        <a:p>
          <a:r>
            <a:rPr lang="en-GB"/>
            <a:t>uptime and performance maintenance</a:t>
          </a:r>
          <a:endParaRPr lang="en-US"/>
        </a:p>
      </dgm:t>
    </dgm:pt>
    <dgm:pt modelId="{01723D85-E9B7-407A-8D14-A74835A2A269}" type="parTrans" cxnId="{771F5697-2CC9-44B3-8C99-63AD2E7DCF77}">
      <dgm:prSet/>
      <dgm:spPr/>
      <dgm:t>
        <a:bodyPr/>
        <a:lstStyle/>
        <a:p>
          <a:endParaRPr lang="en-US"/>
        </a:p>
      </dgm:t>
    </dgm:pt>
    <dgm:pt modelId="{42D02A67-EABD-458E-B216-9A2EB0232E2E}" type="sibTrans" cxnId="{771F5697-2CC9-44B3-8C99-63AD2E7DCF77}">
      <dgm:prSet/>
      <dgm:spPr/>
      <dgm:t>
        <a:bodyPr/>
        <a:lstStyle/>
        <a:p>
          <a:endParaRPr lang="en-US"/>
        </a:p>
      </dgm:t>
    </dgm:pt>
    <dgm:pt modelId="{EA3869E9-5B04-4D72-9473-9406B2C83902}">
      <dgm:prSet phldrT="[Text]"/>
      <dgm:spPr/>
      <dgm:t>
        <a:bodyPr/>
        <a:lstStyle/>
        <a:p>
          <a:r>
            <a:rPr lang="en-GB"/>
            <a:t>efficiency of energy </a:t>
          </a:r>
          <a:endParaRPr lang="en-US"/>
        </a:p>
      </dgm:t>
    </dgm:pt>
    <dgm:pt modelId="{0E19F0FD-9F36-486E-BE4E-DB454D8D0720}" type="parTrans" cxnId="{675F4727-2A00-4C23-8D93-2776FBD6844D}">
      <dgm:prSet/>
      <dgm:spPr/>
    </dgm:pt>
    <dgm:pt modelId="{D091F56B-8C53-4E48-95F1-280CDA77F34D}" type="sibTrans" cxnId="{675F4727-2A00-4C23-8D93-2776FBD6844D}">
      <dgm:prSet/>
      <dgm:spPr/>
    </dgm:pt>
    <dgm:pt modelId="{4690871B-0258-4243-8FDC-B43EB4D47825}">
      <dgm:prSet phldrT="[Text]"/>
      <dgm:spPr/>
      <dgm:t>
        <a:bodyPr/>
        <a:lstStyle/>
        <a:p>
          <a:r>
            <a:rPr lang="en-GB"/>
            <a:t>cost-cutting</a:t>
          </a:r>
          <a:endParaRPr lang="en-US"/>
        </a:p>
      </dgm:t>
    </dgm:pt>
    <dgm:pt modelId="{63FC7253-249C-4C3B-A9FD-A58102B1BCCE}" type="parTrans" cxnId="{E0D30A53-D9D1-4575-BAE4-9493C7D6EDF7}">
      <dgm:prSet/>
      <dgm:spPr/>
    </dgm:pt>
    <dgm:pt modelId="{FE859ED0-9EAC-4876-A7C8-860846E8E096}" type="sibTrans" cxnId="{E0D30A53-D9D1-4575-BAE4-9493C7D6EDF7}">
      <dgm:prSet/>
      <dgm:spPr/>
    </dgm:pt>
    <dgm:pt modelId="{A4B487CF-274F-4380-AA92-412EC8E0B969}" type="pres">
      <dgm:prSet presAssocID="{7E0A2B49-0280-4CD1-87D8-F85F153933DE}" presName="linear" presStyleCnt="0">
        <dgm:presLayoutVars>
          <dgm:dir/>
          <dgm:animLvl val="lvl"/>
          <dgm:resizeHandles val="exact"/>
        </dgm:presLayoutVars>
      </dgm:prSet>
      <dgm:spPr/>
    </dgm:pt>
    <dgm:pt modelId="{A7FBD1C0-42D9-40A6-BBEF-E6B68B15D7DD}" type="pres">
      <dgm:prSet presAssocID="{95431EF8-E7B6-47E6-872E-07554BBFFA9A}" presName="parentLin" presStyleCnt="0"/>
      <dgm:spPr/>
    </dgm:pt>
    <dgm:pt modelId="{E55E57BE-4AD9-4DE2-BFA4-947DC11568E3}" type="pres">
      <dgm:prSet presAssocID="{95431EF8-E7B6-47E6-872E-07554BBFFA9A}" presName="parentLeftMargin" presStyleLbl="node1" presStyleIdx="0" presStyleCnt="5"/>
      <dgm:spPr/>
    </dgm:pt>
    <dgm:pt modelId="{C9293179-D2DF-42FE-AC1B-BA400D2C3C88}" type="pres">
      <dgm:prSet presAssocID="{95431EF8-E7B6-47E6-872E-07554BBFFA9A}" presName="parentText" presStyleLbl="node1" presStyleIdx="0" presStyleCnt="5">
        <dgm:presLayoutVars>
          <dgm:chMax val="0"/>
          <dgm:bulletEnabled val="1"/>
        </dgm:presLayoutVars>
      </dgm:prSet>
      <dgm:spPr/>
    </dgm:pt>
    <dgm:pt modelId="{8FEF15F6-A3EF-4CBC-AAB7-5F276A2F4AAA}" type="pres">
      <dgm:prSet presAssocID="{95431EF8-E7B6-47E6-872E-07554BBFFA9A}" presName="negativeSpace" presStyleCnt="0"/>
      <dgm:spPr/>
    </dgm:pt>
    <dgm:pt modelId="{BAA3FF0D-8E51-4BEF-B071-DF8C11BF5061}" type="pres">
      <dgm:prSet presAssocID="{95431EF8-E7B6-47E6-872E-07554BBFFA9A}" presName="childText" presStyleLbl="conFgAcc1" presStyleIdx="0" presStyleCnt="5">
        <dgm:presLayoutVars>
          <dgm:bulletEnabled val="1"/>
        </dgm:presLayoutVars>
      </dgm:prSet>
      <dgm:spPr/>
    </dgm:pt>
    <dgm:pt modelId="{21BA9777-9EC5-4250-85E8-64DDBDD7BD8D}" type="pres">
      <dgm:prSet presAssocID="{FEBBA8F7-72B8-458F-B1FE-D208DB50439E}" presName="spaceBetweenRectangles" presStyleCnt="0"/>
      <dgm:spPr/>
    </dgm:pt>
    <dgm:pt modelId="{98B68342-DEE8-44A6-87A4-74836E767ECE}" type="pres">
      <dgm:prSet presAssocID="{6F24676D-96CD-49A0-B453-E9E9AEF69840}" presName="parentLin" presStyleCnt="0"/>
      <dgm:spPr/>
    </dgm:pt>
    <dgm:pt modelId="{BA32932B-AE6B-4CDE-81C6-9719EFD2F0F0}" type="pres">
      <dgm:prSet presAssocID="{6F24676D-96CD-49A0-B453-E9E9AEF69840}" presName="parentLeftMargin" presStyleLbl="node1" presStyleIdx="0" presStyleCnt="5"/>
      <dgm:spPr/>
    </dgm:pt>
    <dgm:pt modelId="{D040FD86-7CFF-44BE-8728-19BF7726E48B}" type="pres">
      <dgm:prSet presAssocID="{6F24676D-96CD-49A0-B453-E9E9AEF69840}" presName="parentText" presStyleLbl="node1" presStyleIdx="1" presStyleCnt="5">
        <dgm:presLayoutVars>
          <dgm:chMax val="0"/>
          <dgm:bulletEnabled val="1"/>
        </dgm:presLayoutVars>
      </dgm:prSet>
      <dgm:spPr/>
    </dgm:pt>
    <dgm:pt modelId="{57ECE20C-D6EE-4900-99EB-6B6CEB95B905}" type="pres">
      <dgm:prSet presAssocID="{6F24676D-96CD-49A0-B453-E9E9AEF69840}" presName="negativeSpace" presStyleCnt="0"/>
      <dgm:spPr/>
    </dgm:pt>
    <dgm:pt modelId="{F6AF3E3E-B52B-44A8-8199-956DDF5919A3}" type="pres">
      <dgm:prSet presAssocID="{6F24676D-96CD-49A0-B453-E9E9AEF69840}" presName="childText" presStyleLbl="conFgAcc1" presStyleIdx="1" presStyleCnt="5">
        <dgm:presLayoutVars>
          <dgm:bulletEnabled val="1"/>
        </dgm:presLayoutVars>
      </dgm:prSet>
      <dgm:spPr/>
    </dgm:pt>
    <dgm:pt modelId="{F9CD7C46-C14D-4517-8B10-D0E3A9611A48}" type="pres">
      <dgm:prSet presAssocID="{A34B23D7-8F56-4AFD-AE13-799068CB7C40}" presName="spaceBetweenRectangles" presStyleCnt="0"/>
      <dgm:spPr/>
    </dgm:pt>
    <dgm:pt modelId="{9910BDE9-E0CB-4911-9C74-FBA1EDE12D1D}" type="pres">
      <dgm:prSet presAssocID="{9AB2D1F1-BEEE-403D-BFBA-68C9A48E1911}" presName="parentLin" presStyleCnt="0"/>
      <dgm:spPr/>
    </dgm:pt>
    <dgm:pt modelId="{79450199-F9B3-4684-8A28-FE00909B516F}" type="pres">
      <dgm:prSet presAssocID="{9AB2D1F1-BEEE-403D-BFBA-68C9A48E1911}" presName="parentLeftMargin" presStyleLbl="node1" presStyleIdx="1" presStyleCnt="5"/>
      <dgm:spPr/>
    </dgm:pt>
    <dgm:pt modelId="{82910057-C57D-4110-AE27-B1296703CB6B}" type="pres">
      <dgm:prSet presAssocID="{9AB2D1F1-BEEE-403D-BFBA-68C9A48E1911}" presName="parentText" presStyleLbl="node1" presStyleIdx="2" presStyleCnt="5">
        <dgm:presLayoutVars>
          <dgm:chMax val="0"/>
          <dgm:bulletEnabled val="1"/>
        </dgm:presLayoutVars>
      </dgm:prSet>
      <dgm:spPr/>
    </dgm:pt>
    <dgm:pt modelId="{25437F17-5D6A-4463-BE71-11CC7DA331F1}" type="pres">
      <dgm:prSet presAssocID="{9AB2D1F1-BEEE-403D-BFBA-68C9A48E1911}" presName="negativeSpace" presStyleCnt="0"/>
      <dgm:spPr/>
    </dgm:pt>
    <dgm:pt modelId="{4BBE604B-7A0C-4A58-8AD8-2D36B0C5A91A}" type="pres">
      <dgm:prSet presAssocID="{9AB2D1F1-BEEE-403D-BFBA-68C9A48E1911}" presName="childText" presStyleLbl="conFgAcc1" presStyleIdx="2" presStyleCnt="5">
        <dgm:presLayoutVars>
          <dgm:bulletEnabled val="1"/>
        </dgm:presLayoutVars>
      </dgm:prSet>
      <dgm:spPr/>
    </dgm:pt>
    <dgm:pt modelId="{CB4736A9-BD86-4978-BC2C-0052E92EC70A}" type="pres">
      <dgm:prSet presAssocID="{42D02A67-EABD-458E-B216-9A2EB0232E2E}" presName="spaceBetweenRectangles" presStyleCnt="0"/>
      <dgm:spPr/>
    </dgm:pt>
    <dgm:pt modelId="{4ABF6E1B-6125-4E52-94B3-D76A8E72D209}" type="pres">
      <dgm:prSet presAssocID="{EA3869E9-5B04-4D72-9473-9406B2C83902}" presName="parentLin" presStyleCnt="0"/>
      <dgm:spPr/>
    </dgm:pt>
    <dgm:pt modelId="{1EA83D41-0E42-4C49-988D-256C2975749B}" type="pres">
      <dgm:prSet presAssocID="{EA3869E9-5B04-4D72-9473-9406B2C83902}" presName="parentLeftMargin" presStyleLbl="node1" presStyleIdx="2" presStyleCnt="5"/>
      <dgm:spPr/>
    </dgm:pt>
    <dgm:pt modelId="{627043B3-7D63-4119-A99B-D4CFA000566F}" type="pres">
      <dgm:prSet presAssocID="{EA3869E9-5B04-4D72-9473-9406B2C83902}" presName="parentText" presStyleLbl="node1" presStyleIdx="3" presStyleCnt="5">
        <dgm:presLayoutVars>
          <dgm:chMax val="0"/>
          <dgm:bulletEnabled val="1"/>
        </dgm:presLayoutVars>
      </dgm:prSet>
      <dgm:spPr/>
    </dgm:pt>
    <dgm:pt modelId="{1EAC86AA-764F-47C5-BD1E-C254EE853568}" type="pres">
      <dgm:prSet presAssocID="{EA3869E9-5B04-4D72-9473-9406B2C83902}" presName="negativeSpace" presStyleCnt="0"/>
      <dgm:spPr/>
    </dgm:pt>
    <dgm:pt modelId="{3B388CE1-3BEB-44D5-A54F-648DD296E4E5}" type="pres">
      <dgm:prSet presAssocID="{EA3869E9-5B04-4D72-9473-9406B2C83902}" presName="childText" presStyleLbl="conFgAcc1" presStyleIdx="3" presStyleCnt="5">
        <dgm:presLayoutVars>
          <dgm:bulletEnabled val="1"/>
        </dgm:presLayoutVars>
      </dgm:prSet>
      <dgm:spPr/>
    </dgm:pt>
    <dgm:pt modelId="{84B2ED11-9303-40A1-A3B2-E491EE24A4B7}" type="pres">
      <dgm:prSet presAssocID="{D091F56B-8C53-4E48-95F1-280CDA77F34D}" presName="spaceBetweenRectangles" presStyleCnt="0"/>
      <dgm:spPr/>
    </dgm:pt>
    <dgm:pt modelId="{BAF2102F-999B-45EF-8BB6-6C910E1D00C4}" type="pres">
      <dgm:prSet presAssocID="{4690871B-0258-4243-8FDC-B43EB4D47825}" presName="parentLin" presStyleCnt="0"/>
      <dgm:spPr/>
    </dgm:pt>
    <dgm:pt modelId="{35C108D4-FD6F-419E-87CA-7D9FE09F6C74}" type="pres">
      <dgm:prSet presAssocID="{4690871B-0258-4243-8FDC-B43EB4D47825}" presName="parentLeftMargin" presStyleLbl="node1" presStyleIdx="3" presStyleCnt="5"/>
      <dgm:spPr/>
    </dgm:pt>
    <dgm:pt modelId="{95FD3B68-F5C4-4EC0-846A-593D9C5F45A7}" type="pres">
      <dgm:prSet presAssocID="{4690871B-0258-4243-8FDC-B43EB4D47825}" presName="parentText" presStyleLbl="node1" presStyleIdx="4" presStyleCnt="5">
        <dgm:presLayoutVars>
          <dgm:chMax val="0"/>
          <dgm:bulletEnabled val="1"/>
        </dgm:presLayoutVars>
      </dgm:prSet>
      <dgm:spPr/>
    </dgm:pt>
    <dgm:pt modelId="{5E93DAA0-225A-44C8-BDBE-DABFF2BD0CEE}" type="pres">
      <dgm:prSet presAssocID="{4690871B-0258-4243-8FDC-B43EB4D47825}" presName="negativeSpace" presStyleCnt="0"/>
      <dgm:spPr/>
    </dgm:pt>
    <dgm:pt modelId="{ABBFC9B8-D5E3-437C-B12A-A50E8ADED5CF}" type="pres">
      <dgm:prSet presAssocID="{4690871B-0258-4243-8FDC-B43EB4D47825}" presName="childText" presStyleLbl="conFgAcc1" presStyleIdx="4" presStyleCnt="5">
        <dgm:presLayoutVars>
          <dgm:bulletEnabled val="1"/>
        </dgm:presLayoutVars>
      </dgm:prSet>
      <dgm:spPr/>
    </dgm:pt>
  </dgm:ptLst>
  <dgm:cxnLst>
    <dgm:cxn modelId="{675F4727-2A00-4C23-8D93-2776FBD6844D}" srcId="{7E0A2B49-0280-4CD1-87D8-F85F153933DE}" destId="{EA3869E9-5B04-4D72-9473-9406B2C83902}" srcOrd="3" destOrd="0" parTransId="{0E19F0FD-9F36-486E-BE4E-DB454D8D0720}" sibTransId="{D091F56B-8C53-4E48-95F1-280CDA77F34D}"/>
    <dgm:cxn modelId="{8223C869-BFF1-4275-BC7D-DFF113FDF6AE}" type="presOf" srcId="{95431EF8-E7B6-47E6-872E-07554BBFFA9A}" destId="{E55E57BE-4AD9-4DE2-BFA4-947DC11568E3}" srcOrd="0" destOrd="0" presId="urn:microsoft.com/office/officeart/2005/8/layout/list1"/>
    <dgm:cxn modelId="{2881BF6F-A6AE-4428-914E-5C9B990DECF9}" srcId="{7E0A2B49-0280-4CD1-87D8-F85F153933DE}" destId="{95431EF8-E7B6-47E6-872E-07554BBFFA9A}" srcOrd="0" destOrd="0" parTransId="{4A493665-1A8C-4E42-8145-0B1BDDE7C978}" sibTransId="{FEBBA8F7-72B8-458F-B1FE-D208DB50439E}"/>
    <dgm:cxn modelId="{E0D30A53-D9D1-4575-BAE4-9493C7D6EDF7}" srcId="{7E0A2B49-0280-4CD1-87D8-F85F153933DE}" destId="{4690871B-0258-4243-8FDC-B43EB4D47825}" srcOrd="4" destOrd="0" parTransId="{63FC7253-249C-4C3B-A9FD-A58102B1BCCE}" sibTransId="{FE859ED0-9EAC-4876-A7C8-860846E8E096}"/>
    <dgm:cxn modelId="{7CD3027B-68EB-4188-A684-A16C9CE11CA6}" type="presOf" srcId="{9AB2D1F1-BEEE-403D-BFBA-68C9A48E1911}" destId="{82910057-C57D-4110-AE27-B1296703CB6B}" srcOrd="1" destOrd="0" presId="urn:microsoft.com/office/officeart/2005/8/layout/list1"/>
    <dgm:cxn modelId="{3BDFB885-2F2E-4CC2-BE6F-D3BCD9BE019C}" type="presOf" srcId="{7E0A2B49-0280-4CD1-87D8-F85F153933DE}" destId="{A4B487CF-274F-4380-AA92-412EC8E0B969}" srcOrd="0" destOrd="0" presId="urn:microsoft.com/office/officeart/2005/8/layout/list1"/>
    <dgm:cxn modelId="{EF973087-BBE0-47A1-A561-407F756F5FF9}" type="presOf" srcId="{6F24676D-96CD-49A0-B453-E9E9AEF69840}" destId="{D040FD86-7CFF-44BE-8728-19BF7726E48B}" srcOrd="1" destOrd="0" presId="urn:microsoft.com/office/officeart/2005/8/layout/list1"/>
    <dgm:cxn modelId="{AF7DCA8E-9E8D-4B6E-BD83-5C231A5D6B39}" type="presOf" srcId="{9AB2D1F1-BEEE-403D-BFBA-68C9A48E1911}" destId="{79450199-F9B3-4684-8A28-FE00909B516F}" srcOrd="0" destOrd="0" presId="urn:microsoft.com/office/officeart/2005/8/layout/list1"/>
    <dgm:cxn modelId="{771F5697-2CC9-44B3-8C99-63AD2E7DCF77}" srcId="{7E0A2B49-0280-4CD1-87D8-F85F153933DE}" destId="{9AB2D1F1-BEEE-403D-BFBA-68C9A48E1911}" srcOrd="2" destOrd="0" parTransId="{01723D85-E9B7-407A-8D14-A74835A2A269}" sibTransId="{42D02A67-EABD-458E-B216-9A2EB0232E2E}"/>
    <dgm:cxn modelId="{AE36259F-6EE4-43EC-ACF9-F3A2806C9264}" type="presOf" srcId="{95431EF8-E7B6-47E6-872E-07554BBFFA9A}" destId="{C9293179-D2DF-42FE-AC1B-BA400D2C3C88}" srcOrd="1" destOrd="0" presId="urn:microsoft.com/office/officeart/2005/8/layout/list1"/>
    <dgm:cxn modelId="{037D89D2-55B2-4646-A602-4AF4BBB689EE}" type="presOf" srcId="{6F24676D-96CD-49A0-B453-E9E9AEF69840}" destId="{BA32932B-AE6B-4CDE-81C6-9719EFD2F0F0}" srcOrd="0" destOrd="0" presId="urn:microsoft.com/office/officeart/2005/8/layout/list1"/>
    <dgm:cxn modelId="{E8BE95E3-8D39-4944-B7E7-0F1E2089192D}" type="presOf" srcId="{4690871B-0258-4243-8FDC-B43EB4D47825}" destId="{95FD3B68-F5C4-4EC0-846A-593D9C5F45A7}" srcOrd="1" destOrd="0" presId="urn:microsoft.com/office/officeart/2005/8/layout/list1"/>
    <dgm:cxn modelId="{07CF85E4-7AD4-4240-9D1E-6DED9C01FC54}" type="presOf" srcId="{EA3869E9-5B04-4D72-9473-9406B2C83902}" destId="{627043B3-7D63-4119-A99B-D4CFA000566F}" srcOrd="1" destOrd="0" presId="urn:microsoft.com/office/officeart/2005/8/layout/list1"/>
    <dgm:cxn modelId="{799FF3E9-AC96-4D4C-8D3A-84F5B6FC1FF5}" type="presOf" srcId="{EA3869E9-5B04-4D72-9473-9406B2C83902}" destId="{1EA83D41-0E42-4C49-988D-256C2975749B}" srcOrd="0" destOrd="0" presId="urn:microsoft.com/office/officeart/2005/8/layout/list1"/>
    <dgm:cxn modelId="{F650A6F5-162D-443E-9389-BBAB97A3BE7F}" type="presOf" srcId="{4690871B-0258-4243-8FDC-B43EB4D47825}" destId="{35C108D4-FD6F-419E-87CA-7D9FE09F6C74}" srcOrd="0" destOrd="0" presId="urn:microsoft.com/office/officeart/2005/8/layout/list1"/>
    <dgm:cxn modelId="{25C378FA-F8E5-4D08-AB05-AD013E70355D}" srcId="{7E0A2B49-0280-4CD1-87D8-F85F153933DE}" destId="{6F24676D-96CD-49A0-B453-E9E9AEF69840}" srcOrd="1" destOrd="0" parTransId="{3C44FD7C-A0EB-45C4-8A03-A7B54FD6809E}" sibTransId="{A34B23D7-8F56-4AFD-AE13-799068CB7C40}"/>
    <dgm:cxn modelId="{32734DDE-C74F-4448-BAFB-A425E79BAC48}" type="presParOf" srcId="{A4B487CF-274F-4380-AA92-412EC8E0B969}" destId="{A7FBD1C0-42D9-40A6-BBEF-E6B68B15D7DD}" srcOrd="0" destOrd="0" presId="urn:microsoft.com/office/officeart/2005/8/layout/list1"/>
    <dgm:cxn modelId="{E0560CA8-0CA6-4260-A034-ED939B45257C}" type="presParOf" srcId="{A7FBD1C0-42D9-40A6-BBEF-E6B68B15D7DD}" destId="{E55E57BE-4AD9-4DE2-BFA4-947DC11568E3}" srcOrd="0" destOrd="0" presId="urn:microsoft.com/office/officeart/2005/8/layout/list1"/>
    <dgm:cxn modelId="{B3E6CF83-A617-4711-B8A9-7E5DB4C179F3}" type="presParOf" srcId="{A7FBD1C0-42D9-40A6-BBEF-E6B68B15D7DD}" destId="{C9293179-D2DF-42FE-AC1B-BA400D2C3C88}" srcOrd="1" destOrd="0" presId="urn:microsoft.com/office/officeart/2005/8/layout/list1"/>
    <dgm:cxn modelId="{D621C626-6451-4F7E-98CA-63EC440A2517}" type="presParOf" srcId="{A4B487CF-274F-4380-AA92-412EC8E0B969}" destId="{8FEF15F6-A3EF-4CBC-AAB7-5F276A2F4AAA}" srcOrd="1" destOrd="0" presId="urn:microsoft.com/office/officeart/2005/8/layout/list1"/>
    <dgm:cxn modelId="{FA38CC50-0372-4B9A-9A31-2CC305AA3FA2}" type="presParOf" srcId="{A4B487CF-274F-4380-AA92-412EC8E0B969}" destId="{BAA3FF0D-8E51-4BEF-B071-DF8C11BF5061}" srcOrd="2" destOrd="0" presId="urn:microsoft.com/office/officeart/2005/8/layout/list1"/>
    <dgm:cxn modelId="{2714CE1F-24CB-4CED-A3CC-48C046501B49}" type="presParOf" srcId="{A4B487CF-274F-4380-AA92-412EC8E0B969}" destId="{21BA9777-9EC5-4250-85E8-64DDBDD7BD8D}" srcOrd="3" destOrd="0" presId="urn:microsoft.com/office/officeart/2005/8/layout/list1"/>
    <dgm:cxn modelId="{C2A273F8-DD7A-44FB-AAF2-AC7C73BADC39}" type="presParOf" srcId="{A4B487CF-274F-4380-AA92-412EC8E0B969}" destId="{98B68342-DEE8-44A6-87A4-74836E767ECE}" srcOrd="4" destOrd="0" presId="urn:microsoft.com/office/officeart/2005/8/layout/list1"/>
    <dgm:cxn modelId="{1E93124E-541B-418B-8F09-56C9FB148C75}" type="presParOf" srcId="{98B68342-DEE8-44A6-87A4-74836E767ECE}" destId="{BA32932B-AE6B-4CDE-81C6-9719EFD2F0F0}" srcOrd="0" destOrd="0" presId="urn:microsoft.com/office/officeart/2005/8/layout/list1"/>
    <dgm:cxn modelId="{CEE16D4D-0DB8-49E5-B569-B446F92DF2F0}" type="presParOf" srcId="{98B68342-DEE8-44A6-87A4-74836E767ECE}" destId="{D040FD86-7CFF-44BE-8728-19BF7726E48B}" srcOrd="1" destOrd="0" presId="urn:microsoft.com/office/officeart/2005/8/layout/list1"/>
    <dgm:cxn modelId="{1080B274-7F89-4932-8C3E-561BC4102AA3}" type="presParOf" srcId="{A4B487CF-274F-4380-AA92-412EC8E0B969}" destId="{57ECE20C-D6EE-4900-99EB-6B6CEB95B905}" srcOrd="5" destOrd="0" presId="urn:microsoft.com/office/officeart/2005/8/layout/list1"/>
    <dgm:cxn modelId="{9CD59FA0-BBAD-4DCB-8882-AED365397E29}" type="presParOf" srcId="{A4B487CF-274F-4380-AA92-412EC8E0B969}" destId="{F6AF3E3E-B52B-44A8-8199-956DDF5919A3}" srcOrd="6" destOrd="0" presId="urn:microsoft.com/office/officeart/2005/8/layout/list1"/>
    <dgm:cxn modelId="{A6EFA192-1A09-4B11-96E5-8D8DF6566D89}" type="presParOf" srcId="{A4B487CF-274F-4380-AA92-412EC8E0B969}" destId="{F9CD7C46-C14D-4517-8B10-D0E3A9611A48}" srcOrd="7" destOrd="0" presId="urn:microsoft.com/office/officeart/2005/8/layout/list1"/>
    <dgm:cxn modelId="{7646B1EF-D0CC-4E15-AA18-E550499F5B55}" type="presParOf" srcId="{A4B487CF-274F-4380-AA92-412EC8E0B969}" destId="{9910BDE9-E0CB-4911-9C74-FBA1EDE12D1D}" srcOrd="8" destOrd="0" presId="urn:microsoft.com/office/officeart/2005/8/layout/list1"/>
    <dgm:cxn modelId="{CF77A828-7038-4F7A-A352-A586ECEB081B}" type="presParOf" srcId="{9910BDE9-E0CB-4911-9C74-FBA1EDE12D1D}" destId="{79450199-F9B3-4684-8A28-FE00909B516F}" srcOrd="0" destOrd="0" presId="urn:microsoft.com/office/officeart/2005/8/layout/list1"/>
    <dgm:cxn modelId="{270E7B63-71ED-47C4-BCB9-4974106718DA}" type="presParOf" srcId="{9910BDE9-E0CB-4911-9C74-FBA1EDE12D1D}" destId="{82910057-C57D-4110-AE27-B1296703CB6B}" srcOrd="1" destOrd="0" presId="urn:microsoft.com/office/officeart/2005/8/layout/list1"/>
    <dgm:cxn modelId="{B23CC9EB-FF0A-4DFF-A778-DE91D4890B0F}" type="presParOf" srcId="{A4B487CF-274F-4380-AA92-412EC8E0B969}" destId="{25437F17-5D6A-4463-BE71-11CC7DA331F1}" srcOrd="9" destOrd="0" presId="urn:microsoft.com/office/officeart/2005/8/layout/list1"/>
    <dgm:cxn modelId="{B5E17308-B3B4-42D3-8AAE-AC102616622A}" type="presParOf" srcId="{A4B487CF-274F-4380-AA92-412EC8E0B969}" destId="{4BBE604B-7A0C-4A58-8AD8-2D36B0C5A91A}" srcOrd="10" destOrd="0" presId="urn:microsoft.com/office/officeart/2005/8/layout/list1"/>
    <dgm:cxn modelId="{82E2FA39-E291-4C85-A578-3937BDCB230F}" type="presParOf" srcId="{A4B487CF-274F-4380-AA92-412EC8E0B969}" destId="{CB4736A9-BD86-4978-BC2C-0052E92EC70A}" srcOrd="11" destOrd="0" presId="urn:microsoft.com/office/officeart/2005/8/layout/list1"/>
    <dgm:cxn modelId="{EFBD46BC-2387-49B2-96F7-BE48BFFF6631}" type="presParOf" srcId="{A4B487CF-274F-4380-AA92-412EC8E0B969}" destId="{4ABF6E1B-6125-4E52-94B3-D76A8E72D209}" srcOrd="12" destOrd="0" presId="urn:microsoft.com/office/officeart/2005/8/layout/list1"/>
    <dgm:cxn modelId="{35F1BDCF-D67A-4A0C-A707-A9F61017C52C}" type="presParOf" srcId="{4ABF6E1B-6125-4E52-94B3-D76A8E72D209}" destId="{1EA83D41-0E42-4C49-988D-256C2975749B}" srcOrd="0" destOrd="0" presId="urn:microsoft.com/office/officeart/2005/8/layout/list1"/>
    <dgm:cxn modelId="{27701A0B-62F3-4D88-B2A9-B9814F145BDC}" type="presParOf" srcId="{4ABF6E1B-6125-4E52-94B3-D76A8E72D209}" destId="{627043B3-7D63-4119-A99B-D4CFA000566F}" srcOrd="1" destOrd="0" presId="urn:microsoft.com/office/officeart/2005/8/layout/list1"/>
    <dgm:cxn modelId="{3799D90C-D13A-4C77-90FC-97AEF5969BFC}" type="presParOf" srcId="{A4B487CF-274F-4380-AA92-412EC8E0B969}" destId="{1EAC86AA-764F-47C5-BD1E-C254EE853568}" srcOrd="13" destOrd="0" presId="urn:microsoft.com/office/officeart/2005/8/layout/list1"/>
    <dgm:cxn modelId="{F59868A1-57F7-405B-94E7-2B1EB1A185CF}" type="presParOf" srcId="{A4B487CF-274F-4380-AA92-412EC8E0B969}" destId="{3B388CE1-3BEB-44D5-A54F-648DD296E4E5}" srcOrd="14" destOrd="0" presId="urn:microsoft.com/office/officeart/2005/8/layout/list1"/>
    <dgm:cxn modelId="{7DB9E268-AFD3-483B-9D59-6E4A3666C9C5}" type="presParOf" srcId="{A4B487CF-274F-4380-AA92-412EC8E0B969}" destId="{84B2ED11-9303-40A1-A3B2-E491EE24A4B7}" srcOrd="15" destOrd="0" presId="urn:microsoft.com/office/officeart/2005/8/layout/list1"/>
    <dgm:cxn modelId="{16D3CAE7-EBC3-46D6-BF25-6736EEAA1F7E}" type="presParOf" srcId="{A4B487CF-274F-4380-AA92-412EC8E0B969}" destId="{BAF2102F-999B-45EF-8BB6-6C910E1D00C4}" srcOrd="16" destOrd="0" presId="urn:microsoft.com/office/officeart/2005/8/layout/list1"/>
    <dgm:cxn modelId="{DDD153EB-6100-4536-81B2-66A97F7A499C}" type="presParOf" srcId="{BAF2102F-999B-45EF-8BB6-6C910E1D00C4}" destId="{35C108D4-FD6F-419E-87CA-7D9FE09F6C74}" srcOrd="0" destOrd="0" presId="urn:microsoft.com/office/officeart/2005/8/layout/list1"/>
    <dgm:cxn modelId="{99852578-2A81-4EDB-A841-B7FDB92F24AC}" type="presParOf" srcId="{BAF2102F-999B-45EF-8BB6-6C910E1D00C4}" destId="{95FD3B68-F5C4-4EC0-846A-593D9C5F45A7}" srcOrd="1" destOrd="0" presId="urn:microsoft.com/office/officeart/2005/8/layout/list1"/>
    <dgm:cxn modelId="{129C20DF-08BE-49BA-82B7-B005B531A1FB}" type="presParOf" srcId="{A4B487CF-274F-4380-AA92-412EC8E0B969}" destId="{5E93DAA0-225A-44C8-BDBE-DABFF2BD0CEE}" srcOrd="17" destOrd="0" presId="urn:microsoft.com/office/officeart/2005/8/layout/list1"/>
    <dgm:cxn modelId="{841AEBB1-A582-417A-9E44-C877827F84DD}" type="presParOf" srcId="{A4B487CF-274F-4380-AA92-412EC8E0B969}" destId="{ABBFC9B8-D5E3-437C-B12A-A50E8ADED5CF}"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A3FF0D-8E51-4BEF-B071-DF8C11BF5061}">
      <dsp:nvSpPr>
        <dsp:cNvPr id="0" name=""/>
        <dsp:cNvSpPr/>
      </dsp:nvSpPr>
      <dsp:spPr>
        <a:xfrm>
          <a:off x="0" y="128519"/>
          <a:ext cx="2743200" cy="176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9293179-D2DF-42FE-AC1B-BA400D2C3C88}">
      <dsp:nvSpPr>
        <dsp:cNvPr id="0" name=""/>
        <dsp:cNvSpPr/>
      </dsp:nvSpPr>
      <dsp:spPr>
        <a:xfrm>
          <a:off x="137160" y="25199"/>
          <a:ext cx="1920240" cy="206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581" tIns="0" rIns="72581" bIns="0" numCol="1" spcCol="1270" anchor="ctr" anchorCtr="0">
          <a:noAutofit/>
        </a:bodyPr>
        <a:lstStyle/>
        <a:p>
          <a:pPr marL="0" lvl="0" indent="0" algn="l" defTabSz="311150">
            <a:lnSpc>
              <a:spcPct val="90000"/>
            </a:lnSpc>
            <a:spcBef>
              <a:spcPct val="0"/>
            </a:spcBef>
            <a:spcAft>
              <a:spcPct val="35000"/>
            </a:spcAft>
            <a:buNone/>
          </a:pPr>
          <a:r>
            <a:rPr lang="en-GB" sz="700" kern="1200"/>
            <a:t>real-time monitoring</a:t>
          </a:r>
          <a:endParaRPr lang="en-US" sz="700" kern="1200"/>
        </a:p>
      </dsp:txBody>
      <dsp:txXfrm>
        <a:off x="147247" y="35286"/>
        <a:ext cx="1900066" cy="186466"/>
      </dsp:txXfrm>
    </dsp:sp>
    <dsp:sp modelId="{F6AF3E3E-B52B-44A8-8199-956DDF5919A3}">
      <dsp:nvSpPr>
        <dsp:cNvPr id="0" name=""/>
        <dsp:cNvSpPr/>
      </dsp:nvSpPr>
      <dsp:spPr>
        <a:xfrm>
          <a:off x="0" y="446040"/>
          <a:ext cx="2743200" cy="176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040FD86-7CFF-44BE-8728-19BF7726E48B}">
      <dsp:nvSpPr>
        <dsp:cNvPr id="0" name=""/>
        <dsp:cNvSpPr/>
      </dsp:nvSpPr>
      <dsp:spPr>
        <a:xfrm>
          <a:off x="137160" y="342720"/>
          <a:ext cx="1920240" cy="206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581" tIns="0" rIns="72581" bIns="0" numCol="1" spcCol="1270" anchor="ctr" anchorCtr="0">
          <a:noAutofit/>
        </a:bodyPr>
        <a:lstStyle/>
        <a:p>
          <a:pPr marL="0" lvl="0" indent="0" algn="l" defTabSz="311150">
            <a:lnSpc>
              <a:spcPct val="90000"/>
            </a:lnSpc>
            <a:spcBef>
              <a:spcPct val="0"/>
            </a:spcBef>
            <a:spcAft>
              <a:spcPct val="35000"/>
            </a:spcAft>
            <a:buNone/>
          </a:pPr>
          <a:r>
            <a:rPr lang="en-GB" sz="700" kern="1200"/>
            <a:t>capacity planning and management</a:t>
          </a:r>
          <a:endParaRPr lang="en-US" sz="700" kern="1200"/>
        </a:p>
      </dsp:txBody>
      <dsp:txXfrm>
        <a:off x="147247" y="352807"/>
        <a:ext cx="1900066" cy="186466"/>
      </dsp:txXfrm>
    </dsp:sp>
    <dsp:sp modelId="{4BBE604B-7A0C-4A58-8AD8-2D36B0C5A91A}">
      <dsp:nvSpPr>
        <dsp:cNvPr id="0" name=""/>
        <dsp:cNvSpPr/>
      </dsp:nvSpPr>
      <dsp:spPr>
        <a:xfrm>
          <a:off x="0" y="763560"/>
          <a:ext cx="2743200" cy="176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2910057-C57D-4110-AE27-B1296703CB6B}">
      <dsp:nvSpPr>
        <dsp:cNvPr id="0" name=""/>
        <dsp:cNvSpPr/>
      </dsp:nvSpPr>
      <dsp:spPr>
        <a:xfrm>
          <a:off x="137160" y="660240"/>
          <a:ext cx="1920240" cy="206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581" tIns="0" rIns="72581" bIns="0" numCol="1" spcCol="1270" anchor="ctr" anchorCtr="0">
          <a:noAutofit/>
        </a:bodyPr>
        <a:lstStyle/>
        <a:p>
          <a:pPr marL="0" lvl="0" indent="0" algn="l" defTabSz="311150">
            <a:lnSpc>
              <a:spcPct val="90000"/>
            </a:lnSpc>
            <a:spcBef>
              <a:spcPct val="0"/>
            </a:spcBef>
            <a:spcAft>
              <a:spcPct val="35000"/>
            </a:spcAft>
            <a:buNone/>
          </a:pPr>
          <a:r>
            <a:rPr lang="en-GB" sz="700" kern="1200"/>
            <a:t>uptime and performance maintenance</a:t>
          </a:r>
          <a:endParaRPr lang="en-US" sz="700" kern="1200"/>
        </a:p>
      </dsp:txBody>
      <dsp:txXfrm>
        <a:off x="147247" y="670327"/>
        <a:ext cx="1900066" cy="186466"/>
      </dsp:txXfrm>
    </dsp:sp>
    <dsp:sp modelId="{3B388CE1-3BEB-44D5-A54F-648DD296E4E5}">
      <dsp:nvSpPr>
        <dsp:cNvPr id="0" name=""/>
        <dsp:cNvSpPr/>
      </dsp:nvSpPr>
      <dsp:spPr>
        <a:xfrm>
          <a:off x="0" y="1081080"/>
          <a:ext cx="2743200" cy="176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27043B3-7D63-4119-A99B-D4CFA000566F}">
      <dsp:nvSpPr>
        <dsp:cNvPr id="0" name=""/>
        <dsp:cNvSpPr/>
      </dsp:nvSpPr>
      <dsp:spPr>
        <a:xfrm>
          <a:off x="137160" y="977760"/>
          <a:ext cx="1920240" cy="206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581" tIns="0" rIns="72581" bIns="0" numCol="1" spcCol="1270" anchor="ctr" anchorCtr="0">
          <a:noAutofit/>
        </a:bodyPr>
        <a:lstStyle/>
        <a:p>
          <a:pPr marL="0" lvl="0" indent="0" algn="l" defTabSz="311150">
            <a:lnSpc>
              <a:spcPct val="90000"/>
            </a:lnSpc>
            <a:spcBef>
              <a:spcPct val="0"/>
            </a:spcBef>
            <a:spcAft>
              <a:spcPct val="35000"/>
            </a:spcAft>
            <a:buNone/>
          </a:pPr>
          <a:r>
            <a:rPr lang="en-GB" sz="700" kern="1200"/>
            <a:t>efficiency of energy </a:t>
          </a:r>
          <a:endParaRPr lang="en-US" sz="700" kern="1200"/>
        </a:p>
      </dsp:txBody>
      <dsp:txXfrm>
        <a:off x="147247" y="987847"/>
        <a:ext cx="1900066" cy="186466"/>
      </dsp:txXfrm>
    </dsp:sp>
    <dsp:sp modelId="{ABBFC9B8-D5E3-437C-B12A-A50E8ADED5CF}">
      <dsp:nvSpPr>
        <dsp:cNvPr id="0" name=""/>
        <dsp:cNvSpPr/>
      </dsp:nvSpPr>
      <dsp:spPr>
        <a:xfrm>
          <a:off x="0" y="1398600"/>
          <a:ext cx="2743200" cy="176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5FD3B68-F5C4-4EC0-846A-593D9C5F45A7}">
      <dsp:nvSpPr>
        <dsp:cNvPr id="0" name=""/>
        <dsp:cNvSpPr/>
      </dsp:nvSpPr>
      <dsp:spPr>
        <a:xfrm>
          <a:off x="137160" y="1295280"/>
          <a:ext cx="1920240" cy="2066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581" tIns="0" rIns="72581" bIns="0" numCol="1" spcCol="1270" anchor="ctr" anchorCtr="0">
          <a:noAutofit/>
        </a:bodyPr>
        <a:lstStyle/>
        <a:p>
          <a:pPr marL="0" lvl="0" indent="0" algn="l" defTabSz="311150">
            <a:lnSpc>
              <a:spcPct val="90000"/>
            </a:lnSpc>
            <a:spcBef>
              <a:spcPct val="0"/>
            </a:spcBef>
            <a:spcAft>
              <a:spcPct val="35000"/>
            </a:spcAft>
            <a:buNone/>
          </a:pPr>
          <a:r>
            <a:rPr lang="en-GB" sz="700" kern="1200"/>
            <a:t>cost-cutting</a:t>
          </a:r>
          <a:endParaRPr lang="en-US" sz="700" kern="1200"/>
        </a:p>
      </dsp:txBody>
      <dsp:txXfrm>
        <a:off x="147247" y="1305367"/>
        <a:ext cx="1900066"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23E40-6F4B-4DA0-9342-877EE9A41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2417</TotalTime>
  <Pages>6</Pages>
  <Words>4421</Words>
  <Characters>25202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Celdwan Hure De Pina Bandeira (1812407)</cp:lastModifiedBy>
  <cp:revision>69</cp:revision>
  <dcterms:created xsi:type="dcterms:W3CDTF">2021-07-29T17:18:00Z</dcterms:created>
  <dcterms:modified xsi:type="dcterms:W3CDTF">2021-08-26T22:44:00Z</dcterms:modified>
</cp:coreProperties>
</file>