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8E16E1" w14:textId="77777777" w:rsidR="00847D6C" w:rsidRDefault="00847D6C" w:rsidP="006B5A17">
      <w:pPr>
        <w:spacing w:line="360" w:lineRule="auto"/>
        <w:jc w:val="both"/>
        <w:rPr>
          <w:rFonts w:ascii="Arial" w:hAnsi="Arial" w:cs="Arial"/>
          <w:sz w:val="22"/>
          <w:szCs w:val="22"/>
        </w:rPr>
      </w:pPr>
    </w:p>
    <w:p w14:paraId="761C6A87" w14:textId="77777777" w:rsidR="00847D6C" w:rsidRPr="00A62F4F" w:rsidRDefault="00847D6C" w:rsidP="00847D6C">
      <w:r w:rsidRPr="00A62F4F">
        <w:t>  </w:t>
      </w:r>
      <w:r w:rsidRPr="00A62F4F">
        <w:rPr>
          <w:noProof/>
        </w:rPr>
        <w:drawing>
          <wp:inline distT="0" distB="0" distL="0" distR="0" wp14:anchorId="6C8A4B9E" wp14:editId="1083E5DC">
            <wp:extent cx="4648200" cy="1924050"/>
            <wp:effectExtent l="0" t="0" r="0" b="0"/>
            <wp:docPr id="1524842123"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48200" cy="1924050"/>
                    </a:xfrm>
                    <a:prstGeom prst="rect">
                      <a:avLst/>
                    </a:prstGeom>
                    <a:noFill/>
                    <a:ln>
                      <a:noFill/>
                    </a:ln>
                  </pic:spPr>
                </pic:pic>
              </a:graphicData>
            </a:graphic>
          </wp:inline>
        </w:drawing>
      </w:r>
      <w:r w:rsidRPr="00A62F4F">
        <w:t> </w:t>
      </w:r>
    </w:p>
    <w:p w14:paraId="3B2FAF9C" w14:textId="77777777" w:rsidR="00847D6C" w:rsidRPr="00A62F4F" w:rsidRDefault="00847D6C" w:rsidP="00847D6C">
      <w:r w:rsidRPr="00A62F4F">
        <w:t> </w:t>
      </w:r>
    </w:p>
    <w:p w14:paraId="2F70C32C" w14:textId="77777777" w:rsidR="00847D6C" w:rsidRPr="00A62F4F" w:rsidRDefault="00847D6C" w:rsidP="00847D6C">
      <w:r w:rsidRPr="00A62F4F">
        <w:t> </w:t>
      </w:r>
    </w:p>
    <w:p w14:paraId="13FC3E1D" w14:textId="77777777" w:rsidR="00847D6C" w:rsidRPr="00A62F4F" w:rsidRDefault="00847D6C" w:rsidP="00847D6C">
      <w:r w:rsidRPr="00A62F4F">
        <w:t> </w:t>
      </w:r>
    </w:p>
    <w:p w14:paraId="4EE78AD1" w14:textId="77777777" w:rsidR="00847D6C" w:rsidRPr="00A62F4F" w:rsidRDefault="00847D6C" w:rsidP="00847D6C">
      <w:pPr>
        <w:rPr>
          <w:rFonts w:ascii="Arial" w:hAnsi="Arial" w:cs="Arial"/>
          <w:sz w:val="28"/>
          <w:szCs w:val="28"/>
        </w:rPr>
      </w:pPr>
      <w:r w:rsidRPr="00A62F4F">
        <w:rPr>
          <w:rFonts w:ascii="Arial" w:hAnsi="Arial" w:cs="Arial"/>
          <w:b/>
          <w:bCs/>
          <w:sz w:val="28"/>
          <w:szCs w:val="28"/>
        </w:rPr>
        <w:t>Module name:</w:t>
      </w:r>
      <w:r w:rsidRPr="00D3029A">
        <w:rPr>
          <w:rFonts w:ascii="Arial" w:hAnsi="Arial" w:cs="Arial"/>
          <w:b/>
          <w:bCs/>
          <w:sz w:val="28"/>
          <w:szCs w:val="28"/>
        </w:rPr>
        <w:t xml:space="preserve"> </w:t>
      </w:r>
      <w:r w:rsidRPr="00A62F4F">
        <w:rPr>
          <w:rFonts w:ascii="Arial" w:hAnsi="Arial" w:cs="Arial"/>
          <w:b/>
          <w:bCs/>
          <w:sz w:val="28"/>
          <w:szCs w:val="28"/>
        </w:rPr>
        <w:t>Introduction to Independent Research Skills</w:t>
      </w:r>
      <w:r w:rsidRPr="00A62F4F">
        <w:rPr>
          <w:rFonts w:ascii="Arial" w:hAnsi="Arial" w:cs="Arial"/>
          <w:sz w:val="28"/>
          <w:szCs w:val="28"/>
        </w:rPr>
        <w:t> </w:t>
      </w:r>
    </w:p>
    <w:p w14:paraId="23C55B2E" w14:textId="77777777" w:rsidR="00847D6C" w:rsidRPr="00A62F4F" w:rsidRDefault="00847D6C" w:rsidP="00847D6C">
      <w:pPr>
        <w:rPr>
          <w:rFonts w:ascii="Arial" w:hAnsi="Arial" w:cs="Arial"/>
          <w:sz w:val="28"/>
          <w:szCs w:val="28"/>
        </w:rPr>
      </w:pPr>
      <w:r w:rsidRPr="00A62F4F">
        <w:rPr>
          <w:rFonts w:ascii="Arial" w:hAnsi="Arial" w:cs="Arial"/>
          <w:b/>
          <w:bCs/>
          <w:sz w:val="28"/>
          <w:szCs w:val="28"/>
        </w:rPr>
        <w:t>Module number: (BMHP5019_BIRM)</w:t>
      </w:r>
      <w:r w:rsidRPr="00A62F4F">
        <w:rPr>
          <w:rFonts w:ascii="Arial" w:hAnsi="Arial" w:cs="Arial"/>
          <w:sz w:val="28"/>
          <w:szCs w:val="28"/>
        </w:rPr>
        <w:t> </w:t>
      </w:r>
    </w:p>
    <w:p w14:paraId="6547B2B9" w14:textId="77777777" w:rsidR="00847D6C" w:rsidRPr="00A62F4F" w:rsidRDefault="00847D6C" w:rsidP="00847D6C">
      <w:pPr>
        <w:rPr>
          <w:rFonts w:ascii="Arial" w:hAnsi="Arial" w:cs="Arial"/>
          <w:sz w:val="28"/>
          <w:szCs w:val="28"/>
        </w:rPr>
      </w:pPr>
      <w:r w:rsidRPr="00A62F4F">
        <w:rPr>
          <w:rFonts w:ascii="Arial" w:hAnsi="Arial" w:cs="Arial"/>
          <w:b/>
          <w:bCs/>
          <w:sz w:val="28"/>
          <w:szCs w:val="28"/>
        </w:rPr>
        <w:t>Student name: Melania Ciornei</w:t>
      </w:r>
      <w:r w:rsidRPr="00A62F4F">
        <w:rPr>
          <w:rFonts w:ascii="Arial" w:hAnsi="Arial" w:cs="Arial"/>
          <w:sz w:val="28"/>
          <w:szCs w:val="28"/>
        </w:rPr>
        <w:t> </w:t>
      </w:r>
    </w:p>
    <w:p w14:paraId="0AA05A32" w14:textId="77777777" w:rsidR="00847D6C" w:rsidRPr="00A62F4F" w:rsidRDefault="00847D6C" w:rsidP="00847D6C">
      <w:pPr>
        <w:rPr>
          <w:rFonts w:ascii="Arial" w:hAnsi="Arial" w:cs="Arial"/>
          <w:sz w:val="28"/>
          <w:szCs w:val="28"/>
        </w:rPr>
      </w:pPr>
      <w:r w:rsidRPr="00A62F4F">
        <w:rPr>
          <w:rFonts w:ascii="Arial" w:hAnsi="Arial" w:cs="Arial"/>
          <w:b/>
          <w:bCs/>
          <w:sz w:val="28"/>
          <w:szCs w:val="28"/>
        </w:rPr>
        <w:t>Student number: 2329516</w:t>
      </w:r>
      <w:r w:rsidRPr="00A62F4F">
        <w:rPr>
          <w:rFonts w:ascii="Arial" w:hAnsi="Arial" w:cs="Arial"/>
          <w:sz w:val="28"/>
          <w:szCs w:val="28"/>
        </w:rPr>
        <w:t> </w:t>
      </w:r>
    </w:p>
    <w:p w14:paraId="44B0F4B9" w14:textId="77777777" w:rsidR="00847D6C" w:rsidRPr="00A62F4F" w:rsidRDefault="00847D6C" w:rsidP="00847D6C">
      <w:pPr>
        <w:rPr>
          <w:rFonts w:ascii="Arial" w:hAnsi="Arial" w:cs="Arial"/>
          <w:sz w:val="28"/>
          <w:szCs w:val="28"/>
        </w:rPr>
      </w:pPr>
      <w:r w:rsidRPr="00A62F4F">
        <w:rPr>
          <w:rFonts w:ascii="Arial" w:hAnsi="Arial" w:cs="Arial"/>
          <w:b/>
          <w:bCs/>
          <w:sz w:val="28"/>
          <w:szCs w:val="28"/>
        </w:rPr>
        <w:t>Lecturer name: Rizwan Nadim</w:t>
      </w:r>
      <w:r w:rsidRPr="00A62F4F">
        <w:rPr>
          <w:rFonts w:ascii="Arial" w:hAnsi="Arial" w:cs="Arial"/>
          <w:sz w:val="28"/>
          <w:szCs w:val="28"/>
        </w:rPr>
        <w:t> </w:t>
      </w:r>
    </w:p>
    <w:p w14:paraId="53A93EC3" w14:textId="77777777" w:rsidR="00847D6C" w:rsidRPr="00A62F4F" w:rsidRDefault="00847D6C" w:rsidP="00847D6C">
      <w:pPr>
        <w:rPr>
          <w:rFonts w:ascii="Arial" w:hAnsi="Arial" w:cs="Arial"/>
          <w:sz w:val="28"/>
          <w:szCs w:val="28"/>
        </w:rPr>
      </w:pPr>
      <w:r w:rsidRPr="00A62F4F">
        <w:rPr>
          <w:rFonts w:ascii="Arial" w:hAnsi="Arial" w:cs="Arial"/>
          <w:sz w:val="28"/>
          <w:szCs w:val="28"/>
        </w:rPr>
        <w:t> </w:t>
      </w:r>
    </w:p>
    <w:p w14:paraId="1ED9ABB7" w14:textId="77777777" w:rsidR="00847D6C" w:rsidRPr="00A62F4F" w:rsidRDefault="00847D6C" w:rsidP="00847D6C">
      <w:pPr>
        <w:rPr>
          <w:rFonts w:ascii="Arial" w:hAnsi="Arial" w:cs="Arial"/>
        </w:rPr>
      </w:pPr>
      <w:r w:rsidRPr="00A62F4F">
        <w:rPr>
          <w:rFonts w:ascii="Arial" w:hAnsi="Arial" w:cs="Arial"/>
        </w:rPr>
        <w:t> </w:t>
      </w:r>
    </w:p>
    <w:p w14:paraId="1F9D3C09" w14:textId="77777777" w:rsidR="00847D6C" w:rsidRPr="00A62F4F" w:rsidRDefault="00847D6C" w:rsidP="00847D6C">
      <w:pPr>
        <w:rPr>
          <w:rFonts w:ascii="Arial" w:hAnsi="Arial" w:cs="Arial"/>
        </w:rPr>
      </w:pPr>
      <w:r w:rsidRPr="00A62F4F">
        <w:rPr>
          <w:rFonts w:ascii="Arial" w:hAnsi="Arial" w:cs="Arial"/>
        </w:rPr>
        <w:t>                 </w:t>
      </w:r>
      <w:r w:rsidRPr="00A62F4F">
        <w:rPr>
          <w:rFonts w:ascii="Arial" w:hAnsi="Arial" w:cs="Arial"/>
          <w:b/>
          <w:bCs/>
        </w:rPr>
        <w:t> Understanding Anxiety in Teenagers in the UK </w:t>
      </w:r>
      <w:r w:rsidRPr="00A62F4F">
        <w:rPr>
          <w:rFonts w:ascii="Arial" w:hAnsi="Arial" w:cs="Arial"/>
        </w:rPr>
        <w:t> </w:t>
      </w:r>
    </w:p>
    <w:p w14:paraId="6E14F3B8" w14:textId="77777777" w:rsidR="00847D6C" w:rsidRPr="00A62F4F" w:rsidRDefault="00847D6C" w:rsidP="00847D6C">
      <w:pPr>
        <w:rPr>
          <w:rFonts w:ascii="Arial" w:hAnsi="Arial" w:cs="Arial"/>
        </w:rPr>
      </w:pPr>
      <w:r w:rsidRPr="00A62F4F">
        <w:rPr>
          <w:rFonts w:ascii="Arial" w:hAnsi="Arial" w:cs="Arial"/>
          <w:b/>
          <w:bCs/>
        </w:rPr>
        <w:t> A Scoping Review of Risk Factors, Experiences, and Support Approaches</w:t>
      </w:r>
      <w:r w:rsidRPr="00A62F4F">
        <w:rPr>
          <w:rFonts w:ascii="Arial" w:hAnsi="Arial" w:cs="Arial"/>
        </w:rPr>
        <w:t> </w:t>
      </w:r>
    </w:p>
    <w:p w14:paraId="34D6BA81" w14:textId="77777777" w:rsidR="00847D6C" w:rsidRPr="00A62F4F" w:rsidRDefault="00847D6C" w:rsidP="00847D6C">
      <w:r w:rsidRPr="00A62F4F">
        <w:t> </w:t>
      </w:r>
    </w:p>
    <w:p w14:paraId="20F34A66" w14:textId="1FFD91C6" w:rsidR="00847D6C" w:rsidRDefault="00847D6C" w:rsidP="00847D6C">
      <w:r w:rsidRPr="00A62F4F">
        <w:t> </w:t>
      </w:r>
    </w:p>
    <w:p w14:paraId="17FE4FDF" w14:textId="77777777" w:rsidR="00B02785" w:rsidRDefault="00B02785" w:rsidP="00847D6C"/>
    <w:p w14:paraId="5C30D01F" w14:textId="77777777" w:rsidR="00B02785" w:rsidRDefault="00B02785" w:rsidP="00847D6C"/>
    <w:p w14:paraId="29481AA8" w14:textId="77777777" w:rsidR="00B02785" w:rsidRDefault="00B02785" w:rsidP="00847D6C"/>
    <w:p w14:paraId="6878D673" w14:textId="77777777" w:rsidR="00847D6C" w:rsidRDefault="00847D6C" w:rsidP="006B5A17">
      <w:pPr>
        <w:spacing w:line="360" w:lineRule="auto"/>
        <w:jc w:val="both"/>
        <w:rPr>
          <w:rFonts w:ascii="Arial" w:hAnsi="Arial" w:cs="Arial"/>
          <w:sz w:val="22"/>
          <w:szCs w:val="22"/>
        </w:rPr>
      </w:pPr>
    </w:p>
    <w:p w14:paraId="5985198C" w14:textId="6C290921" w:rsidR="006B5A17" w:rsidRDefault="006B5A17" w:rsidP="006B5A17">
      <w:pPr>
        <w:spacing w:line="360" w:lineRule="auto"/>
        <w:jc w:val="both"/>
        <w:rPr>
          <w:rFonts w:ascii="Arial" w:hAnsi="Arial" w:cs="Arial"/>
          <w:sz w:val="22"/>
          <w:szCs w:val="22"/>
        </w:rPr>
      </w:pPr>
      <w:r w:rsidRPr="006B5A17">
        <w:rPr>
          <w:rFonts w:ascii="Arial" w:hAnsi="Arial" w:cs="Arial"/>
          <w:sz w:val="22"/>
          <w:szCs w:val="22"/>
        </w:rPr>
        <w:br/>
      </w:r>
    </w:p>
    <w:p w14:paraId="464212F6" w14:textId="01B6CC97" w:rsidR="006A7957" w:rsidRDefault="006A7957" w:rsidP="006B5A17">
      <w:pPr>
        <w:spacing w:line="360" w:lineRule="auto"/>
        <w:jc w:val="both"/>
        <w:rPr>
          <w:rFonts w:ascii="Arial" w:hAnsi="Arial" w:cs="Arial"/>
          <w:b/>
          <w:bCs/>
          <w:sz w:val="28"/>
          <w:szCs w:val="28"/>
        </w:rPr>
      </w:pPr>
      <w:r>
        <w:rPr>
          <w:rFonts w:ascii="Arial" w:hAnsi="Arial" w:cs="Arial"/>
          <w:b/>
          <w:bCs/>
          <w:sz w:val="28"/>
          <w:szCs w:val="28"/>
        </w:rPr>
        <w:lastRenderedPageBreak/>
        <w:t>Table of contents</w:t>
      </w:r>
    </w:p>
    <w:p w14:paraId="3C336308" w14:textId="77777777" w:rsidR="006A7957" w:rsidRPr="00D03831" w:rsidRDefault="006A7957" w:rsidP="00D03831">
      <w:pPr>
        <w:spacing w:line="360" w:lineRule="auto"/>
        <w:rPr>
          <w:rFonts w:ascii="Arial" w:hAnsi="Arial" w:cs="Arial"/>
          <w:sz w:val="22"/>
          <w:szCs w:val="22"/>
        </w:rPr>
      </w:pPr>
    </w:p>
    <w:p w14:paraId="2805E3C0" w14:textId="464B59D7" w:rsidR="00D03831" w:rsidRPr="00D03831" w:rsidRDefault="00D03831" w:rsidP="001362ED">
      <w:pPr>
        <w:spacing w:line="360" w:lineRule="auto"/>
        <w:jc w:val="both"/>
        <w:rPr>
          <w:rFonts w:ascii="Arial" w:hAnsi="Arial" w:cs="Arial"/>
          <w:sz w:val="22"/>
          <w:szCs w:val="22"/>
        </w:rPr>
      </w:pPr>
      <w:r w:rsidRPr="00D03831">
        <w:rPr>
          <w:rFonts w:ascii="Arial" w:hAnsi="Arial" w:cs="Arial"/>
          <w:sz w:val="22"/>
          <w:szCs w:val="22"/>
        </w:rPr>
        <w:t>Abstract .................................................................</w:t>
      </w:r>
      <w:r w:rsidR="00CB4B8B">
        <w:rPr>
          <w:rFonts w:ascii="Arial" w:hAnsi="Arial" w:cs="Arial"/>
          <w:sz w:val="22"/>
          <w:szCs w:val="22"/>
        </w:rPr>
        <w:t>....................................................</w:t>
      </w:r>
      <w:r w:rsidRPr="00D03831">
        <w:rPr>
          <w:rFonts w:ascii="Arial" w:hAnsi="Arial" w:cs="Arial"/>
          <w:sz w:val="22"/>
          <w:szCs w:val="22"/>
        </w:rPr>
        <w:t xml:space="preserve">............. </w:t>
      </w:r>
      <w:r w:rsidR="00CB4B8B">
        <w:rPr>
          <w:rFonts w:ascii="Arial" w:hAnsi="Arial" w:cs="Arial"/>
          <w:sz w:val="22"/>
          <w:szCs w:val="22"/>
        </w:rPr>
        <w:t>3</w:t>
      </w:r>
      <w:r w:rsidRPr="00D03831">
        <w:rPr>
          <w:rFonts w:ascii="Arial" w:hAnsi="Arial" w:cs="Arial"/>
          <w:sz w:val="22"/>
          <w:szCs w:val="22"/>
        </w:rPr>
        <w:br/>
        <w:t>1. Introduction ..........................................................</w:t>
      </w:r>
      <w:r w:rsidR="00CB4B8B">
        <w:rPr>
          <w:rFonts w:ascii="Arial" w:hAnsi="Arial" w:cs="Arial"/>
          <w:sz w:val="22"/>
          <w:szCs w:val="22"/>
        </w:rPr>
        <w:t>...................................................</w:t>
      </w:r>
      <w:r w:rsidRPr="00D03831">
        <w:rPr>
          <w:rFonts w:ascii="Arial" w:hAnsi="Arial" w:cs="Arial"/>
          <w:sz w:val="22"/>
          <w:szCs w:val="22"/>
        </w:rPr>
        <w:t xml:space="preserve">........... </w:t>
      </w:r>
      <w:r w:rsidR="00CB4B8B">
        <w:rPr>
          <w:rFonts w:ascii="Arial" w:hAnsi="Arial" w:cs="Arial"/>
          <w:sz w:val="22"/>
          <w:szCs w:val="22"/>
        </w:rPr>
        <w:t>4</w:t>
      </w:r>
      <w:r w:rsidRPr="00D03831">
        <w:rPr>
          <w:rFonts w:ascii="Arial" w:hAnsi="Arial" w:cs="Arial"/>
          <w:sz w:val="22"/>
          <w:szCs w:val="22"/>
        </w:rPr>
        <w:br/>
        <w:t>2. Background .......................................................</w:t>
      </w:r>
      <w:r w:rsidR="00CB4B8B">
        <w:rPr>
          <w:rFonts w:ascii="Arial" w:hAnsi="Arial" w:cs="Arial"/>
          <w:sz w:val="22"/>
          <w:szCs w:val="22"/>
        </w:rPr>
        <w:t>..................................................</w:t>
      </w:r>
      <w:r w:rsidRPr="00D03831">
        <w:rPr>
          <w:rFonts w:ascii="Arial" w:hAnsi="Arial" w:cs="Arial"/>
          <w:sz w:val="22"/>
          <w:szCs w:val="22"/>
        </w:rPr>
        <w:t xml:space="preserve">............... </w:t>
      </w:r>
      <w:r w:rsidR="00CB4B8B">
        <w:rPr>
          <w:rFonts w:ascii="Arial" w:hAnsi="Arial" w:cs="Arial"/>
          <w:sz w:val="22"/>
          <w:szCs w:val="22"/>
        </w:rPr>
        <w:t>5</w:t>
      </w:r>
      <w:r w:rsidRPr="00D03831">
        <w:rPr>
          <w:rFonts w:ascii="Arial" w:hAnsi="Arial" w:cs="Arial"/>
          <w:sz w:val="22"/>
          <w:szCs w:val="22"/>
        </w:rPr>
        <w:br/>
        <w:t>3. Methods ......................................................................</w:t>
      </w:r>
      <w:r w:rsidR="00B80D44">
        <w:rPr>
          <w:rFonts w:ascii="Arial" w:hAnsi="Arial" w:cs="Arial"/>
          <w:sz w:val="22"/>
          <w:szCs w:val="22"/>
        </w:rPr>
        <w:t>....................................................</w:t>
      </w:r>
      <w:r w:rsidRPr="00D03831">
        <w:rPr>
          <w:rFonts w:ascii="Arial" w:hAnsi="Arial" w:cs="Arial"/>
          <w:sz w:val="22"/>
          <w:szCs w:val="22"/>
        </w:rPr>
        <w:t>... 7</w:t>
      </w:r>
      <w:r w:rsidRPr="00D03831">
        <w:rPr>
          <w:rFonts w:ascii="Arial" w:hAnsi="Arial" w:cs="Arial"/>
          <w:sz w:val="22"/>
          <w:szCs w:val="22"/>
        </w:rPr>
        <w:br/>
        <w:t>4. Results ......................................................................</w:t>
      </w:r>
      <w:r w:rsidR="00B80D44">
        <w:rPr>
          <w:rFonts w:ascii="Arial" w:hAnsi="Arial" w:cs="Arial"/>
          <w:sz w:val="22"/>
          <w:szCs w:val="22"/>
        </w:rPr>
        <w:t>......................................................</w:t>
      </w:r>
      <w:r w:rsidRPr="00D03831">
        <w:rPr>
          <w:rFonts w:ascii="Arial" w:hAnsi="Arial" w:cs="Arial"/>
          <w:sz w:val="22"/>
          <w:szCs w:val="22"/>
        </w:rPr>
        <w:t xml:space="preserve">... </w:t>
      </w:r>
      <w:r w:rsidR="00B80D44">
        <w:rPr>
          <w:rFonts w:ascii="Arial" w:hAnsi="Arial" w:cs="Arial"/>
          <w:sz w:val="22"/>
          <w:szCs w:val="22"/>
        </w:rPr>
        <w:t>8</w:t>
      </w:r>
      <w:r w:rsidRPr="00D03831">
        <w:rPr>
          <w:rFonts w:ascii="Arial" w:hAnsi="Arial" w:cs="Arial"/>
          <w:sz w:val="22"/>
          <w:szCs w:val="22"/>
        </w:rPr>
        <w:br/>
        <w:t>5. Discussion .....................</w:t>
      </w:r>
      <w:r w:rsidR="005314F0">
        <w:rPr>
          <w:rFonts w:ascii="Arial" w:hAnsi="Arial" w:cs="Arial"/>
          <w:sz w:val="22"/>
          <w:szCs w:val="22"/>
        </w:rPr>
        <w:t>.....</w:t>
      </w:r>
      <w:r w:rsidRPr="00D03831">
        <w:rPr>
          <w:rFonts w:ascii="Arial" w:hAnsi="Arial" w:cs="Arial"/>
          <w:sz w:val="22"/>
          <w:szCs w:val="22"/>
        </w:rPr>
        <w:t>.............</w:t>
      </w:r>
      <w:r w:rsidR="005314F0">
        <w:rPr>
          <w:rFonts w:ascii="Arial" w:hAnsi="Arial" w:cs="Arial"/>
          <w:sz w:val="22"/>
          <w:szCs w:val="22"/>
        </w:rPr>
        <w:t>..............................................</w:t>
      </w:r>
      <w:r w:rsidRPr="00D03831">
        <w:rPr>
          <w:rFonts w:ascii="Arial" w:hAnsi="Arial" w:cs="Arial"/>
          <w:sz w:val="22"/>
          <w:szCs w:val="22"/>
        </w:rPr>
        <w:t>..................................</w:t>
      </w:r>
      <w:r w:rsidR="001362ED">
        <w:rPr>
          <w:rFonts w:ascii="Arial" w:hAnsi="Arial" w:cs="Arial"/>
          <w:sz w:val="22"/>
          <w:szCs w:val="22"/>
        </w:rPr>
        <w:t>..</w:t>
      </w:r>
      <w:r w:rsidR="005314F0">
        <w:rPr>
          <w:rFonts w:ascii="Arial" w:hAnsi="Arial" w:cs="Arial"/>
          <w:sz w:val="22"/>
          <w:szCs w:val="22"/>
        </w:rPr>
        <w:t>10</w:t>
      </w:r>
      <w:r w:rsidRPr="00D03831">
        <w:rPr>
          <w:rFonts w:ascii="Arial" w:hAnsi="Arial" w:cs="Arial"/>
          <w:sz w:val="22"/>
          <w:szCs w:val="22"/>
        </w:rPr>
        <w:br/>
        <w:t>6. Recommendations ....................................................</w:t>
      </w:r>
      <w:r w:rsidR="001362ED">
        <w:rPr>
          <w:rFonts w:ascii="Arial" w:hAnsi="Arial" w:cs="Arial"/>
          <w:sz w:val="22"/>
          <w:szCs w:val="22"/>
        </w:rPr>
        <w:t>.....................................................</w:t>
      </w:r>
      <w:r w:rsidRPr="00D03831">
        <w:rPr>
          <w:rFonts w:ascii="Arial" w:hAnsi="Arial" w:cs="Arial"/>
          <w:sz w:val="22"/>
          <w:szCs w:val="22"/>
        </w:rPr>
        <w:t xml:space="preserve">.. </w:t>
      </w:r>
      <w:r w:rsidR="001362ED">
        <w:rPr>
          <w:rFonts w:ascii="Arial" w:hAnsi="Arial" w:cs="Arial"/>
          <w:sz w:val="22"/>
          <w:szCs w:val="22"/>
        </w:rPr>
        <w:t>14</w:t>
      </w:r>
      <w:r w:rsidRPr="00D03831">
        <w:rPr>
          <w:rFonts w:ascii="Arial" w:hAnsi="Arial" w:cs="Arial"/>
          <w:sz w:val="22"/>
          <w:szCs w:val="22"/>
        </w:rPr>
        <w:br/>
        <w:t>7. Conclusion ...........................................................</w:t>
      </w:r>
      <w:r w:rsidR="001362ED">
        <w:rPr>
          <w:rFonts w:ascii="Arial" w:hAnsi="Arial" w:cs="Arial"/>
          <w:sz w:val="22"/>
          <w:szCs w:val="22"/>
        </w:rPr>
        <w:t>....................................................</w:t>
      </w:r>
      <w:r w:rsidRPr="00D03831">
        <w:rPr>
          <w:rFonts w:ascii="Arial" w:hAnsi="Arial" w:cs="Arial"/>
          <w:sz w:val="22"/>
          <w:szCs w:val="22"/>
        </w:rPr>
        <w:t>......... 1</w:t>
      </w:r>
      <w:r w:rsidR="001362ED">
        <w:rPr>
          <w:rFonts w:ascii="Arial" w:hAnsi="Arial" w:cs="Arial"/>
          <w:sz w:val="22"/>
          <w:szCs w:val="22"/>
        </w:rPr>
        <w:t>5</w:t>
      </w:r>
      <w:r w:rsidRPr="00D03831">
        <w:rPr>
          <w:rFonts w:ascii="Arial" w:hAnsi="Arial" w:cs="Arial"/>
          <w:sz w:val="22"/>
          <w:szCs w:val="22"/>
        </w:rPr>
        <w:br/>
        <w:t>8. Reference List ......................................</w:t>
      </w:r>
      <w:r w:rsidR="001362ED">
        <w:rPr>
          <w:rFonts w:ascii="Arial" w:hAnsi="Arial" w:cs="Arial"/>
          <w:sz w:val="22"/>
          <w:szCs w:val="22"/>
        </w:rPr>
        <w:t>.......................................................</w:t>
      </w:r>
      <w:r w:rsidRPr="00D03831">
        <w:rPr>
          <w:rFonts w:ascii="Arial" w:hAnsi="Arial" w:cs="Arial"/>
          <w:sz w:val="22"/>
          <w:szCs w:val="22"/>
        </w:rPr>
        <w:t>.........</w:t>
      </w:r>
      <w:r w:rsidR="001362ED">
        <w:rPr>
          <w:rFonts w:ascii="Arial" w:hAnsi="Arial" w:cs="Arial"/>
          <w:sz w:val="22"/>
          <w:szCs w:val="22"/>
        </w:rPr>
        <w:t>..</w:t>
      </w:r>
      <w:r w:rsidRPr="00D03831">
        <w:rPr>
          <w:rFonts w:ascii="Arial" w:hAnsi="Arial" w:cs="Arial"/>
          <w:sz w:val="22"/>
          <w:szCs w:val="22"/>
        </w:rPr>
        <w:t>........... 1</w:t>
      </w:r>
      <w:r w:rsidR="001362ED">
        <w:rPr>
          <w:rFonts w:ascii="Arial" w:hAnsi="Arial" w:cs="Arial"/>
          <w:sz w:val="22"/>
          <w:szCs w:val="22"/>
        </w:rPr>
        <w:t>6</w:t>
      </w:r>
    </w:p>
    <w:p w14:paraId="14032483" w14:textId="77777777" w:rsidR="006A7957" w:rsidRPr="00D03831" w:rsidRDefault="006A7957" w:rsidP="00D03831">
      <w:pPr>
        <w:spacing w:line="360" w:lineRule="auto"/>
        <w:rPr>
          <w:rFonts w:ascii="Arial" w:hAnsi="Arial" w:cs="Arial"/>
          <w:sz w:val="22"/>
          <w:szCs w:val="22"/>
        </w:rPr>
      </w:pPr>
    </w:p>
    <w:p w14:paraId="2A0999B9" w14:textId="77777777" w:rsidR="006A7957" w:rsidRDefault="006A7957" w:rsidP="006B5A17">
      <w:pPr>
        <w:spacing w:line="360" w:lineRule="auto"/>
        <w:jc w:val="both"/>
        <w:rPr>
          <w:rFonts w:ascii="Arial" w:hAnsi="Arial" w:cs="Arial"/>
          <w:b/>
          <w:bCs/>
          <w:sz w:val="28"/>
          <w:szCs w:val="28"/>
        </w:rPr>
      </w:pPr>
    </w:p>
    <w:p w14:paraId="3C1F316A" w14:textId="77777777" w:rsidR="006A7957" w:rsidRDefault="006A7957" w:rsidP="006B5A17">
      <w:pPr>
        <w:spacing w:line="360" w:lineRule="auto"/>
        <w:jc w:val="both"/>
        <w:rPr>
          <w:rFonts w:ascii="Arial" w:hAnsi="Arial" w:cs="Arial"/>
          <w:b/>
          <w:bCs/>
          <w:sz w:val="28"/>
          <w:szCs w:val="28"/>
        </w:rPr>
      </w:pPr>
    </w:p>
    <w:p w14:paraId="7FE6D1FD" w14:textId="77777777" w:rsidR="006A7957" w:rsidRDefault="006A7957" w:rsidP="006B5A17">
      <w:pPr>
        <w:spacing w:line="360" w:lineRule="auto"/>
        <w:jc w:val="both"/>
        <w:rPr>
          <w:rFonts w:ascii="Arial" w:hAnsi="Arial" w:cs="Arial"/>
          <w:b/>
          <w:bCs/>
          <w:sz w:val="28"/>
          <w:szCs w:val="28"/>
        </w:rPr>
      </w:pPr>
    </w:p>
    <w:p w14:paraId="4D29D86C" w14:textId="77777777" w:rsidR="006A7957" w:rsidRDefault="006A7957" w:rsidP="006B5A17">
      <w:pPr>
        <w:spacing w:line="360" w:lineRule="auto"/>
        <w:jc w:val="both"/>
        <w:rPr>
          <w:rFonts w:ascii="Arial" w:hAnsi="Arial" w:cs="Arial"/>
          <w:b/>
          <w:bCs/>
          <w:sz w:val="28"/>
          <w:szCs w:val="28"/>
        </w:rPr>
      </w:pPr>
    </w:p>
    <w:p w14:paraId="66A9230C" w14:textId="77777777" w:rsidR="006A7957" w:rsidRDefault="006A7957" w:rsidP="006B5A17">
      <w:pPr>
        <w:spacing w:line="360" w:lineRule="auto"/>
        <w:jc w:val="both"/>
        <w:rPr>
          <w:rFonts w:ascii="Arial" w:hAnsi="Arial" w:cs="Arial"/>
          <w:b/>
          <w:bCs/>
          <w:sz w:val="28"/>
          <w:szCs w:val="28"/>
        </w:rPr>
      </w:pPr>
    </w:p>
    <w:p w14:paraId="1FE81A80" w14:textId="77777777" w:rsidR="006A7957" w:rsidRDefault="006A7957" w:rsidP="006B5A17">
      <w:pPr>
        <w:spacing w:line="360" w:lineRule="auto"/>
        <w:jc w:val="both"/>
        <w:rPr>
          <w:rFonts w:ascii="Arial" w:hAnsi="Arial" w:cs="Arial"/>
          <w:b/>
          <w:bCs/>
          <w:sz w:val="28"/>
          <w:szCs w:val="28"/>
        </w:rPr>
      </w:pPr>
    </w:p>
    <w:p w14:paraId="55440137" w14:textId="77777777" w:rsidR="00B80D44" w:rsidRDefault="00B80D44" w:rsidP="006B5A17">
      <w:pPr>
        <w:spacing w:line="360" w:lineRule="auto"/>
        <w:jc w:val="both"/>
        <w:rPr>
          <w:rFonts w:ascii="Arial" w:hAnsi="Arial" w:cs="Arial"/>
          <w:b/>
          <w:bCs/>
          <w:sz w:val="28"/>
          <w:szCs w:val="28"/>
        </w:rPr>
      </w:pPr>
    </w:p>
    <w:p w14:paraId="66235AD3" w14:textId="77777777" w:rsidR="00B80D44" w:rsidRDefault="00B80D44" w:rsidP="006B5A17">
      <w:pPr>
        <w:spacing w:line="360" w:lineRule="auto"/>
        <w:jc w:val="both"/>
        <w:rPr>
          <w:rFonts w:ascii="Arial" w:hAnsi="Arial" w:cs="Arial"/>
          <w:b/>
          <w:bCs/>
          <w:sz w:val="28"/>
          <w:szCs w:val="28"/>
        </w:rPr>
      </w:pPr>
    </w:p>
    <w:p w14:paraId="6D6B41A0" w14:textId="77777777" w:rsidR="00FF56B0" w:rsidRDefault="00FF56B0" w:rsidP="006B5A17">
      <w:pPr>
        <w:spacing w:line="360" w:lineRule="auto"/>
        <w:jc w:val="both"/>
        <w:rPr>
          <w:rFonts w:ascii="Arial" w:hAnsi="Arial" w:cs="Arial"/>
          <w:b/>
          <w:bCs/>
          <w:sz w:val="28"/>
          <w:szCs w:val="28"/>
        </w:rPr>
      </w:pPr>
    </w:p>
    <w:p w14:paraId="06D81CE4" w14:textId="77777777" w:rsidR="00FF56B0" w:rsidRDefault="00FF56B0" w:rsidP="006B5A17">
      <w:pPr>
        <w:spacing w:line="360" w:lineRule="auto"/>
        <w:jc w:val="both"/>
        <w:rPr>
          <w:rFonts w:ascii="Arial" w:hAnsi="Arial" w:cs="Arial"/>
          <w:b/>
          <w:bCs/>
          <w:sz w:val="28"/>
          <w:szCs w:val="28"/>
        </w:rPr>
      </w:pPr>
    </w:p>
    <w:p w14:paraId="0967061E" w14:textId="77777777" w:rsidR="00B80D44" w:rsidRDefault="00B80D44" w:rsidP="006B5A17">
      <w:pPr>
        <w:spacing w:line="360" w:lineRule="auto"/>
        <w:jc w:val="both"/>
        <w:rPr>
          <w:rFonts w:ascii="Arial" w:hAnsi="Arial" w:cs="Arial"/>
          <w:b/>
          <w:bCs/>
          <w:sz w:val="28"/>
          <w:szCs w:val="28"/>
        </w:rPr>
      </w:pPr>
    </w:p>
    <w:p w14:paraId="78E5D385" w14:textId="77777777" w:rsidR="00B80D44" w:rsidRDefault="00B80D44" w:rsidP="006B5A17">
      <w:pPr>
        <w:spacing w:line="360" w:lineRule="auto"/>
        <w:jc w:val="both"/>
        <w:rPr>
          <w:rFonts w:ascii="Arial" w:hAnsi="Arial" w:cs="Arial"/>
          <w:b/>
          <w:bCs/>
          <w:sz w:val="28"/>
          <w:szCs w:val="28"/>
        </w:rPr>
      </w:pPr>
    </w:p>
    <w:p w14:paraId="0030E8C5" w14:textId="77777777" w:rsidR="006A7957" w:rsidRDefault="006A7957" w:rsidP="006B5A17">
      <w:pPr>
        <w:spacing w:line="360" w:lineRule="auto"/>
        <w:jc w:val="both"/>
        <w:rPr>
          <w:rFonts w:ascii="Arial" w:hAnsi="Arial" w:cs="Arial"/>
          <w:b/>
          <w:bCs/>
          <w:sz w:val="28"/>
          <w:szCs w:val="28"/>
        </w:rPr>
      </w:pPr>
    </w:p>
    <w:p w14:paraId="093B6202" w14:textId="6F5E907A" w:rsidR="006B5A17" w:rsidRPr="00B02785" w:rsidRDefault="006B5A17" w:rsidP="006B5A17">
      <w:pPr>
        <w:spacing w:line="360" w:lineRule="auto"/>
        <w:jc w:val="both"/>
        <w:rPr>
          <w:rFonts w:ascii="Arial" w:hAnsi="Arial" w:cs="Arial"/>
          <w:b/>
          <w:bCs/>
          <w:sz w:val="28"/>
          <w:szCs w:val="28"/>
        </w:rPr>
      </w:pPr>
      <w:r w:rsidRPr="00B02785">
        <w:rPr>
          <w:rFonts w:ascii="Arial" w:hAnsi="Arial" w:cs="Arial"/>
          <w:b/>
          <w:bCs/>
          <w:sz w:val="28"/>
          <w:szCs w:val="28"/>
        </w:rPr>
        <w:lastRenderedPageBreak/>
        <w:t xml:space="preserve">Abstract </w:t>
      </w:r>
    </w:p>
    <w:p w14:paraId="61BA1676" w14:textId="77777777" w:rsidR="00257BF4" w:rsidRPr="00257BF4" w:rsidRDefault="00257BF4" w:rsidP="00257BF4">
      <w:pPr>
        <w:spacing w:line="360" w:lineRule="auto"/>
        <w:jc w:val="both"/>
        <w:rPr>
          <w:rFonts w:ascii="Arial" w:hAnsi="Arial" w:cs="Arial"/>
          <w:sz w:val="22"/>
          <w:szCs w:val="22"/>
        </w:rPr>
      </w:pPr>
      <w:r w:rsidRPr="00257BF4">
        <w:rPr>
          <w:rFonts w:ascii="Arial" w:hAnsi="Arial" w:cs="Arial"/>
          <w:sz w:val="22"/>
          <w:szCs w:val="22"/>
        </w:rPr>
        <w:t>This report presents a scoping review of anxiety among adolescents in the United Kingdom. The review focuses on key themes identified in the peer-reviewed literature, including risk factors, lived experiences, help-seeking behaviours, and intervention approaches. A thematic analysis was conducted on six peer-reviewed studies identified through systematic database searches.</w:t>
      </w:r>
    </w:p>
    <w:p w14:paraId="3AFC8D00" w14:textId="77777777" w:rsidR="00257BF4" w:rsidRPr="00257BF4" w:rsidRDefault="00257BF4" w:rsidP="00257BF4">
      <w:pPr>
        <w:spacing w:line="360" w:lineRule="auto"/>
        <w:jc w:val="both"/>
        <w:rPr>
          <w:rFonts w:ascii="Arial" w:hAnsi="Arial" w:cs="Arial"/>
          <w:sz w:val="22"/>
          <w:szCs w:val="22"/>
        </w:rPr>
      </w:pPr>
      <w:r w:rsidRPr="00257BF4">
        <w:rPr>
          <w:rFonts w:ascii="Arial" w:hAnsi="Arial" w:cs="Arial"/>
          <w:sz w:val="22"/>
          <w:szCs w:val="22"/>
        </w:rPr>
        <w:t>The findings highlight several important themes, including the impact of digital environments such as social media use, the lived experiences of adolescents with anxiety, and barriers to accessing support. The review also identifies challenges in the delivery of interventions within Child and Adolescent Mental Health Services (CAMHS), as well as the effects of social isolation on mental health outcomes.</w:t>
      </w:r>
    </w:p>
    <w:p w14:paraId="05BA1491" w14:textId="77777777" w:rsidR="00257BF4" w:rsidRPr="00257BF4" w:rsidRDefault="00257BF4" w:rsidP="00257BF4">
      <w:pPr>
        <w:spacing w:line="360" w:lineRule="auto"/>
        <w:jc w:val="both"/>
        <w:rPr>
          <w:rFonts w:ascii="Arial" w:hAnsi="Arial" w:cs="Arial"/>
          <w:sz w:val="22"/>
          <w:szCs w:val="22"/>
        </w:rPr>
      </w:pPr>
      <w:r w:rsidRPr="00257BF4">
        <w:rPr>
          <w:rFonts w:ascii="Arial" w:hAnsi="Arial" w:cs="Arial"/>
          <w:sz w:val="22"/>
          <w:szCs w:val="22"/>
        </w:rPr>
        <w:t>Overall, the review highlights that social, digital, and service-related factors play a significant role in shaping adolescent anxiety. It further suggests that improved access to support and continued research are necessary to enhance health and social care practice in the United Kingdom.</w:t>
      </w:r>
    </w:p>
    <w:p w14:paraId="35EFB10C" w14:textId="77777777" w:rsidR="00DD7F35" w:rsidRDefault="00DD7F35" w:rsidP="006B5A17">
      <w:pPr>
        <w:spacing w:line="360" w:lineRule="auto"/>
        <w:jc w:val="both"/>
        <w:rPr>
          <w:rFonts w:ascii="Arial" w:hAnsi="Arial" w:cs="Arial"/>
          <w:sz w:val="22"/>
          <w:szCs w:val="22"/>
        </w:rPr>
      </w:pPr>
    </w:p>
    <w:p w14:paraId="76B961ED" w14:textId="77777777" w:rsidR="00DD7F35" w:rsidRDefault="00DD7F35" w:rsidP="006B5A17">
      <w:pPr>
        <w:spacing w:line="360" w:lineRule="auto"/>
        <w:jc w:val="both"/>
        <w:rPr>
          <w:rFonts w:ascii="Arial" w:hAnsi="Arial" w:cs="Arial"/>
          <w:sz w:val="22"/>
          <w:szCs w:val="22"/>
        </w:rPr>
      </w:pPr>
    </w:p>
    <w:p w14:paraId="1F94DA16" w14:textId="77777777" w:rsidR="00DD7F35" w:rsidRDefault="00DD7F35" w:rsidP="006B5A17">
      <w:pPr>
        <w:spacing w:line="360" w:lineRule="auto"/>
        <w:jc w:val="both"/>
        <w:rPr>
          <w:rFonts w:ascii="Arial" w:hAnsi="Arial" w:cs="Arial"/>
          <w:sz w:val="22"/>
          <w:szCs w:val="22"/>
        </w:rPr>
      </w:pPr>
    </w:p>
    <w:p w14:paraId="2BAFBFAF" w14:textId="77777777" w:rsidR="00DD7F35" w:rsidRDefault="00DD7F35" w:rsidP="006B5A17">
      <w:pPr>
        <w:spacing w:line="360" w:lineRule="auto"/>
        <w:jc w:val="both"/>
        <w:rPr>
          <w:rFonts w:ascii="Arial" w:hAnsi="Arial" w:cs="Arial"/>
          <w:sz w:val="22"/>
          <w:szCs w:val="22"/>
        </w:rPr>
      </w:pPr>
    </w:p>
    <w:p w14:paraId="4F40DECC" w14:textId="77777777" w:rsidR="00DD7F35" w:rsidRDefault="00DD7F35" w:rsidP="006B5A17">
      <w:pPr>
        <w:spacing w:line="360" w:lineRule="auto"/>
        <w:jc w:val="both"/>
        <w:rPr>
          <w:rFonts w:ascii="Arial" w:hAnsi="Arial" w:cs="Arial"/>
          <w:sz w:val="22"/>
          <w:szCs w:val="22"/>
        </w:rPr>
      </w:pPr>
    </w:p>
    <w:p w14:paraId="17DCEAE1" w14:textId="77777777" w:rsidR="00D41835" w:rsidRDefault="00D41835" w:rsidP="006B5A17">
      <w:pPr>
        <w:spacing w:line="360" w:lineRule="auto"/>
        <w:jc w:val="both"/>
        <w:rPr>
          <w:rFonts w:ascii="Arial" w:hAnsi="Arial" w:cs="Arial"/>
          <w:sz w:val="22"/>
          <w:szCs w:val="22"/>
        </w:rPr>
      </w:pPr>
    </w:p>
    <w:p w14:paraId="2F8CA30A" w14:textId="77777777" w:rsidR="00D41835" w:rsidRDefault="00D41835" w:rsidP="006B5A17">
      <w:pPr>
        <w:spacing w:line="360" w:lineRule="auto"/>
        <w:jc w:val="both"/>
        <w:rPr>
          <w:rFonts w:ascii="Arial" w:hAnsi="Arial" w:cs="Arial"/>
          <w:sz w:val="22"/>
          <w:szCs w:val="22"/>
        </w:rPr>
      </w:pPr>
    </w:p>
    <w:p w14:paraId="5717A616" w14:textId="77777777" w:rsidR="00D41835" w:rsidRDefault="00D41835" w:rsidP="006B5A17">
      <w:pPr>
        <w:spacing w:line="360" w:lineRule="auto"/>
        <w:jc w:val="both"/>
        <w:rPr>
          <w:rFonts w:ascii="Arial" w:hAnsi="Arial" w:cs="Arial"/>
          <w:sz w:val="22"/>
          <w:szCs w:val="22"/>
        </w:rPr>
      </w:pPr>
    </w:p>
    <w:p w14:paraId="06D2A21D" w14:textId="77777777" w:rsidR="00D41835" w:rsidRDefault="00D41835" w:rsidP="006B5A17">
      <w:pPr>
        <w:spacing w:line="360" w:lineRule="auto"/>
        <w:jc w:val="both"/>
        <w:rPr>
          <w:rFonts w:ascii="Arial" w:hAnsi="Arial" w:cs="Arial"/>
          <w:sz w:val="22"/>
          <w:szCs w:val="22"/>
        </w:rPr>
      </w:pPr>
    </w:p>
    <w:p w14:paraId="352C99CE" w14:textId="77777777" w:rsidR="00D41835" w:rsidRDefault="00D41835" w:rsidP="006B5A17">
      <w:pPr>
        <w:spacing w:line="360" w:lineRule="auto"/>
        <w:jc w:val="both"/>
        <w:rPr>
          <w:rFonts w:ascii="Arial" w:hAnsi="Arial" w:cs="Arial"/>
          <w:sz w:val="22"/>
          <w:szCs w:val="22"/>
        </w:rPr>
      </w:pPr>
    </w:p>
    <w:p w14:paraId="008B6AE1" w14:textId="77777777" w:rsidR="00B80D44" w:rsidRDefault="00B80D44" w:rsidP="006B5A17">
      <w:pPr>
        <w:spacing w:line="360" w:lineRule="auto"/>
        <w:jc w:val="both"/>
        <w:rPr>
          <w:rFonts w:ascii="Arial" w:hAnsi="Arial" w:cs="Arial"/>
          <w:sz w:val="22"/>
          <w:szCs w:val="22"/>
        </w:rPr>
      </w:pPr>
    </w:p>
    <w:p w14:paraId="6B4A8AB9" w14:textId="77777777" w:rsidR="00D41835" w:rsidRDefault="00D41835" w:rsidP="006B5A17">
      <w:pPr>
        <w:spacing w:line="360" w:lineRule="auto"/>
        <w:jc w:val="both"/>
        <w:rPr>
          <w:rFonts w:ascii="Arial" w:hAnsi="Arial" w:cs="Arial"/>
          <w:sz w:val="22"/>
          <w:szCs w:val="22"/>
        </w:rPr>
      </w:pPr>
    </w:p>
    <w:p w14:paraId="4285BCA0" w14:textId="77777777" w:rsidR="005F19FA" w:rsidRDefault="005F19FA" w:rsidP="006B5A17">
      <w:pPr>
        <w:spacing w:line="360" w:lineRule="auto"/>
        <w:jc w:val="both"/>
        <w:rPr>
          <w:rFonts w:ascii="Arial" w:hAnsi="Arial" w:cs="Arial"/>
          <w:sz w:val="22"/>
          <w:szCs w:val="22"/>
        </w:rPr>
      </w:pPr>
    </w:p>
    <w:p w14:paraId="13FF83DA" w14:textId="77777777" w:rsidR="00D41835" w:rsidRDefault="00D41835" w:rsidP="006B5A17">
      <w:pPr>
        <w:spacing w:line="360" w:lineRule="auto"/>
        <w:jc w:val="both"/>
        <w:rPr>
          <w:rFonts w:ascii="Arial" w:hAnsi="Arial" w:cs="Arial"/>
          <w:sz w:val="22"/>
          <w:szCs w:val="22"/>
        </w:rPr>
      </w:pPr>
    </w:p>
    <w:p w14:paraId="6E17DAFB" w14:textId="77777777" w:rsidR="00D41835" w:rsidRPr="00D41835" w:rsidRDefault="00D41835" w:rsidP="00D41835">
      <w:pPr>
        <w:spacing w:line="360" w:lineRule="auto"/>
        <w:jc w:val="both"/>
        <w:rPr>
          <w:rFonts w:ascii="Arial" w:hAnsi="Arial" w:cs="Arial"/>
          <w:b/>
          <w:bCs/>
          <w:sz w:val="22"/>
          <w:szCs w:val="22"/>
        </w:rPr>
      </w:pPr>
      <w:r w:rsidRPr="00D41835">
        <w:rPr>
          <w:rFonts w:ascii="Arial" w:hAnsi="Arial" w:cs="Arial"/>
          <w:b/>
          <w:bCs/>
          <w:sz w:val="22"/>
          <w:szCs w:val="22"/>
        </w:rPr>
        <w:lastRenderedPageBreak/>
        <w:t>1. Introduction</w:t>
      </w:r>
    </w:p>
    <w:p w14:paraId="2438B66D" w14:textId="77777777" w:rsidR="00D41835" w:rsidRPr="00D41835" w:rsidRDefault="00D41835" w:rsidP="00D41835">
      <w:pPr>
        <w:spacing w:line="360" w:lineRule="auto"/>
        <w:jc w:val="both"/>
        <w:rPr>
          <w:rFonts w:ascii="Arial" w:hAnsi="Arial" w:cs="Arial"/>
          <w:sz w:val="22"/>
          <w:szCs w:val="22"/>
        </w:rPr>
      </w:pPr>
      <w:r w:rsidRPr="00D41835">
        <w:rPr>
          <w:rFonts w:ascii="Arial" w:hAnsi="Arial" w:cs="Arial"/>
          <w:sz w:val="22"/>
          <w:szCs w:val="22"/>
        </w:rPr>
        <w:t>Adolescence is a critical developmental period characterised by rapid physical, psychological, and social changes (Steinberg, 2014; Sawyer et al., 2018). During this stage, young people are more vulnerable to the development of mental health challenges, particularly anxiety disorders. Anxiety can be defined as a persistent feeling of fear, apprehension, or nervousness that affects emotional wellbeing and daily functioning (Walter et al., 2020). Although a moderate level of anxiety is a natural response to stress, prolonged and severe anxiety during adolescence has been shown to negatively impact academic performance, social relationships, and overall quality of life (</w:t>
      </w:r>
      <w:proofErr w:type="spellStart"/>
      <w:r w:rsidRPr="00D41835">
        <w:rPr>
          <w:rFonts w:ascii="Arial" w:hAnsi="Arial" w:cs="Arial"/>
          <w:sz w:val="22"/>
          <w:szCs w:val="22"/>
        </w:rPr>
        <w:t>Polanczyk</w:t>
      </w:r>
      <w:proofErr w:type="spellEnd"/>
      <w:r w:rsidRPr="00D41835">
        <w:rPr>
          <w:rFonts w:ascii="Arial" w:hAnsi="Arial" w:cs="Arial"/>
          <w:sz w:val="22"/>
          <w:szCs w:val="22"/>
        </w:rPr>
        <w:t xml:space="preserve"> et al., 2015).</w:t>
      </w:r>
    </w:p>
    <w:p w14:paraId="2EBB49D7" w14:textId="77777777" w:rsidR="00D41835" w:rsidRPr="00D41835" w:rsidRDefault="00D41835" w:rsidP="00D41835">
      <w:pPr>
        <w:spacing w:line="360" w:lineRule="auto"/>
        <w:jc w:val="both"/>
        <w:rPr>
          <w:rFonts w:ascii="Arial" w:hAnsi="Arial" w:cs="Arial"/>
          <w:sz w:val="22"/>
          <w:szCs w:val="22"/>
        </w:rPr>
      </w:pPr>
      <w:r w:rsidRPr="00D41835">
        <w:rPr>
          <w:rFonts w:ascii="Arial" w:hAnsi="Arial" w:cs="Arial"/>
          <w:sz w:val="22"/>
          <w:szCs w:val="22"/>
        </w:rPr>
        <w:t>Anxiety disorders are among the most common mental health conditions affecting young people globally (</w:t>
      </w:r>
      <w:proofErr w:type="spellStart"/>
      <w:r w:rsidRPr="00D41835">
        <w:rPr>
          <w:rFonts w:ascii="Arial" w:hAnsi="Arial" w:cs="Arial"/>
          <w:sz w:val="22"/>
          <w:szCs w:val="22"/>
        </w:rPr>
        <w:t>Merikangas</w:t>
      </w:r>
      <w:proofErr w:type="spellEnd"/>
      <w:r w:rsidRPr="00D41835">
        <w:rPr>
          <w:rFonts w:ascii="Arial" w:hAnsi="Arial" w:cs="Arial"/>
          <w:sz w:val="22"/>
          <w:szCs w:val="22"/>
        </w:rPr>
        <w:t xml:space="preserve"> et al., 2010). In recent years, adolescent mental health has become an increasing concern in the United Kingdom. A range of social, environmental, and psychological factors, including academic stress, family relationships, peer interactions, and the growing use of digital technologies and social media, have been linked to the development of anxiety in this population. In addition, stigma, lack of awareness of available services, and fear of judgement often prevent adolescents from seeking professional help (</w:t>
      </w:r>
      <w:proofErr w:type="spellStart"/>
      <w:r w:rsidRPr="00D41835">
        <w:rPr>
          <w:rFonts w:ascii="Arial" w:hAnsi="Arial" w:cs="Arial"/>
          <w:sz w:val="22"/>
          <w:szCs w:val="22"/>
        </w:rPr>
        <w:t>Radez</w:t>
      </w:r>
      <w:proofErr w:type="spellEnd"/>
      <w:r w:rsidRPr="00D41835">
        <w:rPr>
          <w:rFonts w:ascii="Arial" w:hAnsi="Arial" w:cs="Arial"/>
          <w:sz w:val="22"/>
          <w:szCs w:val="22"/>
        </w:rPr>
        <w:t xml:space="preserve"> et al., 2022).</w:t>
      </w:r>
    </w:p>
    <w:p w14:paraId="620C9991" w14:textId="77777777" w:rsidR="00D41835" w:rsidRPr="00D41835" w:rsidRDefault="00D41835" w:rsidP="00D41835">
      <w:pPr>
        <w:spacing w:line="360" w:lineRule="auto"/>
        <w:jc w:val="both"/>
        <w:rPr>
          <w:rFonts w:ascii="Arial" w:hAnsi="Arial" w:cs="Arial"/>
          <w:sz w:val="22"/>
          <w:szCs w:val="22"/>
        </w:rPr>
      </w:pPr>
      <w:r w:rsidRPr="00D41835">
        <w:rPr>
          <w:rFonts w:ascii="Arial" w:hAnsi="Arial" w:cs="Arial"/>
          <w:sz w:val="22"/>
          <w:szCs w:val="22"/>
        </w:rPr>
        <w:t>Health and social care services therefore play an important role in understanding the factors that contribute to adolescent anxiety and in developing effective support strategies. One way to explore this is through a review of existing research and the identification of key themes within the literature. Scoping reviews are particularly useful for mapping existing evidence and identifying gaps in knowledge (Arksey and O’Malley, 2005).</w:t>
      </w:r>
    </w:p>
    <w:p w14:paraId="186C2F10" w14:textId="77777777" w:rsidR="00D41835" w:rsidRPr="00D41835" w:rsidRDefault="00D41835" w:rsidP="00D41835">
      <w:pPr>
        <w:spacing w:line="360" w:lineRule="auto"/>
        <w:jc w:val="both"/>
        <w:rPr>
          <w:rFonts w:ascii="Arial" w:hAnsi="Arial" w:cs="Arial"/>
          <w:sz w:val="22"/>
          <w:szCs w:val="22"/>
        </w:rPr>
      </w:pPr>
      <w:r w:rsidRPr="00D41835">
        <w:rPr>
          <w:rFonts w:ascii="Arial" w:hAnsi="Arial" w:cs="Arial"/>
          <w:sz w:val="22"/>
          <w:szCs w:val="22"/>
        </w:rPr>
        <w:t>This scoping review examines peer-reviewed studies on anxiety among adolescents in the United Kingdom. It is guided by the following research question: What are the main themes identified in peer-reviewed literature on adolescent anxiety in the United Kingdom, and how can this information inform support and intervention strategies? The objectives of this review are to identify key themes in the literature, explore risk factors and lived experiences, examine support and intervention approaches, and highlight gaps in the current evidence base to inform future research and practice.</w:t>
      </w:r>
    </w:p>
    <w:p w14:paraId="4D8E1AC4" w14:textId="77777777" w:rsidR="00D41835" w:rsidRPr="00D41835" w:rsidRDefault="00D41835" w:rsidP="00D41835">
      <w:pPr>
        <w:spacing w:line="360" w:lineRule="auto"/>
        <w:jc w:val="both"/>
        <w:rPr>
          <w:rFonts w:ascii="Arial" w:hAnsi="Arial" w:cs="Arial"/>
          <w:sz w:val="22"/>
          <w:szCs w:val="22"/>
        </w:rPr>
      </w:pPr>
    </w:p>
    <w:p w14:paraId="2BF545B8" w14:textId="77777777" w:rsidR="00DD7F35" w:rsidRDefault="00DD7F35" w:rsidP="006B5A17">
      <w:pPr>
        <w:spacing w:line="360" w:lineRule="auto"/>
        <w:jc w:val="both"/>
        <w:rPr>
          <w:rFonts w:ascii="Arial" w:hAnsi="Arial" w:cs="Arial"/>
          <w:sz w:val="22"/>
          <w:szCs w:val="22"/>
        </w:rPr>
      </w:pPr>
    </w:p>
    <w:p w14:paraId="0760426B" w14:textId="77777777" w:rsidR="00DD7F35" w:rsidRDefault="00DD7F35" w:rsidP="006B5A17">
      <w:pPr>
        <w:spacing w:line="360" w:lineRule="auto"/>
        <w:jc w:val="both"/>
        <w:rPr>
          <w:rFonts w:ascii="Arial" w:hAnsi="Arial" w:cs="Arial"/>
          <w:sz w:val="22"/>
          <w:szCs w:val="22"/>
        </w:rPr>
      </w:pPr>
    </w:p>
    <w:p w14:paraId="09DF6DDF" w14:textId="77777777" w:rsidR="00BE0089" w:rsidRDefault="00BE0089" w:rsidP="0053050D">
      <w:pPr>
        <w:spacing w:line="360" w:lineRule="auto"/>
        <w:jc w:val="both"/>
        <w:rPr>
          <w:rFonts w:ascii="Arial" w:hAnsi="Arial" w:cs="Arial"/>
          <w:sz w:val="22"/>
          <w:szCs w:val="22"/>
        </w:rPr>
      </w:pPr>
    </w:p>
    <w:p w14:paraId="10D481BD" w14:textId="14F15891" w:rsidR="00650060" w:rsidRPr="00BE0089" w:rsidRDefault="00650060" w:rsidP="0053050D">
      <w:pPr>
        <w:spacing w:line="360" w:lineRule="auto"/>
        <w:jc w:val="both"/>
        <w:rPr>
          <w:rFonts w:ascii="Arial" w:hAnsi="Arial" w:cs="Arial"/>
          <w:b/>
          <w:bCs/>
        </w:rPr>
      </w:pPr>
      <w:r w:rsidRPr="00BE0089">
        <w:rPr>
          <w:rFonts w:ascii="Arial" w:hAnsi="Arial" w:cs="Arial"/>
          <w:b/>
          <w:bCs/>
        </w:rPr>
        <w:lastRenderedPageBreak/>
        <w:t>2. Background</w:t>
      </w:r>
    </w:p>
    <w:p w14:paraId="2286D599" w14:textId="77777777" w:rsidR="0053050D" w:rsidRPr="0053050D" w:rsidRDefault="0053050D" w:rsidP="0053050D">
      <w:pPr>
        <w:spacing w:line="360" w:lineRule="auto"/>
        <w:jc w:val="both"/>
        <w:rPr>
          <w:rFonts w:ascii="Arial" w:hAnsi="Arial" w:cs="Arial"/>
          <w:sz w:val="22"/>
          <w:szCs w:val="22"/>
        </w:rPr>
      </w:pPr>
      <w:r w:rsidRPr="0053050D">
        <w:rPr>
          <w:rFonts w:ascii="Arial" w:hAnsi="Arial" w:cs="Arial"/>
          <w:sz w:val="22"/>
          <w:szCs w:val="22"/>
        </w:rPr>
        <w:t>Adolescence is a critical developmental period characterised by rapid physical, psychological, and social changes (Steinberg, 2014; Sawyer et al., 2018). During this period, young people are more vulnerable to mental health challenges. Anxiety is defined as fear, apprehension, or nervousness that affects emotional wellbeing and daily functioning (Walter et al., 2020). Although a moderate level of anxiety is a natural response to stress, prolonged anxiety during adolescence negatively impacts academic performance, social interactions, and quality of life (</w:t>
      </w:r>
      <w:proofErr w:type="spellStart"/>
      <w:r w:rsidRPr="0053050D">
        <w:rPr>
          <w:rFonts w:ascii="Arial" w:hAnsi="Arial" w:cs="Arial"/>
          <w:sz w:val="22"/>
          <w:szCs w:val="22"/>
        </w:rPr>
        <w:t>Polanczyk</w:t>
      </w:r>
      <w:proofErr w:type="spellEnd"/>
      <w:r w:rsidRPr="0053050D">
        <w:rPr>
          <w:rFonts w:ascii="Arial" w:hAnsi="Arial" w:cs="Arial"/>
          <w:sz w:val="22"/>
          <w:szCs w:val="22"/>
        </w:rPr>
        <w:t xml:space="preserve"> et al., 2015).</w:t>
      </w:r>
    </w:p>
    <w:p w14:paraId="32339658" w14:textId="133D0ADD" w:rsidR="00650060" w:rsidRPr="00650060" w:rsidRDefault="0053050D" w:rsidP="0053050D">
      <w:pPr>
        <w:spacing w:line="360" w:lineRule="auto"/>
        <w:jc w:val="both"/>
        <w:rPr>
          <w:rFonts w:ascii="Arial" w:hAnsi="Arial" w:cs="Arial"/>
          <w:sz w:val="22"/>
          <w:szCs w:val="22"/>
        </w:rPr>
      </w:pPr>
      <w:r w:rsidRPr="0053050D">
        <w:rPr>
          <w:rFonts w:ascii="Arial" w:hAnsi="Arial" w:cs="Arial"/>
          <w:sz w:val="22"/>
          <w:szCs w:val="22"/>
        </w:rPr>
        <w:t>Anxiety disorders are among the most common mental health conditions (</w:t>
      </w:r>
      <w:proofErr w:type="spellStart"/>
      <w:r w:rsidRPr="0053050D">
        <w:rPr>
          <w:rFonts w:ascii="Arial" w:hAnsi="Arial" w:cs="Arial"/>
          <w:sz w:val="22"/>
          <w:szCs w:val="22"/>
        </w:rPr>
        <w:t>Merikangas</w:t>
      </w:r>
      <w:proofErr w:type="spellEnd"/>
      <w:r w:rsidRPr="0053050D">
        <w:rPr>
          <w:rFonts w:ascii="Arial" w:hAnsi="Arial" w:cs="Arial"/>
          <w:sz w:val="22"/>
          <w:szCs w:val="22"/>
        </w:rPr>
        <w:t xml:space="preserve"> et al., 2010). In the United Kingdom, adolescent mental health has become an increasing concern. Social and psychological factors, including academic stress, family relationships, peer interactions, and social media use, are linked to anxiety. Stigma, lack of awareness, and fear of judgement prevent adolescents from seeking professional help (</w:t>
      </w:r>
      <w:proofErr w:type="spellStart"/>
      <w:r w:rsidRPr="0053050D">
        <w:rPr>
          <w:rFonts w:ascii="Arial" w:hAnsi="Arial" w:cs="Arial"/>
          <w:sz w:val="22"/>
          <w:szCs w:val="22"/>
        </w:rPr>
        <w:t>Radez</w:t>
      </w:r>
      <w:proofErr w:type="spellEnd"/>
      <w:r w:rsidRPr="0053050D">
        <w:rPr>
          <w:rFonts w:ascii="Arial" w:hAnsi="Arial" w:cs="Arial"/>
          <w:sz w:val="22"/>
          <w:szCs w:val="22"/>
        </w:rPr>
        <w:t xml:space="preserve"> et al., 2022).</w:t>
      </w:r>
    </w:p>
    <w:p w14:paraId="3631A68F" w14:textId="77777777" w:rsidR="00650060" w:rsidRPr="006B6785" w:rsidRDefault="00650060" w:rsidP="0053050D">
      <w:pPr>
        <w:spacing w:line="360" w:lineRule="auto"/>
        <w:jc w:val="both"/>
        <w:rPr>
          <w:rFonts w:ascii="Arial" w:hAnsi="Arial" w:cs="Arial"/>
          <w:b/>
          <w:bCs/>
          <w:sz w:val="22"/>
          <w:szCs w:val="22"/>
        </w:rPr>
      </w:pPr>
      <w:r w:rsidRPr="006B6785">
        <w:rPr>
          <w:rFonts w:ascii="Arial" w:hAnsi="Arial" w:cs="Arial"/>
          <w:b/>
          <w:bCs/>
          <w:sz w:val="22"/>
          <w:szCs w:val="22"/>
        </w:rPr>
        <w:t>2.1 Prevalence of Anxiety Among Adolescents</w:t>
      </w:r>
    </w:p>
    <w:p w14:paraId="725D481A" w14:textId="77777777" w:rsidR="00912092" w:rsidRPr="00912092" w:rsidRDefault="00912092" w:rsidP="00912092">
      <w:pPr>
        <w:spacing w:line="360" w:lineRule="auto"/>
        <w:jc w:val="both"/>
        <w:rPr>
          <w:rFonts w:ascii="Arial" w:hAnsi="Arial" w:cs="Arial"/>
          <w:sz w:val="22"/>
          <w:szCs w:val="22"/>
        </w:rPr>
      </w:pPr>
      <w:r w:rsidRPr="00912092">
        <w:rPr>
          <w:rFonts w:ascii="Arial" w:hAnsi="Arial" w:cs="Arial"/>
          <w:sz w:val="22"/>
          <w:szCs w:val="22"/>
        </w:rPr>
        <w:t xml:space="preserve">Anxiety among adolescents in the United Kingdom is a significant population health concern. Anxiety disorders are among the most common psychiatric conditions affecting young people, impacting emotional wellbeing, academic performance, and social functioning (Costello et al., 2011; </w:t>
      </w:r>
      <w:proofErr w:type="spellStart"/>
      <w:r w:rsidRPr="00912092">
        <w:rPr>
          <w:rFonts w:ascii="Arial" w:hAnsi="Arial" w:cs="Arial"/>
          <w:sz w:val="22"/>
          <w:szCs w:val="22"/>
        </w:rPr>
        <w:t>Beesdo</w:t>
      </w:r>
      <w:proofErr w:type="spellEnd"/>
      <w:r w:rsidRPr="00912092">
        <w:rPr>
          <w:rFonts w:ascii="Arial" w:hAnsi="Arial" w:cs="Arial"/>
          <w:sz w:val="22"/>
          <w:szCs w:val="22"/>
        </w:rPr>
        <w:t xml:space="preserve"> et al., 2009). Adolescence is a vulnerable stage, and early anxiety can lead to long-term mental health problems (</w:t>
      </w:r>
      <w:proofErr w:type="spellStart"/>
      <w:r w:rsidRPr="00912092">
        <w:rPr>
          <w:rFonts w:ascii="Arial" w:hAnsi="Arial" w:cs="Arial"/>
          <w:sz w:val="22"/>
          <w:szCs w:val="22"/>
        </w:rPr>
        <w:t>Polanczyk</w:t>
      </w:r>
      <w:proofErr w:type="spellEnd"/>
      <w:r w:rsidRPr="00912092">
        <w:rPr>
          <w:rFonts w:ascii="Arial" w:hAnsi="Arial" w:cs="Arial"/>
          <w:sz w:val="22"/>
          <w:szCs w:val="22"/>
        </w:rPr>
        <w:t xml:space="preserve"> et al., 2015; </w:t>
      </w:r>
      <w:proofErr w:type="spellStart"/>
      <w:r w:rsidRPr="00912092">
        <w:rPr>
          <w:rFonts w:ascii="Arial" w:hAnsi="Arial" w:cs="Arial"/>
          <w:sz w:val="22"/>
          <w:szCs w:val="22"/>
        </w:rPr>
        <w:t>Merikangas</w:t>
      </w:r>
      <w:proofErr w:type="spellEnd"/>
      <w:r w:rsidRPr="00912092">
        <w:rPr>
          <w:rFonts w:ascii="Arial" w:hAnsi="Arial" w:cs="Arial"/>
          <w:sz w:val="22"/>
          <w:szCs w:val="22"/>
        </w:rPr>
        <w:t xml:space="preserve"> et al., 2010).</w:t>
      </w:r>
    </w:p>
    <w:p w14:paraId="32F97C8C" w14:textId="454B3F38" w:rsidR="00FD37DD" w:rsidRPr="00BE0089" w:rsidRDefault="00912092" w:rsidP="0053050D">
      <w:pPr>
        <w:spacing w:line="360" w:lineRule="auto"/>
        <w:jc w:val="both"/>
        <w:rPr>
          <w:rFonts w:ascii="Arial" w:hAnsi="Arial" w:cs="Arial"/>
          <w:sz w:val="22"/>
          <w:szCs w:val="22"/>
        </w:rPr>
      </w:pPr>
      <w:r w:rsidRPr="00912092">
        <w:rPr>
          <w:rFonts w:ascii="Arial" w:hAnsi="Arial" w:cs="Arial"/>
          <w:sz w:val="22"/>
          <w:szCs w:val="22"/>
        </w:rPr>
        <w:t>Recent data show rising mental health difficulties among young people in the UK. NHS Digital (2022) reports that one in six children aged 7–16 years have a probable mental health disorder, with anxiety forming a significant proportion, highlighting the importance of early intervention.</w:t>
      </w:r>
    </w:p>
    <w:p w14:paraId="015ECA74" w14:textId="39F47448" w:rsidR="00650060" w:rsidRPr="006B6785" w:rsidRDefault="00650060" w:rsidP="0053050D">
      <w:pPr>
        <w:spacing w:line="360" w:lineRule="auto"/>
        <w:jc w:val="both"/>
        <w:rPr>
          <w:rFonts w:ascii="Arial" w:hAnsi="Arial" w:cs="Arial"/>
          <w:b/>
          <w:bCs/>
          <w:sz w:val="22"/>
          <w:szCs w:val="22"/>
        </w:rPr>
      </w:pPr>
      <w:r w:rsidRPr="006B6785">
        <w:rPr>
          <w:rFonts w:ascii="Arial" w:hAnsi="Arial" w:cs="Arial"/>
          <w:b/>
          <w:bCs/>
          <w:sz w:val="22"/>
          <w:szCs w:val="22"/>
        </w:rPr>
        <w:t>2.2 Policy and Legislative Environment</w:t>
      </w:r>
    </w:p>
    <w:p w14:paraId="40530999" w14:textId="77777777" w:rsidR="0053050D" w:rsidRPr="0053050D" w:rsidRDefault="0053050D" w:rsidP="0053050D">
      <w:pPr>
        <w:spacing w:line="360" w:lineRule="auto"/>
        <w:jc w:val="both"/>
        <w:rPr>
          <w:rFonts w:ascii="Arial" w:hAnsi="Arial" w:cs="Arial"/>
          <w:sz w:val="22"/>
          <w:szCs w:val="22"/>
        </w:rPr>
      </w:pPr>
      <w:r w:rsidRPr="0053050D">
        <w:rPr>
          <w:rFonts w:ascii="Arial" w:hAnsi="Arial" w:cs="Arial"/>
          <w:sz w:val="22"/>
          <w:szCs w:val="22"/>
        </w:rPr>
        <w:t>Increasing concern about youth mental health has led to policies aimed at improving services for children and adolescents in the United Kingdom. The Mental Health Act 1983 provides the legal framework for assessing and treating individuals with severe mental disorders while protecting their rights (Department of Health and Social Care, 2015).</w:t>
      </w:r>
    </w:p>
    <w:p w14:paraId="5A91DDCD" w14:textId="77777777" w:rsidR="00BE0089" w:rsidRDefault="0053050D" w:rsidP="0053050D">
      <w:pPr>
        <w:spacing w:line="360" w:lineRule="auto"/>
        <w:jc w:val="both"/>
        <w:rPr>
          <w:rFonts w:ascii="Arial" w:hAnsi="Arial" w:cs="Arial"/>
          <w:sz w:val="22"/>
          <w:szCs w:val="22"/>
        </w:rPr>
      </w:pPr>
      <w:r w:rsidRPr="0053050D">
        <w:rPr>
          <w:rFonts w:ascii="Arial" w:hAnsi="Arial" w:cs="Arial"/>
          <w:sz w:val="22"/>
          <w:szCs w:val="22"/>
        </w:rPr>
        <w:t>More recent strategies, such as the NHS Long Term Plan, focus on early intervention, prevention, and improving access to community-based services (NHS England, 2019). In addition, the National Institute for Health and Care Excellence (NICE) provides evidence-based guidelines for the assessment and treatment of anxiety disorders in young people (NICE, 2013).</w:t>
      </w:r>
    </w:p>
    <w:p w14:paraId="39C6C439" w14:textId="3E18DAE2" w:rsidR="00650060" w:rsidRPr="00BE0089" w:rsidRDefault="00650060" w:rsidP="0053050D">
      <w:pPr>
        <w:spacing w:line="360" w:lineRule="auto"/>
        <w:jc w:val="both"/>
        <w:rPr>
          <w:rFonts w:ascii="Arial" w:hAnsi="Arial" w:cs="Arial"/>
          <w:sz w:val="22"/>
          <w:szCs w:val="22"/>
        </w:rPr>
      </w:pPr>
      <w:r w:rsidRPr="006B6785">
        <w:rPr>
          <w:rFonts w:ascii="Arial" w:hAnsi="Arial" w:cs="Arial"/>
          <w:b/>
          <w:bCs/>
          <w:sz w:val="22"/>
          <w:szCs w:val="22"/>
        </w:rPr>
        <w:lastRenderedPageBreak/>
        <w:t>2.3 Mental Health Services and Current Practice</w:t>
      </w:r>
    </w:p>
    <w:p w14:paraId="1962961D" w14:textId="77777777" w:rsidR="00650060" w:rsidRPr="00650060" w:rsidRDefault="00650060" w:rsidP="0053050D">
      <w:pPr>
        <w:spacing w:line="360" w:lineRule="auto"/>
        <w:jc w:val="both"/>
        <w:rPr>
          <w:rFonts w:ascii="Arial" w:hAnsi="Arial" w:cs="Arial"/>
          <w:sz w:val="22"/>
          <w:szCs w:val="22"/>
        </w:rPr>
      </w:pPr>
      <w:r w:rsidRPr="00650060">
        <w:rPr>
          <w:rFonts w:ascii="Arial" w:hAnsi="Arial" w:cs="Arial"/>
          <w:sz w:val="22"/>
          <w:szCs w:val="22"/>
        </w:rPr>
        <w:t>Child and Adolescent Mental Health Services (CAMHS) are the main providers of specialist mental health support for young people in the United Kingdom. These multidisciplinary services offer assessment, diagnosis, and treatment for mental health conditions, including anxiety disorders (NHS England, 2019).</w:t>
      </w:r>
    </w:p>
    <w:p w14:paraId="762598C5" w14:textId="77777777" w:rsidR="00650060" w:rsidRPr="00650060" w:rsidRDefault="00650060" w:rsidP="0053050D">
      <w:pPr>
        <w:spacing w:line="360" w:lineRule="auto"/>
        <w:jc w:val="both"/>
        <w:rPr>
          <w:rFonts w:ascii="Arial" w:hAnsi="Arial" w:cs="Arial"/>
          <w:sz w:val="22"/>
          <w:szCs w:val="22"/>
        </w:rPr>
      </w:pPr>
      <w:r w:rsidRPr="00650060">
        <w:rPr>
          <w:rFonts w:ascii="Arial" w:hAnsi="Arial" w:cs="Arial"/>
          <w:sz w:val="22"/>
          <w:szCs w:val="22"/>
        </w:rPr>
        <w:t>Schools have also become an important setting for mental health support. School-based programmes aim to promote emotional wellbeing, identify difficulties early, and improve access to support. Mental Health Support Teams provide early intervention for mild to moderate conditions and help reduce pressure on CAMHS (NHS England, 2019).</w:t>
      </w:r>
    </w:p>
    <w:p w14:paraId="1B62AD49" w14:textId="77777777" w:rsidR="00650060" w:rsidRPr="006B6785" w:rsidRDefault="00650060" w:rsidP="0053050D">
      <w:pPr>
        <w:spacing w:line="360" w:lineRule="auto"/>
        <w:jc w:val="both"/>
        <w:rPr>
          <w:rFonts w:ascii="Arial" w:hAnsi="Arial" w:cs="Arial"/>
          <w:b/>
          <w:bCs/>
          <w:sz w:val="22"/>
          <w:szCs w:val="22"/>
        </w:rPr>
      </w:pPr>
      <w:r w:rsidRPr="006B6785">
        <w:rPr>
          <w:rFonts w:ascii="Arial" w:hAnsi="Arial" w:cs="Arial"/>
          <w:b/>
          <w:bCs/>
          <w:sz w:val="22"/>
          <w:szCs w:val="22"/>
        </w:rPr>
        <w:t>2.4 Effects of Digital Technology on Adolescent Mental Health</w:t>
      </w:r>
    </w:p>
    <w:p w14:paraId="122AC394" w14:textId="77777777" w:rsidR="0053050D" w:rsidRPr="0053050D" w:rsidRDefault="0053050D" w:rsidP="0053050D">
      <w:pPr>
        <w:spacing w:line="360" w:lineRule="auto"/>
        <w:jc w:val="both"/>
        <w:rPr>
          <w:rFonts w:ascii="Arial" w:hAnsi="Arial" w:cs="Arial"/>
          <w:sz w:val="22"/>
          <w:szCs w:val="22"/>
        </w:rPr>
      </w:pPr>
      <w:r w:rsidRPr="0053050D">
        <w:rPr>
          <w:rFonts w:ascii="Arial" w:hAnsi="Arial" w:cs="Arial"/>
          <w:sz w:val="22"/>
          <w:szCs w:val="22"/>
        </w:rPr>
        <w:t>The increasing use of digital technologies and social media influences adolescent mental health. Many young people use social media regularly, shaping social relationships, identity, and emotional wellbeing. However, digital environments also expose adolescents to risks such as social comparison, cyberbullying, and pressure to present idealised identities (Kelly et al., 2018; Keles et al., 2020).</w:t>
      </w:r>
    </w:p>
    <w:p w14:paraId="1EF88048" w14:textId="217AEF0D" w:rsidR="0053050D" w:rsidRPr="005F19FA" w:rsidRDefault="0053050D" w:rsidP="0053050D">
      <w:pPr>
        <w:spacing w:line="360" w:lineRule="auto"/>
        <w:jc w:val="both"/>
        <w:rPr>
          <w:rFonts w:ascii="Arial" w:hAnsi="Arial" w:cs="Arial"/>
          <w:sz w:val="22"/>
          <w:szCs w:val="22"/>
        </w:rPr>
      </w:pPr>
      <w:r w:rsidRPr="0053050D">
        <w:rPr>
          <w:rFonts w:ascii="Arial" w:hAnsi="Arial" w:cs="Arial"/>
          <w:sz w:val="22"/>
          <w:szCs w:val="22"/>
        </w:rPr>
        <w:t>Research shows that excessive social media use, particularly at night, is associated with poorer sleep quality and increased symptoms of anxiety and depression (Scott et al., 2019; Twenge et al., 2018), highlighting the complex relationship between digital environments and adolescent mental health.</w:t>
      </w:r>
    </w:p>
    <w:p w14:paraId="416D55BB" w14:textId="14EE8F34" w:rsidR="00650060" w:rsidRPr="006B6785" w:rsidRDefault="00650060" w:rsidP="0053050D">
      <w:pPr>
        <w:spacing w:line="360" w:lineRule="auto"/>
        <w:jc w:val="both"/>
        <w:rPr>
          <w:rFonts w:ascii="Arial" w:hAnsi="Arial" w:cs="Arial"/>
          <w:b/>
          <w:bCs/>
          <w:sz w:val="22"/>
          <w:szCs w:val="22"/>
        </w:rPr>
      </w:pPr>
      <w:r w:rsidRPr="006B6785">
        <w:rPr>
          <w:rFonts w:ascii="Arial" w:hAnsi="Arial" w:cs="Arial"/>
          <w:b/>
          <w:bCs/>
          <w:sz w:val="22"/>
          <w:szCs w:val="22"/>
        </w:rPr>
        <w:t>2.5 Challenges in Current Mental Health Practice</w:t>
      </w:r>
    </w:p>
    <w:p w14:paraId="1A7EBA8E" w14:textId="4836481A" w:rsidR="00650060" w:rsidRPr="00650060" w:rsidRDefault="00650060" w:rsidP="0053050D">
      <w:pPr>
        <w:spacing w:line="360" w:lineRule="auto"/>
        <w:jc w:val="both"/>
        <w:rPr>
          <w:rFonts w:ascii="Arial" w:hAnsi="Arial" w:cs="Arial"/>
          <w:sz w:val="22"/>
          <w:szCs w:val="22"/>
        </w:rPr>
      </w:pPr>
      <w:r w:rsidRPr="00650060">
        <w:rPr>
          <w:rFonts w:ascii="Arial" w:hAnsi="Arial" w:cs="Arial"/>
          <w:sz w:val="22"/>
          <w:szCs w:val="22"/>
        </w:rPr>
        <w:t>Despite increased awareness of adolescent mental health issues, challenges remain within the UK health and social care system. Demand for services has increased, placing CAMHS under pressure due to high referral rates and limited capacity (</w:t>
      </w:r>
      <w:proofErr w:type="spellStart"/>
      <w:r w:rsidRPr="00650060">
        <w:rPr>
          <w:rFonts w:ascii="Arial" w:hAnsi="Arial" w:cs="Arial"/>
          <w:sz w:val="22"/>
          <w:szCs w:val="22"/>
        </w:rPr>
        <w:t>Patalay</w:t>
      </w:r>
      <w:proofErr w:type="spellEnd"/>
      <w:r w:rsidRPr="00650060">
        <w:rPr>
          <w:rFonts w:ascii="Arial" w:hAnsi="Arial" w:cs="Arial"/>
          <w:sz w:val="22"/>
          <w:szCs w:val="22"/>
        </w:rPr>
        <w:t xml:space="preserve"> and Gage, 2019). Recent data indicate that over 900,000 children and young people were referred to CAMHS in England between 2023 and 2024, resulting in long waiting times (</w:t>
      </w:r>
      <w:proofErr w:type="spellStart"/>
      <w:r w:rsidRPr="00650060">
        <w:rPr>
          <w:rFonts w:ascii="Arial" w:hAnsi="Arial" w:cs="Arial"/>
          <w:sz w:val="22"/>
          <w:szCs w:val="22"/>
        </w:rPr>
        <w:t>YoungMinds</w:t>
      </w:r>
      <w:proofErr w:type="spellEnd"/>
      <w:r w:rsidRPr="00650060">
        <w:rPr>
          <w:rFonts w:ascii="Arial" w:hAnsi="Arial" w:cs="Arial"/>
          <w:sz w:val="22"/>
          <w:szCs w:val="22"/>
        </w:rPr>
        <w:t>, 2024).</w:t>
      </w:r>
    </w:p>
    <w:p w14:paraId="0AC7A857" w14:textId="77777777" w:rsidR="00650060" w:rsidRPr="00650060" w:rsidRDefault="00650060" w:rsidP="0053050D">
      <w:pPr>
        <w:spacing w:line="360" w:lineRule="auto"/>
        <w:jc w:val="both"/>
        <w:rPr>
          <w:rFonts w:ascii="Arial" w:hAnsi="Arial" w:cs="Arial"/>
          <w:sz w:val="22"/>
          <w:szCs w:val="22"/>
        </w:rPr>
      </w:pPr>
      <w:r w:rsidRPr="00650060">
        <w:rPr>
          <w:rFonts w:ascii="Arial" w:hAnsi="Arial" w:cs="Arial"/>
          <w:sz w:val="22"/>
          <w:szCs w:val="22"/>
        </w:rPr>
        <w:t>Many adolescents also face barriers to seeking help, including stigma, fear of judgement, and lack of awareness of available services (</w:t>
      </w:r>
      <w:proofErr w:type="spellStart"/>
      <w:r w:rsidRPr="00650060">
        <w:rPr>
          <w:rFonts w:ascii="Arial" w:hAnsi="Arial" w:cs="Arial"/>
          <w:sz w:val="22"/>
          <w:szCs w:val="22"/>
        </w:rPr>
        <w:t>Radez</w:t>
      </w:r>
      <w:proofErr w:type="spellEnd"/>
      <w:r w:rsidRPr="00650060">
        <w:rPr>
          <w:rFonts w:ascii="Arial" w:hAnsi="Arial" w:cs="Arial"/>
          <w:sz w:val="22"/>
          <w:szCs w:val="22"/>
        </w:rPr>
        <w:t xml:space="preserve"> et al., 2022). Addressing these barriers is essential to improve access to support and outcomes for young people.</w:t>
      </w:r>
    </w:p>
    <w:p w14:paraId="22B4CD70" w14:textId="77777777" w:rsidR="002A28F4" w:rsidRDefault="002A28F4" w:rsidP="00660C7B">
      <w:pPr>
        <w:spacing w:line="360" w:lineRule="auto"/>
        <w:jc w:val="both"/>
        <w:rPr>
          <w:rFonts w:ascii="Arial" w:hAnsi="Arial" w:cs="Arial"/>
          <w:b/>
          <w:bCs/>
          <w:sz w:val="22"/>
          <w:szCs w:val="22"/>
        </w:rPr>
      </w:pPr>
    </w:p>
    <w:p w14:paraId="235C25D0" w14:textId="77777777" w:rsidR="00BE0089" w:rsidRDefault="00BE0089" w:rsidP="00660C7B">
      <w:pPr>
        <w:spacing w:line="360" w:lineRule="auto"/>
        <w:jc w:val="both"/>
        <w:rPr>
          <w:rFonts w:ascii="Arial" w:hAnsi="Arial" w:cs="Arial"/>
          <w:b/>
          <w:bCs/>
          <w:sz w:val="22"/>
          <w:szCs w:val="22"/>
        </w:rPr>
      </w:pPr>
    </w:p>
    <w:p w14:paraId="636BF9AC" w14:textId="77777777" w:rsidR="00BE0089" w:rsidRDefault="00BE0089" w:rsidP="00660C7B">
      <w:pPr>
        <w:spacing w:line="360" w:lineRule="auto"/>
        <w:jc w:val="both"/>
        <w:rPr>
          <w:rFonts w:ascii="Arial" w:hAnsi="Arial" w:cs="Arial"/>
          <w:b/>
          <w:bCs/>
          <w:sz w:val="22"/>
          <w:szCs w:val="22"/>
        </w:rPr>
      </w:pPr>
    </w:p>
    <w:p w14:paraId="71654FC5" w14:textId="65239FC2" w:rsidR="00660C7B" w:rsidRPr="00BE0089" w:rsidRDefault="00660C7B" w:rsidP="00660C7B">
      <w:pPr>
        <w:spacing w:line="360" w:lineRule="auto"/>
        <w:jc w:val="both"/>
        <w:rPr>
          <w:rFonts w:ascii="Arial" w:hAnsi="Arial" w:cs="Arial"/>
          <w:b/>
          <w:bCs/>
        </w:rPr>
      </w:pPr>
      <w:r w:rsidRPr="00BE0089">
        <w:rPr>
          <w:rFonts w:ascii="Arial" w:hAnsi="Arial" w:cs="Arial"/>
          <w:b/>
          <w:bCs/>
        </w:rPr>
        <w:lastRenderedPageBreak/>
        <w:t>3. Methods</w:t>
      </w:r>
    </w:p>
    <w:p w14:paraId="138DB196" w14:textId="77777777" w:rsidR="00912092" w:rsidRPr="00912092" w:rsidRDefault="00912092" w:rsidP="00912092">
      <w:pPr>
        <w:spacing w:line="360" w:lineRule="auto"/>
        <w:jc w:val="both"/>
        <w:rPr>
          <w:rFonts w:ascii="Arial" w:hAnsi="Arial" w:cs="Arial"/>
          <w:b/>
          <w:bCs/>
          <w:sz w:val="22"/>
          <w:szCs w:val="22"/>
        </w:rPr>
      </w:pPr>
      <w:r w:rsidRPr="00912092">
        <w:rPr>
          <w:rFonts w:ascii="Arial" w:hAnsi="Arial" w:cs="Arial"/>
          <w:b/>
          <w:bCs/>
          <w:sz w:val="22"/>
          <w:szCs w:val="22"/>
        </w:rPr>
        <w:t>3.1 Data Collection and Search Strategy</w:t>
      </w:r>
    </w:p>
    <w:p w14:paraId="2824BD22" w14:textId="415F58BE" w:rsidR="00533D1E" w:rsidRDefault="00533D1E" w:rsidP="00912092">
      <w:pPr>
        <w:spacing w:line="360" w:lineRule="auto"/>
        <w:jc w:val="both"/>
        <w:rPr>
          <w:rFonts w:ascii="Arial" w:hAnsi="Arial" w:cs="Arial"/>
          <w:sz w:val="22"/>
          <w:szCs w:val="22"/>
        </w:rPr>
      </w:pPr>
      <w:r w:rsidRPr="00533D1E">
        <w:rPr>
          <w:rFonts w:ascii="Arial" w:hAnsi="Arial" w:cs="Arial"/>
          <w:sz w:val="22"/>
          <w:szCs w:val="22"/>
        </w:rPr>
        <w:t>Scoping reviews are useful for mapping key concepts and identifying gaps in the evidence base (Arksey and O’Malley, 2005; Levac et al., 2010), making this approach appropriate for exploring research and identifying major themes.</w:t>
      </w:r>
    </w:p>
    <w:p w14:paraId="6427F3E1" w14:textId="39A33918" w:rsidR="00660C7B" w:rsidRPr="00660C7B" w:rsidRDefault="00912092" w:rsidP="00660C7B">
      <w:pPr>
        <w:spacing w:line="360" w:lineRule="auto"/>
        <w:jc w:val="both"/>
        <w:rPr>
          <w:rFonts w:ascii="Arial" w:hAnsi="Arial" w:cs="Arial"/>
          <w:sz w:val="22"/>
          <w:szCs w:val="22"/>
        </w:rPr>
      </w:pPr>
      <w:r w:rsidRPr="00912092">
        <w:rPr>
          <w:rFonts w:ascii="Arial" w:hAnsi="Arial" w:cs="Arial"/>
          <w:sz w:val="22"/>
          <w:szCs w:val="22"/>
        </w:rPr>
        <w:t>Relevant studies were identified through academic databases, including PubMed, Google Scholar, and the University of Wales Trinity Saint David library, which provides access to PsycINFO and CINAHL. Keywords were used with Boolean operators, including anxiety, adolescents, teenagers, youth, United Kingdom, mental health, CAMHS, and digital mental health. Example searches included “anxiety AND adolescents AND UK” and “teenagers AND mental health AND social media”.</w:t>
      </w:r>
    </w:p>
    <w:p w14:paraId="6BC3F9EB" w14:textId="77777777" w:rsidR="00660C7B" w:rsidRPr="00660C7B" w:rsidRDefault="00660C7B" w:rsidP="00660C7B">
      <w:pPr>
        <w:spacing w:line="360" w:lineRule="auto"/>
        <w:jc w:val="both"/>
        <w:rPr>
          <w:rFonts w:ascii="Arial" w:hAnsi="Arial" w:cs="Arial"/>
          <w:b/>
          <w:bCs/>
          <w:sz w:val="22"/>
          <w:szCs w:val="22"/>
        </w:rPr>
      </w:pPr>
      <w:r w:rsidRPr="00660C7B">
        <w:rPr>
          <w:rFonts w:ascii="Arial" w:hAnsi="Arial" w:cs="Arial"/>
          <w:b/>
          <w:bCs/>
          <w:sz w:val="22"/>
          <w:szCs w:val="22"/>
        </w:rPr>
        <w:t>3.2 Inclusion and Exclusion Criteria</w:t>
      </w:r>
    </w:p>
    <w:p w14:paraId="58579DE3" w14:textId="77777777" w:rsidR="00660C7B" w:rsidRPr="00660C7B" w:rsidRDefault="00660C7B" w:rsidP="00660C7B">
      <w:pPr>
        <w:spacing w:line="360" w:lineRule="auto"/>
        <w:jc w:val="both"/>
        <w:rPr>
          <w:rFonts w:ascii="Arial" w:hAnsi="Arial" w:cs="Arial"/>
          <w:sz w:val="22"/>
          <w:szCs w:val="22"/>
        </w:rPr>
      </w:pPr>
      <w:r w:rsidRPr="00660C7B">
        <w:rPr>
          <w:rFonts w:ascii="Arial" w:hAnsi="Arial" w:cs="Arial"/>
          <w:sz w:val="22"/>
          <w:szCs w:val="22"/>
        </w:rPr>
        <w:t>Inclusion criteria required that studies were peer-reviewed journal articles, published within the past ten years, written in English, and focused on anxiety or mental health in adolescents or teenagers. Studies conducted in the United Kingdom, or those relevant to UK health and social care practice, were included.</w:t>
      </w:r>
    </w:p>
    <w:p w14:paraId="1FDA6098" w14:textId="2644E1B2" w:rsidR="00660C7B" w:rsidRPr="00660C7B" w:rsidRDefault="00660C7B" w:rsidP="00660C7B">
      <w:pPr>
        <w:spacing w:line="360" w:lineRule="auto"/>
        <w:jc w:val="both"/>
        <w:rPr>
          <w:rFonts w:ascii="Arial" w:hAnsi="Arial" w:cs="Arial"/>
          <w:sz w:val="22"/>
          <w:szCs w:val="22"/>
        </w:rPr>
      </w:pPr>
      <w:r w:rsidRPr="00660C7B">
        <w:rPr>
          <w:rFonts w:ascii="Arial" w:hAnsi="Arial" w:cs="Arial"/>
          <w:sz w:val="22"/>
          <w:szCs w:val="22"/>
        </w:rPr>
        <w:t xml:space="preserve">Studies focusing on adult populations, non-peer-reviewed articles, editorials, and policy papers were excluded. The initial search identified approximately </w:t>
      </w:r>
      <w:r w:rsidR="008E2D67">
        <w:rPr>
          <w:rFonts w:ascii="Arial" w:hAnsi="Arial" w:cs="Arial"/>
          <w:sz w:val="22"/>
          <w:szCs w:val="22"/>
        </w:rPr>
        <w:t>4</w:t>
      </w:r>
      <w:r w:rsidRPr="00660C7B">
        <w:rPr>
          <w:rFonts w:ascii="Arial" w:hAnsi="Arial" w:cs="Arial"/>
          <w:sz w:val="22"/>
          <w:szCs w:val="22"/>
        </w:rPr>
        <w:t>0 articles; after applying the inclusion and exclusion criteria, this was reduced to six studies.</w:t>
      </w:r>
    </w:p>
    <w:p w14:paraId="17B8749F" w14:textId="77777777" w:rsidR="00660C7B" w:rsidRPr="00660C7B" w:rsidRDefault="00660C7B" w:rsidP="00660C7B">
      <w:pPr>
        <w:spacing w:line="360" w:lineRule="auto"/>
        <w:jc w:val="both"/>
        <w:rPr>
          <w:rFonts w:ascii="Arial" w:hAnsi="Arial" w:cs="Arial"/>
          <w:b/>
          <w:bCs/>
          <w:sz w:val="22"/>
          <w:szCs w:val="22"/>
        </w:rPr>
      </w:pPr>
      <w:r w:rsidRPr="00660C7B">
        <w:rPr>
          <w:rFonts w:ascii="Arial" w:hAnsi="Arial" w:cs="Arial"/>
          <w:b/>
          <w:bCs/>
          <w:sz w:val="22"/>
          <w:szCs w:val="22"/>
        </w:rPr>
        <w:t>3.3 Data Analysis</w:t>
      </w:r>
    </w:p>
    <w:p w14:paraId="1A5EC397" w14:textId="77777777" w:rsidR="00660C7B" w:rsidRPr="00660C7B" w:rsidRDefault="00660C7B" w:rsidP="00660C7B">
      <w:pPr>
        <w:spacing w:line="360" w:lineRule="auto"/>
        <w:jc w:val="both"/>
        <w:rPr>
          <w:rFonts w:ascii="Arial" w:hAnsi="Arial" w:cs="Arial"/>
          <w:sz w:val="22"/>
          <w:szCs w:val="22"/>
        </w:rPr>
      </w:pPr>
      <w:r w:rsidRPr="00660C7B">
        <w:rPr>
          <w:rFonts w:ascii="Arial" w:hAnsi="Arial" w:cs="Arial"/>
          <w:sz w:val="22"/>
          <w:szCs w:val="22"/>
        </w:rPr>
        <w:t>Thematic analysis was used to identify patterns across the selected studies (Aveyard, 2014). Key information from each article was summarised in a table, including the author, year of publication, study design, participants, and main findings. The findings were then coded and grouped into themes related to adolescent anxiety.</w:t>
      </w:r>
    </w:p>
    <w:p w14:paraId="617C773B" w14:textId="77777777" w:rsidR="00660C7B" w:rsidRPr="00660C7B" w:rsidRDefault="00660C7B" w:rsidP="00660C7B">
      <w:pPr>
        <w:spacing w:line="360" w:lineRule="auto"/>
        <w:jc w:val="both"/>
        <w:rPr>
          <w:rFonts w:ascii="Arial" w:hAnsi="Arial" w:cs="Arial"/>
          <w:b/>
          <w:bCs/>
          <w:sz w:val="22"/>
          <w:szCs w:val="22"/>
        </w:rPr>
      </w:pPr>
      <w:r w:rsidRPr="00660C7B">
        <w:rPr>
          <w:rFonts w:ascii="Arial" w:hAnsi="Arial" w:cs="Arial"/>
          <w:b/>
          <w:bCs/>
          <w:sz w:val="22"/>
          <w:szCs w:val="22"/>
        </w:rPr>
        <w:t>3.4 Ethical Considerations</w:t>
      </w:r>
    </w:p>
    <w:p w14:paraId="7EF70DB0" w14:textId="77777777" w:rsidR="00660C7B" w:rsidRPr="00660C7B" w:rsidRDefault="00660C7B" w:rsidP="00660C7B">
      <w:pPr>
        <w:spacing w:line="360" w:lineRule="auto"/>
        <w:jc w:val="both"/>
        <w:rPr>
          <w:rFonts w:ascii="Arial" w:hAnsi="Arial" w:cs="Arial"/>
          <w:sz w:val="22"/>
          <w:szCs w:val="22"/>
        </w:rPr>
      </w:pPr>
      <w:r w:rsidRPr="00660C7B">
        <w:rPr>
          <w:rFonts w:ascii="Arial" w:hAnsi="Arial" w:cs="Arial"/>
          <w:sz w:val="22"/>
          <w:szCs w:val="22"/>
        </w:rPr>
        <w:t>This study involved secondary research, meaning that no primary data were collected directly from participants. Therefore, formal ethical approval was not required. However, ethical research principles were followed, including accurate reporting of findings, appropriate citation of sources, and transparency in the study selection process (Creswell, 2014).</w:t>
      </w:r>
    </w:p>
    <w:p w14:paraId="3703B759" w14:textId="5359553C" w:rsidR="00F219EE" w:rsidRDefault="00F219EE" w:rsidP="00F219EE">
      <w:pPr>
        <w:spacing w:line="360" w:lineRule="auto"/>
        <w:jc w:val="both"/>
        <w:rPr>
          <w:rFonts w:ascii="Arial" w:hAnsi="Arial" w:cs="Arial"/>
          <w:sz w:val="22"/>
          <w:szCs w:val="22"/>
        </w:rPr>
      </w:pPr>
    </w:p>
    <w:p w14:paraId="28E5BA67" w14:textId="77777777" w:rsidR="002A28F4" w:rsidRPr="00F219EE" w:rsidRDefault="002A28F4" w:rsidP="00F219EE">
      <w:pPr>
        <w:spacing w:line="360" w:lineRule="auto"/>
        <w:jc w:val="both"/>
        <w:rPr>
          <w:rFonts w:ascii="Arial" w:hAnsi="Arial" w:cs="Arial"/>
          <w:sz w:val="22"/>
          <w:szCs w:val="22"/>
        </w:rPr>
      </w:pPr>
    </w:p>
    <w:p w14:paraId="3F7C97C2" w14:textId="77777777" w:rsidR="00BB480A" w:rsidRPr="00BE0089" w:rsidRDefault="00BB480A" w:rsidP="00BB480A">
      <w:pPr>
        <w:spacing w:line="360" w:lineRule="auto"/>
        <w:jc w:val="both"/>
        <w:rPr>
          <w:rFonts w:ascii="Arial" w:hAnsi="Arial" w:cs="Arial"/>
          <w:b/>
          <w:bCs/>
        </w:rPr>
      </w:pPr>
      <w:r w:rsidRPr="00BE0089">
        <w:rPr>
          <w:rFonts w:ascii="Arial" w:hAnsi="Arial" w:cs="Arial"/>
          <w:b/>
          <w:bCs/>
        </w:rPr>
        <w:lastRenderedPageBreak/>
        <w:t>4. Results</w:t>
      </w:r>
    </w:p>
    <w:p w14:paraId="29D6C538" w14:textId="77777777" w:rsidR="00BB480A" w:rsidRPr="00BB480A" w:rsidRDefault="00BB480A" w:rsidP="00BB480A">
      <w:pPr>
        <w:spacing w:line="360" w:lineRule="auto"/>
        <w:jc w:val="both"/>
        <w:rPr>
          <w:rFonts w:ascii="Arial" w:hAnsi="Arial" w:cs="Arial"/>
          <w:b/>
          <w:bCs/>
          <w:sz w:val="22"/>
          <w:szCs w:val="22"/>
        </w:rPr>
      </w:pPr>
      <w:r w:rsidRPr="00BB480A">
        <w:rPr>
          <w:rFonts w:ascii="Arial" w:hAnsi="Arial" w:cs="Arial"/>
          <w:b/>
          <w:bCs/>
          <w:sz w:val="22"/>
          <w:szCs w:val="22"/>
        </w:rPr>
        <w:t>4.1 Thematic Analysis</w:t>
      </w:r>
    </w:p>
    <w:p w14:paraId="2F58C3B8" w14:textId="77777777" w:rsidR="00BB480A" w:rsidRPr="00BB480A" w:rsidRDefault="00BB480A" w:rsidP="00BB480A">
      <w:pPr>
        <w:spacing w:line="360" w:lineRule="auto"/>
        <w:jc w:val="both"/>
        <w:rPr>
          <w:rFonts w:ascii="Arial" w:hAnsi="Arial" w:cs="Arial"/>
          <w:sz w:val="22"/>
          <w:szCs w:val="22"/>
        </w:rPr>
      </w:pPr>
      <w:r w:rsidRPr="00BB480A">
        <w:rPr>
          <w:rFonts w:ascii="Arial" w:hAnsi="Arial" w:cs="Arial"/>
          <w:sz w:val="22"/>
          <w:szCs w:val="22"/>
        </w:rPr>
        <w:t>Three key themes were identified in the literature on anxiety among adolescents in the United Kingdom: the impact of the digital environment, social experiences and emotional wellbeing, and barriers to seeking support and interventions. These themes reflect the influence of social, environmental, and service-related factors on adolescent anxiety.</w:t>
      </w:r>
    </w:p>
    <w:p w14:paraId="7B594388" w14:textId="77777777" w:rsidR="00BB480A" w:rsidRDefault="00BB480A" w:rsidP="00BB480A">
      <w:pPr>
        <w:spacing w:line="360" w:lineRule="auto"/>
        <w:jc w:val="both"/>
        <w:rPr>
          <w:rFonts w:ascii="Arial" w:hAnsi="Arial" w:cs="Arial"/>
          <w:sz w:val="22"/>
          <w:szCs w:val="22"/>
        </w:rPr>
      </w:pPr>
      <w:r w:rsidRPr="00BB480A">
        <w:rPr>
          <w:rFonts w:ascii="Arial" w:hAnsi="Arial" w:cs="Arial"/>
          <w:sz w:val="22"/>
          <w:szCs w:val="22"/>
        </w:rPr>
        <w:t xml:space="preserve">Theme 1 (digital influences on adolescent anxiety) was identified in the studies by Woods and Scott (2016) and O’Reilly et al. (2018). Theme 2 (social experiences and emotional wellbeing) was based on O’Reilly et al. (2018) and Loades et al. (2020). Theme 3 (barriers to support and interventions) was identified in </w:t>
      </w:r>
      <w:proofErr w:type="spellStart"/>
      <w:r w:rsidRPr="00BB480A">
        <w:rPr>
          <w:rFonts w:ascii="Arial" w:hAnsi="Arial" w:cs="Arial"/>
          <w:sz w:val="22"/>
          <w:szCs w:val="22"/>
        </w:rPr>
        <w:t>Radez</w:t>
      </w:r>
      <w:proofErr w:type="spellEnd"/>
      <w:r w:rsidRPr="00BB480A">
        <w:rPr>
          <w:rFonts w:ascii="Arial" w:hAnsi="Arial" w:cs="Arial"/>
          <w:sz w:val="22"/>
          <w:szCs w:val="22"/>
        </w:rPr>
        <w:t xml:space="preserve"> et al. (2022), Taylor et al. (2021), and Krause et al. (2022).</w:t>
      </w:r>
    </w:p>
    <w:p w14:paraId="4EDDE00D" w14:textId="28D6A814" w:rsidR="00DD55D9" w:rsidRDefault="00DD55D9" w:rsidP="00BB480A">
      <w:pPr>
        <w:spacing w:line="360" w:lineRule="auto"/>
        <w:jc w:val="both"/>
        <w:rPr>
          <w:rFonts w:ascii="Arial" w:hAnsi="Arial" w:cs="Arial"/>
          <w:sz w:val="22"/>
          <w:szCs w:val="22"/>
        </w:rPr>
      </w:pPr>
      <w:r w:rsidRPr="00DD55D9">
        <w:rPr>
          <w:rFonts w:ascii="Arial" w:hAnsi="Arial" w:cs="Arial"/>
          <w:sz w:val="22"/>
          <w:szCs w:val="22"/>
        </w:rPr>
        <w:t>The key characteristics of the six selected studies are summarised in Table 1. The table provides an overview of study design, research methods, sample size, main findings, and relevance to the review question, allowing for comparison across the included literature. The studies demonstrate methodological diversity, including qualitative, quantitative, and systematic review approaches, which supports a more comprehensive understanding of adolescent anxiety. However, differences in study design and sample characteristics may influence the comparability of findings and should be considered when interpreting the results.</w:t>
      </w:r>
    </w:p>
    <w:p w14:paraId="3AB37AD9" w14:textId="77777777" w:rsidR="00A13EA7" w:rsidRDefault="00A13EA7" w:rsidP="00BB480A">
      <w:pPr>
        <w:spacing w:line="360" w:lineRule="auto"/>
        <w:jc w:val="both"/>
        <w:rPr>
          <w:rFonts w:ascii="Arial" w:hAnsi="Arial" w:cs="Arial"/>
          <w:sz w:val="22"/>
          <w:szCs w:val="22"/>
        </w:rPr>
      </w:pPr>
    </w:p>
    <w:p w14:paraId="547009B5" w14:textId="77777777" w:rsidR="00A13EA7" w:rsidRDefault="00A13EA7" w:rsidP="00BB480A">
      <w:pPr>
        <w:spacing w:line="360" w:lineRule="auto"/>
        <w:jc w:val="both"/>
        <w:rPr>
          <w:rFonts w:ascii="Arial" w:hAnsi="Arial" w:cs="Arial"/>
          <w:sz w:val="22"/>
          <w:szCs w:val="22"/>
        </w:rPr>
      </w:pPr>
    </w:p>
    <w:p w14:paraId="44AC790A" w14:textId="77777777" w:rsidR="00BE0089" w:rsidRDefault="00BE0089" w:rsidP="00BB480A">
      <w:pPr>
        <w:spacing w:line="360" w:lineRule="auto"/>
        <w:jc w:val="both"/>
        <w:rPr>
          <w:rFonts w:ascii="Arial" w:hAnsi="Arial" w:cs="Arial"/>
          <w:sz w:val="22"/>
          <w:szCs w:val="22"/>
        </w:rPr>
      </w:pPr>
    </w:p>
    <w:p w14:paraId="168DBDAD" w14:textId="77777777" w:rsidR="00BE0089" w:rsidRDefault="00BE0089" w:rsidP="00BB480A">
      <w:pPr>
        <w:spacing w:line="360" w:lineRule="auto"/>
        <w:jc w:val="both"/>
        <w:rPr>
          <w:rFonts w:ascii="Arial" w:hAnsi="Arial" w:cs="Arial"/>
          <w:sz w:val="22"/>
          <w:szCs w:val="22"/>
        </w:rPr>
      </w:pPr>
    </w:p>
    <w:p w14:paraId="145FBC8A" w14:textId="77777777" w:rsidR="00BE0089" w:rsidRDefault="00BE0089" w:rsidP="00BB480A">
      <w:pPr>
        <w:spacing w:line="360" w:lineRule="auto"/>
        <w:jc w:val="both"/>
        <w:rPr>
          <w:rFonts w:ascii="Arial" w:hAnsi="Arial" w:cs="Arial"/>
          <w:sz w:val="22"/>
          <w:szCs w:val="22"/>
        </w:rPr>
      </w:pPr>
    </w:p>
    <w:p w14:paraId="5AD4F486" w14:textId="77777777" w:rsidR="00BE0089" w:rsidRDefault="00BE0089" w:rsidP="00BB480A">
      <w:pPr>
        <w:spacing w:line="360" w:lineRule="auto"/>
        <w:jc w:val="both"/>
        <w:rPr>
          <w:rFonts w:ascii="Arial" w:hAnsi="Arial" w:cs="Arial"/>
          <w:sz w:val="22"/>
          <w:szCs w:val="22"/>
        </w:rPr>
      </w:pPr>
    </w:p>
    <w:p w14:paraId="724C413F" w14:textId="77777777" w:rsidR="00BE0089" w:rsidRDefault="00BE0089" w:rsidP="00BB480A">
      <w:pPr>
        <w:spacing w:line="360" w:lineRule="auto"/>
        <w:jc w:val="both"/>
        <w:rPr>
          <w:rFonts w:ascii="Arial" w:hAnsi="Arial" w:cs="Arial"/>
          <w:sz w:val="22"/>
          <w:szCs w:val="22"/>
        </w:rPr>
      </w:pPr>
    </w:p>
    <w:p w14:paraId="50B6B012" w14:textId="77777777" w:rsidR="00BE0089" w:rsidRDefault="00BE0089" w:rsidP="00BB480A">
      <w:pPr>
        <w:spacing w:line="360" w:lineRule="auto"/>
        <w:jc w:val="both"/>
        <w:rPr>
          <w:rFonts w:ascii="Arial" w:hAnsi="Arial" w:cs="Arial"/>
          <w:sz w:val="22"/>
          <w:szCs w:val="22"/>
        </w:rPr>
      </w:pPr>
    </w:p>
    <w:p w14:paraId="4C4B7988" w14:textId="77777777" w:rsidR="00BE0089" w:rsidRDefault="00BE0089" w:rsidP="00BB480A">
      <w:pPr>
        <w:spacing w:line="360" w:lineRule="auto"/>
        <w:jc w:val="both"/>
        <w:rPr>
          <w:rFonts w:ascii="Arial" w:hAnsi="Arial" w:cs="Arial"/>
          <w:sz w:val="22"/>
          <w:szCs w:val="22"/>
        </w:rPr>
      </w:pPr>
    </w:p>
    <w:p w14:paraId="4E22544C" w14:textId="77777777" w:rsidR="00BE0089" w:rsidRDefault="00BE0089" w:rsidP="00BB480A">
      <w:pPr>
        <w:spacing w:line="360" w:lineRule="auto"/>
        <w:jc w:val="both"/>
        <w:rPr>
          <w:rFonts w:ascii="Arial" w:hAnsi="Arial" w:cs="Arial"/>
          <w:sz w:val="22"/>
          <w:szCs w:val="22"/>
        </w:rPr>
      </w:pPr>
    </w:p>
    <w:p w14:paraId="6817B447" w14:textId="77777777" w:rsidR="00BE0089" w:rsidRDefault="00BE0089" w:rsidP="00BB480A">
      <w:pPr>
        <w:spacing w:line="360" w:lineRule="auto"/>
        <w:jc w:val="both"/>
        <w:rPr>
          <w:rFonts w:ascii="Arial" w:hAnsi="Arial" w:cs="Arial"/>
          <w:sz w:val="22"/>
          <w:szCs w:val="22"/>
        </w:rPr>
      </w:pPr>
    </w:p>
    <w:p w14:paraId="0218C3E8" w14:textId="77777777" w:rsidR="00BE0089" w:rsidRDefault="00BE0089" w:rsidP="00113AC7">
      <w:pPr>
        <w:rPr>
          <w:rFonts w:ascii="Arial" w:hAnsi="Arial" w:cs="Arial"/>
          <w:sz w:val="22"/>
          <w:szCs w:val="22"/>
        </w:rPr>
      </w:pPr>
    </w:p>
    <w:p w14:paraId="758F81DF" w14:textId="75957790" w:rsidR="00113AC7" w:rsidRPr="00BE0089" w:rsidRDefault="00113AC7" w:rsidP="00113AC7">
      <w:pPr>
        <w:rPr>
          <w:b/>
          <w:bCs/>
        </w:rPr>
      </w:pPr>
      <w:r w:rsidRPr="00BE0089">
        <w:rPr>
          <w:b/>
          <w:bCs/>
        </w:rPr>
        <w:lastRenderedPageBreak/>
        <w:t>Table 1.</w:t>
      </w:r>
      <w:r w:rsidRPr="00BE0089">
        <w:rPr>
          <w:rFonts w:ascii="Arial" w:hAnsi="Arial" w:cs="Arial"/>
          <w:b/>
          <w:bCs/>
          <w:sz w:val="22"/>
          <w:szCs w:val="22"/>
        </w:rPr>
        <w:t xml:space="preserve"> Summary of Included Studies</w:t>
      </w:r>
    </w:p>
    <w:tbl>
      <w:tblPr>
        <w:tblW w:w="10770" w:type="dxa"/>
        <w:tblCellSpacing w:w="15" w:type="dxa"/>
        <w:tblInd w:w="-883"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093"/>
        <w:gridCol w:w="1220"/>
        <w:gridCol w:w="1468"/>
        <w:gridCol w:w="1125"/>
        <w:gridCol w:w="1563"/>
        <w:gridCol w:w="2257"/>
        <w:gridCol w:w="2044"/>
      </w:tblGrid>
      <w:tr w:rsidR="00113AC7" w:rsidRPr="00D04761" w14:paraId="68E45C73" w14:textId="77777777" w:rsidTr="005B62FD">
        <w:trPr>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1D763290" w14:textId="77777777" w:rsidR="00113AC7" w:rsidRPr="0035350C" w:rsidRDefault="00113AC7" w:rsidP="005B62FD">
            <w:pPr>
              <w:rPr>
                <w:rFonts w:ascii="Arial" w:hAnsi="Arial" w:cs="Arial"/>
                <w:b/>
                <w:bCs/>
                <w:sz w:val="18"/>
                <w:szCs w:val="18"/>
              </w:rPr>
            </w:pPr>
            <w:r w:rsidRPr="0035350C">
              <w:rPr>
                <w:rFonts w:ascii="Arial" w:hAnsi="Arial" w:cs="Arial"/>
                <w:b/>
                <w:bCs/>
                <w:sz w:val="18"/>
                <w:szCs w:val="18"/>
              </w:rPr>
              <w:t>Authors</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5A7E7D2D" w14:textId="77777777" w:rsidR="00113AC7" w:rsidRPr="0035350C" w:rsidRDefault="00113AC7" w:rsidP="005B62FD">
            <w:pPr>
              <w:rPr>
                <w:rFonts w:ascii="Arial" w:hAnsi="Arial" w:cs="Arial"/>
                <w:b/>
                <w:bCs/>
                <w:sz w:val="18"/>
                <w:szCs w:val="18"/>
              </w:rPr>
            </w:pPr>
            <w:r w:rsidRPr="0035350C">
              <w:rPr>
                <w:rFonts w:ascii="Arial" w:hAnsi="Arial" w:cs="Arial"/>
                <w:b/>
                <w:bCs/>
                <w:sz w:val="18"/>
                <w:szCs w:val="18"/>
              </w:rPr>
              <w:t>Type of Study</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41951066" w14:textId="77777777" w:rsidR="00113AC7" w:rsidRPr="0035350C" w:rsidRDefault="00113AC7" w:rsidP="005B62FD">
            <w:pPr>
              <w:rPr>
                <w:rFonts w:ascii="Arial" w:hAnsi="Arial" w:cs="Arial"/>
                <w:b/>
                <w:bCs/>
                <w:sz w:val="18"/>
                <w:szCs w:val="18"/>
              </w:rPr>
            </w:pPr>
            <w:r w:rsidRPr="0035350C">
              <w:rPr>
                <w:rFonts w:ascii="Arial" w:hAnsi="Arial" w:cs="Arial"/>
                <w:b/>
                <w:bCs/>
                <w:sz w:val="18"/>
                <w:szCs w:val="18"/>
              </w:rPr>
              <w:t>Research Method</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0EA2E5DC" w14:textId="77777777" w:rsidR="00113AC7" w:rsidRPr="0035350C" w:rsidRDefault="00113AC7" w:rsidP="005B62FD">
            <w:pPr>
              <w:rPr>
                <w:rFonts w:ascii="Arial" w:hAnsi="Arial" w:cs="Arial"/>
                <w:b/>
                <w:bCs/>
                <w:sz w:val="18"/>
                <w:szCs w:val="18"/>
              </w:rPr>
            </w:pPr>
            <w:r w:rsidRPr="0035350C">
              <w:rPr>
                <w:rFonts w:ascii="Arial" w:hAnsi="Arial" w:cs="Arial"/>
                <w:b/>
                <w:bCs/>
                <w:sz w:val="18"/>
                <w:szCs w:val="18"/>
              </w:rPr>
              <w:t>Type of Analysis</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1A58E35E" w14:textId="77777777" w:rsidR="00113AC7" w:rsidRPr="0035350C" w:rsidRDefault="00113AC7" w:rsidP="005B62FD">
            <w:pPr>
              <w:rPr>
                <w:rFonts w:ascii="Arial" w:hAnsi="Arial" w:cs="Arial"/>
                <w:b/>
                <w:bCs/>
                <w:sz w:val="18"/>
                <w:szCs w:val="18"/>
              </w:rPr>
            </w:pPr>
            <w:r w:rsidRPr="0035350C">
              <w:rPr>
                <w:rFonts w:ascii="Arial" w:hAnsi="Arial" w:cs="Arial"/>
                <w:b/>
                <w:bCs/>
                <w:sz w:val="18"/>
                <w:szCs w:val="18"/>
              </w:rPr>
              <w:t>Sample Size</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5F175AB3" w14:textId="77777777" w:rsidR="00113AC7" w:rsidRPr="0035350C" w:rsidRDefault="00113AC7" w:rsidP="005B62FD">
            <w:pPr>
              <w:rPr>
                <w:rFonts w:ascii="Arial" w:hAnsi="Arial" w:cs="Arial"/>
                <w:b/>
                <w:bCs/>
                <w:sz w:val="18"/>
                <w:szCs w:val="18"/>
              </w:rPr>
            </w:pPr>
            <w:r w:rsidRPr="0035350C">
              <w:rPr>
                <w:rFonts w:ascii="Arial" w:hAnsi="Arial" w:cs="Arial"/>
                <w:b/>
                <w:bCs/>
                <w:sz w:val="18"/>
                <w:szCs w:val="18"/>
              </w:rPr>
              <w:t>Main Findings</w:t>
            </w:r>
          </w:p>
        </w:tc>
        <w:tc>
          <w:tcPr>
            <w:tcW w:w="0" w:type="auto"/>
            <w:tcBorders>
              <w:top w:val="single" w:sz="2" w:space="0" w:color="auto"/>
              <w:left w:val="single" w:sz="2" w:space="0" w:color="auto"/>
              <w:bottom w:val="single" w:sz="6" w:space="0" w:color="auto"/>
              <w:right w:val="single" w:sz="2" w:space="0" w:color="auto"/>
            </w:tcBorders>
            <w:tcMar>
              <w:top w:w="120" w:type="dxa"/>
              <w:left w:w="120" w:type="dxa"/>
              <w:bottom w:w="120" w:type="dxa"/>
              <w:right w:w="120" w:type="dxa"/>
            </w:tcMar>
            <w:vAlign w:val="bottom"/>
            <w:hideMark/>
          </w:tcPr>
          <w:p w14:paraId="1DFF5ECB" w14:textId="77777777" w:rsidR="00113AC7" w:rsidRPr="0035350C" w:rsidRDefault="00113AC7" w:rsidP="005B62FD">
            <w:pPr>
              <w:rPr>
                <w:rFonts w:ascii="Arial" w:hAnsi="Arial" w:cs="Arial"/>
                <w:b/>
                <w:bCs/>
                <w:sz w:val="18"/>
                <w:szCs w:val="18"/>
              </w:rPr>
            </w:pPr>
            <w:r w:rsidRPr="0035350C">
              <w:rPr>
                <w:rFonts w:ascii="Arial" w:hAnsi="Arial" w:cs="Arial"/>
                <w:b/>
                <w:bCs/>
                <w:sz w:val="18"/>
                <w:szCs w:val="18"/>
              </w:rPr>
              <w:t>Relevance to review question</w:t>
            </w:r>
          </w:p>
        </w:tc>
      </w:tr>
      <w:tr w:rsidR="00113AC7" w:rsidRPr="00D04761" w14:paraId="7B9DFACC" w14:textId="77777777" w:rsidTr="005B62FD">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BBB854A" w14:textId="77777777" w:rsidR="00113AC7" w:rsidRPr="0035350C" w:rsidRDefault="00113AC7" w:rsidP="005B62FD">
            <w:pPr>
              <w:rPr>
                <w:rFonts w:ascii="Arial" w:hAnsi="Arial" w:cs="Arial"/>
                <w:sz w:val="18"/>
                <w:szCs w:val="18"/>
              </w:rPr>
            </w:pPr>
            <w:r w:rsidRPr="0035350C">
              <w:rPr>
                <w:rFonts w:ascii="Arial" w:hAnsi="Arial" w:cs="Arial"/>
                <w:sz w:val="18"/>
                <w:szCs w:val="18"/>
              </w:rPr>
              <w:t>Woods and Scott, 2016</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3F535BD" w14:textId="77777777" w:rsidR="00113AC7" w:rsidRPr="0035350C" w:rsidRDefault="00113AC7" w:rsidP="005B62FD">
            <w:pPr>
              <w:rPr>
                <w:rFonts w:ascii="Arial" w:hAnsi="Arial" w:cs="Arial"/>
                <w:sz w:val="18"/>
                <w:szCs w:val="18"/>
              </w:rPr>
            </w:pPr>
            <w:r w:rsidRPr="0035350C">
              <w:rPr>
                <w:rFonts w:ascii="Arial" w:hAnsi="Arial" w:cs="Arial"/>
                <w:sz w:val="18"/>
                <w:szCs w:val="18"/>
              </w:rPr>
              <w:t>Primary research</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11B3C91" w14:textId="77777777" w:rsidR="00113AC7" w:rsidRPr="0035350C" w:rsidRDefault="00113AC7" w:rsidP="005B62FD">
            <w:pPr>
              <w:rPr>
                <w:rFonts w:ascii="Arial" w:hAnsi="Arial" w:cs="Arial"/>
                <w:sz w:val="18"/>
                <w:szCs w:val="18"/>
              </w:rPr>
            </w:pPr>
            <w:r w:rsidRPr="0035350C">
              <w:rPr>
                <w:rFonts w:ascii="Arial" w:hAnsi="Arial" w:cs="Arial"/>
                <w:sz w:val="18"/>
                <w:szCs w:val="18"/>
              </w:rPr>
              <w:t>Quantitative survey</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CEF8D9F" w14:textId="77777777" w:rsidR="00113AC7" w:rsidRPr="0035350C" w:rsidRDefault="00113AC7" w:rsidP="005B62FD">
            <w:pPr>
              <w:rPr>
                <w:rFonts w:ascii="Arial" w:hAnsi="Arial" w:cs="Arial"/>
                <w:sz w:val="18"/>
                <w:szCs w:val="18"/>
              </w:rPr>
            </w:pPr>
            <w:r w:rsidRPr="0035350C">
              <w:rPr>
                <w:rFonts w:ascii="Arial" w:hAnsi="Arial" w:cs="Arial"/>
                <w:sz w:val="18"/>
                <w:szCs w:val="18"/>
              </w:rPr>
              <w:t>Statistical analysis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D18EBD8" w14:textId="77777777" w:rsidR="00113AC7" w:rsidRPr="0035350C" w:rsidRDefault="00113AC7" w:rsidP="005B62FD">
            <w:pPr>
              <w:rPr>
                <w:rFonts w:ascii="Arial" w:hAnsi="Arial" w:cs="Arial"/>
                <w:sz w:val="18"/>
                <w:szCs w:val="18"/>
              </w:rPr>
            </w:pPr>
            <w:r w:rsidRPr="0035350C">
              <w:rPr>
                <w:rFonts w:ascii="Arial" w:hAnsi="Arial" w:cs="Arial"/>
                <w:sz w:val="18"/>
                <w:szCs w:val="18"/>
              </w:rPr>
              <w:t>467 adolescents in Scotland</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01CAA90" w14:textId="77777777" w:rsidR="00113AC7" w:rsidRPr="0035350C" w:rsidRDefault="00113AC7" w:rsidP="005B62FD">
            <w:pPr>
              <w:rPr>
                <w:rFonts w:ascii="Arial" w:hAnsi="Arial" w:cs="Arial"/>
                <w:sz w:val="18"/>
                <w:szCs w:val="18"/>
              </w:rPr>
            </w:pPr>
            <w:r w:rsidRPr="0035350C">
              <w:rPr>
                <w:rFonts w:ascii="Arial" w:hAnsi="Arial" w:cs="Arial"/>
                <w:sz w:val="18"/>
                <w:szCs w:val="18"/>
              </w:rPr>
              <w:t>High night-time social media use was associated with poorer sleep quality, increased anxiety and depression symptoms, and lower self-esteem.</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76C84222" w14:textId="77777777" w:rsidR="00113AC7" w:rsidRPr="0035350C" w:rsidRDefault="00113AC7" w:rsidP="005B62FD">
            <w:pPr>
              <w:rPr>
                <w:rFonts w:ascii="Arial" w:hAnsi="Arial" w:cs="Arial"/>
                <w:sz w:val="18"/>
                <w:szCs w:val="18"/>
              </w:rPr>
            </w:pPr>
            <w:r w:rsidRPr="0035350C">
              <w:rPr>
                <w:rFonts w:ascii="Arial" w:hAnsi="Arial" w:cs="Arial"/>
                <w:sz w:val="18"/>
                <w:szCs w:val="18"/>
              </w:rPr>
              <w:t>Shows how digital behaviour (night-time social media use) relates to anxiety and wellbeing in UK adolescents.</w:t>
            </w:r>
          </w:p>
        </w:tc>
      </w:tr>
      <w:tr w:rsidR="00113AC7" w:rsidRPr="00D04761" w14:paraId="56DF68B7" w14:textId="77777777" w:rsidTr="005B62FD">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6AB6C67" w14:textId="77777777" w:rsidR="00113AC7" w:rsidRPr="0035350C" w:rsidRDefault="00113AC7" w:rsidP="005B62FD">
            <w:pPr>
              <w:rPr>
                <w:rFonts w:ascii="Arial" w:hAnsi="Arial" w:cs="Arial"/>
                <w:sz w:val="18"/>
                <w:szCs w:val="18"/>
              </w:rPr>
            </w:pPr>
            <w:r w:rsidRPr="0035350C">
              <w:rPr>
                <w:rFonts w:ascii="Arial" w:hAnsi="Arial" w:cs="Arial"/>
                <w:sz w:val="18"/>
                <w:szCs w:val="18"/>
              </w:rPr>
              <w:t>O’Reilly et al., 2018</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96A94D8" w14:textId="77777777" w:rsidR="00113AC7" w:rsidRPr="0035350C" w:rsidRDefault="00113AC7" w:rsidP="005B62FD">
            <w:pPr>
              <w:rPr>
                <w:rFonts w:ascii="Arial" w:hAnsi="Arial" w:cs="Arial"/>
                <w:sz w:val="18"/>
                <w:szCs w:val="18"/>
              </w:rPr>
            </w:pPr>
            <w:r w:rsidRPr="0035350C">
              <w:rPr>
                <w:rFonts w:ascii="Arial" w:hAnsi="Arial" w:cs="Arial"/>
                <w:sz w:val="18"/>
                <w:szCs w:val="18"/>
              </w:rPr>
              <w:t>Primary research</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8DCEBD2" w14:textId="77777777" w:rsidR="00113AC7" w:rsidRPr="0035350C" w:rsidRDefault="00113AC7" w:rsidP="005B62FD">
            <w:pPr>
              <w:rPr>
                <w:rFonts w:ascii="Arial" w:hAnsi="Arial" w:cs="Arial"/>
                <w:sz w:val="18"/>
                <w:szCs w:val="18"/>
              </w:rPr>
            </w:pPr>
            <w:r w:rsidRPr="0035350C">
              <w:rPr>
                <w:rFonts w:ascii="Arial" w:hAnsi="Arial" w:cs="Arial"/>
                <w:sz w:val="18"/>
                <w:szCs w:val="18"/>
              </w:rPr>
              <w:t>Qualitative focus groups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E4FD0D2" w14:textId="77777777" w:rsidR="00113AC7" w:rsidRPr="0035350C" w:rsidRDefault="00113AC7" w:rsidP="005B62FD">
            <w:pPr>
              <w:rPr>
                <w:rFonts w:ascii="Arial" w:hAnsi="Arial" w:cs="Arial"/>
                <w:sz w:val="18"/>
                <w:szCs w:val="18"/>
              </w:rPr>
            </w:pPr>
            <w:r w:rsidRPr="0035350C">
              <w:rPr>
                <w:rFonts w:ascii="Arial" w:hAnsi="Arial" w:cs="Arial"/>
                <w:sz w:val="18"/>
                <w:szCs w:val="18"/>
              </w:rPr>
              <w:t>Thematic analysis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70AFA1A" w14:textId="77777777" w:rsidR="00113AC7" w:rsidRPr="0035350C" w:rsidRDefault="00113AC7" w:rsidP="005B62FD">
            <w:pPr>
              <w:rPr>
                <w:rFonts w:ascii="Arial" w:hAnsi="Arial" w:cs="Arial"/>
                <w:sz w:val="18"/>
                <w:szCs w:val="18"/>
              </w:rPr>
            </w:pPr>
          </w:p>
          <w:p w14:paraId="2B29B447" w14:textId="77777777" w:rsidR="00113AC7" w:rsidRPr="0035350C" w:rsidRDefault="00113AC7" w:rsidP="005B62FD">
            <w:pPr>
              <w:rPr>
                <w:rFonts w:ascii="Arial" w:hAnsi="Arial" w:cs="Arial"/>
                <w:sz w:val="18"/>
                <w:szCs w:val="18"/>
              </w:rPr>
            </w:pPr>
            <w:r w:rsidRPr="0035350C">
              <w:rPr>
                <w:rFonts w:ascii="Arial" w:hAnsi="Arial" w:cs="Arial"/>
                <w:sz w:val="18"/>
                <w:szCs w:val="18"/>
              </w:rPr>
              <w:t>54 adolescents aged 11–18</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9F5D2CB" w14:textId="77777777" w:rsidR="00113AC7" w:rsidRPr="0035350C" w:rsidRDefault="00113AC7" w:rsidP="005B62FD">
            <w:pPr>
              <w:rPr>
                <w:rFonts w:ascii="Arial" w:hAnsi="Arial" w:cs="Arial"/>
                <w:sz w:val="18"/>
                <w:szCs w:val="18"/>
              </w:rPr>
            </w:pPr>
            <w:r w:rsidRPr="0035350C">
              <w:rPr>
                <w:rFonts w:ascii="Arial" w:hAnsi="Arial" w:cs="Arial"/>
                <w:sz w:val="18"/>
                <w:szCs w:val="18"/>
              </w:rPr>
              <w:t>Pressure to present idealised online identities, fear of negative judgement, and social comparison were linked to anxiety experiences.</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66A4AF21" w14:textId="77777777" w:rsidR="00113AC7" w:rsidRPr="0035350C" w:rsidRDefault="00113AC7" w:rsidP="005B62FD">
            <w:pPr>
              <w:rPr>
                <w:rFonts w:ascii="Arial" w:hAnsi="Arial" w:cs="Arial"/>
                <w:sz w:val="18"/>
                <w:szCs w:val="18"/>
              </w:rPr>
            </w:pPr>
            <w:r w:rsidRPr="4B436C8C">
              <w:rPr>
                <w:rFonts w:ascii="Arial" w:hAnsi="Arial" w:cs="Arial"/>
                <w:sz w:val="18"/>
                <w:szCs w:val="18"/>
              </w:rPr>
              <w:t>Explores adolescents lived experiences of social media and how online pressures contribute to anxiety.</w:t>
            </w:r>
          </w:p>
        </w:tc>
      </w:tr>
      <w:tr w:rsidR="00113AC7" w:rsidRPr="00D04761" w14:paraId="18B278B8" w14:textId="77777777" w:rsidTr="005B62FD">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3C12B9E" w14:textId="77777777" w:rsidR="00113AC7" w:rsidRPr="0035350C" w:rsidRDefault="00113AC7" w:rsidP="005B62FD">
            <w:pPr>
              <w:rPr>
                <w:rFonts w:ascii="Arial" w:hAnsi="Arial" w:cs="Arial"/>
                <w:sz w:val="18"/>
                <w:szCs w:val="18"/>
              </w:rPr>
            </w:pPr>
            <w:r w:rsidRPr="0035350C">
              <w:rPr>
                <w:rFonts w:ascii="Arial" w:hAnsi="Arial" w:cs="Arial"/>
                <w:sz w:val="18"/>
                <w:szCs w:val="18"/>
              </w:rPr>
              <w:t>Taylor et al., 2021</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4B31EE5" w14:textId="77777777" w:rsidR="00113AC7" w:rsidRPr="0035350C" w:rsidRDefault="00113AC7" w:rsidP="005B62FD">
            <w:pPr>
              <w:rPr>
                <w:rFonts w:ascii="Arial" w:hAnsi="Arial" w:cs="Arial"/>
                <w:sz w:val="18"/>
                <w:szCs w:val="18"/>
              </w:rPr>
            </w:pPr>
            <w:r w:rsidRPr="0035350C">
              <w:rPr>
                <w:rFonts w:ascii="Arial" w:hAnsi="Arial" w:cs="Arial"/>
                <w:sz w:val="18"/>
                <w:szCs w:val="18"/>
              </w:rPr>
              <w:t>Primary research</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6B51081" w14:textId="77777777" w:rsidR="00113AC7" w:rsidRPr="0035350C" w:rsidRDefault="00113AC7" w:rsidP="005B62FD">
            <w:pPr>
              <w:rPr>
                <w:rFonts w:ascii="Arial" w:hAnsi="Arial" w:cs="Arial"/>
                <w:sz w:val="18"/>
                <w:szCs w:val="18"/>
              </w:rPr>
            </w:pPr>
            <w:r w:rsidRPr="0035350C">
              <w:rPr>
                <w:rFonts w:ascii="Arial" w:hAnsi="Arial" w:cs="Arial"/>
                <w:sz w:val="18"/>
                <w:szCs w:val="18"/>
              </w:rPr>
              <w:t>Qualitative interviews with CAMHS clinicians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B47127B" w14:textId="77777777" w:rsidR="00113AC7" w:rsidRPr="0035350C" w:rsidRDefault="00113AC7" w:rsidP="005B62FD">
            <w:pPr>
              <w:rPr>
                <w:rFonts w:ascii="Arial" w:hAnsi="Arial" w:cs="Arial"/>
                <w:sz w:val="18"/>
                <w:szCs w:val="18"/>
              </w:rPr>
            </w:pPr>
            <w:r w:rsidRPr="0035350C">
              <w:rPr>
                <w:rFonts w:ascii="Arial" w:hAnsi="Arial" w:cs="Arial"/>
                <w:sz w:val="18"/>
                <w:szCs w:val="18"/>
              </w:rPr>
              <w:t>Thematic analysis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09CEEEB" w14:textId="77777777" w:rsidR="00113AC7" w:rsidRPr="0035350C" w:rsidRDefault="00113AC7" w:rsidP="005B62FD">
            <w:pPr>
              <w:rPr>
                <w:rFonts w:ascii="Arial" w:hAnsi="Arial" w:cs="Arial"/>
                <w:sz w:val="18"/>
                <w:szCs w:val="18"/>
              </w:rPr>
            </w:pPr>
            <w:r w:rsidRPr="0035350C">
              <w:rPr>
                <w:rFonts w:ascii="Arial" w:hAnsi="Arial" w:cs="Arial"/>
                <w:sz w:val="18"/>
                <w:szCs w:val="18"/>
              </w:rPr>
              <w:t>CAMHS clinicians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F869F7C" w14:textId="77777777" w:rsidR="00113AC7" w:rsidRPr="0035350C" w:rsidRDefault="00113AC7" w:rsidP="005B62FD">
            <w:pPr>
              <w:rPr>
                <w:rFonts w:ascii="Arial" w:hAnsi="Arial" w:cs="Arial"/>
                <w:sz w:val="18"/>
                <w:szCs w:val="18"/>
              </w:rPr>
            </w:pPr>
            <w:r w:rsidRPr="0035350C">
              <w:rPr>
                <w:rFonts w:ascii="Arial" w:hAnsi="Arial" w:cs="Arial"/>
                <w:sz w:val="18"/>
                <w:szCs w:val="18"/>
              </w:rPr>
              <w:t>Cognitive therapy was considered effective, but barriers such as limited time, training needs, and engagement challenges affected delivery.</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7AA14A76" w14:textId="77777777" w:rsidR="00113AC7" w:rsidRPr="0035350C" w:rsidRDefault="00113AC7" w:rsidP="005B62FD">
            <w:pPr>
              <w:rPr>
                <w:rFonts w:ascii="Arial" w:hAnsi="Arial" w:cs="Arial"/>
                <w:sz w:val="18"/>
                <w:szCs w:val="18"/>
              </w:rPr>
            </w:pPr>
            <w:r w:rsidRPr="0035350C">
              <w:rPr>
                <w:rFonts w:ascii="Arial" w:hAnsi="Arial" w:cs="Arial"/>
                <w:sz w:val="18"/>
                <w:szCs w:val="18"/>
              </w:rPr>
              <w:t>Examines how anxiety interventions are delivered in UK CAMHS and practical barriers to effective treatment.</w:t>
            </w:r>
          </w:p>
        </w:tc>
      </w:tr>
      <w:tr w:rsidR="00113AC7" w:rsidRPr="00D04761" w14:paraId="6630CE4B" w14:textId="77777777" w:rsidTr="005B62FD">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1CDFB65" w14:textId="77777777" w:rsidR="00113AC7" w:rsidRPr="0035350C" w:rsidRDefault="00113AC7" w:rsidP="005B62FD">
            <w:pPr>
              <w:rPr>
                <w:rFonts w:ascii="Arial" w:hAnsi="Arial" w:cs="Arial"/>
                <w:sz w:val="18"/>
                <w:szCs w:val="18"/>
              </w:rPr>
            </w:pPr>
            <w:proofErr w:type="spellStart"/>
            <w:r w:rsidRPr="0035350C">
              <w:rPr>
                <w:rFonts w:ascii="Arial" w:hAnsi="Arial" w:cs="Arial"/>
                <w:sz w:val="18"/>
                <w:szCs w:val="18"/>
              </w:rPr>
              <w:t>Radez</w:t>
            </w:r>
            <w:proofErr w:type="spellEnd"/>
            <w:r w:rsidRPr="0035350C">
              <w:rPr>
                <w:rFonts w:ascii="Arial" w:hAnsi="Arial" w:cs="Arial"/>
                <w:sz w:val="18"/>
                <w:szCs w:val="18"/>
              </w:rPr>
              <w:t xml:space="preserve"> et al., 2022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6320F49" w14:textId="77777777" w:rsidR="00113AC7" w:rsidRPr="0035350C" w:rsidRDefault="00113AC7" w:rsidP="005B62FD">
            <w:pPr>
              <w:rPr>
                <w:rFonts w:ascii="Arial" w:hAnsi="Arial" w:cs="Arial"/>
                <w:sz w:val="18"/>
                <w:szCs w:val="18"/>
              </w:rPr>
            </w:pPr>
            <w:r w:rsidRPr="0035350C">
              <w:rPr>
                <w:rFonts w:ascii="Arial" w:hAnsi="Arial" w:cs="Arial"/>
                <w:sz w:val="18"/>
                <w:szCs w:val="18"/>
              </w:rPr>
              <w:t>Primary research</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98122D5" w14:textId="77777777" w:rsidR="00113AC7" w:rsidRPr="0035350C" w:rsidRDefault="00113AC7" w:rsidP="005B62FD">
            <w:pPr>
              <w:rPr>
                <w:rFonts w:ascii="Arial" w:hAnsi="Arial" w:cs="Arial"/>
                <w:sz w:val="18"/>
                <w:szCs w:val="18"/>
              </w:rPr>
            </w:pPr>
            <w:r w:rsidRPr="0035350C">
              <w:rPr>
                <w:rFonts w:ascii="Arial" w:hAnsi="Arial" w:cs="Arial"/>
                <w:sz w:val="18"/>
                <w:szCs w:val="18"/>
              </w:rPr>
              <w:t>Qualitative interviews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A2231E1" w14:textId="77777777" w:rsidR="00113AC7" w:rsidRPr="0035350C" w:rsidRDefault="00113AC7" w:rsidP="005B62FD">
            <w:pPr>
              <w:rPr>
                <w:rFonts w:ascii="Arial" w:hAnsi="Arial" w:cs="Arial"/>
                <w:sz w:val="18"/>
                <w:szCs w:val="18"/>
              </w:rPr>
            </w:pPr>
            <w:r w:rsidRPr="0035350C">
              <w:rPr>
                <w:rFonts w:ascii="Arial" w:hAnsi="Arial" w:cs="Arial"/>
                <w:sz w:val="18"/>
                <w:szCs w:val="18"/>
              </w:rPr>
              <w:t>Thematic analysis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CE038D1" w14:textId="77777777" w:rsidR="00113AC7" w:rsidRPr="0035350C" w:rsidRDefault="00113AC7" w:rsidP="005B62FD">
            <w:pPr>
              <w:rPr>
                <w:rFonts w:ascii="Arial" w:hAnsi="Arial" w:cs="Arial"/>
                <w:sz w:val="18"/>
                <w:szCs w:val="18"/>
              </w:rPr>
            </w:pPr>
            <w:r w:rsidRPr="0035350C">
              <w:rPr>
                <w:rFonts w:ascii="Arial" w:hAnsi="Arial" w:cs="Arial"/>
                <w:sz w:val="18"/>
                <w:szCs w:val="18"/>
              </w:rPr>
              <w:t>Adolescents experiencing mental health difficulties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0F0669E" w14:textId="77777777" w:rsidR="00113AC7" w:rsidRPr="0035350C" w:rsidRDefault="00113AC7" w:rsidP="005B62FD">
            <w:pPr>
              <w:rPr>
                <w:rFonts w:ascii="Arial" w:hAnsi="Arial" w:cs="Arial"/>
                <w:sz w:val="18"/>
                <w:szCs w:val="18"/>
              </w:rPr>
            </w:pPr>
            <w:r w:rsidRPr="0035350C">
              <w:rPr>
                <w:rFonts w:ascii="Arial" w:hAnsi="Arial" w:cs="Arial"/>
                <w:sz w:val="18"/>
                <w:szCs w:val="18"/>
              </w:rPr>
              <w:t>Stigma, fear of judgement, and lack of awareness of services were identified as barriers to help-seeking.</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119D9A30" w14:textId="77777777" w:rsidR="00113AC7" w:rsidRPr="0035350C" w:rsidRDefault="00113AC7" w:rsidP="005B62FD">
            <w:pPr>
              <w:rPr>
                <w:rFonts w:ascii="Arial" w:hAnsi="Arial" w:cs="Arial"/>
                <w:sz w:val="18"/>
                <w:szCs w:val="18"/>
              </w:rPr>
            </w:pPr>
            <w:r w:rsidRPr="4B436C8C">
              <w:rPr>
                <w:rFonts w:ascii="Arial" w:hAnsi="Arial" w:cs="Arial"/>
                <w:sz w:val="18"/>
                <w:szCs w:val="18"/>
              </w:rPr>
              <w:t>Identifies help seeking barriers for adolescents with anxiety and other difficulties in UK contexts.</w:t>
            </w:r>
          </w:p>
        </w:tc>
      </w:tr>
      <w:tr w:rsidR="00113AC7" w:rsidRPr="00D04761" w14:paraId="0906D6E7" w14:textId="77777777" w:rsidTr="005B62FD">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9670F8D" w14:textId="77777777" w:rsidR="00113AC7" w:rsidRPr="0035350C" w:rsidRDefault="00113AC7" w:rsidP="005B62FD">
            <w:pPr>
              <w:rPr>
                <w:rFonts w:ascii="Arial" w:hAnsi="Arial" w:cs="Arial"/>
                <w:sz w:val="18"/>
                <w:szCs w:val="18"/>
              </w:rPr>
            </w:pPr>
            <w:r w:rsidRPr="0035350C">
              <w:rPr>
                <w:rFonts w:ascii="Arial" w:hAnsi="Arial" w:cs="Arial"/>
                <w:sz w:val="18"/>
                <w:szCs w:val="18"/>
              </w:rPr>
              <w:t>Krause et al., 2022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1CC7B2E" w14:textId="77777777" w:rsidR="00113AC7" w:rsidRPr="0035350C" w:rsidRDefault="00113AC7" w:rsidP="005B62FD">
            <w:pPr>
              <w:rPr>
                <w:rFonts w:ascii="Arial" w:hAnsi="Arial" w:cs="Arial"/>
                <w:sz w:val="18"/>
                <w:szCs w:val="18"/>
              </w:rPr>
            </w:pPr>
            <w:r w:rsidRPr="0035350C">
              <w:rPr>
                <w:rFonts w:ascii="Arial" w:hAnsi="Arial" w:cs="Arial"/>
                <w:sz w:val="18"/>
                <w:szCs w:val="18"/>
              </w:rPr>
              <w:t>Service evaluation</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C9E3701" w14:textId="77777777" w:rsidR="00113AC7" w:rsidRPr="0035350C" w:rsidRDefault="00113AC7" w:rsidP="005B62FD">
            <w:pPr>
              <w:rPr>
                <w:rFonts w:ascii="Arial" w:hAnsi="Arial" w:cs="Arial"/>
                <w:sz w:val="18"/>
                <w:szCs w:val="18"/>
              </w:rPr>
            </w:pPr>
            <w:r w:rsidRPr="0035350C">
              <w:rPr>
                <w:rFonts w:ascii="Arial" w:hAnsi="Arial" w:cs="Arial"/>
                <w:sz w:val="18"/>
                <w:szCs w:val="18"/>
              </w:rPr>
              <w:t>Quantitative service data analysis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CB0EA0B" w14:textId="77777777" w:rsidR="00113AC7" w:rsidRPr="0035350C" w:rsidRDefault="00113AC7" w:rsidP="005B62FD">
            <w:pPr>
              <w:rPr>
                <w:rFonts w:ascii="Arial" w:hAnsi="Arial" w:cs="Arial"/>
                <w:sz w:val="18"/>
                <w:szCs w:val="18"/>
              </w:rPr>
            </w:pPr>
            <w:r w:rsidRPr="0035350C">
              <w:rPr>
                <w:rFonts w:ascii="Arial" w:hAnsi="Arial" w:cs="Arial"/>
                <w:sz w:val="18"/>
                <w:szCs w:val="18"/>
              </w:rPr>
              <w:t>Statistical analysis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A0FA02F" w14:textId="77777777" w:rsidR="00113AC7" w:rsidRPr="0035350C" w:rsidRDefault="00113AC7" w:rsidP="005B62FD">
            <w:pPr>
              <w:rPr>
                <w:rFonts w:ascii="Arial" w:hAnsi="Arial" w:cs="Arial"/>
                <w:sz w:val="18"/>
                <w:szCs w:val="18"/>
              </w:rPr>
            </w:pPr>
            <w:r w:rsidRPr="0035350C">
              <w:rPr>
                <w:rFonts w:ascii="Arial" w:hAnsi="Arial" w:cs="Arial"/>
                <w:sz w:val="18"/>
                <w:szCs w:val="18"/>
              </w:rPr>
              <w:t>1,641 adolescents across 60 UK services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480EC0A" w14:textId="77777777" w:rsidR="00113AC7" w:rsidRPr="0035350C" w:rsidRDefault="00113AC7" w:rsidP="005B62FD">
            <w:pPr>
              <w:rPr>
                <w:rFonts w:ascii="Arial" w:hAnsi="Arial" w:cs="Arial"/>
                <w:sz w:val="18"/>
                <w:szCs w:val="18"/>
              </w:rPr>
            </w:pPr>
            <w:r w:rsidRPr="0035350C">
              <w:rPr>
                <w:rFonts w:ascii="Arial" w:hAnsi="Arial" w:cs="Arial"/>
                <w:sz w:val="18"/>
                <w:szCs w:val="18"/>
              </w:rPr>
              <w:t>Many adolescents improved following treatment, but outcome measurement varied between services.</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50EC019D" w14:textId="77777777" w:rsidR="00113AC7" w:rsidRPr="0035350C" w:rsidRDefault="00113AC7" w:rsidP="005B62FD">
            <w:pPr>
              <w:rPr>
                <w:rFonts w:ascii="Arial" w:hAnsi="Arial" w:cs="Arial"/>
                <w:sz w:val="18"/>
                <w:szCs w:val="18"/>
              </w:rPr>
            </w:pPr>
            <w:r w:rsidRPr="4B436C8C">
              <w:rPr>
                <w:rFonts w:ascii="Arial" w:hAnsi="Arial" w:cs="Arial"/>
                <w:sz w:val="18"/>
                <w:szCs w:val="18"/>
              </w:rPr>
              <w:t>Provides evidence on outcomes of routine anxiety and other treatments in UK services and highlights service level issues.</w:t>
            </w:r>
          </w:p>
        </w:tc>
      </w:tr>
      <w:tr w:rsidR="00113AC7" w:rsidRPr="00D04761" w14:paraId="3790FEC6" w14:textId="77777777" w:rsidTr="005B62FD">
        <w:trPr>
          <w:trHeight w:val="1368"/>
          <w:tblCellSpacing w:w="15" w:type="dxa"/>
        </w:trPr>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666F20DA" w14:textId="77777777" w:rsidR="00113AC7" w:rsidRPr="0035350C" w:rsidRDefault="00113AC7" w:rsidP="005B62FD">
            <w:pPr>
              <w:rPr>
                <w:rFonts w:ascii="Arial" w:hAnsi="Arial" w:cs="Arial"/>
                <w:sz w:val="18"/>
                <w:szCs w:val="18"/>
              </w:rPr>
            </w:pPr>
            <w:r w:rsidRPr="0035350C">
              <w:rPr>
                <w:rFonts w:ascii="Arial" w:hAnsi="Arial" w:cs="Arial"/>
                <w:sz w:val="18"/>
                <w:szCs w:val="18"/>
              </w:rPr>
              <w:t>Loades et al., 2020</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504C293B" w14:textId="77777777" w:rsidR="00113AC7" w:rsidRPr="0035350C" w:rsidRDefault="00113AC7" w:rsidP="005B62FD">
            <w:pPr>
              <w:rPr>
                <w:rFonts w:ascii="Arial" w:hAnsi="Arial" w:cs="Arial"/>
                <w:sz w:val="18"/>
                <w:szCs w:val="18"/>
              </w:rPr>
            </w:pPr>
            <w:r w:rsidRPr="0035350C">
              <w:rPr>
                <w:rFonts w:ascii="Arial" w:hAnsi="Arial" w:cs="Arial"/>
                <w:sz w:val="18"/>
                <w:szCs w:val="18"/>
              </w:rPr>
              <w:t>Systematic review</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14D694B4" w14:textId="77777777" w:rsidR="00113AC7" w:rsidRPr="0035350C" w:rsidRDefault="00113AC7" w:rsidP="005B62FD">
            <w:pPr>
              <w:rPr>
                <w:rFonts w:ascii="Arial" w:hAnsi="Arial" w:cs="Arial"/>
                <w:sz w:val="18"/>
                <w:szCs w:val="18"/>
              </w:rPr>
            </w:pPr>
            <w:r w:rsidRPr="0035350C">
              <w:rPr>
                <w:rFonts w:ascii="Arial" w:hAnsi="Arial" w:cs="Arial"/>
                <w:sz w:val="18"/>
                <w:szCs w:val="18"/>
              </w:rPr>
              <w:t>Secondary research of multiple studies</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07136FD2" w14:textId="77777777" w:rsidR="00113AC7" w:rsidRPr="0035350C" w:rsidRDefault="00113AC7" w:rsidP="005B62FD">
            <w:pPr>
              <w:rPr>
                <w:rFonts w:ascii="Arial" w:hAnsi="Arial" w:cs="Arial"/>
                <w:sz w:val="18"/>
                <w:szCs w:val="18"/>
              </w:rPr>
            </w:pPr>
            <w:r w:rsidRPr="0035350C">
              <w:rPr>
                <w:rFonts w:ascii="Arial" w:hAnsi="Arial" w:cs="Arial"/>
                <w:sz w:val="18"/>
                <w:szCs w:val="18"/>
              </w:rPr>
              <w:t>Narrative synthesis</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0FB58822" w14:textId="77777777" w:rsidR="00113AC7" w:rsidRPr="0035350C" w:rsidRDefault="00113AC7" w:rsidP="005B62FD">
            <w:pPr>
              <w:rPr>
                <w:rFonts w:ascii="Arial" w:hAnsi="Arial" w:cs="Arial"/>
                <w:sz w:val="18"/>
                <w:szCs w:val="18"/>
              </w:rPr>
            </w:pPr>
            <w:r w:rsidRPr="0035350C">
              <w:rPr>
                <w:rFonts w:ascii="Arial" w:hAnsi="Arial" w:cs="Arial"/>
                <w:sz w:val="18"/>
                <w:szCs w:val="18"/>
              </w:rPr>
              <w:t>80 studies involving over 51,000 participants</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423446B6" w14:textId="77777777" w:rsidR="00113AC7" w:rsidRPr="0035350C" w:rsidRDefault="00113AC7" w:rsidP="005B62FD">
            <w:pPr>
              <w:rPr>
                <w:rFonts w:ascii="Arial" w:hAnsi="Arial" w:cs="Arial"/>
                <w:sz w:val="18"/>
                <w:szCs w:val="18"/>
              </w:rPr>
            </w:pPr>
            <w:r w:rsidRPr="0035350C">
              <w:rPr>
                <w:rFonts w:ascii="Arial" w:hAnsi="Arial" w:cs="Arial"/>
                <w:sz w:val="18"/>
                <w:szCs w:val="18"/>
              </w:rPr>
              <w:t>Loneliness and social isolation were strongly associated with anxiety and depression among children and adolescents.</w:t>
            </w:r>
          </w:p>
        </w:tc>
        <w:tc>
          <w:tcPr>
            <w:tcW w:w="0" w:type="auto"/>
            <w:tcBorders>
              <w:top w:val="single" w:sz="2" w:space="0" w:color="auto"/>
              <w:left w:val="single" w:sz="2" w:space="0" w:color="auto"/>
              <w:bottom w:val="single" w:sz="2" w:space="0" w:color="auto"/>
              <w:right w:val="single" w:sz="2" w:space="0" w:color="auto"/>
            </w:tcBorders>
            <w:tcMar>
              <w:top w:w="137" w:type="dxa"/>
              <w:left w:w="120" w:type="dxa"/>
              <w:bottom w:w="137" w:type="dxa"/>
              <w:right w:w="120" w:type="dxa"/>
            </w:tcMar>
            <w:vAlign w:val="bottom"/>
            <w:hideMark/>
          </w:tcPr>
          <w:p w14:paraId="6A897D18" w14:textId="77777777" w:rsidR="00113AC7" w:rsidRPr="0035350C" w:rsidRDefault="00113AC7" w:rsidP="005B62FD">
            <w:pPr>
              <w:rPr>
                <w:rFonts w:ascii="Arial" w:hAnsi="Arial" w:cs="Arial"/>
                <w:sz w:val="18"/>
                <w:szCs w:val="18"/>
              </w:rPr>
            </w:pPr>
            <w:r w:rsidRPr="0035350C">
              <w:rPr>
                <w:rFonts w:ascii="Arial" w:hAnsi="Arial" w:cs="Arial"/>
                <w:sz w:val="18"/>
                <w:szCs w:val="18"/>
              </w:rPr>
              <w:t>Synthesises evidence on social isolation and loneliness as key risk factors for anxiety in young people.</w:t>
            </w:r>
          </w:p>
        </w:tc>
      </w:tr>
    </w:tbl>
    <w:p w14:paraId="2A80A282" w14:textId="77777777" w:rsidR="00BB480A" w:rsidRPr="00BB480A" w:rsidRDefault="00BB480A" w:rsidP="00BB480A">
      <w:pPr>
        <w:spacing w:line="360" w:lineRule="auto"/>
        <w:jc w:val="both"/>
        <w:rPr>
          <w:rFonts w:ascii="Arial" w:hAnsi="Arial" w:cs="Arial"/>
          <w:b/>
          <w:bCs/>
          <w:sz w:val="22"/>
          <w:szCs w:val="22"/>
        </w:rPr>
      </w:pPr>
      <w:r w:rsidRPr="00BB480A">
        <w:rPr>
          <w:rFonts w:ascii="Arial" w:hAnsi="Arial" w:cs="Arial"/>
          <w:b/>
          <w:bCs/>
          <w:sz w:val="22"/>
          <w:szCs w:val="22"/>
        </w:rPr>
        <w:lastRenderedPageBreak/>
        <w:t>4.2 Theme 1: Digital Effects on Anxiety in Adolescents</w:t>
      </w:r>
    </w:p>
    <w:p w14:paraId="23E7107F" w14:textId="77777777" w:rsidR="00BB480A" w:rsidRPr="00BB480A" w:rsidRDefault="00BB480A" w:rsidP="00BB480A">
      <w:pPr>
        <w:spacing w:line="360" w:lineRule="auto"/>
        <w:jc w:val="both"/>
        <w:rPr>
          <w:rFonts w:ascii="Arial" w:hAnsi="Arial" w:cs="Arial"/>
          <w:sz w:val="22"/>
          <w:szCs w:val="22"/>
        </w:rPr>
      </w:pPr>
      <w:r w:rsidRPr="00BB480A">
        <w:rPr>
          <w:rFonts w:ascii="Arial" w:hAnsi="Arial" w:cs="Arial"/>
          <w:sz w:val="22"/>
          <w:szCs w:val="22"/>
        </w:rPr>
        <w:t>The literature indicates that digital environments play a significant role in adolescent psychological wellbeing. Woods and Scott (2016) found that excessive night-time social media use was associated with poor sleep quality, increased symptoms of anxiety and depression, and lower self-esteem. Similarly, O’Reilly et al. (2018) reported that adolescents often feel pressure to present idealised online identities and compare themselves with others, contributing to stress and anxiety.</w:t>
      </w:r>
    </w:p>
    <w:p w14:paraId="7270A59C" w14:textId="77777777" w:rsidR="00BB480A" w:rsidRPr="00BB480A" w:rsidRDefault="00BB480A" w:rsidP="00BB480A">
      <w:pPr>
        <w:spacing w:line="360" w:lineRule="auto"/>
        <w:jc w:val="both"/>
        <w:rPr>
          <w:rFonts w:ascii="Arial" w:hAnsi="Arial" w:cs="Arial"/>
          <w:sz w:val="22"/>
          <w:szCs w:val="22"/>
        </w:rPr>
      </w:pPr>
      <w:r w:rsidRPr="00BB480A">
        <w:rPr>
          <w:rFonts w:ascii="Arial" w:hAnsi="Arial" w:cs="Arial"/>
          <w:sz w:val="22"/>
          <w:szCs w:val="22"/>
        </w:rPr>
        <w:t>However, some adolescents also reported positive experiences, including maintaining friendships and accessing peer support through social media.</w:t>
      </w:r>
    </w:p>
    <w:p w14:paraId="668E4AD4" w14:textId="77777777" w:rsidR="00BB480A" w:rsidRPr="00BB480A" w:rsidRDefault="00BB480A" w:rsidP="00BB480A">
      <w:pPr>
        <w:spacing w:line="360" w:lineRule="auto"/>
        <w:jc w:val="both"/>
        <w:rPr>
          <w:rFonts w:ascii="Arial" w:hAnsi="Arial" w:cs="Arial"/>
          <w:b/>
          <w:bCs/>
          <w:sz w:val="22"/>
          <w:szCs w:val="22"/>
        </w:rPr>
      </w:pPr>
      <w:r w:rsidRPr="00BB480A">
        <w:rPr>
          <w:rFonts w:ascii="Arial" w:hAnsi="Arial" w:cs="Arial"/>
          <w:b/>
          <w:bCs/>
          <w:sz w:val="22"/>
          <w:szCs w:val="22"/>
        </w:rPr>
        <w:t>4.3 Theme 2: Social Experiences and Emotional Wellbeing</w:t>
      </w:r>
    </w:p>
    <w:p w14:paraId="7BD99C46" w14:textId="77777777" w:rsidR="00BB480A" w:rsidRPr="00BB480A" w:rsidRDefault="00BB480A" w:rsidP="00BB480A">
      <w:pPr>
        <w:spacing w:line="360" w:lineRule="auto"/>
        <w:jc w:val="both"/>
        <w:rPr>
          <w:rFonts w:ascii="Arial" w:hAnsi="Arial" w:cs="Arial"/>
          <w:sz w:val="22"/>
          <w:szCs w:val="22"/>
        </w:rPr>
      </w:pPr>
      <w:r w:rsidRPr="00BB480A">
        <w:rPr>
          <w:rFonts w:ascii="Arial" w:hAnsi="Arial" w:cs="Arial"/>
          <w:sz w:val="22"/>
          <w:szCs w:val="22"/>
        </w:rPr>
        <w:t>Adolescent anxiety is closely linked to social relationships and peer interactions. O’Reilly et al. (2018) found that adolescents experience pressure to meet peer expectations and fear of rejection, which can contribute to anxiety. Loades et al. (2020) identified strong associations between loneliness, social isolation, and symptoms of anxiety and depression in children and adolescents.</w:t>
      </w:r>
    </w:p>
    <w:p w14:paraId="664D33E5" w14:textId="77777777" w:rsidR="00BB480A" w:rsidRPr="00BB480A" w:rsidRDefault="00BB480A" w:rsidP="00BB480A">
      <w:pPr>
        <w:spacing w:line="360" w:lineRule="auto"/>
        <w:jc w:val="both"/>
        <w:rPr>
          <w:rFonts w:ascii="Arial" w:hAnsi="Arial" w:cs="Arial"/>
          <w:sz w:val="22"/>
          <w:szCs w:val="22"/>
        </w:rPr>
      </w:pPr>
      <w:r w:rsidRPr="00BB480A">
        <w:rPr>
          <w:rFonts w:ascii="Arial" w:hAnsi="Arial" w:cs="Arial"/>
          <w:sz w:val="22"/>
          <w:szCs w:val="22"/>
        </w:rPr>
        <w:t>These findings emphasise the importance of positive peer relationships and a sense of belonging in supporting emotional wellbeing.</w:t>
      </w:r>
    </w:p>
    <w:p w14:paraId="3ACCCBCE" w14:textId="77777777" w:rsidR="00BB480A" w:rsidRPr="00BB480A" w:rsidRDefault="00BB480A" w:rsidP="00BB480A">
      <w:pPr>
        <w:spacing w:line="360" w:lineRule="auto"/>
        <w:jc w:val="both"/>
        <w:rPr>
          <w:rFonts w:ascii="Arial" w:hAnsi="Arial" w:cs="Arial"/>
          <w:b/>
          <w:bCs/>
          <w:sz w:val="22"/>
          <w:szCs w:val="22"/>
        </w:rPr>
      </w:pPr>
      <w:r w:rsidRPr="00BB480A">
        <w:rPr>
          <w:rFonts w:ascii="Arial" w:hAnsi="Arial" w:cs="Arial"/>
          <w:b/>
          <w:bCs/>
          <w:sz w:val="22"/>
          <w:szCs w:val="22"/>
        </w:rPr>
        <w:t>4.4 Theme 3: Barriers to Support and Interventions</w:t>
      </w:r>
    </w:p>
    <w:p w14:paraId="5DB38217" w14:textId="77777777" w:rsidR="00BB480A" w:rsidRPr="00BB480A" w:rsidRDefault="00BB480A" w:rsidP="00BB480A">
      <w:pPr>
        <w:spacing w:line="360" w:lineRule="auto"/>
        <w:jc w:val="both"/>
        <w:rPr>
          <w:rFonts w:ascii="Arial" w:hAnsi="Arial" w:cs="Arial"/>
          <w:sz w:val="22"/>
          <w:szCs w:val="22"/>
        </w:rPr>
      </w:pPr>
      <w:r w:rsidRPr="00BB480A">
        <w:rPr>
          <w:rFonts w:ascii="Arial" w:hAnsi="Arial" w:cs="Arial"/>
          <w:sz w:val="22"/>
          <w:szCs w:val="22"/>
        </w:rPr>
        <w:t xml:space="preserve">Barriers to help-seeking and access to services are consistently highlighted in the literature. </w:t>
      </w:r>
      <w:proofErr w:type="spellStart"/>
      <w:r w:rsidRPr="00BB480A">
        <w:rPr>
          <w:rFonts w:ascii="Arial" w:hAnsi="Arial" w:cs="Arial"/>
          <w:sz w:val="22"/>
          <w:szCs w:val="22"/>
        </w:rPr>
        <w:t>Radez</w:t>
      </w:r>
      <w:proofErr w:type="spellEnd"/>
      <w:r w:rsidRPr="00BB480A">
        <w:rPr>
          <w:rFonts w:ascii="Arial" w:hAnsi="Arial" w:cs="Arial"/>
          <w:sz w:val="22"/>
          <w:szCs w:val="22"/>
        </w:rPr>
        <w:t xml:space="preserve"> et al. (2022) identified stigma, fear of judgement, and concerns about confidentiality as key factors discouraging adolescents from seeking professional support. Taylor et al. (2021) reported that although cognitive behavioural therapy is effective, clinicians face challenges such as time constraints, limited training, and difficulties engaging young people in therapy.</w:t>
      </w:r>
    </w:p>
    <w:p w14:paraId="0923BA3F" w14:textId="5FD5E2B4" w:rsidR="00BB480A" w:rsidRPr="00BE0089" w:rsidRDefault="00BB480A" w:rsidP="00D41835">
      <w:pPr>
        <w:spacing w:line="360" w:lineRule="auto"/>
        <w:jc w:val="both"/>
        <w:rPr>
          <w:rFonts w:ascii="Arial" w:hAnsi="Arial" w:cs="Arial"/>
          <w:sz w:val="22"/>
          <w:szCs w:val="22"/>
        </w:rPr>
      </w:pPr>
      <w:r w:rsidRPr="00BB480A">
        <w:rPr>
          <w:rFonts w:ascii="Arial" w:hAnsi="Arial" w:cs="Arial"/>
          <w:sz w:val="22"/>
          <w:szCs w:val="22"/>
        </w:rPr>
        <w:t>Krause et al. (2022) also identified inconsistencies in outcome measurement across services, which may affect the evaluation of treatment effectiveness.</w:t>
      </w:r>
    </w:p>
    <w:p w14:paraId="0CD496DE" w14:textId="3FB7BEB7" w:rsidR="00BB480A" w:rsidRPr="00BE0089" w:rsidRDefault="00BB480A" w:rsidP="00D41835">
      <w:pPr>
        <w:spacing w:line="360" w:lineRule="auto"/>
        <w:jc w:val="both"/>
        <w:rPr>
          <w:rFonts w:ascii="Arial" w:hAnsi="Arial" w:cs="Arial"/>
          <w:b/>
          <w:bCs/>
        </w:rPr>
      </w:pPr>
      <w:r w:rsidRPr="00BE0089">
        <w:rPr>
          <w:rFonts w:ascii="Arial" w:hAnsi="Arial" w:cs="Arial"/>
          <w:b/>
          <w:bCs/>
        </w:rPr>
        <w:t>5.Discussion</w:t>
      </w:r>
    </w:p>
    <w:p w14:paraId="576247CB" w14:textId="3EEFB816" w:rsidR="00D41835" w:rsidRPr="00A77D17" w:rsidRDefault="00D41835" w:rsidP="00D41835">
      <w:pPr>
        <w:spacing w:line="360" w:lineRule="auto"/>
        <w:jc w:val="both"/>
        <w:rPr>
          <w:rFonts w:ascii="Arial" w:hAnsi="Arial" w:cs="Arial"/>
          <w:sz w:val="22"/>
          <w:szCs w:val="22"/>
        </w:rPr>
      </w:pPr>
      <w:r w:rsidRPr="00A77D17">
        <w:rPr>
          <w:rFonts w:ascii="Arial" w:hAnsi="Arial" w:cs="Arial"/>
          <w:sz w:val="22"/>
          <w:szCs w:val="22"/>
        </w:rPr>
        <w:t>The scoping review aimed to determine the most reported themes in the peer-reviewed literature on anxiety among adolescents in the United Kingdom and to investigate support and intervention methods. The review of the chosen articles shows that the factors of anxiety during adolescence are the product of a complex interaction of digital factors, social experiences, and service-related issues</w:t>
      </w:r>
      <w:r w:rsidR="00702B4F" w:rsidRPr="00A77D17">
        <w:rPr>
          <w:rFonts w:ascii="Arial" w:hAnsi="Arial" w:cs="Arial"/>
          <w:sz w:val="22"/>
          <w:szCs w:val="22"/>
        </w:rPr>
        <w:t>,</w:t>
      </w:r>
      <w:r w:rsidR="0054132E" w:rsidRPr="00A77D17">
        <w:rPr>
          <w:rFonts w:ascii="Arial" w:hAnsi="Arial" w:cs="Arial"/>
          <w:sz w:val="22"/>
          <w:szCs w:val="22"/>
        </w:rPr>
        <w:t xml:space="preserve"> which is consistent with wider literature on adolescent mental health (</w:t>
      </w:r>
      <w:proofErr w:type="spellStart"/>
      <w:r w:rsidR="0054132E" w:rsidRPr="00A77D17">
        <w:rPr>
          <w:rFonts w:ascii="Arial" w:hAnsi="Arial" w:cs="Arial"/>
          <w:sz w:val="22"/>
          <w:szCs w:val="22"/>
        </w:rPr>
        <w:t>Polanczyk</w:t>
      </w:r>
      <w:proofErr w:type="spellEnd"/>
      <w:r w:rsidR="0054132E" w:rsidRPr="00A77D17">
        <w:rPr>
          <w:rFonts w:ascii="Arial" w:hAnsi="Arial" w:cs="Arial"/>
          <w:sz w:val="22"/>
          <w:szCs w:val="22"/>
        </w:rPr>
        <w:t xml:space="preserve"> et al., 2015; Keles et al., 2020).</w:t>
      </w:r>
    </w:p>
    <w:p w14:paraId="706912C1" w14:textId="4612B4CA" w:rsidR="00D41835" w:rsidRPr="00A77D17" w:rsidRDefault="00D41835" w:rsidP="00D41835">
      <w:pPr>
        <w:spacing w:line="360" w:lineRule="auto"/>
        <w:jc w:val="both"/>
        <w:rPr>
          <w:rFonts w:ascii="Arial" w:hAnsi="Arial" w:cs="Arial"/>
          <w:sz w:val="22"/>
          <w:szCs w:val="22"/>
        </w:rPr>
      </w:pPr>
      <w:r w:rsidRPr="00A77D17">
        <w:rPr>
          <w:rFonts w:ascii="Arial" w:hAnsi="Arial" w:cs="Arial"/>
          <w:sz w:val="22"/>
          <w:szCs w:val="22"/>
        </w:rPr>
        <w:lastRenderedPageBreak/>
        <w:t>Although Woods and Scott (2016) introduced quantitative data to demonstrate the association between the use of social media at night, disturbed sleep, and the development of symptoms of anxiety, O’Reilly et al. (2018) provided qualitative evidence of how social comparison in digital environments contributes to feelings of judgement and inadequacy in adolescents. The six studies identified shared patterns; however, conflicts and gaps in the evidence base were also evident. This highlights the importance of combining different research approaches, as quantitative studies provide measurable associations while qualitative studies offer deeper insight into lived experiences</w:t>
      </w:r>
      <w:r w:rsidR="00B84FBA">
        <w:rPr>
          <w:rFonts w:ascii="Arial" w:hAnsi="Arial" w:cs="Arial"/>
          <w:sz w:val="22"/>
          <w:szCs w:val="22"/>
        </w:rPr>
        <w:t xml:space="preserve"> </w:t>
      </w:r>
      <w:r w:rsidR="00EA1720" w:rsidRPr="00A77D17">
        <w:rPr>
          <w:rFonts w:ascii="Arial" w:hAnsi="Arial" w:cs="Arial"/>
          <w:sz w:val="22"/>
          <w:szCs w:val="22"/>
        </w:rPr>
        <w:t>(Aveyard, 2014)</w:t>
      </w:r>
      <w:r w:rsidRPr="00A77D17">
        <w:rPr>
          <w:rFonts w:ascii="Arial" w:hAnsi="Arial" w:cs="Arial"/>
          <w:sz w:val="22"/>
          <w:szCs w:val="22"/>
        </w:rPr>
        <w:t>. In addition, the combination of methods allows for triangulation of findings, strengthening the overall validity of the conclusions drawn about adolescent anxiety</w:t>
      </w:r>
      <w:r w:rsidR="00B84FBA">
        <w:rPr>
          <w:rFonts w:ascii="Arial" w:hAnsi="Arial" w:cs="Arial"/>
          <w:sz w:val="22"/>
          <w:szCs w:val="22"/>
        </w:rPr>
        <w:t xml:space="preserve"> </w:t>
      </w:r>
      <w:r w:rsidR="00DD3AD0" w:rsidRPr="00A77D17">
        <w:rPr>
          <w:rFonts w:ascii="Arial" w:hAnsi="Arial" w:cs="Arial"/>
          <w:sz w:val="22"/>
          <w:szCs w:val="22"/>
        </w:rPr>
        <w:t>(Creswell, 2014)</w:t>
      </w:r>
      <w:r w:rsidRPr="00A77D17">
        <w:rPr>
          <w:rFonts w:ascii="Arial" w:hAnsi="Arial" w:cs="Arial"/>
          <w:sz w:val="22"/>
          <w:szCs w:val="22"/>
        </w:rPr>
        <w:t>.</w:t>
      </w:r>
    </w:p>
    <w:p w14:paraId="0A01786B" w14:textId="56AE7A61" w:rsidR="00D41835" w:rsidRPr="00A77D17" w:rsidRDefault="00D41835" w:rsidP="00D41835">
      <w:pPr>
        <w:spacing w:line="360" w:lineRule="auto"/>
        <w:jc w:val="both"/>
        <w:rPr>
          <w:rFonts w:ascii="Arial" w:hAnsi="Arial" w:cs="Arial"/>
          <w:sz w:val="22"/>
          <w:szCs w:val="22"/>
        </w:rPr>
      </w:pPr>
      <w:r w:rsidRPr="00A77D17">
        <w:rPr>
          <w:rFonts w:ascii="Arial" w:hAnsi="Arial" w:cs="Arial"/>
          <w:sz w:val="22"/>
          <w:szCs w:val="22"/>
        </w:rPr>
        <w:t>The importance of digital spaces and social media was a consistent finding across the literature. Woods and Scott (2016) found that high levels of night-time social media use were associated with poor sleep quality, low self-esteem, and increased symptoms of anxiety and depression, suggesting that digital behaviours are directly and indirectly linked to emotional distress through sleep disturbance and self-perception. Similarly, O’Reilly et al. (2018) found that adolescents were driven to present idealised images online and compare themselves with others, contributing to stress and anxiety. These findings also suggest that digital environments may intensify existing vulnerabilities, particularly for adolescents who are already experiencing low self-esteem or social difficulties. This raises concerns about the cumulative effect of digital exposure over time, especially when combined with other risk factors such as academic pressure or family-related stress</w:t>
      </w:r>
      <w:r w:rsidR="00B84FBA">
        <w:rPr>
          <w:rFonts w:ascii="Arial" w:hAnsi="Arial" w:cs="Arial"/>
          <w:sz w:val="22"/>
          <w:szCs w:val="22"/>
        </w:rPr>
        <w:t xml:space="preserve"> </w:t>
      </w:r>
      <w:r w:rsidR="00BA2B88" w:rsidRPr="00A77D17">
        <w:rPr>
          <w:rFonts w:ascii="Arial" w:hAnsi="Arial" w:cs="Arial"/>
          <w:sz w:val="22"/>
          <w:szCs w:val="22"/>
        </w:rPr>
        <w:t>(Kelly et al., 2018; Twenge et al., 2018)</w:t>
      </w:r>
      <w:r w:rsidRPr="00A77D17">
        <w:rPr>
          <w:rFonts w:ascii="Arial" w:hAnsi="Arial" w:cs="Arial"/>
          <w:sz w:val="22"/>
          <w:szCs w:val="22"/>
        </w:rPr>
        <w:t>. However, it is important to recognise that these studies are largely correlational, meaning that causation cannot be firmly established between social media use and anxiety outcomes.</w:t>
      </w:r>
    </w:p>
    <w:p w14:paraId="75754F8C" w14:textId="788886F6" w:rsidR="00D41835" w:rsidRPr="00A77D17" w:rsidRDefault="00D41835" w:rsidP="00D41835">
      <w:pPr>
        <w:spacing w:line="360" w:lineRule="auto"/>
        <w:jc w:val="both"/>
        <w:rPr>
          <w:rFonts w:ascii="Arial" w:hAnsi="Arial" w:cs="Arial"/>
          <w:sz w:val="22"/>
          <w:szCs w:val="22"/>
        </w:rPr>
      </w:pPr>
      <w:r w:rsidRPr="00A77D17">
        <w:rPr>
          <w:rFonts w:ascii="Arial" w:hAnsi="Arial" w:cs="Arial"/>
          <w:sz w:val="22"/>
          <w:szCs w:val="22"/>
        </w:rPr>
        <w:t>However, some positive effects were also reported. O’Reilly et al. (2018) found that digital platforms can be used to communicate and maintain peer connections, indicating that the impact of digital technology depends on patterns of use and context. Online communities, therefore, present both risks and opportunities for adolescent wellbeing. This indicates that the relationship between digital technology and anxiety is complex and context-dependent, rather than uniformly negative</w:t>
      </w:r>
      <w:r w:rsidR="0033661B">
        <w:rPr>
          <w:rFonts w:ascii="Arial" w:hAnsi="Arial" w:cs="Arial"/>
          <w:sz w:val="22"/>
          <w:szCs w:val="22"/>
        </w:rPr>
        <w:t xml:space="preserve"> </w:t>
      </w:r>
      <w:r w:rsidR="00FC6D9F" w:rsidRPr="00A77D17">
        <w:rPr>
          <w:rFonts w:ascii="Arial" w:hAnsi="Arial" w:cs="Arial"/>
          <w:sz w:val="22"/>
          <w:szCs w:val="22"/>
        </w:rPr>
        <w:t>(Keles et al., 2020)</w:t>
      </w:r>
      <w:r w:rsidRPr="00A77D17">
        <w:rPr>
          <w:rFonts w:ascii="Arial" w:hAnsi="Arial" w:cs="Arial"/>
          <w:sz w:val="22"/>
          <w:szCs w:val="22"/>
        </w:rPr>
        <w:t>. This suggests that interventions should not aim to eliminate digital use entirely but rather promote healthy and balanced engagement with digital platforms. It also highlights the need for digital literacy education, enabling young people to critically engage with online content and manage their online experiences more effectively</w:t>
      </w:r>
      <w:r w:rsidR="0033661B">
        <w:rPr>
          <w:rFonts w:ascii="Arial" w:hAnsi="Arial" w:cs="Arial"/>
          <w:sz w:val="22"/>
          <w:szCs w:val="22"/>
        </w:rPr>
        <w:t xml:space="preserve"> </w:t>
      </w:r>
      <w:r w:rsidR="00A465EE" w:rsidRPr="00A77D17">
        <w:rPr>
          <w:rFonts w:ascii="Arial" w:hAnsi="Arial" w:cs="Arial"/>
          <w:sz w:val="22"/>
          <w:szCs w:val="22"/>
        </w:rPr>
        <w:t>(NHS England, 2019)</w:t>
      </w:r>
      <w:r w:rsidRPr="00A77D17">
        <w:rPr>
          <w:rFonts w:ascii="Arial" w:hAnsi="Arial" w:cs="Arial"/>
          <w:sz w:val="22"/>
          <w:szCs w:val="22"/>
        </w:rPr>
        <w:t>.</w:t>
      </w:r>
    </w:p>
    <w:p w14:paraId="3079B448" w14:textId="7E99C2A3" w:rsidR="00D41835" w:rsidRPr="00A77D17" w:rsidRDefault="00D41835" w:rsidP="00D41835">
      <w:pPr>
        <w:spacing w:line="360" w:lineRule="auto"/>
        <w:jc w:val="both"/>
        <w:rPr>
          <w:rFonts w:ascii="Arial" w:hAnsi="Arial" w:cs="Arial"/>
          <w:sz w:val="22"/>
          <w:szCs w:val="22"/>
        </w:rPr>
      </w:pPr>
      <w:r w:rsidRPr="00A77D17">
        <w:rPr>
          <w:rFonts w:ascii="Arial" w:hAnsi="Arial" w:cs="Arial"/>
          <w:sz w:val="22"/>
          <w:szCs w:val="22"/>
        </w:rPr>
        <w:lastRenderedPageBreak/>
        <w:t>The literature also suggests a reciprocal relationship between emotional wellbeing and social experiences. O’Reilly et al. (2018) showed that adolescents often feel evaluated by peers and experience pressure to meet expectations, particularly in online environments. Loades et al. (2020) identified a strong association between loneliness, social isolation, and anxiety and depression among children and adolescents. These findings highlight the importance of belonging, acceptance, and connectedness as key factors influencing anxiety during a developmental stage</w:t>
      </w:r>
      <w:r w:rsidR="00B84FBA">
        <w:rPr>
          <w:rFonts w:ascii="Arial" w:hAnsi="Arial" w:cs="Arial"/>
          <w:sz w:val="22"/>
          <w:szCs w:val="22"/>
        </w:rPr>
        <w:t xml:space="preserve"> </w:t>
      </w:r>
      <w:r w:rsidR="006C13B0" w:rsidRPr="00A77D17">
        <w:rPr>
          <w:rFonts w:ascii="Arial" w:hAnsi="Arial" w:cs="Arial"/>
          <w:sz w:val="22"/>
          <w:szCs w:val="22"/>
        </w:rPr>
        <w:t>(Sawyer et al., 2018)</w:t>
      </w:r>
      <w:r w:rsidRPr="00A77D17">
        <w:rPr>
          <w:rFonts w:ascii="Arial" w:hAnsi="Arial" w:cs="Arial"/>
          <w:sz w:val="22"/>
          <w:szCs w:val="22"/>
        </w:rPr>
        <w:t>. They also suggest that social experiences can both contribute to and be affected by anxiety, reinforcing a cyclical relationship between emotional wellbeing and social interaction. This cycle may result in adolescents withdrawing from social situations, which in turn increases feelings of isolation and further exacerbates anxiety symptoms. However, it is important to consider that individual differences, such as coping strategies and personality traits, may influence how adolescents experience and respond to these social pressures.</w:t>
      </w:r>
    </w:p>
    <w:p w14:paraId="480602E6" w14:textId="10E84DDF" w:rsidR="00D41835" w:rsidRPr="00A77D17" w:rsidRDefault="00D41835" w:rsidP="00D41835">
      <w:pPr>
        <w:spacing w:line="360" w:lineRule="auto"/>
        <w:jc w:val="both"/>
        <w:rPr>
          <w:rFonts w:ascii="Arial" w:hAnsi="Arial" w:cs="Arial"/>
          <w:sz w:val="22"/>
          <w:szCs w:val="22"/>
        </w:rPr>
      </w:pPr>
      <w:r w:rsidRPr="00A77D17">
        <w:rPr>
          <w:rFonts w:ascii="Arial" w:hAnsi="Arial" w:cs="Arial"/>
          <w:sz w:val="22"/>
          <w:szCs w:val="22"/>
        </w:rPr>
        <w:t xml:space="preserve">Another dominant theme was barriers to help-seeking and support. </w:t>
      </w:r>
      <w:proofErr w:type="spellStart"/>
      <w:r w:rsidRPr="00A77D17">
        <w:rPr>
          <w:rFonts w:ascii="Arial" w:hAnsi="Arial" w:cs="Arial"/>
          <w:sz w:val="22"/>
          <w:szCs w:val="22"/>
        </w:rPr>
        <w:t>Radez</w:t>
      </w:r>
      <w:proofErr w:type="spellEnd"/>
      <w:r w:rsidRPr="00A77D17">
        <w:rPr>
          <w:rFonts w:ascii="Arial" w:hAnsi="Arial" w:cs="Arial"/>
          <w:sz w:val="22"/>
          <w:szCs w:val="22"/>
        </w:rPr>
        <w:t xml:space="preserve"> et al. (2022) found that stigma, fear of judgement, concerns about confidentiality, and lack of awareness of available services discourage adolescents from seeking professional help, demonstrating that access to services does not necessarily ensure their use. The study also highlighted the role of trusted adults, including parents and teachers, in supporting help-seeking behaviour</w:t>
      </w:r>
      <w:r w:rsidR="00BE2E59" w:rsidRPr="00A77D17">
        <w:rPr>
          <w:rFonts w:ascii="Arial" w:hAnsi="Arial" w:cs="Arial"/>
          <w:sz w:val="22"/>
          <w:szCs w:val="22"/>
        </w:rPr>
        <w:t>.</w:t>
      </w:r>
      <w:r w:rsidR="00E35308" w:rsidRPr="00A77D17">
        <w:rPr>
          <w:rFonts w:ascii="Arial" w:hAnsi="Arial" w:cs="Arial"/>
          <w:sz w:val="22"/>
          <w:szCs w:val="22"/>
        </w:rPr>
        <w:t xml:space="preserve"> This aligns with wider research emphasising the importance of social support in accessing mental health services (</w:t>
      </w:r>
      <w:proofErr w:type="spellStart"/>
      <w:r w:rsidR="00E35308" w:rsidRPr="00A77D17">
        <w:rPr>
          <w:rFonts w:ascii="Arial" w:hAnsi="Arial" w:cs="Arial"/>
          <w:sz w:val="22"/>
          <w:szCs w:val="22"/>
        </w:rPr>
        <w:t>Patalay</w:t>
      </w:r>
      <w:proofErr w:type="spellEnd"/>
      <w:r w:rsidR="00E35308" w:rsidRPr="00A77D17">
        <w:rPr>
          <w:rFonts w:ascii="Arial" w:hAnsi="Arial" w:cs="Arial"/>
          <w:sz w:val="22"/>
          <w:szCs w:val="22"/>
        </w:rPr>
        <w:t xml:space="preserve"> and Gage, 2019). This suggests that improving service accessibility alone may not be sufficient without also addressing social and cultural attitudes towards mental health. In addition, culturally sensitive approaches may be required to address differences in attitudes towards mental health across diverse populations.</w:t>
      </w:r>
    </w:p>
    <w:p w14:paraId="29AA1C1B" w14:textId="50E2647F" w:rsidR="00D41835" w:rsidRPr="00A77D17" w:rsidRDefault="00D41835" w:rsidP="00D41835">
      <w:pPr>
        <w:spacing w:line="360" w:lineRule="auto"/>
        <w:jc w:val="both"/>
        <w:rPr>
          <w:rFonts w:ascii="Arial" w:hAnsi="Arial" w:cs="Arial"/>
          <w:sz w:val="22"/>
          <w:szCs w:val="22"/>
        </w:rPr>
      </w:pPr>
      <w:r w:rsidRPr="00A77D17">
        <w:rPr>
          <w:rFonts w:ascii="Arial" w:hAnsi="Arial" w:cs="Arial"/>
          <w:sz w:val="22"/>
          <w:szCs w:val="22"/>
        </w:rPr>
        <w:t xml:space="preserve">The strengths and limitations of current practice were also identified, particularly in relation to intervention delivery and treatment outcomes. Taylor et al. (2021) concluded that cognitive behavioural therapy is effective in treating adolescents with social anxiety; however, clinicians reported challenges including time constraints, lack of training, and difficulties engaging young people in therapy. Krause et al. (2022) reported improvements in many adolescents following </w:t>
      </w:r>
      <w:r w:rsidR="00912092" w:rsidRPr="00A77D17">
        <w:rPr>
          <w:rFonts w:ascii="Arial" w:hAnsi="Arial" w:cs="Arial"/>
          <w:sz w:val="22"/>
          <w:szCs w:val="22"/>
        </w:rPr>
        <w:t>treatment but</w:t>
      </w:r>
      <w:r w:rsidRPr="00A77D17">
        <w:rPr>
          <w:rFonts w:ascii="Arial" w:hAnsi="Arial" w:cs="Arial"/>
          <w:sz w:val="22"/>
          <w:szCs w:val="22"/>
        </w:rPr>
        <w:t xml:space="preserve"> also identified inconsistencies in outcome measurement across services. These findings suggest that the effectiveness of interventions is influenced not only by the therapeutic model but also by organisational and service delivery factors</w:t>
      </w:r>
      <w:r w:rsidR="00BD4F8E">
        <w:rPr>
          <w:rFonts w:ascii="Arial" w:hAnsi="Arial" w:cs="Arial"/>
          <w:sz w:val="22"/>
          <w:szCs w:val="22"/>
        </w:rPr>
        <w:t xml:space="preserve"> </w:t>
      </w:r>
      <w:r w:rsidR="00E8085F" w:rsidRPr="00A77D17">
        <w:rPr>
          <w:rFonts w:ascii="Arial" w:hAnsi="Arial" w:cs="Arial"/>
          <w:sz w:val="22"/>
          <w:szCs w:val="22"/>
        </w:rPr>
        <w:t>(NHS England, 2019).</w:t>
      </w:r>
    </w:p>
    <w:p w14:paraId="7E04F685" w14:textId="183643B1" w:rsidR="00D41835" w:rsidRPr="00A77D17" w:rsidRDefault="00D41835" w:rsidP="00D41835">
      <w:pPr>
        <w:spacing w:line="360" w:lineRule="auto"/>
        <w:jc w:val="both"/>
        <w:rPr>
          <w:rFonts w:ascii="Arial" w:hAnsi="Arial" w:cs="Arial"/>
          <w:sz w:val="22"/>
          <w:szCs w:val="22"/>
        </w:rPr>
      </w:pPr>
      <w:r w:rsidRPr="00A77D17">
        <w:rPr>
          <w:rFonts w:ascii="Arial" w:hAnsi="Arial" w:cs="Arial"/>
          <w:sz w:val="22"/>
          <w:szCs w:val="22"/>
        </w:rPr>
        <w:t>The implications of these findings for health and social care practice, particularly within Child and Adolescent Mental Health Services (CAMHS), are significant. Service pressures, workforce limitations, and inconsistent outcome measurement may reduce the effectiveness of otherwise evidence-based interventions</w:t>
      </w:r>
      <w:r w:rsidR="00BD4F8E">
        <w:rPr>
          <w:rFonts w:ascii="Arial" w:hAnsi="Arial" w:cs="Arial"/>
          <w:sz w:val="22"/>
          <w:szCs w:val="22"/>
        </w:rPr>
        <w:t xml:space="preserve"> </w:t>
      </w:r>
      <w:r w:rsidR="005A5B4A" w:rsidRPr="00A77D17">
        <w:rPr>
          <w:rFonts w:ascii="Arial" w:hAnsi="Arial" w:cs="Arial"/>
          <w:sz w:val="22"/>
          <w:szCs w:val="22"/>
        </w:rPr>
        <w:t>(</w:t>
      </w:r>
      <w:proofErr w:type="spellStart"/>
      <w:r w:rsidR="005A5B4A" w:rsidRPr="00A77D17">
        <w:rPr>
          <w:rFonts w:ascii="Arial" w:hAnsi="Arial" w:cs="Arial"/>
          <w:sz w:val="22"/>
          <w:szCs w:val="22"/>
        </w:rPr>
        <w:t>YoungMinds</w:t>
      </w:r>
      <w:proofErr w:type="spellEnd"/>
      <w:r w:rsidR="005A5B4A" w:rsidRPr="00A77D17">
        <w:rPr>
          <w:rFonts w:ascii="Arial" w:hAnsi="Arial" w:cs="Arial"/>
          <w:sz w:val="22"/>
          <w:szCs w:val="22"/>
        </w:rPr>
        <w:t>, 2024)</w:t>
      </w:r>
      <w:r w:rsidRPr="00A77D17">
        <w:rPr>
          <w:rFonts w:ascii="Arial" w:hAnsi="Arial" w:cs="Arial"/>
          <w:sz w:val="22"/>
          <w:szCs w:val="22"/>
        </w:rPr>
        <w:t xml:space="preserve">. Therefore, appropriate </w:t>
      </w:r>
      <w:r w:rsidRPr="00A77D17">
        <w:rPr>
          <w:rFonts w:ascii="Arial" w:hAnsi="Arial" w:cs="Arial"/>
          <w:sz w:val="22"/>
          <w:szCs w:val="22"/>
        </w:rPr>
        <w:lastRenderedPageBreak/>
        <w:t xml:space="preserve">resource allocation, staff training, and standardised assessment methods are important in improving outcomes for young people experiencing anxiety. In addition, greater integration between schools, community services, and healthcare providers may help to create more accessible and coordinated support systems. Early intervention strategies, particularly those implemented within school settings, may also reduce the need for more intensive clinical interventions </w:t>
      </w:r>
      <w:r w:rsidR="00D457B2" w:rsidRPr="00A77D17">
        <w:rPr>
          <w:rFonts w:ascii="Arial" w:hAnsi="Arial" w:cs="Arial"/>
          <w:sz w:val="22"/>
          <w:szCs w:val="22"/>
        </w:rPr>
        <w:t>later</w:t>
      </w:r>
      <w:r w:rsidRPr="00A77D17">
        <w:rPr>
          <w:rFonts w:ascii="Arial" w:hAnsi="Arial" w:cs="Arial"/>
          <w:sz w:val="22"/>
          <w:szCs w:val="22"/>
        </w:rPr>
        <w:t>.</w:t>
      </w:r>
    </w:p>
    <w:p w14:paraId="764B527B" w14:textId="77777777" w:rsidR="00112D37" w:rsidRPr="00112D37" w:rsidRDefault="00112D37" w:rsidP="00112D37">
      <w:pPr>
        <w:spacing w:line="360" w:lineRule="auto"/>
        <w:jc w:val="both"/>
        <w:rPr>
          <w:rFonts w:ascii="Arial" w:hAnsi="Arial" w:cs="Arial"/>
          <w:sz w:val="22"/>
          <w:szCs w:val="22"/>
        </w:rPr>
      </w:pPr>
      <w:r w:rsidRPr="00112D37">
        <w:rPr>
          <w:rFonts w:ascii="Arial" w:hAnsi="Arial" w:cs="Arial"/>
          <w:sz w:val="22"/>
          <w:szCs w:val="22"/>
        </w:rPr>
        <w:t>Several gaps in the evidence base were also identified. Some studies, such as Woods and Scott (2016), relied on self-reported data, which may introduce response bias. In addition, qualitative studies are often limited in generalisability due to small sample sizes, while quantitative studies may lack depth in capturing individual experiences (Aveyard, 2014). Therefore, a combination of qualitative and quantitative approaches may provide a more comprehensive understanding of adolescent anxiety.</w:t>
      </w:r>
    </w:p>
    <w:p w14:paraId="42A823E8" w14:textId="77777777" w:rsidR="00112D37" w:rsidRPr="00112D37" w:rsidRDefault="00112D37" w:rsidP="00112D37">
      <w:pPr>
        <w:spacing w:line="360" w:lineRule="auto"/>
        <w:jc w:val="both"/>
        <w:rPr>
          <w:rFonts w:ascii="Arial" w:hAnsi="Arial" w:cs="Arial"/>
          <w:sz w:val="22"/>
          <w:szCs w:val="22"/>
        </w:rPr>
      </w:pPr>
      <w:r w:rsidRPr="00112D37">
        <w:rPr>
          <w:rFonts w:ascii="Arial" w:hAnsi="Arial" w:cs="Arial"/>
          <w:sz w:val="22"/>
          <w:szCs w:val="22"/>
        </w:rPr>
        <w:t>In addition to these findings, broader contextual factors such as socioeconomic background, family environment, and educational pressures may also influence adolescent anxiety but are not always fully addressed within the selected studies (</w:t>
      </w:r>
      <w:proofErr w:type="spellStart"/>
      <w:r w:rsidRPr="00112D37">
        <w:rPr>
          <w:rFonts w:ascii="Arial" w:hAnsi="Arial" w:cs="Arial"/>
          <w:sz w:val="22"/>
          <w:szCs w:val="22"/>
        </w:rPr>
        <w:t>Polanczyk</w:t>
      </w:r>
      <w:proofErr w:type="spellEnd"/>
      <w:r w:rsidRPr="00112D37">
        <w:rPr>
          <w:rFonts w:ascii="Arial" w:hAnsi="Arial" w:cs="Arial"/>
          <w:sz w:val="22"/>
          <w:szCs w:val="22"/>
        </w:rPr>
        <w:t xml:space="preserve"> et al., 2015). This suggests that adolescent anxiety should be understood within a wider ecological framework.</w:t>
      </w:r>
    </w:p>
    <w:p w14:paraId="4776526C" w14:textId="77777777" w:rsidR="00112D37" w:rsidRPr="00A77D17" w:rsidRDefault="00112D37" w:rsidP="00112D37">
      <w:pPr>
        <w:spacing w:line="360" w:lineRule="auto"/>
        <w:jc w:val="both"/>
        <w:rPr>
          <w:rFonts w:ascii="Arial" w:hAnsi="Arial" w:cs="Arial"/>
          <w:sz w:val="22"/>
          <w:szCs w:val="22"/>
        </w:rPr>
      </w:pPr>
      <w:r w:rsidRPr="00112D37">
        <w:rPr>
          <w:rFonts w:ascii="Arial" w:hAnsi="Arial" w:cs="Arial"/>
          <w:sz w:val="22"/>
          <w:szCs w:val="22"/>
        </w:rPr>
        <w:t>Another gap relates to the long-term effectiveness of interventions. Although existing literature highlights associations between social media use, loneliness, and emotional distress, there is limited evidence on long-term intervention strategies for adolescents in the United Kingdom. Further longitudinal research would improve understanding of how anxiety develops over time and how interventions can be sustained (Keles et al., 2020).</w:t>
      </w:r>
    </w:p>
    <w:p w14:paraId="208065BA" w14:textId="77777777" w:rsidR="00A77D17" w:rsidRPr="00A77D17" w:rsidRDefault="00A77D17" w:rsidP="00A77D17">
      <w:pPr>
        <w:spacing w:line="360" w:lineRule="auto"/>
        <w:jc w:val="both"/>
        <w:rPr>
          <w:rFonts w:ascii="Arial" w:hAnsi="Arial" w:cs="Arial"/>
          <w:sz w:val="22"/>
          <w:szCs w:val="22"/>
        </w:rPr>
      </w:pPr>
      <w:r w:rsidRPr="00A77D17">
        <w:rPr>
          <w:rFonts w:ascii="Arial" w:hAnsi="Arial" w:cs="Arial"/>
          <w:sz w:val="22"/>
          <w:szCs w:val="22"/>
        </w:rPr>
        <w:t>An additional consideration is the role of early intervention and prevention strategies in addressing adolescent anxiety. The findings suggest that many of the identified risk factors, including social isolation, digital pressures, and barriers to help-seeking, develop gradually over time and may worsen if not addressed at an early stage (NHS England, 2019). This highlights the importance of preventative approaches within both educational and community settings. Schools, in particular, are well positioned to identify early signs of anxiety and provide initial support, as they represent a key environment in which adolescents spend a significant amount of time (Sawyer et al., 2018). Early intervention programmes, such as school-based mental health support teams, may help reduce the severity of symptoms and prevent escalation to more complex mental health conditions requiring specialist services such as CAMHS.</w:t>
      </w:r>
    </w:p>
    <w:p w14:paraId="366A52A0" w14:textId="64550817" w:rsidR="00A77D17" w:rsidRPr="00112D37" w:rsidRDefault="00A77D17" w:rsidP="00112D37">
      <w:pPr>
        <w:spacing w:line="360" w:lineRule="auto"/>
        <w:jc w:val="both"/>
        <w:rPr>
          <w:rFonts w:ascii="Arial" w:hAnsi="Arial" w:cs="Arial"/>
          <w:sz w:val="22"/>
          <w:szCs w:val="22"/>
        </w:rPr>
      </w:pPr>
      <w:r w:rsidRPr="00A77D17">
        <w:rPr>
          <w:rFonts w:ascii="Arial" w:hAnsi="Arial" w:cs="Arial"/>
          <w:sz w:val="22"/>
          <w:szCs w:val="22"/>
        </w:rPr>
        <w:t xml:space="preserve">Furthermore, the integration of digital mental health interventions presents a potential opportunity to improve accessibility and engagement among young people. Digital platforms, including online counselling and mental health applications, may offer flexible and less </w:t>
      </w:r>
      <w:r w:rsidRPr="00A77D17">
        <w:rPr>
          <w:rFonts w:ascii="Arial" w:hAnsi="Arial" w:cs="Arial"/>
          <w:sz w:val="22"/>
          <w:szCs w:val="22"/>
        </w:rPr>
        <w:lastRenderedPageBreak/>
        <w:t>stigmatising forms of support, particularly for adolescents who may be reluctant to seek face-to-face help (Keles et al., 2020). However, concerns remain regarding the effectiveness, safety, and regulation of such interventions, indicating the need for further research and evaluation in this area.</w:t>
      </w:r>
    </w:p>
    <w:p w14:paraId="5BF64F36" w14:textId="291FC8C9" w:rsidR="00D64362" w:rsidRPr="00BE0089" w:rsidRDefault="00112D37" w:rsidP="00D41835">
      <w:pPr>
        <w:spacing w:line="360" w:lineRule="auto"/>
        <w:jc w:val="both"/>
        <w:rPr>
          <w:rFonts w:ascii="Arial" w:hAnsi="Arial" w:cs="Arial"/>
          <w:sz w:val="22"/>
          <w:szCs w:val="22"/>
        </w:rPr>
      </w:pPr>
      <w:r w:rsidRPr="00112D37">
        <w:rPr>
          <w:rFonts w:ascii="Arial" w:hAnsi="Arial" w:cs="Arial"/>
          <w:sz w:val="22"/>
          <w:szCs w:val="22"/>
        </w:rPr>
        <w:t>Overall, this review shows that digital pressures, social relationships, and barriers within support systems play a significant role in shaping adolescent anxiety in the United Kingdom. These findings highlight the need for early intervention, improved access to services, and support strategies that reflect both online and offline experiences of young people. Addressing adolescent anxiety therefore requires a holistic, multi-level approach involving healthcare, education, and community systems.</w:t>
      </w:r>
    </w:p>
    <w:p w14:paraId="1F6DE338" w14:textId="77777777" w:rsidR="00912092" w:rsidRPr="00BE0089" w:rsidRDefault="00912092" w:rsidP="00912092">
      <w:pPr>
        <w:spacing w:line="360" w:lineRule="auto"/>
        <w:jc w:val="both"/>
        <w:rPr>
          <w:rFonts w:ascii="Arial" w:hAnsi="Arial" w:cs="Arial"/>
          <w:b/>
          <w:bCs/>
        </w:rPr>
      </w:pPr>
      <w:r w:rsidRPr="00BE0089">
        <w:rPr>
          <w:rFonts w:ascii="Arial" w:hAnsi="Arial" w:cs="Arial"/>
          <w:b/>
          <w:bCs/>
        </w:rPr>
        <w:t>6. Recommendations</w:t>
      </w:r>
    </w:p>
    <w:p w14:paraId="55B2AEBD" w14:textId="77777777" w:rsidR="00912092" w:rsidRPr="00912092" w:rsidRDefault="00912092" w:rsidP="00912092">
      <w:pPr>
        <w:spacing w:line="360" w:lineRule="auto"/>
        <w:jc w:val="both"/>
        <w:rPr>
          <w:rFonts w:ascii="Arial" w:hAnsi="Arial" w:cs="Arial"/>
          <w:sz w:val="22"/>
          <w:szCs w:val="22"/>
        </w:rPr>
      </w:pPr>
      <w:r w:rsidRPr="00912092">
        <w:rPr>
          <w:rFonts w:ascii="Arial" w:hAnsi="Arial" w:cs="Arial"/>
          <w:sz w:val="22"/>
          <w:szCs w:val="22"/>
        </w:rPr>
        <w:t>This review outlines research, policy, and practice recommendations related to adolescent anxiety in the United Kingdom. Future studies should expand the evidence base, particularly within the UK context. Existing literature shows associations between social media use and anxiety (Woods and Scott, 2016) and between loneliness and increased anxiety and depression (Loades et al., 2020). However, there is limited evidence on long-term effects. Longitudinal research examining digital behaviours and social isolation would improve understanding of how these factors influence anxiety development in adolescents.</w:t>
      </w:r>
    </w:p>
    <w:p w14:paraId="42E668DE" w14:textId="77777777" w:rsidR="00912092" w:rsidRPr="00912092" w:rsidRDefault="00912092" w:rsidP="00912092">
      <w:pPr>
        <w:spacing w:line="360" w:lineRule="auto"/>
        <w:jc w:val="both"/>
        <w:rPr>
          <w:rFonts w:ascii="Arial" w:hAnsi="Arial" w:cs="Arial"/>
          <w:sz w:val="22"/>
          <w:szCs w:val="22"/>
        </w:rPr>
      </w:pPr>
      <w:r w:rsidRPr="00912092">
        <w:rPr>
          <w:rFonts w:ascii="Arial" w:hAnsi="Arial" w:cs="Arial"/>
          <w:sz w:val="22"/>
          <w:szCs w:val="22"/>
        </w:rPr>
        <w:t>Policy and healthcare practice should focus on improving access to mental health support for young people. Stigma, fear of judgement, and lack of awareness remain key barriers to help-seeking (</w:t>
      </w:r>
      <w:proofErr w:type="spellStart"/>
      <w:r w:rsidRPr="00912092">
        <w:rPr>
          <w:rFonts w:ascii="Arial" w:hAnsi="Arial" w:cs="Arial"/>
          <w:sz w:val="22"/>
          <w:szCs w:val="22"/>
        </w:rPr>
        <w:t>Radez</w:t>
      </w:r>
      <w:proofErr w:type="spellEnd"/>
      <w:r w:rsidRPr="00912092">
        <w:rPr>
          <w:rFonts w:ascii="Arial" w:hAnsi="Arial" w:cs="Arial"/>
          <w:sz w:val="22"/>
          <w:szCs w:val="22"/>
        </w:rPr>
        <w:t xml:space="preserve"> et al., 2022). Expanding school-based support, including Mental Health Support Teams (NHS England, 2019), improving CAMHS capacity to reduce waiting times (</w:t>
      </w:r>
      <w:proofErr w:type="spellStart"/>
      <w:r w:rsidRPr="00912092">
        <w:rPr>
          <w:rFonts w:ascii="Arial" w:hAnsi="Arial" w:cs="Arial"/>
          <w:sz w:val="22"/>
          <w:szCs w:val="22"/>
        </w:rPr>
        <w:t>YoungMinds</w:t>
      </w:r>
      <w:proofErr w:type="spellEnd"/>
      <w:r w:rsidRPr="00912092">
        <w:rPr>
          <w:rFonts w:ascii="Arial" w:hAnsi="Arial" w:cs="Arial"/>
          <w:sz w:val="22"/>
          <w:szCs w:val="22"/>
        </w:rPr>
        <w:t>, 2024), and strengthening early identification in schools (Taylor et al., 2021) could improve access. In addition, school-based mental health literacy programmes may help reduce stigma and encourage help-seeking.</w:t>
      </w:r>
    </w:p>
    <w:p w14:paraId="1C51EF2F" w14:textId="77777777" w:rsidR="00912092" w:rsidRPr="00BE0089" w:rsidRDefault="00912092" w:rsidP="00912092">
      <w:pPr>
        <w:spacing w:line="360" w:lineRule="auto"/>
        <w:jc w:val="both"/>
        <w:rPr>
          <w:rFonts w:ascii="Arial" w:hAnsi="Arial" w:cs="Arial"/>
          <w:b/>
          <w:bCs/>
        </w:rPr>
      </w:pPr>
      <w:r w:rsidRPr="00BE0089">
        <w:rPr>
          <w:rFonts w:ascii="Arial" w:hAnsi="Arial" w:cs="Arial"/>
          <w:b/>
          <w:bCs/>
        </w:rPr>
        <w:t>7. Conclusion</w:t>
      </w:r>
    </w:p>
    <w:p w14:paraId="0E518C15" w14:textId="77777777" w:rsidR="00912092" w:rsidRPr="00912092" w:rsidRDefault="00912092" w:rsidP="00912092">
      <w:pPr>
        <w:spacing w:line="360" w:lineRule="auto"/>
        <w:jc w:val="both"/>
        <w:rPr>
          <w:rFonts w:ascii="Arial" w:hAnsi="Arial" w:cs="Arial"/>
          <w:sz w:val="22"/>
          <w:szCs w:val="22"/>
        </w:rPr>
      </w:pPr>
      <w:r w:rsidRPr="00912092">
        <w:rPr>
          <w:rFonts w:ascii="Arial" w:hAnsi="Arial" w:cs="Arial"/>
          <w:sz w:val="22"/>
          <w:szCs w:val="22"/>
        </w:rPr>
        <w:t>This scoping review examined anxiety among adolescents in the United Kingdom. The findings show that digital influences, social experiences, and access to services all contribute to adolescent anxiety. Social media use and social comparison can contribute to anxiety (Woods and Scott, 2016; O’Reilly et al., 2018), while loneliness is strongly associated with emotional distress (Loades et al., 2020).</w:t>
      </w:r>
    </w:p>
    <w:p w14:paraId="6977C955" w14:textId="77777777" w:rsidR="00912092" w:rsidRPr="00912092" w:rsidRDefault="00912092" w:rsidP="00912092">
      <w:pPr>
        <w:spacing w:line="360" w:lineRule="auto"/>
        <w:jc w:val="both"/>
        <w:rPr>
          <w:rFonts w:ascii="Arial" w:hAnsi="Arial" w:cs="Arial"/>
          <w:sz w:val="22"/>
          <w:szCs w:val="22"/>
        </w:rPr>
      </w:pPr>
      <w:r w:rsidRPr="00912092">
        <w:rPr>
          <w:rFonts w:ascii="Arial" w:hAnsi="Arial" w:cs="Arial"/>
          <w:sz w:val="22"/>
          <w:szCs w:val="22"/>
        </w:rPr>
        <w:t xml:space="preserve">The review highlights the importance of considering wider social and environmental factors, including peer interactions, online experiences, and barriers to support. Addressing </w:t>
      </w:r>
      <w:r w:rsidRPr="00912092">
        <w:rPr>
          <w:rFonts w:ascii="Arial" w:hAnsi="Arial" w:cs="Arial"/>
          <w:sz w:val="22"/>
          <w:szCs w:val="22"/>
        </w:rPr>
        <w:lastRenderedPageBreak/>
        <w:t>adolescent anxiety requires a combined approach across healthcare, education, and digital environments. Improving access to services and increasing awareness of mental health support may lead to better outcomes for young people. Continued research and service development are essential to ensure effective support in a changing social and digital context.</w:t>
      </w:r>
    </w:p>
    <w:p w14:paraId="1CC02274" w14:textId="77777777" w:rsidR="003C6573" w:rsidRDefault="003C6573" w:rsidP="006B5A17">
      <w:pPr>
        <w:spacing w:line="360" w:lineRule="auto"/>
        <w:jc w:val="both"/>
        <w:rPr>
          <w:rFonts w:ascii="Arial" w:hAnsi="Arial" w:cs="Arial"/>
          <w:sz w:val="22"/>
          <w:szCs w:val="22"/>
        </w:rPr>
      </w:pPr>
    </w:p>
    <w:p w14:paraId="37724312" w14:textId="77777777" w:rsidR="003C6573" w:rsidRDefault="003C6573" w:rsidP="006B5A17">
      <w:pPr>
        <w:spacing w:line="360" w:lineRule="auto"/>
        <w:jc w:val="both"/>
        <w:rPr>
          <w:rFonts w:ascii="Arial" w:hAnsi="Arial" w:cs="Arial"/>
          <w:sz w:val="22"/>
          <w:szCs w:val="22"/>
        </w:rPr>
      </w:pPr>
    </w:p>
    <w:p w14:paraId="1CFF3136" w14:textId="77777777" w:rsidR="003C6573" w:rsidRDefault="003C6573" w:rsidP="006B5A17">
      <w:pPr>
        <w:spacing w:line="360" w:lineRule="auto"/>
        <w:jc w:val="both"/>
        <w:rPr>
          <w:rFonts w:ascii="Arial" w:hAnsi="Arial" w:cs="Arial"/>
          <w:sz w:val="22"/>
          <w:szCs w:val="22"/>
        </w:rPr>
      </w:pPr>
    </w:p>
    <w:p w14:paraId="4233A36D" w14:textId="77777777" w:rsidR="003C6573" w:rsidRDefault="003C6573" w:rsidP="006B5A17">
      <w:pPr>
        <w:spacing w:line="360" w:lineRule="auto"/>
        <w:jc w:val="both"/>
        <w:rPr>
          <w:rFonts w:ascii="Arial" w:hAnsi="Arial" w:cs="Arial"/>
          <w:sz w:val="22"/>
          <w:szCs w:val="22"/>
        </w:rPr>
      </w:pPr>
    </w:p>
    <w:p w14:paraId="7FB37271" w14:textId="77777777" w:rsidR="003C6573" w:rsidRDefault="003C6573" w:rsidP="006B5A17">
      <w:pPr>
        <w:spacing w:line="360" w:lineRule="auto"/>
        <w:jc w:val="both"/>
        <w:rPr>
          <w:rFonts w:ascii="Arial" w:hAnsi="Arial" w:cs="Arial"/>
          <w:sz w:val="22"/>
          <w:szCs w:val="22"/>
        </w:rPr>
      </w:pPr>
    </w:p>
    <w:p w14:paraId="359B4C0C" w14:textId="77777777" w:rsidR="003C6573" w:rsidRDefault="003C6573" w:rsidP="006B5A17">
      <w:pPr>
        <w:spacing w:line="360" w:lineRule="auto"/>
        <w:jc w:val="both"/>
        <w:rPr>
          <w:rFonts w:ascii="Arial" w:hAnsi="Arial" w:cs="Arial"/>
          <w:sz w:val="22"/>
          <w:szCs w:val="22"/>
        </w:rPr>
      </w:pPr>
    </w:p>
    <w:p w14:paraId="01996E73" w14:textId="77777777" w:rsidR="00332FDF" w:rsidRDefault="00332FDF" w:rsidP="006B5A17">
      <w:pPr>
        <w:spacing w:line="360" w:lineRule="auto"/>
        <w:jc w:val="both"/>
        <w:rPr>
          <w:rFonts w:ascii="Arial" w:hAnsi="Arial" w:cs="Arial"/>
          <w:sz w:val="22"/>
          <w:szCs w:val="22"/>
        </w:rPr>
      </w:pPr>
    </w:p>
    <w:p w14:paraId="7FF58218" w14:textId="77777777" w:rsidR="00332FDF" w:rsidRDefault="00332FDF" w:rsidP="006B5A17">
      <w:pPr>
        <w:spacing w:line="360" w:lineRule="auto"/>
        <w:jc w:val="both"/>
        <w:rPr>
          <w:rFonts w:ascii="Arial" w:hAnsi="Arial" w:cs="Arial"/>
          <w:sz w:val="22"/>
          <w:szCs w:val="22"/>
        </w:rPr>
      </w:pPr>
    </w:p>
    <w:p w14:paraId="1C53C731" w14:textId="77777777" w:rsidR="00332FDF" w:rsidRDefault="00332FDF" w:rsidP="006B5A17">
      <w:pPr>
        <w:spacing w:line="360" w:lineRule="auto"/>
        <w:jc w:val="both"/>
        <w:rPr>
          <w:rFonts w:ascii="Arial" w:hAnsi="Arial" w:cs="Arial"/>
          <w:sz w:val="22"/>
          <w:szCs w:val="22"/>
        </w:rPr>
      </w:pPr>
    </w:p>
    <w:p w14:paraId="7EE6EE9A" w14:textId="77777777" w:rsidR="00332FDF" w:rsidRDefault="00332FDF" w:rsidP="006B5A17">
      <w:pPr>
        <w:spacing w:line="360" w:lineRule="auto"/>
        <w:jc w:val="both"/>
        <w:rPr>
          <w:rFonts w:ascii="Arial" w:hAnsi="Arial" w:cs="Arial"/>
          <w:sz w:val="22"/>
          <w:szCs w:val="22"/>
        </w:rPr>
      </w:pPr>
    </w:p>
    <w:p w14:paraId="0751ACEE" w14:textId="77777777" w:rsidR="00332FDF" w:rsidRDefault="00332FDF" w:rsidP="006B5A17">
      <w:pPr>
        <w:spacing w:line="360" w:lineRule="auto"/>
        <w:jc w:val="both"/>
        <w:rPr>
          <w:rFonts w:ascii="Arial" w:hAnsi="Arial" w:cs="Arial"/>
          <w:sz w:val="22"/>
          <w:szCs w:val="22"/>
        </w:rPr>
      </w:pPr>
    </w:p>
    <w:p w14:paraId="0773139B" w14:textId="77777777" w:rsidR="00A77D17" w:rsidRDefault="00A77D17" w:rsidP="006B5A17">
      <w:pPr>
        <w:spacing w:line="360" w:lineRule="auto"/>
        <w:jc w:val="both"/>
        <w:rPr>
          <w:rFonts w:ascii="Arial" w:hAnsi="Arial" w:cs="Arial"/>
          <w:sz w:val="22"/>
          <w:szCs w:val="22"/>
        </w:rPr>
      </w:pPr>
    </w:p>
    <w:p w14:paraId="4AA113D8" w14:textId="77777777" w:rsidR="00A77D17" w:rsidRDefault="00A77D17" w:rsidP="006B5A17">
      <w:pPr>
        <w:spacing w:line="360" w:lineRule="auto"/>
        <w:jc w:val="both"/>
        <w:rPr>
          <w:rFonts w:ascii="Arial" w:hAnsi="Arial" w:cs="Arial"/>
          <w:sz w:val="22"/>
          <w:szCs w:val="22"/>
        </w:rPr>
      </w:pPr>
    </w:p>
    <w:p w14:paraId="5F9FFF07" w14:textId="77777777" w:rsidR="00A77D17" w:rsidRDefault="00A77D17" w:rsidP="006B5A17">
      <w:pPr>
        <w:spacing w:line="360" w:lineRule="auto"/>
        <w:jc w:val="both"/>
        <w:rPr>
          <w:rFonts w:ascii="Arial" w:hAnsi="Arial" w:cs="Arial"/>
          <w:sz w:val="22"/>
          <w:szCs w:val="22"/>
        </w:rPr>
      </w:pPr>
    </w:p>
    <w:p w14:paraId="2371654A" w14:textId="77777777" w:rsidR="00BE0089" w:rsidRDefault="00BE0089" w:rsidP="006B5A17">
      <w:pPr>
        <w:spacing w:line="360" w:lineRule="auto"/>
        <w:jc w:val="both"/>
        <w:rPr>
          <w:rFonts w:ascii="Arial" w:hAnsi="Arial" w:cs="Arial"/>
          <w:sz w:val="22"/>
          <w:szCs w:val="22"/>
        </w:rPr>
      </w:pPr>
    </w:p>
    <w:p w14:paraId="65E63575" w14:textId="77777777" w:rsidR="00BE0089" w:rsidRDefault="00BE0089" w:rsidP="006B5A17">
      <w:pPr>
        <w:spacing w:line="360" w:lineRule="auto"/>
        <w:jc w:val="both"/>
        <w:rPr>
          <w:rFonts w:ascii="Arial" w:hAnsi="Arial" w:cs="Arial"/>
          <w:sz w:val="22"/>
          <w:szCs w:val="22"/>
        </w:rPr>
      </w:pPr>
    </w:p>
    <w:p w14:paraId="7B1A06EB" w14:textId="77777777" w:rsidR="00BE0089" w:rsidRDefault="00BE0089" w:rsidP="006B5A17">
      <w:pPr>
        <w:spacing w:line="360" w:lineRule="auto"/>
        <w:jc w:val="both"/>
        <w:rPr>
          <w:rFonts w:ascii="Arial" w:hAnsi="Arial" w:cs="Arial"/>
          <w:sz w:val="22"/>
          <w:szCs w:val="22"/>
        </w:rPr>
      </w:pPr>
    </w:p>
    <w:p w14:paraId="7D3D183F" w14:textId="77777777" w:rsidR="00BE0089" w:rsidRDefault="00BE0089" w:rsidP="006B5A17">
      <w:pPr>
        <w:spacing w:line="360" w:lineRule="auto"/>
        <w:jc w:val="both"/>
        <w:rPr>
          <w:rFonts w:ascii="Arial" w:hAnsi="Arial" w:cs="Arial"/>
          <w:sz w:val="22"/>
          <w:szCs w:val="22"/>
        </w:rPr>
      </w:pPr>
    </w:p>
    <w:p w14:paraId="75FFF152" w14:textId="77777777" w:rsidR="00A77D17" w:rsidRDefault="00A77D17" w:rsidP="006B5A17">
      <w:pPr>
        <w:spacing w:line="360" w:lineRule="auto"/>
        <w:jc w:val="both"/>
        <w:rPr>
          <w:rFonts w:ascii="Arial" w:hAnsi="Arial" w:cs="Arial"/>
          <w:sz w:val="22"/>
          <w:szCs w:val="22"/>
        </w:rPr>
      </w:pPr>
    </w:p>
    <w:p w14:paraId="04CB128C" w14:textId="77777777" w:rsidR="001362ED" w:rsidRDefault="001362ED" w:rsidP="006B5A17">
      <w:pPr>
        <w:spacing w:line="360" w:lineRule="auto"/>
        <w:jc w:val="both"/>
        <w:rPr>
          <w:rFonts w:ascii="Arial" w:hAnsi="Arial" w:cs="Arial"/>
          <w:sz w:val="22"/>
          <w:szCs w:val="22"/>
        </w:rPr>
      </w:pPr>
    </w:p>
    <w:p w14:paraId="136C5259" w14:textId="77777777" w:rsidR="001362ED" w:rsidRDefault="001362ED" w:rsidP="006B5A17">
      <w:pPr>
        <w:spacing w:line="360" w:lineRule="auto"/>
        <w:jc w:val="both"/>
        <w:rPr>
          <w:rFonts w:ascii="Arial" w:hAnsi="Arial" w:cs="Arial"/>
          <w:sz w:val="22"/>
          <w:szCs w:val="22"/>
        </w:rPr>
      </w:pPr>
    </w:p>
    <w:p w14:paraId="0DF011E2" w14:textId="77777777" w:rsidR="003C6573" w:rsidRDefault="003C6573" w:rsidP="006B5A17">
      <w:pPr>
        <w:spacing w:line="360" w:lineRule="auto"/>
        <w:jc w:val="both"/>
        <w:rPr>
          <w:rFonts w:ascii="Arial" w:hAnsi="Arial" w:cs="Arial"/>
          <w:sz w:val="22"/>
          <w:szCs w:val="22"/>
        </w:rPr>
      </w:pPr>
    </w:p>
    <w:p w14:paraId="25AD7EB6" w14:textId="77777777" w:rsidR="0098591A" w:rsidRDefault="0098591A" w:rsidP="006B5A17">
      <w:pPr>
        <w:spacing w:line="360" w:lineRule="auto"/>
        <w:jc w:val="both"/>
        <w:rPr>
          <w:rFonts w:ascii="Arial" w:hAnsi="Arial" w:cs="Arial"/>
          <w:sz w:val="22"/>
          <w:szCs w:val="22"/>
        </w:rPr>
      </w:pPr>
    </w:p>
    <w:p w14:paraId="6289411A" w14:textId="4B84486F" w:rsidR="0098591A" w:rsidRPr="003E19AD" w:rsidRDefault="0098591A" w:rsidP="00B21FB3">
      <w:pPr>
        <w:pStyle w:val="NoSpacing"/>
        <w:spacing w:line="360" w:lineRule="auto"/>
        <w:jc w:val="both"/>
        <w:rPr>
          <w:rFonts w:ascii="Arial" w:hAnsi="Arial" w:cs="Arial"/>
          <w:b/>
          <w:bCs/>
        </w:rPr>
      </w:pPr>
      <w:r w:rsidRPr="003E19AD">
        <w:rPr>
          <w:rFonts w:ascii="Arial" w:hAnsi="Arial" w:cs="Arial"/>
          <w:b/>
          <w:bCs/>
        </w:rPr>
        <w:lastRenderedPageBreak/>
        <w:t>Reference list</w:t>
      </w:r>
    </w:p>
    <w:p w14:paraId="7C63672B" w14:textId="77777777" w:rsidR="003E19AD" w:rsidRPr="00B21FB3" w:rsidRDefault="003E19AD" w:rsidP="00B21FB3">
      <w:pPr>
        <w:pStyle w:val="NoSpacing"/>
        <w:spacing w:line="360" w:lineRule="auto"/>
        <w:jc w:val="both"/>
        <w:rPr>
          <w:rFonts w:ascii="Arial" w:hAnsi="Arial" w:cs="Arial"/>
          <w:sz w:val="22"/>
          <w:szCs w:val="22"/>
        </w:rPr>
      </w:pPr>
    </w:p>
    <w:p w14:paraId="7FF6CDBD" w14:textId="77777777" w:rsidR="00B21FB3" w:rsidRPr="00B21FB3" w:rsidRDefault="00B21FB3" w:rsidP="00B21FB3">
      <w:pPr>
        <w:pStyle w:val="NoSpacing"/>
        <w:spacing w:line="360" w:lineRule="auto"/>
        <w:jc w:val="both"/>
        <w:rPr>
          <w:rFonts w:ascii="Arial" w:hAnsi="Arial" w:cs="Arial"/>
          <w:sz w:val="22"/>
          <w:szCs w:val="22"/>
        </w:rPr>
      </w:pPr>
      <w:r w:rsidRPr="00B21FB3">
        <w:rPr>
          <w:rFonts w:ascii="Arial" w:hAnsi="Arial" w:cs="Arial"/>
          <w:sz w:val="22"/>
          <w:szCs w:val="22"/>
        </w:rPr>
        <w:t xml:space="preserve">Arksey, H. and O'Malley, L. (2005) 'Scoping studies: towards a methodological framework', </w:t>
      </w:r>
      <w:r w:rsidRPr="00B21FB3">
        <w:rPr>
          <w:rFonts w:ascii="Arial" w:hAnsi="Arial" w:cs="Arial"/>
          <w:i/>
          <w:iCs/>
          <w:sz w:val="22"/>
          <w:szCs w:val="22"/>
        </w:rPr>
        <w:t>International Journal of Social Research Methodology</w:t>
      </w:r>
      <w:r w:rsidRPr="00B21FB3">
        <w:rPr>
          <w:rFonts w:ascii="Arial" w:hAnsi="Arial" w:cs="Arial"/>
          <w:sz w:val="22"/>
          <w:szCs w:val="22"/>
        </w:rPr>
        <w:t xml:space="preserve">, 8(1), pp. 19–32. Available at: </w:t>
      </w:r>
      <w:hyperlink r:id="rId9" w:history="1">
        <w:r w:rsidRPr="00B21FB3">
          <w:rPr>
            <w:rStyle w:val="Hyperlink"/>
            <w:rFonts w:ascii="Arial" w:hAnsi="Arial" w:cs="Arial"/>
            <w:sz w:val="22"/>
            <w:szCs w:val="22"/>
          </w:rPr>
          <w:t>https://doi.org/10.1080/1364557032000119616</w:t>
        </w:r>
      </w:hyperlink>
      <w:r w:rsidRPr="00B21FB3">
        <w:rPr>
          <w:rFonts w:ascii="Arial" w:hAnsi="Arial" w:cs="Arial"/>
          <w:sz w:val="22"/>
          <w:szCs w:val="22"/>
        </w:rPr>
        <w:t>.</w:t>
      </w:r>
    </w:p>
    <w:p w14:paraId="3A3FBB87" w14:textId="77777777" w:rsidR="00B21FB3" w:rsidRPr="00B21FB3" w:rsidRDefault="00B21FB3" w:rsidP="00B21FB3">
      <w:pPr>
        <w:pStyle w:val="NoSpacing"/>
        <w:spacing w:line="360" w:lineRule="auto"/>
        <w:jc w:val="both"/>
        <w:rPr>
          <w:rFonts w:ascii="Arial" w:hAnsi="Arial" w:cs="Arial"/>
          <w:sz w:val="22"/>
          <w:szCs w:val="22"/>
        </w:rPr>
      </w:pPr>
      <w:r w:rsidRPr="00B21FB3">
        <w:rPr>
          <w:rFonts w:ascii="Arial" w:hAnsi="Arial" w:cs="Arial"/>
          <w:sz w:val="22"/>
          <w:szCs w:val="22"/>
        </w:rPr>
        <w:t xml:space="preserve">Aveyard, H. (2014) </w:t>
      </w:r>
      <w:r w:rsidRPr="00B21FB3">
        <w:rPr>
          <w:rFonts w:ascii="Arial" w:hAnsi="Arial" w:cs="Arial"/>
          <w:i/>
          <w:iCs/>
          <w:sz w:val="22"/>
          <w:szCs w:val="22"/>
        </w:rPr>
        <w:t>Doing a literature review in health and social care: a practical guide</w:t>
      </w:r>
      <w:r w:rsidRPr="00B21FB3">
        <w:rPr>
          <w:rFonts w:ascii="Arial" w:hAnsi="Arial" w:cs="Arial"/>
          <w:sz w:val="22"/>
          <w:szCs w:val="22"/>
        </w:rPr>
        <w:t xml:space="preserve">. 3rd </w:t>
      </w:r>
      <w:proofErr w:type="spellStart"/>
      <w:r w:rsidRPr="00B21FB3">
        <w:rPr>
          <w:rFonts w:ascii="Arial" w:hAnsi="Arial" w:cs="Arial"/>
          <w:sz w:val="22"/>
          <w:szCs w:val="22"/>
        </w:rPr>
        <w:t>edn</w:t>
      </w:r>
      <w:proofErr w:type="spellEnd"/>
      <w:r w:rsidRPr="00B21FB3">
        <w:rPr>
          <w:rFonts w:ascii="Arial" w:hAnsi="Arial" w:cs="Arial"/>
          <w:sz w:val="22"/>
          <w:szCs w:val="22"/>
        </w:rPr>
        <w:t>. Maidenhead: Open University Press.</w:t>
      </w:r>
    </w:p>
    <w:p w14:paraId="3A0A0B3A" w14:textId="3FCF42CB" w:rsidR="00B21FB3" w:rsidRPr="00B21FB3" w:rsidRDefault="00B21FB3" w:rsidP="00B21FB3">
      <w:proofErr w:type="spellStart"/>
      <w:r w:rsidRPr="00B21FB3">
        <w:t>Beesdo</w:t>
      </w:r>
      <w:proofErr w:type="spellEnd"/>
      <w:r w:rsidRPr="00B21FB3">
        <w:t xml:space="preserve">, K. et al. (2009) 'Incidence of social anxiety disorder and relationship to adolescent life events', </w:t>
      </w:r>
      <w:r w:rsidRPr="00B21FB3">
        <w:rPr>
          <w:i/>
          <w:iCs/>
        </w:rPr>
        <w:t>Depression and Anxiety</w:t>
      </w:r>
      <w:r w:rsidRPr="00B21FB3">
        <w:t xml:space="preserve">, 26(4), pp. 327–335. </w:t>
      </w:r>
      <w:r>
        <w:t xml:space="preserve"> </w:t>
      </w:r>
      <w:r w:rsidRPr="00B21FB3">
        <w:t xml:space="preserve">Available at: </w:t>
      </w:r>
      <w:hyperlink r:id="rId10" w:history="1">
        <w:r w:rsidRPr="00B21FB3">
          <w:rPr>
            <w:rStyle w:val="Hyperlink"/>
            <w:rFonts w:ascii="Arial" w:hAnsi="Arial" w:cs="Arial"/>
            <w:sz w:val="22"/>
            <w:szCs w:val="22"/>
          </w:rPr>
          <w:t>https://doi.org/10.1002/da.20507</w:t>
        </w:r>
      </w:hyperlink>
      <w:r w:rsidRPr="00B21FB3">
        <w:t>.</w:t>
      </w:r>
    </w:p>
    <w:p w14:paraId="2E5D7A1A" w14:textId="77777777" w:rsidR="00B21FB3" w:rsidRPr="00B21FB3" w:rsidRDefault="00B21FB3" w:rsidP="00B21FB3">
      <w:pPr>
        <w:pStyle w:val="NoSpacing"/>
        <w:spacing w:line="360" w:lineRule="auto"/>
        <w:jc w:val="both"/>
        <w:rPr>
          <w:rFonts w:ascii="Arial" w:hAnsi="Arial" w:cs="Arial"/>
          <w:sz w:val="22"/>
          <w:szCs w:val="22"/>
        </w:rPr>
      </w:pPr>
      <w:r w:rsidRPr="00B21FB3">
        <w:rPr>
          <w:rFonts w:ascii="Arial" w:hAnsi="Arial" w:cs="Arial"/>
          <w:sz w:val="22"/>
          <w:szCs w:val="22"/>
        </w:rPr>
        <w:t xml:space="preserve">Costello, E.J. et al. (2011) '10-year research update review: the epidemiology of child and adolescent psychiatric disorders', </w:t>
      </w:r>
      <w:r w:rsidRPr="00B21FB3">
        <w:rPr>
          <w:rFonts w:ascii="Arial" w:hAnsi="Arial" w:cs="Arial"/>
          <w:i/>
          <w:iCs/>
          <w:sz w:val="22"/>
          <w:szCs w:val="22"/>
        </w:rPr>
        <w:t>Journal of the American Academy of Child &amp; Adolescent Psychiatry</w:t>
      </w:r>
      <w:r w:rsidRPr="00B21FB3">
        <w:rPr>
          <w:rFonts w:ascii="Arial" w:hAnsi="Arial" w:cs="Arial"/>
          <w:sz w:val="22"/>
          <w:szCs w:val="22"/>
        </w:rPr>
        <w:t xml:space="preserve">, 50(11), pp. 1073–1083. Available at: </w:t>
      </w:r>
      <w:hyperlink r:id="rId11" w:history="1">
        <w:r w:rsidRPr="00B21FB3">
          <w:rPr>
            <w:rStyle w:val="Hyperlink"/>
            <w:rFonts w:ascii="Arial" w:hAnsi="Arial" w:cs="Arial"/>
            <w:sz w:val="22"/>
            <w:szCs w:val="22"/>
          </w:rPr>
          <w:t>https://doi.org/10.1016/j.jaac.2011.08.003</w:t>
        </w:r>
      </w:hyperlink>
      <w:r w:rsidRPr="00B21FB3">
        <w:rPr>
          <w:rFonts w:ascii="Arial" w:hAnsi="Arial" w:cs="Arial"/>
          <w:sz w:val="22"/>
          <w:szCs w:val="22"/>
        </w:rPr>
        <w:t>.</w:t>
      </w:r>
    </w:p>
    <w:p w14:paraId="5321FC9A" w14:textId="77777777" w:rsidR="00B21FB3" w:rsidRPr="00B21FB3" w:rsidRDefault="00B21FB3" w:rsidP="00B21FB3">
      <w:pPr>
        <w:pStyle w:val="NoSpacing"/>
        <w:spacing w:line="360" w:lineRule="auto"/>
        <w:jc w:val="both"/>
        <w:rPr>
          <w:rFonts w:ascii="Arial" w:hAnsi="Arial" w:cs="Arial"/>
          <w:sz w:val="22"/>
          <w:szCs w:val="22"/>
        </w:rPr>
      </w:pPr>
      <w:r w:rsidRPr="00B21FB3">
        <w:rPr>
          <w:rFonts w:ascii="Arial" w:hAnsi="Arial" w:cs="Arial"/>
          <w:sz w:val="22"/>
          <w:szCs w:val="22"/>
        </w:rPr>
        <w:t xml:space="preserve">Creswell, J.W. (2014) </w:t>
      </w:r>
      <w:r w:rsidRPr="00B21FB3">
        <w:rPr>
          <w:rFonts w:ascii="Arial" w:hAnsi="Arial" w:cs="Arial"/>
          <w:i/>
          <w:iCs/>
          <w:sz w:val="22"/>
          <w:szCs w:val="22"/>
        </w:rPr>
        <w:t>Research design: qualitative, quantitative, and mixed methods approaches</w:t>
      </w:r>
      <w:r w:rsidRPr="00B21FB3">
        <w:rPr>
          <w:rFonts w:ascii="Arial" w:hAnsi="Arial" w:cs="Arial"/>
          <w:sz w:val="22"/>
          <w:szCs w:val="22"/>
        </w:rPr>
        <w:t xml:space="preserve">. 4th </w:t>
      </w:r>
      <w:proofErr w:type="spellStart"/>
      <w:r w:rsidRPr="00B21FB3">
        <w:rPr>
          <w:rFonts w:ascii="Arial" w:hAnsi="Arial" w:cs="Arial"/>
          <w:sz w:val="22"/>
          <w:szCs w:val="22"/>
        </w:rPr>
        <w:t>edn</w:t>
      </w:r>
      <w:proofErr w:type="spellEnd"/>
      <w:r w:rsidRPr="00B21FB3">
        <w:rPr>
          <w:rFonts w:ascii="Arial" w:hAnsi="Arial" w:cs="Arial"/>
          <w:sz w:val="22"/>
          <w:szCs w:val="22"/>
        </w:rPr>
        <w:t>. Thousand Oaks, CA: Sage.</w:t>
      </w:r>
    </w:p>
    <w:p w14:paraId="59E492E2" w14:textId="77777777" w:rsidR="00B21FB3" w:rsidRPr="00B21FB3" w:rsidRDefault="00B21FB3" w:rsidP="00B21FB3">
      <w:pPr>
        <w:pStyle w:val="NoSpacing"/>
        <w:spacing w:line="360" w:lineRule="auto"/>
        <w:jc w:val="both"/>
        <w:rPr>
          <w:rFonts w:ascii="Arial" w:hAnsi="Arial" w:cs="Arial"/>
          <w:sz w:val="22"/>
          <w:szCs w:val="22"/>
        </w:rPr>
      </w:pPr>
      <w:r w:rsidRPr="00B21FB3">
        <w:rPr>
          <w:rFonts w:ascii="Arial" w:hAnsi="Arial" w:cs="Arial"/>
          <w:sz w:val="22"/>
          <w:szCs w:val="22"/>
        </w:rPr>
        <w:t xml:space="preserve">Department of Health and Social Care (2015) </w:t>
      </w:r>
      <w:r w:rsidRPr="00B21FB3">
        <w:rPr>
          <w:rFonts w:ascii="Arial" w:hAnsi="Arial" w:cs="Arial"/>
          <w:i/>
          <w:iCs/>
          <w:sz w:val="22"/>
          <w:szCs w:val="22"/>
        </w:rPr>
        <w:t>Mental Health Act 1983</w:t>
      </w:r>
      <w:r w:rsidRPr="00B21FB3">
        <w:rPr>
          <w:rFonts w:ascii="Arial" w:hAnsi="Arial" w:cs="Arial"/>
          <w:sz w:val="22"/>
          <w:szCs w:val="22"/>
        </w:rPr>
        <w:t xml:space="preserve">. London: HMSO. Available at: </w:t>
      </w:r>
      <w:hyperlink r:id="rId12" w:history="1">
        <w:r w:rsidRPr="00B21FB3">
          <w:rPr>
            <w:rStyle w:val="Hyperlink"/>
            <w:rFonts w:ascii="Arial" w:hAnsi="Arial" w:cs="Arial"/>
            <w:sz w:val="22"/>
            <w:szCs w:val="22"/>
          </w:rPr>
          <w:t>https://www.legislation.gov.uk/ukpga/1983/20</w:t>
        </w:r>
      </w:hyperlink>
      <w:r w:rsidRPr="00B21FB3">
        <w:rPr>
          <w:rFonts w:ascii="Arial" w:hAnsi="Arial" w:cs="Arial"/>
          <w:sz w:val="22"/>
          <w:szCs w:val="22"/>
        </w:rPr>
        <w:t>.</w:t>
      </w:r>
    </w:p>
    <w:p w14:paraId="30E3DA5E" w14:textId="77777777" w:rsidR="00B21FB3" w:rsidRPr="00B21FB3" w:rsidRDefault="00B21FB3" w:rsidP="00B21FB3">
      <w:pPr>
        <w:pStyle w:val="NoSpacing"/>
        <w:spacing w:line="360" w:lineRule="auto"/>
        <w:jc w:val="both"/>
        <w:rPr>
          <w:rFonts w:ascii="Arial" w:hAnsi="Arial" w:cs="Arial"/>
          <w:sz w:val="22"/>
          <w:szCs w:val="22"/>
        </w:rPr>
      </w:pPr>
      <w:r w:rsidRPr="00B21FB3">
        <w:rPr>
          <w:rFonts w:ascii="Arial" w:hAnsi="Arial" w:cs="Arial"/>
          <w:sz w:val="22"/>
          <w:szCs w:val="22"/>
        </w:rPr>
        <w:t xml:space="preserve">Kelly, Y. et al. (2018) 'Social media use and adolescent mental health: findings from the UK Millennium Cohort Study', </w:t>
      </w:r>
      <w:r w:rsidRPr="00B21FB3">
        <w:rPr>
          <w:rFonts w:ascii="Arial" w:hAnsi="Arial" w:cs="Arial"/>
          <w:i/>
          <w:iCs/>
          <w:sz w:val="22"/>
          <w:szCs w:val="22"/>
        </w:rPr>
        <w:t>The Lancet Child &amp; Adolescent Health</w:t>
      </w:r>
      <w:r w:rsidRPr="00B21FB3">
        <w:rPr>
          <w:rFonts w:ascii="Arial" w:hAnsi="Arial" w:cs="Arial"/>
          <w:sz w:val="22"/>
          <w:szCs w:val="22"/>
        </w:rPr>
        <w:t xml:space="preserve">, 2(6), pp. 454–463. Available at: </w:t>
      </w:r>
      <w:hyperlink r:id="rId13" w:history="1">
        <w:r w:rsidRPr="00B21FB3">
          <w:rPr>
            <w:rStyle w:val="Hyperlink"/>
            <w:rFonts w:ascii="Arial" w:hAnsi="Arial" w:cs="Arial"/>
            <w:sz w:val="22"/>
            <w:szCs w:val="22"/>
          </w:rPr>
          <w:t>https://doi.org/10.1016/S2352-4642(18)30134-5</w:t>
        </w:r>
      </w:hyperlink>
      <w:r w:rsidRPr="00B21FB3">
        <w:rPr>
          <w:rFonts w:ascii="Arial" w:hAnsi="Arial" w:cs="Arial"/>
          <w:sz w:val="22"/>
          <w:szCs w:val="22"/>
        </w:rPr>
        <w:t>.</w:t>
      </w:r>
    </w:p>
    <w:p w14:paraId="303D2210" w14:textId="24E620A3" w:rsidR="00B21FB3" w:rsidRPr="00B21FB3" w:rsidRDefault="00B21FB3" w:rsidP="00B21FB3">
      <w:r w:rsidRPr="00B21FB3">
        <w:t xml:space="preserve">Keles, B., McCrae, N. and Grealish, A. (2020) 'A systematic review: the influence of social media on depression, anxiety and psychological distress in adolescents', </w:t>
      </w:r>
      <w:r w:rsidRPr="00B21FB3">
        <w:rPr>
          <w:i/>
          <w:iCs/>
        </w:rPr>
        <w:t>International Journal of Adolescence and Youth</w:t>
      </w:r>
      <w:r w:rsidRPr="00B21FB3">
        <w:t>, 25(1), pp. 79–93.</w:t>
      </w:r>
      <w:r>
        <w:t xml:space="preserve"> </w:t>
      </w:r>
      <w:r w:rsidRPr="00B21FB3">
        <w:t xml:space="preserve">Available at: </w:t>
      </w:r>
      <w:hyperlink r:id="rId14" w:history="1">
        <w:r w:rsidRPr="00B21FB3">
          <w:rPr>
            <w:rStyle w:val="Hyperlink"/>
            <w:rFonts w:ascii="Arial" w:hAnsi="Arial" w:cs="Arial"/>
            <w:sz w:val="22"/>
            <w:szCs w:val="22"/>
          </w:rPr>
          <w:t>https://doi.org/10.1080/02673843.2019.1590851</w:t>
        </w:r>
      </w:hyperlink>
      <w:r w:rsidRPr="00B21FB3">
        <w:t>.</w:t>
      </w:r>
    </w:p>
    <w:p w14:paraId="762BABE7" w14:textId="60756C4B" w:rsidR="00EF0AD4" w:rsidRDefault="00EF0AD4" w:rsidP="00B21FB3">
      <w:pPr>
        <w:pStyle w:val="NoSpacing"/>
        <w:spacing w:line="360" w:lineRule="auto"/>
        <w:jc w:val="both"/>
        <w:rPr>
          <w:rFonts w:ascii="Arial" w:hAnsi="Arial" w:cs="Arial"/>
          <w:sz w:val="22"/>
          <w:szCs w:val="22"/>
        </w:rPr>
      </w:pPr>
      <w:r w:rsidRPr="00EF0AD4">
        <w:rPr>
          <w:rFonts w:ascii="Arial" w:hAnsi="Arial" w:cs="Arial"/>
          <w:sz w:val="22"/>
          <w:szCs w:val="22"/>
        </w:rPr>
        <w:t xml:space="preserve">Krause, K.R., </w:t>
      </w:r>
      <w:proofErr w:type="spellStart"/>
      <w:r w:rsidRPr="00EF0AD4">
        <w:rPr>
          <w:rFonts w:ascii="Arial" w:hAnsi="Arial" w:cs="Arial"/>
          <w:sz w:val="22"/>
          <w:szCs w:val="22"/>
        </w:rPr>
        <w:t>Edbrooke</w:t>
      </w:r>
      <w:proofErr w:type="spellEnd"/>
      <w:r w:rsidRPr="00EF0AD4">
        <w:rPr>
          <w:rFonts w:ascii="Arial" w:hAnsi="Arial" w:cs="Arial"/>
          <w:sz w:val="22"/>
          <w:szCs w:val="22"/>
        </w:rPr>
        <w:t>-Childs, J., Wolpert, M. and Bear, H.A. (2022)</w:t>
      </w:r>
      <w:r w:rsidRPr="00EF0AD4">
        <w:rPr>
          <w:rFonts w:ascii="Arial" w:hAnsi="Arial" w:cs="Arial"/>
          <w:sz w:val="22"/>
          <w:szCs w:val="22"/>
        </w:rPr>
        <w:br/>
      </w:r>
      <w:r w:rsidRPr="00EF0AD4">
        <w:rPr>
          <w:rFonts w:ascii="Arial" w:hAnsi="Arial" w:cs="Arial"/>
          <w:i/>
          <w:iCs/>
          <w:sz w:val="22"/>
          <w:szCs w:val="22"/>
        </w:rPr>
        <w:t>‘Evaluation of outcomes for adolescents receiving mental health services in England’</w:t>
      </w:r>
      <w:r w:rsidRPr="00EF0AD4">
        <w:rPr>
          <w:rFonts w:ascii="Arial" w:hAnsi="Arial" w:cs="Arial"/>
          <w:sz w:val="22"/>
          <w:szCs w:val="22"/>
        </w:rPr>
        <w:t>,</w:t>
      </w:r>
      <w:r w:rsidRPr="00EF0AD4">
        <w:rPr>
          <w:rFonts w:ascii="Arial" w:hAnsi="Arial" w:cs="Arial"/>
          <w:sz w:val="22"/>
          <w:szCs w:val="22"/>
        </w:rPr>
        <w:br/>
        <w:t>Journal of Child Psychology and Psychiatry, 63(9), pp. 1049–1058.</w:t>
      </w:r>
      <w:r w:rsidRPr="00EF0AD4">
        <w:rPr>
          <w:rFonts w:ascii="Arial" w:hAnsi="Arial" w:cs="Arial"/>
          <w:sz w:val="22"/>
          <w:szCs w:val="22"/>
        </w:rPr>
        <w:br/>
      </w:r>
      <w:hyperlink r:id="rId15" w:history="1">
        <w:r w:rsidR="00963D8F" w:rsidRPr="00194D6A">
          <w:rPr>
            <w:rStyle w:val="Hyperlink"/>
            <w:rFonts w:ascii="Arial" w:hAnsi="Arial" w:cs="Arial"/>
            <w:sz w:val="22"/>
            <w:szCs w:val="22"/>
          </w:rPr>
          <w:t>https://doi.org/10.1111/jcpp.13516</w:t>
        </w:r>
      </w:hyperlink>
    </w:p>
    <w:p w14:paraId="67744907" w14:textId="596CDD40" w:rsidR="00F2043A" w:rsidRDefault="00801998" w:rsidP="00B21FB3">
      <w:pPr>
        <w:pStyle w:val="NoSpacing"/>
        <w:spacing w:line="360" w:lineRule="auto"/>
        <w:jc w:val="both"/>
      </w:pPr>
      <w:r w:rsidRPr="00801998">
        <w:t xml:space="preserve">Levac, D., Colquhoun, H. and O’Brien, K.K. (2010) ‘Scoping studies: advancing the methodology’, </w:t>
      </w:r>
      <w:r w:rsidRPr="00801998">
        <w:rPr>
          <w:i/>
          <w:iCs/>
        </w:rPr>
        <w:t>Implementation Science</w:t>
      </w:r>
      <w:r w:rsidRPr="00801998">
        <w:t xml:space="preserve">, 5(69), pp. 1–9. Available at: </w:t>
      </w:r>
      <w:hyperlink r:id="rId16" w:tgtFrame="_new" w:history="1">
        <w:r w:rsidRPr="00801998">
          <w:rPr>
            <w:rStyle w:val="Hyperlink"/>
          </w:rPr>
          <w:t>https://doi.org/10.1186/1748-5908-5-69</w:t>
        </w:r>
      </w:hyperlink>
    </w:p>
    <w:p w14:paraId="12F56F69" w14:textId="38E5EAFA" w:rsidR="00B21FB3" w:rsidRPr="00B21FB3" w:rsidRDefault="00B21FB3" w:rsidP="00B21FB3">
      <w:pPr>
        <w:pStyle w:val="NoSpacing"/>
        <w:spacing w:line="360" w:lineRule="auto"/>
        <w:jc w:val="both"/>
        <w:rPr>
          <w:rFonts w:ascii="Arial" w:hAnsi="Arial" w:cs="Arial"/>
          <w:sz w:val="22"/>
          <w:szCs w:val="22"/>
        </w:rPr>
      </w:pPr>
      <w:r w:rsidRPr="00B21FB3">
        <w:rPr>
          <w:rFonts w:ascii="Arial" w:hAnsi="Arial" w:cs="Arial"/>
          <w:sz w:val="22"/>
          <w:szCs w:val="22"/>
        </w:rPr>
        <w:t xml:space="preserve">Loades, M.E. et al. (2020) 'Rapid systematic review: the impact of social isolation and loneliness on the mental health of children and adolescents in the context of COVID-19', </w:t>
      </w:r>
      <w:r w:rsidRPr="00B21FB3">
        <w:rPr>
          <w:rFonts w:ascii="Arial" w:hAnsi="Arial" w:cs="Arial"/>
          <w:i/>
          <w:iCs/>
          <w:sz w:val="22"/>
          <w:szCs w:val="22"/>
        </w:rPr>
        <w:t>Journal of the American Academy of Child &amp; Adolescent Psychiatry</w:t>
      </w:r>
      <w:r w:rsidRPr="00B21FB3">
        <w:rPr>
          <w:rFonts w:ascii="Arial" w:hAnsi="Arial" w:cs="Arial"/>
          <w:sz w:val="22"/>
          <w:szCs w:val="22"/>
        </w:rPr>
        <w:t xml:space="preserve">, 59(11), pp. 1218–1239. Available at: </w:t>
      </w:r>
      <w:hyperlink r:id="rId17" w:history="1">
        <w:r w:rsidRPr="00B21FB3">
          <w:rPr>
            <w:rStyle w:val="Hyperlink"/>
            <w:rFonts w:ascii="Arial" w:hAnsi="Arial" w:cs="Arial"/>
            <w:sz w:val="22"/>
            <w:szCs w:val="22"/>
          </w:rPr>
          <w:t>https://doi.org/10.1016/j.jaac.2020.05.009</w:t>
        </w:r>
      </w:hyperlink>
      <w:r w:rsidRPr="00B21FB3">
        <w:rPr>
          <w:rFonts w:ascii="Arial" w:hAnsi="Arial" w:cs="Arial"/>
          <w:sz w:val="22"/>
          <w:szCs w:val="22"/>
        </w:rPr>
        <w:t>.</w:t>
      </w:r>
    </w:p>
    <w:p w14:paraId="6CBFDDBE" w14:textId="77777777" w:rsidR="00B21FB3" w:rsidRPr="00B21FB3" w:rsidRDefault="00B21FB3" w:rsidP="00B21FB3">
      <w:pPr>
        <w:pStyle w:val="NoSpacing"/>
        <w:spacing w:line="360" w:lineRule="auto"/>
        <w:jc w:val="both"/>
        <w:rPr>
          <w:rFonts w:ascii="Arial" w:hAnsi="Arial" w:cs="Arial"/>
          <w:sz w:val="22"/>
          <w:szCs w:val="22"/>
        </w:rPr>
      </w:pPr>
      <w:proofErr w:type="spellStart"/>
      <w:r w:rsidRPr="00B21FB3">
        <w:rPr>
          <w:rFonts w:ascii="Arial" w:hAnsi="Arial" w:cs="Arial"/>
          <w:sz w:val="22"/>
          <w:szCs w:val="22"/>
        </w:rPr>
        <w:lastRenderedPageBreak/>
        <w:t>Merikangas</w:t>
      </w:r>
      <w:proofErr w:type="spellEnd"/>
      <w:r w:rsidRPr="00B21FB3">
        <w:rPr>
          <w:rFonts w:ascii="Arial" w:hAnsi="Arial" w:cs="Arial"/>
          <w:sz w:val="22"/>
          <w:szCs w:val="22"/>
        </w:rPr>
        <w:t xml:space="preserve">, K.R. et al. (2010) 'Lifetime prevalence of mental disorders in U.S. adolescents', </w:t>
      </w:r>
      <w:r w:rsidRPr="00B21FB3">
        <w:rPr>
          <w:rFonts w:ascii="Arial" w:hAnsi="Arial" w:cs="Arial"/>
          <w:i/>
          <w:iCs/>
          <w:sz w:val="22"/>
          <w:szCs w:val="22"/>
        </w:rPr>
        <w:t>Journal of the American Academy of Child &amp; Adolescent Psychiatry</w:t>
      </w:r>
      <w:r w:rsidRPr="00B21FB3">
        <w:rPr>
          <w:rFonts w:ascii="Arial" w:hAnsi="Arial" w:cs="Arial"/>
          <w:sz w:val="22"/>
          <w:szCs w:val="22"/>
        </w:rPr>
        <w:t xml:space="preserve">, 49(10), pp. 980–989. Available at: </w:t>
      </w:r>
      <w:hyperlink r:id="rId18" w:history="1">
        <w:r w:rsidRPr="00B21FB3">
          <w:rPr>
            <w:rStyle w:val="Hyperlink"/>
            <w:rFonts w:ascii="Arial" w:hAnsi="Arial" w:cs="Arial"/>
            <w:sz w:val="22"/>
            <w:szCs w:val="22"/>
          </w:rPr>
          <w:t>https://doi.org/10.1016/j.jaac.2010.05.017</w:t>
        </w:r>
      </w:hyperlink>
      <w:r w:rsidRPr="00B21FB3">
        <w:rPr>
          <w:rFonts w:ascii="Arial" w:hAnsi="Arial" w:cs="Arial"/>
          <w:sz w:val="22"/>
          <w:szCs w:val="22"/>
        </w:rPr>
        <w:t>.</w:t>
      </w:r>
    </w:p>
    <w:p w14:paraId="17AAB09F" w14:textId="75547ABE" w:rsidR="00B21FB3" w:rsidRPr="00B21FB3" w:rsidRDefault="00B21FB3" w:rsidP="00B21FB3">
      <w:pPr>
        <w:pStyle w:val="NoSpacing"/>
        <w:spacing w:line="360" w:lineRule="auto"/>
        <w:jc w:val="both"/>
        <w:rPr>
          <w:rFonts w:ascii="Arial" w:hAnsi="Arial" w:cs="Arial"/>
          <w:sz w:val="22"/>
          <w:szCs w:val="22"/>
        </w:rPr>
      </w:pPr>
      <w:r w:rsidRPr="00B21FB3">
        <w:rPr>
          <w:rFonts w:ascii="Arial" w:hAnsi="Arial" w:cs="Arial"/>
          <w:sz w:val="22"/>
          <w:szCs w:val="22"/>
        </w:rPr>
        <w:t xml:space="preserve">NHS Digital (2022) </w:t>
      </w:r>
      <w:r w:rsidRPr="00B21FB3">
        <w:rPr>
          <w:rFonts w:ascii="Arial" w:hAnsi="Arial" w:cs="Arial"/>
          <w:i/>
          <w:iCs/>
          <w:sz w:val="22"/>
          <w:szCs w:val="22"/>
        </w:rPr>
        <w:t>Mental health of children and young people in England 2022</w:t>
      </w:r>
      <w:r w:rsidRPr="00B21FB3">
        <w:rPr>
          <w:rFonts w:ascii="Arial" w:hAnsi="Arial" w:cs="Arial"/>
          <w:sz w:val="22"/>
          <w:szCs w:val="22"/>
        </w:rPr>
        <w:t xml:space="preserve">. Leeds: NHS Digital. Available at: </w:t>
      </w:r>
      <w:hyperlink r:id="rId19" w:history="1">
        <w:r w:rsidRPr="00B21FB3">
          <w:rPr>
            <w:rStyle w:val="Hyperlink"/>
            <w:rFonts w:ascii="Arial" w:hAnsi="Arial" w:cs="Arial"/>
            <w:sz w:val="22"/>
            <w:szCs w:val="22"/>
          </w:rPr>
          <w:t>https://digital.nhs.uk</w:t>
        </w:r>
      </w:hyperlink>
      <w:r w:rsidRPr="00B21FB3">
        <w:rPr>
          <w:rFonts w:ascii="Arial" w:hAnsi="Arial" w:cs="Arial"/>
          <w:sz w:val="22"/>
          <w:szCs w:val="22"/>
        </w:rPr>
        <w:t xml:space="preserve"> (Accessed: 1</w:t>
      </w:r>
      <w:r w:rsidR="003E19AD">
        <w:rPr>
          <w:rFonts w:ascii="Arial" w:hAnsi="Arial" w:cs="Arial"/>
          <w:sz w:val="22"/>
          <w:szCs w:val="22"/>
        </w:rPr>
        <w:t>8</w:t>
      </w:r>
      <w:r w:rsidRPr="00B21FB3">
        <w:rPr>
          <w:rFonts w:ascii="Arial" w:hAnsi="Arial" w:cs="Arial"/>
          <w:sz w:val="22"/>
          <w:szCs w:val="22"/>
        </w:rPr>
        <w:t xml:space="preserve"> March 2026).</w:t>
      </w:r>
    </w:p>
    <w:p w14:paraId="0A467B23" w14:textId="25EC7186" w:rsidR="00B21FB3" w:rsidRPr="00B21FB3" w:rsidRDefault="00B21FB3" w:rsidP="00B21FB3">
      <w:pPr>
        <w:pStyle w:val="NoSpacing"/>
        <w:spacing w:line="360" w:lineRule="auto"/>
        <w:jc w:val="both"/>
        <w:rPr>
          <w:rFonts w:ascii="Arial" w:hAnsi="Arial" w:cs="Arial"/>
          <w:sz w:val="22"/>
          <w:szCs w:val="22"/>
        </w:rPr>
      </w:pPr>
      <w:r w:rsidRPr="00B21FB3">
        <w:rPr>
          <w:rFonts w:ascii="Arial" w:hAnsi="Arial" w:cs="Arial"/>
          <w:sz w:val="22"/>
          <w:szCs w:val="22"/>
        </w:rPr>
        <w:t xml:space="preserve">NHS England (2019) </w:t>
      </w:r>
      <w:r w:rsidRPr="00B21FB3">
        <w:rPr>
          <w:rFonts w:ascii="Arial" w:hAnsi="Arial" w:cs="Arial"/>
          <w:i/>
          <w:iCs/>
          <w:sz w:val="22"/>
          <w:szCs w:val="22"/>
        </w:rPr>
        <w:t>The NHS long term plan</w:t>
      </w:r>
      <w:r w:rsidRPr="00B21FB3">
        <w:rPr>
          <w:rFonts w:ascii="Arial" w:hAnsi="Arial" w:cs="Arial"/>
          <w:sz w:val="22"/>
          <w:szCs w:val="22"/>
        </w:rPr>
        <w:t xml:space="preserve">. London: NHS England. Available at: </w:t>
      </w:r>
      <w:hyperlink r:id="rId20" w:history="1">
        <w:r w:rsidRPr="00B21FB3">
          <w:rPr>
            <w:rStyle w:val="Hyperlink"/>
            <w:rFonts w:ascii="Arial" w:hAnsi="Arial" w:cs="Arial"/>
            <w:sz w:val="22"/>
            <w:szCs w:val="22"/>
          </w:rPr>
          <w:t>https://www.longtermplan.nhs.uk</w:t>
        </w:r>
      </w:hyperlink>
      <w:r w:rsidRPr="00B21FB3">
        <w:rPr>
          <w:rFonts w:ascii="Arial" w:hAnsi="Arial" w:cs="Arial"/>
          <w:sz w:val="22"/>
          <w:szCs w:val="22"/>
        </w:rPr>
        <w:t xml:space="preserve"> (Accessed: 1</w:t>
      </w:r>
      <w:r w:rsidR="003E19AD">
        <w:rPr>
          <w:rFonts w:ascii="Arial" w:hAnsi="Arial" w:cs="Arial"/>
          <w:sz w:val="22"/>
          <w:szCs w:val="22"/>
        </w:rPr>
        <w:t>9</w:t>
      </w:r>
      <w:r w:rsidRPr="00B21FB3">
        <w:rPr>
          <w:rFonts w:ascii="Arial" w:hAnsi="Arial" w:cs="Arial"/>
          <w:sz w:val="22"/>
          <w:szCs w:val="22"/>
        </w:rPr>
        <w:t xml:space="preserve"> March 2026).</w:t>
      </w:r>
    </w:p>
    <w:p w14:paraId="4CEEAA1B" w14:textId="77777777" w:rsidR="00B21FB3" w:rsidRPr="00B21FB3" w:rsidRDefault="00B21FB3" w:rsidP="00B21FB3">
      <w:pPr>
        <w:pStyle w:val="NoSpacing"/>
        <w:spacing w:line="360" w:lineRule="auto"/>
        <w:jc w:val="both"/>
        <w:rPr>
          <w:rFonts w:ascii="Arial" w:hAnsi="Arial" w:cs="Arial"/>
          <w:sz w:val="22"/>
          <w:szCs w:val="22"/>
        </w:rPr>
      </w:pPr>
      <w:r w:rsidRPr="00B21FB3">
        <w:rPr>
          <w:rFonts w:ascii="Arial" w:hAnsi="Arial" w:cs="Arial"/>
          <w:sz w:val="22"/>
          <w:szCs w:val="22"/>
        </w:rPr>
        <w:t xml:space="preserve">NICE (2013) </w:t>
      </w:r>
      <w:r w:rsidRPr="00B21FB3">
        <w:rPr>
          <w:rFonts w:ascii="Arial" w:hAnsi="Arial" w:cs="Arial"/>
          <w:i/>
          <w:iCs/>
          <w:sz w:val="22"/>
          <w:szCs w:val="22"/>
        </w:rPr>
        <w:t>Social anxiety disorder: recognition, assessment and treatment (CG159)</w:t>
      </w:r>
      <w:r w:rsidRPr="00B21FB3">
        <w:rPr>
          <w:rFonts w:ascii="Arial" w:hAnsi="Arial" w:cs="Arial"/>
          <w:sz w:val="22"/>
          <w:szCs w:val="22"/>
        </w:rPr>
        <w:t xml:space="preserve">. London: NICE. Available at: </w:t>
      </w:r>
      <w:hyperlink r:id="rId21" w:history="1">
        <w:r w:rsidRPr="00B21FB3">
          <w:rPr>
            <w:rStyle w:val="Hyperlink"/>
            <w:rFonts w:ascii="Arial" w:hAnsi="Arial" w:cs="Arial"/>
            <w:sz w:val="22"/>
            <w:szCs w:val="22"/>
          </w:rPr>
          <w:t>https://www.nice.org.uk/guidance/cg159</w:t>
        </w:r>
      </w:hyperlink>
      <w:r w:rsidRPr="00B21FB3">
        <w:rPr>
          <w:rFonts w:ascii="Arial" w:hAnsi="Arial" w:cs="Arial"/>
          <w:sz w:val="22"/>
          <w:szCs w:val="22"/>
        </w:rPr>
        <w:t xml:space="preserve"> (Accessed: 11 March 2026).</w:t>
      </w:r>
    </w:p>
    <w:p w14:paraId="7B00B714" w14:textId="36EA853D" w:rsidR="00B21FB3" w:rsidRPr="00B21FB3" w:rsidRDefault="00B21FB3" w:rsidP="00B21FB3">
      <w:r w:rsidRPr="00B21FB3">
        <w:t xml:space="preserve">O'Reilly, M. et al. (2018) 'Is social media bad for mental health and wellbeing?', </w:t>
      </w:r>
      <w:r w:rsidRPr="00B21FB3">
        <w:rPr>
          <w:i/>
          <w:iCs/>
        </w:rPr>
        <w:t>Clinical Child Psychology and Psychiatry</w:t>
      </w:r>
      <w:r w:rsidRPr="00B21FB3">
        <w:t>, 23(4), pp. 601–613.</w:t>
      </w:r>
      <w:r>
        <w:t xml:space="preserve"> </w:t>
      </w:r>
      <w:r w:rsidRPr="00B21FB3">
        <w:t xml:space="preserve">Available at: </w:t>
      </w:r>
      <w:hyperlink r:id="rId22" w:history="1">
        <w:r w:rsidRPr="00B21FB3">
          <w:rPr>
            <w:rStyle w:val="Hyperlink"/>
            <w:rFonts w:ascii="Arial" w:hAnsi="Arial" w:cs="Arial"/>
            <w:sz w:val="22"/>
            <w:szCs w:val="22"/>
          </w:rPr>
          <w:t>https://doi.org/10.1177/1359104518775154</w:t>
        </w:r>
      </w:hyperlink>
      <w:r w:rsidRPr="00B21FB3">
        <w:t>.</w:t>
      </w:r>
    </w:p>
    <w:p w14:paraId="657C8255" w14:textId="66474721" w:rsidR="00B21FB3" w:rsidRPr="00B21FB3" w:rsidRDefault="00B21FB3" w:rsidP="00B21FB3">
      <w:pPr>
        <w:pStyle w:val="NoSpacing"/>
      </w:pPr>
      <w:proofErr w:type="spellStart"/>
      <w:r w:rsidRPr="00B21FB3">
        <w:t>Patalay</w:t>
      </w:r>
      <w:proofErr w:type="spellEnd"/>
      <w:r w:rsidRPr="00B21FB3">
        <w:t xml:space="preserve">, P. and Gage, S.H. (2019) 'Changes in mental health and quality of life among children and adolescents', </w:t>
      </w:r>
      <w:r w:rsidRPr="00B21FB3">
        <w:rPr>
          <w:i/>
          <w:iCs/>
        </w:rPr>
        <w:t>The Lancet Psychiatry</w:t>
      </w:r>
      <w:r w:rsidRPr="00B21FB3">
        <w:t>, 6(10), pp. 821–822.</w:t>
      </w:r>
      <w:r>
        <w:t xml:space="preserve"> </w:t>
      </w:r>
      <w:r w:rsidRPr="00B21FB3">
        <w:t xml:space="preserve">Available at: </w:t>
      </w:r>
      <w:hyperlink r:id="rId23" w:history="1">
        <w:r w:rsidRPr="00B21FB3">
          <w:rPr>
            <w:rStyle w:val="Hyperlink"/>
            <w:rFonts w:ascii="Arial" w:hAnsi="Arial" w:cs="Arial"/>
            <w:sz w:val="22"/>
            <w:szCs w:val="22"/>
          </w:rPr>
          <w:t>https://doi.org/10.1016/S2215-0366(19)30318-8</w:t>
        </w:r>
      </w:hyperlink>
      <w:r w:rsidRPr="00B21FB3">
        <w:t>.</w:t>
      </w:r>
    </w:p>
    <w:p w14:paraId="74A0F1AF" w14:textId="77777777" w:rsidR="00B21FB3" w:rsidRPr="00B21FB3" w:rsidRDefault="00B21FB3" w:rsidP="00B21FB3">
      <w:pPr>
        <w:pStyle w:val="NoSpacing"/>
        <w:spacing w:line="360" w:lineRule="auto"/>
        <w:jc w:val="both"/>
        <w:rPr>
          <w:rFonts w:ascii="Arial" w:hAnsi="Arial" w:cs="Arial"/>
          <w:sz w:val="22"/>
          <w:szCs w:val="22"/>
        </w:rPr>
      </w:pPr>
      <w:proofErr w:type="spellStart"/>
      <w:r w:rsidRPr="00B21FB3">
        <w:rPr>
          <w:rFonts w:ascii="Arial" w:hAnsi="Arial" w:cs="Arial"/>
          <w:sz w:val="22"/>
          <w:szCs w:val="22"/>
        </w:rPr>
        <w:t>Polanczyk</w:t>
      </w:r>
      <w:proofErr w:type="spellEnd"/>
      <w:r w:rsidRPr="00B21FB3">
        <w:rPr>
          <w:rFonts w:ascii="Arial" w:hAnsi="Arial" w:cs="Arial"/>
          <w:sz w:val="22"/>
          <w:szCs w:val="22"/>
        </w:rPr>
        <w:t xml:space="preserve">, G.V. et al. (2015) 'Worldwide prevalence of mental disorders in children and adolescents', </w:t>
      </w:r>
      <w:r w:rsidRPr="00B21FB3">
        <w:rPr>
          <w:rFonts w:ascii="Arial" w:hAnsi="Arial" w:cs="Arial"/>
          <w:i/>
          <w:iCs/>
          <w:sz w:val="22"/>
          <w:szCs w:val="22"/>
        </w:rPr>
        <w:t>Journal of Child Psychology and Psychiatry</w:t>
      </w:r>
      <w:r w:rsidRPr="00B21FB3">
        <w:rPr>
          <w:rFonts w:ascii="Arial" w:hAnsi="Arial" w:cs="Arial"/>
          <w:sz w:val="22"/>
          <w:szCs w:val="22"/>
        </w:rPr>
        <w:t xml:space="preserve">, 56(3), pp. 345–365. Available at: </w:t>
      </w:r>
      <w:hyperlink r:id="rId24" w:history="1">
        <w:r w:rsidRPr="00B21FB3">
          <w:rPr>
            <w:rStyle w:val="Hyperlink"/>
            <w:rFonts w:ascii="Arial" w:hAnsi="Arial" w:cs="Arial"/>
            <w:sz w:val="22"/>
            <w:szCs w:val="22"/>
          </w:rPr>
          <w:t>https://doi.org/10.1111/jcpp.12381</w:t>
        </w:r>
      </w:hyperlink>
      <w:r w:rsidRPr="00B21FB3">
        <w:rPr>
          <w:rFonts w:ascii="Arial" w:hAnsi="Arial" w:cs="Arial"/>
          <w:sz w:val="22"/>
          <w:szCs w:val="22"/>
        </w:rPr>
        <w:t>.</w:t>
      </w:r>
    </w:p>
    <w:p w14:paraId="5D64BB9C" w14:textId="77777777" w:rsidR="00B21FB3" w:rsidRPr="00B21FB3" w:rsidRDefault="00B21FB3" w:rsidP="00B21FB3">
      <w:r w:rsidRPr="00B21FB3">
        <w:t xml:space="preserve">Radez, J. et al. (2022) 'Adolescents' perceived barriers to seeking professional help', </w:t>
      </w:r>
      <w:r w:rsidRPr="00B21FB3">
        <w:rPr>
          <w:i/>
          <w:iCs/>
        </w:rPr>
        <w:t>Child and Adolescent Mental Health</w:t>
      </w:r>
      <w:r w:rsidRPr="00B21FB3">
        <w:t xml:space="preserve">, 27(1), pp. 71–81. Available at: </w:t>
      </w:r>
      <w:hyperlink r:id="rId25" w:history="1">
        <w:r w:rsidRPr="00B21FB3">
          <w:rPr>
            <w:rStyle w:val="Hyperlink"/>
            <w:rFonts w:ascii="Arial" w:hAnsi="Arial" w:cs="Arial"/>
            <w:sz w:val="22"/>
            <w:szCs w:val="22"/>
          </w:rPr>
          <w:t>https://doi.org/10.1111/camh.12484</w:t>
        </w:r>
      </w:hyperlink>
      <w:r w:rsidRPr="00B21FB3">
        <w:t>.</w:t>
      </w:r>
    </w:p>
    <w:p w14:paraId="7C7E4561" w14:textId="77777777" w:rsidR="00B21FB3" w:rsidRPr="00B21FB3" w:rsidRDefault="00B21FB3" w:rsidP="00B21FB3">
      <w:pPr>
        <w:pStyle w:val="NoSpacing"/>
        <w:spacing w:line="360" w:lineRule="auto"/>
        <w:jc w:val="both"/>
        <w:rPr>
          <w:rFonts w:ascii="Arial" w:hAnsi="Arial" w:cs="Arial"/>
          <w:sz w:val="22"/>
          <w:szCs w:val="22"/>
        </w:rPr>
      </w:pPr>
      <w:r w:rsidRPr="00B21FB3">
        <w:rPr>
          <w:rFonts w:ascii="Arial" w:hAnsi="Arial" w:cs="Arial"/>
          <w:sz w:val="22"/>
          <w:szCs w:val="22"/>
        </w:rPr>
        <w:t xml:space="preserve">Sawyer, S.M. et al. (2018) 'The age of adolescence', </w:t>
      </w:r>
      <w:r w:rsidRPr="00B21FB3">
        <w:rPr>
          <w:rFonts w:ascii="Arial" w:hAnsi="Arial" w:cs="Arial"/>
          <w:i/>
          <w:iCs/>
          <w:sz w:val="22"/>
          <w:szCs w:val="22"/>
        </w:rPr>
        <w:t>The Lancet Child &amp; Adolescent Health</w:t>
      </w:r>
      <w:r w:rsidRPr="00B21FB3">
        <w:rPr>
          <w:rFonts w:ascii="Arial" w:hAnsi="Arial" w:cs="Arial"/>
          <w:sz w:val="22"/>
          <w:szCs w:val="22"/>
        </w:rPr>
        <w:t xml:space="preserve">, 2(3), pp. 223–228. Available at: </w:t>
      </w:r>
      <w:hyperlink r:id="rId26" w:history="1">
        <w:r w:rsidRPr="00B21FB3">
          <w:rPr>
            <w:rStyle w:val="Hyperlink"/>
            <w:rFonts w:ascii="Arial" w:hAnsi="Arial" w:cs="Arial"/>
            <w:sz w:val="22"/>
            <w:szCs w:val="22"/>
          </w:rPr>
          <w:t>https://doi.org/10.1016/S2352-4642(18)30022-1</w:t>
        </w:r>
      </w:hyperlink>
      <w:r w:rsidRPr="00B21FB3">
        <w:rPr>
          <w:rFonts w:ascii="Arial" w:hAnsi="Arial" w:cs="Arial"/>
          <w:sz w:val="22"/>
          <w:szCs w:val="22"/>
        </w:rPr>
        <w:t>.</w:t>
      </w:r>
    </w:p>
    <w:p w14:paraId="1338A828" w14:textId="77777777" w:rsidR="00B21FB3" w:rsidRPr="00B21FB3" w:rsidRDefault="00B21FB3" w:rsidP="00B21FB3">
      <w:pPr>
        <w:pStyle w:val="NoSpacing"/>
        <w:spacing w:line="360" w:lineRule="auto"/>
        <w:jc w:val="both"/>
        <w:rPr>
          <w:rFonts w:ascii="Arial" w:hAnsi="Arial" w:cs="Arial"/>
          <w:sz w:val="22"/>
          <w:szCs w:val="22"/>
        </w:rPr>
      </w:pPr>
      <w:r w:rsidRPr="00B21FB3">
        <w:rPr>
          <w:rFonts w:ascii="Arial" w:hAnsi="Arial" w:cs="Arial"/>
          <w:sz w:val="22"/>
          <w:szCs w:val="22"/>
        </w:rPr>
        <w:t xml:space="preserve">Scott, H. et al. (2019) 'Social media use and sleep quality in adolescents', </w:t>
      </w:r>
      <w:r w:rsidRPr="00B21FB3">
        <w:rPr>
          <w:rFonts w:ascii="Arial" w:hAnsi="Arial" w:cs="Arial"/>
          <w:i/>
          <w:iCs/>
          <w:sz w:val="22"/>
          <w:szCs w:val="22"/>
        </w:rPr>
        <w:t>Sleep Medicine Reviews</w:t>
      </w:r>
      <w:r w:rsidRPr="00B21FB3">
        <w:rPr>
          <w:rFonts w:ascii="Arial" w:hAnsi="Arial" w:cs="Arial"/>
          <w:sz w:val="22"/>
          <w:szCs w:val="22"/>
        </w:rPr>
        <w:t xml:space="preserve">, 45, pp. 1–12. Available at: </w:t>
      </w:r>
      <w:hyperlink r:id="rId27" w:history="1">
        <w:r w:rsidRPr="00B21FB3">
          <w:rPr>
            <w:rStyle w:val="Hyperlink"/>
            <w:rFonts w:ascii="Arial" w:hAnsi="Arial" w:cs="Arial"/>
            <w:sz w:val="22"/>
            <w:szCs w:val="22"/>
          </w:rPr>
          <w:t>https://doi.org/10.1016/j.smrv.2019.02.005</w:t>
        </w:r>
      </w:hyperlink>
      <w:r w:rsidRPr="00B21FB3">
        <w:rPr>
          <w:rFonts w:ascii="Arial" w:hAnsi="Arial" w:cs="Arial"/>
          <w:sz w:val="22"/>
          <w:szCs w:val="22"/>
        </w:rPr>
        <w:t>.</w:t>
      </w:r>
    </w:p>
    <w:p w14:paraId="7F97BB34" w14:textId="77777777" w:rsidR="00B21FB3" w:rsidRPr="00B21FB3" w:rsidRDefault="00B21FB3" w:rsidP="00B21FB3">
      <w:pPr>
        <w:pStyle w:val="NoSpacing"/>
        <w:spacing w:line="360" w:lineRule="auto"/>
        <w:jc w:val="both"/>
        <w:rPr>
          <w:rFonts w:ascii="Arial" w:hAnsi="Arial" w:cs="Arial"/>
          <w:sz w:val="22"/>
          <w:szCs w:val="22"/>
        </w:rPr>
      </w:pPr>
      <w:r w:rsidRPr="00B21FB3">
        <w:rPr>
          <w:rFonts w:ascii="Arial" w:hAnsi="Arial" w:cs="Arial"/>
          <w:sz w:val="22"/>
          <w:szCs w:val="22"/>
        </w:rPr>
        <w:t xml:space="preserve">Steinberg, L. (2014) </w:t>
      </w:r>
      <w:r w:rsidRPr="00B21FB3">
        <w:rPr>
          <w:rFonts w:ascii="Arial" w:hAnsi="Arial" w:cs="Arial"/>
          <w:i/>
          <w:iCs/>
          <w:sz w:val="22"/>
          <w:szCs w:val="22"/>
        </w:rPr>
        <w:t>Age of opportunity: lessons from the new science of adolescence</w:t>
      </w:r>
      <w:r w:rsidRPr="00B21FB3">
        <w:rPr>
          <w:rFonts w:ascii="Arial" w:hAnsi="Arial" w:cs="Arial"/>
          <w:sz w:val="22"/>
          <w:szCs w:val="22"/>
        </w:rPr>
        <w:t>. Boston: Houghton Mifflin Harcourt.</w:t>
      </w:r>
    </w:p>
    <w:p w14:paraId="7AF5AE53" w14:textId="77777777" w:rsidR="00B21FB3" w:rsidRPr="00B21FB3" w:rsidRDefault="00B21FB3" w:rsidP="00B21FB3">
      <w:pPr>
        <w:pStyle w:val="NoSpacing"/>
        <w:spacing w:line="360" w:lineRule="auto"/>
        <w:jc w:val="both"/>
        <w:rPr>
          <w:rFonts w:ascii="Arial" w:hAnsi="Arial" w:cs="Arial"/>
          <w:sz w:val="22"/>
          <w:szCs w:val="22"/>
        </w:rPr>
      </w:pPr>
      <w:r w:rsidRPr="00B21FB3">
        <w:rPr>
          <w:rFonts w:ascii="Arial" w:hAnsi="Arial" w:cs="Arial"/>
          <w:sz w:val="22"/>
          <w:szCs w:val="22"/>
        </w:rPr>
        <w:t xml:space="preserve">Taylor, J.A. et al. (2021) 'Cognitive therapy for adolescent social anxiety', </w:t>
      </w:r>
      <w:r w:rsidRPr="00B21FB3">
        <w:rPr>
          <w:rFonts w:ascii="Arial" w:hAnsi="Arial" w:cs="Arial"/>
          <w:i/>
          <w:iCs/>
          <w:sz w:val="22"/>
          <w:szCs w:val="22"/>
        </w:rPr>
        <w:t>British Journal of Clinical Psychology</w:t>
      </w:r>
      <w:r w:rsidRPr="00B21FB3">
        <w:rPr>
          <w:rFonts w:ascii="Arial" w:hAnsi="Arial" w:cs="Arial"/>
          <w:sz w:val="22"/>
          <w:szCs w:val="22"/>
        </w:rPr>
        <w:t xml:space="preserve">, 60(2), pp. 234–248. Available at: </w:t>
      </w:r>
      <w:hyperlink r:id="rId28" w:history="1">
        <w:r w:rsidRPr="00B21FB3">
          <w:rPr>
            <w:rStyle w:val="Hyperlink"/>
            <w:rFonts w:ascii="Arial" w:hAnsi="Arial" w:cs="Arial"/>
            <w:sz w:val="22"/>
            <w:szCs w:val="22"/>
          </w:rPr>
          <w:t>https://doi.org/10.1111/bjc.12279</w:t>
        </w:r>
      </w:hyperlink>
      <w:r w:rsidRPr="00B21FB3">
        <w:rPr>
          <w:rFonts w:ascii="Arial" w:hAnsi="Arial" w:cs="Arial"/>
          <w:sz w:val="22"/>
          <w:szCs w:val="22"/>
        </w:rPr>
        <w:t>.</w:t>
      </w:r>
    </w:p>
    <w:p w14:paraId="3E2DB0D8" w14:textId="77777777" w:rsidR="00B21FB3" w:rsidRPr="00B21FB3" w:rsidRDefault="00B21FB3" w:rsidP="00B21FB3">
      <w:r w:rsidRPr="00B21FB3">
        <w:t xml:space="preserve">Twenge, J.M. et al. (2018) 'Increases in depressive symptoms and suicide-related outcomes', </w:t>
      </w:r>
      <w:r w:rsidRPr="00B21FB3">
        <w:rPr>
          <w:i/>
          <w:iCs/>
        </w:rPr>
        <w:t>Clinical Psychological Science</w:t>
      </w:r>
      <w:r w:rsidRPr="00B21FB3">
        <w:t xml:space="preserve">, 6(1), pp. 3–17. Available at: </w:t>
      </w:r>
      <w:hyperlink r:id="rId29" w:history="1">
        <w:r w:rsidRPr="00B21FB3">
          <w:rPr>
            <w:rStyle w:val="Hyperlink"/>
            <w:rFonts w:ascii="Arial" w:hAnsi="Arial" w:cs="Arial"/>
            <w:sz w:val="22"/>
            <w:szCs w:val="22"/>
          </w:rPr>
          <w:t>https://doi.org/10.1177/2167702617723376</w:t>
        </w:r>
      </w:hyperlink>
      <w:r w:rsidRPr="00B21FB3">
        <w:t>.</w:t>
      </w:r>
    </w:p>
    <w:p w14:paraId="79E630B2" w14:textId="75370110" w:rsidR="00B21FB3" w:rsidRPr="00B21FB3" w:rsidRDefault="00B21FB3" w:rsidP="00B21FB3">
      <w:pPr>
        <w:pStyle w:val="NoSpacing"/>
        <w:spacing w:line="360" w:lineRule="auto"/>
        <w:jc w:val="both"/>
        <w:rPr>
          <w:rFonts w:ascii="Arial" w:hAnsi="Arial" w:cs="Arial"/>
          <w:sz w:val="22"/>
          <w:szCs w:val="22"/>
        </w:rPr>
      </w:pPr>
      <w:r w:rsidRPr="00B21FB3">
        <w:rPr>
          <w:rFonts w:ascii="Arial" w:hAnsi="Arial" w:cs="Arial"/>
          <w:sz w:val="22"/>
          <w:szCs w:val="22"/>
        </w:rPr>
        <w:t xml:space="preserve">Woods, H.C. and Scott, H. (2016) 'Sleep and social media use in adolescents', </w:t>
      </w:r>
      <w:r w:rsidRPr="00B21FB3">
        <w:rPr>
          <w:rFonts w:ascii="Arial" w:hAnsi="Arial" w:cs="Arial"/>
          <w:i/>
          <w:iCs/>
          <w:sz w:val="22"/>
          <w:szCs w:val="22"/>
        </w:rPr>
        <w:t>Journal of Adolescence</w:t>
      </w:r>
      <w:r w:rsidRPr="00B21FB3">
        <w:rPr>
          <w:rFonts w:ascii="Arial" w:hAnsi="Arial" w:cs="Arial"/>
          <w:sz w:val="22"/>
          <w:szCs w:val="22"/>
        </w:rPr>
        <w:t>, 51, pp. 41–49</w:t>
      </w:r>
    </w:p>
    <w:p w14:paraId="0EE721E4" w14:textId="4B5ED10F" w:rsidR="00B21FB3" w:rsidRPr="00B21FB3" w:rsidRDefault="00B21FB3" w:rsidP="00B21FB3">
      <w:pPr>
        <w:pStyle w:val="NoSpacing"/>
        <w:spacing w:line="360" w:lineRule="auto"/>
        <w:jc w:val="both"/>
        <w:rPr>
          <w:rFonts w:ascii="Arial" w:hAnsi="Arial" w:cs="Arial"/>
          <w:sz w:val="22"/>
          <w:szCs w:val="22"/>
        </w:rPr>
      </w:pPr>
      <w:proofErr w:type="spellStart"/>
      <w:r w:rsidRPr="00B21FB3">
        <w:rPr>
          <w:rFonts w:ascii="Arial" w:hAnsi="Arial" w:cs="Arial"/>
          <w:sz w:val="22"/>
          <w:szCs w:val="22"/>
        </w:rPr>
        <w:t>YoungMinds</w:t>
      </w:r>
      <w:proofErr w:type="spellEnd"/>
      <w:r w:rsidRPr="00B21FB3">
        <w:rPr>
          <w:rFonts w:ascii="Arial" w:hAnsi="Arial" w:cs="Arial"/>
          <w:sz w:val="22"/>
          <w:szCs w:val="22"/>
        </w:rPr>
        <w:t xml:space="preserve"> (2024) </w:t>
      </w:r>
      <w:r w:rsidRPr="00B21FB3">
        <w:rPr>
          <w:rFonts w:ascii="Arial" w:hAnsi="Arial" w:cs="Arial"/>
          <w:i/>
          <w:iCs/>
          <w:sz w:val="22"/>
          <w:szCs w:val="22"/>
        </w:rPr>
        <w:t>Increase in youth waiting over a year for mental health support</w:t>
      </w:r>
      <w:r w:rsidRPr="00B21FB3">
        <w:rPr>
          <w:rFonts w:ascii="Arial" w:hAnsi="Arial" w:cs="Arial"/>
          <w:sz w:val="22"/>
          <w:szCs w:val="22"/>
        </w:rPr>
        <w:t xml:space="preserve">. London: </w:t>
      </w:r>
      <w:proofErr w:type="spellStart"/>
      <w:r w:rsidRPr="00B21FB3">
        <w:rPr>
          <w:rFonts w:ascii="Arial" w:hAnsi="Arial" w:cs="Arial"/>
          <w:sz w:val="22"/>
          <w:szCs w:val="22"/>
        </w:rPr>
        <w:t>YoungMinds</w:t>
      </w:r>
      <w:proofErr w:type="spellEnd"/>
      <w:r w:rsidRPr="00B21FB3">
        <w:rPr>
          <w:rFonts w:ascii="Arial" w:hAnsi="Arial" w:cs="Arial"/>
          <w:sz w:val="22"/>
          <w:szCs w:val="22"/>
        </w:rPr>
        <w:t xml:space="preserve">. Available at: </w:t>
      </w:r>
      <w:hyperlink r:id="rId30" w:history="1">
        <w:r w:rsidRPr="00B21FB3">
          <w:rPr>
            <w:rStyle w:val="Hyperlink"/>
            <w:rFonts w:ascii="Arial" w:hAnsi="Arial" w:cs="Arial"/>
            <w:sz w:val="22"/>
            <w:szCs w:val="22"/>
          </w:rPr>
          <w:t>https://www.youngminds.org.uk</w:t>
        </w:r>
      </w:hyperlink>
      <w:r w:rsidRPr="00B21FB3">
        <w:rPr>
          <w:rFonts w:ascii="Arial" w:hAnsi="Arial" w:cs="Arial"/>
          <w:sz w:val="22"/>
          <w:szCs w:val="22"/>
        </w:rPr>
        <w:t xml:space="preserve"> (Accessed: 1</w:t>
      </w:r>
      <w:r w:rsidR="00EF0AD4">
        <w:rPr>
          <w:rFonts w:ascii="Arial" w:hAnsi="Arial" w:cs="Arial"/>
          <w:sz w:val="22"/>
          <w:szCs w:val="22"/>
        </w:rPr>
        <w:t>5</w:t>
      </w:r>
      <w:r w:rsidRPr="00B21FB3">
        <w:rPr>
          <w:rFonts w:ascii="Arial" w:hAnsi="Arial" w:cs="Arial"/>
          <w:sz w:val="22"/>
          <w:szCs w:val="22"/>
        </w:rPr>
        <w:t xml:space="preserve"> March 2026).</w:t>
      </w:r>
    </w:p>
    <w:p w14:paraId="15E9C6DC" w14:textId="77777777" w:rsidR="00B21FB3" w:rsidRPr="00B21FB3" w:rsidRDefault="00B21FB3" w:rsidP="00B21FB3">
      <w:pPr>
        <w:pStyle w:val="NoSpacing"/>
        <w:spacing w:line="360" w:lineRule="auto"/>
        <w:jc w:val="both"/>
        <w:rPr>
          <w:rFonts w:ascii="Arial" w:hAnsi="Arial" w:cs="Arial"/>
          <w:sz w:val="22"/>
          <w:szCs w:val="22"/>
        </w:rPr>
      </w:pPr>
    </w:p>
    <w:sectPr w:rsidR="00B21FB3" w:rsidRPr="00B21FB3">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1A0806" w14:textId="77777777" w:rsidR="00EA2F44" w:rsidRDefault="00EA2F44" w:rsidP="0098591A">
      <w:pPr>
        <w:spacing w:after="0" w:line="240" w:lineRule="auto"/>
      </w:pPr>
      <w:r>
        <w:separator/>
      </w:r>
    </w:p>
  </w:endnote>
  <w:endnote w:type="continuationSeparator" w:id="0">
    <w:p w14:paraId="490E0840" w14:textId="77777777" w:rsidR="00EA2F44" w:rsidRDefault="00EA2F44" w:rsidP="00985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1788446"/>
      <w:docPartObj>
        <w:docPartGallery w:val="Page Numbers (Bottom of Page)"/>
        <w:docPartUnique/>
      </w:docPartObj>
    </w:sdtPr>
    <w:sdtEndPr>
      <w:rPr>
        <w:noProof/>
      </w:rPr>
    </w:sdtEndPr>
    <w:sdtContent>
      <w:p w14:paraId="3EADA6A4" w14:textId="47FCDE3C" w:rsidR="0098591A" w:rsidRDefault="009859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1CBB5D" w14:textId="77777777" w:rsidR="0098591A" w:rsidRDefault="009859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9DFCA7" w14:textId="77777777" w:rsidR="00EA2F44" w:rsidRDefault="00EA2F44" w:rsidP="0098591A">
      <w:pPr>
        <w:spacing w:after="0" w:line="240" w:lineRule="auto"/>
      </w:pPr>
      <w:r>
        <w:separator/>
      </w:r>
    </w:p>
  </w:footnote>
  <w:footnote w:type="continuationSeparator" w:id="0">
    <w:p w14:paraId="45AD5D46" w14:textId="77777777" w:rsidR="00EA2F44" w:rsidRDefault="00EA2F44" w:rsidP="009859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7A33B6"/>
    <w:multiLevelType w:val="multilevel"/>
    <w:tmpl w:val="016E1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98720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CB9"/>
    <w:rsid w:val="0004367A"/>
    <w:rsid w:val="000853E5"/>
    <w:rsid w:val="000B1C67"/>
    <w:rsid w:val="000D6AF1"/>
    <w:rsid w:val="000E1D62"/>
    <w:rsid w:val="00112D37"/>
    <w:rsid w:val="00113AC7"/>
    <w:rsid w:val="00117AD8"/>
    <w:rsid w:val="0012646B"/>
    <w:rsid w:val="001362ED"/>
    <w:rsid w:val="00166192"/>
    <w:rsid w:val="001D1F1D"/>
    <w:rsid w:val="001E6CB9"/>
    <w:rsid w:val="001F7079"/>
    <w:rsid w:val="00207804"/>
    <w:rsid w:val="00216D4B"/>
    <w:rsid w:val="002313F1"/>
    <w:rsid w:val="00257BF4"/>
    <w:rsid w:val="00264205"/>
    <w:rsid w:val="002A28F4"/>
    <w:rsid w:val="00326C9C"/>
    <w:rsid w:val="00332FDF"/>
    <w:rsid w:val="0033661B"/>
    <w:rsid w:val="003642C8"/>
    <w:rsid w:val="00372DFF"/>
    <w:rsid w:val="00374105"/>
    <w:rsid w:val="003C63E8"/>
    <w:rsid w:val="003C6573"/>
    <w:rsid w:val="003E19AD"/>
    <w:rsid w:val="0041447F"/>
    <w:rsid w:val="004724CB"/>
    <w:rsid w:val="004A10A5"/>
    <w:rsid w:val="004C3665"/>
    <w:rsid w:val="004E135F"/>
    <w:rsid w:val="00524737"/>
    <w:rsid w:val="0053050D"/>
    <w:rsid w:val="005314F0"/>
    <w:rsid w:val="00533D1E"/>
    <w:rsid w:val="0054132E"/>
    <w:rsid w:val="005474E9"/>
    <w:rsid w:val="005A5B4A"/>
    <w:rsid w:val="005A6EF8"/>
    <w:rsid w:val="005F19FA"/>
    <w:rsid w:val="00650060"/>
    <w:rsid w:val="006606D2"/>
    <w:rsid w:val="00660C7B"/>
    <w:rsid w:val="006624A9"/>
    <w:rsid w:val="00683133"/>
    <w:rsid w:val="006A147C"/>
    <w:rsid w:val="006A212F"/>
    <w:rsid w:val="006A7957"/>
    <w:rsid w:val="006B5A17"/>
    <w:rsid w:val="006B6785"/>
    <w:rsid w:val="006C13B0"/>
    <w:rsid w:val="006D67A9"/>
    <w:rsid w:val="00702B4F"/>
    <w:rsid w:val="007246B0"/>
    <w:rsid w:val="00782280"/>
    <w:rsid w:val="00786418"/>
    <w:rsid w:val="007A2708"/>
    <w:rsid w:val="007C4CFC"/>
    <w:rsid w:val="00801998"/>
    <w:rsid w:val="00812C93"/>
    <w:rsid w:val="008220EC"/>
    <w:rsid w:val="00831DA5"/>
    <w:rsid w:val="00847D6C"/>
    <w:rsid w:val="00867809"/>
    <w:rsid w:val="00894E4E"/>
    <w:rsid w:val="008E2D67"/>
    <w:rsid w:val="0090588A"/>
    <w:rsid w:val="00912092"/>
    <w:rsid w:val="00913EAC"/>
    <w:rsid w:val="0091475A"/>
    <w:rsid w:val="00963050"/>
    <w:rsid w:val="00963D8F"/>
    <w:rsid w:val="0098591A"/>
    <w:rsid w:val="009A01CF"/>
    <w:rsid w:val="009B416C"/>
    <w:rsid w:val="00A13EA7"/>
    <w:rsid w:val="00A465EE"/>
    <w:rsid w:val="00A63728"/>
    <w:rsid w:val="00A72AA7"/>
    <w:rsid w:val="00A77D17"/>
    <w:rsid w:val="00A9200C"/>
    <w:rsid w:val="00AF762C"/>
    <w:rsid w:val="00B02785"/>
    <w:rsid w:val="00B21FB3"/>
    <w:rsid w:val="00B8091C"/>
    <w:rsid w:val="00B80D44"/>
    <w:rsid w:val="00B84FBA"/>
    <w:rsid w:val="00B9186A"/>
    <w:rsid w:val="00BA2B88"/>
    <w:rsid w:val="00BA4444"/>
    <w:rsid w:val="00BB480A"/>
    <w:rsid w:val="00BD4F8E"/>
    <w:rsid w:val="00BE0089"/>
    <w:rsid w:val="00BE2E59"/>
    <w:rsid w:val="00BF3D07"/>
    <w:rsid w:val="00C05A61"/>
    <w:rsid w:val="00C17C93"/>
    <w:rsid w:val="00C66FCE"/>
    <w:rsid w:val="00C67EE9"/>
    <w:rsid w:val="00CA71F2"/>
    <w:rsid w:val="00CB4B8B"/>
    <w:rsid w:val="00CE6B7E"/>
    <w:rsid w:val="00D03831"/>
    <w:rsid w:val="00D06952"/>
    <w:rsid w:val="00D125F0"/>
    <w:rsid w:val="00D357F8"/>
    <w:rsid w:val="00D41835"/>
    <w:rsid w:val="00D457B2"/>
    <w:rsid w:val="00D63C56"/>
    <w:rsid w:val="00D64362"/>
    <w:rsid w:val="00D6628C"/>
    <w:rsid w:val="00D6743C"/>
    <w:rsid w:val="00D7324E"/>
    <w:rsid w:val="00DD3AD0"/>
    <w:rsid w:val="00DD55D9"/>
    <w:rsid w:val="00DD7F35"/>
    <w:rsid w:val="00E11C75"/>
    <w:rsid w:val="00E35308"/>
    <w:rsid w:val="00E37F87"/>
    <w:rsid w:val="00E8085F"/>
    <w:rsid w:val="00E877CE"/>
    <w:rsid w:val="00EA1720"/>
    <w:rsid w:val="00EA2F44"/>
    <w:rsid w:val="00EF0AD4"/>
    <w:rsid w:val="00F001AD"/>
    <w:rsid w:val="00F2043A"/>
    <w:rsid w:val="00F219EE"/>
    <w:rsid w:val="00F32739"/>
    <w:rsid w:val="00F526C2"/>
    <w:rsid w:val="00F90050"/>
    <w:rsid w:val="00FA0022"/>
    <w:rsid w:val="00FC6D9F"/>
    <w:rsid w:val="00FD37DD"/>
    <w:rsid w:val="00FD496E"/>
    <w:rsid w:val="00FF56B0"/>
    <w:rsid w:val="0ED23A36"/>
    <w:rsid w:val="1726FC69"/>
    <w:rsid w:val="1DA91AAB"/>
    <w:rsid w:val="2A96B821"/>
    <w:rsid w:val="3DEA70AC"/>
    <w:rsid w:val="4B436C8C"/>
    <w:rsid w:val="677B6532"/>
    <w:rsid w:val="6F025214"/>
    <w:rsid w:val="7C793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7873B"/>
  <w15:chartTrackingRefBased/>
  <w15:docId w15:val="{FBCF40AD-2515-4744-AA07-68CBE5A65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6C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6C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6C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6C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6C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6C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6C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6C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6C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6C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E6C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6C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6C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6C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6C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6C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6C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6CB9"/>
    <w:rPr>
      <w:rFonts w:eastAsiaTheme="majorEastAsia" w:cstheme="majorBidi"/>
      <w:color w:val="272727" w:themeColor="text1" w:themeTint="D8"/>
    </w:rPr>
  </w:style>
  <w:style w:type="paragraph" w:styleId="Title">
    <w:name w:val="Title"/>
    <w:basedOn w:val="Normal"/>
    <w:next w:val="Normal"/>
    <w:link w:val="TitleChar"/>
    <w:uiPriority w:val="10"/>
    <w:qFormat/>
    <w:rsid w:val="001E6C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6C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6C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6C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6CB9"/>
    <w:pPr>
      <w:spacing w:before="160"/>
      <w:jc w:val="center"/>
    </w:pPr>
    <w:rPr>
      <w:i/>
      <w:iCs/>
      <w:color w:val="404040" w:themeColor="text1" w:themeTint="BF"/>
    </w:rPr>
  </w:style>
  <w:style w:type="character" w:customStyle="1" w:styleId="QuoteChar">
    <w:name w:val="Quote Char"/>
    <w:basedOn w:val="DefaultParagraphFont"/>
    <w:link w:val="Quote"/>
    <w:uiPriority w:val="29"/>
    <w:rsid w:val="001E6CB9"/>
    <w:rPr>
      <w:i/>
      <w:iCs/>
      <w:color w:val="404040" w:themeColor="text1" w:themeTint="BF"/>
    </w:rPr>
  </w:style>
  <w:style w:type="paragraph" w:styleId="ListParagraph">
    <w:name w:val="List Paragraph"/>
    <w:basedOn w:val="Normal"/>
    <w:uiPriority w:val="34"/>
    <w:qFormat/>
    <w:rsid w:val="001E6CB9"/>
    <w:pPr>
      <w:ind w:left="720"/>
      <w:contextualSpacing/>
    </w:pPr>
  </w:style>
  <w:style w:type="character" w:styleId="IntenseEmphasis">
    <w:name w:val="Intense Emphasis"/>
    <w:basedOn w:val="DefaultParagraphFont"/>
    <w:uiPriority w:val="21"/>
    <w:qFormat/>
    <w:rsid w:val="001E6CB9"/>
    <w:rPr>
      <w:i/>
      <w:iCs/>
      <w:color w:val="0F4761" w:themeColor="accent1" w:themeShade="BF"/>
    </w:rPr>
  </w:style>
  <w:style w:type="paragraph" w:styleId="IntenseQuote">
    <w:name w:val="Intense Quote"/>
    <w:basedOn w:val="Normal"/>
    <w:next w:val="Normal"/>
    <w:link w:val="IntenseQuoteChar"/>
    <w:uiPriority w:val="30"/>
    <w:qFormat/>
    <w:rsid w:val="001E6C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6CB9"/>
    <w:rPr>
      <w:i/>
      <w:iCs/>
      <w:color w:val="0F4761" w:themeColor="accent1" w:themeShade="BF"/>
    </w:rPr>
  </w:style>
  <w:style w:type="character" w:styleId="IntenseReference">
    <w:name w:val="Intense Reference"/>
    <w:basedOn w:val="DefaultParagraphFont"/>
    <w:uiPriority w:val="32"/>
    <w:qFormat/>
    <w:rsid w:val="001E6CB9"/>
    <w:rPr>
      <w:b/>
      <w:bCs/>
      <w:smallCaps/>
      <w:color w:val="0F4761" w:themeColor="accent1" w:themeShade="BF"/>
      <w:spacing w:val="5"/>
    </w:rPr>
  </w:style>
  <w:style w:type="character" w:styleId="Hyperlink">
    <w:name w:val="Hyperlink"/>
    <w:basedOn w:val="DefaultParagraphFont"/>
    <w:uiPriority w:val="99"/>
    <w:unhideWhenUsed/>
    <w:rsid w:val="0098591A"/>
    <w:rPr>
      <w:color w:val="467886" w:themeColor="hyperlink"/>
      <w:u w:val="single"/>
    </w:rPr>
  </w:style>
  <w:style w:type="paragraph" w:styleId="NoSpacing">
    <w:name w:val="No Spacing"/>
    <w:uiPriority w:val="1"/>
    <w:qFormat/>
    <w:rsid w:val="0098591A"/>
    <w:pPr>
      <w:spacing w:after="0" w:line="240" w:lineRule="auto"/>
    </w:pPr>
  </w:style>
  <w:style w:type="paragraph" w:styleId="Header">
    <w:name w:val="header"/>
    <w:basedOn w:val="Normal"/>
    <w:link w:val="HeaderChar"/>
    <w:uiPriority w:val="99"/>
    <w:unhideWhenUsed/>
    <w:rsid w:val="009859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91A"/>
  </w:style>
  <w:style w:type="paragraph" w:styleId="Footer">
    <w:name w:val="footer"/>
    <w:basedOn w:val="Normal"/>
    <w:link w:val="FooterChar"/>
    <w:uiPriority w:val="99"/>
    <w:unhideWhenUsed/>
    <w:rsid w:val="009859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91A"/>
  </w:style>
  <w:style w:type="character" w:styleId="UnresolvedMention">
    <w:name w:val="Unresolved Mention"/>
    <w:basedOn w:val="DefaultParagraphFont"/>
    <w:uiPriority w:val="99"/>
    <w:semiHidden/>
    <w:unhideWhenUsed/>
    <w:rsid w:val="000E1D62"/>
    <w:rPr>
      <w:color w:val="605E5C"/>
      <w:shd w:val="clear" w:color="auto" w:fill="E1DFDD"/>
    </w:rPr>
  </w:style>
  <w:style w:type="paragraph" w:styleId="NormalWeb">
    <w:name w:val="Normal (Web)"/>
    <w:basedOn w:val="Normal"/>
    <w:uiPriority w:val="99"/>
    <w:semiHidden/>
    <w:unhideWhenUsed/>
    <w:rsid w:val="0052473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5605">
      <w:bodyDiv w:val="1"/>
      <w:marLeft w:val="0"/>
      <w:marRight w:val="0"/>
      <w:marTop w:val="0"/>
      <w:marBottom w:val="0"/>
      <w:divBdr>
        <w:top w:val="none" w:sz="0" w:space="0" w:color="auto"/>
        <w:left w:val="none" w:sz="0" w:space="0" w:color="auto"/>
        <w:bottom w:val="none" w:sz="0" w:space="0" w:color="auto"/>
        <w:right w:val="none" w:sz="0" w:space="0" w:color="auto"/>
      </w:divBdr>
    </w:div>
    <w:div w:id="14815769">
      <w:bodyDiv w:val="1"/>
      <w:marLeft w:val="0"/>
      <w:marRight w:val="0"/>
      <w:marTop w:val="0"/>
      <w:marBottom w:val="0"/>
      <w:divBdr>
        <w:top w:val="none" w:sz="0" w:space="0" w:color="auto"/>
        <w:left w:val="none" w:sz="0" w:space="0" w:color="auto"/>
        <w:bottom w:val="none" w:sz="0" w:space="0" w:color="auto"/>
        <w:right w:val="none" w:sz="0" w:space="0" w:color="auto"/>
      </w:divBdr>
    </w:div>
    <w:div w:id="149370941">
      <w:bodyDiv w:val="1"/>
      <w:marLeft w:val="0"/>
      <w:marRight w:val="0"/>
      <w:marTop w:val="0"/>
      <w:marBottom w:val="0"/>
      <w:divBdr>
        <w:top w:val="none" w:sz="0" w:space="0" w:color="auto"/>
        <w:left w:val="none" w:sz="0" w:space="0" w:color="auto"/>
        <w:bottom w:val="none" w:sz="0" w:space="0" w:color="auto"/>
        <w:right w:val="none" w:sz="0" w:space="0" w:color="auto"/>
      </w:divBdr>
    </w:div>
    <w:div w:id="152915030">
      <w:bodyDiv w:val="1"/>
      <w:marLeft w:val="0"/>
      <w:marRight w:val="0"/>
      <w:marTop w:val="0"/>
      <w:marBottom w:val="0"/>
      <w:divBdr>
        <w:top w:val="none" w:sz="0" w:space="0" w:color="auto"/>
        <w:left w:val="none" w:sz="0" w:space="0" w:color="auto"/>
        <w:bottom w:val="none" w:sz="0" w:space="0" w:color="auto"/>
        <w:right w:val="none" w:sz="0" w:space="0" w:color="auto"/>
      </w:divBdr>
    </w:div>
    <w:div w:id="274871805">
      <w:bodyDiv w:val="1"/>
      <w:marLeft w:val="0"/>
      <w:marRight w:val="0"/>
      <w:marTop w:val="0"/>
      <w:marBottom w:val="0"/>
      <w:divBdr>
        <w:top w:val="none" w:sz="0" w:space="0" w:color="auto"/>
        <w:left w:val="none" w:sz="0" w:space="0" w:color="auto"/>
        <w:bottom w:val="none" w:sz="0" w:space="0" w:color="auto"/>
        <w:right w:val="none" w:sz="0" w:space="0" w:color="auto"/>
      </w:divBdr>
    </w:div>
    <w:div w:id="282543111">
      <w:bodyDiv w:val="1"/>
      <w:marLeft w:val="0"/>
      <w:marRight w:val="0"/>
      <w:marTop w:val="0"/>
      <w:marBottom w:val="0"/>
      <w:divBdr>
        <w:top w:val="none" w:sz="0" w:space="0" w:color="auto"/>
        <w:left w:val="none" w:sz="0" w:space="0" w:color="auto"/>
        <w:bottom w:val="none" w:sz="0" w:space="0" w:color="auto"/>
        <w:right w:val="none" w:sz="0" w:space="0" w:color="auto"/>
      </w:divBdr>
    </w:div>
    <w:div w:id="290793969">
      <w:bodyDiv w:val="1"/>
      <w:marLeft w:val="0"/>
      <w:marRight w:val="0"/>
      <w:marTop w:val="0"/>
      <w:marBottom w:val="0"/>
      <w:divBdr>
        <w:top w:val="none" w:sz="0" w:space="0" w:color="auto"/>
        <w:left w:val="none" w:sz="0" w:space="0" w:color="auto"/>
        <w:bottom w:val="none" w:sz="0" w:space="0" w:color="auto"/>
        <w:right w:val="none" w:sz="0" w:space="0" w:color="auto"/>
      </w:divBdr>
    </w:div>
    <w:div w:id="351877776">
      <w:bodyDiv w:val="1"/>
      <w:marLeft w:val="0"/>
      <w:marRight w:val="0"/>
      <w:marTop w:val="0"/>
      <w:marBottom w:val="0"/>
      <w:divBdr>
        <w:top w:val="none" w:sz="0" w:space="0" w:color="auto"/>
        <w:left w:val="none" w:sz="0" w:space="0" w:color="auto"/>
        <w:bottom w:val="none" w:sz="0" w:space="0" w:color="auto"/>
        <w:right w:val="none" w:sz="0" w:space="0" w:color="auto"/>
      </w:divBdr>
    </w:div>
    <w:div w:id="353305589">
      <w:bodyDiv w:val="1"/>
      <w:marLeft w:val="0"/>
      <w:marRight w:val="0"/>
      <w:marTop w:val="0"/>
      <w:marBottom w:val="0"/>
      <w:divBdr>
        <w:top w:val="none" w:sz="0" w:space="0" w:color="auto"/>
        <w:left w:val="none" w:sz="0" w:space="0" w:color="auto"/>
        <w:bottom w:val="none" w:sz="0" w:space="0" w:color="auto"/>
        <w:right w:val="none" w:sz="0" w:space="0" w:color="auto"/>
      </w:divBdr>
    </w:div>
    <w:div w:id="433672943">
      <w:bodyDiv w:val="1"/>
      <w:marLeft w:val="0"/>
      <w:marRight w:val="0"/>
      <w:marTop w:val="0"/>
      <w:marBottom w:val="0"/>
      <w:divBdr>
        <w:top w:val="none" w:sz="0" w:space="0" w:color="auto"/>
        <w:left w:val="none" w:sz="0" w:space="0" w:color="auto"/>
        <w:bottom w:val="none" w:sz="0" w:space="0" w:color="auto"/>
        <w:right w:val="none" w:sz="0" w:space="0" w:color="auto"/>
      </w:divBdr>
    </w:div>
    <w:div w:id="447823558">
      <w:bodyDiv w:val="1"/>
      <w:marLeft w:val="0"/>
      <w:marRight w:val="0"/>
      <w:marTop w:val="0"/>
      <w:marBottom w:val="0"/>
      <w:divBdr>
        <w:top w:val="none" w:sz="0" w:space="0" w:color="auto"/>
        <w:left w:val="none" w:sz="0" w:space="0" w:color="auto"/>
        <w:bottom w:val="none" w:sz="0" w:space="0" w:color="auto"/>
        <w:right w:val="none" w:sz="0" w:space="0" w:color="auto"/>
      </w:divBdr>
      <w:divsChild>
        <w:div w:id="2122333349">
          <w:marLeft w:val="0"/>
          <w:marRight w:val="0"/>
          <w:marTop w:val="0"/>
          <w:marBottom w:val="0"/>
          <w:divBdr>
            <w:top w:val="none" w:sz="0" w:space="0" w:color="auto"/>
            <w:left w:val="none" w:sz="0" w:space="0" w:color="auto"/>
            <w:bottom w:val="none" w:sz="0" w:space="0" w:color="auto"/>
            <w:right w:val="none" w:sz="0" w:space="0" w:color="auto"/>
          </w:divBdr>
          <w:divsChild>
            <w:div w:id="954947517">
              <w:marLeft w:val="0"/>
              <w:marRight w:val="0"/>
              <w:marTop w:val="0"/>
              <w:marBottom w:val="0"/>
              <w:divBdr>
                <w:top w:val="none" w:sz="0" w:space="0" w:color="auto"/>
                <w:left w:val="none" w:sz="0" w:space="0" w:color="auto"/>
                <w:bottom w:val="none" w:sz="0" w:space="0" w:color="auto"/>
                <w:right w:val="none" w:sz="0" w:space="0" w:color="auto"/>
              </w:divBdr>
              <w:divsChild>
                <w:div w:id="376857054">
                  <w:marLeft w:val="0"/>
                  <w:marRight w:val="0"/>
                  <w:marTop w:val="0"/>
                  <w:marBottom w:val="0"/>
                  <w:divBdr>
                    <w:top w:val="none" w:sz="0" w:space="0" w:color="auto"/>
                    <w:left w:val="none" w:sz="0" w:space="0" w:color="auto"/>
                    <w:bottom w:val="none" w:sz="0" w:space="0" w:color="auto"/>
                    <w:right w:val="none" w:sz="0" w:space="0" w:color="auto"/>
                  </w:divBdr>
                  <w:divsChild>
                    <w:div w:id="2005620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781758">
      <w:bodyDiv w:val="1"/>
      <w:marLeft w:val="0"/>
      <w:marRight w:val="0"/>
      <w:marTop w:val="0"/>
      <w:marBottom w:val="0"/>
      <w:divBdr>
        <w:top w:val="none" w:sz="0" w:space="0" w:color="auto"/>
        <w:left w:val="none" w:sz="0" w:space="0" w:color="auto"/>
        <w:bottom w:val="none" w:sz="0" w:space="0" w:color="auto"/>
        <w:right w:val="none" w:sz="0" w:space="0" w:color="auto"/>
      </w:divBdr>
    </w:div>
    <w:div w:id="479153167">
      <w:bodyDiv w:val="1"/>
      <w:marLeft w:val="0"/>
      <w:marRight w:val="0"/>
      <w:marTop w:val="0"/>
      <w:marBottom w:val="0"/>
      <w:divBdr>
        <w:top w:val="none" w:sz="0" w:space="0" w:color="auto"/>
        <w:left w:val="none" w:sz="0" w:space="0" w:color="auto"/>
        <w:bottom w:val="none" w:sz="0" w:space="0" w:color="auto"/>
        <w:right w:val="none" w:sz="0" w:space="0" w:color="auto"/>
      </w:divBdr>
    </w:div>
    <w:div w:id="483425498">
      <w:bodyDiv w:val="1"/>
      <w:marLeft w:val="0"/>
      <w:marRight w:val="0"/>
      <w:marTop w:val="0"/>
      <w:marBottom w:val="0"/>
      <w:divBdr>
        <w:top w:val="none" w:sz="0" w:space="0" w:color="auto"/>
        <w:left w:val="none" w:sz="0" w:space="0" w:color="auto"/>
        <w:bottom w:val="none" w:sz="0" w:space="0" w:color="auto"/>
        <w:right w:val="none" w:sz="0" w:space="0" w:color="auto"/>
      </w:divBdr>
    </w:div>
    <w:div w:id="483663322">
      <w:bodyDiv w:val="1"/>
      <w:marLeft w:val="0"/>
      <w:marRight w:val="0"/>
      <w:marTop w:val="0"/>
      <w:marBottom w:val="0"/>
      <w:divBdr>
        <w:top w:val="none" w:sz="0" w:space="0" w:color="auto"/>
        <w:left w:val="none" w:sz="0" w:space="0" w:color="auto"/>
        <w:bottom w:val="none" w:sz="0" w:space="0" w:color="auto"/>
        <w:right w:val="none" w:sz="0" w:space="0" w:color="auto"/>
      </w:divBdr>
    </w:div>
    <w:div w:id="545025759">
      <w:bodyDiv w:val="1"/>
      <w:marLeft w:val="0"/>
      <w:marRight w:val="0"/>
      <w:marTop w:val="0"/>
      <w:marBottom w:val="0"/>
      <w:divBdr>
        <w:top w:val="none" w:sz="0" w:space="0" w:color="auto"/>
        <w:left w:val="none" w:sz="0" w:space="0" w:color="auto"/>
        <w:bottom w:val="none" w:sz="0" w:space="0" w:color="auto"/>
        <w:right w:val="none" w:sz="0" w:space="0" w:color="auto"/>
      </w:divBdr>
    </w:div>
    <w:div w:id="580137708">
      <w:bodyDiv w:val="1"/>
      <w:marLeft w:val="0"/>
      <w:marRight w:val="0"/>
      <w:marTop w:val="0"/>
      <w:marBottom w:val="0"/>
      <w:divBdr>
        <w:top w:val="none" w:sz="0" w:space="0" w:color="auto"/>
        <w:left w:val="none" w:sz="0" w:space="0" w:color="auto"/>
        <w:bottom w:val="none" w:sz="0" w:space="0" w:color="auto"/>
        <w:right w:val="none" w:sz="0" w:space="0" w:color="auto"/>
      </w:divBdr>
    </w:div>
    <w:div w:id="588663459">
      <w:bodyDiv w:val="1"/>
      <w:marLeft w:val="0"/>
      <w:marRight w:val="0"/>
      <w:marTop w:val="0"/>
      <w:marBottom w:val="0"/>
      <w:divBdr>
        <w:top w:val="none" w:sz="0" w:space="0" w:color="auto"/>
        <w:left w:val="none" w:sz="0" w:space="0" w:color="auto"/>
        <w:bottom w:val="none" w:sz="0" w:space="0" w:color="auto"/>
        <w:right w:val="none" w:sz="0" w:space="0" w:color="auto"/>
      </w:divBdr>
      <w:divsChild>
        <w:div w:id="1856843213">
          <w:marLeft w:val="0"/>
          <w:marRight w:val="0"/>
          <w:marTop w:val="0"/>
          <w:marBottom w:val="0"/>
          <w:divBdr>
            <w:top w:val="none" w:sz="0" w:space="0" w:color="auto"/>
            <w:left w:val="none" w:sz="0" w:space="0" w:color="auto"/>
            <w:bottom w:val="none" w:sz="0" w:space="0" w:color="auto"/>
            <w:right w:val="none" w:sz="0" w:space="0" w:color="auto"/>
          </w:divBdr>
        </w:div>
        <w:div w:id="385759907">
          <w:marLeft w:val="0"/>
          <w:marRight w:val="0"/>
          <w:marTop w:val="0"/>
          <w:marBottom w:val="0"/>
          <w:divBdr>
            <w:top w:val="none" w:sz="0" w:space="0" w:color="auto"/>
            <w:left w:val="none" w:sz="0" w:space="0" w:color="auto"/>
            <w:bottom w:val="none" w:sz="0" w:space="0" w:color="auto"/>
            <w:right w:val="none" w:sz="0" w:space="0" w:color="auto"/>
          </w:divBdr>
        </w:div>
        <w:div w:id="292752976">
          <w:marLeft w:val="0"/>
          <w:marRight w:val="0"/>
          <w:marTop w:val="0"/>
          <w:marBottom w:val="0"/>
          <w:divBdr>
            <w:top w:val="none" w:sz="0" w:space="0" w:color="auto"/>
            <w:left w:val="none" w:sz="0" w:space="0" w:color="auto"/>
            <w:bottom w:val="none" w:sz="0" w:space="0" w:color="auto"/>
            <w:right w:val="none" w:sz="0" w:space="0" w:color="auto"/>
          </w:divBdr>
        </w:div>
      </w:divsChild>
    </w:div>
    <w:div w:id="599610746">
      <w:bodyDiv w:val="1"/>
      <w:marLeft w:val="0"/>
      <w:marRight w:val="0"/>
      <w:marTop w:val="0"/>
      <w:marBottom w:val="0"/>
      <w:divBdr>
        <w:top w:val="none" w:sz="0" w:space="0" w:color="auto"/>
        <w:left w:val="none" w:sz="0" w:space="0" w:color="auto"/>
        <w:bottom w:val="none" w:sz="0" w:space="0" w:color="auto"/>
        <w:right w:val="none" w:sz="0" w:space="0" w:color="auto"/>
      </w:divBdr>
      <w:divsChild>
        <w:div w:id="927235042">
          <w:marLeft w:val="0"/>
          <w:marRight w:val="0"/>
          <w:marTop w:val="0"/>
          <w:marBottom w:val="0"/>
          <w:divBdr>
            <w:top w:val="none" w:sz="0" w:space="0" w:color="auto"/>
            <w:left w:val="none" w:sz="0" w:space="0" w:color="auto"/>
            <w:bottom w:val="none" w:sz="0" w:space="0" w:color="auto"/>
            <w:right w:val="none" w:sz="0" w:space="0" w:color="auto"/>
          </w:divBdr>
        </w:div>
        <w:div w:id="1239749349">
          <w:marLeft w:val="0"/>
          <w:marRight w:val="0"/>
          <w:marTop w:val="0"/>
          <w:marBottom w:val="0"/>
          <w:divBdr>
            <w:top w:val="none" w:sz="0" w:space="0" w:color="auto"/>
            <w:left w:val="none" w:sz="0" w:space="0" w:color="auto"/>
            <w:bottom w:val="none" w:sz="0" w:space="0" w:color="auto"/>
            <w:right w:val="none" w:sz="0" w:space="0" w:color="auto"/>
          </w:divBdr>
        </w:div>
        <w:div w:id="1630817666">
          <w:marLeft w:val="0"/>
          <w:marRight w:val="0"/>
          <w:marTop w:val="0"/>
          <w:marBottom w:val="0"/>
          <w:divBdr>
            <w:top w:val="none" w:sz="0" w:space="0" w:color="auto"/>
            <w:left w:val="none" w:sz="0" w:space="0" w:color="auto"/>
            <w:bottom w:val="none" w:sz="0" w:space="0" w:color="auto"/>
            <w:right w:val="none" w:sz="0" w:space="0" w:color="auto"/>
          </w:divBdr>
        </w:div>
      </w:divsChild>
    </w:div>
    <w:div w:id="611478433">
      <w:bodyDiv w:val="1"/>
      <w:marLeft w:val="0"/>
      <w:marRight w:val="0"/>
      <w:marTop w:val="0"/>
      <w:marBottom w:val="0"/>
      <w:divBdr>
        <w:top w:val="none" w:sz="0" w:space="0" w:color="auto"/>
        <w:left w:val="none" w:sz="0" w:space="0" w:color="auto"/>
        <w:bottom w:val="none" w:sz="0" w:space="0" w:color="auto"/>
        <w:right w:val="none" w:sz="0" w:space="0" w:color="auto"/>
      </w:divBdr>
    </w:div>
    <w:div w:id="631255349">
      <w:bodyDiv w:val="1"/>
      <w:marLeft w:val="0"/>
      <w:marRight w:val="0"/>
      <w:marTop w:val="0"/>
      <w:marBottom w:val="0"/>
      <w:divBdr>
        <w:top w:val="none" w:sz="0" w:space="0" w:color="auto"/>
        <w:left w:val="none" w:sz="0" w:space="0" w:color="auto"/>
        <w:bottom w:val="none" w:sz="0" w:space="0" w:color="auto"/>
        <w:right w:val="none" w:sz="0" w:space="0" w:color="auto"/>
      </w:divBdr>
    </w:div>
    <w:div w:id="642779805">
      <w:bodyDiv w:val="1"/>
      <w:marLeft w:val="0"/>
      <w:marRight w:val="0"/>
      <w:marTop w:val="0"/>
      <w:marBottom w:val="0"/>
      <w:divBdr>
        <w:top w:val="none" w:sz="0" w:space="0" w:color="auto"/>
        <w:left w:val="none" w:sz="0" w:space="0" w:color="auto"/>
        <w:bottom w:val="none" w:sz="0" w:space="0" w:color="auto"/>
        <w:right w:val="none" w:sz="0" w:space="0" w:color="auto"/>
      </w:divBdr>
    </w:div>
    <w:div w:id="688023277">
      <w:bodyDiv w:val="1"/>
      <w:marLeft w:val="0"/>
      <w:marRight w:val="0"/>
      <w:marTop w:val="0"/>
      <w:marBottom w:val="0"/>
      <w:divBdr>
        <w:top w:val="none" w:sz="0" w:space="0" w:color="auto"/>
        <w:left w:val="none" w:sz="0" w:space="0" w:color="auto"/>
        <w:bottom w:val="none" w:sz="0" w:space="0" w:color="auto"/>
        <w:right w:val="none" w:sz="0" w:space="0" w:color="auto"/>
      </w:divBdr>
      <w:divsChild>
        <w:div w:id="2104259246">
          <w:marLeft w:val="0"/>
          <w:marRight w:val="0"/>
          <w:marTop w:val="0"/>
          <w:marBottom w:val="0"/>
          <w:divBdr>
            <w:top w:val="none" w:sz="0" w:space="0" w:color="auto"/>
            <w:left w:val="none" w:sz="0" w:space="0" w:color="auto"/>
            <w:bottom w:val="none" w:sz="0" w:space="0" w:color="auto"/>
            <w:right w:val="none" w:sz="0" w:space="0" w:color="auto"/>
          </w:divBdr>
        </w:div>
      </w:divsChild>
    </w:div>
    <w:div w:id="701321653">
      <w:bodyDiv w:val="1"/>
      <w:marLeft w:val="0"/>
      <w:marRight w:val="0"/>
      <w:marTop w:val="0"/>
      <w:marBottom w:val="0"/>
      <w:divBdr>
        <w:top w:val="none" w:sz="0" w:space="0" w:color="auto"/>
        <w:left w:val="none" w:sz="0" w:space="0" w:color="auto"/>
        <w:bottom w:val="none" w:sz="0" w:space="0" w:color="auto"/>
        <w:right w:val="none" w:sz="0" w:space="0" w:color="auto"/>
      </w:divBdr>
      <w:divsChild>
        <w:div w:id="1876039896">
          <w:marLeft w:val="0"/>
          <w:marRight w:val="0"/>
          <w:marTop w:val="0"/>
          <w:marBottom w:val="0"/>
          <w:divBdr>
            <w:top w:val="none" w:sz="0" w:space="0" w:color="auto"/>
            <w:left w:val="none" w:sz="0" w:space="0" w:color="auto"/>
            <w:bottom w:val="none" w:sz="0" w:space="0" w:color="auto"/>
            <w:right w:val="none" w:sz="0" w:space="0" w:color="auto"/>
          </w:divBdr>
          <w:divsChild>
            <w:div w:id="729809403">
              <w:marLeft w:val="0"/>
              <w:marRight w:val="0"/>
              <w:marTop w:val="0"/>
              <w:marBottom w:val="0"/>
              <w:divBdr>
                <w:top w:val="none" w:sz="0" w:space="0" w:color="auto"/>
                <w:left w:val="none" w:sz="0" w:space="0" w:color="auto"/>
                <w:bottom w:val="none" w:sz="0" w:space="0" w:color="auto"/>
                <w:right w:val="none" w:sz="0" w:space="0" w:color="auto"/>
              </w:divBdr>
              <w:divsChild>
                <w:div w:id="1129666460">
                  <w:marLeft w:val="0"/>
                  <w:marRight w:val="0"/>
                  <w:marTop w:val="0"/>
                  <w:marBottom w:val="0"/>
                  <w:divBdr>
                    <w:top w:val="none" w:sz="0" w:space="0" w:color="auto"/>
                    <w:left w:val="none" w:sz="0" w:space="0" w:color="auto"/>
                    <w:bottom w:val="none" w:sz="0" w:space="0" w:color="auto"/>
                    <w:right w:val="none" w:sz="0" w:space="0" w:color="auto"/>
                  </w:divBdr>
                  <w:divsChild>
                    <w:div w:id="23628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5718393">
      <w:bodyDiv w:val="1"/>
      <w:marLeft w:val="0"/>
      <w:marRight w:val="0"/>
      <w:marTop w:val="0"/>
      <w:marBottom w:val="0"/>
      <w:divBdr>
        <w:top w:val="none" w:sz="0" w:space="0" w:color="auto"/>
        <w:left w:val="none" w:sz="0" w:space="0" w:color="auto"/>
        <w:bottom w:val="none" w:sz="0" w:space="0" w:color="auto"/>
        <w:right w:val="none" w:sz="0" w:space="0" w:color="auto"/>
      </w:divBdr>
    </w:div>
    <w:div w:id="718553610">
      <w:bodyDiv w:val="1"/>
      <w:marLeft w:val="0"/>
      <w:marRight w:val="0"/>
      <w:marTop w:val="0"/>
      <w:marBottom w:val="0"/>
      <w:divBdr>
        <w:top w:val="none" w:sz="0" w:space="0" w:color="auto"/>
        <w:left w:val="none" w:sz="0" w:space="0" w:color="auto"/>
        <w:bottom w:val="none" w:sz="0" w:space="0" w:color="auto"/>
        <w:right w:val="none" w:sz="0" w:space="0" w:color="auto"/>
      </w:divBdr>
    </w:div>
    <w:div w:id="743724741">
      <w:bodyDiv w:val="1"/>
      <w:marLeft w:val="0"/>
      <w:marRight w:val="0"/>
      <w:marTop w:val="0"/>
      <w:marBottom w:val="0"/>
      <w:divBdr>
        <w:top w:val="none" w:sz="0" w:space="0" w:color="auto"/>
        <w:left w:val="none" w:sz="0" w:space="0" w:color="auto"/>
        <w:bottom w:val="none" w:sz="0" w:space="0" w:color="auto"/>
        <w:right w:val="none" w:sz="0" w:space="0" w:color="auto"/>
      </w:divBdr>
    </w:div>
    <w:div w:id="750198552">
      <w:bodyDiv w:val="1"/>
      <w:marLeft w:val="0"/>
      <w:marRight w:val="0"/>
      <w:marTop w:val="0"/>
      <w:marBottom w:val="0"/>
      <w:divBdr>
        <w:top w:val="none" w:sz="0" w:space="0" w:color="auto"/>
        <w:left w:val="none" w:sz="0" w:space="0" w:color="auto"/>
        <w:bottom w:val="none" w:sz="0" w:space="0" w:color="auto"/>
        <w:right w:val="none" w:sz="0" w:space="0" w:color="auto"/>
      </w:divBdr>
    </w:div>
    <w:div w:id="805243184">
      <w:bodyDiv w:val="1"/>
      <w:marLeft w:val="0"/>
      <w:marRight w:val="0"/>
      <w:marTop w:val="0"/>
      <w:marBottom w:val="0"/>
      <w:divBdr>
        <w:top w:val="none" w:sz="0" w:space="0" w:color="auto"/>
        <w:left w:val="none" w:sz="0" w:space="0" w:color="auto"/>
        <w:bottom w:val="none" w:sz="0" w:space="0" w:color="auto"/>
        <w:right w:val="none" w:sz="0" w:space="0" w:color="auto"/>
      </w:divBdr>
    </w:div>
    <w:div w:id="819658773">
      <w:bodyDiv w:val="1"/>
      <w:marLeft w:val="0"/>
      <w:marRight w:val="0"/>
      <w:marTop w:val="0"/>
      <w:marBottom w:val="0"/>
      <w:divBdr>
        <w:top w:val="none" w:sz="0" w:space="0" w:color="auto"/>
        <w:left w:val="none" w:sz="0" w:space="0" w:color="auto"/>
        <w:bottom w:val="none" w:sz="0" w:space="0" w:color="auto"/>
        <w:right w:val="none" w:sz="0" w:space="0" w:color="auto"/>
      </w:divBdr>
    </w:div>
    <w:div w:id="841160264">
      <w:bodyDiv w:val="1"/>
      <w:marLeft w:val="0"/>
      <w:marRight w:val="0"/>
      <w:marTop w:val="0"/>
      <w:marBottom w:val="0"/>
      <w:divBdr>
        <w:top w:val="none" w:sz="0" w:space="0" w:color="auto"/>
        <w:left w:val="none" w:sz="0" w:space="0" w:color="auto"/>
        <w:bottom w:val="none" w:sz="0" w:space="0" w:color="auto"/>
        <w:right w:val="none" w:sz="0" w:space="0" w:color="auto"/>
      </w:divBdr>
    </w:div>
    <w:div w:id="855652156">
      <w:bodyDiv w:val="1"/>
      <w:marLeft w:val="0"/>
      <w:marRight w:val="0"/>
      <w:marTop w:val="0"/>
      <w:marBottom w:val="0"/>
      <w:divBdr>
        <w:top w:val="none" w:sz="0" w:space="0" w:color="auto"/>
        <w:left w:val="none" w:sz="0" w:space="0" w:color="auto"/>
        <w:bottom w:val="none" w:sz="0" w:space="0" w:color="auto"/>
        <w:right w:val="none" w:sz="0" w:space="0" w:color="auto"/>
      </w:divBdr>
    </w:div>
    <w:div w:id="868109857">
      <w:bodyDiv w:val="1"/>
      <w:marLeft w:val="0"/>
      <w:marRight w:val="0"/>
      <w:marTop w:val="0"/>
      <w:marBottom w:val="0"/>
      <w:divBdr>
        <w:top w:val="none" w:sz="0" w:space="0" w:color="auto"/>
        <w:left w:val="none" w:sz="0" w:space="0" w:color="auto"/>
        <w:bottom w:val="none" w:sz="0" w:space="0" w:color="auto"/>
        <w:right w:val="none" w:sz="0" w:space="0" w:color="auto"/>
      </w:divBdr>
    </w:div>
    <w:div w:id="920404819">
      <w:bodyDiv w:val="1"/>
      <w:marLeft w:val="0"/>
      <w:marRight w:val="0"/>
      <w:marTop w:val="0"/>
      <w:marBottom w:val="0"/>
      <w:divBdr>
        <w:top w:val="none" w:sz="0" w:space="0" w:color="auto"/>
        <w:left w:val="none" w:sz="0" w:space="0" w:color="auto"/>
        <w:bottom w:val="none" w:sz="0" w:space="0" w:color="auto"/>
        <w:right w:val="none" w:sz="0" w:space="0" w:color="auto"/>
      </w:divBdr>
    </w:div>
    <w:div w:id="970018874">
      <w:bodyDiv w:val="1"/>
      <w:marLeft w:val="0"/>
      <w:marRight w:val="0"/>
      <w:marTop w:val="0"/>
      <w:marBottom w:val="0"/>
      <w:divBdr>
        <w:top w:val="none" w:sz="0" w:space="0" w:color="auto"/>
        <w:left w:val="none" w:sz="0" w:space="0" w:color="auto"/>
        <w:bottom w:val="none" w:sz="0" w:space="0" w:color="auto"/>
        <w:right w:val="none" w:sz="0" w:space="0" w:color="auto"/>
      </w:divBdr>
    </w:div>
    <w:div w:id="991908485">
      <w:bodyDiv w:val="1"/>
      <w:marLeft w:val="0"/>
      <w:marRight w:val="0"/>
      <w:marTop w:val="0"/>
      <w:marBottom w:val="0"/>
      <w:divBdr>
        <w:top w:val="none" w:sz="0" w:space="0" w:color="auto"/>
        <w:left w:val="none" w:sz="0" w:space="0" w:color="auto"/>
        <w:bottom w:val="none" w:sz="0" w:space="0" w:color="auto"/>
        <w:right w:val="none" w:sz="0" w:space="0" w:color="auto"/>
      </w:divBdr>
    </w:div>
    <w:div w:id="998966848">
      <w:bodyDiv w:val="1"/>
      <w:marLeft w:val="0"/>
      <w:marRight w:val="0"/>
      <w:marTop w:val="0"/>
      <w:marBottom w:val="0"/>
      <w:divBdr>
        <w:top w:val="none" w:sz="0" w:space="0" w:color="auto"/>
        <w:left w:val="none" w:sz="0" w:space="0" w:color="auto"/>
        <w:bottom w:val="none" w:sz="0" w:space="0" w:color="auto"/>
        <w:right w:val="none" w:sz="0" w:space="0" w:color="auto"/>
      </w:divBdr>
    </w:div>
    <w:div w:id="1038361245">
      <w:bodyDiv w:val="1"/>
      <w:marLeft w:val="0"/>
      <w:marRight w:val="0"/>
      <w:marTop w:val="0"/>
      <w:marBottom w:val="0"/>
      <w:divBdr>
        <w:top w:val="none" w:sz="0" w:space="0" w:color="auto"/>
        <w:left w:val="none" w:sz="0" w:space="0" w:color="auto"/>
        <w:bottom w:val="none" w:sz="0" w:space="0" w:color="auto"/>
        <w:right w:val="none" w:sz="0" w:space="0" w:color="auto"/>
      </w:divBdr>
    </w:div>
    <w:div w:id="1089422540">
      <w:bodyDiv w:val="1"/>
      <w:marLeft w:val="0"/>
      <w:marRight w:val="0"/>
      <w:marTop w:val="0"/>
      <w:marBottom w:val="0"/>
      <w:divBdr>
        <w:top w:val="none" w:sz="0" w:space="0" w:color="auto"/>
        <w:left w:val="none" w:sz="0" w:space="0" w:color="auto"/>
        <w:bottom w:val="none" w:sz="0" w:space="0" w:color="auto"/>
        <w:right w:val="none" w:sz="0" w:space="0" w:color="auto"/>
      </w:divBdr>
    </w:div>
    <w:div w:id="1101610544">
      <w:bodyDiv w:val="1"/>
      <w:marLeft w:val="0"/>
      <w:marRight w:val="0"/>
      <w:marTop w:val="0"/>
      <w:marBottom w:val="0"/>
      <w:divBdr>
        <w:top w:val="none" w:sz="0" w:space="0" w:color="auto"/>
        <w:left w:val="none" w:sz="0" w:space="0" w:color="auto"/>
        <w:bottom w:val="none" w:sz="0" w:space="0" w:color="auto"/>
        <w:right w:val="none" w:sz="0" w:space="0" w:color="auto"/>
      </w:divBdr>
    </w:div>
    <w:div w:id="1107308505">
      <w:bodyDiv w:val="1"/>
      <w:marLeft w:val="0"/>
      <w:marRight w:val="0"/>
      <w:marTop w:val="0"/>
      <w:marBottom w:val="0"/>
      <w:divBdr>
        <w:top w:val="none" w:sz="0" w:space="0" w:color="auto"/>
        <w:left w:val="none" w:sz="0" w:space="0" w:color="auto"/>
        <w:bottom w:val="none" w:sz="0" w:space="0" w:color="auto"/>
        <w:right w:val="none" w:sz="0" w:space="0" w:color="auto"/>
      </w:divBdr>
    </w:div>
    <w:div w:id="1125852296">
      <w:bodyDiv w:val="1"/>
      <w:marLeft w:val="0"/>
      <w:marRight w:val="0"/>
      <w:marTop w:val="0"/>
      <w:marBottom w:val="0"/>
      <w:divBdr>
        <w:top w:val="none" w:sz="0" w:space="0" w:color="auto"/>
        <w:left w:val="none" w:sz="0" w:space="0" w:color="auto"/>
        <w:bottom w:val="none" w:sz="0" w:space="0" w:color="auto"/>
        <w:right w:val="none" w:sz="0" w:space="0" w:color="auto"/>
      </w:divBdr>
    </w:div>
    <w:div w:id="1141927622">
      <w:bodyDiv w:val="1"/>
      <w:marLeft w:val="0"/>
      <w:marRight w:val="0"/>
      <w:marTop w:val="0"/>
      <w:marBottom w:val="0"/>
      <w:divBdr>
        <w:top w:val="none" w:sz="0" w:space="0" w:color="auto"/>
        <w:left w:val="none" w:sz="0" w:space="0" w:color="auto"/>
        <w:bottom w:val="none" w:sz="0" w:space="0" w:color="auto"/>
        <w:right w:val="none" w:sz="0" w:space="0" w:color="auto"/>
      </w:divBdr>
    </w:div>
    <w:div w:id="1162622341">
      <w:bodyDiv w:val="1"/>
      <w:marLeft w:val="0"/>
      <w:marRight w:val="0"/>
      <w:marTop w:val="0"/>
      <w:marBottom w:val="0"/>
      <w:divBdr>
        <w:top w:val="none" w:sz="0" w:space="0" w:color="auto"/>
        <w:left w:val="none" w:sz="0" w:space="0" w:color="auto"/>
        <w:bottom w:val="none" w:sz="0" w:space="0" w:color="auto"/>
        <w:right w:val="none" w:sz="0" w:space="0" w:color="auto"/>
      </w:divBdr>
    </w:div>
    <w:div w:id="1180778660">
      <w:bodyDiv w:val="1"/>
      <w:marLeft w:val="0"/>
      <w:marRight w:val="0"/>
      <w:marTop w:val="0"/>
      <w:marBottom w:val="0"/>
      <w:divBdr>
        <w:top w:val="none" w:sz="0" w:space="0" w:color="auto"/>
        <w:left w:val="none" w:sz="0" w:space="0" w:color="auto"/>
        <w:bottom w:val="none" w:sz="0" w:space="0" w:color="auto"/>
        <w:right w:val="none" w:sz="0" w:space="0" w:color="auto"/>
      </w:divBdr>
    </w:div>
    <w:div w:id="1216116985">
      <w:bodyDiv w:val="1"/>
      <w:marLeft w:val="0"/>
      <w:marRight w:val="0"/>
      <w:marTop w:val="0"/>
      <w:marBottom w:val="0"/>
      <w:divBdr>
        <w:top w:val="none" w:sz="0" w:space="0" w:color="auto"/>
        <w:left w:val="none" w:sz="0" w:space="0" w:color="auto"/>
        <w:bottom w:val="none" w:sz="0" w:space="0" w:color="auto"/>
        <w:right w:val="none" w:sz="0" w:space="0" w:color="auto"/>
      </w:divBdr>
    </w:div>
    <w:div w:id="1229613960">
      <w:bodyDiv w:val="1"/>
      <w:marLeft w:val="0"/>
      <w:marRight w:val="0"/>
      <w:marTop w:val="0"/>
      <w:marBottom w:val="0"/>
      <w:divBdr>
        <w:top w:val="none" w:sz="0" w:space="0" w:color="auto"/>
        <w:left w:val="none" w:sz="0" w:space="0" w:color="auto"/>
        <w:bottom w:val="none" w:sz="0" w:space="0" w:color="auto"/>
        <w:right w:val="none" w:sz="0" w:space="0" w:color="auto"/>
      </w:divBdr>
    </w:div>
    <w:div w:id="1273629704">
      <w:bodyDiv w:val="1"/>
      <w:marLeft w:val="0"/>
      <w:marRight w:val="0"/>
      <w:marTop w:val="0"/>
      <w:marBottom w:val="0"/>
      <w:divBdr>
        <w:top w:val="none" w:sz="0" w:space="0" w:color="auto"/>
        <w:left w:val="none" w:sz="0" w:space="0" w:color="auto"/>
        <w:bottom w:val="none" w:sz="0" w:space="0" w:color="auto"/>
        <w:right w:val="none" w:sz="0" w:space="0" w:color="auto"/>
      </w:divBdr>
    </w:div>
    <w:div w:id="1279918732">
      <w:bodyDiv w:val="1"/>
      <w:marLeft w:val="0"/>
      <w:marRight w:val="0"/>
      <w:marTop w:val="0"/>
      <w:marBottom w:val="0"/>
      <w:divBdr>
        <w:top w:val="none" w:sz="0" w:space="0" w:color="auto"/>
        <w:left w:val="none" w:sz="0" w:space="0" w:color="auto"/>
        <w:bottom w:val="none" w:sz="0" w:space="0" w:color="auto"/>
        <w:right w:val="none" w:sz="0" w:space="0" w:color="auto"/>
      </w:divBdr>
    </w:div>
    <w:div w:id="1298293204">
      <w:bodyDiv w:val="1"/>
      <w:marLeft w:val="0"/>
      <w:marRight w:val="0"/>
      <w:marTop w:val="0"/>
      <w:marBottom w:val="0"/>
      <w:divBdr>
        <w:top w:val="none" w:sz="0" w:space="0" w:color="auto"/>
        <w:left w:val="none" w:sz="0" w:space="0" w:color="auto"/>
        <w:bottom w:val="none" w:sz="0" w:space="0" w:color="auto"/>
        <w:right w:val="none" w:sz="0" w:space="0" w:color="auto"/>
      </w:divBdr>
    </w:div>
    <w:div w:id="1309675831">
      <w:bodyDiv w:val="1"/>
      <w:marLeft w:val="0"/>
      <w:marRight w:val="0"/>
      <w:marTop w:val="0"/>
      <w:marBottom w:val="0"/>
      <w:divBdr>
        <w:top w:val="none" w:sz="0" w:space="0" w:color="auto"/>
        <w:left w:val="none" w:sz="0" w:space="0" w:color="auto"/>
        <w:bottom w:val="none" w:sz="0" w:space="0" w:color="auto"/>
        <w:right w:val="none" w:sz="0" w:space="0" w:color="auto"/>
      </w:divBdr>
    </w:div>
    <w:div w:id="1311248156">
      <w:bodyDiv w:val="1"/>
      <w:marLeft w:val="0"/>
      <w:marRight w:val="0"/>
      <w:marTop w:val="0"/>
      <w:marBottom w:val="0"/>
      <w:divBdr>
        <w:top w:val="none" w:sz="0" w:space="0" w:color="auto"/>
        <w:left w:val="none" w:sz="0" w:space="0" w:color="auto"/>
        <w:bottom w:val="none" w:sz="0" w:space="0" w:color="auto"/>
        <w:right w:val="none" w:sz="0" w:space="0" w:color="auto"/>
      </w:divBdr>
    </w:div>
    <w:div w:id="1338120527">
      <w:bodyDiv w:val="1"/>
      <w:marLeft w:val="0"/>
      <w:marRight w:val="0"/>
      <w:marTop w:val="0"/>
      <w:marBottom w:val="0"/>
      <w:divBdr>
        <w:top w:val="none" w:sz="0" w:space="0" w:color="auto"/>
        <w:left w:val="none" w:sz="0" w:space="0" w:color="auto"/>
        <w:bottom w:val="none" w:sz="0" w:space="0" w:color="auto"/>
        <w:right w:val="none" w:sz="0" w:space="0" w:color="auto"/>
      </w:divBdr>
    </w:div>
    <w:div w:id="1379282384">
      <w:bodyDiv w:val="1"/>
      <w:marLeft w:val="0"/>
      <w:marRight w:val="0"/>
      <w:marTop w:val="0"/>
      <w:marBottom w:val="0"/>
      <w:divBdr>
        <w:top w:val="none" w:sz="0" w:space="0" w:color="auto"/>
        <w:left w:val="none" w:sz="0" w:space="0" w:color="auto"/>
        <w:bottom w:val="none" w:sz="0" w:space="0" w:color="auto"/>
        <w:right w:val="none" w:sz="0" w:space="0" w:color="auto"/>
      </w:divBdr>
      <w:divsChild>
        <w:div w:id="2040427720">
          <w:marLeft w:val="0"/>
          <w:marRight w:val="0"/>
          <w:marTop w:val="0"/>
          <w:marBottom w:val="0"/>
          <w:divBdr>
            <w:top w:val="none" w:sz="0" w:space="0" w:color="auto"/>
            <w:left w:val="none" w:sz="0" w:space="0" w:color="auto"/>
            <w:bottom w:val="none" w:sz="0" w:space="0" w:color="auto"/>
            <w:right w:val="none" w:sz="0" w:space="0" w:color="auto"/>
          </w:divBdr>
        </w:div>
        <w:div w:id="1419787807">
          <w:marLeft w:val="0"/>
          <w:marRight w:val="0"/>
          <w:marTop w:val="0"/>
          <w:marBottom w:val="0"/>
          <w:divBdr>
            <w:top w:val="none" w:sz="0" w:space="0" w:color="auto"/>
            <w:left w:val="none" w:sz="0" w:space="0" w:color="auto"/>
            <w:bottom w:val="none" w:sz="0" w:space="0" w:color="auto"/>
            <w:right w:val="none" w:sz="0" w:space="0" w:color="auto"/>
          </w:divBdr>
        </w:div>
        <w:div w:id="1120151156">
          <w:marLeft w:val="0"/>
          <w:marRight w:val="0"/>
          <w:marTop w:val="0"/>
          <w:marBottom w:val="0"/>
          <w:divBdr>
            <w:top w:val="none" w:sz="0" w:space="0" w:color="auto"/>
            <w:left w:val="none" w:sz="0" w:space="0" w:color="auto"/>
            <w:bottom w:val="none" w:sz="0" w:space="0" w:color="auto"/>
            <w:right w:val="none" w:sz="0" w:space="0" w:color="auto"/>
          </w:divBdr>
        </w:div>
      </w:divsChild>
    </w:div>
    <w:div w:id="1393693306">
      <w:bodyDiv w:val="1"/>
      <w:marLeft w:val="0"/>
      <w:marRight w:val="0"/>
      <w:marTop w:val="0"/>
      <w:marBottom w:val="0"/>
      <w:divBdr>
        <w:top w:val="none" w:sz="0" w:space="0" w:color="auto"/>
        <w:left w:val="none" w:sz="0" w:space="0" w:color="auto"/>
        <w:bottom w:val="none" w:sz="0" w:space="0" w:color="auto"/>
        <w:right w:val="none" w:sz="0" w:space="0" w:color="auto"/>
      </w:divBdr>
    </w:div>
    <w:div w:id="1404067352">
      <w:bodyDiv w:val="1"/>
      <w:marLeft w:val="0"/>
      <w:marRight w:val="0"/>
      <w:marTop w:val="0"/>
      <w:marBottom w:val="0"/>
      <w:divBdr>
        <w:top w:val="none" w:sz="0" w:space="0" w:color="auto"/>
        <w:left w:val="none" w:sz="0" w:space="0" w:color="auto"/>
        <w:bottom w:val="none" w:sz="0" w:space="0" w:color="auto"/>
        <w:right w:val="none" w:sz="0" w:space="0" w:color="auto"/>
      </w:divBdr>
    </w:div>
    <w:div w:id="1410735051">
      <w:bodyDiv w:val="1"/>
      <w:marLeft w:val="0"/>
      <w:marRight w:val="0"/>
      <w:marTop w:val="0"/>
      <w:marBottom w:val="0"/>
      <w:divBdr>
        <w:top w:val="none" w:sz="0" w:space="0" w:color="auto"/>
        <w:left w:val="none" w:sz="0" w:space="0" w:color="auto"/>
        <w:bottom w:val="none" w:sz="0" w:space="0" w:color="auto"/>
        <w:right w:val="none" w:sz="0" w:space="0" w:color="auto"/>
      </w:divBdr>
    </w:div>
    <w:div w:id="1462962954">
      <w:bodyDiv w:val="1"/>
      <w:marLeft w:val="0"/>
      <w:marRight w:val="0"/>
      <w:marTop w:val="0"/>
      <w:marBottom w:val="0"/>
      <w:divBdr>
        <w:top w:val="none" w:sz="0" w:space="0" w:color="auto"/>
        <w:left w:val="none" w:sz="0" w:space="0" w:color="auto"/>
        <w:bottom w:val="none" w:sz="0" w:space="0" w:color="auto"/>
        <w:right w:val="none" w:sz="0" w:space="0" w:color="auto"/>
      </w:divBdr>
    </w:div>
    <w:div w:id="1518501650">
      <w:bodyDiv w:val="1"/>
      <w:marLeft w:val="0"/>
      <w:marRight w:val="0"/>
      <w:marTop w:val="0"/>
      <w:marBottom w:val="0"/>
      <w:divBdr>
        <w:top w:val="none" w:sz="0" w:space="0" w:color="auto"/>
        <w:left w:val="none" w:sz="0" w:space="0" w:color="auto"/>
        <w:bottom w:val="none" w:sz="0" w:space="0" w:color="auto"/>
        <w:right w:val="none" w:sz="0" w:space="0" w:color="auto"/>
      </w:divBdr>
    </w:div>
    <w:div w:id="1537431729">
      <w:bodyDiv w:val="1"/>
      <w:marLeft w:val="0"/>
      <w:marRight w:val="0"/>
      <w:marTop w:val="0"/>
      <w:marBottom w:val="0"/>
      <w:divBdr>
        <w:top w:val="none" w:sz="0" w:space="0" w:color="auto"/>
        <w:left w:val="none" w:sz="0" w:space="0" w:color="auto"/>
        <w:bottom w:val="none" w:sz="0" w:space="0" w:color="auto"/>
        <w:right w:val="none" w:sz="0" w:space="0" w:color="auto"/>
      </w:divBdr>
    </w:div>
    <w:div w:id="1567034332">
      <w:bodyDiv w:val="1"/>
      <w:marLeft w:val="0"/>
      <w:marRight w:val="0"/>
      <w:marTop w:val="0"/>
      <w:marBottom w:val="0"/>
      <w:divBdr>
        <w:top w:val="none" w:sz="0" w:space="0" w:color="auto"/>
        <w:left w:val="none" w:sz="0" w:space="0" w:color="auto"/>
        <w:bottom w:val="none" w:sz="0" w:space="0" w:color="auto"/>
        <w:right w:val="none" w:sz="0" w:space="0" w:color="auto"/>
      </w:divBdr>
    </w:div>
    <w:div w:id="1621835646">
      <w:bodyDiv w:val="1"/>
      <w:marLeft w:val="0"/>
      <w:marRight w:val="0"/>
      <w:marTop w:val="0"/>
      <w:marBottom w:val="0"/>
      <w:divBdr>
        <w:top w:val="none" w:sz="0" w:space="0" w:color="auto"/>
        <w:left w:val="none" w:sz="0" w:space="0" w:color="auto"/>
        <w:bottom w:val="none" w:sz="0" w:space="0" w:color="auto"/>
        <w:right w:val="none" w:sz="0" w:space="0" w:color="auto"/>
      </w:divBdr>
    </w:div>
    <w:div w:id="1634557414">
      <w:bodyDiv w:val="1"/>
      <w:marLeft w:val="0"/>
      <w:marRight w:val="0"/>
      <w:marTop w:val="0"/>
      <w:marBottom w:val="0"/>
      <w:divBdr>
        <w:top w:val="none" w:sz="0" w:space="0" w:color="auto"/>
        <w:left w:val="none" w:sz="0" w:space="0" w:color="auto"/>
        <w:bottom w:val="none" w:sz="0" w:space="0" w:color="auto"/>
        <w:right w:val="none" w:sz="0" w:space="0" w:color="auto"/>
      </w:divBdr>
    </w:div>
    <w:div w:id="1666086970">
      <w:bodyDiv w:val="1"/>
      <w:marLeft w:val="0"/>
      <w:marRight w:val="0"/>
      <w:marTop w:val="0"/>
      <w:marBottom w:val="0"/>
      <w:divBdr>
        <w:top w:val="none" w:sz="0" w:space="0" w:color="auto"/>
        <w:left w:val="none" w:sz="0" w:space="0" w:color="auto"/>
        <w:bottom w:val="none" w:sz="0" w:space="0" w:color="auto"/>
        <w:right w:val="none" w:sz="0" w:space="0" w:color="auto"/>
      </w:divBdr>
    </w:div>
    <w:div w:id="1716418721">
      <w:bodyDiv w:val="1"/>
      <w:marLeft w:val="0"/>
      <w:marRight w:val="0"/>
      <w:marTop w:val="0"/>
      <w:marBottom w:val="0"/>
      <w:divBdr>
        <w:top w:val="none" w:sz="0" w:space="0" w:color="auto"/>
        <w:left w:val="none" w:sz="0" w:space="0" w:color="auto"/>
        <w:bottom w:val="none" w:sz="0" w:space="0" w:color="auto"/>
        <w:right w:val="none" w:sz="0" w:space="0" w:color="auto"/>
      </w:divBdr>
    </w:div>
    <w:div w:id="1758015621">
      <w:bodyDiv w:val="1"/>
      <w:marLeft w:val="0"/>
      <w:marRight w:val="0"/>
      <w:marTop w:val="0"/>
      <w:marBottom w:val="0"/>
      <w:divBdr>
        <w:top w:val="none" w:sz="0" w:space="0" w:color="auto"/>
        <w:left w:val="none" w:sz="0" w:space="0" w:color="auto"/>
        <w:bottom w:val="none" w:sz="0" w:space="0" w:color="auto"/>
        <w:right w:val="none" w:sz="0" w:space="0" w:color="auto"/>
      </w:divBdr>
      <w:divsChild>
        <w:div w:id="328412312">
          <w:marLeft w:val="0"/>
          <w:marRight w:val="0"/>
          <w:marTop w:val="0"/>
          <w:marBottom w:val="0"/>
          <w:divBdr>
            <w:top w:val="none" w:sz="0" w:space="0" w:color="auto"/>
            <w:left w:val="none" w:sz="0" w:space="0" w:color="auto"/>
            <w:bottom w:val="none" w:sz="0" w:space="0" w:color="auto"/>
            <w:right w:val="none" w:sz="0" w:space="0" w:color="auto"/>
          </w:divBdr>
        </w:div>
      </w:divsChild>
    </w:div>
    <w:div w:id="1761439754">
      <w:bodyDiv w:val="1"/>
      <w:marLeft w:val="0"/>
      <w:marRight w:val="0"/>
      <w:marTop w:val="0"/>
      <w:marBottom w:val="0"/>
      <w:divBdr>
        <w:top w:val="none" w:sz="0" w:space="0" w:color="auto"/>
        <w:left w:val="none" w:sz="0" w:space="0" w:color="auto"/>
        <w:bottom w:val="none" w:sz="0" w:space="0" w:color="auto"/>
        <w:right w:val="none" w:sz="0" w:space="0" w:color="auto"/>
      </w:divBdr>
    </w:div>
    <w:div w:id="1762020781">
      <w:bodyDiv w:val="1"/>
      <w:marLeft w:val="0"/>
      <w:marRight w:val="0"/>
      <w:marTop w:val="0"/>
      <w:marBottom w:val="0"/>
      <w:divBdr>
        <w:top w:val="none" w:sz="0" w:space="0" w:color="auto"/>
        <w:left w:val="none" w:sz="0" w:space="0" w:color="auto"/>
        <w:bottom w:val="none" w:sz="0" w:space="0" w:color="auto"/>
        <w:right w:val="none" w:sz="0" w:space="0" w:color="auto"/>
      </w:divBdr>
      <w:divsChild>
        <w:div w:id="1234895057">
          <w:marLeft w:val="0"/>
          <w:marRight w:val="0"/>
          <w:marTop w:val="0"/>
          <w:marBottom w:val="0"/>
          <w:divBdr>
            <w:top w:val="none" w:sz="0" w:space="0" w:color="auto"/>
            <w:left w:val="none" w:sz="0" w:space="0" w:color="auto"/>
            <w:bottom w:val="none" w:sz="0" w:space="0" w:color="auto"/>
            <w:right w:val="none" w:sz="0" w:space="0" w:color="auto"/>
          </w:divBdr>
        </w:div>
        <w:div w:id="1678729704">
          <w:marLeft w:val="0"/>
          <w:marRight w:val="0"/>
          <w:marTop w:val="0"/>
          <w:marBottom w:val="0"/>
          <w:divBdr>
            <w:top w:val="none" w:sz="0" w:space="0" w:color="auto"/>
            <w:left w:val="none" w:sz="0" w:space="0" w:color="auto"/>
            <w:bottom w:val="none" w:sz="0" w:space="0" w:color="auto"/>
            <w:right w:val="none" w:sz="0" w:space="0" w:color="auto"/>
          </w:divBdr>
        </w:div>
        <w:div w:id="554049220">
          <w:marLeft w:val="0"/>
          <w:marRight w:val="0"/>
          <w:marTop w:val="0"/>
          <w:marBottom w:val="0"/>
          <w:divBdr>
            <w:top w:val="none" w:sz="0" w:space="0" w:color="auto"/>
            <w:left w:val="none" w:sz="0" w:space="0" w:color="auto"/>
            <w:bottom w:val="none" w:sz="0" w:space="0" w:color="auto"/>
            <w:right w:val="none" w:sz="0" w:space="0" w:color="auto"/>
          </w:divBdr>
        </w:div>
      </w:divsChild>
    </w:div>
    <w:div w:id="1817335297">
      <w:bodyDiv w:val="1"/>
      <w:marLeft w:val="0"/>
      <w:marRight w:val="0"/>
      <w:marTop w:val="0"/>
      <w:marBottom w:val="0"/>
      <w:divBdr>
        <w:top w:val="none" w:sz="0" w:space="0" w:color="auto"/>
        <w:left w:val="none" w:sz="0" w:space="0" w:color="auto"/>
        <w:bottom w:val="none" w:sz="0" w:space="0" w:color="auto"/>
        <w:right w:val="none" w:sz="0" w:space="0" w:color="auto"/>
      </w:divBdr>
    </w:div>
    <w:div w:id="1870798811">
      <w:bodyDiv w:val="1"/>
      <w:marLeft w:val="0"/>
      <w:marRight w:val="0"/>
      <w:marTop w:val="0"/>
      <w:marBottom w:val="0"/>
      <w:divBdr>
        <w:top w:val="none" w:sz="0" w:space="0" w:color="auto"/>
        <w:left w:val="none" w:sz="0" w:space="0" w:color="auto"/>
        <w:bottom w:val="none" w:sz="0" w:space="0" w:color="auto"/>
        <w:right w:val="none" w:sz="0" w:space="0" w:color="auto"/>
      </w:divBdr>
    </w:div>
    <w:div w:id="1878084507">
      <w:bodyDiv w:val="1"/>
      <w:marLeft w:val="0"/>
      <w:marRight w:val="0"/>
      <w:marTop w:val="0"/>
      <w:marBottom w:val="0"/>
      <w:divBdr>
        <w:top w:val="none" w:sz="0" w:space="0" w:color="auto"/>
        <w:left w:val="none" w:sz="0" w:space="0" w:color="auto"/>
        <w:bottom w:val="none" w:sz="0" w:space="0" w:color="auto"/>
        <w:right w:val="none" w:sz="0" w:space="0" w:color="auto"/>
      </w:divBdr>
    </w:div>
    <w:div w:id="1940990841">
      <w:bodyDiv w:val="1"/>
      <w:marLeft w:val="0"/>
      <w:marRight w:val="0"/>
      <w:marTop w:val="0"/>
      <w:marBottom w:val="0"/>
      <w:divBdr>
        <w:top w:val="none" w:sz="0" w:space="0" w:color="auto"/>
        <w:left w:val="none" w:sz="0" w:space="0" w:color="auto"/>
        <w:bottom w:val="none" w:sz="0" w:space="0" w:color="auto"/>
        <w:right w:val="none" w:sz="0" w:space="0" w:color="auto"/>
      </w:divBdr>
    </w:div>
    <w:div w:id="2005627138">
      <w:bodyDiv w:val="1"/>
      <w:marLeft w:val="0"/>
      <w:marRight w:val="0"/>
      <w:marTop w:val="0"/>
      <w:marBottom w:val="0"/>
      <w:divBdr>
        <w:top w:val="none" w:sz="0" w:space="0" w:color="auto"/>
        <w:left w:val="none" w:sz="0" w:space="0" w:color="auto"/>
        <w:bottom w:val="none" w:sz="0" w:space="0" w:color="auto"/>
        <w:right w:val="none" w:sz="0" w:space="0" w:color="auto"/>
      </w:divBdr>
    </w:div>
    <w:div w:id="2038384882">
      <w:bodyDiv w:val="1"/>
      <w:marLeft w:val="0"/>
      <w:marRight w:val="0"/>
      <w:marTop w:val="0"/>
      <w:marBottom w:val="0"/>
      <w:divBdr>
        <w:top w:val="none" w:sz="0" w:space="0" w:color="auto"/>
        <w:left w:val="none" w:sz="0" w:space="0" w:color="auto"/>
        <w:bottom w:val="none" w:sz="0" w:space="0" w:color="auto"/>
        <w:right w:val="none" w:sz="0" w:space="0" w:color="auto"/>
      </w:divBdr>
    </w:div>
    <w:div w:id="2040163821">
      <w:bodyDiv w:val="1"/>
      <w:marLeft w:val="0"/>
      <w:marRight w:val="0"/>
      <w:marTop w:val="0"/>
      <w:marBottom w:val="0"/>
      <w:divBdr>
        <w:top w:val="none" w:sz="0" w:space="0" w:color="auto"/>
        <w:left w:val="none" w:sz="0" w:space="0" w:color="auto"/>
        <w:bottom w:val="none" w:sz="0" w:space="0" w:color="auto"/>
        <w:right w:val="none" w:sz="0" w:space="0" w:color="auto"/>
      </w:divBdr>
    </w:div>
    <w:div w:id="2050109807">
      <w:bodyDiv w:val="1"/>
      <w:marLeft w:val="0"/>
      <w:marRight w:val="0"/>
      <w:marTop w:val="0"/>
      <w:marBottom w:val="0"/>
      <w:divBdr>
        <w:top w:val="none" w:sz="0" w:space="0" w:color="auto"/>
        <w:left w:val="none" w:sz="0" w:space="0" w:color="auto"/>
        <w:bottom w:val="none" w:sz="0" w:space="0" w:color="auto"/>
        <w:right w:val="none" w:sz="0" w:space="0" w:color="auto"/>
      </w:divBdr>
    </w:div>
    <w:div w:id="2090223695">
      <w:bodyDiv w:val="1"/>
      <w:marLeft w:val="0"/>
      <w:marRight w:val="0"/>
      <w:marTop w:val="0"/>
      <w:marBottom w:val="0"/>
      <w:divBdr>
        <w:top w:val="none" w:sz="0" w:space="0" w:color="auto"/>
        <w:left w:val="none" w:sz="0" w:space="0" w:color="auto"/>
        <w:bottom w:val="none" w:sz="0" w:space="0" w:color="auto"/>
        <w:right w:val="none" w:sz="0" w:space="0" w:color="auto"/>
      </w:divBdr>
    </w:div>
    <w:div w:id="2139058394">
      <w:bodyDiv w:val="1"/>
      <w:marLeft w:val="0"/>
      <w:marRight w:val="0"/>
      <w:marTop w:val="0"/>
      <w:marBottom w:val="0"/>
      <w:divBdr>
        <w:top w:val="none" w:sz="0" w:space="0" w:color="auto"/>
        <w:left w:val="none" w:sz="0" w:space="0" w:color="auto"/>
        <w:bottom w:val="none" w:sz="0" w:space="0" w:color="auto"/>
        <w:right w:val="none" w:sz="0" w:space="0" w:color="auto"/>
      </w:divBdr>
    </w:div>
    <w:div w:id="2139637560">
      <w:bodyDiv w:val="1"/>
      <w:marLeft w:val="0"/>
      <w:marRight w:val="0"/>
      <w:marTop w:val="0"/>
      <w:marBottom w:val="0"/>
      <w:divBdr>
        <w:top w:val="none" w:sz="0" w:space="0" w:color="auto"/>
        <w:left w:val="none" w:sz="0" w:space="0" w:color="auto"/>
        <w:bottom w:val="none" w:sz="0" w:space="0" w:color="auto"/>
        <w:right w:val="none" w:sz="0" w:space="0" w:color="auto"/>
      </w:divBdr>
    </w:div>
    <w:div w:id="2140561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S2352-4642(18)30134-5" TargetMode="External"/><Relationship Id="rId18" Type="http://schemas.openxmlformats.org/officeDocument/2006/relationships/hyperlink" Target="https://doi.org/10.1016/j.jaac.2010.05.017" TargetMode="External"/><Relationship Id="rId26" Type="http://schemas.openxmlformats.org/officeDocument/2006/relationships/hyperlink" Target="https://doi.org/10.1016/S2352-4642(18)30022-1" TargetMode="External"/><Relationship Id="rId3" Type="http://schemas.openxmlformats.org/officeDocument/2006/relationships/styles" Target="styles.xml"/><Relationship Id="rId21" Type="http://schemas.openxmlformats.org/officeDocument/2006/relationships/hyperlink" Target="https://www.nice.org.uk/guidance/cg159" TargetMode="External"/><Relationship Id="rId7" Type="http://schemas.openxmlformats.org/officeDocument/2006/relationships/endnotes" Target="endnotes.xml"/><Relationship Id="rId12" Type="http://schemas.openxmlformats.org/officeDocument/2006/relationships/hyperlink" Target="https://www.legislation.gov.uk/ukpga/1983/20" TargetMode="External"/><Relationship Id="rId17" Type="http://schemas.openxmlformats.org/officeDocument/2006/relationships/hyperlink" Target="https://doi.org/10.1016/j.jaac.2020.05.009" TargetMode="External"/><Relationship Id="rId25" Type="http://schemas.openxmlformats.org/officeDocument/2006/relationships/hyperlink" Target="https://doi.org/10.1111/camh.12484"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86/1748-5908-5-69" TargetMode="External"/><Relationship Id="rId20" Type="http://schemas.openxmlformats.org/officeDocument/2006/relationships/hyperlink" Target="https://www.longtermplan.nhs.uk" TargetMode="External"/><Relationship Id="rId29" Type="http://schemas.openxmlformats.org/officeDocument/2006/relationships/hyperlink" Target="https://doi.org/10.1177/216770261772337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aac.2011.08.003" TargetMode="External"/><Relationship Id="rId24" Type="http://schemas.openxmlformats.org/officeDocument/2006/relationships/hyperlink" Target="https://doi.org/10.1111/jcpp.12381"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11/jcpp.13516" TargetMode="External"/><Relationship Id="rId23" Type="http://schemas.openxmlformats.org/officeDocument/2006/relationships/hyperlink" Target="https://doi.org/10.1016/S2215-0366(19)30318-8" TargetMode="External"/><Relationship Id="rId28" Type="http://schemas.openxmlformats.org/officeDocument/2006/relationships/hyperlink" Target="https://doi.org/10.1111/bjc.12279" TargetMode="External"/><Relationship Id="rId10" Type="http://schemas.openxmlformats.org/officeDocument/2006/relationships/hyperlink" Target="https://doi.org/10.1002/da.20507" TargetMode="External"/><Relationship Id="rId19" Type="http://schemas.openxmlformats.org/officeDocument/2006/relationships/hyperlink" Target="https://digital.nhs.uk"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80/1364557032000119616" TargetMode="External"/><Relationship Id="rId14" Type="http://schemas.openxmlformats.org/officeDocument/2006/relationships/hyperlink" Target="https://doi.org/10.1080/02673843.2019.1590851" TargetMode="External"/><Relationship Id="rId22" Type="http://schemas.openxmlformats.org/officeDocument/2006/relationships/hyperlink" Target="https://doi.org/10.1177/1359104518775154" TargetMode="External"/><Relationship Id="rId27" Type="http://schemas.openxmlformats.org/officeDocument/2006/relationships/hyperlink" Target="https://doi.org/10.1016/j.smrv.2019.02.005" TargetMode="External"/><Relationship Id="rId30" Type="http://schemas.openxmlformats.org/officeDocument/2006/relationships/hyperlink" Target="https://www.youngminds.org.uk"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DADD45-3CFC-44F8-951A-88A645739CC3}">
  <ds:schemaRefs>
    <ds:schemaRef ds:uri="http://schemas.openxmlformats.org/officeDocument/2006/bibliography"/>
  </ds:schemaRefs>
</ds:datastoreItem>
</file>

<file path=docMetadata/LabelInfo.xml><?xml version="1.0" encoding="utf-8"?>
<clbl:labelList xmlns:clbl="http://schemas.microsoft.com/office/2020/mipLabelMetadata">
  <clbl:label id="{e130eef0-b106-4be4-9041-04ed1aa09543}" enabled="1" method="Privileged" siteId="{dd29478d-624e-429e-b453-fffc969ac768}"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18</Pages>
  <Words>5435</Words>
  <Characters>30984</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Ciornei</dc:creator>
  <cp:keywords/>
  <dc:description/>
  <cp:lastModifiedBy>Melania Ciornei (2329516)</cp:lastModifiedBy>
  <cp:revision>19</cp:revision>
  <cp:lastPrinted>2026-03-12T14:59:00Z</cp:lastPrinted>
  <dcterms:created xsi:type="dcterms:W3CDTF">2026-03-25T12:44:00Z</dcterms:created>
  <dcterms:modified xsi:type="dcterms:W3CDTF">2026-03-25T13:52:00Z</dcterms:modified>
</cp:coreProperties>
</file>