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0DFC0" w14:textId="52569391" w:rsidR="00D044FB" w:rsidRDefault="00D044FB" w:rsidP="744662AA">
      <w:pPr>
        <w:rPr>
          <w:rFonts w:ascii="Segoe UI" w:eastAsia="Segoe UI" w:hAnsi="Segoe UI" w:cs="Segoe UI"/>
          <w:b/>
          <w:bCs/>
          <w:color w:val="242424"/>
          <w:sz w:val="52"/>
          <w:szCs w:val="52"/>
        </w:rPr>
      </w:pPr>
    </w:p>
    <w:p w14:paraId="53B2C656" w14:textId="4A055550" w:rsidR="00D044FB" w:rsidRDefault="00D044FB" w:rsidP="744662AA">
      <w:pPr>
        <w:rPr>
          <w:rFonts w:ascii="Segoe UI" w:eastAsia="Segoe UI" w:hAnsi="Segoe UI" w:cs="Segoe UI"/>
          <w:b/>
          <w:bCs/>
          <w:color w:val="242424"/>
          <w:sz w:val="52"/>
          <w:szCs w:val="52"/>
        </w:rPr>
      </w:pPr>
    </w:p>
    <w:p w14:paraId="3540F0EC" w14:textId="579F3333" w:rsidR="00D044FB" w:rsidRDefault="00D044FB" w:rsidP="744662AA">
      <w:pPr>
        <w:rPr>
          <w:rFonts w:ascii="Segoe UI" w:eastAsia="Segoe UI" w:hAnsi="Segoe UI" w:cs="Segoe UI"/>
          <w:b/>
          <w:bCs/>
          <w:color w:val="242424"/>
          <w:sz w:val="52"/>
          <w:szCs w:val="52"/>
        </w:rPr>
      </w:pPr>
    </w:p>
    <w:p w14:paraId="08B3A815" w14:textId="2FD1173A" w:rsidR="00D044FB" w:rsidRDefault="2B7D20F5" w:rsidP="744662AA">
      <w:pPr>
        <w:rPr>
          <w:rFonts w:ascii="Segoe UI" w:eastAsia="Segoe UI" w:hAnsi="Segoe UI" w:cs="Segoe UI"/>
          <w:color w:val="242424"/>
          <w:sz w:val="52"/>
          <w:szCs w:val="52"/>
        </w:rPr>
      </w:pPr>
      <w:r w:rsidRPr="744662AA">
        <w:rPr>
          <w:rFonts w:ascii="Segoe UI" w:eastAsia="Segoe UI" w:hAnsi="Segoe UI" w:cs="Segoe UI"/>
          <w:color w:val="242424"/>
          <w:sz w:val="52"/>
          <w:szCs w:val="52"/>
        </w:rPr>
        <w:t xml:space="preserve">Student Name: </w:t>
      </w:r>
      <w:r w:rsidR="74B31C6A" w:rsidRPr="744662AA">
        <w:rPr>
          <w:rFonts w:ascii="Segoe UI" w:eastAsia="Segoe UI" w:hAnsi="Segoe UI" w:cs="Segoe UI"/>
          <w:color w:val="242424"/>
          <w:sz w:val="52"/>
          <w:szCs w:val="52"/>
        </w:rPr>
        <w:t>Adila Ba</w:t>
      </w:r>
      <w:r w:rsidR="008915CF">
        <w:rPr>
          <w:rFonts w:ascii="Segoe UI" w:eastAsia="Segoe UI" w:hAnsi="Segoe UI" w:cs="Segoe UI"/>
          <w:color w:val="242424"/>
          <w:sz w:val="52"/>
          <w:szCs w:val="52"/>
        </w:rPr>
        <w:t>s</w:t>
      </w:r>
      <w:r w:rsidR="74B31C6A" w:rsidRPr="744662AA">
        <w:rPr>
          <w:rFonts w:ascii="Segoe UI" w:eastAsia="Segoe UI" w:hAnsi="Segoe UI" w:cs="Segoe UI"/>
          <w:color w:val="242424"/>
          <w:sz w:val="52"/>
          <w:szCs w:val="52"/>
        </w:rPr>
        <w:t>hir</w:t>
      </w:r>
      <w:r w:rsidR="00000000">
        <w:br/>
      </w:r>
      <w:r w:rsidRPr="744662AA">
        <w:rPr>
          <w:rFonts w:ascii="Segoe UI" w:eastAsia="Segoe UI" w:hAnsi="Segoe UI" w:cs="Segoe UI"/>
          <w:color w:val="242424"/>
          <w:sz w:val="52"/>
          <w:szCs w:val="52"/>
        </w:rPr>
        <w:t xml:space="preserve">Student Number: </w:t>
      </w:r>
      <w:r w:rsidR="3002B026" w:rsidRPr="744662AA">
        <w:rPr>
          <w:rFonts w:ascii="Segoe UI" w:eastAsia="Segoe UI" w:hAnsi="Segoe UI" w:cs="Segoe UI"/>
          <w:color w:val="242424"/>
          <w:sz w:val="52"/>
          <w:szCs w:val="52"/>
        </w:rPr>
        <w:t>2424520</w:t>
      </w:r>
      <w:r w:rsidR="00000000">
        <w:br/>
      </w:r>
      <w:r w:rsidRPr="744662AA">
        <w:rPr>
          <w:rFonts w:ascii="Segoe UI" w:eastAsia="Segoe UI" w:hAnsi="Segoe UI" w:cs="Segoe UI"/>
          <w:color w:val="242424"/>
          <w:sz w:val="52"/>
          <w:szCs w:val="52"/>
        </w:rPr>
        <w:t xml:space="preserve">Module Title: </w:t>
      </w:r>
      <w:r w:rsidR="290BCA68" w:rsidRPr="744662AA">
        <w:rPr>
          <w:rFonts w:ascii="Segoe UI" w:eastAsia="Segoe UI" w:hAnsi="Segoe UI" w:cs="Segoe UI"/>
          <w:color w:val="242424"/>
          <w:sz w:val="52"/>
          <w:szCs w:val="52"/>
        </w:rPr>
        <w:t>Prin</w:t>
      </w:r>
      <w:r w:rsidR="00196A78">
        <w:rPr>
          <w:rFonts w:ascii="Segoe UI" w:eastAsia="Segoe UI" w:hAnsi="Segoe UI" w:cs="Segoe UI"/>
          <w:color w:val="242424"/>
          <w:sz w:val="52"/>
          <w:szCs w:val="52"/>
        </w:rPr>
        <w:t xml:space="preserve">ciples </w:t>
      </w:r>
      <w:r w:rsidR="290BCA68" w:rsidRPr="744662AA">
        <w:rPr>
          <w:rFonts w:ascii="Segoe UI" w:eastAsia="Segoe UI" w:hAnsi="Segoe UI" w:cs="Segoe UI"/>
          <w:color w:val="242424"/>
          <w:sz w:val="52"/>
          <w:szCs w:val="52"/>
        </w:rPr>
        <w:t>of health and social care practice</w:t>
      </w:r>
      <w:r w:rsidR="00196A78">
        <w:rPr>
          <w:rFonts w:ascii="Segoe UI" w:eastAsia="Segoe UI" w:hAnsi="Segoe UI" w:cs="Segoe UI"/>
          <w:color w:val="242424"/>
          <w:sz w:val="52"/>
          <w:szCs w:val="52"/>
        </w:rPr>
        <w:t>.</w:t>
      </w:r>
    </w:p>
    <w:p w14:paraId="33121557" w14:textId="2BAE1973" w:rsidR="00D044FB" w:rsidRDefault="290BCA68" w:rsidP="744662AA">
      <w:pPr>
        <w:rPr>
          <w:rFonts w:ascii="Segoe UI" w:eastAsia="Segoe UI" w:hAnsi="Segoe UI" w:cs="Segoe UI"/>
          <w:color w:val="242424"/>
          <w:sz w:val="52"/>
          <w:szCs w:val="52"/>
        </w:rPr>
      </w:pPr>
      <w:r w:rsidRPr="744662AA">
        <w:rPr>
          <w:rFonts w:ascii="Segoe UI" w:eastAsia="Segoe UI" w:hAnsi="Segoe UI" w:cs="Segoe UI"/>
          <w:color w:val="242424"/>
          <w:sz w:val="52"/>
          <w:szCs w:val="52"/>
        </w:rPr>
        <w:t>Module code: BMHP5016</w:t>
      </w:r>
    </w:p>
    <w:p w14:paraId="5758C372" w14:textId="3E7B73D3" w:rsidR="00D044FB" w:rsidRDefault="37A8C906" w:rsidP="744662AA">
      <w:pPr>
        <w:rPr>
          <w:rFonts w:ascii="Segoe UI" w:eastAsia="Segoe UI" w:hAnsi="Segoe UI" w:cs="Segoe UI"/>
          <w:color w:val="1D2125"/>
          <w:sz w:val="22"/>
          <w:szCs w:val="22"/>
        </w:rPr>
      </w:pPr>
      <w:r w:rsidRPr="744662AA">
        <w:rPr>
          <w:rFonts w:ascii="Segoe UI" w:eastAsia="Segoe UI" w:hAnsi="Segoe UI" w:cs="Segoe UI"/>
          <w:color w:val="242424"/>
          <w:sz w:val="52"/>
          <w:szCs w:val="52"/>
        </w:rPr>
        <w:t xml:space="preserve">Lectures name: </w:t>
      </w:r>
      <w:r w:rsidR="2E13877F" w:rsidRPr="744662AA">
        <w:rPr>
          <w:rFonts w:ascii="Segoe UI" w:eastAsia="Segoe UI" w:hAnsi="Segoe UI" w:cs="Segoe UI"/>
          <w:color w:val="1D2125"/>
          <w:sz w:val="52"/>
          <w:szCs w:val="52"/>
        </w:rPr>
        <w:t>Tsiwani Khumalo</w:t>
      </w:r>
      <w:r w:rsidR="2E13877F" w:rsidRPr="744662AA">
        <w:rPr>
          <w:rFonts w:ascii="Segoe UI" w:eastAsia="Segoe UI" w:hAnsi="Segoe UI" w:cs="Segoe UI"/>
          <w:color w:val="1D2125"/>
          <w:sz w:val="22"/>
          <w:szCs w:val="22"/>
        </w:rPr>
        <w:t xml:space="preserve"> </w:t>
      </w:r>
    </w:p>
    <w:p w14:paraId="3CC8C183" w14:textId="77777777" w:rsidR="00196A78" w:rsidRDefault="00196A78" w:rsidP="744662AA">
      <w:pPr>
        <w:rPr>
          <w:rFonts w:ascii="Segoe UI" w:eastAsia="Segoe UI" w:hAnsi="Segoe UI" w:cs="Segoe UI"/>
          <w:color w:val="1D2125"/>
          <w:sz w:val="22"/>
          <w:szCs w:val="22"/>
        </w:rPr>
      </w:pPr>
    </w:p>
    <w:p w14:paraId="38EC32C1" w14:textId="77777777" w:rsidR="00196A78" w:rsidRDefault="00196A78" w:rsidP="744662AA">
      <w:pPr>
        <w:rPr>
          <w:rFonts w:ascii="Segoe UI" w:eastAsia="Segoe UI" w:hAnsi="Segoe UI" w:cs="Segoe UI"/>
          <w:color w:val="1D2125"/>
          <w:sz w:val="22"/>
          <w:szCs w:val="22"/>
        </w:rPr>
      </w:pPr>
    </w:p>
    <w:p w14:paraId="08F9E35B" w14:textId="77777777" w:rsidR="00196A78" w:rsidRDefault="00196A78" w:rsidP="744662AA">
      <w:pPr>
        <w:rPr>
          <w:rFonts w:ascii="Segoe UI" w:eastAsia="Segoe UI" w:hAnsi="Segoe UI" w:cs="Segoe UI"/>
          <w:color w:val="1D2125"/>
          <w:sz w:val="22"/>
          <w:szCs w:val="22"/>
        </w:rPr>
      </w:pPr>
    </w:p>
    <w:p w14:paraId="4394032E" w14:textId="77777777" w:rsidR="00196A78" w:rsidRDefault="00196A78" w:rsidP="744662AA">
      <w:pPr>
        <w:rPr>
          <w:rFonts w:ascii="Segoe UI" w:eastAsia="Segoe UI" w:hAnsi="Segoe UI" w:cs="Segoe UI"/>
          <w:color w:val="1D2125"/>
          <w:sz w:val="22"/>
          <w:szCs w:val="22"/>
        </w:rPr>
      </w:pPr>
    </w:p>
    <w:p w14:paraId="73BB3F33" w14:textId="77777777" w:rsidR="00196A78" w:rsidRDefault="00196A78" w:rsidP="744662AA">
      <w:pPr>
        <w:rPr>
          <w:rFonts w:ascii="Segoe UI" w:eastAsia="Segoe UI" w:hAnsi="Segoe UI" w:cs="Segoe UI"/>
          <w:color w:val="1D2125"/>
          <w:sz w:val="22"/>
          <w:szCs w:val="22"/>
        </w:rPr>
      </w:pPr>
    </w:p>
    <w:p w14:paraId="1D62AFE0" w14:textId="77777777" w:rsidR="00196A78" w:rsidRDefault="00196A78" w:rsidP="744662AA">
      <w:pPr>
        <w:rPr>
          <w:rFonts w:ascii="Segoe UI" w:eastAsia="Segoe UI" w:hAnsi="Segoe UI" w:cs="Segoe UI"/>
          <w:color w:val="1D2125"/>
          <w:sz w:val="22"/>
          <w:szCs w:val="22"/>
        </w:rPr>
      </w:pPr>
    </w:p>
    <w:p w14:paraId="58804F55" w14:textId="77777777" w:rsidR="00196A78" w:rsidRDefault="00196A78" w:rsidP="744662AA">
      <w:pPr>
        <w:rPr>
          <w:rFonts w:ascii="Segoe UI" w:eastAsia="Segoe UI" w:hAnsi="Segoe UI" w:cs="Segoe UI"/>
          <w:color w:val="1D2125"/>
          <w:sz w:val="22"/>
          <w:szCs w:val="22"/>
        </w:rPr>
      </w:pPr>
    </w:p>
    <w:p w14:paraId="6733703D" w14:textId="77777777" w:rsidR="00196A78" w:rsidRDefault="00196A78" w:rsidP="744662AA">
      <w:pPr>
        <w:rPr>
          <w:rFonts w:ascii="Segoe UI" w:eastAsia="Segoe UI" w:hAnsi="Segoe UI" w:cs="Segoe UI"/>
          <w:color w:val="1D2125"/>
          <w:sz w:val="22"/>
          <w:szCs w:val="22"/>
        </w:rPr>
      </w:pPr>
    </w:p>
    <w:p w14:paraId="4A1E21A6" w14:textId="77777777" w:rsidR="00196A78" w:rsidRDefault="00196A78" w:rsidP="744662AA">
      <w:pPr>
        <w:rPr>
          <w:rFonts w:ascii="Segoe UI" w:eastAsia="Segoe UI" w:hAnsi="Segoe UI" w:cs="Segoe UI"/>
          <w:color w:val="1D2125"/>
          <w:sz w:val="22"/>
          <w:szCs w:val="22"/>
        </w:rPr>
      </w:pPr>
    </w:p>
    <w:p w14:paraId="22BDBD37" w14:textId="77777777" w:rsidR="00196A78" w:rsidRDefault="00196A78" w:rsidP="744662AA">
      <w:pPr>
        <w:rPr>
          <w:rFonts w:ascii="Segoe UI" w:eastAsia="Segoe UI" w:hAnsi="Segoe UI" w:cs="Segoe UI"/>
          <w:color w:val="1D2125"/>
          <w:sz w:val="22"/>
          <w:szCs w:val="22"/>
        </w:rPr>
      </w:pPr>
    </w:p>
    <w:p w14:paraId="6FB6ECFF" w14:textId="77777777" w:rsidR="00196A78" w:rsidRDefault="00196A78" w:rsidP="744662AA">
      <w:pPr>
        <w:rPr>
          <w:rFonts w:ascii="Segoe UI" w:eastAsia="Segoe UI" w:hAnsi="Segoe UI" w:cs="Segoe UI"/>
          <w:color w:val="1D2125"/>
          <w:sz w:val="22"/>
          <w:szCs w:val="22"/>
        </w:rPr>
      </w:pPr>
    </w:p>
    <w:p w14:paraId="6D31193A" w14:textId="77777777" w:rsidR="00196A78" w:rsidRDefault="00196A78" w:rsidP="744662AA">
      <w:pPr>
        <w:rPr>
          <w:rFonts w:ascii="Segoe UI" w:eastAsia="Segoe UI" w:hAnsi="Segoe UI" w:cs="Segoe UI"/>
          <w:color w:val="1D2125"/>
          <w:sz w:val="22"/>
          <w:szCs w:val="22"/>
        </w:rPr>
      </w:pPr>
    </w:p>
    <w:p w14:paraId="33028DF9" w14:textId="74911C0B" w:rsidR="00196A78" w:rsidRPr="00196A78" w:rsidRDefault="00196A78" w:rsidP="00196A78">
      <w:pPr>
        <w:rPr>
          <w:rFonts w:ascii="Segoe UI" w:eastAsia="Segoe UI" w:hAnsi="Segoe UI" w:cs="Segoe UI"/>
          <w:color w:val="1D2125"/>
          <w:sz w:val="22"/>
          <w:szCs w:val="22"/>
          <w:u w:val="single"/>
        </w:rPr>
      </w:pPr>
      <w:r w:rsidRPr="00196A78">
        <w:rPr>
          <w:rFonts w:ascii="Segoe UI" w:eastAsia="Segoe UI" w:hAnsi="Segoe UI" w:cs="Segoe UI"/>
          <w:color w:val="1D2125"/>
          <w:sz w:val="22"/>
          <w:szCs w:val="22"/>
          <w:u w:val="single"/>
        </w:rPr>
        <w:t>Abstract</w:t>
      </w:r>
      <w:r>
        <w:rPr>
          <w:rFonts w:ascii="Segoe UI" w:eastAsia="Segoe UI" w:hAnsi="Segoe UI" w:cs="Segoe UI"/>
          <w:color w:val="1D2125"/>
          <w:sz w:val="22"/>
          <w:szCs w:val="22"/>
          <w:u w:val="single"/>
        </w:rPr>
        <w:t>:</w:t>
      </w:r>
    </w:p>
    <w:p w14:paraId="10CF6A79" w14:textId="6BCC7AFB" w:rsidR="00196A78" w:rsidRPr="00196A78" w:rsidRDefault="00196A78" w:rsidP="00196A78">
      <w:pPr>
        <w:rPr>
          <w:rFonts w:ascii="Segoe UI" w:eastAsia="Segoe UI" w:hAnsi="Segoe UI" w:cs="Segoe UI"/>
          <w:color w:val="1D2125"/>
          <w:sz w:val="22"/>
          <w:szCs w:val="22"/>
        </w:rPr>
      </w:pPr>
      <w:r w:rsidRPr="00196A78">
        <w:rPr>
          <w:rFonts w:ascii="Segoe UI" w:eastAsia="Segoe UI" w:hAnsi="Segoe UI" w:cs="Segoe UI"/>
          <w:color w:val="1D2125"/>
          <w:sz w:val="22"/>
          <w:szCs w:val="22"/>
        </w:rPr>
        <w:t xml:space="preserve">This report provides a critical evaluation of the implementation of Person-Centred Care (PCC) and Partnership Working (PW) within the contemporary health and social care landscape of the United Kingdom. It explores the essential shift from the traditional medical model to a humanistic, social model of care, underpinned by theories such as Rogers’ humanistic approach and </w:t>
      </w:r>
      <w:r w:rsidRPr="00196A78">
        <w:rPr>
          <w:rFonts w:ascii="Segoe UI" w:eastAsia="Segoe UI" w:hAnsi="Segoe UI" w:cs="Segoe UI"/>
          <w:color w:val="1D2125"/>
          <w:sz w:val="22"/>
          <w:szCs w:val="22"/>
        </w:rPr>
        <w:t>Kit wood’s</w:t>
      </w:r>
      <w:r w:rsidRPr="00196A78">
        <w:rPr>
          <w:rFonts w:ascii="Segoe UI" w:eastAsia="Segoe UI" w:hAnsi="Segoe UI" w:cs="Segoe UI"/>
          <w:color w:val="1D2125"/>
          <w:sz w:val="22"/>
          <w:szCs w:val="22"/>
        </w:rPr>
        <w:t xml:space="preserve"> concept of personhood. The analysis examines the ethical tensions inherent in balancing individual autonomy with safeguarding duties under the Mental Capacity Act 2005 and the Human Rights Act 1998. Furthermore, the report assesses the legislative evolution from the Care Act 2014 to the Health and Care Act 2022, highlighting the structural transition toward Integrated Care Systems (ICS).</w:t>
      </w:r>
    </w:p>
    <w:p w14:paraId="4AD8ED6B" w14:textId="05BEC840" w:rsidR="00196A78" w:rsidRDefault="00196A78" w:rsidP="00196A78">
      <w:pPr>
        <w:rPr>
          <w:rFonts w:ascii="Segoe UI" w:eastAsia="Segoe UI" w:hAnsi="Segoe UI" w:cs="Segoe UI"/>
          <w:color w:val="1D2125"/>
          <w:sz w:val="22"/>
          <w:szCs w:val="22"/>
        </w:rPr>
      </w:pPr>
      <w:r w:rsidRPr="00196A78">
        <w:rPr>
          <w:rFonts w:ascii="Segoe UI" w:eastAsia="Segoe UI" w:hAnsi="Segoe UI" w:cs="Segoe UI"/>
          <w:color w:val="1D2125"/>
          <w:sz w:val="22"/>
          <w:szCs w:val="22"/>
        </w:rPr>
        <w:t xml:space="preserve">Main findings indicate that while a robust legal framework for integration exists, systemic </w:t>
      </w:r>
      <w:r w:rsidRPr="00196A78">
        <w:rPr>
          <w:rFonts w:ascii="Segoe UI" w:eastAsia="Segoe UI" w:hAnsi="Segoe UI" w:cs="Segoe UI"/>
          <w:color w:val="1D2125"/>
          <w:sz w:val="22"/>
          <w:szCs w:val="22"/>
        </w:rPr>
        <w:t>barriers</w:t>
      </w:r>
      <w:r>
        <w:rPr>
          <w:rFonts w:ascii="Segoe UI" w:eastAsia="Segoe UI" w:hAnsi="Segoe UI" w:cs="Segoe UI"/>
          <w:color w:val="1D2125"/>
          <w:sz w:val="22"/>
          <w:szCs w:val="22"/>
        </w:rPr>
        <w:t>,</w:t>
      </w:r>
      <w:r w:rsidRPr="00196A78">
        <w:rPr>
          <w:rFonts w:ascii="Segoe UI" w:eastAsia="Segoe UI" w:hAnsi="Segoe UI" w:cs="Segoe UI"/>
          <w:color w:val="1D2125"/>
          <w:sz w:val="22"/>
          <w:szCs w:val="22"/>
        </w:rPr>
        <w:t xml:space="preserve"> including</w:t>
      </w:r>
      <w:r w:rsidRPr="00196A78">
        <w:rPr>
          <w:rFonts w:ascii="Segoe UI" w:eastAsia="Segoe UI" w:hAnsi="Segoe UI" w:cs="Segoe UI"/>
          <w:color w:val="1D2125"/>
          <w:sz w:val="22"/>
          <w:szCs w:val="22"/>
        </w:rPr>
        <w:t xml:space="preserve"> professional silos, chronic underfunding, and technological </w:t>
      </w:r>
      <w:r w:rsidRPr="00196A78">
        <w:rPr>
          <w:rFonts w:ascii="Segoe UI" w:eastAsia="Segoe UI" w:hAnsi="Segoe UI" w:cs="Segoe UI"/>
          <w:color w:val="1D2125"/>
          <w:sz w:val="22"/>
          <w:szCs w:val="22"/>
        </w:rPr>
        <w:t>fragmentation</w:t>
      </w:r>
      <w:r>
        <w:rPr>
          <w:rFonts w:ascii="Segoe UI" w:eastAsia="Segoe UI" w:hAnsi="Segoe UI" w:cs="Segoe UI"/>
          <w:color w:val="1D2125"/>
          <w:sz w:val="22"/>
          <w:szCs w:val="22"/>
        </w:rPr>
        <w:t>,</w:t>
      </w:r>
      <w:r w:rsidRPr="00196A78">
        <w:rPr>
          <w:rFonts w:ascii="Segoe UI" w:eastAsia="Segoe UI" w:hAnsi="Segoe UI" w:cs="Segoe UI"/>
          <w:color w:val="1D2125"/>
          <w:sz w:val="22"/>
          <w:szCs w:val="22"/>
        </w:rPr>
        <w:t xml:space="preserve"> continue</w:t>
      </w:r>
      <w:r w:rsidRPr="00196A78">
        <w:rPr>
          <w:rFonts w:ascii="Segoe UI" w:eastAsia="Segoe UI" w:hAnsi="Segoe UI" w:cs="Segoe UI"/>
          <w:color w:val="1D2125"/>
          <w:sz w:val="22"/>
          <w:szCs w:val="22"/>
        </w:rPr>
        <w:t xml:space="preserve"> to impede the delivery of truly person-led services. To address these challenges, the report recommends the mandatory implementation of unified digital health records, the expansion of pooled budgets through the Better Care Fund, and a commitment to inter-professional education to foster a collaborative culture across the multidisciplinary team</w:t>
      </w:r>
    </w:p>
    <w:p w14:paraId="583F4409" w14:textId="2D5B6FA7" w:rsidR="008915CF" w:rsidRPr="009C3232" w:rsidRDefault="2B7D20F5" w:rsidP="00027A81">
      <w:pPr>
        <w:rPr>
          <w:rFonts w:eastAsia="Segoe UI"/>
          <w:color w:val="242424"/>
          <w:u w:val="single"/>
        </w:rPr>
      </w:pPr>
      <w:r w:rsidRPr="009C3232">
        <w:rPr>
          <w:rFonts w:eastAsia="Segoe UI"/>
          <w:color w:val="242424"/>
          <w:u w:val="single"/>
        </w:rPr>
        <w:t>Introduction</w:t>
      </w:r>
      <w:r w:rsidR="009C3232" w:rsidRPr="009C3232">
        <w:rPr>
          <w:rFonts w:eastAsia="Segoe UI"/>
          <w:color w:val="242424"/>
          <w:u w:val="single"/>
        </w:rPr>
        <w:t>:</w:t>
      </w:r>
    </w:p>
    <w:p w14:paraId="3BD48EE0" w14:textId="5C73E1EC" w:rsidR="00B50CC9" w:rsidRPr="00027A81" w:rsidRDefault="2B7D20F5" w:rsidP="00027A81">
      <w:pPr>
        <w:rPr>
          <w:rFonts w:eastAsia="Segoe UI"/>
          <w:color w:val="242424"/>
        </w:rPr>
      </w:pPr>
      <w:r w:rsidRPr="00027A81">
        <w:rPr>
          <w:rFonts w:eastAsia="Segoe UI"/>
          <w:color w:val="242424"/>
        </w:rPr>
        <w:t xml:space="preserve">In the current UK climate, the demand for health and social care services is increasingly complex due to an aging population and a rise in multi-morbidities. Consequently, the shift toward Person-Centred Care (PCC) and Partnership Working (PW) is no longer a professional preference but a statutory mandate. This report explores the theoretical foundations of these concepts, evaluates the ethical dilemmas inherent in their application, and </w:t>
      </w:r>
      <w:r w:rsidR="0F48B775" w:rsidRPr="00027A81">
        <w:rPr>
          <w:rFonts w:eastAsia="Segoe UI"/>
          <w:color w:val="242424"/>
        </w:rPr>
        <w:t xml:space="preserve">analyses </w:t>
      </w:r>
      <w:r w:rsidRPr="00027A81">
        <w:rPr>
          <w:rFonts w:eastAsia="Segoe UI"/>
          <w:color w:val="242424"/>
        </w:rPr>
        <w:t>the legislative frameworks that govern them. It aims to demonstrate that effective care is not merely the absence of disease, but the promotion of holistic well-being through collaborative, multi-agency practice.</w:t>
      </w:r>
      <w:r w:rsidR="00000000" w:rsidRPr="00027A81">
        <w:br/>
      </w:r>
      <w:r w:rsidR="00000000" w:rsidRPr="00027A81">
        <w:br/>
      </w:r>
      <w:r w:rsidRPr="009C3232">
        <w:rPr>
          <w:rFonts w:eastAsia="Segoe UI"/>
          <w:color w:val="242424"/>
          <w:u w:val="single"/>
        </w:rPr>
        <w:t>Theoretical Frameworks: The Humanistic Paradigm Shift</w:t>
      </w:r>
      <w:r w:rsidR="009C3232">
        <w:rPr>
          <w:rFonts w:eastAsia="Segoe UI"/>
          <w:color w:val="242424"/>
          <w:u w:val="single"/>
        </w:rPr>
        <w:t>:</w:t>
      </w:r>
      <w:r w:rsidR="00000000" w:rsidRPr="00027A81">
        <w:br/>
      </w:r>
      <w:r w:rsidR="00000000" w:rsidRPr="00027A81">
        <w:br/>
      </w:r>
      <w:r w:rsidRPr="00027A81">
        <w:rPr>
          <w:rFonts w:eastAsia="Segoe UI"/>
          <w:color w:val="242424"/>
        </w:rPr>
        <w:t>The underpinning of PCC is rooted in the transition from the "Medical Model" to the "Social Model" of care. Historically, the medical model prioriti</w:t>
      </w:r>
      <w:r w:rsidR="00FE1CB9" w:rsidRPr="00027A81">
        <w:rPr>
          <w:rFonts w:eastAsia="Segoe UI"/>
          <w:color w:val="242424"/>
        </w:rPr>
        <w:t>s</w:t>
      </w:r>
      <w:r w:rsidRPr="00027A81">
        <w:rPr>
          <w:rFonts w:eastAsia="Segoe UI"/>
          <w:color w:val="242424"/>
        </w:rPr>
        <w:t>ed diagnosis, clinical symptoms, and the "cure," often treating the patient as a passive recipient of expert intervention. In contrast, modern practice is founded on Carl Rogers’ (1951) Humanistic Theory. Rogers posited that for an individual to achieve self-actuali</w:t>
      </w:r>
      <w:r w:rsidR="00FE1CB9" w:rsidRPr="00027A81">
        <w:rPr>
          <w:rFonts w:eastAsia="Segoe UI"/>
          <w:color w:val="242424"/>
        </w:rPr>
        <w:t>s</w:t>
      </w:r>
      <w:r w:rsidRPr="00027A81">
        <w:rPr>
          <w:rFonts w:eastAsia="Segoe UI"/>
          <w:color w:val="242424"/>
        </w:rPr>
        <w:t>ation and recovery, they require an environment character</w:t>
      </w:r>
      <w:r w:rsidR="00FE1CB9" w:rsidRPr="00027A81">
        <w:rPr>
          <w:rFonts w:eastAsia="Segoe UI"/>
          <w:color w:val="242424"/>
        </w:rPr>
        <w:t>is</w:t>
      </w:r>
      <w:r w:rsidRPr="00027A81">
        <w:rPr>
          <w:rFonts w:eastAsia="Segoe UI"/>
          <w:color w:val="242424"/>
        </w:rPr>
        <w:t xml:space="preserve">ed by </w:t>
      </w:r>
      <w:r w:rsidR="00FE1CB9" w:rsidRPr="00027A81">
        <w:rPr>
          <w:rFonts w:eastAsia="Segoe UI"/>
          <w:color w:val="242424"/>
        </w:rPr>
        <w:t>u</w:t>
      </w:r>
      <w:r w:rsidRPr="00027A81">
        <w:rPr>
          <w:rFonts w:eastAsia="Segoe UI"/>
          <w:color w:val="242424"/>
        </w:rPr>
        <w:t xml:space="preserve">nconditional </w:t>
      </w:r>
      <w:r w:rsidR="00FE1CB9" w:rsidRPr="00027A81">
        <w:rPr>
          <w:rFonts w:eastAsia="Segoe UI"/>
          <w:color w:val="242424"/>
        </w:rPr>
        <w:t>p</w:t>
      </w:r>
      <w:r w:rsidRPr="00027A81">
        <w:rPr>
          <w:rFonts w:eastAsia="Segoe UI"/>
          <w:color w:val="242424"/>
        </w:rPr>
        <w:t xml:space="preserve">ositive </w:t>
      </w:r>
      <w:r w:rsidR="00FE1CB9" w:rsidRPr="00027A81">
        <w:rPr>
          <w:rFonts w:eastAsia="Segoe UI"/>
          <w:color w:val="242424"/>
        </w:rPr>
        <w:t>r</w:t>
      </w:r>
      <w:r w:rsidRPr="00027A81">
        <w:rPr>
          <w:rFonts w:eastAsia="Segoe UI"/>
          <w:color w:val="242424"/>
        </w:rPr>
        <w:t xml:space="preserve">egard, </w:t>
      </w:r>
      <w:r w:rsidR="00FE1CB9" w:rsidRPr="00027A81">
        <w:rPr>
          <w:rFonts w:eastAsia="Segoe UI"/>
          <w:color w:val="242424"/>
        </w:rPr>
        <w:t>e</w:t>
      </w:r>
      <w:r w:rsidRPr="00027A81">
        <w:rPr>
          <w:rFonts w:eastAsia="Segoe UI"/>
          <w:color w:val="242424"/>
        </w:rPr>
        <w:t xml:space="preserve">mpathy, and </w:t>
      </w:r>
      <w:r w:rsidR="00FE1CB9" w:rsidRPr="00027A81">
        <w:rPr>
          <w:rFonts w:eastAsia="Segoe UI"/>
          <w:color w:val="242424"/>
        </w:rPr>
        <w:t>c</w:t>
      </w:r>
      <w:r w:rsidRPr="00027A81">
        <w:rPr>
          <w:rFonts w:eastAsia="Segoe UI"/>
          <w:color w:val="242424"/>
        </w:rPr>
        <w:t>ongruence.</w:t>
      </w:r>
      <w:r w:rsidR="00000000" w:rsidRPr="00027A81">
        <w:br/>
      </w:r>
      <w:r w:rsidR="00000000" w:rsidRPr="00027A81">
        <w:br/>
      </w:r>
      <w:r w:rsidR="613BA526" w:rsidRPr="00027A81">
        <w:rPr>
          <w:rFonts w:eastAsia="Segoe UI"/>
          <w:color w:val="242424"/>
        </w:rPr>
        <w:t>T</w:t>
      </w:r>
      <w:r w:rsidRPr="00027A81">
        <w:rPr>
          <w:rFonts w:eastAsia="Segoe UI"/>
          <w:color w:val="242424"/>
        </w:rPr>
        <w:t>his theory is applied by recogni</w:t>
      </w:r>
      <w:r w:rsidR="784634EA" w:rsidRPr="00027A81">
        <w:rPr>
          <w:rFonts w:eastAsia="Segoe UI"/>
          <w:color w:val="242424"/>
        </w:rPr>
        <w:t>s</w:t>
      </w:r>
      <w:r w:rsidRPr="00027A81">
        <w:rPr>
          <w:rFonts w:eastAsia="Segoe UI"/>
          <w:color w:val="242424"/>
        </w:rPr>
        <w:t xml:space="preserve">ing the service user as the "expert by experience." However, Rogers’ theory has been further refined for social care by Tom Kitwood </w:t>
      </w:r>
      <w:r w:rsidRPr="00027A81">
        <w:rPr>
          <w:rFonts w:eastAsia="Segoe UI"/>
          <w:color w:val="242424"/>
        </w:rPr>
        <w:lastRenderedPageBreak/>
        <w:t xml:space="preserve">(1997), particularly in the field of dementia care. Kitwood introduced the concept of "Personhood," arguing that institutional care often inflicts "malignant social </w:t>
      </w:r>
      <w:r w:rsidR="2C1B78E7" w:rsidRPr="00027A81">
        <w:rPr>
          <w:rFonts w:eastAsia="Segoe UI"/>
          <w:color w:val="242424"/>
        </w:rPr>
        <w:t>psychology</w:t>
      </w:r>
      <w:r w:rsidR="64433A01" w:rsidRPr="00027A81">
        <w:rPr>
          <w:rFonts w:eastAsia="Segoe UI"/>
          <w:color w:val="242424"/>
        </w:rPr>
        <w:t xml:space="preserve"> "</w:t>
      </w:r>
      <w:r w:rsidR="115A0F84" w:rsidRPr="00027A81">
        <w:rPr>
          <w:rFonts w:eastAsia="Segoe UI"/>
          <w:color w:val="242424"/>
        </w:rPr>
        <w:t>a process</w:t>
      </w:r>
      <w:r w:rsidRPr="00027A81">
        <w:rPr>
          <w:rFonts w:eastAsia="Segoe UI"/>
          <w:color w:val="242424"/>
        </w:rPr>
        <w:t xml:space="preserve"> where professionals unintentionally de-personali</w:t>
      </w:r>
      <w:r w:rsidR="00FE1CB9" w:rsidRPr="00027A81">
        <w:rPr>
          <w:rFonts w:eastAsia="Segoe UI"/>
          <w:color w:val="242424"/>
        </w:rPr>
        <w:t>s</w:t>
      </w:r>
      <w:r w:rsidRPr="00027A81">
        <w:rPr>
          <w:rFonts w:eastAsia="Segoe UI"/>
          <w:color w:val="242424"/>
        </w:rPr>
        <w:t>e the individual. To counteract this, PCC must prioriti</w:t>
      </w:r>
      <w:r w:rsidR="00FE1CB9" w:rsidRPr="00027A81">
        <w:rPr>
          <w:rFonts w:eastAsia="Segoe UI"/>
          <w:color w:val="242424"/>
        </w:rPr>
        <w:t>s</w:t>
      </w:r>
      <w:r w:rsidRPr="00027A81">
        <w:rPr>
          <w:rFonts w:eastAsia="Segoe UI"/>
          <w:color w:val="242424"/>
        </w:rPr>
        <w:t>e the individual’s unique history, preferences, and social identity (Health Foundation, 2016).</w:t>
      </w:r>
      <w:r w:rsidR="00000000" w:rsidRPr="00027A81">
        <w:br/>
      </w:r>
      <w:r w:rsidR="00000000" w:rsidRPr="00027A81">
        <w:br/>
      </w:r>
      <w:r w:rsidRPr="00027A81">
        <w:rPr>
          <w:rFonts w:eastAsia="Segoe UI"/>
          <w:color w:val="242424"/>
        </w:rPr>
        <w:t>Critical Analysis: While humanistic theories provide an ethical North Star, their application in high-pressure environments, such as acute hospital wards, is often challenged. The "medical model" remains dominant in emergency settings where rapid stabili</w:t>
      </w:r>
      <w:r w:rsidR="00FE1CB9" w:rsidRPr="00027A81">
        <w:rPr>
          <w:rFonts w:eastAsia="Segoe UI"/>
          <w:color w:val="242424"/>
        </w:rPr>
        <w:t>s</w:t>
      </w:r>
      <w:r w:rsidRPr="00027A81">
        <w:rPr>
          <w:rFonts w:eastAsia="Segoe UI"/>
          <w:color w:val="242424"/>
        </w:rPr>
        <w:t>ation is required. The challenge for the modern practitioner is "integrative practice"</w:t>
      </w:r>
      <w:r w:rsidR="4246BDA9" w:rsidRPr="00027A81">
        <w:rPr>
          <w:rFonts w:eastAsia="Segoe UI"/>
          <w:color w:val="242424"/>
        </w:rPr>
        <w:t xml:space="preserve"> </w:t>
      </w:r>
      <w:r w:rsidRPr="00027A81">
        <w:rPr>
          <w:rFonts w:eastAsia="Segoe UI"/>
          <w:color w:val="242424"/>
        </w:rPr>
        <w:t>the ability to merge clinical expertise with a deep respect for the individual's personhood.</w:t>
      </w:r>
      <w:r w:rsidR="00000000" w:rsidRPr="00027A81">
        <w:br/>
      </w:r>
      <w:r w:rsidR="00000000" w:rsidRPr="009C3232">
        <w:rPr>
          <w:u w:val="single"/>
        </w:rPr>
        <w:br/>
      </w:r>
      <w:r w:rsidRPr="009C3232">
        <w:rPr>
          <w:rFonts w:eastAsia="Segoe UI"/>
          <w:color w:val="242424"/>
          <w:u w:val="single"/>
        </w:rPr>
        <w:t>Ethical Fundamentals: The Tensions of Autonomy and Risk</w:t>
      </w:r>
      <w:r w:rsidR="009C3232" w:rsidRPr="009C3232">
        <w:rPr>
          <w:rFonts w:eastAsia="Segoe UI"/>
          <w:color w:val="242424"/>
          <w:u w:val="single"/>
        </w:rPr>
        <w:t>:</w:t>
      </w:r>
      <w:r w:rsidR="00000000" w:rsidRPr="009C3232">
        <w:rPr>
          <w:u w:val="single"/>
        </w:rPr>
        <w:br/>
      </w:r>
      <w:r w:rsidR="00000000" w:rsidRPr="00027A81">
        <w:br/>
      </w:r>
      <w:r w:rsidRPr="00027A81">
        <w:rPr>
          <w:rFonts w:eastAsia="Segoe UI"/>
          <w:color w:val="242424"/>
        </w:rPr>
        <w:t>Ethical practice in health and social care is guided by the four pillars of bioethics: autonomy, beneficence, non-maleficence, and justice (Beauchamp and Childress, 2019). In a person-centred framework, these principles often exist in a state of tension.</w:t>
      </w:r>
      <w:r w:rsidR="00000000" w:rsidRPr="00027A81">
        <w:br/>
      </w:r>
      <w:r w:rsidR="00000000" w:rsidRPr="00027A81">
        <w:br/>
      </w:r>
      <w:r w:rsidRPr="00027A81">
        <w:rPr>
          <w:rFonts w:eastAsia="Segoe UI"/>
          <w:color w:val="242424"/>
        </w:rPr>
        <w:t xml:space="preserve">Autonomy vs. Beneficence: PCC places the highest value on </w:t>
      </w:r>
      <w:r w:rsidR="34795A23" w:rsidRPr="00027A81">
        <w:rPr>
          <w:rFonts w:eastAsia="Segoe UI"/>
          <w:color w:val="242424"/>
        </w:rPr>
        <w:t>autonomy, the</w:t>
      </w:r>
      <w:r w:rsidRPr="00027A81">
        <w:rPr>
          <w:rFonts w:eastAsia="Segoe UI"/>
          <w:color w:val="242424"/>
        </w:rPr>
        <w:t xml:space="preserve"> right of the individual to make their own choices. However, ethical dilemmas arise when a service user’s choice appears to conflict with their safety (beneficence). In such cases, the Mental Capacity Act (MCA) 2005 provides the legal framework for "Best Interest" decisions. Critically, capacity is "decision-specific"; a service user may lack the capacity to manage complex finances but retain the capacity to choose their daily care routine. Professionals must ensure that "Best Interest" assessments do not become a vehicle for "defensive practice" that unnecessarily restricts liberty (Human Rights Act, 1998).</w:t>
      </w:r>
      <w:r w:rsidR="00000000" w:rsidRPr="00027A81">
        <w:br/>
      </w:r>
      <w:r w:rsidR="00000000" w:rsidRPr="00027A81">
        <w:br/>
      </w:r>
      <w:r w:rsidRPr="00027A81">
        <w:rPr>
          <w:rFonts w:eastAsia="Segoe UI"/>
          <w:color w:val="242424"/>
        </w:rPr>
        <w:t>The Dignity of Risk</w:t>
      </w:r>
      <w:r w:rsidR="00B50CC9" w:rsidRPr="00027A81">
        <w:rPr>
          <w:rFonts w:eastAsia="Segoe UI"/>
          <w:color w:val="242424"/>
        </w:rPr>
        <w:t>:</w:t>
      </w:r>
      <w:r w:rsidR="00B50CC9" w:rsidRPr="00027A81">
        <w:t xml:space="preserve"> </w:t>
      </w:r>
      <w:r w:rsidR="00B50CC9" w:rsidRPr="00027A81">
        <w:rPr>
          <w:rFonts w:eastAsia="Segoe UI"/>
          <w:color w:val="242424"/>
        </w:rPr>
        <w:t>PCC encourages "positive risk-taking." This concept acknowledges that over-protection can be as harmful as neglect, as it strips an individual of their independence. For example, allowing a service user with limited mobility to continue living at home (with support) involves a risk of falls (non-maleficence) but promotes their mental well-being and autonomy. Building on this, professionals must navigate the tension between the duty of care and the individual’s right to self-determination. To effectively implement the dignity of risk, practitioners must shift from a "safety-first" culture to one that weighs potential harms against the psychological cost of restricted freedom. When an individual is denied the right to make choices that involve risk, they often experience a loss of self-efficacy and a decline in quality of life, which can be viewed as a form of institutional harm.</w:t>
      </w:r>
    </w:p>
    <w:p w14:paraId="282C63F0" w14:textId="77777777" w:rsidR="00FE1CB9" w:rsidRPr="00027A81" w:rsidRDefault="00B50CC9" w:rsidP="00027A81">
      <w:pPr>
        <w:rPr>
          <w:rFonts w:eastAsia="Segoe UI"/>
          <w:color w:val="242424"/>
        </w:rPr>
      </w:pPr>
      <w:r w:rsidRPr="00027A81">
        <w:rPr>
          <w:rFonts w:eastAsia="Segoe UI"/>
          <w:color w:val="242424"/>
        </w:rPr>
        <w:t xml:space="preserve">Furthermore, supporting the dignity of risk requires robust Person-Centred Care (PCC) planning that documents the rationale behind specific risks. This ensures that </w:t>
      </w:r>
      <w:r w:rsidRPr="00027A81">
        <w:rPr>
          <w:rFonts w:eastAsia="Segoe UI"/>
          <w:color w:val="242424"/>
        </w:rPr>
        <w:lastRenderedPageBreak/>
        <w:t>the decision is not an act of negligence, but a deliberate, collaborative choice intended to enhance the user’s autonomy. For instance, in social work or healthcare, this might involve creating a "risk enablement" plan that identifies mitigation strategies</w:t>
      </w:r>
      <w:r w:rsidRPr="00027A81">
        <w:rPr>
          <w:rFonts w:eastAsia="Segoe UI"/>
          <w:color w:val="242424"/>
        </w:rPr>
        <w:t xml:space="preserve">, </w:t>
      </w:r>
      <w:r w:rsidRPr="00027A81">
        <w:rPr>
          <w:rFonts w:eastAsia="Segoe UI"/>
          <w:color w:val="242424"/>
        </w:rPr>
        <w:t>such as assistive technology for someone at risk of falls</w:t>
      </w:r>
      <w:r w:rsidRPr="00027A81">
        <w:rPr>
          <w:rFonts w:eastAsia="Segoe UI"/>
          <w:color w:val="242424"/>
        </w:rPr>
        <w:t xml:space="preserve">, </w:t>
      </w:r>
      <w:r w:rsidRPr="00027A81">
        <w:rPr>
          <w:rFonts w:eastAsia="Segoe UI"/>
          <w:color w:val="242424"/>
        </w:rPr>
        <w:t>without removing their right to live independently. By acknowledging that life is inherently risky, the dignity of risk framework protects the human rights of service users, ensuring they are treated as active participants in their own lives rather than passive recipients of protective services. This approach ultimately aligns with the Human Rights Act (1998) by upholding the right to liberty and private life.</w:t>
      </w:r>
    </w:p>
    <w:p w14:paraId="1E1207E7" w14:textId="77777777" w:rsidR="00027A81" w:rsidRDefault="00000000" w:rsidP="00027A81">
      <w:r w:rsidRPr="00027A81">
        <w:br/>
      </w:r>
      <w:r w:rsidR="2B7D20F5" w:rsidRPr="00027A81">
        <w:rPr>
          <w:rFonts w:eastAsia="Segoe UI"/>
          <w:color w:val="242424"/>
        </w:rPr>
        <w:t>Justice and Resource Allocation: While PCC advocates for tailored care, the principle of justice requires the fair distribution of finite resources. Glasby (2017) argues that the "personalisation agenda" is often compromised by local authority budget constraints, leading to a "postcode lottery" where person-centred outcomes are determined by geography and funding rather than clinical or social need.</w:t>
      </w:r>
      <w:r w:rsidRPr="00027A81">
        <w:br/>
      </w:r>
    </w:p>
    <w:p w14:paraId="547C6937" w14:textId="64AF0E59" w:rsidR="008915CF" w:rsidRPr="009C3232" w:rsidRDefault="2B7D20F5" w:rsidP="00027A81">
      <w:pPr>
        <w:rPr>
          <w:u w:val="single"/>
        </w:rPr>
      </w:pPr>
      <w:r w:rsidRPr="009C3232">
        <w:rPr>
          <w:rFonts w:eastAsia="Segoe UI"/>
          <w:color w:val="242424"/>
          <w:u w:val="single"/>
        </w:rPr>
        <w:t>Evaluation of Partnership Working (PW)</w:t>
      </w:r>
      <w:r w:rsidR="009C3232">
        <w:rPr>
          <w:rFonts w:eastAsia="Segoe UI"/>
          <w:color w:val="242424"/>
          <w:u w:val="single"/>
        </w:rPr>
        <w:t>:</w:t>
      </w:r>
    </w:p>
    <w:p w14:paraId="1AD0D967" w14:textId="09BB0500" w:rsidR="008915CF" w:rsidRPr="00027A81" w:rsidRDefault="008915CF" w:rsidP="00027A81">
      <w:pPr>
        <w:rPr>
          <w:rFonts w:eastAsia="Segoe UI"/>
          <w:color w:val="242424"/>
        </w:rPr>
      </w:pPr>
      <w:r w:rsidRPr="00027A81">
        <w:rPr>
          <w:rFonts w:eastAsia="Segoe UI"/>
          <w:color w:val="242424"/>
        </w:rPr>
        <w:t>Person</w:t>
      </w:r>
      <w:r w:rsidRPr="00027A81">
        <w:rPr>
          <w:rFonts w:eastAsia="Segoe UI"/>
          <w:color w:val="242424"/>
        </w:rPr>
        <w:t xml:space="preserve"> </w:t>
      </w:r>
      <w:r w:rsidRPr="00027A81">
        <w:rPr>
          <w:rFonts w:eastAsia="Segoe UI"/>
          <w:color w:val="242424"/>
        </w:rPr>
        <w:t xml:space="preserve">Centred Care and Partnership Working remain fundamental to the delivery of effective and ethical health and social care within the UK. While the Health and Care Act 2022 </w:t>
      </w:r>
      <w:r w:rsidRPr="00027A81">
        <w:rPr>
          <w:rFonts w:eastAsia="Segoe UI"/>
          <w:color w:val="242424"/>
        </w:rPr>
        <w:t>provide</w:t>
      </w:r>
      <w:r w:rsidRPr="00027A81">
        <w:rPr>
          <w:rFonts w:eastAsia="Segoe UI"/>
          <w:color w:val="242424"/>
        </w:rPr>
        <w:t xml:space="preserve"> a strengthened framework for integration through Integrated Care Systems, significant structural and cultural barriers continue to limit its full realisation in practice. This report </w:t>
      </w:r>
      <w:r w:rsidR="00027A81" w:rsidRPr="00027A81">
        <w:rPr>
          <w:rFonts w:eastAsia="Segoe UI"/>
          <w:color w:val="242424"/>
        </w:rPr>
        <w:t xml:space="preserve">has clearly </w:t>
      </w:r>
      <w:r w:rsidRPr="00027A81">
        <w:rPr>
          <w:rFonts w:eastAsia="Segoe UI"/>
          <w:color w:val="242424"/>
        </w:rPr>
        <w:t>demonstrated that the central challenge is not the absence of policy, but the gap between legislative ambition and operational capacity. Moving forward, achieving genuinely person-led care will depend on sustained investment, workforce development, and a fundamental cultural shift towards shared accountability across organisational boundaries. Without these changes, the aspiration of truly holistic, integrated care will remain only partially fulfilled.</w:t>
      </w:r>
    </w:p>
    <w:p w14:paraId="077ED66E" w14:textId="65032AC0" w:rsidR="00027A81" w:rsidRPr="00027A81" w:rsidRDefault="2B7D20F5" w:rsidP="00027A81">
      <w:pPr>
        <w:rPr>
          <w:rFonts w:eastAsia="Segoe UI"/>
          <w:color w:val="242424"/>
        </w:rPr>
      </w:pPr>
      <w:r w:rsidRPr="00027A81">
        <w:rPr>
          <w:rFonts w:eastAsia="Segoe UI"/>
          <w:color w:val="242424"/>
        </w:rPr>
        <w:t>Partnership working is defined as the collaborative effort between professionals, agencies, and service users to achieve shared outcomes (Dickinson and Glasby, 2010). It is the operational vehicle through which PCC is delivered.</w:t>
      </w:r>
      <w:r w:rsidR="00000000" w:rsidRPr="00027A81">
        <w:br/>
      </w:r>
      <w:r w:rsidR="00000000" w:rsidRPr="00027A81">
        <w:br/>
      </w:r>
      <w:r w:rsidRPr="00027A81">
        <w:rPr>
          <w:rFonts w:eastAsia="Segoe UI"/>
          <w:color w:val="242424"/>
        </w:rPr>
        <w:t>The Multidisciplinary Team (MDT): Effective PW requires a "flat hierarchy" where the input of the Social Worker, the Occupational Therapist (OT), and the Nurse carries equal weight. Historically, the "Medical Consultant" held the most power in care planning, but modern integrated care requires a move toward "Shared Decision-Making" (SDM).</w:t>
      </w:r>
      <w:r w:rsidR="00000000" w:rsidRPr="00027A81">
        <w:br/>
      </w:r>
      <w:r w:rsidR="00000000" w:rsidRPr="00027A81">
        <w:br/>
      </w:r>
      <w:r w:rsidRPr="00027A81">
        <w:rPr>
          <w:rFonts w:eastAsia="Segoe UI"/>
          <w:color w:val="242424"/>
        </w:rPr>
        <w:t xml:space="preserve">Barriers to PW: Professional "silos" remain a significant hurdle. Cultural differences between the NHS (free at the point of use, medically led) and Social Care (means-tested, social-model led) often create friction. Furthermore, technological fragmentation prevents seamless information sharing. If a GP cannot access a </w:t>
      </w:r>
      <w:r w:rsidRPr="00027A81">
        <w:rPr>
          <w:rFonts w:eastAsia="Segoe UI"/>
          <w:color w:val="242424"/>
        </w:rPr>
        <w:lastRenderedPageBreak/>
        <w:t>Social Worker’s assessment regarding a patient's home safety, the "person-centred" picture remains incomplete, leading to fragmented and potentially unsafe care (NHS England, 2019).</w:t>
      </w:r>
      <w:r w:rsidR="00000000" w:rsidRPr="00027A81">
        <w:br/>
      </w:r>
      <w:r w:rsidR="00000000" w:rsidRPr="009C3232">
        <w:rPr>
          <w:u w:val="single"/>
        </w:rPr>
        <w:br/>
      </w:r>
      <w:r w:rsidRPr="009C3232">
        <w:rPr>
          <w:rFonts w:eastAsia="Segoe UI"/>
          <w:color w:val="242424"/>
          <w:u w:val="single"/>
        </w:rPr>
        <w:t>Practical Application: Case Study of Hospital Discharge</w:t>
      </w:r>
      <w:r w:rsidR="009C3232" w:rsidRPr="009C3232">
        <w:rPr>
          <w:rFonts w:eastAsia="Segoe UI"/>
          <w:color w:val="242424"/>
          <w:u w:val="single"/>
        </w:rPr>
        <w:t>:</w:t>
      </w:r>
      <w:r w:rsidR="00000000" w:rsidRPr="00027A81">
        <w:br/>
      </w:r>
      <w:r w:rsidR="00000000" w:rsidRPr="00027A81">
        <w:br/>
      </w:r>
      <w:r w:rsidRPr="00027A81">
        <w:rPr>
          <w:rFonts w:eastAsia="Segoe UI"/>
          <w:color w:val="242424"/>
        </w:rPr>
        <w:t>To evaluate the practical application of PW and PCC, consider the "Home First" discharge model for a service user ("Mrs. B") with early-stage dementia and a recent hip fracture.</w:t>
      </w:r>
      <w:r w:rsidR="00000000" w:rsidRPr="00027A81">
        <w:br/>
      </w:r>
      <w:r w:rsidR="00000000" w:rsidRPr="00027A81">
        <w:br/>
      </w:r>
      <w:r w:rsidRPr="00027A81">
        <w:rPr>
          <w:rFonts w:eastAsia="Segoe UI"/>
          <w:color w:val="242424"/>
        </w:rPr>
        <w:t>In this scenario, PW is seen through the interaction of the MDT. The Acute Medical Team ensures clinical stability, while the OT and Physiotherapist assess the home environment for safety. Simultaneously, the Social Worker conducts an assessment under the Care Act 2014 to determine eligibility for a reablement package.</w:t>
      </w:r>
      <w:r w:rsidR="00000000" w:rsidRPr="00027A81">
        <w:br/>
      </w:r>
      <w:r w:rsidR="00000000" w:rsidRPr="00027A81">
        <w:br/>
      </w:r>
      <w:r w:rsidRPr="00027A81">
        <w:rPr>
          <w:rFonts w:eastAsia="Segoe UI"/>
          <w:color w:val="242424"/>
        </w:rPr>
        <w:t>Critical Analysis of the Case: A person-centred approach ensures Mrs. B’s desire to return home is prioritized over the "safer" but more restrictive option of a residential care home. However, the partnership is tested when funding disputes arise. If the NHS and Local Authority cannot agree on who funds the long-term care (the "cost-shifting" problem), Mrs. B remains in a hospital bed—a phenomenon known as "delayed transfer of care." This demonstrates that without pooled budgets, partnership working remains a theoretical ideal rather than a practical reality.</w:t>
      </w:r>
      <w:r w:rsidR="00000000" w:rsidRPr="00027A81">
        <w:br/>
      </w:r>
      <w:r w:rsidR="00000000" w:rsidRPr="00027A81">
        <w:br/>
      </w:r>
      <w:r w:rsidRPr="009C3232">
        <w:rPr>
          <w:rFonts w:eastAsia="Segoe UI"/>
          <w:color w:val="242424"/>
          <w:u w:val="single"/>
        </w:rPr>
        <w:t>The Legislative Landscape: From 2014 to 2022</w:t>
      </w:r>
      <w:r w:rsidR="009C3232">
        <w:t>:</w:t>
      </w:r>
      <w:r w:rsidR="00000000" w:rsidRPr="00027A81">
        <w:br/>
      </w:r>
      <w:r w:rsidR="00000000" w:rsidRPr="00027A81">
        <w:br/>
      </w:r>
      <w:r w:rsidRPr="00027A81">
        <w:rPr>
          <w:rFonts w:eastAsia="Segoe UI"/>
          <w:color w:val="242424"/>
        </w:rPr>
        <w:t>The legal mandate for PCC and PW has evolved significantly over the last decade.</w:t>
      </w:r>
      <w:r w:rsidR="00000000" w:rsidRPr="00027A81">
        <w:br/>
      </w:r>
      <w:r w:rsidR="00000000" w:rsidRPr="00027A81">
        <w:br/>
      </w:r>
      <w:r w:rsidRPr="00027A81">
        <w:rPr>
          <w:rFonts w:eastAsia="Segoe UI"/>
          <w:color w:val="242424"/>
        </w:rPr>
        <w:t>The Care Act 2014: This Act revolutioni</w:t>
      </w:r>
      <w:r w:rsidR="006F7734" w:rsidRPr="00027A81">
        <w:rPr>
          <w:rFonts w:eastAsia="Segoe UI"/>
          <w:color w:val="242424"/>
        </w:rPr>
        <w:t>s</w:t>
      </w:r>
      <w:r w:rsidRPr="00027A81">
        <w:rPr>
          <w:rFonts w:eastAsia="Segoe UI"/>
          <w:color w:val="242424"/>
        </w:rPr>
        <w:t xml:space="preserve">ed social care by introducing the "Well-being Principle," requiring local authorities to promote individual well-being in every decision. It legally mandated that the individual must be at the </w:t>
      </w:r>
      <w:r w:rsidR="2E4EF55E" w:rsidRPr="00027A81">
        <w:rPr>
          <w:rFonts w:eastAsia="Segoe UI"/>
          <w:color w:val="242424"/>
        </w:rPr>
        <w:t>centre</w:t>
      </w:r>
      <w:r w:rsidRPr="00027A81">
        <w:rPr>
          <w:rFonts w:eastAsia="Segoe UI"/>
          <w:color w:val="242424"/>
        </w:rPr>
        <w:t xml:space="preserve"> of their care planning. However, Scourfield (2015) notes that the Act’s success was limited by "Austerity" and significant funding cuts to local government. While the law demanded person-centredness, the lack of resources led to higher "eligibility thresholds," often excluding those with moderate needs.</w:t>
      </w:r>
      <w:r w:rsidR="00000000" w:rsidRPr="00027A81">
        <w:br/>
      </w:r>
      <w:r w:rsidR="00000000" w:rsidRPr="00027A81">
        <w:br/>
      </w:r>
      <w:r w:rsidRPr="00027A81">
        <w:rPr>
          <w:rFonts w:eastAsia="Segoe UI"/>
          <w:color w:val="242424"/>
        </w:rPr>
        <w:t>The Health and Care Act 2022: This legislation marks a shift from competition to collaboration. It formally established Integrated Care Systems (ICS), legally requiring NHS bodies and Local Authorities to work together through Integrated Care Boards (ICBs). This Act addresses the "fragmentation" of previous reforms, mandating a "Duty to Collaborate." While this improves organi</w:t>
      </w:r>
      <w:r w:rsidR="006F7734" w:rsidRPr="00027A81">
        <w:rPr>
          <w:rFonts w:eastAsia="Segoe UI"/>
          <w:color w:val="242424"/>
        </w:rPr>
        <w:t>s</w:t>
      </w:r>
      <w:r w:rsidRPr="00027A81">
        <w:rPr>
          <w:rFonts w:eastAsia="Segoe UI"/>
          <w:color w:val="242424"/>
        </w:rPr>
        <w:t>ational structures, it does not solve the underlying "workforce crisis." Without sufficient staffing levels, the time required to sit down and truly engage in person-centred planning is often unavailable to frontline professionals (DHSC, 2021).</w:t>
      </w:r>
      <w:r w:rsidR="00000000" w:rsidRPr="00027A81">
        <w:br/>
      </w:r>
      <w:r w:rsidR="00000000" w:rsidRPr="009C3232">
        <w:rPr>
          <w:u w:val="single"/>
        </w:rPr>
        <w:lastRenderedPageBreak/>
        <w:br/>
      </w:r>
      <w:r w:rsidRPr="009C3232">
        <w:rPr>
          <w:rFonts w:eastAsia="Segoe UI"/>
          <w:color w:val="242424"/>
          <w:u w:val="single"/>
        </w:rPr>
        <w:t>Recommendations for Future Development</w:t>
      </w:r>
      <w:r w:rsidR="009C3232" w:rsidRPr="009C3232">
        <w:rPr>
          <w:rFonts w:eastAsia="Segoe UI"/>
          <w:color w:val="242424"/>
          <w:u w:val="single"/>
        </w:rPr>
        <w:t>:</w:t>
      </w:r>
      <w:r w:rsidR="00000000" w:rsidRPr="00027A81">
        <w:br/>
      </w:r>
      <w:r w:rsidR="00000000" w:rsidRPr="00027A81">
        <w:br/>
      </w:r>
      <w:r w:rsidRPr="00027A81">
        <w:rPr>
          <w:rFonts w:eastAsia="Segoe UI"/>
          <w:color w:val="242424"/>
        </w:rPr>
        <w:t>To ensure that PCC and PW transition from policy ideals to consistent frontline realities, the following is recommended:</w:t>
      </w:r>
      <w:r w:rsidR="006F7734" w:rsidRPr="00027A81">
        <w:rPr>
          <w:rFonts w:eastAsia="Segoe UI"/>
          <w:color w:val="242424"/>
        </w:rPr>
        <w:t xml:space="preserve"> </w:t>
      </w:r>
      <w:r w:rsidR="006F7734" w:rsidRPr="00027A81">
        <w:rPr>
          <w:rFonts w:eastAsia="Segoe UI"/>
          <w:color w:val="242424"/>
        </w:rPr>
        <w:t>Unified Digital Health and Care Records</w:t>
      </w:r>
      <w:r w:rsidR="006F7734" w:rsidRPr="00027A81">
        <w:rPr>
          <w:rFonts w:eastAsia="Segoe UI"/>
          <w:color w:val="242424"/>
        </w:rPr>
        <w:t>, M</w:t>
      </w:r>
      <w:r w:rsidR="006F7734" w:rsidRPr="00027A81">
        <w:rPr>
          <w:rFonts w:eastAsia="Segoe UI"/>
          <w:color w:val="242424"/>
        </w:rPr>
        <w:t>andatory Inter-Professional Education (IPE)</w:t>
      </w:r>
      <w:r w:rsidR="006F7734" w:rsidRPr="00027A81">
        <w:rPr>
          <w:rFonts w:eastAsia="Segoe UI"/>
          <w:color w:val="242424"/>
        </w:rPr>
        <w:t xml:space="preserve">, </w:t>
      </w:r>
      <w:r w:rsidR="006F7734" w:rsidRPr="00027A81">
        <w:rPr>
          <w:rFonts w:eastAsia="Segoe UI"/>
          <w:color w:val="242424"/>
        </w:rPr>
        <w:t>Expansion of Pooled Budgets</w:t>
      </w:r>
      <w:r w:rsidR="006F7734" w:rsidRPr="00027A81">
        <w:rPr>
          <w:rFonts w:eastAsia="Segoe UI"/>
          <w:color w:val="242424"/>
        </w:rPr>
        <w:t xml:space="preserve"> and </w:t>
      </w:r>
      <w:r w:rsidR="006F7734" w:rsidRPr="00027A81">
        <w:rPr>
          <w:rFonts w:eastAsia="Segoe UI"/>
          <w:color w:val="242424"/>
        </w:rPr>
        <w:t>Personal Health Budgets (PHBs</w:t>
      </w:r>
      <w:r w:rsidR="006F7734" w:rsidRPr="00027A81">
        <w:rPr>
          <w:rFonts w:eastAsia="Segoe UI"/>
          <w:color w:val="242424"/>
        </w:rPr>
        <w:t>).</w:t>
      </w:r>
      <w:r w:rsidR="00000000" w:rsidRPr="00027A81">
        <w:br/>
      </w:r>
      <w:r w:rsidR="00000000" w:rsidRPr="00027A81">
        <w:br/>
      </w:r>
      <w:r w:rsidR="006F7734" w:rsidRPr="00027A81">
        <w:rPr>
          <w:rFonts w:eastAsia="Segoe UI"/>
          <w:color w:val="242424"/>
        </w:rPr>
        <w:t xml:space="preserve">For </w:t>
      </w:r>
      <w:r w:rsidRPr="00027A81">
        <w:rPr>
          <w:rFonts w:eastAsia="Segoe UI"/>
          <w:color w:val="242424"/>
        </w:rPr>
        <w:t>Unified Digital Health and Care Records</w:t>
      </w:r>
      <w:r w:rsidR="006F7734" w:rsidRPr="00027A81">
        <w:rPr>
          <w:rFonts w:eastAsia="Segoe UI"/>
          <w:color w:val="242424"/>
        </w:rPr>
        <w:t>, t</w:t>
      </w:r>
      <w:r w:rsidRPr="00027A81">
        <w:rPr>
          <w:rFonts w:eastAsia="Segoe UI"/>
          <w:color w:val="242424"/>
        </w:rPr>
        <w:t>he DHSC must mandate a unified, real-time digital interface between the NHS and Social Care. This ensures that a service user’s preferences and care plans are accessible to all partners, preventing the "information gaps" that lead to fragmented care.</w:t>
      </w:r>
      <w:r w:rsidR="00000000" w:rsidRPr="00027A81">
        <w:br/>
      </w:r>
      <w:r w:rsidR="00000000" w:rsidRPr="00027A81">
        <w:br/>
      </w:r>
      <w:r w:rsidR="006F7734" w:rsidRPr="00027A81">
        <w:rPr>
          <w:rFonts w:eastAsia="Segoe UI"/>
          <w:color w:val="242424"/>
        </w:rPr>
        <w:t xml:space="preserve">Another recommendation includes </w:t>
      </w:r>
      <w:r w:rsidRPr="00027A81">
        <w:rPr>
          <w:rFonts w:eastAsia="Segoe UI"/>
          <w:color w:val="242424"/>
        </w:rPr>
        <w:t>Mandatory Inter-Professional Education (IPE</w:t>
      </w:r>
      <w:r w:rsidR="009C3232" w:rsidRPr="00027A81">
        <w:rPr>
          <w:rFonts w:eastAsia="Segoe UI"/>
          <w:color w:val="242424"/>
        </w:rPr>
        <w:t>). This</w:t>
      </w:r>
      <w:r w:rsidR="006F7734" w:rsidRPr="00027A81">
        <w:rPr>
          <w:rFonts w:eastAsia="Segoe UI"/>
          <w:color w:val="242424"/>
        </w:rPr>
        <w:t xml:space="preserve"> involved t</w:t>
      </w:r>
      <w:r w:rsidRPr="00027A81">
        <w:rPr>
          <w:rFonts w:eastAsia="Segoe UI"/>
          <w:color w:val="242424"/>
        </w:rPr>
        <w:t>raining for nurses, social workers, and doctors</w:t>
      </w:r>
      <w:r w:rsidR="006F7734" w:rsidRPr="00027A81">
        <w:rPr>
          <w:rFonts w:eastAsia="Segoe UI"/>
          <w:color w:val="242424"/>
        </w:rPr>
        <w:t xml:space="preserve">. It </w:t>
      </w:r>
      <w:r w:rsidRPr="00027A81">
        <w:rPr>
          <w:rFonts w:eastAsia="Segoe UI"/>
          <w:color w:val="242424"/>
        </w:rPr>
        <w:t>should include shared modules on PCC and PW. Fostering mutual professional respect at the undergraduate level can dismantle the "professional hierarchies" that hinder MDT effectiveness.</w:t>
      </w:r>
      <w:r w:rsidR="00000000" w:rsidRPr="00027A81">
        <w:br/>
      </w:r>
      <w:r w:rsidR="00000000" w:rsidRPr="00027A81">
        <w:br/>
      </w:r>
      <w:r w:rsidRPr="00027A81">
        <w:rPr>
          <w:rFonts w:eastAsia="Segoe UI"/>
          <w:color w:val="242424"/>
        </w:rPr>
        <w:t>Expansion of Pooled Budgets</w:t>
      </w:r>
      <w:r w:rsidR="006F7734" w:rsidRPr="00027A81">
        <w:rPr>
          <w:rFonts w:eastAsia="Segoe UI"/>
          <w:color w:val="242424"/>
        </w:rPr>
        <w:t xml:space="preserve"> is another recommendation for future development.</w:t>
      </w:r>
      <w:r w:rsidRPr="00027A81">
        <w:rPr>
          <w:rFonts w:eastAsia="Segoe UI"/>
          <w:color w:val="242424"/>
        </w:rPr>
        <w:t xml:space="preserve"> The government should expand the Better Care Fund, mandating pooled budgets for all elderly care services. When the financial goal is shared, the focus can return to the ethical fundamental of </w:t>
      </w:r>
      <w:r w:rsidR="48229571" w:rsidRPr="00027A81">
        <w:rPr>
          <w:rFonts w:eastAsia="Segoe UI"/>
          <w:color w:val="242424"/>
        </w:rPr>
        <w:t>beneficence; acting</w:t>
      </w:r>
      <w:r w:rsidRPr="00027A81">
        <w:rPr>
          <w:rFonts w:eastAsia="Segoe UI"/>
          <w:color w:val="242424"/>
        </w:rPr>
        <w:t xml:space="preserve"> in the user's best </w:t>
      </w:r>
      <w:r w:rsidR="40B9AE2D" w:rsidRPr="00027A81">
        <w:rPr>
          <w:rFonts w:eastAsia="Segoe UI"/>
          <w:color w:val="242424"/>
        </w:rPr>
        <w:t>interest, rather</w:t>
      </w:r>
      <w:r w:rsidRPr="00027A81">
        <w:rPr>
          <w:rFonts w:eastAsia="Segoe UI"/>
          <w:color w:val="242424"/>
        </w:rPr>
        <w:t xml:space="preserve"> than protecting departmental budgets.</w:t>
      </w:r>
      <w:r w:rsidR="00000000" w:rsidRPr="00027A81">
        <w:br/>
      </w:r>
      <w:r w:rsidR="00000000" w:rsidRPr="00027A81">
        <w:br/>
      </w:r>
      <w:r w:rsidR="006F7734" w:rsidRPr="00027A81">
        <w:rPr>
          <w:rFonts w:eastAsia="Segoe UI"/>
          <w:color w:val="242424"/>
        </w:rPr>
        <w:t xml:space="preserve">PHB’s </w:t>
      </w:r>
      <w:r w:rsidRPr="00027A81">
        <w:rPr>
          <w:rFonts w:eastAsia="Segoe UI"/>
          <w:color w:val="242424"/>
        </w:rPr>
        <w:t>should be expanded to allow more service users to commission their own care. This represents the ultimate application of PCC, shifting power from the institution to the individual (Think Local Act Personal, 2020).</w:t>
      </w:r>
      <w:r w:rsidR="00027A81" w:rsidRPr="00027A81">
        <w:t xml:space="preserve"> </w:t>
      </w:r>
      <w:r w:rsidR="00027A81" w:rsidRPr="00027A81">
        <w:rPr>
          <w:rFonts w:eastAsia="Segoe UI"/>
          <w:color w:val="242424"/>
        </w:rPr>
        <w:t>However, while Personal Health Budgets (PHBs) offer significant potential to enhance person-centred care, their implementation is not without challenges. One key limitation is the variability in service users’ ability to effectively manage their allocated budgets, particularly among individuals with complex needs or limited support networks. This raises concerns regarding equity, as those with higher levels of health literacy or informal support may derive greater benefit from PHBs than more vulnerable individuals.</w:t>
      </w:r>
    </w:p>
    <w:p w14:paraId="356023C9" w14:textId="77777777" w:rsidR="00027A81" w:rsidRPr="00027A81" w:rsidRDefault="00027A81" w:rsidP="00027A81">
      <w:pPr>
        <w:rPr>
          <w:rFonts w:eastAsia="Segoe UI"/>
          <w:color w:val="242424"/>
        </w:rPr>
      </w:pPr>
      <w:r w:rsidRPr="00027A81">
        <w:rPr>
          <w:rFonts w:eastAsia="Segoe UI"/>
          <w:color w:val="242424"/>
        </w:rPr>
        <w:t>Furthermore, there are safeguarding considerations associated with increased financial autonomy. Professionals must ensure that appropriate monitoring mechanisms are in place to prevent misuse or exploitation, particularly in cases where capacity may fluctuate. In this context, the principles outlined in the Mental Capacity Act 2005 remain essential in guiding decision-making and protecting service users’ best interests.</w:t>
      </w:r>
    </w:p>
    <w:p w14:paraId="4B30BF8F" w14:textId="77777777" w:rsidR="00027A81" w:rsidRDefault="00027A81" w:rsidP="00027A81">
      <w:pPr>
        <w:rPr>
          <w:rFonts w:eastAsia="Segoe UI"/>
          <w:color w:val="242424"/>
        </w:rPr>
      </w:pPr>
      <w:r w:rsidRPr="00027A81">
        <w:rPr>
          <w:rFonts w:eastAsia="Segoe UI"/>
          <w:color w:val="242424"/>
        </w:rPr>
        <w:lastRenderedPageBreak/>
        <w:t>Despite these challenges, when implemented with adequate support, PHBs can significantly enhance choice, control, and satisfaction with care provision. Therefore, their expansion should be accompanied by robust guidance, professional oversight, and tailored support to ensure that all service users can benefit equally from this approach.</w:t>
      </w:r>
    </w:p>
    <w:p w14:paraId="734DA91A" w14:textId="18456556" w:rsidR="00027A81" w:rsidRPr="009C3232" w:rsidRDefault="2B7D20F5" w:rsidP="00027A81">
      <w:pPr>
        <w:rPr>
          <w:rFonts w:eastAsia="Segoe UI"/>
          <w:color w:val="242424"/>
          <w:u w:val="single"/>
        </w:rPr>
      </w:pPr>
      <w:r w:rsidRPr="009C3232">
        <w:rPr>
          <w:rFonts w:eastAsia="Segoe UI"/>
          <w:color w:val="242424"/>
          <w:u w:val="single"/>
        </w:rPr>
        <w:t>Conclusion</w:t>
      </w:r>
      <w:r w:rsidR="009C3232">
        <w:rPr>
          <w:rFonts w:eastAsia="Segoe UI"/>
          <w:color w:val="242424"/>
          <w:u w:val="single"/>
        </w:rPr>
        <w:t>:</w:t>
      </w:r>
    </w:p>
    <w:p w14:paraId="1C0B03AA" w14:textId="53647234" w:rsidR="00D044FB" w:rsidRPr="00027A81" w:rsidRDefault="2B7D20F5" w:rsidP="00027A81">
      <w:pPr>
        <w:rPr>
          <w:rFonts w:eastAsia="Segoe UI"/>
          <w:color w:val="242424"/>
        </w:rPr>
      </w:pPr>
      <w:r w:rsidRPr="00027A81">
        <w:rPr>
          <w:rFonts w:eastAsia="Segoe UI"/>
          <w:color w:val="242424"/>
        </w:rPr>
        <w:t xml:space="preserve">Person-Centred Care and Partnership Working are the dual pillars of a modern, sustainable health and social care system. While the Health and Care Act 2022 </w:t>
      </w:r>
      <w:r w:rsidR="00B50CC9" w:rsidRPr="00027A81">
        <w:rPr>
          <w:rFonts w:eastAsia="Segoe UI"/>
          <w:color w:val="242424"/>
        </w:rPr>
        <w:t xml:space="preserve">provide </w:t>
      </w:r>
      <w:r w:rsidRPr="00027A81">
        <w:rPr>
          <w:rFonts w:eastAsia="Segoe UI"/>
          <w:color w:val="242424"/>
        </w:rPr>
        <w:t xml:space="preserve">a legal framework for integration, the practical delivery of care remains hampered by historical silos and financial constraints. Achieving high-quality, person-led outcomes requires a fundamental shift in professional </w:t>
      </w:r>
      <w:r w:rsidR="14E31912" w:rsidRPr="00027A81">
        <w:rPr>
          <w:rFonts w:eastAsia="Segoe UI"/>
          <w:color w:val="242424"/>
        </w:rPr>
        <w:t>culture, moving</w:t>
      </w:r>
      <w:r w:rsidRPr="00027A81">
        <w:rPr>
          <w:rFonts w:eastAsia="Segoe UI"/>
          <w:color w:val="242424"/>
        </w:rPr>
        <w:t xml:space="preserve"> away from a "system-first" mentality to one that truly values the "lived experience" of the individual. Only through genuine collaboration and shared ethical responsibility can the UK’s care services meet the complex needs of the 21st century</w:t>
      </w:r>
      <w:r w:rsidR="4F7AB14B" w:rsidRPr="00027A81">
        <w:rPr>
          <w:rFonts w:eastAsia="Segoe UI"/>
          <w:color w:val="242424"/>
        </w:rPr>
        <w:t>.</w:t>
      </w:r>
    </w:p>
    <w:p w14:paraId="3643C2C0" w14:textId="77777777" w:rsidR="0050755F" w:rsidRDefault="0050755F" w:rsidP="744662AA">
      <w:pPr>
        <w:rPr>
          <w:rFonts w:ascii="Segoe UI" w:eastAsia="Segoe UI" w:hAnsi="Segoe UI" w:cs="Segoe UI"/>
          <w:color w:val="242424"/>
          <w:sz w:val="22"/>
          <w:szCs w:val="22"/>
        </w:rPr>
      </w:pPr>
    </w:p>
    <w:p w14:paraId="034CE9EF" w14:textId="77777777" w:rsidR="0050755F" w:rsidRDefault="0050755F" w:rsidP="744662AA">
      <w:pPr>
        <w:rPr>
          <w:rFonts w:ascii="Segoe UI" w:eastAsia="Segoe UI" w:hAnsi="Segoe UI" w:cs="Segoe UI"/>
          <w:color w:val="242424"/>
          <w:sz w:val="22"/>
          <w:szCs w:val="22"/>
        </w:rPr>
      </w:pPr>
    </w:p>
    <w:p w14:paraId="0983BA7E" w14:textId="77777777" w:rsidR="008915CF" w:rsidRDefault="008915CF" w:rsidP="744662AA">
      <w:pPr>
        <w:rPr>
          <w:rFonts w:ascii="Segoe UI" w:eastAsia="Segoe UI" w:hAnsi="Segoe UI" w:cs="Segoe UI"/>
          <w:color w:val="242424"/>
          <w:sz w:val="22"/>
          <w:szCs w:val="22"/>
        </w:rPr>
      </w:pPr>
    </w:p>
    <w:p w14:paraId="22616B76" w14:textId="77777777" w:rsidR="008915CF" w:rsidRDefault="008915CF" w:rsidP="744662AA">
      <w:pPr>
        <w:rPr>
          <w:rFonts w:ascii="Segoe UI" w:eastAsia="Segoe UI" w:hAnsi="Segoe UI" w:cs="Segoe UI"/>
          <w:color w:val="242424"/>
          <w:sz w:val="22"/>
          <w:szCs w:val="22"/>
        </w:rPr>
      </w:pPr>
    </w:p>
    <w:p w14:paraId="3A44FAF3" w14:textId="77777777" w:rsidR="008915CF" w:rsidRDefault="008915CF" w:rsidP="744662AA">
      <w:pPr>
        <w:rPr>
          <w:rFonts w:ascii="Segoe UI" w:eastAsia="Segoe UI" w:hAnsi="Segoe UI" w:cs="Segoe UI"/>
          <w:color w:val="242424"/>
          <w:sz w:val="22"/>
          <w:szCs w:val="22"/>
        </w:rPr>
      </w:pPr>
    </w:p>
    <w:p w14:paraId="7AFDBA47" w14:textId="77777777" w:rsidR="008915CF" w:rsidRDefault="008915CF" w:rsidP="744662AA">
      <w:pPr>
        <w:rPr>
          <w:rFonts w:ascii="Segoe UI" w:eastAsia="Segoe UI" w:hAnsi="Segoe UI" w:cs="Segoe UI"/>
          <w:color w:val="242424"/>
          <w:sz w:val="22"/>
          <w:szCs w:val="22"/>
        </w:rPr>
      </w:pPr>
    </w:p>
    <w:p w14:paraId="203935BA" w14:textId="77777777" w:rsidR="008915CF" w:rsidRDefault="008915CF" w:rsidP="744662AA">
      <w:pPr>
        <w:rPr>
          <w:rFonts w:ascii="Segoe UI" w:eastAsia="Segoe UI" w:hAnsi="Segoe UI" w:cs="Segoe UI"/>
          <w:color w:val="242424"/>
          <w:sz w:val="22"/>
          <w:szCs w:val="22"/>
        </w:rPr>
      </w:pPr>
    </w:p>
    <w:p w14:paraId="17836A2A" w14:textId="77777777" w:rsidR="008915CF" w:rsidRDefault="008915CF" w:rsidP="744662AA">
      <w:pPr>
        <w:rPr>
          <w:rFonts w:ascii="Segoe UI" w:eastAsia="Segoe UI" w:hAnsi="Segoe UI" w:cs="Segoe UI"/>
          <w:color w:val="242424"/>
          <w:sz w:val="22"/>
          <w:szCs w:val="22"/>
        </w:rPr>
      </w:pPr>
    </w:p>
    <w:p w14:paraId="578C176E" w14:textId="77777777" w:rsidR="008915CF" w:rsidRDefault="008915CF" w:rsidP="744662AA">
      <w:pPr>
        <w:rPr>
          <w:rFonts w:ascii="Segoe UI" w:eastAsia="Segoe UI" w:hAnsi="Segoe UI" w:cs="Segoe UI"/>
          <w:color w:val="242424"/>
          <w:sz w:val="22"/>
          <w:szCs w:val="22"/>
        </w:rPr>
      </w:pPr>
    </w:p>
    <w:p w14:paraId="2247FBB3" w14:textId="77777777" w:rsidR="008915CF" w:rsidRDefault="008915CF" w:rsidP="744662AA">
      <w:pPr>
        <w:rPr>
          <w:rFonts w:ascii="Segoe UI" w:eastAsia="Segoe UI" w:hAnsi="Segoe UI" w:cs="Segoe UI"/>
          <w:color w:val="242424"/>
          <w:sz w:val="22"/>
          <w:szCs w:val="22"/>
        </w:rPr>
      </w:pPr>
    </w:p>
    <w:p w14:paraId="2BCB152C" w14:textId="77777777" w:rsidR="008915CF" w:rsidRDefault="008915CF" w:rsidP="744662AA">
      <w:pPr>
        <w:rPr>
          <w:rFonts w:ascii="Segoe UI" w:eastAsia="Segoe UI" w:hAnsi="Segoe UI" w:cs="Segoe UI"/>
          <w:color w:val="242424"/>
          <w:sz w:val="22"/>
          <w:szCs w:val="22"/>
        </w:rPr>
      </w:pPr>
    </w:p>
    <w:p w14:paraId="65D92319" w14:textId="77777777" w:rsidR="009C3232" w:rsidRDefault="009C3232" w:rsidP="744662AA">
      <w:pPr>
        <w:rPr>
          <w:rFonts w:ascii="Segoe UI" w:eastAsia="Segoe UI" w:hAnsi="Segoe UI" w:cs="Segoe UI"/>
          <w:color w:val="242424"/>
          <w:sz w:val="22"/>
          <w:szCs w:val="22"/>
        </w:rPr>
      </w:pPr>
    </w:p>
    <w:p w14:paraId="4DFD75A9" w14:textId="77777777" w:rsidR="009C3232" w:rsidRDefault="009C3232" w:rsidP="744662AA">
      <w:pPr>
        <w:rPr>
          <w:rFonts w:ascii="Segoe UI" w:eastAsia="Segoe UI" w:hAnsi="Segoe UI" w:cs="Segoe UI"/>
          <w:color w:val="242424"/>
          <w:sz w:val="22"/>
          <w:szCs w:val="22"/>
        </w:rPr>
      </w:pPr>
    </w:p>
    <w:p w14:paraId="47FB915E" w14:textId="77777777" w:rsidR="009C3232" w:rsidRDefault="009C3232" w:rsidP="744662AA">
      <w:pPr>
        <w:rPr>
          <w:rFonts w:ascii="Segoe UI" w:eastAsia="Segoe UI" w:hAnsi="Segoe UI" w:cs="Segoe UI"/>
          <w:color w:val="242424"/>
          <w:sz w:val="22"/>
          <w:szCs w:val="22"/>
        </w:rPr>
      </w:pPr>
    </w:p>
    <w:p w14:paraId="6049B01E" w14:textId="77777777" w:rsidR="009C3232" w:rsidRDefault="009C3232" w:rsidP="744662AA">
      <w:pPr>
        <w:rPr>
          <w:rFonts w:ascii="Segoe UI" w:eastAsia="Segoe UI" w:hAnsi="Segoe UI" w:cs="Segoe UI"/>
          <w:color w:val="242424"/>
          <w:sz w:val="22"/>
          <w:szCs w:val="22"/>
        </w:rPr>
      </w:pPr>
    </w:p>
    <w:p w14:paraId="54C44728" w14:textId="77777777" w:rsidR="009C3232" w:rsidRDefault="009C3232" w:rsidP="744662AA">
      <w:pPr>
        <w:rPr>
          <w:rFonts w:ascii="Segoe UI" w:eastAsia="Segoe UI" w:hAnsi="Segoe UI" w:cs="Segoe UI"/>
          <w:color w:val="242424"/>
          <w:sz w:val="22"/>
          <w:szCs w:val="22"/>
        </w:rPr>
      </w:pPr>
    </w:p>
    <w:p w14:paraId="3083D767" w14:textId="77777777" w:rsidR="009C3232" w:rsidRDefault="009C3232" w:rsidP="744662AA">
      <w:pPr>
        <w:rPr>
          <w:rFonts w:ascii="Segoe UI" w:eastAsia="Segoe UI" w:hAnsi="Segoe UI" w:cs="Segoe UI"/>
          <w:color w:val="242424"/>
          <w:sz w:val="22"/>
          <w:szCs w:val="22"/>
        </w:rPr>
      </w:pPr>
    </w:p>
    <w:p w14:paraId="7D388C3B" w14:textId="77777777" w:rsidR="009C3232" w:rsidRDefault="009C3232" w:rsidP="744662AA">
      <w:pPr>
        <w:rPr>
          <w:rFonts w:ascii="Segoe UI" w:eastAsia="Segoe UI" w:hAnsi="Segoe UI" w:cs="Segoe UI"/>
          <w:color w:val="242424"/>
          <w:sz w:val="22"/>
          <w:szCs w:val="22"/>
        </w:rPr>
      </w:pPr>
    </w:p>
    <w:p w14:paraId="35897CE9" w14:textId="77777777" w:rsidR="009C3232" w:rsidRDefault="009C3232" w:rsidP="744662AA">
      <w:pPr>
        <w:rPr>
          <w:rFonts w:ascii="Segoe UI" w:eastAsia="Segoe UI" w:hAnsi="Segoe UI" w:cs="Segoe UI"/>
          <w:color w:val="242424"/>
          <w:sz w:val="22"/>
          <w:szCs w:val="22"/>
        </w:rPr>
      </w:pPr>
    </w:p>
    <w:p w14:paraId="1E104DBE" w14:textId="77777777" w:rsidR="009C3232" w:rsidRDefault="009C3232" w:rsidP="744662AA">
      <w:pPr>
        <w:rPr>
          <w:rFonts w:ascii="Segoe UI" w:eastAsia="Segoe UI" w:hAnsi="Segoe UI" w:cs="Segoe UI"/>
          <w:color w:val="242424"/>
          <w:sz w:val="22"/>
          <w:szCs w:val="22"/>
        </w:rPr>
      </w:pPr>
    </w:p>
    <w:p w14:paraId="5E5787A5" w14:textId="6D3D9FA2" w:rsidR="00D044FB" w:rsidRDefault="2B7D20F5" w:rsidP="744662AA">
      <w:pPr>
        <w:rPr>
          <w:rFonts w:ascii="Arial" w:eastAsia="Arial" w:hAnsi="Arial" w:cs="Arial"/>
        </w:rPr>
      </w:pPr>
      <w:r w:rsidRPr="009C3232">
        <w:rPr>
          <w:rFonts w:ascii="Segoe UI" w:eastAsia="Segoe UI" w:hAnsi="Segoe UI" w:cs="Segoe UI"/>
          <w:color w:val="242424"/>
          <w:sz w:val="22"/>
          <w:szCs w:val="22"/>
          <w:u w:val="single"/>
        </w:rPr>
        <w:t>Reference List</w:t>
      </w:r>
      <w:r w:rsidR="578D06FD" w:rsidRPr="009C3232">
        <w:rPr>
          <w:rFonts w:ascii="Segoe UI" w:eastAsia="Segoe UI" w:hAnsi="Segoe UI" w:cs="Segoe UI"/>
          <w:color w:val="242424"/>
          <w:sz w:val="22"/>
          <w:szCs w:val="22"/>
          <w:u w:val="single"/>
        </w:rPr>
        <w:t>:</w:t>
      </w:r>
      <w:r w:rsidRPr="744662AA">
        <w:rPr>
          <w:rFonts w:ascii="Segoe UI" w:eastAsia="Segoe UI" w:hAnsi="Segoe UI" w:cs="Segoe UI"/>
          <w:color w:val="242424"/>
          <w:sz w:val="22"/>
          <w:szCs w:val="22"/>
        </w:rPr>
        <w:t xml:space="preserve"> </w:t>
      </w:r>
      <w:r w:rsidR="00000000">
        <w:br/>
      </w:r>
      <w:r w:rsidR="00000000">
        <w:br/>
      </w:r>
      <w:r w:rsidRPr="744662AA">
        <w:rPr>
          <w:rFonts w:ascii="Segoe UI" w:eastAsia="Segoe UI" w:hAnsi="Segoe UI" w:cs="Segoe UI"/>
          <w:color w:val="242424"/>
          <w:sz w:val="22"/>
          <w:szCs w:val="22"/>
        </w:rPr>
        <w:t>Beauchamp, T.L. and Childress, J.F. (2019) Principles of Biomedical Ethics. 8th edn. New York: Oxford University Press.</w:t>
      </w:r>
      <w:r w:rsidR="00000000">
        <w:br/>
      </w:r>
      <w:r w:rsidR="00000000">
        <w:br/>
      </w:r>
      <w:r w:rsidRPr="744662AA">
        <w:rPr>
          <w:rFonts w:ascii="Segoe UI" w:eastAsia="Segoe UI" w:hAnsi="Segoe UI" w:cs="Segoe UI"/>
          <w:color w:val="242424"/>
          <w:sz w:val="22"/>
          <w:szCs w:val="22"/>
        </w:rPr>
        <w:t xml:space="preserve">Care Act 2014, c. 23. London: The Stationery Office. Available at: </w:t>
      </w:r>
      <w:hyperlink r:id="rId5">
        <w:r w:rsidRPr="744662AA">
          <w:rPr>
            <w:rStyle w:val="Hyperlink"/>
            <w:rFonts w:ascii="Segoe UI" w:eastAsia="Segoe UI" w:hAnsi="Segoe UI" w:cs="Segoe UI"/>
            <w:sz w:val="22"/>
            <w:szCs w:val="22"/>
          </w:rPr>
          <w:t>https://www.legislation.gov.uk/ukpga/2014/23/contents/enacted</w:t>
        </w:r>
      </w:hyperlink>
      <w:r w:rsidRPr="744662AA">
        <w:rPr>
          <w:rFonts w:ascii="Segoe UI" w:eastAsia="Segoe UI" w:hAnsi="Segoe UI" w:cs="Segoe UI"/>
          <w:color w:val="242424"/>
          <w:sz w:val="22"/>
          <w:szCs w:val="22"/>
        </w:rPr>
        <w:t xml:space="preserve"> (Accessed: 2</w:t>
      </w:r>
      <w:r w:rsidR="0014461F">
        <w:rPr>
          <w:rFonts w:ascii="Segoe UI" w:eastAsia="Segoe UI" w:hAnsi="Segoe UI" w:cs="Segoe UI"/>
          <w:color w:val="242424"/>
          <w:sz w:val="22"/>
          <w:szCs w:val="22"/>
        </w:rPr>
        <w:t>2</w:t>
      </w:r>
      <w:r w:rsidRPr="744662AA">
        <w:rPr>
          <w:rFonts w:ascii="Segoe UI" w:eastAsia="Segoe UI" w:hAnsi="Segoe UI" w:cs="Segoe UI"/>
          <w:color w:val="242424"/>
          <w:sz w:val="22"/>
          <w:szCs w:val="22"/>
        </w:rPr>
        <w:t xml:space="preserve"> March 2026).</w:t>
      </w:r>
      <w:r w:rsidR="00000000">
        <w:br/>
      </w:r>
      <w:r w:rsidR="00000000">
        <w:br/>
      </w:r>
      <w:r w:rsidRPr="744662AA">
        <w:rPr>
          <w:rFonts w:ascii="Segoe UI" w:eastAsia="Segoe UI" w:hAnsi="Segoe UI" w:cs="Segoe UI"/>
          <w:color w:val="242424"/>
          <w:sz w:val="22"/>
          <w:szCs w:val="22"/>
        </w:rPr>
        <w:t>Department of Health and Social Care (2021) Integration and Innovation: Working together to improve health and social care for all. London: HM Government.</w:t>
      </w:r>
      <w:r w:rsidR="00000000">
        <w:br/>
      </w:r>
      <w:r w:rsidR="00000000">
        <w:br/>
      </w:r>
      <w:r w:rsidRPr="744662AA">
        <w:rPr>
          <w:rFonts w:ascii="Segoe UI" w:eastAsia="Segoe UI" w:hAnsi="Segoe UI" w:cs="Segoe UI"/>
          <w:color w:val="242424"/>
          <w:sz w:val="22"/>
          <w:szCs w:val="22"/>
        </w:rPr>
        <w:t>Dickinson, H. and Glasby, J. (2010) The Essential Guide to Partnership Working: Implementing Integrated Services in Health and Social Care. Bristol: Policy Press.</w:t>
      </w:r>
      <w:r w:rsidR="00000000">
        <w:br/>
      </w:r>
      <w:r w:rsidR="00000000">
        <w:br/>
      </w:r>
      <w:r w:rsidRPr="744662AA">
        <w:rPr>
          <w:rFonts w:ascii="Segoe UI" w:eastAsia="Segoe UI" w:hAnsi="Segoe UI" w:cs="Segoe UI"/>
          <w:color w:val="242424"/>
          <w:sz w:val="22"/>
          <w:szCs w:val="22"/>
        </w:rPr>
        <w:t xml:space="preserve">Eaton, S., Roberts, S. and Turner, B. (2015) ‘Reframing activation: help people manage their own health’, Health Foundation. Available at: </w:t>
      </w:r>
      <w:hyperlink r:id="rId6">
        <w:r w:rsidRPr="744662AA">
          <w:rPr>
            <w:rStyle w:val="Hyperlink"/>
            <w:rFonts w:ascii="Segoe UI" w:eastAsia="Segoe UI" w:hAnsi="Segoe UI" w:cs="Segoe UI"/>
            <w:sz w:val="22"/>
            <w:szCs w:val="22"/>
          </w:rPr>
          <w:t>https://www.health.org.uk</w:t>
        </w:r>
      </w:hyperlink>
      <w:r w:rsidRPr="744662AA">
        <w:rPr>
          <w:rFonts w:ascii="Segoe UI" w:eastAsia="Segoe UI" w:hAnsi="Segoe UI" w:cs="Segoe UI"/>
          <w:color w:val="242424"/>
          <w:sz w:val="22"/>
          <w:szCs w:val="22"/>
        </w:rPr>
        <w:t xml:space="preserve"> (Accessed: 23 March 2026).</w:t>
      </w:r>
      <w:r w:rsidR="00000000">
        <w:br/>
      </w:r>
      <w:r w:rsidR="00000000">
        <w:br/>
      </w:r>
      <w:r w:rsidRPr="744662AA">
        <w:rPr>
          <w:rFonts w:ascii="Segoe UI" w:eastAsia="Segoe UI" w:hAnsi="Segoe UI" w:cs="Segoe UI"/>
          <w:color w:val="242424"/>
          <w:sz w:val="22"/>
          <w:szCs w:val="22"/>
        </w:rPr>
        <w:t>Glasby, J. (2017) Understanding Health and Social Care. 3rd edn. Bristol: Policy Press.</w:t>
      </w:r>
      <w:r w:rsidR="00000000">
        <w:br/>
      </w:r>
      <w:r w:rsidR="00000000">
        <w:br/>
      </w:r>
      <w:r w:rsidRPr="744662AA">
        <w:rPr>
          <w:rFonts w:ascii="Segoe UI" w:eastAsia="Segoe UI" w:hAnsi="Segoe UI" w:cs="Segoe UI"/>
          <w:color w:val="242424"/>
          <w:sz w:val="22"/>
          <w:szCs w:val="22"/>
        </w:rPr>
        <w:t xml:space="preserve">Health and Care Act 2022, c. 31. London: The Stationery Office. Available at: </w:t>
      </w:r>
      <w:hyperlink r:id="rId7">
        <w:r w:rsidRPr="744662AA">
          <w:rPr>
            <w:rStyle w:val="Hyperlink"/>
            <w:rFonts w:ascii="Segoe UI" w:eastAsia="Segoe UI" w:hAnsi="Segoe UI" w:cs="Segoe UI"/>
            <w:sz w:val="22"/>
            <w:szCs w:val="22"/>
          </w:rPr>
          <w:t>https://www.legislation.gov.uk/ukpga/2022/31/contents/enacted</w:t>
        </w:r>
      </w:hyperlink>
      <w:r w:rsidRPr="744662AA">
        <w:rPr>
          <w:rFonts w:ascii="Segoe UI" w:eastAsia="Segoe UI" w:hAnsi="Segoe UI" w:cs="Segoe UI"/>
          <w:color w:val="242424"/>
          <w:sz w:val="22"/>
          <w:szCs w:val="22"/>
        </w:rPr>
        <w:t xml:space="preserve"> (Accessed: 2</w:t>
      </w:r>
      <w:r w:rsidR="0014461F">
        <w:rPr>
          <w:rFonts w:ascii="Segoe UI" w:eastAsia="Segoe UI" w:hAnsi="Segoe UI" w:cs="Segoe UI"/>
          <w:color w:val="242424"/>
          <w:sz w:val="22"/>
          <w:szCs w:val="22"/>
        </w:rPr>
        <w:t>4</w:t>
      </w:r>
      <w:r w:rsidRPr="744662AA">
        <w:rPr>
          <w:rFonts w:ascii="Segoe UI" w:eastAsia="Segoe UI" w:hAnsi="Segoe UI" w:cs="Segoe UI"/>
          <w:color w:val="242424"/>
          <w:sz w:val="22"/>
          <w:szCs w:val="22"/>
        </w:rPr>
        <w:t xml:space="preserve"> March 2026).</w:t>
      </w:r>
      <w:r w:rsidR="00000000">
        <w:br/>
      </w:r>
      <w:r w:rsidR="00000000">
        <w:br/>
      </w:r>
      <w:r w:rsidRPr="744662AA">
        <w:rPr>
          <w:rFonts w:ascii="Segoe UI" w:eastAsia="Segoe UI" w:hAnsi="Segoe UI" w:cs="Segoe UI"/>
          <w:color w:val="242424"/>
          <w:sz w:val="22"/>
          <w:szCs w:val="22"/>
        </w:rPr>
        <w:t>Health Foundation (2016) Person-centred care made simple. London: Health Foundation.</w:t>
      </w:r>
      <w:r w:rsidR="00000000">
        <w:br/>
      </w:r>
      <w:r w:rsidR="00000000">
        <w:br/>
      </w:r>
      <w:r w:rsidRPr="744662AA">
        <w:rPr>
          <w:rFonts w:ascii="Segoe UI" w:eastAsia="Segoe UI" w:hAnsi="Segoe UI" w:cs="Segoe UI"/>
          <w:color w:val="242424"/>
          <w:sz w:val="22"/>
          <w:szCs w:val="22"/>
        </w:rPr>
        <w:t xml:space="preserve">Human Rights Act 1998, c. 42. London: The Stationery Office. Available at: </w:t>
      </w:r>
      <w:hyperlink r:id="rId8">
        <w:r w:rsidRPr="744662AA">
          <w:rPr>
            <w:rStyle w:val="Hyperlink"/>
            <w:rFonts w:ascii="Segoe UI" w:eastAsia="Segoe UI" w:hAnsi="Segoe UI" w:cs="Segoe UI"/>
            <w:sz w:val="22"/>
            <w:szCs w:val="22"/>
          </w:rPr>
          <w:t>https://www.legislation.gov.uk/ukpga/1998/42/contents</w:t>
        </w:r>
      </w:hyperlink>
      <w:r w:rsidRPr="744662AA">
        <w:rPr>
          <w:rFonts w:ascii="Segoe UI" w:eastAsia="Segoe UI" w:hAnsi="Segoe UI" w:cs="Segoe UI"/>
          <w:color w:val="242424"/>
          <w:sz w:val="22"/>
          <w:szCs w:val="22"/>
        </w:rPr>
        <w:t xml:space="preserve"> (Accessed: 2</w:t>
      </w:r>
      <w:r w:rsidR="0014461F">
        <w:rPr>
          <w:rFonts w:ascii="Segoe UI" w:eastAsia="Segoe UI" w:hAnsi="Segoe UI" w:cs="Segoe UI"/>
          <w:color w:val="242424"/>
          <w:sz w:val="22"/>
          <w:szCs w:val="22"/>
        </w:rPr>
        <w:t>1</w:t>
      </w:r>
      <w:r w:rsidRPr="744662AA">
        <w:rPr>
          <w:rFonts w:ascii="Segoe UI" w:eastAsia="Segoe UI" w:hAnsi="Segoe UI" w:cs="Segoe UI"/>
          <w:color w:val="242424"/>
          <w:sz w:val="22"/>
          <w:szCs w:val="22"/>
        </w:rPr>
        <w:t xml:space="preserve"> March 2026).</w:t>
      </w:r>
      <w:r w:rsidR="00000000">
        <w:br/>
      </w:r>
      <w:r w:rsidR="00000000">
        <w:br/>
      </w:r>
      <w:r w:rsidRPr="744662AA">
        <w:rPr>
          <w:rFonts w:ascii="Segoe UI" w:eastAsia="Segoe UI" w:hAnsi="Segoe UI" w:cs="Segoe UI"/>
          <w:color w:val="242424"/>
          <w:sz w:val="22"/>
          <w:szCs w:val="22"/>
        </w:rPr>
        <w:t>Kitwood, T. (1997) Dementia Reconsidered: The Person Comes First. Buckingham: Open University Press.</w:t>
      </w:r>
      <w:r w:rsidR="00000000">
        <w:br/>
      </w:r>
      <w:r w:rsidR="00000000">
        <w:br/>
      </w:r>
      <w:r w:rsidRPr="744662AA">
        <w:rPr>
          <w:rFonts w:ascii="Segoe UI" w:eastAsia="Segoe UI" w:hAnsi="Segoe UI" w:cs="Segoe UI"/>
          <w:color w:val="242424"/>
          <w:sz w:val="22"/>
          <w:szCs w:val="22"/>
        </w:rPr>
        <w:t xml:space="preserve">Mental Capacity Act 2005, c. 9. London: The Stationery Office. Available at: </w:t>
      </w:r>
      <w:hyperlink r:id="rId9">
        <w:r w:rsidRPr="744662AA">
          <w:rPr>
            <w:rStyle w:val="Hyperlink"/>
            <w:rFonts w:ascii="Segoe UI" w:eastAsia="Segoe UI" w:hAnsi="Segoe UI" w:cs="Segoe UI"/>
            <w:sz w:val="22"/>
            <w:szCs w:val="22"/>
          </w:rPr>
          <w:t>https://www.legislation.gov.uk/ukpga/2005/9/contents</w:t>
        </w:r>
      </w:hyperlink>
      <w:r w:rsidRPr="744662AA">
        <w:rPr>
          <w:rFonts w:ascii="Segoe UI" w:eastAsia="Segoe UI" w:hAnsi="Segoe UI" w:cs="Segoe UI"/>
          <w:color w:val="242424"/>
          <w:sz w:val="22"/>
          <w:szCs w:val="22"/>
        </w:rPr>
        <w:t xml:space="preserve"> (Accessed: 2</w:t>
      </w:r>
      <w:r w:rsidR="0014461F">
        <w:rPr>
          <w:rFonts w:ascii="Segoe UI" w:eastAsia="Segoe UI" w:hAnsi="Segoe UI" w:cs="Segoe UI"/>
          <w:color w:val="242424"/>
          <w:sz w:val="22"/>
          <w:szCs w:val="22"/>
        </w:rPr>
        <w:t>0</w:t>
      </w:r>
      <w:r w:rsidRPr="744662AA">
        <w:rPr>
          <w:rFonts w:ascii="Segoe UI" w:eastAsia="Segoe UI" w:hAnsi="Segoe UI" w:cs="Segoe UI"/>
          <w:color w:val="242424"/>
          <w:sz w:val="22"/>
          <w:szCs w:val="22"/>
        </w:rPr>
        <w:t xml:space="preserve"> March 2026).</w:t>
      </w:r>
      <w:r w:rsidR="00000000">
        <w:br/>
      </w:r>
      <w:r w:rsidR="00000000">
        <w:br/>
      </w:r>
      <w:r w:rsidRPr="744662AA">
        <w:rPr>
          <w:rFonts w:ascii="Segoe UI" w:eastAsia="Segoe UI" w:hAnsi="Segoe UI" w:cs="Segoe UI"/>
          <w:color w:val="242424"/>
          <w:sz w:val="22"/>
          <w:szCs w:val="22"/>
        </w:rPr>
        <w:t>NHS England (2019) The NHS Long Term Plan. London: NHS England.</w:t>
      </w:r>
      <w:r w:rsidR="00000000">
        <w:br/>
      </w:r>
      <w:r w:rsidR="00000000">
        <w:br/>
      </w:r>
      <w:r w:rsidRPr="744662AA">
        <w:rPr>
          <w:rFonts w:ascii="Segoe UI" w:eastAsia="Segoe UI" w:hAnsi="Segoe UI" w:cs="Segoe UI"/>
          <w:color w:val="242424"/>
          <w:sz w:val="22"/>
          <w:szCs w:val="22"/>
        </w:rPr>
        <w:t>NICE (2018) Decision-making and mental capacity. [NG108]. London: National Institute for Health and Care Excellence.</w:t>
      </w:r>
      <w:r w:rsidR="00000000">
        <w:br/>
      </w:r>
      <w:r w:rsidR="00000000">
        <w:br/>
      </w:r>
      <w:r w:rsidRPr="744662AA">
        <w:rPr>
          <w:rFonts w:ascii="Segoe UI" w:eastAsia="Segoe UI" w:hAnsi="Segoe UI" w:cs="Segoe UI"/>
          <w:color w:val="242424"/>
          <w:sz w:val="22"/>
          <w:szCs w:val="22"/>
        </w:rPr>
        <w:lastRenderedPageBreak/>
        <w:t>Rogers, C.R. (1951) Client-Centered Therapy: Its Current Practice, Implications and Theory. London: Constable.</w:t>
      </w:r>
      <w:r w:rsidR="00000000">
        <w:br/>
      </w:r>
      <w:r w:rsidR="00000000">
        <w:br/>
      </w:r>
      <w:r w:rsidRPr="744662AA">
        <w:rPr>
          <w:rFonts w:ascii="Segoe UI" w:eastAsia="Segoe UI" w:hAnsi="Segoe UI" w:cs="Segoe UI"/>
          <w:color w:val="242424"/>
          <w:sz w:val="22"/>
          <w:szCs w:val="22"/>
        </w:rPr>
        <w:t>Scourfield, P. (2015) ‘The Care Act 2014: A fundamental change in the legal framework for adult social care?’, Journal of Social Welfare and Family Law, 37(2), pp. 245-257.</w:t>
      </w:r>
      <w:r w:rsidR="00000000">
        <w:br/>
      </w:r>
      <w:r w:rsidR="00000000">
        <w:br/>
      </w:r>
      <w:r w:rsidRPr="744662AA">
        <w:rPr>
          <w:rFonts w:ascii="Segoe UI" w:eastAsia="Segoe UI" w:hAnsi="Segoe UI" w:cs="Segoe UI"/>
          <w:color w:val="242424"/>
          <w:sz w:val="22"/>
          <w:szCs w:val="22"/>
        </w:rPr>
        <w:t xml:space="preserve">Think Local Act Personal (2020) Personalised Care and Support Planning Tool. Available at: </w:t>
      </w:r>
      <w:hyperlink r:id="rId10">
        <w:r w:rsidRPr="744662AA">
          <w:rPr>
            <w:rStyle w:val="Hyperlink"/>
            <w:rFonts w:ascii="Segoe UI" w:eastAsia="Segoe UI" w:hAnsi="Segoe UI" w:cs="Segoe UI"/>
            <w:sz w:val="22"/>
            <w:szCs w:val="22"/>
          </w:rPr>
          <w:t>https://www.thinklocalactpersonal.org.uk</w:t>
        </w:r>
      </w:hyperlink>
      <w:r w:rsidRPr="744662AA">
        <w:rPr>
          <w:rFonts w:ascii="Segoe UI" w:eastAsia="Segoe UI" w:hAnsi="Segoe UI" w:cs="Segoe UI"/>
          <w:color w:val="242424"/>
          <w:sz w:val="22"/>
          <w:szCs w:val="22"/>
        </w:rPr>
        <w:t xml:space="preserve"> (Accessed: 23 March 2026). </w:t>
      </w:r>
    </w:p>
    <w:sectPr w:rsidR="00D044F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Wh41tvB+BpGUHo" int2:id="rtkZTFL5">
      <int2:state int2:value="Rejected" int2:type="spell"/>
    </int2:textHash>
    <int2:textHash int2:hashCode="kFbFdq4DmNTZzA" int2:id="GcUk0IjP">
      <int2:state int2:value="Rejected" int2:type="spell"/>
    </int2:textHash>
    <int2:textHash int2:hashCode="2QXEDotLT2wjEy" int2:id="pkILzcf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41375"/>
    <w:multiLevelType w:val="hybridMultilevel"/>
    <w:tmpl w:val="AAFE4BEA"/>
    <w:lvl w:ilvl="0" w:tplc="A6BE720E">
      <w:start w:val="1"/>
      <w:numFmt w:val="bullet"/>
      <w:lvlText w:val=""/>
      <w:lvlJc w:val="left"/>
      <w:pPr>
        <w:ind w:left="720" w:hanging="360"/>
      </w:pPr>
      <w:rPr>
        <w:rFonts w:ascii="Symbol" w:hAnsi="Symbol" w:hint="default"/>
      </w:rPr>
    </w:lvl>
    <w:lvl w:ilvl="1" w:tplc="DF8A52E0">
      <w:start w:val="1"/>
      <w:numFmt w:val="bullet"/>
      <w:lvlText w:val="o"/>
      <w:lvlJc w:val="left"/>
      <w:pPr>
        <w:ind w:left="1440" w:hanging="360"/>
      </w:pPr>
      <w:rPr>
        <w:rFonts w:ascii="Courier New" w:hAnsi="Courier New" w:hint="default"/>
      </w:rPr>
    </w:lvl>
    <w:lvl w:ilvl="2" w:tplc="E084CD00">
      <w:start w:val="1"/>
      <w:numFmt w:val="bullet"/>
      <w:lvlText w:val=""/>
      <w:lvlJc w:val="left"/>
      <w:pPr>
        <w:ind w:left="2160" w:hanging="360"/>
      </w:pPr>
      <w:rPr>
        <w:rFonts w:ascii="Wingdings" w:hAnsi="Wingdings" w:hint="default"/>
      </w:rPr>
    </w:lvl>
    <w:lvl w:ilvl="3" w:tplc="333C0072">
      <w:start w:val="1"/>
      <w:numFmt w:val="bullet"/>
      <w:lvlText w:val=""/>
      <w:lvlJc w:val="left"/>
      <w:pPr>
        <w:ind w:left="2880" w:hanging="360"/>
      </w:pPr>
      <w:rPr>
        <w:rFonts w:ascii="Symbol" w:hAnsi="Symbol" w:hint="default"/>
      </w:rPr>
    </w:lvl>
    <w:lvl w:ilvl="4" w:tplc="61BA99DA">
      <w:start w:val="1"/>
      <w:numFmt w:val="bullet"/>
      <w:lvlText w:val="o"/>
      <w:lvlJc w:val="left"/>
      <w:pPr>
        <w:ind w:left="3600" w:hanging="360"/>
      </w:pPr>
      <w:rPr>
        <w:rFonts w:ascii="Courier New" w:hAnsi="Courier New" w:hint="default"/>
      </w:rPr>
    </w:lvl>
    <w:lvl w:ilvl="5" w:tplc="B05C4B2A">
      <w:start w:val="1"/>
      <w:numFmt w:val="bullet"/>
      <w:lvlText w:val=""/>
      <w:lvlJc w:val="left"/>
      <w:pPr>
        <w:ind w:left="4320" w:hanging="360"/>
      </w:pPr>
      <w:rPr>
        <w:rFonts w:ascii="Wingdings" w:hAnsi="Wingdings" w:hint="default"/>
      </w:rPr>
    </w:lvl>
    <w:lvl w:ilvl="6" w:tplc="E3327A36">
      <w:start w:val="1"/>
      <w:numFmt w:val="bullet"/>
      <w:lvlText w:val=""/>
      <w:lvlJc w:val="left"/>
      <w:pPr>
        <w:ind w:left="5040" w:hanging="360"/>
      </w:pPr>
      <w:rPr>
        <w:rFonts w:ascii="Symbol" w:hAnsi="Symbol" w:hint="default"/>
      </w:rPr>
    </w:lvl>
    <w:lvl w:ilvl="7" w:tplc="E2BE5302">
      <w:start w:val="1"/>
      <w:numFmt w:val="bullet"/>
      <w:lvlText w:val="o"/>
      <w:lvlJc w:val="left"/>
      <w:pPr>
        <w:ind w:left="5760" w:hanging="360"/>
      </w:pPr>
      <w:rPr>
        <w:rFonts w:ascii="Courier New" w:hAnsi="Courier New" w:hint="default"/>
      </w:rPr>
    </w:lvl>
    <w:lvl w:ilvl="8" w:tplc="05AE2084">
      <w:start w:val="1"/>
      <w:numFmt w:val="bullet"/>
      <w:lvlText w:val=""/>
      <w:lvlJc w:val="left"/>
      <w:pPr>
        <w:ind w:left="6480" w:hanging="360"/>
      </w:pPr>
      <w:rPr>
        <w:rFonts w:ascii="Wingdings" w:hAnsi="Wingdings" w:hint="default"/>
      </w:rPr>
    </w:lvl>
  </w:abstractNum>
  <w:abstractNum w:abstractNumId="1" w15:restartNumberingAfterBreak="0">
    <w:nsid w:val="2F37B6CA"/>
    <w:multiLevelType w:val="hybridMultilevel"/>
    <w:tmpl w:val="335CE0C0"/>
    <w:lvl w:ilvl="0" w:tplc="CA5CB670">
      <w:start w:val="1"/>
      <w:numFmt w:val="bullet"/>
      <w:lvlText w:val=""/>
      <w:lvlJc w:val="left"/>
      <w:pPr>
        <w:ind w:left="720" w:hanging="360"/>
      </w:pPr>
      <w:rPr>
        <w:rFonts w:ascii="Symbol" w:hAnsi="Symbol" w:hint="default"/>
      </w:rPr>
    </w:lvl>
    <w:lvl w:ilvl="1" w:tplc="9968AB04">
      <w:start w:val="1"/>
      <w:numFmt w:val="bullet"/>
      <w:lvlText w:val="o"/>
      <w:lvlJc w:val="left"/>
      <w:pPr>
        <w:ind w:left="1440" w:hanging="360"/>
      </w:pPr>
      <w:rPr>
        <w:rFonts w:ascii="Courier New" w:hAnsi="Courier New" w:hint="default"/>
      </w:rPr>
    </w:lvl>
    <w:lvl w:ilvl="2" w:tplc="4C0E4E24">
      <w:start w:val="1"/>
      <w:numFmt w:val="bullet"/>
      <w:lvlText w:val=""/>
      <w:lvlJc w:val="left"/>
      <w:pPr>
        <w:ind w:left="2160" w:hanging="360"/>
      </w:pPr>
      <w:rPr>
        <w:rFonts w:ascii="Wingdings" w:hAnsi="Wingdings" w:hint="default"/>
      </w:rPr>
    </w:lvl>
    <w:lvl w:ilvl="3" w:tplc="41B8A6B8">
      <w:start w:val="1"/>
      <w:numFmt w:val="bullet"/>
      <w:lvlText w:val=""/>
      <w:lvlJc w:val="left"/>
      <w:pPr>
        <w:ind w:left="2880" w:hanging="360"/>
      </w:pPr>
      <w:rPr>
        <w:rFonts w:ascii="Symbol" w:hAnsi="Symbol" w:hint="default"/>
      </w:rPr>
    </w:lvl>
    <w:lvl w:ilvl="4" w:tplc="6346F0FE">
      <w:start w:val="1"/>
      <w:numFmt w:val="bullet"/>
      <w:lvlText w:val="o"/>
      <w:lvlJc w:val="left"/>
      <w:pPr>
        <w:ind w:left="3600" w:hanging="360"/>
      </w:pPr>
      <w:rPr>
        <w:rFonts w:ascii="Courier New" w:hAnsi="Courier New" w:hint="default"/>
      </w:rPr>
    </w:lvl>
    <w:lvl w:ilvl="5" w:tplc="0A524AC6">
      <w:start w:val="1"/>
      <w:numFmt w:val="bullet"/>
      <w:lvlText w:val=""/>
      <w:lvlJc w:val="left"/>
      <w:pPr>
        <w:ind w:left="4320" w:hanging="360"/>
      </w:pPr>
      <w:rPr>
        <w:rFonts w:ascii="Wingdings" w:hAnsi="Wingdings" w:hint="default"/>
      </w:rPr>
    </w:lvl>
    <w:lvl w:ilvl="6" w:tplc="1BE6C992">
      <w:start w:val="1"/>
      <w:numFmt w:val="bullet"/>
      <w:lvlText w:val=""/>
      <w:lvlJc w:val="left"/>
      <w:pPr>
        <w:ind w:left="5040" w:hanging="360"/>
      </w:pPr>
      <w:rPr>
        <w:rFonts w:ascii="Symbol" w:hAnsi="Symbol" w:hint="default"/>
      </w:rPr>
    </w:lvl>
    <w:lvl w:ilvl="7" w:tplc="A17CB690">
      <w:start w:val="1"/>
      <w:numFmt w:val="bullet"/>
      <w:lvlText w:val="o"/>
      <w:lvlJc w:val="left"/>
      <w:pPr>
        <w:ind w:left="5760" w:hanging="360"/>
      </w:pPr>
      <w:rPr>
        <w:rFonts w:ascii="Courier New" w:hAnsi="Courier New" w:hint="default"/>
      </w:rPr>
    </w:lvl>
    <w:lvl w:ilvl="8" w:tplc="1F56A046">
      <w:start w:val="1"/>
      <w:numFmt w:val="bullet"/>
      <w:lvlText w:val=""/>
      <w:lvlJc w:val="left"/>
      <w:pPr>
        <w:ind w:left="6480" w:hanging="360"/>
      </w:pPr>
      <w:rPr>
        <w:rFonts w:ascii="Wingdings" w:hAnsi="Wingdings" w:hint="default"/>
      </w:rPr>
    </w:lvl>
  </w:abstractNum>
  <w:abstractNum w:abstractNumId="2" w15:restartNumberingAfterBreak="0">
    <w:nsid w:val="3B6212C5"/>
    <w:multiLevelType w:val="hybridMultilevel"/>
    <w:tmpl w:val="BBC27CA0"/>
    <w:lvl w:ilvl="0" w:tplc="951E4A58">
      <w:start w:val="1"/>
      <w:numFmt w:val="bullet"/>
      <w:lvlText w:val=""/>
      <w:lvlJc w:val="left"/>
      <w:pPr>
        <w:ind w:left="720" w:hanging="360"/>
      </w:pPr>
      <w:rPr>
        <w:rFonts w:ascii="Symbol" w:hAnsi="Symbol" w:hint="default"/>
      </w:rPr>
    </w:lvl>
    <w:lvl w:ilvl="1" w:tplc="6E1CBD00">
      <w:start w:val="1"/>
      <w:numFmt w:val="bullet"/>
      <w:lvlText w:val="o"/>
      <w:lvlJc w:val="left"/>
      <w:pPr>
        <w:ind w:left="1440" w:hanging="360"/>
      </w:pPr>
      <w:rPr>
        <w:rFonts w:ascii="Courier New" w:hAnsi="Courier New" w:hint="default"/>
      </w:rPr>
    </w:lvl>
    <w:lvl w:ilvl="2" w:tplc="3DE6FFDA">
      <w:start w:val="1"/>
      <w:numFmt w:val="bullet"/>
      <w:lvlText w:val=""/>
      <w:lvlJc w:val="left"/>
      <w:pPr>
        <w:ind w:left="2160" w:hanging="360"/>
      </w:pPr>
      <w:rPr>
        <w:rFonts w:ascii="Wingdings" w:hAnsi="Wingdings" w:hint="default"/>
      </w:rPr>
    </w:lvl>
    <w:lvl w:ilvl="3" w:tplc="10FC0514">
      <w:start w:val="1"/>
      <w:numFmt w:val="bullet"/>
      <w:lvlText w:val=""/>
      <w:lvlJc w:val="left"/>
      <w:pPr>
        <w:ind w:left="2880" w:hanging="360"/>
      </w:pPr>
      <w:rPr>
        <w:rFonts w:ascii="Symbol" w:hAnsi="Symbol" w:hint="default"/>
      </w:rPr>
    </w:lvl>
    <w:lvl w:ilvl="4" w:tplc="3A5E9B5E">
      <w:start w:val="1"/>
      <w:numFmt w:val="bullet"/>
      <w:lvlText w:val="o"/>
      <w:lvlJc w:val="left"/>
      <w:pPr>
        <w:ind w:left="3600" w:hanging="360"/>
      </w:pPr>
      <w:rPr>
        <w:rFonts w:ascii="Courier New" w:hAnsi="Courier New" w:hint="default"/>
      </w:rPr>
    </w:lvl>
    <w:lvl w:ilvl="5" w:tplc="CC346146">
      <w:start w:val="1"/>
      <w:numFmt w:val="bullet"/>
      <w:lvlText w:val=""/>
      <w:lvlJc w:val="left"/>
      <w:pPr>
        <w:ind w:left="4320" w:hanging="360"/>
      </w:pPr>
      <w:rPr>
        <w:rFonts w:ascii="Wingdings" w:hAnsi="Wingdings" w:hint="default"/>
      </w:rPr>
    </w:lvl>
    <w:lvl w:ilvl="6" w:tplc="3C7EFD2E">
      <w:start w:val="1"/>
      <w:numFmt w:val="bullet"/>
      <w:lvlText w:val=""/>
      <w:lvlJc w:val="left"/>
      <w:pPr>
        <w:ind w:left="5040" w:hanging="360"/>
      </w:pPr>
      <w:rPr>
        <w:rFonts w:ascii="Symbol" w:hAnsi="Symbol" w:hint="default"/>
      </w:rPr>
    </w:lvl>
    <w:lvl w:ilvl="7" w:tplc="98B85858">
      <w:start w:val="1"/>
      <w:numFmt w:val="bullet"/>
      <w:lvlText w:val="o"/>
      <w:lvlJc w:val="left"/>
      <w:pPr>
        <w:ind w:left="5760" w:hanging="360"/>
      </w:pPr>
      <w:rPr>
        <w:rFonts w:ascii="Courier New" w:hAnsi="Courier New" w:hint="default"/>
      </w:rPr>
    </w:lvl>
    <w:lvl w:ilvl="8" w:tplc="91F4AC34">
      <w:start w:val="1"/>
      <w:numFmt w:val="bullet"/>
      <w:lvlText w:val=""/>
      <w:lvlJc w:val="left"/>
      <w:pPr>
        <w:ind w:left="6480" w:hanging="360"/>
      </w:pPr>
      <w:rPr>
        <w:rFonts w:ascii="Wingdings" w:hAnsi="Wingdings" w:hint="default"/>
      </w:rPr>
    </w:lvl>
  </w:abstractNum>
  <w:num w:numId="1" w16cid:durableId="468479288">
    <w:abstractNumId w:val="0"/>
  </w:num>
  <w:num w:numId="2" w16cid:durableId="251207835">
    <w:abstractNumId w:val="2"/>
  </w:num>
  <w:num w:numId="3" w16cid:durableId="229274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CFC3C1"/>
    <w:rsid w:val="00027A81"/>
    <w:rsid w:val="0014461F"/>
    <w:rsid w:val="00196A78"/>
    <w:rsid w:val="00301C88"/>
    <w:rsid w:val="0050755F"/>
    <w:rsid w:val="006063F9"/>
    <w:rsid w:val="006F7734"/>
    <w:rsid w:val="008915CF"/>
    <w:rsid w:val="008F616A"/>
    <w:rsid w:val="009C3232"/>
    <w:rsid w:val="00B50CC9"/>
    <w:rsid w:val="00C37992"/>
    <w:rsid w:val="00D044FB"/>
    <w:rsid w:val="00F115B8"/>
    <w:rsid w:val="00FE1CB9"/>
    <w:rsid w:val="04E8DB86"/>
    <w:rsid w:val="094CD68F"/>
    <w:rsid w:val="0F48B775"/>
    <w:rsid w:val="115A0F84"/>
    <w:rsid w:val="129C61A1"/>
    <w:rsid w:val="14E31912"/>
    <w:rsid w:val="1C3B19B0"/>
    <w:rsid w:val="1F18A811"/>
    <w:rsid w:val="280DFAC3"/>
    <w:rsid w:val="290BCA68"/>
    <w:rsid w:val="2B7D20F5"/>
    <w:rsid w:val="2C1B78E7"/>
    <w:rsid w:val="2E13877F"/>
    <w:rsid w:val="2E4EF55E"/>
    <w:rsid w:val="3002B026"/>
    <w:rsid w:val="30FEB63F"/>
    <w:rsid w:val="34795A23"/>
    <w:rsid w:val="36043B59"/>
    <w:rsid w:val="37A8C906"/>
    <w:rsid w:val="3922C874"/>
    <w:rsid w:val="3E68739B"/>
    <w:rsid w:val="40B9AE2D"/>
    <w:rsid w:val="41E5DB9A"/>
    <w:rsid w:val="4233A80B"/>
    <w:rsid w:val="4246BDA9"/>
    <w:rsid w:val="425BFA7F"/>
    <w:rsid w:val="42C007FF"/>
    <w:rsid w:val="45E4EEB0"/>
    <w:rsid w:val="48229571"/>
    <w:rsid w:val="4EAC252E"/>
    <w:rsid w:val="4ECFC3C1"/>
    <w:rsid w:val="4F7AB14B"/>
    <w:rsid w:val="51F0502A"/>
    <w:rsid w:val="54BF4786"/>
    <w:rsid w:val="565C4A21"/>
    <w:rsid w:val="578D06FD"/>
    <w:rsid w:val="59A0876A"/>
    <w:rsid w:val="5C088189"/>
    <w:rsid w:val="6009499E"/>
    <w:rsid w:val="60C633FB"/>
    <w:rsid w:val="613BA526"/>
    <w:rsid w:val="64433A01"/>
    <w:rsid w:val="652D8016"/>
    <w:rsid w:val="681B9C7E"/>
    <w:rsid w:val="68E31031"/>
    <w:rsid w:val="6A315F0C"/>
    <w:rsid w:val="7211A535"/>
    <w:rsid w:val="744662AA"/>
    <w:rsid w:val="74B31C6A"/>
    <w:rsid w:val="784634EA"/>
    <w:rsid w:val="78FB9F1C"/>
    <w:rsid w:val="7F5105F6"/>
    <w:rsid w:val="7FF92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BA8E"/>
  <w15:chartTrackingRefBased/>
  <w15:docId w15:val="{DC998A4F-5F12-4C63-901A-F8845D80A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44662A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legislation.gov.uk%2Fukpga%2F1998%2F42%2Fcontents&amp;data=05%7C02%7C2424520%40student.uwtsd.ac.uk%7Ca7418041e41e473e9fb308de89d8cd88%7C4e0f11f9046e45059cb8db2152311e21%7C0%7C0%7C639099761427680405%7CUnknown%7CTWFpbGZsb3d8eyJFbXB0eU1hcGkiOnRydWUsIlYiOiIwLjAuMDAwMCIsIlAiOiJXaW4zMiIsIkFOIjoiTWFpbCIsIldUIjoyfQ%3D%3D%7C0%7C%7C%7C&amp;sdata=B9UcVcUDkiYNmDGPEj94p1YYHPq4JfJmpO923DZmie8%3D&amp;reserved=0"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eur01.safelinks.protection.outlook.com/?url=https%3A%2F%2Fwww.legislation.gov.uk%2Fukpga%2F2022%2F31%2Fcontents%2Fenacted&amp;data=05%7C02%7C2424520%40student.uwtsd.ac.uk%7Ca7418041e41e473e9fb308de89d8cd88%7C4e0f11f9046e45059cb8db2152311e21%7C0%7C0%7C639099761427653161%7CUnknown%7CTWFpbGZsb3d8eyJFbXB0eU1hcGkiOnRydWUsIlYiOiIwLjAuMDAwMCIsIlAiOiJXaW4zMiIsIkFOIjoiTWFpbCIsIldUIjoyfQ%3D%3D%7C0%7C%7C%7C&amp;sdata=sC6oej%2F1KIzhh5xNJX%2FvlBoDYaBBTWYXmQRoS7tcHfA%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www.health.org.uk%2F&amp;data=05%7C02%7C2424520%40student.uwtsd.ac.uk%7Ca7418041e41e473e9fb308de89d8cd88%7C4e0f11f9046e45059cb8db2152311e21%7C0%7C0%7C639099761427617113%7CUnknown%7CTWFpbGZsb3d8eyJFbXB0eU1hcGkiOnRydWUsIlYiOiIwLjAuMDAwMCIsIlAiOiJXaW4zMiIsIkFOIjoiTWFpbCIsIldUIjoyfQ%3D%3D%7C0%7C%7C%7C&amp;sdata=fMUf7K54yER67TrAS4H0j47vstlwBKAtRlwyyOhp8fA%3D&amp;reserved=0" TargetMode="External"/><Relationship Id="rId11" Type="http://schemas.openxmlformats.org/officeDocument/2006/relationships/fontTable" Target="fontTable.xml"/><Relationship Id="rId5" Type="http://schemas.openxmlformats.org/officeDocument/2006/relationships/hyperlink" Target="https://eur01.safelinks.protection.outlook.com/?url=https%3A%2F%2Fwww.legislation.gov.uk%2Fukpga%2F2014%2F23%2Fcontents%2Fenacted&amp;data=05%7C02%7C2424520%40student.uwtsd.ac.uk%7Ca7418041e41e473e9fb308de89d8cd88%7C4e0f11f9046e45059cb8db2152311e21%7C0%7C0%7C639099761427565882%7CUnknown%7CTWFpbGZsb3d8eyJFbXB0eU1hcGkiOnRydWUsIlYiOiIwLjAuMDAwMCIsIlAiOiJXaW4zMiIsIkFOIjoiTWFpbCIsIldUIjoyfQ%3D%3D%7C0%7C%7C%7C&amp;sdata=KSdx3BIhf8NOB0XASXUj951gstw%2BXmPezYd%2Bm1Y%2Bvvg%3D&amp;reserved=0" TargetMode="External"/><Relationship Id="rId10" Type="http://schemas.openxmlformats.org/officeDocument/2006/relationships/hyperlink" Target="https://eur01.safelinks.protection.outlook.com/?url=https%3A%2F%2Fwww.thinklocalactpersonal.org.uk%2F&amp;data=05%7C02%7C2424520%40student.uwtsd.ac.uk%7Ca7418041e41e473e9fb308de89d8cd88%7C4e0f11f9046e45059cb8db2152311e21%7C0%7C0%7C639099761427725925%7CUnknown%7CTWFpbGZsb3d8eyJFbXB0eU1hcGkiOnRydWUsIlYiOiIwLjAuMDAwMCIsIlAiOiJXaW4zMiIsIkFOIjoiTWFpbCIsIldUIjoyfQ%3D%3D%7C0%7C%7C%7C&amp;sdata=HO8MjT%2BOh4medjh1uN4a%2Ff2x2V4DxS9%2FE1OP4ODPM2M%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legislation.gov.uk%2Fukpga%2F2005%2F9%2Fcontents&amp;data=05%7C02%7C2424520%40student.uwtsd.ac.uk%7Ca7418041e41e473e9fb308de89d8cd88%7C4e0f11f9046e45059cb8db2152311e21%7C0%7C0%7C639099761427703636%7CUnknown%7CTWFpbGZsb3d8eyJFbXB0eU1hcGkiOnRydWUsIlYiOiIwLjAuMDAwMCIsIlAiOiJXaW4zMiIsIkFOIjoiTWFpbCIsIldUIjoyfQ%3D%3D%7C0%7C%7C%7C&amp;sdata=pXIXhAnq7%2Fgem9U7lG2kXMrGMk87ZxKEftlkQ7JF%2Fa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Adila Bashir (2424520)</dc:creator>
  <cp:keywords/>
  <dc:description/>
  <cp:lastModifiedBy>adila bashir</cp:lastModifiedBy>
  <cp:revision>2</cp:revision>
  <dcterms:created xsi:type="dcterms:W3CDTF">2026-03-24T21:36:00Z</dcterms:created>
  <dcterms:modified xsi:type="dcterms:W3CDTF">2026-03-24T21:36:00Z</dcterms:modified>
</cp:coreProperties>
</file>