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188C5" w14:textId="77777777" w:rsidR="000A2285" w:rsidRDefault="00B9150E" w:rsidP="008917F4">
      <w:pPr>
        <w:spacing w:after="160" w:line="360" w:lineRule="auto"/>
        <w:jc w:val="both"/>
      </w:pPr>
      <w:r>
        <w:br/>
      </w:r>
      <w:r>
        <w:rPr>
          <w:noProof/>
        </w:rPr>
        <w:drawing>
          <wp:inline distT="0" distB="0" distL="0" distR="0" wp14:anchorId="544E1A42" wp14:editId="5352337C">
            <wp:extent cx="2209800" cy="742950"/>
            <wp:effectExtent l="0" t="0" r="0" b="0"/>
            <wp:docPr id="2" name="image2.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2.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3758D0D9" w14:textId="77777777" w:rsidR="000A2285" w:rsidRDefault="00B9150E" w:rsidP="008917F4">
      <w:pPr>
        <w:spacing w:after="160" w:line="360" w:lineRule="auto"/>
        <w:jc w:val="both"/>
      </w:pPr>
      <w:r>
        <w:t xml:space="preserve"> </w:t>
      </w:r>
    </w:p>
    <w:p w14:paraId="6550E23B" w14:textId="77777777" w:rsidR="000A2285" w:rsidRDefault="00B9150E" w:rsidP="008917F4">
      <w:pPr>
        <w:spacing w:after="160" w:line="360" w:lineRule="auto"/>
      </w:pPr>
      <w:r>
        <w:t>Applied Leadership and Management in the Workplace</w:t>
      </w:r>
      <w:r>
        <w:br/>
        <w:t xml:space="preserve"> Module Assignment Submission</w:t>
      </w:r>
      <w:r>
        <w:br/>
      </w:r>
      <w:r>
        <w:br/>
      </w:r>
    </w:p>
    <w:tbl>
      <w:tblPr>
        <w:tblStyle w:val="a"/>
        <w:tblW w:w="87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175"/>
        <w:gridCol w:w="6600"/>
      </w:tblGrid>
      <w:tr w:rsidR="000A2285" w14:paraId="2F804360" w14:textId="77777777">
        <w:trPr>
          <w:trHeight w:val="525"/>
        </w:trPr>
        <w:tc>
          <w:tcPr>
            <w:tcW w:w="2175" w:type="dxa"/>
            <w:tcBorders>
              <w:top w:val="single" w:sz="5" w:space="0" w:color="000000"/>
              <w:left w:val="single" w:sz="5" w:space="0" w:color="000000"/>
              <w:bottom w:val="single" w:sz="5" w:space="0" w:color="000000"/>
              <w:right w:val="single" w:sz="5" w:space="0" w:color="000000"/>
            </w:tcBorders>
            <w:shd w:val="clear" w:color="auto" w:fill="D9D9D9"/>
            <w:tcMar>
              <w:top w:w="0" w:type="dxa"/>
              <w:left w:w="120" w:type="dxa"/>
              <w:bottom w:w="0" w:type="dxa"/>
              <w:right w:w="120" w:type="dxa"/>
            </w:tcMar>
          </w:tcPr>
          <w:p w14:paraId="6B03E39F" w14:textId="77777777" w:rsidR="000A2285" w:rsidRDefault="00B9150E" w:rsidP="008917F4">
            <w:pPr>
              <w:spacing w:after="160" w:line="360" w:lineRule="auto"/>
              <w:jc w:val="both"/>
            </w:pPr>
            <w:r>
              <w:t>Student Name:</w:t>
            </w:r>
          </w:p>
        </w:tc>
        <w:tc>
          <w:tcPr>
            <w:tcW w:w="6600" w:type="dxa"/>
            <w:tcBorders>
              <w:top w:val="single" w:sz="5" w:space="0" w:color="000000"/>
              <w:left w:val="nil"/>
              <w:bottom w:val="single" w:sz="5" w:space="0" w:color="000000"/>
              <w:right w:val="single" w:sz="5" w:space="0" w:color="000000"/>
            </w:tcBorders>
            <w:tcMar>
              <w:top w:w="0" w:type="dxa"/>
              <w:left w:w="120" w:type="dxa"/>
              <w:bottom w:w="0" w:type="dxa"/>
              <w:right w:w="120" w:type="dxa"/>
            </w:tcMar>
          </w:tcPr>
          <w:p w14:paraId="0F404413" w14:textId="7F820E4A" w:rsidR="000A2285" w:rsidRDefault="00B9150E" w:rsidP="008917F4">
            <w:pPr>
              <w:spacing w:after="160" w:line="360" w:lineRule="auto"/>
              <w:jc w:val="both"/>
            </w:pPr>
            <w:r>
              <w:t xml:space="preserve">Kelly </w:t>
            </w:r>
            <w:r w:rsidR="00365858">
              <w:t>Hughes</w:t>
            </w:r>
            <w:r>
              <w:t xml:space="preserve"> </w:t>
            </w:r>
          </w:p>
        </w:tc>
      </w:tr>
      <w:tr w:rsidR="000A2285" w14:paraId="15D9CD9C" w14:textId="77777777">
        <w:trPr>
          <w:trHeight w:val="525"/>
        </w:trPr>
        <w:tc>
          <w:tcPr>
            <w:tcW w:w="2175" w:type="dxa"/>
            <w:tcBorders>
              <w:top w:val="nil"/>
              <w:left w:val="single" w:sz="5" w:space="0" w:color="000000"/>
              <w:bottom w:val="single" w:sz="5" w:space="0" w:color="000000"/>
              <w:right w:val="single" w:sz="5" w:space="0" w:color="000000"/>
            </w:tcBorders>
            <w:shd w:val="clear" w:color="auto" w:fill="D9D9D9"/>
            <w:tcMar>
              <w:top w:w="0" w:type="dxa"/>
              <w:left w:w="120" w:type="dxa"/>
              <w:bottom w:w="0" w:type="dxa"/>
              <w:right w:w="120" w:type="dxa"/>
            </w:tcMar>
          </w:tcPr>
          <w:p w14:paraId="66A595BC" w14:textId="77777777" w:rsidR="000A2285" w:rsidRDefault="00B9150E" w:rsidP="008917F4">
            <w:pPr>
              <w:spacing w:after="160" w:line="360" w:lineRule="auto"/>
              <w:jc w:val="both"/>
            </w:pPr>
            <w:r>
              <w:t>Student Number:</w:t>
            </w:r>
          </w:p>
        </w:tc>
        <w:tc>
          <w:tcPr>
            <w:tcW w:w="6600" w:type="dxa"/>
            <w:tcBorders>
              <w:top w:val="nil"/>
              <w:left w:val="nil"/>
              <w:bottom w:val="single" w:sz="5" w:space="0" w:color="000000"/>
              <w:right w:val="single" w:sz="5" w:space="0" w:color="000000"/>
            </w:tcBorders>
            <w:tcMar>
              <w:top w:w="0" w:type="dxa"/>
              <w:left w:w="120" w:type="dxa"/>
              <w:bottom w:w="0" w:type="dxa"/>
              <w:right w:w="120" w:type="dxa"/>
            </w:tcMar>
          </w:tcPr>
          <w:p w14:paraId="796E41A8" w14:textId="77777777" w:rsidR="000A2285" w:rsidRDefault="00B9150E" w:rsidP="008917F4">
            <w:pPr>
              <w:spacing w:after="160" w:line="360" w:lineRule="auto"/>
              <w:jc w:val="both"/>
            </w:pPr>
            <w:r>
              <w:t>2318120</w:t>
            </w:r>
          </w:p>
        </w:tc>
      </w:tr>
      <w:tr w:rsidR="000A2285" w14:paraId="7D4B27E5" w14:textId="77777777">
        <w:trPr>
          <w:trHeight w:val="525"/>
        </w:trPr>
        <w:tc>
          <w:tcPr>
            <w:tcW w:w="2175" w:type="dxa"/>
            <w:tcBorders>
              <w:top w:val="nil"/>
              <w:left w:val="single" w:sz="5" w:space="0" w:color="000000"/>
              <w:bottom w:val="single" w:sz="5" w:space="0" w:color="000000"/>
              <w:right w:val="single" w:sz="5" w:space="0" w:color="000000"/>
            </w:tcBorders>
            <w:shd w:val="clear" w:color="auto" w:fill="D9D9D9"/>
            <w:tcMar>
              <w:top w:w="0" w:type="dxa"/>
              <w:left w:w="120" w:type="dxa"/>
              <w:bottom w:w="0" w:type="dxa"/>
              <w:right w:w="120" w:type="dxa"/>
            </w:tcMar>
          </w:tcPr>
          <w:p w14:paraId="5FB18BA6" w14:textId="77777777" w:rsidR="000A2285" w:rsidRDefault="00B9150E" w:rsidP="008917F4">
            <w:pPr>
              <w:spacing w:after="160" w:line="360" w:lineRule="auto"/>
              <w:jc w:val="both"/>
            </w:pPr>
            <w:r>
              <w:t>Module No:</w:t>
            </w:r>
          </w:p>
        </w:tc>
        <w:tc>
          <w:tcPr>
            <w:tcW w:w="6600" w:type="dxa"/>
            <w:tcBorders>
              <w:top w:val="nil"/>
              <w:left w:val="nil"/>
              <w:bottom w:val="single" w:sz="5" w:space="0" w:color="000000"/>
              <w:right w:val="single" w:sz="5" w:space="0" w:color="000000"/>
            </w:tcBorders>
            <w:tcMar>
              <w:top w:w="0" w:type="dxa"/>
              <w:left w:w="120" w:type="dxa"/>
              <w:bottom w:w="0" w:type="dxa"/>
              <w:right w:w="120" w:type="dxa"/>
            </w:tcMar>
          </w:tcPr>
          <w:p w14:paraId="39473F10" w14:textId="77777777" w:rsidR="000A2285" w:rsidRDefault="00B9150E" w:rsidP="008917F4">
            <w:pPr>
              <w:spacing w:after="160" w:line="360" w:lineRule="auto"/>
              <w:jc w:val="both"/>
            </w:pPr>
            <w:r>
              <w:t>BMSK6011</w:t>
            </w:r>
          </w:p>
        </w:tc>
      </w:tr>
      <w:tr w:rsidR="000A2285" w14:paraId="463A4F0E" w14:textId="77777777">
        <w:trPr>
          <w:trHeight w:val="645"/>
        </w:trPr>
        <w:tc>
          <w:tcPr>
            <w:tcW w:w="2175" w:type="dxa"/>
            <w:tcBorders>
              <w:top w:val="nil"/>
              <w:left w:val="single" w:sz="5" w:space="0" w:color="000000"/>
              <w:bottom w:val="single" w:sz="5" w:space="0" w:color="000000"/>
              <w:right w:val="single" w:sz="5" w:space="0" w:color="000000"/>
            </w:tcBorders>
            <w:shd w:val="clear" w:color="auto" w:fill="D9D9D9"/>
            <w:tcMar>
              <w:top w:w="0" w:type="dxa"/>
              <w:left w:w="120" w:type="dxa"/>
              <w:bottom w:w="0" w:type="dxa"/>
              <w:right w:w="120" w:type="dxa"/>
            </w:tcMar>
          </w:tcPr>
          <w:p w14:paraId="47466949" w14:textId="77777777" w:rsidR="000A2285" w:rsidRDefault="00B9150E" w:rsidP="008917F4">
            <w:pPr>
              <w:spacing w:after="160" w:line="360" w:lineRule="auto"/>
              <w:jc w:val="both"/>
            </w:pPr>
            <w:r>
              <w:t>Module Title:</w:t>
            </w:r>
          </w:p>
        </w:tc>
        <w:tc>
          <w:tcPr>
            <w:tcW w:w="6600" w:type="dxa"/>
            <w:tcBorders>
              <w:top w:val="nil"/>
              <w:left w:val="nil"/>
              <w:bottom w:val="single" w:sz="5" w:space="0" w:color="000000"/>
              <w:right w:val="single" w:sz="5" w:space="0" w:color="000000"/>
            </w:tcBorders>
            <w:tcMar>
              <w:top w:w="0" w:type="dxa"/>
              <w:left w:w="120" w:type="dxa"/>
              <w:bottom w:w="0" w:type="dxa"/>
              <w:right w:w="120" w:type="dxa"/>
            </w:tcMar>
          </w:tcPr>
          <w:p w14:paraId="73420157" w14:textId="77777777" w:rsidR="000A2285" w:rsidRDefault="00B9150E" w:rsidP="008917F4">
            <w:pPr>
              <w:spacing w:after="160" w:line="360" w:lineRule="auto"/>
              <w:jc w:val="both"/>
            </w:pPr>
            <w:r>
              <w:t xml:space="preserve">Leading and Implementing Workplace Change </w:t>
            </w:r>
          </w:p>
        </w:tc>
      </w:tr>
    </w:tbl>
    <w:p w14:paraId="45F7AE04" w14:textId="77777777" w:rsidR="000A2285" w:rsidRDefault="00B9150E" w:rsidP="008917F4">
      <w:pPr>
        <w:spacing w:after="160" w:line="360" w:lineRule="auto"/>
        <w:jc w:val="both"/>
      </w:pPr>
      <w:r>
        <w:t xml:space="preserve"> </w:t>
      </w:r>
    </w:p>
    <w:p w14:paraId="1E67EA50" w14:textId="77777777" w:rsidR="00BF1A58" w:rsidRPr="00BF1A58" w:rsidRDefault="00BF1A58" w:rsidP="00BF1A58">
      <w:pPr>
        <w:spacing w:after="160" w:line="360" w:lineRule="auto"/>
        <w:jc w:val="both"/>
      </w:pPr>
      <w:r w:rsidRPr="00BF1A58">
        <w:t>Statement of Confirmation of Authenticity</w:t>
      </w:r>
    </w:p>
    <w:p w14:paraId="1394BFF4" w14:textId="77777777" w:rsidR="00BF1A58" w:rsidRPr="00BF1A58" w:rsidRDefault="00BF1A58" w:rsidP="00BF1A58">
      <w:pPr>
        <w:spacing w:after="160" w:line="360" w:lineRule="auto"/>
        <w:jc w:val="both"/>
      </w:pPr>
      <w:r w:rsidRPr="00BF1A58">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C94B2A8" w14:textId="77777777" w:rsidR="00BF1A58" w:rsidRPr="00BF1A58" w:rsidRDefault="00BF1A58" w:rsidP="00BF1A58">
      <w:pPr>
        <w:spacing w:after="160" w:line="360" w:lineRule="auto"/>
        <w:jc w:val="both"/>
      </w:pPr>
      <w:r w:rsidRPr="00BF1A58">
        <w:t>Attention is drawn to the plagiarism and unfair practice policies of both the University and of ILM.</w:t>
      </w:r>
    </w:p>
    <w:p w14:paraId="2623C36B" w14:textId="68F7A56D" w:rsidR="00B257CC" w:rsidRDefault="00BF1A58" w:rsidP="00BF1A58">
      <w:pPr>
        <w:spacing w:after="160" w:line="360" w:lineRule="auto"/>
        <w:jc w:val="both"/>
      </w:pPr>
      <w:r w:rsidRPr="00BF1A58">
        <w:t>AI Declaration: I confirm that I have not used Generative AI to create any text, creative materials or code for submission. Any AI use was limited to permitted research, assignment structure and proofreading of my own work. AI may be used to help plan the structure or format of a table, but the content must be my own. AI must not be used to create graphs, charts, images or other assessed visual material for submission unless specifically permitted in the assignment brief.</w:t>
      </w:r>
    </w:p>
    <w:p w14:paraId="1836C773" w14:textId="77777777" w:rsidR="004E173F" w:rsidRDefault="004E173F" w:rsidP="008917F4">
      <w:pPr>
        <w:spacing w:after="160" w:line="360" w:lineRule="auto"/>
      </w:pPr>
    </w:p>
    <w:sdt>
      <w:sdtPr>
        <w:rPr>
          <w:rFonts w:ascii="Arial" w:eastAsia="Arial" w:hAnsi="Arial" w:cs="Arial"/>
          <w:color w:val="auto"/>
          <w:sz w:val="22"/>
          <w:szCs w:val="22"/>
          <w:lang w:val="en-GB" w:eastAsia="en-GB"/>
        </w:rPr>
        <w:id w:val="1930467696"/>
        <w:docPartObj>
          <w:docPartGallery w:val="Table of Contents"/>
          <w:docPartUnique/>
        </w:docPartObj>
      </w:sdtPr>
      <w:sdtEndPr>
        <w:rPr>
          <w:b/>
          <w:bCs/>
          <w:noProof/>
        </w:rPr>
      </w:sdtEndPr>
      <w:sdtContent>
        <w:p w14:paraId="444E2AAA" w14:textId="021211FB" w:rsidR="00B257CC" w:rsidRDefault="00B257CC" w:rsidP="008917F4">
          <w:pPr>
            <w:pStyle w:val="TOCHeading"/>
            <w:spacing w:line="360" w:lineRule="auto"/>
          </w:pPr>
          <w:r>
            <w:t>Table of Contents</w:t>
          </w:r>
        </w:p>
        <w:p w14:paraId="17477372" w14:textId="54F4B04D" w:rsidR="00B947E1" w:rsidRDefault="00B257CC">
          <w:pPr>
            <w:pStyle w:val="TOC1"/>
            <w:tabs>
              <w:tab w:val="right" w:leader="dot" w:pos="9019"/>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42650060" w:history="1">
            <w:r w:rsidR="00B947E1" w:rsidRPr="0072715C">
              <w:rPr>
                <w:rStyle w:val="Hyperlink"/>
                <w:noProof/>
              </w:rPr>
              <w:t>Leading and Implementing Workplace Change</w:t>
            </w:r>
            <w:r w:rsidR="00B947E1">
              <w:rPr>
                <w:noProof/>
                <w:webHidden/>
              </w:rPr>
              <w:tab/>
            </w:r>
            <w:r w:rsidR="00B947E1">
              <w:rPr>
                <w:noProof/>
                <w:webHidden/>
              </w:rPr>
              <w:fldChar w:fldCharType="begin"/>
            </w:r>
            <w:r w:rsidR="00B947E1">
              <w:rPr>
                <w:noProof/>
                <w:webHidden/>
              </w:rPr>
              <w:instrText xml:space="preserve"> PAGEREF _Toc242650060 \h </w:instrText>
            </w:r>
            <w:r w:rsidR="00B947E1">
              <w:rPr>
                <w:noProof/>
                <w:webHidden/>
              </w:rPr>
            </w:r>
            <w:r w:rsidR="00B947E1">
              <w:rPr>
                <w:noProof/>
                <w:webHidden/>
              </w:rPr>
              <w:fldChar w:fldCharType="separate"/>
            </w:r>
            <w:r w:rsidR="00B947E1">
              <w:rPr>
                <w:noProof/>
                <w:webHidden/>
              </w:rPr>
              <w:t>3</w:t>
            </w:r>
            <w:r w:rsidR="00B947E1">
              <w:rPr>
                <w:noProof/>
                <w:webHidden/>
              </w:rPr>
              <w:fldChar w:fldCharType="end"/>
            </w:r>
          </w:hyperlink>
        </w:p>
        <w:p w14:paraId="2B249DFA" w14:textId="3AC84FBF"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61" w:history="1">
            <w:r w:rsidRPr="0072715C">
              <w:rPr>
                <w:rStyle w:val="Hyperlink"/>
                <w:noProof/>
              </w:rPr>
              <w:t>Transitioning from self-employed practitioners to an employed workforce in a beauty and aesthetics business</w:t>
            </w:r>
            <w:r>
              <w:rPr>
                <w:noProof/>
                <w:webHidden/>
              </w:rPr>
              <w:tab/>
            </w:r>
            <w:r>
              <w:rPr>
                <w:noProof/>
                <w:webHidden/>
              </w:rPr>
              <w:fldChar w:fldCharType="begin"/>
            </w:r>
            <w:r>
              <w:rPr>
                <w:noProof/>
                <w:webHidden/>
              </w:rPr>
              <w:instrText xml:space="preserve"> PAGEREF _Toc242650061 \h </w:instrText>
            </w:r>
            <w:r>
              <w:rPr>
                <w:noProof/>
                <w:webHidden/>
              </w:rPr>
            </w:r>
            <w:r>
              <w:rPr>
                <w:noProof/>
                <w:webHidden/>
              </w:rPr>
              <w:fldChar w:fldCharType="separate"/>
            </w:r>
            <w:r>
              <w:rPr>
                <w:noProof/>
                <w:webHidden/>
              </w:rPr>
              <w:t>3</w:t>
            </w:r>
            <w:r>
              <w:rPr>
                <w:noProof/>
                <w:webHidden/>
              </w:rPr>
              <w:fldChar w:fldCharType="end"/>
            </w:r>
          </w:hyperlink>
        </w:p>
        <w:p w14:paraId="36CD5730" w14:textId="191D7C9E"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62" w:history="1">
            <w:r w:rsidRPr="0072715C">
              <w:rPr>
                <w:rStyle w:val="Hyperlink"/>
                <w:noProof/>
              </w:rPr>
              <w:t>1.0 Introduction and organisational context</w:t>
            </w:r>
            <w:r>
              <w:rPr>
                <w:noProof/>
                <w:webHidden/>
              </w:rPr>
              <w:tab/>
            </w:r>
            <w:r>
              <w:rPr>
                <w:noProof/>
                <w:webHidden/>
              </w:rPr>
              <w:fldChar w:fldCharType="begin"/>
            </w:r>
            <w:r>
              <w:rPr>
                <w:noProof/>
                <w:webHidden/>
              </w:rPr>
              <w:instrText xml:space="preserve"> PAGEREF _Toc242650062 \h </w:instrText>
            </w:r>
            <w:r>
              <w:rPr>
                <w:noProof/>
                <w:webHidden/>
              </w:rPr>
            </w:r>
            <w:r>
              <w:rPr>
                <w:noProof/>
                <w:webHidden/>
              </w:rPr>
              <w:fldChar w:fldCharType="separate"/>
            </w:r>
            <w:r>
              <w:rPr>
                <w:noProof/>
                <w:webHidden/>
              </w:rPr>
              <w:t>3</w:t>
            </w:r>
            <w:r>
              <w:rPr>
                <w:noProof/>
                <w:webHidden/>
              </w:rPr>
              <w:fldChar w:fldCharType="end"/>
            </w:r>
          </w:hyperlink>
        </w:p>
        <w:p w14:paraId="7E969E55" w14:textId="62F509E4"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63" w:history="1">
            <w:r w:rsidRPr="0072715C">
              <w:rPr>
                <w:rStyle w:val="Hyperlink"/>
                <w:noProof/>
              </w:rPr>
              <w:t>2.0 Macro-environmental forces for change</w:t>
            </w:r>
            <w:r>
              <w:rPr>
                <w:noProof/>
                <w:webHidden/>
              </w:rPr>
              <w:tab/>
            </w:r>
            <w:r>
              <w:rPr>
                <w:noProof/>
                <w:webHidden/>
              </w:rPr>
              <w:fldChar w:fldCharType="begin"/>
            </w:r>
            <w:r>
              <w:rPr>
                <w:noProof/>
                <w:webHidden/>
              </w:rPr>
              <w:instrText xml:space="preserve"> PAGEREF _Toc242650063 \h </w:instrText>
            </w:r>
            <w:r>
              <w:rPr>
                <w:noProof/>
                <w:webHidden/>
              </w:rPr>
            </w:r>
            <w:r>
              <w:rPr>
                <w:noProof/>
                <w:webHidden/>
              </w:rPr>
              <w:fldChar w:fldCharType="separate"/>
            </w:r>
            <w:r>
              <w:rPr>
                <w:noProof/>
                <w:webHidden/>
              </w:rPr>
              <w:t>4</w:t>
            </w:r>
            <w:r>
              <w:rPr>
                <w:noProof/>
                <w:webHidden/>
              </w:rPr>
              <w:fldChar w:fldCharType="end"/>
            </w:r>
          </w:hyperlink>
        </w:p>
        <w:p w14:paraId="7345112C" w14:textId="4BAD1F50"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64" w:history="1">
            <w:r w:rsidRPr="0072715C">
              <w:rPr>
                <w:rStyle w:val="Hyperlink"/>
                <w:noProof/>
              </w:rPr>
              <w:t>2.1 PESTLE Analysis</w:t>
            </w:r>
            <w:r>
              <w:rPr>
                <w:noProof/>
                <w:webHidden/>
              </w:rPr>
              <w:tab/>
            </w:r>
            <w:r>
              <w:rPr>
                <w:noProof/>
                <w:webHidden/>
              </w:rPr>
              <w:fldChar w:fldCharType="begin"/>
            </w:r>
            <w:r>
              <w:rPr>
                <w:noProof/>
                <w:webHidden/>
              </w:rPr>
              <w:instrText xml:space="preserve"> PAGEREF _Toc242650064 \h </w:instrText>
            </w:r>
            <w:r>
              <w:rPr>
                <w:noProof/>
                <w:webHidden/>
              </w:rPr>
            </w:r>
            <w:r>
              <w:rPr>
                <w:noProof/>
                <w:webHidden/>
              </w:rPr>
              <w:fldChar w:fldCharType="separate"/>
            </w:r>
            <w:r>
              <w:rPr>
                <w:noProof/>
                <w:webHidden/>
              </w:rPr>
              <w:t>4</w:t>
            </w:r>
            <w:r>
              <w:rPr>
                <w:noProof/>
                <w:webHidden/>
              </w:rPr>
              <w:fldChar w:fldCharType="end"/>
            </w:r>
          </w:hyperlink>
        </w:p>
        <w:p w14:paraId="3BB0AD36" w14:textId="7E3F8ACB"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65" w:history="1">
            <w:r w:rsidRPr="0072715C">
              <w:rPr>
                <w:rStyle w:val="Hyperlink"/>
                <w:noProof/>
              </w:rPr>
              <w:t>2.2 Implications for workplace change</w:t>
            </w:r>
            <w:r>
              <w:rPr>
                <w:noProof/>
                <w:webHidden/>
              </w:rPr>
              <w:tab/>
            </w:r>
            <w:r>
              <w:rPr>
                <w:noProof/>
                <w:webHidden/>
              </w:rPr>
              <w:fldChar w:fldCharType="begin"/>
            </w:r>
            <w:r>
              <w:rPr>
                <w:noProof/>
                <w:webHidden/>
              </w:rPr>
              <w:instrText xml:space="preserve"> PAGEREF _Toc242650065 \h </w:instrText>
            </w:r>
            <w:r>
              <w:rPr>
                <w:noProof/>
                <w:webHidden/>
              </w:rPr>
            </w:r>
            <w:r>
              <w:rPr>
                <w:noProof/>
                <w:webHidden/>
              </w:rPr>
              <w:fldChar w:fldCharType="separate"/>
            </w:r>
            <w:r>
              <w:rPr>
                <w:noProof/>
                <w:webHidden/>
              </w:rPr>
              <w:t>5</w:t>
            </w:r>
            <w:r>
              <w:rPr>
                <w:noProof/>
                <w:webHidden/>
              </w:rPr>
              <w:fldChar w:fldCharType="end"/>
            </w:r>
          </w:hyperlink>
        </w:p>
        <w:p w14:paraId="03F1BD93" w14:textId="6B732B74"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66" w:history="1">
            <w:r w:rsidRPr="0072715C">
              <w:rPr>
                <w:rStyle w:val="Hyperlink"/>
                <w:noProof/>
              </w:rPr>
              <w:t>3.0 Micro-environmental forces for change</w:t>
            </w:r>
            <w:r>
              <w:rPr>
                <w:noProof/>
                <w:webHidden/>
              </w:rPr>
              <w:tab/>
            </w:r>
            <w:r>
              <w:rPr>
                <w:noProof/>
                <w:webHidden/>
              </w:rPr>
              <w:fldChar w:fldCharType="begin"/>
            </w:r>
            <w:r>
              <w:rPr>
                <w:noProof/>
                <w:webHidden/>
              </w:rPr>
              <w:instrText xml:space="preserve"> PAGEREF _Toc242650066 \h </w:instrText>
            </w:r>
            <w:r>
              <w:rPr>
                <w:noProof/>
                <w:webHidden/>
              </w:rPr>
            </w:r>
            <w:r>
              <w:rPr>
                <w:noProof/>
                <w:webHidden/>
              </w:rPr>
              <w:fldChar w:fldCharType="separate"/>
            </w:r>
            <w:r>
              <w:rPr>
                <w:noProof/>
                <w:webHidden/>
              </w:rPr>
              <w:t>6</w:t>
            </w:r>
            <w:r>
              <w:rPr>
                <w:noProof/>
                <w:webHidden/>
              </w:rPr>
              <w:fldChar w:fldCharType="end"/>
            </w:r>
          </w:hyperlink>
        </w:p>
        <w:p w14:paraId="6C02526B" w14:textId="6C60723D"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67" w:history="1">
            <w:r w:rsidRPr="0072715C">
              <w:rPr>
                <w:rStyle w:val="Hyperlink"/>
                <w:noProof/>
              </w:rPr>
              <w:t>3.1 SWOT Analysis</w:t>
            </w:r>
            <w:r>
              <w:rPr>
                <w:noProof/>
                <w:webHidden/>
              </w:rPr>
              <w:tab/>
            </w:r>
            <w:r>
              <w:rPr>
                <w:noProof/>
                <w:webHidden/>
              </w:rPr>
              <w:fldChar w:fldCharType="begin"/>
            </w:r>
            <w:r>
              <w:rPr>
                <w:noProof/>
                <w:webHidden/>
              </w:rPr>
              <w:instrText xml:space="preserve"> PAGEREF _Toc242650067 \h </w:instrText>
            </w:r>
            <w:r>
              <w:rPr>
                <w:noProof/>
                <w:webHidden/>
              </w:rPr>
            </w:r>
            <w:r>
              <w:rPr>
                <w:noProof/>
                <w:webHidden/>
              </w:rPr>
              <w:fldChar w:fldCharType="separate"/>
            </w:r>
            <w:r>
              <w:rPr>
                <w:noProof/>
                <w:webHidden/>
              </w:rPr>
              <w:t>6</w:t>
            </w:r>
            <w:r>
              <w:rPr>
                <w:noProof/>
                <w:webHidden/>
              </w:rPr>
              <w:fldChar w:fldCharType="end"/>
            </w:r>
          </w:hyperlink>
        </w:p>
        <w:p w14:paraId="3020BE8B" w14:textId="14840191"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68" w:history="1">
            <w:r w:rsidRPr="0072715C">
              <w:rPr>
                <w:rStyle w:val="Hyperlink"/>
                <w:noProof/>
              </w:rPr>
              <w:t>3.2 Strategic Priorities from SWOT</w:t>
            </w:r>
            <w:r>
              <w:rPr>
                <w:noProof/>
                <w:webHidden/>
              </w:rPr>
              <w:tab/>
            </w:r>
            <w:r>
              <w:rPr>
                <w:noProof/>
                <w:webHidden/>
              </w:rPr>
              <w:fldChar w:fldCharType="begin"/>
            </w:r>
            <w:r>
              <w:rPr>
                <w:noProof/>
                <w:webHidden/>
              </w:rPr>
              <w:instrText xml:space="preserve"> PAGEREF _Toc242650068 \h </w:instrText>
            </w:r>
            <w:r>
              <w:rPr>
                <w:noProof/>
                <w:webHidden/>
              </w:rPr>
            </w:r>
            <w:r>
              <w:rPr>
                <w:noProof/>
                <w:webHidden/>
              </w:rPr>
              <w:fldChar w:fldCharType="separate"/>
            </w:r>
            <w:r>
              <w:rPr>
                <w:noProof/>
                <w:webHidden/>
              </w:rPr>
              <w:t>8</w:t>
            </w:r>
            <w:r>
              <w:rPr>
                <w:noProof/>
                <w:webHidden/>
              </w:rPr>
              <w:fldChar w:fldCharType="end"/>
            </w:r>
          </w:hyperlink>
        </w:p>
        <w:p w14:paraId="733AB515" w14:textId="65DF5F95"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69" w:history="1">
            <w:r w:rsidRPr="0072715C">
              <w:rPr>
                <w:rStyle w:val="Hyperlink"/>
                <w:noProof/>
              </w:rPr>
              <w:t>4.0 Organisational Culture, Capability and Readiness</w:t>
            </w:r>
            <w:r>
              <w:rPr>
                <w:noProof/>
                <w:webHidden/>
              </w:rPr>
              <w:tab/>
            </w:r>
            <w:r>
              <w:rPr>
                <w:noProof/>
                <w:webHidden/>
              </w:rPr>
              <w:fldChar w:fldCharType="begin"/>
            </w:r>
            <w:r>
              <w:rPr>
                <w:noProof/>
                <w:webHidden/>
              </w:rPr>
              <w:instrText xml:space="preserve"> PAGEREF _Toc242650069 \h </w:instrText>
            </w:r>
            <w:r>
              <w:rPr>
                <w:noProof/>
                <w:webHidden/>
              </w:rPr>
            </w:r>
            <w:r>
              <w:rPr>
                <w:noProof/>
                <w:webHidden/>
              </w:rPr>
              <w:fldChar w:fldCharType="separate"/>
            </w:r>
            <w:r>
              <w:rPr>
                <w:noProof/>
                <w:webHidden/>
              </w:rPr>
              <w:t>9</w:t>
            </w:r>
            <w:r>
              <w:rPr>
                <w:noProof/>
                <w:webHidden/>
              </w:rPr>
              <w:fldChar w:fldCharType="end"/>
            </w:r>
          </w:hyperlink>
        </w:p>
        <w:p w14:paraId="2E41D79F" w14:textId="7A509C0B"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70" w:history="1">
            <w:r w:rsidRPr="0072715C">
              <w:rPr>
                <w:rStyle w:val="Hyperlink"/>
                <w:noProof/>
              </w:rPr>
              <w:t>4.1 Current Workplace Culture</w:t>
            </w:r>
            <w:r>
              <w:rPr>
                <w:noProof/>
                <w:webHidden/>
              </w:rPr>
              <w:tab/>
            </w:r>
            <w:r>
              <w:rPr>
                <w:noProof/>
                <w:webHidden/>
              </w:rPr>
              <w:fldChar w:fldCharType="begin"/>
            </w:r>
            <w:r>
              <w:rPr>
                <w:noProof/>
                <w:webHidden/>
              </w:rPr>
              <w:instrText xml:space="preserve"> PAGEREF _Toc242650070 \h </w:instrText>
            </w:r>
            <w:r>
              <w:rPr>
                <w:noProof/>
                <w:webHidden/>
              </w:rPr>
            </w:r>
            <w:r>
              <w:rPr>
                <w:noProof/>
                <w:webHidden/>
              </w:rPr>
              <w:fldChar w:fldCharType="separate"/>
            </w:r>
            <w:r>
              <w:rPr>
                <w:noProof/>
                <w:webHidden/>
              </w:rPr>
              <w:t>9</w:t>
            </w:r>
            <w:r>
              <w:rPr>
                <w:noProof/>
                <w:webHidden/>
              </w:rPr>
              <w:fldChar w:fldCharType="end"/>
            </w:r>
          </w:hyperlink>
        </w:p>
        <w:p w14:paraId="2EF9C54E" w14:textId="08C40B6B"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71" w:history="1">
            <w:r w:rsidRPr="0072715C">
              <w:rPr>
                <w:rStyle w:val="Hyperlink"/>
                <w:noProof/>
              </w:rPr>
              <w:t>4.2 Capability and Readiness</w:t>
            </w:r>
            <w:r>
              <w:rPr>
                <w:noProof/>
                <w:webHidden/>
              </w:rPr>
              <w:tab/>
            </w:r>
            <w:r>
              <w:rPr>
                <w:noProof/>
                <w:webHidden/>
              </w:rPr>
              <w:fldChar w:fldCharType="begin"/>
            </w:r>
            <w:r>
              <w:rPr>
                <w:noProof/>
                <w:webHidden/>
              </w:rPr>
              <w:instrText xml:space="preserve"> PAGEREF _Toc242650071 \h </w:instrText>
            </w:r>
            <w:r>
              <w:rPr>
                <w:noProof/>
                <w:webHidden/>
              </w:rPr>
            </w:r>
            <w:r>
              <w:rPr>
                <w:noProof/>
                <w:webHidden/>
              </w:rPr>
              <w:fldChar w:fldCharType="separate"/>
            </w:r>
            <w:r>
              <w:rPr>
                <w:noProof/>
                <w:webHidden/>
              </w:rPr>
              <w:t>10</w:t>
            </w:r>
            <w:r>
              <w:rPr>
                <w:noProof/>
                <w:webHidden/>
              </w:rPr>
              <w:fldChar w:fldCharType="end"/>
            </w:r>
          </w:hyperlink>
        </w:p>
        <w:p w14:paraId="3F13134F" w14:textId="0C333A5C"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72" w:history="1">
            <w:r w:rsidRPr="0072715C">
              <w:rPr>
                <w:rStyle w:val="Hyperlink"/>
                <w:noProof/>
              </w:rPr>
              <w:t>4.3 Justification for Change</w:t>
            </w:r>
            <w:r>
              <w:rPr>
                <w:noProof/>
                <w:webHidden/>
              </w:rPr>
              <w:tab/>
            </w:r>
            <w:r>
              <w:rPr>
                <w:noProof/>
                <w:webHidden/>
              </w:rPr>
              <w:fldChar w:fldCharType="begin"/>
            </w:r>
            <w:r>
              <w:rPr>
                <w:noProof/>
                <w:webHidden/>
              </w:rPr>
              <w:instrText xml:space="preserve"> PAGEREF _Toc242650072 \h </w:instrText>
            </w:r>
            <w:r>
              <w:rPr>
                <w:noProof/>
                <w:webHidden/>
              </w:rPr>
            </w:r>
            <w:r>
              <w:rPr>
                <w:noProof/>
                <w:webHidden/>
              </w:rPr>
              <w:fldChar w:fldCharType="separate"/>
            </w:r>
            <w:r>
              <w:rPr>
                <w:noProof/>
                <w:webHidden/>
              </w:rPr>
              <w:t>12</w:t>
            </w:r>
            <w:r>
              <w:rPr>
                <w:noProof/>
                <w:webHidden/>
              </w:rPr>
              <w:fldChar w:fldCharType="end"/>
            </w:r>
          </w:hyperlink>
        </w:p>
        <w:p w14:paraId="59D88C99" w14:textId="11B91745"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73" w:history="1">
            <w:r w:rsidRPr="0072715C">
              <w:rPr>
                <w:rStyle w:val="Hyperlink"/>
                <w:noProof/>
              </w:rPr>
              <w:t>5.0 Change Objectives and Stakeholder Analysis</w:t>
            </w:r>
            <w:r>
              <w:rPr>
                <w:noProof/>
                <w:webHidden/>
              </w:rPr>
              <w:tab/>
            </w:r>
            <w:r>
              <w:rPr>
                <w:noProof/>
                <w:webHidden/>
              </w:rPr>
              <w:fldChar w:fldCharType="begin"/>
            </w:r>
            <w:r>
              <w:rPr>
                <w:noProof/>
                <w:webHidden/>
              </w:rPr>
              <w:instrText xml:space="preserve"> PAGEREF _Toc242650073 \h </w:instrText>
            </w:r>
            <w:r>
              <w:rPr>
                <w:noProof/>
                <w:webHidden/>
              </w:rPr>
            </w:r>
            <w:r>
              <w:rPr>
                <w:noProof/>
                <w:webHidden/>
              </w:rPr>
              <w:fldChar w:fldCharType="separate"/>
            </w:r>
            <w:r>
              <w:rPr>
                <w:noProof/>
                <w:webHidden/>
              </w:rPr>
              <w:t>13</w:t>
            </w:r>
            <w:r>
              <w:rPr>
                <w:noProof/>
                <w:webHidden/>
              </w:rPr>
              <w:fldChar w:fldCharType="end"/>
            </w:r>
          </w:hyperlink>
        </w:p>
        <w:p w14:paraId="6396ADAF" w14:textId="161C84C0"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74" w:history="1">
            <w:r w:rsidRPr="0072715C">
              <w:rPr>
                <w:rStyle w:val="Hyperlink"/>
                <w:noProof/>
              </w:rPr>
              <w:t>5.1 Scope and Objectives</w:t>
            </w:r>
            <w:r>
              <w:rPr>
                <w:noProof/>
                <w:webHidden/>
              </w:rPr>
              <w:tab/>
            </w:r>
            <w:r>
              <w:rPr>
                <w:noProof/>
                <w:webHidden/>
              </w:rPr>
              <w:fldChar w:fldCharType="begin"/>
            </w:r>
            <w:r>
              <w:rPr>
                <w:noProof/>
                <w:webHidden/>
              </w:rPr>
              <w:instrText xml:space="preserve"> PAGEREF _Toc242650074 \h </w:instrText>
            </w:r>
            <w:r>
              <w:rPr>
                <w:noProof/>
                <w:webHidden/>
              </w:rPr>
            </w:r>
            <w:r>
              <w:rPr>
                <w:noProof/>
                <w:webHidden/>
              </w:rPr>
              <w:fldChar w:fldCharType="separate"/>
            </w:r>
            <w:r>
              <w:rPr>
                <w:noProof/>
                <w:webHidden/>
              </w:rPr>
              <w:t>13</w:t>
            </w:r>
            <w:r>
              <w:rPr>
                <w:noProof/>
                <w:webHidden/>
              </w:rPr>
              <w:fldChar w:fldCharType="end"/>
            </w:r>
          </w:hyperlink>
        </w:p>
        <w:p w14:paraId="26920631" w14:textId="087DEA07"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75" w:history="1">
            <w:r w:rsidRPr="0072715C">
              <w:rPr>
                <w:rStyle w:val="Hyperlink"/>
                <w:noProof/>
              </w:rPr>
              <w:t>5.2 Stakeholder analysis</w:t>
            </w:r>
            <w:r>
              <w:rPr>
                <w:noProof/>
                <w:webHidden/>
              </w:rPr>
              <w:tab/>
            </w:r>
            <w:r>
              <w:rPr>
                <w:noProof/>
                <w:webHidden/>
              </w:rPr>
              <w:fldChar w:fldCharType="begin"/>
            </w:r>
            <w:r>
              <w:rPr>
                <w:noProof/>
                <w:webHidden/>
              </w:rPr>
              <w:instrText xml:space="preserve"> PAGEREF _Toc242650075 \h </w:instrText>
            </w:r>
            <w:r>
              <w:rPr>
                <w:noProof/>
                <w:webHidden/>
              </w:rPr>
            </w:r>
            <w:r>
              <w:rPr>
                <w:noProof/>
                <w:webHidden/>
              </w:rPr>
              <w:fldChar w:fldCharType="separate"/>
            </w:r>
            <w:r>
              <w:rPr>
                <w:noProof/>
                <w:webHidden/>
              </w:rPr>
              <w:t>13</w:t>
            </w:r>
            <w:r>
              <w:rPr>
                <w:noProof/>
                <w:webHidden/>
              </w:rPr>
              <w:fldChar w:fldCharType="end"/>
            </w:r>
          </w:hyperlink>
        </w:p>
        <w:p w14:paraId="4B0443B1" w14:textId="31BA9983"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76" w:history="1">
            <w:r w:rsidRPr="0072715C">
              <w:rPr>
                <w:rStyle w:val="Hyperlink"/>
                <w:noProof/>
              </w:rPr>
              <w:t>6.0 Leading and Implementing The Transition</w:t>
            </w:r>
            <w:r>
              <w:rPr>
                <w:noProof/>
                <w:webHidden/>
              </w:rPr>
              <w:tab/>
            </w:r>
            <w:r>
              <w:rPr>
                <w:noProof/>
                <w:webHidden/>
              </w:rPr>
              <w:fldChar w:fldCharType="begin"/>
            </w:r>
            <w:r>
              <w:rPr>
                <w:noProof/>
                <w:webHidden/>
              </w:rPr>
              <w:instrText xml:space="preserve"> PAGEREF _Toc242650076 \h </w:instrText>
            </w:r>
            <w:r>
              <w:rPr>
                <w:noProof/>
                <w:webHidden/>
              </w:rPr>
            </w:r>
            <w:r>
              <w:rPr>
                <w:noProof/>
                <w:webHidden/>
              </w:rPr>
              <w:fldChar w:fldCharType="separate"/>
            </w:r>
            <w:r>
              <w:rPr>
                <w:noProof/>
                <w:webHidden/>
              </w:rPr>
              <w:t>15</w:t>
            </w:r>
            <w:r>
              <w:rPr>
                <w:noProof/>
                <w:webHidden/>
              </w:rPr>
              <w:fldChar w:fldCharType="end"/>
            </w:r>
          </w:hyperlink>
        </w:p>
        <w:p w14:paraId="7DA5B87C" w14:textId="3DF679E2"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77" w:history="1">
            <w:r w:rsidRPr="0072715C">
              <w:rPr>
                <w:rStyle w:val="Hyperlink"/>
                <w:noProof/>
              </w:rPr>
              <w:t>6.1 Selection and Evaluation of Change Models</w:t>
            </w:r>
            <w:r>
              <w:rPr>
                <w:noProof/>
                <w:webHidden/>
              </w:rPr>
              <w:tab/>
            </w:r>
            <w:r>
              <w:rPr>
                <w:noProof/>
                <w:webHidden/>
              </w:rPr>
              <w:fldChar w:fldCharType="begin"/>
            </w:r>
            <w:r>
              <w:rPr>
                <w:noProof/>
                <w:webHidden/>
              </w:rPr>
              <w:instrText xml:space="preserve"> PAGEREF _Toc242650077 \h </w:instrText>
            </w:r>
            <w:r>
              <w:rPr>
                <w:noProof/>
                <w:webHidden/>
              </w:rPr>
            </w:r>
            <w:r>
              <w:rPr>
                <w:noProof/>
                <w:webHidden/>
              </w:rPr>
              <w:fldChar w:fldCharType="separate"/>
            </w:r>
            <w:r>
              <w:rPr>
                <w:noProof/>
                <w:webHidden/>
              </w:rPr>
              <w:t>15</w:t>
            </w:r>
            <w:r>
              <w:rPr>
                <w:noProof/>
                <w:webHidden/>
              </w:rPr>
              <w:fldChar w:fldCharType="end"/>
            </w:r>
          </w:hyperlink>
        </w:p>
        <w:p w14:paraId="59A36F6C" w14:textId="4E7293A1"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78" w:history="1">
            <w:r w:rsidRPr="0072715C">
              <w:rPr>
                <w:rStyle w:val="Hyperlink"/>
                <w:noProof/>
              </w:rPr>
              <w:t>6.2 Application to the workplace</w:t>
            </w:r>
            <w:r>
              <w:rPr>
                <w:noProof/>
                <w:webHidden/>
              </w:rPr>
              <w:tab/>
            </w:r>
            <w:r>
              <w:rPr>
                <w:noProof/>
                <w:webHidden/>
              </w:rPr>
              <w:fldChar w:fldCharType="begin"/>
            </w:r>
            <w:r>
              <w:rPr>
                <w:noProof/>
                <w:webHidden/>
              </w:rPr>
              <w:instrText xml:space="preserve"> PAGEREF _Toc242650078 \h </w:instrText>
            </w:r>
            <w:r>
              <w:rPr>
                <w:noProof/>
                <w:webHidden/>
              </w:rPr>
            </w:r>
            <w:r>
              <w:rPr>
                <w:noProof/>
                <w:webHidden/>
              </w:rPr>
              <w:fldChar w:fldCharType="separate"/>
            </w:r>
            <w:r>
              <w:rPr>
                <w:noProof/>
                <w:webHidden/>
              </w:rPr>
              <w:t>18</w:t>
            </w:r>
            <w:r>
              <w:rPr>
                <w:noProof/>
                <w:webHidden/>
              </w:rPr>
              <w:fldChar w:fldCharType="end"/>
            </w:r>
          </w:hyperlink>
        </w:p>
        <w:p w14:paraId="6DF65E2B" w14:textId="4FF58720"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79" w:history="1">
            <w:r w:rsidRPr="0072715C">
              <w:rPr>
                <w:rStyle w:val="Hyperlink"/>
                <w:noProof/>
              </w:rPr>
              <w:t>6.3 Leadership and implementation responsibilities</w:t>
            </w:r>
            <w:r>
              <w:rPr>
                <w:noProof/>
                <w:webHidden/>
              </w:rPr>
              <w:tab/>
            </w:r>
            <w:r>
              <w:rPr>
                <w:noProof/>
                <w:webHidden/>
              </w:rPr>
              <w:fldChar w:fldCharType="begin"/>
            </w:r>
            <w:r>
              <w:rPr>
                <w:noProof/>
                <w:webHidden/>
              </w:rPr>
              <w:instrText xml:space="preserve"> PAGEREF _Toc242650079 \h </w:instrText>
            </w:r>
            <w:r>
              <w:rPr>
                <w:noProof/>
                <w:webHidden/>
              </w:rPr>
            </w:r>
            <w:r>
              <w:rPr>
                <w:noProof/>
                <w:webHidden/>
              </w:rPr>
              <w:fldChar w:fldCharType="separate"/>
            </w:r>
            <w:r>
              <w:rPr>
                <w:noProof/>
                <w:webHidden/>
              </w:rPr>
              <w:t>18</w:t>
            </w:r>
            <w:r>
              <w:rPr>
                <w:noProof/>
                <w:webHidden/>
              </w:rPr>
              <w:fldChar w:fldCharType="end"/>
            </w:r>
          </w:hyperlink>
        </w:p>
        <w:p w14:paraId="1F8792F5" w14:textId="57EA0F33"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80" w:history="1">
            <w:r w:rsidRPr="0072715C">
              <w:rPr>
                <w:rStyle w:val="Hyperlink"/>
                <w:noProof/>
              </w:rPr>
              <w:t>7.0 Managing Resistance and Supporting people</w:t>
            </w:r>
            <w:r>
              <w:rPr>
                <w:noProof/>
                <w:webHidden/>
              </w:rPr>
              <w:tab/>
            </w:r>
            <w:r>
              <w:rPr>
                <w:noProof/>
                <w:webHidden/>
              </w:rPr>
              <w:fldChar w:fldCharType="begin"/>
            </w:r>
            <w:r>
              <w:rPr>
                <w:noProof/>
                <w:webHidden/>
              </w:rPr>
              <w:instrText xml:space="preserve"> PAGEREF _Toc242650080 \h </w:instrText>
            </w:r>
            <w:r>
              <w:rPr>
                <w:noProof/>
                <w:webHidden/>
              </w:rPr>
            </w:r>
            <w:r>
              <w:rPr>
                <w:noProof/>
                <w:webHidden/>
              </w:rPr>
              <w:fldChar w:fldCharType="separate"/>
            </w:r>
            <w:r>
              <w:rPr>
                <w:noProof/>
                <w:webHidden/>
              </w:rPr>
              <w:t>19</w:t>
            </w:r>
            <w:r>
              <w:rPr>
                <w:noProof/>
                <w:webHidden/>
              </w:rPr>
              <w:fldChar w:fldCharType="end"/>
            </w:r>
          </w:hyperlink>
        </w:p>
        <w:p w14:paraId="2F1D73E2" w14:textId="0127D42E"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81" w:history="1">
            <w:r w:rsidRPr="0072715C">
              <w:rPr>
                <w:rStyle w:val="Hyperlink"/>
                <w:noProof/>
              </w:rPr>
              <w:t>8. Evaluating and sustaining the change</w:t>
            </w:r>
            <w:r>
              <w:rPr>
                <w:noProof/>
                <w:webHidden/>
              </w:rPr>
              <w:tab/>
            </w:r>
            <w:r>
              <w:rPr>
                <w:noProof/>
                <w:webHidden/>
              </w:rPr>
              <w:fldChar w:fldCharType="begin"/>
            </w:r>
            <w:r>
              <w:rPr>
                <w:noProof/>
                <w:webHidden/>
              </w:rPr>
              <w:instrText xml:space="preserve"> PAGEREF _Toc242650081 \h </w:instrText>
            </w:r>
            <w:r>
              <w:rPr>
                <w:noProof/>
                <w:webHidden/>
              </w:rPr>
            </w:r>
            <w:r>
              <w:rPr>
                <w:noProof/>
                <w:webHidden/>
              </w:rPr>
              <w:fldChar w:fldCharType="separate"/>
            </w:r>
            <w:r>
              <w:rPr>
                <w:noProof/>
                <w:webHidden/>
              </w:rPr>
              <w:t>20</w:t>
            </w:r>
            <w:r>
              <w:rPr>
                <w:noProof/>
                <w:webHidden/>
              </w:rPr>
              <w:fldChar w:fldCharType="end"/>
            </w:r>
          </w:hyperlink>
        </w:p>
        <w:p w14:paraId="17F36565" w14:textId="5263F373"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82" w:history="1">
            <w:r w:rsidRPr="0072715C">
              <w:rPr>
                <w:rStyle w:val="Hyperlink"/>
                <w:noProof/>
              </w:rPr>
              <w:t>8.1 Success measures</w:t>
            </w:r>
            <w:r>
              <w:rPr>
                <w:noProof/>
                <w:webHidden/>
              </w:rPr>
              <w:tab/>
            </w:r>
            <w:r>
              <w:rPr>
                <w:noProof/>
                <w:webHidden/>
              </w:rPr>
              <w:fldChar w:fldCharType="begin"/>
            </w:r>
            <w:r>
              <w:rPr>
                <w:noProof/>
                <w:webHidden/>
              </w:rPr>
              <w:instrText xml:space="preserve"> PAGEREF _Toc242650082 \h </w:instrText>
            </w:r>
            <w:r>
              <w:rPr>
                <w:noProof/>
                <w:webHidden/>
              </w:rPr>
            </w:r>
            <w:r>
              <w:rPr>
                <w:noProof/>
                <w:webHidden/>
              </w:rPr>
              <w:fldChar w:fldCharType="separate"/>
            </w:r>
            <w:r>
              <w:rPr>
                <w:noProof/>
                <w:webHidden/>
              </w:rPr>
              <w:t>20</w:t>
            </w:r>
            <w:r>
              <w:rPr>
                <w:noProof/>
                <w:webHidden/>
              </w:rPr>
              <w:fldChar w:fldCharType="end"/>
            </w:r>
          </w:hyperlink>
        </w:p>
        <w:p w14:paraId="6F858152" w14:textId="36CE4B84" w:rsidR="00B947E1" w:rsidRDefault="00B947E1">
          <w:pPr>
            <w:pStyle w:val="TOC3"/>
            <w:tabs>
              <w:tab w:val="right" w:leader="dot" w:pos="9019"/>
            </w:tabs>
            <w:rPr>
              <w:rFonts w:asciiTheme="minorHAnsi" w:eastAsiaTheme="minorEastAsia" w:hAnsiTheme="minorHAnsi" w:cstheme="minorBidi"/>
              <w:noProof/>
              <w:kern w:val="2"/>
              <w:sz w:val="24"/>
              <w:szCs w:val="24"/>
              <w14:ligatures w14:val="standardContextual"/>
            </w:rPr>
          </w:pPr>
          <w:hyperlink w:anchor="_Toc242650083" w:history="1">
            <w:r w:rsidRPr="0072715C">
              <w:rPr>
                <w:rStyle w:val="Hyperlink"/>
                <w:noProof/>
              </w:rPr>
              <w:t>8.2 Embedding and reviewing new practices</w:t>
            </w:r>
            <w:r>
              <w:rPr>
                <w:noProof/>
                <w:webHidden/>
              </w:rPr>
              <w:tab/>
            </w:r>
            <w:r>
              <w:rPr>
                <w:noProof/>
                <w:webHidden/>
              </w:rPr>
              <w:fldChar w:fldCharType="begin"/>
            </w:r>
            <w:r>
              <w:rPr>
                <w:noProof/>
                <w:webHidden/>
              </w:rPr>
              <w:instrText xml:space="preserve"> PAGEREF _Toc242650083 \h </w:instrText>
            </w:r>
            <w:r>
              <w:rPr>
                <w:noProof/>
                <w:webHidden/>
              </w:rPr>
            </w:r>
            <w:r>
              <w:rPr>
                <w:noProof/>
                <w:webHidden/>
              </w:rPr>
              <w:fldChar w:fldCharType="separate"/>
            </w:r>
            <w:r>
              <w:rPr>
                <w:noProof/>
                <w:webHidden/>
              </w:rPr>
              <w:t>21</w:t>
            </w:r>
            <w:r>
              <w:rPr>
                <w:noProof/>
                <w:webHidden/>
              </w:rPr>
              <w:fldChar w:fldCharType="end"/>
            </w:r>
          </w:hyperlink>
        </w:p>
        <w:p w14:paraId="6FBF1861" w14:textId="16FBEC2A"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84" w:history="1">
            <w:r w:rsidRPr="0072715C">
              <w:rPr>
                <w:rStyle w:val="Hyperlink"/>
                <w:noProof/>
              </w:rPr>
              <w:t>9.0 Recommendations</w:t>
            </w:r>
            <w:r>
              <w:rPr>
                <w:noProof/>
                <w:webHidden/>
              </w:rPr>
              <w:tab/>
            </w:r>
            <w:r>
              <w:rPr>
                <w:noProof/>
                <w:webHidden/>
              </w:rPr>
              <w:fldChar w:fldCharType="begin"/>
            </w:r>
            <w:r>
              <w:rPr>
                <w:noProof/>
                <w:webHidden/>
              </w:rPr>
              <w:instrText xml:space="preserve"> PAGEREF _Toc242650084 \h </w:instrText>
            </w:r>
            <w:r>
              <w:rPr>
                <w:noProof/>
                <w:webHidden/>
              </w:rPr>
            </w:r>
            <w:r>
              <w:rPr>
                <w:noProof/>
                <w:webHidden/>
              </w:rPr>
              <w:fldChar w:fldCharType="separate"/>
            </w:r>
            <w:r>
              <w:rPr>
                <w:noProof/>
                <w:webHidden/>
              </w:rPr>
              <w:t>22</w:t>
            </w:r>
            <w:r>
              <w:rPr>
                <w:noProof/>
                <w:webHidden/>
              </w:rPr>
              <w:fldChar w:fldCharType="end"/>
            </w:r>
          </w:hyperlink>
        </w:p>
        <w:p w14:paraId="1117292B" w14:textId="61248073"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85" w:history="1">
            <w:r w:rsidRPr="0072715C">
              <w:rPr>
                <w:rStyle w:val="Hyperlink"/>
                <w:noProof/>
              </w:rPr>
              <w:t>10.0 Conclusion</w:t>
            </w:r>
            <w:r>
              <w:rPr>
                <w:noProof/>
                <w:webHidden/>
              </w:rPr>
              <w:tab/>
            </w:r>
            <w:r>
              <w:rPr>
                <w:noProof/>
                <w:webHidden/>
              </w:rPr>
              <w:fldChar w:fldCharType="begin"/>
            </w:r>
            <w:r>
              <w:rPr>
                <w:noProof/>
                <w:webHidden/>
              </w:rPr>
              <w:instrText xml:space="preserve"> PAGEREF _Toc242650085 \h </w:instrText>
            </w:r>
            <w:r>
              <w:rPr>
                <w:noProof/>
                <w:webHidden/>
              </w:rPr>
            </w:r>
            <w:r>
              <w:rPr>
                <w:noProof/>
                <w:webHidden/>
              </w:rPr>
              <w:fldChar w:fldCharType="separate"/>
            </w:r>
            <w:r>
              <w:rPr>
                <w:noProof/>
                <w:webHidden/>
              </w:rPr>
              <w:t>22</w:t>
            </w:r>
            <w:r>
              <w:rPr>
                <w:noProof/>
                <w:webHidden/>
              </w:rPr>
              <w:fldChar w:fldCharType="end"/>
            </w:r>
          </w:hyperlink>
        </w:p>
        <w:p w14:paraId="409307B3" w14:textId="24E8599B"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86" w:history="1">
            <w:r w:rsidRPr="0072715C">
              <w:rPr>
                <w:rStyle w:val="Hyperlink"/>
                <w:noProof/>
              </w:rPr>
              <w:t>References</w:t>
            </w:r>
            <w:r>
              <w:rPr>
                <w:noProof/>
                <w:webHidden/>
              </w:rPr>
              <w:tab/>
            </w:r>
            <w:r>
              <w:rPr>
                <w:noProof/>
                <w:webHidden/>
              </w:rPr>
              <w:fldChar w:fldCharType="begin"/>
            </w:r>
            <w:r>
              <w:rPr>
                <w:noProof/>
                <w:webHidden/>
              </w:rPr>
              <w:instrText xml:space="preserve"> PAGEREF _Toc242650086 \h </w:instrText>
            </w:r>
            <w:r>
              <w:rPr>
                <w:noProof/>
                <w:webHidden/>
              </w:rPr>
            </w:r>
            <w:r>
              <w:rPr>
                <w:noProof/>
                <w:webHidden/>
              </w:rPr>
              <w:fldChar w:fldCharType="separate"/>
            </w:r>
            <w:r>
              <w:rPr>
                <w:noProof/>
                <w:webHidden/>
              </w:rPr>
              <w:t>23</w:t>
            </w:r>
            <w:r>
              <w:rPr>
                <w:noProof/>
                <w:webHidden/>
              </w:rPr>
              <w:fldChar w:fldCharType="end"/>
            </w:r>
          </w:hyperlink>
        </w:p>
        <w:p w14:paraId="639B36E4" w14:textId="3B1541D3" w:rsidR="00B947E1" w:rsidRDefault="00B947E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42650087" w:history="1">
            <w:r w:rsidRPr="0072715C">
              <w:rPr>
                <w:rStyle w:val="Hyperlink"/>
                <w:noProof/>
              </w:rPr>
              <w:t>Appendices</w:t>
            </w:r>
            <w:r>
              <w:rPr>
                <w:noProof/>
                <w:webHidden/>
              </w:rPr>
              <w:tab/>
            </w:r>
            <w:r>
              <w:rPr>
                <w:noProof/>
                <w:webHidden/>
              </w:rPr>
              <w:fldChar w:fldCharType="begin"/>
            </w:r>
            <w:r>
              <w:rPr>
                <w:noProof/>
                <w:webHidden/>
              </w:rPr>
              <w:instrText xml:space="preserve"> PAGEREF _Toc242650087 \h </w:instrText>
            </w:r>
            <w:r>
              <w:rPr>
                <w:noProof/>
                <w:webHidden/>
              </w:rPr>
            </w:r>
            <w:r>
              <w:rPr>
                <w:noProof/>
                <w:webHidden/>
              </w:rPr>
              <w:fldChar w:fldCharType="separate"/>
            </w:r>
            <w:r>
              <w:rPr>
                <w:noProof/>
                <w:webHidden/>
              </w:rPr>
              <w:t>29</w:t>
            </w:r>
            <w:r>
              <w:rPr>
                <w:noProof/>
                <w:webHidden/>
              </w:rPr>
              <w:fldChar w:fldCharType="end"/>
            </w:r>
          </w:hyperlink>
        </w:p>
        <w:p w14:paraId="05C7A290" w14:textId="5495B300" w:rsidR="00B257CC" w:rsidRDefault="00B257CC" w:rsidP="008917F4">
          <w:pPr>
            <w:spacing w:line="360" w:lineRule="auto"/>
          </w:pPr>
          <w:r>
            <w:rPr>
              <w:b/>
              <w:bCs/>
              <w:noProof/>
            </w:rPr>
            <w:fldChar w:fldCharType="end"/>
          </w:r>
        </w:p>
      </w:sdtContent>
    </w:sdt>
    <w:p w14:paraId="32D1BB1D" w14:textId="77777777" w:rsidR="000A2285" w:rsidRDefault="000A2285" w:rsidP="008917F4">
      <w:pPr>
        <w:spacing w:line="360" w:lineRule="auto"/>
      </w:pPr>
    </w:p>
    <w:p w14:paraId="33040CFF" w14:textId="77777777" w:rsidR="000A2285" w:rsidRDefault="00B9150E" w:rsidP="008917F4">
      <w:pPr>
        <w:pStyle w:val="Heading1"/>
        <w:spacing w:line="360" w:lineRule="auto"/>
      </w:pPr>
      <w:bookmarkStart w:id="0" w:name="_u0xb4t18re9h" w:colFirst="0" w:colLast="0"/>
      <w:bookmarkStart w:id="1" w:name="_Toc242650060"/>
      <w:bookmarkEnd w:id="0"/>
      <w:r>
        <w:lastRenderedPageBreak/>
        <w:t>Leading and Implementing Workplace Change</w:t>
      </w:r>
      <w:bookmarkEnd w:id="1"/>
    </w:p>
    <w:p w14:paraId="3D736BBA" w14:textId="77777777" w:rsidR="000A2285" w:rsidRDefault="00B9150E" w:rsidP="008917F4">
      <w:pPr>
        <w:pStyle w:val="Heading2"/>
        <w:spacing w:line="360" w:lineRule="auto"/>
        <w:rPr>
          <w:sz w:val="28"/>
          <w:szCs w:val="28"/>
        </w:rPr>
      </w:pPr>
      <w:bookmarkStart w:id="2" w:name="_g8io0fmsk5cf" w:colFirst="0" w:colLast="0"/>
      <w:bookmarkStart w:id="3" w:name="_Toc242650061"/>
      <w:bookmarkEnd w:id="2"/>
      <w:r>
        <w:t>Transitioning from self-employed practitioners to an employed workforce in a beauty and aesthetics business</w:t>
      </w:r>
      <w:bookmarkEnd w:id="3"/>
    </w:p>
    <w:p w14:paraId="0FF8974A" w14:textId="77777777" w:rsidR="000A2285" w:rsidRPr="00B257CC" w:rsidRDefault="00B9150E" w:rsidP="008917F4">
      <w:pPr>
        <w:pStyle w:val="Heading2"/>
        <w:spacing w:line="360" w:lineRule="auto"/>
      </w:pPr>
      <w:bookmarkStart w:id="4" w:name="_6jgg9s85zfmd" w:colFirst="0" w:colLast="0"/>
      <w:bookmarkStart w:id="5" w:name="_Toc242650062"/>
      <w:bookmarkEnd w:id="4"/>
      <w:r w:rsidRPr="00B257CC">
        <w:t>1.0 Introduction and organisational context</w:t>
      </w:r>
      <w:bookmarkEnd w:id="5"/>
    </w:p>
    <w:p w14:paraId="4ED0A7C1" w14:textId="21BD92E5" w:rsidR="000A2285" w:rsidRDefault="00B9150E" w:rsidP="008917F4">
      <w:pPr>
        <w:spacing w:line="360" w:lineRule="auto"/>
        <w:jc w:val="both"/>
      </w:pPr>
      <w:r>
        <w:t xml:space="preserve">The aesthetic salon operates a successful business, offering aesthetic, beauty and hair services within the Carmarthenshire district. The current delivery model relies on the owner to operate within the organisation, develop the reputation and growth, and support independent practitioners who rent salon space, which supports the running costs of the salon. </w:t>
      </w:r>
    </w:p>
    <w:p w14:paraId="35C087F5" w14:textId="77777777" w:rsidR="000A2285" w:rsidRDefault="000A2285" w:rsidP="008917F4">
      <w:pPr>
        <w:spacing w:line="360" w:lineRule="auto"/>
        <w:jc w:val="both"/>
      </w:pPr>
    </w:p>
    <w:p w14:paraId="362C8A9C" w14:textId="4B333607" w:rsidR="000A2285" w:rsidRDefault="00680089" w:rsidP="008917F4">
      <w:pPr>
        <w:spacing w:line="360" w:lineRule="auto"/>
        <w:jc w:val="both"/>
      </w:pPr>
      <w:r>
        <w:t xml:space="preserve">A range of </w:t>
      </w:r>
      <w:r w:rsidR="00516A4A">
        <w:t>d</w:t>
      </w:r>
      <w:r>
        <w:t>rivers create the need for change</w:t>
      </w:r>
      <w:r w:rsidR="00DB10E8">
        <w:t xml:space="preserve">. </w:t>
      </w:r>
      <w:r>
        <w:t>The owner is working at full capacity with client demand being high</w:t>
      </w:r>
      <w:r w:rsidR="0099155E">
        <w:t xml:space="preserve">, </w:t>
      </w:r>
      <w:r>
        <w:t>complaints from clients regarding the self-employed practitioners have been raised to the owner, which may reflect badly on the organisation’s reputation. This is important within the beauty sector, as service quality has been positively associated with customer satisfaction and consumer response (</w:t>
      </w:r>
      <w:r w:rsidR="00365395" w:rsidRPr="00365395">
        <w:t xml:space="preserve">Choi </w:t>
      </w:r>
      <w:r w:rsidR="00365395" w:rsidRPr="00365395">
        <w:rPr>
          <w:i/>
          <w:iCs/>
        </w:rPr>
        <w:t>et al</w:t>
      </w:r>
      <w:r w:rsidR="00365395" w:rsidRPr="00365395">
        <w:t>. 2023</w:t>
      </w:r>
      <w:r>
        <w:t xml:space="preserve">), </w:t>
      </w:r>
      <w:r w:rsidR="005F0C97">
        <w:t>yet ensuring the service quality and the salon quality can help to maintain customer satisfaction</w:t>
      </w:r>
      <w:r>
        <w:t xml:space="preserve"> (Tang </w:t>
      </w:r>
      <w:r>
        <w:rPr>
          <w:i/>
          <w:iCs/>
        </w:rPr>
        <w:t>et al</w:t>
      </w:r>
      <w:r>
        <w:t xml:space="preserve">., 2023). </w:t>
      </w:r>
      <w:r w:rsidR="005F0C97">
        <w:t>Being able to meet clients’ expectations</w:t>
      </w:r>
      <w:r>
        <w:t xml:space="preserve"> ha</w:t>
      </w:r>
      <w:r w:rsidR="005F0C97">
        <w:t>s</w:t>
      </w:r>
      <w:r>
        <w:t xml:space="preserve"> been shown to influence purchasing behaviour within hair salon environments (Naveen, 2024). </w:t>
      </w:r>
    </w:p>
    <w:p w14:paraId="65CE5CE2" w14:textId="27646E89" w:rsidR="000A2285" w:rsidRDefault="00B9150E" w:rsidP="008917F4">
      <w:pPr>
        <w:spacing w:before="240" w:after="240" w:line="360" w:lineRule="auto"/>
        <w:jc w:val="both"/>
      </w:pPr>
      <w:r>
        <w:t>External drivers are also emerging</w:t>
      </w:r>
      <w:r w:rsidR="00943E40">
        <w:t>, as such, talk of r</w:t>
      </w:r>
      <w:r w:rsidR="00365858">
        <w:t>egulations within n</w:t>
      </w:r>
      <w:r w:rsidR="004E173F">
        <w:t xml:space="preserve">on-surgical </w:t>
      </w:r>
      <w:r w:rsidR="00365858">
        <w:t>treatment</w:t>
      </w:r>
      <w:r w:rsidR="004E173F">
        <w:t xml:space="preserve"> have increased over the years</w:t>
      </w:r>
      <w:r w:rsidR="00365858">
        <w:t>. The focus is now on the practitioner’s</w:t>
      </w:r>
      <w:r>
        <w:t xml:space="preserve"> competence, qualifications, training, premises standards and appropriate </w:t>
      </w:r>
      <w:r w:rsidR="004E173F">
        <w:t>client protection</w:t>
      </w:r>
      <w:r>
        <w:t xml:space="preserve"> (Department of Health and Social Care, 2025). </w:t>
      </w:r>
      <w:r w:rsidR="00365858">
        <w:t>Yet d</w:t>
      </w:r>
      <w:r w:rsidR="004E173F">
        <w:t xml:space="preserve">espite regulation proposals solely relating to England, there is </w:t>
      </w:r>
      <w:r w:rsidR="00365858">
        <w:t>talk</w:t>
      </w:r>
      <w:r w:rsidR="004E173F">
        <w:t xml:space="preserve"> of </w:t>
      </w:r>
      <w:r>
        <w:t xml:space="preserve">broader movement towards </w:t>
      </w:r>
      <w:r w:rsidR="004E173F">
        <w:t>across the whole of the UK</w:t>
      </w:r>
      <w:r>
        <w:t xml:space="preserve">. Consequently, </w:t>
      </w:r>
      <w:r w:rsidR="004E173F">
        <w:t xml:space="preserve">changes to regulation create an external driver to the aesthetic organisation who consider </w:t>
      </w:r>
      <w:r>
        <w:t xml:space="preserve">whether its existing workforce model remains sustainable (Sastre &amp; Yela Aránega, 2023). </w:t>
      </w:r>
    </w:p>
    <w:p w14:paraId="38CE3E9E" w14:textId="1291AC8C" w:rsidR="000A2285" w:rsidRDefault="00B9150E" w:rsidP="008917F4">
      <w:pPr>
        <w:spacing w:before="240" w:after="240" w:line="360" w:lineRule="auto"/>
        <w:jc w:val="both"/>
      </w:pPr>
      <w:r>
        <w:t xml:space="preserve">This report will </w:t>
      </w:r>
      <w:r w:rsidR="0041409B">
        <w:t>explore</w:t>
      </w:r>
      <w:r>
        <w:t xml:space="preserve"> internal and external drivers for change, organisational readiness, change leadership, resistance and evaluation. Relevant change model theories will be explored and critically applied to determine how the organisation can go from a self-employed space rental model to an employed workforce</w:t>
      </w:r>
      <w:r w:rsidR="00D440F0">
        <w:t>.</w:t>
      </w:r>
    </w:p>
    <w:p w14:paraId="5B44F82E" w14:textId="77777777" w:rsidR="000A2285" w:rsidRDefault="00B9150E" w:rsidP="008917F4">
      <w:pPr>
        <w:pStyle w:val="Heading2"/>
        <w:spacing w:line="360" w:lineRule="auto"/>
      </w:pPr>
      <w:bookmarkStart w:id="6" w:name="_4o9ijf9oik92" w:colFirst="0" w:colLast="0"/>
      <w:bookmarkStart w:id="7" w:name="_Toc242650063"/>
      <w:bookmarkEnd w:id="6"/>
      <w:r>
        <w:lastRenderedPageBreak/>
        <w:t>2.0 Macro-environmental forces for change</w:t>
      </w:r>
      <w:bookmarkEnd w:id="7"/>
      <w:r>
        <w:t xml:space="preserve"> </w:t>
      </w:r>
    </w:p>
    <w:p w14:paraId="000ABF7F" w14:textId="77777777" w:rsidR="000A2285" w:rsidRPr="00B257CC" w:rsidRDefault="00B9150E" w:rsidP="008917F4">
      <w:pPr>
        <w:pStyle w:val="Heading3"/>
        <w:spacing w:line="360" w:lineRule="auto"/>
      </w:pPr>
      <w:bookmarkStart w:id="8" w:name="_ksw94fin4n2s" w:colFirst="0" w:colLast="0"/>
      <w:bookmarkStart w:id="9" w:name="_Toc242650064"/>
      <w:bookmarkEnd w:id="8"/>
      <w:r w:rsidRPr="00B257CC">
        <w:t>2.1 PESTLE Analysis</w:t>
      </w:r>
      <w:bookmarkEnd w:id="9"/>
      <w:r w:rsidRPr="00B257CC">
        <w:t xml:space="preserve"> </w:t>
      </w:r>
    </w:p>
    <w:p w14:paraId="37611CD1" w14:textId="0B37EFA2" w:rsidR="000A2285" w:rsidRDefault="00B9150E" w:rsidP="008917F4">
      <w:pPr>
        <w:spacing w:line="360" w:lineRule="auto"/>
        <w:jc w:val="both"/>
      </w:pPr>
      <w:r>
        <w:t xml:space="preserve">A PESTLE analysis identifies </w:t>
      </w:r>
      <w:r w:rsidR="004E173F">
        <w:t xml:space="preserve">external forces that are unable to be controlled by the salon manager </w:t>
      </w:r>
      <w:r>
        <w:t xml:space="preserve">(Harris &amp; Brooker, 2025). </w:t>
      </w:r>
    </w:p>
    <w:p w14:paraId="0AF6D97C" w14:textId="77777777" w:rsidR="008917F4" w:rsidRDefault="008917F4" w:rsidP="008917F4">
      <w:pPr>
        <w:spacing w:line="360" w:lineRule="auto"/>
        <w:jc w:val="both"/>
      </w:pPr>
    </w:p>
    <w:p w14:paraId="0339D3AA" w14:textId="5804161D" w:rsidR="008917F4" w:rsidRPr="008917F4" w:rsidRDefault="008917F4" w:rsidP="008917F4">
      <w:pPr>
        <w:spacing w:line="360" w:lineRule="auto"/>
        <w:jc w:val="both"/>
        <w:rPr>
          <w:b/>
          <w:bCs/>
          <w:i/>
          <w:iCs/>
        </w:rPr>
      </w:pPr>
      <w:r w:rsidRPr="008917F4">
        <w:rPr>
          <w:b/>
          <w:bCs/>
          <w:i/>
          <w:iCs/>
        </w:rPr>
        <w:t>Figure 1: PESTLE analysis</w:t>
      </w:r>
    </w:p>
    <w:p w14:paraId="239B41D0" w14:textId="77777777" w:rsidR="000A2285" w:rsidRDefault="00B9150E" w:rsidP="008917F4">
      <w:pPr>
        <w:spacing w:line="360" w:lineRule="auto"/>
      </w:pPr>
      <w:r>
        <w:t xml:space="preserve"> </w:t>
      </w:r>
      <w:r>
        <w:rPr>
          <w:noProof/>
        </w:rPr>
        <w:drawing>
          <wp:inline distT="114300" distB="114300" distL="114300" distR="114300" wp14:anchorId="138E1044" wp14:editId="74FBDE1B">
            <wp:extent cx="5433060" cy="3383280"/>
            <wp:effectExtent l="0" t="0" r="0" b="762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433372" cy="3383474"/>
                    </a:xfrm>
                    <a:prstGeom prst="rect">
                      <a:avLst/>
                    </a:prstGeom>
                    <a:ln/>
                  </pic:spPr>
                </pic:pic>
              </a:graphicData>
            </a:graphic>
          </wp:inline>
        </w:drawing>
      </w:r>
    </w:p>
    <w:p w14:paraId="16389F68" w14:textId="77777777" w:rsidR="000A2285" w:rsidRDefault="000A2285" w:rsidP="008917F4">
      <w:pPr>
        <w:spacing w:line="360" w:lineRule="auto"/>
      </w:pPr>
    </w:p>
    <w:p w14:paraId="15482044" w14:textId="77777777" w:rsidR="000A2285" w:rsidRDefault="00B9150E" w:rsidP="008917F4">
      <w:pPr>
        <w:spacing w:line="360" w:lineRule="auto"/>
        <w:rPr>
          <w:i/>
          <w:iCs/>
        </w:rPr>
      </w:pPr>
      <w:r>
        <w:rPr>
          <w:i/>
          <w:iCs/>
        </w:rPr>
        <w:t xml:space="preserve">Figure 1. PESTLE Analysis, created by Hughes (2026) using Canva. </w:t>
      </w:r>
    </w:p>
    <w:p w14:paraId="0B0A8F1F" w14:textId="77777777" w:rsidR="000A2285" w:rsidRDefault="000A2285" w:rsidP="008917F4">
      <w:pPr>
        <w:spacing w:line="360" w:lineRule="auto"/>
      </w:pPr>
    </w:p>
    <w:p w14:paraId="2F215781" w14:textId="4C689B7C" w:rsidR="000A2285" w:rsidRDefault="00B9150E" w:rsidP="008917F4">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pPr>
      <w:r>
        <w:t xml:space="preserve">Economic pressures </w:t>
      </w:r>
      <w:r w:rsidR="004E173F">
        <w:t xml:space="preserve">relate to the proposed changes of the salon as </w:t>
      </w:r>
      <w:r>
        <w:t xml:space="preserve">moving from self-employed practitioners to employees </w:t>
      </w:r>
      <w:r w:rsidR="004E173F">
        <w:t xml:space="preserve">may </w:t>
      </w:r>
      <w:r>
        <w:t>create fixed workforce costs, including wages, employer National Insurance contributions, pension contributions and paid annual leave (</w:t>
      </w:r>
      <w:hyperlink r:id="rId8">
        <w:r w:rsidR="000A2285">
          <w:rPr>
            <w:color w:val="0000FF"/>
            <w:u w:val="single"/>
          </w:rPr>
          <w:t>Business.gov.uk</w:t>
        </w:r>
      </w:hyperlink>
      <w:r>
        <w:t xml:space="preserve">, nd). </w:t>
      </w:r>
      <w:r w:rsidR="004E173F">
        <w:t>And despite these c</w:t>
      </w:r>
      <w:r>
        <w:t>osts increas</w:t>
      </w:r>
      <w:r w:rsidR="004E173F">
        <w:t>ing the organisations financia</w:t>
      </w:r>
      <w:r>
        <w:t xml:space="preserve">l commitments (Taylor </w:t>
      </w:r>
      <w:r>
        <w:rPr>
          <w:i/>
          <w:iCs/>
        </w:rPr>
        <w:t>et al</w:t>
      </w:r>
      <w:r>
        <w:t xml:space="preserve">., 2021), employing staff may also expand treatment capacity, </w:t>
      </w:r>
      <w:r w:rsidR="004E173F">
        <w:t xml:space="preserve">help </w:t>
      </w:r>
      <w:r w:rsidR="00680089">
        <w:t>use</w:t>
      </w:r>
      <w:r w:rsidR="004E173F">
        <w:t xml:space="preserve"> the salon diary</w:t>
      </w:r>
      <w:r>
        <w:t xml:space="preserve"> and </w:t>
      </w:r>
      <w:r w:rsidR="004E173F">
        <w:t>bring in greater overall income</w:t>
      </w:r>
      <w:r>
        <w:t xml:space="preserve">. The owner should </w:t>
      </w:r>
      <w:r w:rsidR="004E173F">
        <w:t xml:space="preserve">look to </w:t>
      </w:r>
      <w:r>
        <w:t xml:space="preserve">assess projected income growth </w:t>
      </w:r>
      <w:r w:rsidR="004E173F">
        <w:t>against</w:t>
      </w:r>
      <w:r>
        <w:t xml:space="preserve"> additional employment costs.</w:t>
      </w:r>
    </w:p>
    <w:p w14:paraId="2D26AF08" w14:textId="77777777" w:rsidR="000A2285" w:rsidRDefault="00B9150E" w:rsidP="008917F4">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pPr>
      <w:r>
        <w:t xml:space="preserve">The change in regulatory requirements may affect operations in the future, depending on practitioners’ skills and qualifications, where the aesthetics and beauty industry is subject to relevant standards, policies and reporting procedures (JCCP, 2021). These requirements may </w:t>
      </w:r>
      <w:r>
        <w:lastRenderedPageBreak/>
        <w:t>shape recruitment and determine which treatments employees are qualified, authorised and insured to provide.</w:t>
      </w:r>
    </w:p>
    <w:p w14:paraId="40157E1A" w14:textId="597A563F" w:rsidR="000A2285" w:rsidRDefault="00B9150E" w:rsidP="008917F4">
      <w:pPr>
        <w:pBdr>
          <w:top w:val="none" w:sz="0" w:space="0" w:color="E5E7EB"/>
          <w:left w:val="none" w:sz="0" w:space="0" w:color="E5E7EB"/>
          <w:bottom w:val="none" w:sz="0" w:space="0" w:color="E5E7EB"/>
          <w:right w:val="none" w:sz="0" w:space="0" w:color="E5E7EB"/>
          <w:between w:val="none" w:sz="0" w:space="0" w:color="E5E7EB"/>
        </w:pBdr>
        <w:shd w:val="clear" w:color="auto" w:fill="FFFFFF"/>
        <w:spacing w:after="240" w:line="360" w:lineRule="auto"/>
        <w:jc w:val="both"/>
      </w:pPr>
      <w:r>
        <w:t xml:space="preserve">The owner should </w:t>
      </w:r>
      <w:r w:rsidR="004E173F">
        <w:t>review the demand for its current treatment offer</w:t>
      </w:r>
      <w:r>
        <w:t xml:space="preserve"> in the local area and consider how the business’s social media presence influences awareness and customer interest (Venkatesan </w:t>
      </w:r>
      <w:r>
        <w:rPr>
          <w:i/>
          <w:iCs/>
        </w:rPr>
        <w:t>et al</w:t>
      </w:r>
      <w:r>
        <w:t xml:space="preserve">., 2025). In this case, it helps assess the proposed workforce change in a wider context than internal business growth alone. Economic, legal and regulatory factors make workforce planning important, including defining roles, checking practitioners’ qualifications and competence, and establishing appropriate training and service-delivery procedures (JCCP, 2021). </w:t>
      </w:r>
      <w:r w:rsidR="004E173F">
        <w:t>Changing models to support</w:t>
      </w:r>
      <w:r>
        <w:t xml:space="preserve"> consistent working practices and </w:t>
      </w:r>
      <w:r w:rsidR="004E173F">
        <w:t>greater revenue will be necessary</w:t>
      </w:r>
      <w:r>
        <w:t>; however, it also brings employer responsibilities relating to contracts, pay, leave, payroll, insurance and workplace conditions (</w:t>
      </w:r>
      <w:hyperlink r:id="rId9">
        <w:r w:rsidR="000A2285">
          <w:rPr>
            <w:color w:val="0000FF"/>
            <w:u w:val="single"/>
          </w:rPr>
          <w:t>Gov.uk</w:t>
        </w:r>
      </w:hyperlink>
      <w:r>
        <w:t>, nd). The transition should therefore be planned and assessed for affordability and operational sustainability, rather than treated simply as a recruitment decision (</w:t>
      </w:r>
      <w:hyperlink r:id="rId10">
        <w:r w:rsidR="000A2285">
          <w:rPr>
            <w:color w:val="0000FF"/>
            <w:u w:val="single"/>
          </w:rPr>
          <w:t>Business.gov.uk</w:t>
        </w:r>
      </w:hyperlink>
      <w:r>
        <w:t xml:space="preserve">, nd). </w:t>
      </w:r>
    </w:p>
    <w:p w14:paraId="13938E21" w14:textId="77777777" w:rsidR="000A2285" w:rsidRPr="00B257CC" w:rsidRDefault="00B9150E" w:rsidP="008917F4">
      <w:pPr>
        <w:pStyle w:val="Heading3"/>
        <w:spacing w:line="360" w:lineRule="auto"/>
      </w:pPr>
      <w:bookmarkStart w:id="10" w:name="_tzu7ab355ssu" w:colFirst="0" w:colLast="0"/>
      <w:bookmarkStart w:id="11" w:name="_Toc242650065"/>
      <w:bookmarkEnd w:id="10"/>
      <w:r w:rsidRPr="00B257CC">
        <w:t>2.2 Implications for workplace change</w:t>
      </w:r>
      <w:bookmarkEnd w:id="11"/>
      <w:r w:rsidRPr="00B257CC">
        <w:t xml:space="preserve"> </w:t>
      </w:r>
    </w:p>
    <w:p w14:paraId="1EC043EF" w14:textId="1CDF12E2" w:rsidR="000A2285" w:rsidRDefault="00802253" w:rsidP="008917F4">
      <w:pPr>
        <w:spacing w:line="360" w:lineRule="auto"/>
        <w:jc w:val="both"/>
      </w:pPr>
      <w:r>
        <w:t xml:space="preserve">A </w:t>
      </w:r>
      <w:r w:rsidR="00B9150E">
        <w:t xml:space="preserve">PESTLE analysis </w:t>
      </w:r>
      <w:r w:rsidR="00AB493B">
        <w:t>looks at</w:t>
      </w:r>
      <w:r w:rsidR="00B9150E">
        <w:t xml:space="preserve"> external macro-environmental factors that may influence an organisation’s operations and strategic decisions (Belsare, 2025). </w:t>
      </w:r>
      <w:r w:rsidR="00CE6172">
        <w:t>For the salon</w:t>
      </w:r>
      <w:r w:rsidR="00B9150E">
        <w:t xml:space="preserve">, the analysis highlights </w:t>
      </w:r>
      <w:r w:rsidR="00886F6F">
        <w:t>a potential growth model</w:t>
      </w:r>
      <w:r w:rsidR="006C4934">
        <w:t xml:space="preserve"> by changing from </w:t>
      </w:r>
      <w:r w:rsidR="00B9150E">
        <w:t>r</w:t>
      </w:r>
      <w:r w:rsidR="00E271D6">
        <w:t xml:space="preserve">enting space to </w:t>
      </w:r>
      <w:r w:rsidR="00886F6F">
        <w:t>self-employed</w:t>
      </w:r>
      <w:r w:rsidR="00E271D6">
        <w:t xml:space="preserve"> practitioners</w:t>
      </w:r>
      <w:r w:rsidR="00B9150E">
        <w:t xml:space="preserve">, </w:t>
      </w:r>
      <w:r w:rsidR="006C4934">
        <w:t>to hiring employed staff, supporting</w:t>
      </w:r>
      <w:r w:rsidR="00B9150E">
        <w:t xml:space="preserve"> the organisation’s growth plans (</w:t>
      </w:r>
      <w:r w:rsidR="00365395" w:rsidRPr="00365395">
        <w:t>Mladenova 2022)</w:t>
      </w:r>
      <w:r w:rsidR="00B9150E">
        <w:t xml:space="preserve">. </w:t>
      </w:r>
    </w:p>
    <w:p w14:paraId="50FAE74A" w14:textId="77777777" w:rsidR="000A2285" w:rsidRDefault="000A2285" w:rsidP="008917F4">
      <w:pPr>
        <w:spacing w:line="360" w:lineRule="auto"/>
        <w:jc w:val="both"/>
      </w:pPr>
    </w:p>
    <w:p w14:paraId="5290CC8C" w14:textId="406E97D3" w:rsidR="000A2285" w:rsidRDefault="004E173F" w:rsidP="008917F4">
      <w:pPr>
        <w:spacing w:line="360" w:lineRule="auto"/>
        <w:jc w:val="both"/>
      </w:pPr>
      <w:r>
        <w:t xml:space="preserve">Employer duties should be </w:t>
      </w:r>
      <w:r w:rsidR="00C55582">
        <w:t>reviewed</w:t>
      </w:r>
      <w:r>
        <w:t xml:space="preserve">, </w:t>
      </w:r>
      <w:r w:rsidR="00C55582">
        <w:t>in particular looking at</w:t>
      </w:r>
      <w:r>
        <w:t xml:space="preserve"> </w:t>
      </w:r>
      <w:r w:rsidR="007410C9">
        <w:t>contracts</w:t>
      </w:r>
      <w:r>
        <w:t xml:space="preserve">, managing payroll </w:t>
      </w:r>
      <w:r w:rsidR="001A5D71">
        <w:t>holiday entitlement</w:t>
      </w:r>
      <w:r>
        <w:t xml:space="preserve">, insurance and workplace conditions (GOV.UK, n.d.-a; GOV.UK, n.d.-b). Within </w:t>
      </w:r>
      <w:r w:rsidR="007410C9">
        <w:t xml:space="preserve">the </w:t>
      </w:r>
      <w:r>
        <w:t xml:space="preserve">aesthetics and beauty </w:t>
      </w:r>
      <w:r w:rsidR="007410C9">
        <w:t>industry</w:t>
      </w:r>
      <w:r>
        <w:t xml:space="preserve">, </w:t>
      </w:r>
      <w:r w:rsidR="007410C9">
        <w:t xml:space="preserve">it is important to consider if </w:t>
      </w:r>
      <w:r w:rsidR="001A5D71">
        <w:t>an</w:t>
      </w:r>
      <w:r w:rsidR="007410C9">
        <w:t xml:space="preserve"> employee is to be trained </w:t>
      </w:r>
      <w:r w:rsidR="002D2919">
        <w:t xml:space="preserve">or is </w:t>
      </w:r>
      <w:r w:rsidR="007410C9">
        <w:t>certificated to work within their scope</w:t>
      </w:r>
      <w:r>
        <w:t xml:space="preserve"> (JCCP &amp; Hamilton Fraser, 2021). </w:t>
      </w:r>
      <w:r w:rsidR="007410C9">
        <w:t>The change should be planned carefully</w:t>
      </w:r>
      <w:r>
        <w:t xml:space="preserve">, covering </w:t>
      </w:r>
      <w:r w:rsidR="007410C9">
        <w:t>job duties</w:t>
      </w:r>
      <w:r>
        <w:t xml:space="preserve">, training, compliance and cost forecasting, rather than </w:t>
      </w:r>
      <w:r w:rsidR="00011CE1">
        <w:t>viewed</w:t>
      </w:r>
      <w:r>
        <w:t xml:space="preserve"> solely as a recruitment decision (</w:t>
      </w:r>
      <w:hyperlink r:id="rId11">
        <w:r w:rsidR="000A2285">
          <w:rPr>
            <w:color w:val="0000FF"/>
          </w:rPr>
          <w:t>Business.gov.uk</w:t>
        </w:r>
      </w:hyperlink>
      <w:r>
        <w:t xml:space="preserve">, nd). </w:t>
      </w:r>
    </w:p>
    <w:p w14:paraId="1803EE9A" w14:textId="77777777" w:rsidR="000A2285" w:rsidRDefault="00B9150E" w:rsidP="008917F4">
      <w:pPr>
        <w:pStyle w:val="Heading2"/>
        <w:spacing w:line="360" w:lineRule="auto"/>
      </w:pPr>
      <w:bookmarkStart w:id="12" w:name="_vrkxrwyo7ion" w:colFirst="0" w:colLast="0"/>
      <w:bookmarkStart w:id="13" w:name="_Toc242650066"/>
      <w:bookmarkEnd w:id="12"/>
      <w:r>
        <w:t>3.0 Micro-environmental forces for change</w:t>
      </w:r>
      <w:bookmarkEnd w:id="13"/>
      <w:r>
        <w:t xml:space="preserve"> </w:t>
      </w:r>
    </w:p>
    <w:p w14:paraId="1E7A1B7B" w14:textId="40395591" w:rsidR="000A2285" w:rsidRDefault="00B9150E" w:rsidP="00365858">
      <w:pPr>
        <w:pStyle w:val="Heading2"/>
      </w:pPr>
      <w:bookmarkStart w:id="14" w:name="_vw6y2ow6x3lg" w:colFirst="0" w:colLast="0"/>
      <w:bookmarkStart w:id="15" w:name="_Toc242650067"/>
      <w:bookmarkEnd w:id="14"/>
      <w:r>
        <w:t>3.1 SWOT Analysis</w:t>
      </w:r>
      <w:bookmarkEnd w:id="15"/>
      <w:r>
        <w:t xml:space="preserve"> </w:t>
      </w:r>
    </w:p>
    <w:p w14:paraId="369166FA" w14:textId="6998C89F" w:rsidR="007410C9" w:rsidRDefault="007410C9" w:rsidP="00365858">
      <w:pPr>
        <w:spacing w:line="360" w:lineRule="auto"/>
        <w:jc w:val="both"/>
      </w:pPr>
      <w:r w:rsidRPr="007410C9">
        <w:t>A SWOT analysis compares strengths</w:t>
      </w:r>
      <w:r w:rsidR="00546AE3">
        <w:t xml:space="preserve">, </w:t>
      </w:r>
      <w:r w:rsidRPr="007410C9">
        <w:t>weaknesses</w:t>
      </w:r>
      <w:r w:rsidR="00546AE3">
        <w:t xml:space="preserve">, threats and opportunity for </w:t>
      </w:r>
      <w:r w:rsidRPr="007410C9">
        <w:t xml:space="preserve">the aesthetic salon </w:t>
      </w:r>
      <w:r w:rsidR="00926BD3">
        <w:t>around change management</w:t>
      </w:r>
      <w:r w:rsidRPr="007410C9">
        <w:t xml:space="preserve"> (Malesu &amp; Syrovátka 2025). However, SWOT analysis may </w:t>
      </w:r>
      <w:r w:rsidR="00926BD3">
        <w:t>complicate</w:t>
      </w:r>
      <w:r w:rsidRPr="007410C9">
        <w:t xml:space="preserve"> organisational issues and </w:t>
      </w:r>
      <w:r w:rsidR="00DB6CDB">
        <w:t>does not provide a strategic plan or action</w:t>
      </w:r>
      <w:r w:rsidRPr="007410C9">
        <w:t xml:space="preserve"> (Malesu &amp; Syrovátka, 2025).</w:t>
      </w:r>
    </w:p>
    <w:p w14:paraId="55F60CD2" w14:textId="3EE01BA5" w:rsidR="008917F4" w:rsidRPr="008917F4" w:rsidRDefault="008917F4" w:rsidP="008917F4">
      <w:pPr>
        <w:spacing w:before="240" w:after="240" w:line="360" w:lineRule="auto"/>
        <w:jc w:val="both"/>
        <w:rPr>
          <w:b/>
          <w:bCs/>
          <w:i/>
          <w:iCs/>
        </w:rPr>
      </w:pPr>
      <w:r w:rsidRPr="008917F4">
        <w:rPr>
          <w:b/>
          <w:bCs/>
          <w:i/>
          <w:iCs/>
        </w:rPr>
        <w:lastRenderedPageBreak/>
        <w:t>Figure 2: SWOT analysis</w:t>
      </w:r>
    </w:p>
    <w:p w14:paraId="4FAC4781" w14:textId="77777777" w:rsidR="000A2285" w:rsidRDefault="00B9150E" w:rsidP="008917F4">
      <w:pPr>
        <w:spacing w:line="360" w:lineRule="auto"/>
      </w:pPr>
      <w:r>
        <w:rPr>
          <w:noProof/>
        </w:rPr>
        <w:drawing>
          <wp:inline distT="114300" distB="114300" distL="114300" distR="114300" wp14:anchorId="0301CC9F" wp14:editId="615AD5EA">
            <wp:extent cx="5212080" cy="3467100"/>
            <wp:effectExtent l="0" t="0" r="762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212381" cy="3467300"/>
                    </a:xfrm>
                    <a:prstGeom prst="rect">
                      <a:avLst/>
                    </a:prstGeom>
                    <a:ln/>
                  </pic:spPr>
                </pic:pic>
              </a:graphicData>
            </a:graphic>
          </wp:inline>
        </w:drawing>
      </w:r>
    </w:p>
    <w:p w14:paraId="1F3FED57" w14:textId="77777777" w:rsidR="000A2285" w:rsidRDefault="00B9150E" w:rsidP="008917F4">
      <w:pPr>
        <w:spacing w:before="240" w:after="240" w:line="360" w:lineRule="auto"/>
        <w:rPr>
          <w:i/>
          <w:iCs/>
        </w:rPr>
      </w:pPr>
      <w:r>
        <w:rPr>
          <w:i/>
          <w:iCs/>
        </w:rPr>
        <w:t xml:space="preserve">Figure 2. SWOT analysis created by Hughes (2026), using Canva. </w:t>
      </w:r>
    </w:p>
    <w:p w14:paraId="7280F566" w14:textId="38F6FCE5" w:rsidR="000A2285" w:rsidRDefault="00B9150E" w:rsidP="008917F4">
      <w:pPr>
        <w:pBdr>
          <w:top w:val="none" w:sz="0" w:space="0" w:color="E5E7EB"/>
          <w:left w:val="none" w:sz="0" w:space="0" w:color="E5E7EB"/>
          <w:bottom w:val="none" w:sz="0" w:space="0" w:color="E5E7EB"/>
          <w:right w:val="none" w:sz="0" w:space="0" w:color="E5E7EB"/>
          <w:between w:val="none" w:sz="0" w:space="0" w:color="E5E7EB"/>
        </w:pBdr>
        <w:shd w:val="clear" w:color="auto" w:fill="FFFFFF"/>
        <w:spacing w:before="240" w:after="240" w:line="360" w:lineRule="auto"/>
        <w:jc w:val="both"/>
      </w:pPr>
      <w:r>
        <w:t xml:space="preserve">The salon </w:t>
      </w:r>
      <w:r w:rsidR="00EC0C89">
        <w:t xml:space="preserve">is growing in popularity through word of mouth and online </w:t>
      </w:r>
      <w:r w:rsidR="00AB52EF">
        <w:t>presence</w:t>
      </w:r>
      <w:r w:rsidR="00EC0C89">
        <w:t xml:space="preserve">, and </w:t>
      </w:r>
      <w:r w:rsidR="00CA3D4B">
        <w:t>it is</w:t>
      </w:r>
      <w:r w:rsidR="00EC0C89">
        <w:t xml:space="preserve"> known for customer retention and satisfaction</w:t>
      </w:r>
      <w:r>
        <w:t xml:space="preserve">. Thakkar </w:t>
      </w:r>
      <w:r>
        <w:rPr>
          <w:i/>
          <w:iCs/>
        </w:rPr>
        <w:t>et al</w:t>
      </w:r>
      <w:r>
        <w:t xml:space="preserve">. (2023) identified a positive link between customer satisfaction and brand loyalty within </w:t>
      </w:r>
      <w:r w:rsidR="000E64BF">
        <w:t>the hair industry</w:t>
      </w:r>
      <w:r>
        <w:t xml:space="preserve">; however, </w:t>
      </w:r>
      <w:r w:rsidR="000E64BF">
        <w:t xml:space="preserve">retention and loyalty should </w:t>
      </w:r>
      <w:r w:rsidR="00AB52EF">
        <w:t>not</w:t>
      </w:r>
      <w:r w:rsidR="00935FB1">
        <w:t xml:space="preserve"> </w:t>
      </w:r>
      <w:r>
        <w:t xml:space="preserve">solely </w:t>
      </w:r>
      <w:r w:rsidR="00AB52EF">
        <w:t xml:space="preserve">be </w:t>
      </w:r>
      <w:r w:rsidR="00935FB1">
        <w:t xml:space="preserve">relied on </w:t>
      </w:r>
      <w:r w:rsidR="00A03E1E">
        <w:t xml:space="preserve">to perform consistent </w:t>
      </w:r>
      <w:r>
        <w:t xml:space="preserve">service delivery. Similarly, </w:t>
      </w:r>
      <w:r w:rsidRPr="00935FB1">
        <w:t xml:space="preserve">Choi </w:t>
      </w:r>
      <w:r w:rsidRPr="00935FB1">
        <w:rPr>
          <w:i/>
          <w:iCs/>
        </w:rPr>
        <w:t>et al</w:t>
      </w:r>
      <w:r w:rsidRPr="00935FB1">
        <w:t xml:space="preserve">. </w:t>
      </w:r>
      <w:r>
        <w:t xml:space="preserve">(2023) demonstrated the importance of </w:t>
      </w:r>
      <w:r w:rsidR="00935FB1">
        <w:t>maintaining service standards in order to protect customer loyalty and retention</w:t>
      </w:r>
      <w:r w:rsidR="00632BEF">
        <w:t xml:space="preserve">, especially during change. </w:t>
      </w:r>
    </w:p>
    <w:p w14:paraId="58533F3E" w14:textId="0372093B" w:rsidR="000A2285" w:rsidRDefault="00B9150E" w:rsidP="008917F4">
      <w:pPr>
        <w:pBdr>
          <w:top w:val="none" w:sz="0" w:space="0" w:color="E5E7EB"/>
          <w:left w:val="none" w:sz="0" w:space="0" w:color="E5E7EB"/>
          <w:bottom w:val="none" w:sz="0" w:space="0" w:color="E5E7EB"/>
          <w:right w:val="none" w:sz="0" w:space="0" w:color="E5E7EB"/>
          <w:between w:val="none" w:sz="0" w:space="0" w:color="E5E7EB"/>
        </w:pBdr>
        <w:shd w:val="clear" w:color="auto" w:fill="FFFFFF"/>
        <w:spacing w:before="240" w:after="240" w:line="360" w:lineRule="auto"/>
        <w:jc w:val="both"/>
      </w:pPr>
      <w:r>
        <w:t xml:space="preserve">Nevertheless, </w:t>
      </w:r>
      <w:r w:rsidR="00632BEF">
        <w:t>with the owner reaching their full capacity, this creates</w:t>
      </w:r>
      <w:r>
        <w:t xml:space="preserve"> operational weakness, </w:t>
      </w:r>
      <w:r w:rsidR="00581373">
        <w:t>and</w:t>
      </w:r>
      <w:r>
        <w:t xml:space="preserve"> may restrict </w:t>
      </w:r>
      <w:r w:rsidR="00581373">
        <w:t xml:space="preserve">new clients being able to book in. </w:t>
      </w:r>
      <w:r w:rsidR="00CA3D4B">
        <w:t>Thus,</w:t>
      </w:r>
      <w:r w:rsidR="00FE0DE4">
        <w:t xml:space="preserve"> affecting</w:t>
      </w:r>
      <w:r w:rsidR="00581373">
        <w:t xml:space="preserve"> the organisations growth and plan for expansion. </w:t>
      </w:r>
      <w:r w:rsidR="00C5557D">
        <w:t xml:space="preserve">The owner may consider recruiting </w:t>
      </w:r>
      <w:r w:rsidR="00ED360B">
        <w:t>ready</w:t>
      </w:r>
      <w:r w:rsidR="00C5557D">
        <w:t xml:space="preserve"> qualified </w:t>
      </w:r>
      <w:r>
        <w:t xml:space="preserve">employees </w:t>
      </w:r>
      <w:r w:rsidR="00DD0613">
        <w:t xml:space="preserve">so that treatment capacity can be increased, however this does not guarantee </w:t>
      </w:r>
      <w:r w:rsidR="008E410D">
        <w:t>service quality, therefore the owner should consider the time to train employees also.</w:t>
      </w:r>
      <w:r>
        <w:t xml:space="preserve"> Permana </w:t>
      </w:r>
      <w:r>
        <w:rPr>
          <w:i/>
          <w:iCs/>
        </w:rPr>
        <w:t>et al</w:t>
      </w:r>
      <w:r>
        <w:t xml:space="preserve">. (2025) identified </w:t>
      </w:r>
      <w:r w:rsidR="008E410D">
        <w:t xml:space="preserve">that recruitment alone does not guarantee </w:t>
      </w:r>
      <w:r w:rsidR="005501AB">
        <w:t xml:space="preserve">to improve profits </w:t>
      </w:r>
      <w:r>
        <w:t>within the organisation. Supporting this, Malesu and Syrovátka (2025) sugges</w:t>
      </w:r>
      <w:r w:rsidR="00277D72">
        <w:t>ts</w:t>
      </w:r>
      <w:r>
        <w:t xml:space="preserve"> that recruitment must form part of a wider organisational strategy</w:t>
      </w:r>
      <w:r w:rsidR="00277D72">
        <w:t xml:space="preserve"> to make sure the right employee compliments the organisation. </w:t>
      </w:r>
    </w:p>
    <w:p w14:paraId="6DA022A1" w14:textId="6E84C6A5" w:rsidR="007410C9" w:rsidRDefault="007410C9" w:rsidP="00365858">
      <w:pPr>
        <w:spacing w:line="360" w:lineRule="auto"/>
        <w:jc w:val="both"/>
      </w:pPr>
      <w:bookmarkStart w:id="16" w:name="_cm9ntjin8hmx" w:colFirst="0" w:colLast="0"/>
      <w:bookmarkEnd w:id="16"/>
      <w:r w:rsidRPr="007410C9">
        <w:t xml:space="preserve">Furthermore, successful recruitment would </w:t>
      </w:r>
      <w:r w:rsidR="00277D72">
        <w:t>need a clear understanding of</w:t>
      </w:r>
      <w:r w:rsidRPr="007410C9">
        <w:t xml:space="preserve"> responsibilities, </w:t>
      </w:r>
      <w:r w:rsidR="00277D72">
        <w:t xml:space="preserve"> technology </w:t>
      </w:r>
      <w:r w:rsidRPr="007410C9">
        <w:t xml:space="preserve">systems and continued professional development. Meidiaputri </w:t>
      </w:r>
      <w:r w:rsidRPr="007410C9">
        <w:rPr>
          <w:i/>
          <w:iCs/>
        </w:rPr>
        <w:t>et al</w:t>
      </w:r>
      <w:r w:rsidRPr="007410C9">
        <w:t xml:space="preserve">. (2025) </w:t>
      </w:r>
      <w:r w:rsidR="00277D72">
        <w:t>discusses</w:t>
      </w:r>
      <w:r w:rsidRPr="007410C9">
        <w:t xml:space="preserve"> recruitment and training as a need within employee performance. Consequently, </w:t>
      </w:r>
      <w:r w:rsidRPr="007410C9">
        <w:lastRenderedPageBreak/>
        <w:t xml:space="preserve">the change from self-employment to an employed workforce could increase organisational capability but </w:t>
      </w:r>
      <w:r w:rsidR="00007102">
        <w:t xml:space="preserve">add pressure to </w:t>
      </w:r>
      <w:r w:rsidRPr="007410C9">
        <w:t>existing financial and operational weaknesses. Malesu and Syrovátka (2025) highlighted financial resources</w:t>
      </w:r>
      <w:r w:rsidR="008D1CC3">
        <w:t>, suggesting that hiring</w:t>
      </w:r>
      <w:r w:rsidRPr="007410C9">
        <w:t xml:space="preserve"> commitments should be assessed against working capital.</w:t>
      </w:r>
    </w:p>
    <w:p w14:paraId="151304BF" w14:textId="77777777" w:rsidR="008D1CC3" w:rsidRPr="007410C9" w:rsidRDefault="008D1CC3" w:rsidP="00365858">
      <w:pPr>
        <w:spacing w:line="360" w:lineRule="auto"/>
        <w:jc w:val="both"/>
      </w:pPr>
    </w:p>
    <w:p w14:paraId="335D7406" w14:textId="1E0B8CD4" w:rsidR="007410C9" w:rsidRPr="007410C9" w:rsidRDefault="003F1252" w:rsidP="00365858">
      <w:pPr>
        <w:spacing w:line="360" w:lineRule="auto"/>
        <w:jc w:val="both"/>
      </w:pPr>
      <w:r>
        <w:t xml:space="preserve">Regulation changes within aesthetics pose a risk and may affect ongoing recruitment as </w:t>
      </w:r>
      <w:r w:rsidR="00D27521">
        <w:t xml:space="preserve">training and experience would be important, however the owner may be able to implement training to support this </w:t>
      </w:r>
      <w:r w:rsidR="00DD6FE6">
        <w:t xml:space="preserve">should such regulation take place </w:t>
      </w:r>
      <w:r w:rsidR="007410C9" w:rsidRPr="007410C9">
        <w:t xml:space="preserve">(JCCP, 2021). Although </w:t>
      </w:r>
      <w:r w:rsidR="00DD6FE6">
        <w:t>regulation is just talk</w:t>
      </w:r>
      <w:r w:rsidR="007410C9" w:rsidRPr="007410C9">
        <w:t xml:space="preserve">, recruiting employees based solely on existing qualifications without considering future professional development may increase organisational vulnerability. Therefore, while the SWOT analysis </w:t>
      </w:r>
      <w:r w:rsidR="00DD6FE6">
        <w:t xml:space="preserve">shows </w:t>
      </w:r>
      <w:r w:rsidR="007410C9" w:rsidRPr="007410C9">
        <w:t xml:space="preserve">opportunities to strengthen operational capacity, </w:t>
      </w:r>
      <w:r w:rsidR="00137660">
        <w:t>it would be important for the owner to maintain regulation as this will assist future changes and improve brand reputation</w:t>
      </w:r>
      <w:r w:rsidR="007410C9" w:rsidRPr="007410C9">
        <w:t xml:space="preserve">. Instead, financial forecasting, </w:t>
      </w:r>
      <w:r w:rsidR="00137660">
        <w:t>business plans</w:t>
      </w:r>
      <w:r w:rsidR="007410C9" w:rsidRPr="007410C9">
        <w:t xml:space="preserve"> and measurable performance objectives </w:t>
      </w:r>
      <w:r w:rsidR="00137660">
        <w:t xml:space="preserve">will help to support </w:t>
      </w:r>
      <w:r w:rsidR="00F77655">
        <w:t xml:space="preserve">organisational changes and create actions </w:t>
      </w:r>
      <w:r w:rsidR="007410C9" w:rsidRPr="007410C9">
        <w:t>(Malesu &amp; Syrovátka, 2025). </w:t>
      </w:r>
    </w:p>
    <w:p w14:paraId="09653116" w14:textId="41DB99C7" w:rsidR="000A2285" w:rsidRDefault="00B9150E" w:rsidP="007410C9">
      <w:pPr>
        <w:pStyle w:val="Heading3"/>
        <w:spacing w:line="360" w:lineRule="auto"/>
      </w:pPr>
      <w:bookmarkStart w:id="17" w:name="_Toc242650068"/>
      <w:r>
        <w:t>3.2 Strategic Priorities from SWOT</w:t>
      </w:r>
      <w:bookmarkEnd w:id="17"/>
    </w:p>
    <w:p w14:paraId="5C09A710" w14:textId="2D26B5D7" w:rsidR="007410C9" w:rsidRDefault="007410C9" w:rsidP="007410C9">
      <w:pPr>
        <w:spacing w:before="240" w:after="240" w:line="360" w:lineRule="auto"/>
        <w:jc w:val="both"/>
      </w:pPr>
      <w:r>
        <w:t xml:space="preserve">There is potential opportunity for growth in the current demand coming from clients. However, adding more practitioners only supports growth if there is enough demand to use the extra treatment hours. A second priority is to lessen the organisation’s dependence on the owner for service delivery and operational management. Organisational strengths include established client relationships and professional expertise, however, reliance on one practitioner could limit the business’s ability to expand and maintain continuity during periods of absence (Delvyn </w:t>
      </w:r>
      <w:r w:rsidRPr="007410C9">
        <w:rPr>
          <w:i/>
          <w:iCs/>
        </w:rPr>
        <w:t>et al</w:t>
      </w:r>
      <w:r>
        <w:t xml:space="preserve">., 2026). However, this requires the owner to provide effective delegation, training and supervision rather than believing that recruitment will reduce operational dependence on the owner (Akhtar </w:t>
      </w:r>
      <w:r w:rsidRPr="007410C9">
        <w:rPr>
          <w:i/>
          <w:iCs/>
        </w:rPr>
        <w:t>et al</w:t>
      </w:r>
      <w:r>
        <w:t>., 2025).</w:t>
      </w:r>
    </w:p>
    <w:p w14:paraId="4DAD7526" w14:textId="160BF83E" w:rsidR="007410C9" w:rsidRDefault="007410C9" w:rsidP="007410C9">
      <w:pPr>
        <w:spacing w:before="240" w:after="240" w:line="360" w:lineRule="auto"/>
        <w:jc w:val="both"/>
      </w:pPr>
      <w:r>
        <w:t xml:space="preserve">Another strategic priority is the consistency of services (Awwad </w:t>
      </w:r>
      <w:r w:rsidRPr="007410C9">
        <w:rPr>
          <w:i/>
          <w:iCs/>
        </w:rPr>
        <w:t>et al</w:t>
      </w:r>
      <w:r>
        <w:t xml:space="preserve">., 2024). The present self-employed practitioner model provides operational independence, which could limit the organisation’s ability to set consistent working practices across all services. The transition to employment may offer an opportunity to implement shared service standards, clear responsibilities and structured performance expectations (Schlawe </w:t>
      </w:r>
      <w:r w:rsidRPr="007410C9">
        <w:rPr>
          <w:i/>
          <w:iCs/>
        </w:rPr>
        <w:t>et al</w:t>
      </w:r>
      <w:r>
        <w:t xml:space="preserve">., 2025). Meidiaputri </w:t>
      </w:r>
      <w:r w:rsidRPr="007410C9">
        <w:rPr>
          <w:i/>
          <w:iCs/>
        </w:rPr>
        <w:t>et al</w:t>
      </w:r>
      <w:r>
        <w:t xml:space="preserve">. (2025) in their study found recruitment, selection and training as the </w:t>
      </w:r>
      <w:r w:rsidR="00680089">
        <w:t>crucial factors</w:t>
      </w:r>
      <w:r>
        <w:t xml:space="preserve"> for employee performance while Hendri (2025) identified the relationship between organisational strategy, leadership, human resources and performance management in SMEs. However, as </w:t>
      </w:r>
      <w:r>
        <w:lastRenderedPageBreak/>
        <w:t xml:space="preserve">indicated earlier, employment should be supported with employee development, regular feedback and improvement goals to support a successful change and growth strategy. </w:t>
      </w:r>
    </w:p>
    <w:p w14:paraId="65AF5746" w14:textId="55401896" w:rsidR="000A2285" w:rsidRDefault="007410C9" w:rsidP="007410C9">
      <w:pPr>
        <w:spacing w:before="240" w:after="240" w:line="360" w:lineRule="auto"/>
        <w:jc w:val="both"/>
      </w:pPr>
      <w:r>
        <w:t xml:space="preserve">Finally, the proposed change must </w:t>
      </w:r>
      <w:r w:rsidR="0091014F">
        <w:t>look at maintaining fund</w:t>
      </w:r>
      <w:r w:rsidR="00271F40">
        <w:t xml:space="preserve">s that support this planned </w:t>
      </w:r>
      <w:r w:rsidR="0091014F">
        <w:t>growth</w:t>
      </w:r>
      <w:r>
        <w:t xml:space="preserve">. Hiring staff </w:t>
      </w:r>
      <w:r w:rsidR="00271F40">
        <w:t>will create</w:t>
      </w:r>
      <w:r>
        <w:t xml:space="preserve"> additional costs such as wages, training and employment-related expenses, </w:t>
      </w:r>
      <w:r w:rsidR="00271F40">
        <w:t>and may increase</w:t>
      </w:r>
      <w:r>
        <w:t xml:space="preserve"> financial strain before any new income is generated (Nazos, 2026). Malesu and Syrovátka (2025) found access to financial resources to be </w:t>
      </w:r>
      <w:r w:rsidR="00F67569">
        <w:t>a crucial factor</w:t>
      </w:r>
      <w:r w:rsidR="00AF6DA2">
        <w:t xml:space="preserve"> for small businesses, therefore</w:t>
      </w:r>
      <w:r>
        <w:t xml:space="preserve">, increasing operating capacity should not be </w:t>
      </w:r>
      <w:r w:rsidR="00AF6DA2">
        <w:t>the only target for</w:t>
      </w:r>
      <w:r>
        <w:t xml:space="preserve"> financial improvement</w:t>
      </w:r>
      <w:r w:rsidR="00AF6DA2">
        <w:t xml:space="preserve">, as </w:t>
      </w:r>
      <w:r>
        <w:t>assessment o</w:t>
      </w:r>
      <w:r w:rsidR="00AF6DA2">
        <w:t>n</w:t>
      </w:r>
      <w:r>
        <w:t xml:space="preserve"> treatment demand</w:t>
      </w:r>
      <w:r w:rsidR="00AF6DA2">
        <w:t>s</w:t>
      </w:r>
      <w:r>
        <w:t>, operating cost</w:t>
      </w:r>
      <w:r w:rsidR="00AF6DA2">
        <w:t>s</w:t>
      </w:r>
      <w:r>
        <w:t xml:space="preserve"> and projected profitability</w:t>
      </w:r>
      <w:r w:rsidR="00732E4C">
        <w:t xml:space="preserve"> will help to plan accordingly</w:t>
      </w:r>
      <w:r>
        <w:t xml:space="preserve">. </w:t>
      </w:r>
      <w:r w:rsidR="006D1C7D">
        <w:t xml:space="preserve">The owner must review financial forecasting and planning </w:t>
      </w:r>
      <w:r w:rsidR="004057B3">
        <w:t xml:space="preserve">and continue to do so ongoing, </w:t>
      </w:r>
      <w:r w:rsidR="0005670D">
        <w:t>before diving right into recruitment</w:t>
      </w:r>
      <w:r>
        <w:t xml:space="preserve"> (Hussein </w:t>
      </w:r>
      <w:r w:rsidRPr="007410C9">
        <w:rPr>
          <w:i/>
          <w:iCs/>
        </w:rPr>
        <w:t>et al</w:t>
      </w:r>
      <w:r>
        <w:t>., 2026).</w:t>
      </w:r>
    </w:p>
    <w:p w14:paraId="12B3F378" w14:textId="77777777" w:rsidR="000A2285" w:rsidRDefault="00B9150E" w:rsidP="008917F4">
      <w:pPr>
        <w:pStyle w:val="Heading2"/>
        <w:spacing w:line="360" w:lineRule="auto"/>
      </w:pPr>
      <w:bookmarkStart w:id="18" w:name="_3jxyjj9oxoge" w:colFirst="0" w:colLast="0"/>
      <w:bookmarkStart w:id="19" w:name="_Toc242650069"/>
      <w:bookmarkEnd w:id="18"/>
      <w:r>
        <w:t>4.0 Organisational Culture, Capability and Readiness</w:t>
      </w:r>
      <w:bookmarkEnd w:id="19"/>
    </w:p>
    <w:p w14:paraId="1DEAE7B8" w14:textId="42961B32" w:rsidR="007410C9" w:rsidRDefault="005A13F5" w:rsidP="00365858">
      <w:pPr>
        <w:spacing w:line="360" w:lineRule="auto"/>
        <w:jc w:val="both"/>
      </w:pPr>
      <w:bookmarkStart w:id="20" w:name="_70l9p4ba3h8f" w:colFirst="0" w:colLast="0"/>
      <w:bookmarkEnd w:id="20"/>
      <w:r>
        <w:t xml:space="preserve">The owner must consider whether </w:t>
      </w:r>
      <w:r w:rsidR="00652B3C">
        <w:t>the</w:t>
      </w:r>
      <w:r>
        <w:t xml:space="preserve"> </w:t>
      </w:r>
      <w:r w:rsidR="00652B3C">
        <w:t>organisation</w:t>
      </w:r>
      <w:r>
        <w:t xml:space="preserve"> is ready for </w:t>
      </w:r>
      <w:r w:rsidR="00652B3C">
        <w:t>change as the extra rental income will no longer be available and working relationships may be affected</w:t>
      </w:r>
      <w:r w:rsidR="007410C9" w:rsidRPr="007410C9">
        <w:t xml:space="preserve">. Research suggests that </w:t>
      </w:r>
      <w:r w:rsidR="005948A9">
        <w:t xml:space="preserve">culture and </w:t>
      </w:r>
      <w:r w:rsidR="00C56033">
        <w:t xml:space="preserve">structure must work well together to </w:t>
      </w:r>
      <w:r w:rsidR="00DC5A78">
        <w:t xml:space="preserve">be able to improve performance </w:t>
      </w:r>
      <w:r w:rsidR="007410C9" w:rsidRPr="007410C9">
        <w:t xml:space="preserve">(Morrison &amp; Wilhelm, 2024). </w:t>
      </w:r>
    </w:p>
    <w:p w14:paraId="5DDC544C" w14:textId="4E90A3DB" w:rsidR="000A2285" w:rsidRDefault="00B9150E" w:rsidP="008917F4">
      <w:pPr>
        <w:pStyle w:val="Heading3"/>
        <w:spacing w:line="360" w:lineRule="auto"/>
      </w:pPr>
      <w:bookmarkStart w:id="21" w:name="_Toc242650070"/>
      <w:r>
        <w:t>4.1 Current Workplace Culture</w:t>
      </w:r>
      <w:bookmarkEnd w:id="21"/>
      <w:r>
        <w:t xml:space="preserve"> </w:t>
      </w:r>
    </w:p>
    <w:p w14:paraId="52E23CDB" w14:textId="54623CE9" w:rsidR="001D3BA1" w:rsidRDefault="001D3BA1" w:rsidP="001D3BA1">
      <w:pPr>
        <w:spacing w:before="240" w:after="240" w:line="360" w:lineRule="auto"/>
        <w:jc w:val="both"/>
      </w:pPr>
      <w:r>
        <w:t>For an organi</w:t>
      </w:r>
      <w:r w:rsidR="002E4661">
        <w:t>s</w:t>
      </w:r>
      <w:r>
        <w:t xml:space="preserve">ation that currently operates on a self-employed model where practitioners have a high degree of autonomy over their working practices, it is difficult to set consistent expectations and common organisational objectives (Cieślik &amp; van Stel, 2024). But autonomy should not automatically be seen as a weakness. Job autonomy has been found to increase employees’ willingness to engage in change and reduce frustration (Fasbender &amp; Gerpott, 2023). Hence, a more rigid employment model can enhance coordination but also decrease motivation if employees perceive the change as an unwarranted restriction of their professional autonomy. </w:t>
      </w:r>
    </w:p>
    <w:p w14:paraId="4C458CAD" w14:textId="77777777" w:rsidR="001D3BA1" w:rsidRDefault="001D3BA1" w:rsidP="001D3BA1">
      <w:pPr>
        <w:spacing w:before="240" w:after="240" w:line="360" w:lineRule="auto"/>
        <w:jc w:val="both"/>
      </w:pPr>
      <w:r>
        <w:t xml:space="preserve">Edmondson and Bransby (2023) emphasise the significance of psychological safety for organisational learning, employee experience and leadership, stating that employees need to feel that they can raise concerns when they do not know what will happen. Likewise, Morrison (2023) expanded on how the absence of employee voice and silence, may impact leaders from identifying any issues. This is something the owner should consider. Open communication should be encouraged to support employee openness and support. </w:t>
      </w:r>
    </w:p>
    <w:p w14:paraId="2332B100" w14:textId="4E76F491" w:rsidR="001D3BA1" w:rsidRDefault="001D3BA1" w:rsidP="001D3BA1">
      <w:pPr>
        <w:spacing w:before="240" w:after="240" w:line="360" w:lineRule="auto"/>
        <w:jc w:val="both"/>
      </w:pPr>
      <w:r>
        <w:lastRenderedPageBreak/>
        <w:t xml:space="preserve">Practitioners may respond differently because of biases, age, experiences of their own and values (Camilli </w:t>
      </w:r>
      <w:r w:rsidRPr="00C4653F">
        <w:rPr>
          <w:i/>
          <w:iCs/>
        </w:rPr>
        <w:t>et al</w:t>
      </w:r>
      <w:r>
        <w:t xml:space="preserve">., 2025) Where the </w:t>
      </w:r>
      <w:r w:rsidR="008832A0">
        <w:t>prospective employees</w:t>
      </w:r>
      <w:r>
        <w:t xml:space="preserve"> may welcome job security and development; others may prefer independence where they have the say on working hours, days and pay. Age alone should not be the exclusive focus and considered during recruitment as can be perceived as prejudice (Ravid </w:t>
      </w:r>
      <w:r w:rsidRPr="00C4653F">
        <w:rPr>
          <w:i/>
          <w:iCs/>
        </w:rPr>
        <w:t>et al</w:t>
      </w:r>
      <w:r>
        <w:t xml:space="preserve">., 2025). Strong leadership skills can help to improve accountability but favouritism, unconscious bias or inconsistent treatment may undermine trust (Zwank </w:t>
      </w:r>
      <w:r w:rsidRPr="00C4653F">
        <w:rPr>
          <w:i/>
          <w:iCs/>
        </w:rPr>
        <w:t>et al</w:t>
      </w:r>
      <w:r>
        <w:t xml:space="preserve">., 2023). </w:t>
      </w:r>
    </w:p>
    <w:p w14:paraId="4AF126D6" w14:textId="42D43896" w:rsidR="000A2285" w:rsidRDefault="001D3BA1" w:rsidP="001D3BA1">
      <w:pPr>
        <w:spacing w:before="240" w:after="240" w:line="360" w:lineRule="auto"/>
        <w:jc w:val="both"/>
      </w:pPr>
      <w:r>
        <w:t xml:space="preserve">The current operating strategy, where the owner is the main operational practitioner, with expert skills and built client relationships, makes all the management decisions but this not only bring continuity and a strong identity, </w:t>
      </w:r>
      <w:r w:rsidR="00C4653F">
        <w:t>but this also</w:t>
      </w:r>
      <w:r>
        <w:t xml:space="preserve"> limits the ability to provide growth to the organi</w:t>
      </w:r>
      <w:r w:rsidR="00C4653F">
        <w:t>s</w:t>
      </w:r>
      <w:r>
        <w:t>ation. Fasbender and Gerpott (2023) also suggests that employee autonomy can stimulate responses to change</w:t>
      </w:r>
      <w:r w:rsidR="00C4653F">
        <w:t xml:space="preserve"> and e</w:t>
      </w:r>
      <w:r>
        <w:t xml:space="preserve">ffective delegation is more than assigning tasks or intensifying managerial supervision. However, increased delegation would also require the owner to have the relevant practices of supervision and communication to ensure accountability (Delvyn </w:t>
      </w:r>
      <w:r w:rsidRPr="00C4653F">
        <w:rPr>
          <w:i/>
          <w:iCs/>
        </w:rPr>
        <w:t>et al</w:t>
      </w:r>
      <w:r>
        <w:t xml:space="preserve">., 2026). The cultural challenge is not only to replace self-employment with employment, but to balance professional autonomy, shared accountability and organisational control. This balance will be important to determine if the organisation has the leadership capacity and readiness to sustain the proposed change (Mladenova, 2022). Without getting feedback from employees, it is hard to know whether the cultural challenges are real for the employees or it is the perception of the owner (Maebara </w:t>
      </w:r>
      <w:r w:rsidRPr="001D3BA1">
        <w:rPr>
          <w:i/>
          <w:iCs/>
        </w:rPr>
        <w:t>et al</w:t>
      </w:r>
      <w:r>
        <w:t>., 2025).</w:t>
      </w:r>
    </w:p>
    <w:p w14:paraId="206BB696" w14:textId="77777777" w:rsidR="000A2285" w:rsidRDefault="00B9150E" w:rsidP="008917F4">
      <w:pPr>
        <w:pStyle w:val="Heading3"/>
        <w:spacing w:line="360" w:lineRule="auto"/>
      </w:pPr>
      <w:bookmarkStart w:id="22" w:name="_ces1v5qu8fk9" w:colFirst="0" w:colLast="0"/>
      <w:bookmarkStart w:id="23" w:name="_Toc242650071"/>
      <w:bookmarkEnd w:id="22"/>
      <w:r>
        <w:t>4.2 Capability and Readiness</w:t>
      </w:r>
      <w:bookmarkEnd w:id="23"/>
    </w:p>
    <w:p w14:paraId="79AFA59A" w14:textId="6D3359CA" w:rsidR="004A3D07" w:rsidRDefault="004A3D07" w:rsidP="004A3D07">
      <w:pPr>
        <w:spacing w:before="240" w:after="240" w:line="360" w:lineRule="auto"/>
        <w:jc w:val="both"/>
      </w:pPr>
      <w:r>
        <w:t xml:space="preserve">The organisation shows a willingness to change </w:t>
      </w:r>
      <w:r w:rsidR="0053558A">
        <w:t>but</w:t>
      </w:r>
      <w:r>
        <w:t xml:space="preserve"> these factors do not necessarily mean that the organisation is ready to employ staff. Mladenova (2022) distinguishes between organisational readiness and capacity for change. The willingness for change should be coupled with the capabilities needed for its implementation and sustainability. While employment may be justified on the grounds of an increase in client demand, there are additional financial, managerial and operational responsibilities that come with employment. Hence, heightening organisational vulnerability by undertaking recruitment without sufficient financial resources to enhance business performance is counterproductive (Chipangura </w:t>
      </w:r>
      <w:r w:rsidRPr="00C64713">
        <w:rPr>
          <w:i/>
          <w:iCs/>
        </w:rPr>
        <w:t>et al</w:t>
      </w:r>
      <w:r>
        <w:t>., 2024).</w:t>
      </w:r>
    </w:p>
    <w:p w14:paraId="62710346" w14:textId="77777777" w:rsidR="004A3D07" w:rsidRDefault="004A3D07" w:rsidP="004A3D07">
      <w:pPr>
        <w:spacing w:before="240" w:after="240" w:line="360" w:lineRule="auto"/>
        <w:jc w:val="both"/>
      </w:pPr>
      <w:r>
        <w:t xml:space="preserve">One of the key issues is the organisation’s dependence on the owner for service delivery and leadership. This centralised approach may have ensured consistency in the earlier phases of development, but it could become a constraint as responsibilities expand to cover recruitment, supervision, training and performance management. Leadership and human resources are </w:t>
      </w:r>
      <w:r>
        <w:lastRenderedPageBreak/>
        <w:t xml:space="preserve">significant influences on performance (Hendri, 2025) but hiring additional employees does not automatically increase organisational capacity, if the owner has insufficient time to support their development (Hendrawan </w:t>
      </w:r>
      <w:r w:rsidRPr="0053558A">
        <w:rPr>
          <w:i/>
          <w:iCs/>
        </w:rPr>
        <w:t>et al</w:t>
      </w:r>
      <w:r>
        <w:t>., 2024). The transition therefore requires an assessment of the leadership capacity and the extent to which responsibilities can be delegated without affecting service standards.</w:t>
      </w:r>
    </w:p>
    <w:p w14:paraId="249777DD" w14:textId="11226264" w:rsidR="004A3D07" w:rsidRDefault="004A3D07" w:rsidP="004A3D07">
      <w:pPr>
        <w:spacing w:before="240" w:after="240" w:line="360" w:lineRule="auto"/>
        <w:jc w:val="both"/>
      </w:pPr>
      <w:r>
        <w:t>But the organi</w:t>
      </w:r>
      <w:r w:rsidR="0053558A">
        <w:t>s</w:t>
      </w:r>
      <w:r>
        <w:t xml:space="preserve">ation may be commercially driven to change but not fully operationally ready. So, readiness must be assessed using financial forecasts, recruitment and induction arrangements, supervisory capacity and mechanisms for employee feedback. Without these, the increased availability of appointments could be offset by extra spending, inconsistent service delivery and increased pressure on managers (Chang, 2026). One consideration is to use a treatment forecast revenue calculator to assess employee revenue versus salary costs (Bhuiyan et al. 2023). </w:t>
      </w:r>
    </w:p>
    <w:p w14:paraId="23DD959A" w14:textId="5D8433BC" w:rsidR="00F94398" w:rsidRDefault="004A3D07" w:rsidP="004A3D07">
      <w:pPr>
        <w:spacing w:before="240" w:after="240" w:line="360" w:lineRule="auto"/>
        <w:jc w:val="both"/>
      </w:pPr>
      <w:r>
        <w:t>The owner estimates that the organisation has an annual turnover of £92,000 and an estimated monthly profit of £1,500. The owner says that they are running near to full treatment capacity</w:t>
      </w:r>
      <w:r w:rsidR="003852CA">
        <w:t>,</w:t>
      </w:r>
      <w:r>
        <w:t xml:space="preserve"> but the proposed recruitment of two employees working 24 hours per week</w:t>
      </w:r>
      <w:r w:rsidR="003852CA">
        <w:t>,</w:t>
      </w:r>
      <w:r>
        <w:t xml:space="preserve"> would </w:t>
      </w:r>
      <w:r w:rsidR="003852CA">
        <w:t>create</w:t>
      </w:r>
      <w:r>
        <w:t xml:space="preserve"> £2,764 in monthly basic wages. Assuming a treatment revenue of £35 per billable hour and 70% utilisation, the additional workforce would theoretically generate a monthly turnover of around £5,096. However, these projections do not include consumables, employer contributions, lost rental income or other operating expenses. </w:t>
      </w:r>
      <w:r w:rsidR="008F73CB">
        <w:t>So,</w:t>
      </w:r>
      <w:r>
        <w:t xml:space="preserve"> more treatment capacity should not be viewed as a sign of financial readiness without showing enough appointment demand and profitable contribution after costs.</w:t>
      </w:r>
    </w:p>
    <w:p w14:paraId="4A134C7C" w14:textId="1A7CAAFC" w:rsidR="008917F4" w:rsidRPr="008917F4" w:rsidRDefault="008917F4" w:rsidP="008917F4">
      <w:pPr>
        <w:spacing w:before="240" w:after="240" w:line="360" w:lineRule="auto"/>
        <w:jc w:val="both"/>
        <w:rPr>
          <w:b/>
          <w:bCs/>
          <w:i/>
          <w:iCs/>
        </w:rPr>
      </w:pPr>
      <w:r w:rsidRPr="008917F4">
        <w:rPr>
          <w:b/>
          <w:bCs/>
          <w:i/>
          <w:iCs/>
        </w:rPr>
        <w:t>Table 1: Financial Forecast</w:t>
      </w:r>
    </w:p>
    <w:tbl>
      <w:tblPr>
        <w:tblStyle w:val="TableGrid"/>
        <w:tblW w:w="0" w:type="auto"/>
        <w:tblLook w:val="04A0" w:firstRow="1" w:lastRow="0" w:firstColumn="1" w:lastColumn="0" w:noHBand="0" w:noVBand="1"/>
      </w:tblPr>
      <w:tblGrid>
        <w:gridCol w:w="4106"/>
        <w:gridCol w:w="2410"/>
        <w:gridCol w:w="2503"/>
      </w:tblGrid>
      <w:tr w:rsidR="00CE1AE9" w14:paraId="5B70566B" w14:textId="77777777" w:rsidTr="00CE1AE9">
        <w:trPr>
          <w:trHeight w:val="698"/>
        </w:trPr>
        <w:tc>
          <w:tcPr>
            <w:tcW w:w="4106" w:type="dxa"/>
          </w:tcPr>
          <w:p w14:paraId="6D6E452C" w14:textId="38EB9280" w:rsidR="00CE1AE9" w:rsidRDefault="00CE1AE9" w:rsidP="008917F4">
            <w:pPr>
              <w:spacing w:before="240" w:after="240" w:line="360" w:lineRule="auto"/>
              <w:jc w:val="both"/>
            </w:pPr>
            <w:r w:rsidRPr="00CE1AE9">
              <w:t>Financial measure</w:t>
            </w:r>
          </w:p>
        </w:tc>
        <w:tc>
          <w:tcPr>
            <w:tcW w:w="2410" w:type="dxa"/>
          </w:tcPr>
          <w:p w14:paraId="62352C0C" w14:textId="77777777" w:rsidR="00CE1AE9" w:rsidRPr="00CE1AE9" w:rsidRDefault="00CE1AE9" w:rsidP="008917F4">
            <w:pPr>
              <w:spacing w:before="240" w:after="240" w:line="360" w:lineRule="auto"/>
              <w:jc w:val="both"/>
            </w:pPr>
            <w:r w:rsidRPr="00CE1AE9">
              <w:t>Monthly</w:t>
            </w:r>
          </w:p>
          <w:p w14:paraId="3A609136" w14:textId="77777777" w:rsidR="00CE1AE9" w:rsidRDefault="00CE1AE9" w:rsidP="008917F4">
            <w:pPr>
              <w:spacing w:before="240" w:after="240" w:line="360" w:lineRule="auto"/>
              <w:jc w:val="both"/>
            </w:pPr>
          </w:p>
        </w:tc>
        <w:tc>
          <w:tcPr>
            <w:tcW w:w="2503" w:type="dxa"/>
          </w:tcPr>
          <w:p w14:paraId="25AF9192" w14:textId="0A248118" w:rsidR="00CE1AE9" w:rsidRDefault="00CE1AE9" w:rsidP="008917F4">
            <w:pPr>
              <w:spacing w:before="240" w:after="240" w:line="360" w:lineRule="auto"/>
              <w:jc w:val="both"/>
            </w:pPr>
            <w:r w:rsidRPr="00CE1AE9">
              <w:t>Annually</w:t>
            </w:r>
          </w:p>
        </w:tc>
      </w:tr>
      <w:tr w:rsidR="00CE1AE9" w14:paraId="7D209F69" w14:textId="77777777" w:rsidTr="00CE1AE9">
        <w:tc>
          <w:tcPr>
            <w:tcW w:w="4106" w:type="dxa"/>
          </w:tcPr>
          <w:p w14:paraId="7FB0328A" w14:textId="39AE8EA0" w:rsidR="00CE1AE9" w:rsidRDefault="00CE1AE9" w:rsidP="008917F4">
            <w:pPr>
              <w:spacing w:before="240" w:after="240" w:line="360" w:lineRule="auto"/>
              <w:jc w:val="both"/>
            </w:pPr>
            <w:r w:rsidRPr="00CE1AE9">
              <w:t>Self-employed rental income</w:t>
            </w:r>
          </w:p>
        </w:tc>
        <w:tc>
          <w:tcPr>
            <w:tcW w:w="2410" w:type="dxa"/>
          </w:tcPr>
          <w:p w14:paraId="4E5C38A0" w14:textId="7E6EF7A7" w:rsidR="00CE1AE9" w:rsidRPr="00CE1AE9" w:rsidRDefault="00CE1AE9" w:rsidP="008917F4">
            <w:pPr>
              <w:spacing w:before="240" w:after="240" w:line="360" w:lineRule="auto"/>
              <w:jc w:val="both"/>
            </w:pPr>
            <w:r w:rsidRPr="00CE1AE9">
              <w:t>£</w:t>
            </w:r>
            <w:r w:rsidR="00D009B5">
              <w:t>700 (£350 x 2 people)</w:t>
            </w:r>
          </w:p>
          <w:p w14:paraId="258FD903" w14:textId="77777777" w:rsidR="00CE1AE9" w:rsidRDefault="00CE1AE9" w:rsidP="008917F4">
            <w:pPr>
              <w:spacing w:before="240" w:after="240" w:line="360" w:lineRule="auto"/>
              <w:jc w:val="both"/>
            </w:pPr>
          </w:p>
        </w:tc>
        <w:tc>
          <w:tcPr>
            <w:tcW w:w="2503" w:type="dxa"/>
          </w:tcPr>
          <w:p w14:paraId="1A850BC1" w14:textId="513FCA98" w:rsidR="00CE1AE9" w:rsidRDefault="00CE1AE9" w:rsidP="008917F4">
            <w:pPr>
              <w:spacing w:before="240" w:after="240" w:line="360" w:lineRule="auto"/>
              <w:jc w:val="both"/>
            </w:pPr>
            <w:r w:rsidRPr="00CE1AE9">
              <w:t>£</w:t>
            </w:r>
            <w:r w:rsidR="00D009B5">
              <w:t>8400</w:t>
            </w:r>
            <w:r w:rsidRPr="00CE1AE9">
              <w:t>.00</w:t>
            </w:r>
          </w:p>
        </w:tc>
      </w:tr>
      <w:tr w:rsidR="00CE1AE9" w14:paraId="1C4688CD" w14:textId="77777777" w:rsidTr="00CE1AE9">
        <w:tc>
          <w:tcPr>
            <w:tcW w:w="4106" w:type="dxa"/>
          </w:tcPr>
          <w:p w14:paraId="4EDAFE53" w14:textId="34F1AEB9" w:rsidR="00CE1AE9" w:rsidRDefault="00CE1AE9" w:rsidP="008917F4">
            <w:pPr>
              <w:spacing w:before="240" w:after="240" w:line="360" w:lineRule="auto"/>
              <w:jc w:val="both"/>
            </w:pPr>
            <w:r w:rsidRPr="00CE1AE9">
              <w:t>Employed staff: 2 × 24 hours per week</w:t>
            </w:r>
          </w:p>
        </w:tc>
        <w:tc>
          <w:tcPr>
            <w:tcW w:w="2410" w:type="dxa"/>
          </w:tcPr>
          <w:p w14:paraId="425BA4E6" w14:textId="31245103" w:rsidR="00CE1AE9" w:rsidRDefault="00CE1AE9" w:rsidP="008917F4">
            <w:pPr>
              <w:spacing w:before="240" w:after="240" w:line="360" w:lineRule="auto"/>
              <w:jc w:val="both"/>
            </w:pPr>
            <w:r w:rsidRPr="00CE1AE9">
              <w:t>208 hours</w:t>
            </w:r>
          </w:p>
        </w:tc>
        <w:tc>
          <w:tcPr>
            <w:tcW w:w="2503" w:type="dxa"/>
          </w:tcPr>
          <w:p w14:paraId="50D1D0DD" w14:textId="1E31912D" w:rsidR="00CE1AE9" w:rsidRDefault="00CE1AE9" w:rsidP="008917F4">
            <w:pPr>
              <w:spacing w:before="240" w:after="240" w:line="360" w:lineRule="auto"/>
              <w:jc w:val="both"/>
            </w:pPr>
            <w:r w:rsidRPr="00CE1AE9">
              <w:t>2,496 hours</w:t>
            </w:r>
          </w:p>
        </w:tc>
      </w:tr>
      <w:tr w:rsidR="00CE1AE9" w14:paraId="655433EC" w14:textId="77777777" w:rsidTr="00CE1AE9">
        <w:tc>
          <w:tcPr>
            <w:tcW w:w="4106" w:type="dxa"/>
          </w:tcPr>
          <w:p w14:paraId="6790771A" w14:textId="3B029161" w:rsidR="00CE1AE9" w:rsidRDefault="00CE1AE9" w:rsidP="008917F4">
            <w:pPr>
              <w:spacing w:before="240" w:after="240" w:line="360" w:lineRule="auto"/>
              <w:jc w:val="both"/>
            </w:pPr>
            <w:r w:rsidRPr="00CE1AE9">
              <w:lastRenderedPageBreak/>
              <w:t>Billable treatment hours at 70% capacity</w:t>
            </w:r>
          </w:p>
        </w:tc>
        <w:tc>
          <w:tcPr>
            <w:tcW w:w="2410" w:type="dxa"/>
          </w:tcPr>
          <w:p w14:paraId="2C36194E" w14:textId="55EAFF4E" w:rsidR="00CE1AE9" w:rsidRDefault="00CE1AE9" w:rsidP="008917F4">
            <w:pPr>
              <w:spacing w:before="240" w:after="240" w:line="360" w:lineRule="auto"/>
              <w:jc w:val="both"/>
            </w:pPr>
            <w:r w:rsidRPr="00CE1AE9">
              <w:t>145.6 hours</w:t>
            </w:r>
          </w:p>
        </w:tc>
        <w:tc>
          <w:tcPr>
            <w:tcW w:w="2503" w:type="dxa"/>
          </w:tcPr>
          <w:p w14:paraId="32759EA7" w14:textId="7F53CC7B" w:rsidR="00CE1AE9" w:rsidRDefault="00CE1AE9" w:rsidP="008917F4">
            <w:pPr>
              <w:spacing w:before="240" w:after="240" w:line="360" w:lineRule="auto"/>
              <w:jc w:val="both"/>
            </w:pPr>
            <w:r w:rsidRPr="00CE1AE9">
              <w:t>1,747.2 hours</w:t>
            </w:r>
          </w:p>
        </w:tc>
      </w:tr>
      <w:tr w:rsidR="00CE1AE9" w14:paraId="17EF8953" w14:textId="77777777" w:rsidTr="00CE1AE9">
        <w:tc>
          <w:tcPr>
            <w:tcW w:w="4106" w:type="dxa"/>
          </w:tcPr>
          <w:p w14:paraId="6A58DAF8" w14:textId="4CFF0E80" w:rsidR="00CE1AE9" w:rsidRDefault="00CE1AE9" w:rsidP="008917F4">
            <w:pPr>
              <w:spacing w:before="240" w:after="240" w:line="360" w:lineRule="auto"/>
              <w:jc w:val="both"/>
            </w:pPr>
            <w:r w:rsidRPr="00CE1AE9">
              <w:t>Average treatment revenue per hour</w:t>
            </w:r>
          </w:p>
        </w:tc>
        <w:tc>
          <w:tcPr>
            <w:tcW w:w="2410" w:type="dxa"/>
          </w:tcPr>
          <w:p w14:paraId="6DD54E0F" w14:textId="27A7A46E" w:rsidR="00CE1AE9" w:rsidRDefault="00CE1AE9" w:rsidP="008917F4">
            <w:pPr>
              <w:spacing w:before="240" w:after="240" w:line="360" w:lineRule="auto"/>
              <w:jc w:val="both"/>
            </w:pPr>
            <w:r>
              <w:t>£35</w:t>
            </w:r>
          </w:p>
        </w:tc>
        <w:tc>
          <w:tcPr>
            <w:tcW w:w="2503" w:type="dxa"/>
          </w:tcPr>
          <w:p w14:paraId="2B2079DB" w14:textId="10C9F7EA" w:rsidR="00CE1AE9" w:rsidRDefault="00CE1AE9" w:rsidP="008917F4">
            <w:pPr>
              <w:spacing w:before="240" w:after="240" w:line="360" w:lineRule="auto"/>
              <w:jc w:val="both"/>
            </w:pPr>
            <w:r>
              <w:t>£35</w:t>
            </w:r>
          </w:p>
        </w:tc>
      </w:tr>
      <w:tr w:rsidR="00CE1AE9" w14:paraId="6ABC2E51" w14:textId="77777777" w:rsidTr="00CE1AE9">
        <w:tc>
          <w:tcPr>
            <w:tcW w:w="4106" w:type="dxa"/>
          </w:tcPr>
          <w:p w14:paraId="5B73E28F" w14:textId="0587B828" w:rsidR="00CE1AE9" w:rsidRDefault="00CE1AE9" w:rsidP="008917F4">
            <w:pPr>
              <w:spacing w:before="240" w:after="240" w:line="360" w:lineRule="auto"/>
              <w:jc w:val="both"/>
            </w:pPr>
            <w:r w:rsidRPr="00CE1AE9">
              <w:t>Potential employed staff revenue</w:t>
            </w:r>
          </w:p>
        </w:tc>
        <w:tc>
          <w:tcPr>
            <w:tcW w:w="2410" w:type="dxa"/>
          </w:tcPr>
          <w:p w14:paraId="574D5ACF" w14:textId="77777777" w:rsidR="00CE1AE9" w:rsidRPr="00CE1AE9" w:rsidRDefault="00CE1AE9" w:rsidP="008917F4">
            <w:pPr>
              <w:spacing w:before="240" w:after="240" w:line="360" w:lineRule="auto"/>
              <w:jc w:val="both"/>
            </w:pPr>
            <w:r w:rsidRPr="00CE1AE9">
              <w:t>£5,096.00</w:t>
            </w:r>
          </w:p>
          <w:p w14:paraId="07C764A4" w14:textId="77777777" w:rsidR="00CE1AE9" w:rsidRDefault="00CE1AE9" w:rsidP="008917F4">
            <w:pPr>
              <w:spacing w:before="240" w:after="240" w:line="360" w:lineRule="auto"/>
              <w:jc w:val="both"/>
            </w:pPr>
          </w:p>
        </w:tc>
        <w:tc>
          <w:tcPr>
            <w:tcW w:w="2503" w:type="dxa"/>
          </w:tcPr>
          <w:p w14:paraId="076C8F25" w14:textId="22E2C51B" w:rsidR="00CE1AE9" w:rsidRDefault="00CE1AE9" w:rsidP="008917F4">
            <w:pPr>
              <w:spacing w:before="240" w:after="240" w:line="360" w:lineRule="auto"/>
              <w:jc w:val="both"/>
            </w:pPr>
            <w:r w:rsidRPr="00CE1AE9">
              <w:t>£61,152.00</w:t>
            </w:r>
          </w:p>
        </w:tc>
      </w:tr>
      <w:tr w:rsidR="00CE1AE9" w14:paraId="78C63AD7" w14:textId="77777777" w:rsidTr="00CE1AE9">
        <w:tc>
          <w:tcPr>
            <w:tcW w:w="4106" w:type="dxa"/>
          </w:tcPr>
          <w:p w14:paraId="5049DC40" w14:textId="1EB13907" w:rsidR="00CE1AE9" w:rsidRDefault="00CE1AE9" w:rsidP="008917F4">
            <w:pPr>
              <w:spacing w:before="240" w:after="240" w:line="360" w:lineRule="auto"/>
              <w:jc w:val="both"/>
            </w:pPr>
            <w:r w:rsidRPr="00CE1AE9">
              <w:t>Additional revenue compared with rental income</w:t>
            </w:r>
          </w:p>
        </w:tc>
        <w:tc>
          <w:tcPr>
            <w:tcW w:w="2410" w:type="dxa"/>
          </w:tcPr>
          <w:p w14:paraId="3C9362A2" w14:textId="5A3A54CB" w:rsidR="00CE1AE9" w:rsidRDefault="00CE1AE9" w:rsidP="008917F4">
            <w:pPr>
              <w:spacing w:before="240" w:after="240" w:line="360" w:lineRule="auto"/>
              <w:jc w:val="both"/>
            </w:pPr>
            <w:r w:rsidRPr="00CE1AE9">
              <w:t>+£4,746.00</w:t>
            </w:r>
          </w:p>
        </w:tc>
        <w:tc>
          <w:tcPr>
            <w:tcW w:w="2503" w:type="dxa"/>
          </w:tcPr>
          <w:p w14:paraId="7D3BC374" w14:textId="246412D2" w:rsidR="00CE1AE9" w:rsidRDefault="00CE1AE9" w:rsidP="008917F4">
            <w:pPr>
              <w:spacing w:before="240" w:after="240" w:line="360" w:lineRule="auto"/>
              <w:jc w:val="both"/>
            </w:pPr>
            <w:r>
              <w:t>+</w:t>
            </w:r>
            <w:r w:rsidRPr="00CE1AE9">
              <w:t>£56,952.00</w:t>
            </w:r>
          </w:p>
        </w:tc>
      </w:tr>
    </w:tbl>
    <w:p w14:paraId="1D9DF4CA" w14:textId="5672123E" w:rsidR="00506E9D" w:rsidRPr="00506E9D" w:rsidRDefault="00506E9D" w:rsidP="008917F4">
      <w:pPr>
        <w:spacing w:before="240" w:after="240" w:line="360" w:lineRule="auto"/>
        <w:jc w:val="both"/>
        <w:rPr>
          <w:i/>
          <w:iCs/>
        </w:rPr>
      </w:pPr>
      <w:r w:rsidRPr="00506E9D">
        <w:rPr>
          <w:i/>
          <w:iCs/>
        </w:rPr>
        <w:t>Table</w:t>
      </w:r>
      <w:r w:rsidR="008917F4">
        <w:rPr>
          <w:i/>
          <w:iCs/>
        </w:rPr>
        <w:t xml:space="preserve"> 1:</w:t>
      </w:r>
      <w:r w:rsidRPr="00506E9D">
        <w:rPr>
          <w:i/>
          <w:iCs/>
        </w:rPr>
        <w:t xml:space="preserve"> Demonstrates the salons revenue from a self-employed rental model to an employed model revenue estimation. Create by Hughes (2026) using Word. </w:t>
      </w:r>
    </w:p>
    <w:p w14:paraId="7A955B89" w14:textId="1FCD0F3C" w:rsidR="00CB2246" w:rsidRDefault="00506E9D" w:rsidP="008917F4">
      <w:pPr>
        <w:pStyle w:val="NormalWeb"/>
        <w:spacing w:line="360" w:lineRule="auto"/>
        <w:jc w:val="both"/>
        <w:rPr>
          <w:rFonts w:ascii="Arial" w:hAnsi="Arial" w:cs="Arial"/>
          <w:sz w:val="22"/>
          <w:szCs w:val="22"/>
        </w:rPr>
      </w:pPr>
      <w:r w:rsidRPr="008917F4">
        <w:rPr>
          <w:rFonts w:ascii="Arial" w:hAnsi="Arial" w:cs="Arial"/>
          <w:sz w:val="22"/>
          <w:szCs w:val="22"/>
        </w:rPr>
        <w:t xml:space="preserve">Calculations: 2 employees × 24 hours × 52 weeks ÷ 12 months × 70% </w:t>
      </w:r>
      <w:proofErr w:type="gramStart"/>
      <w:r w:rsidRPr="008917F4">
        <w:rPr>
          <w:rFonts w:ascii="Arial" w:hAnsi="Arial" w:cs="Arial"/>
          <w:sz w:val="22"/>
          <w:szCs w:val="22"/>
        </w:rPr>
        <w:t>capacit</w:t>
      </w:r>
      <w:r w:rsidR="006B7EA3">
        <w:rPr>
          <w:rFonts w:ascii="Arial" w:hAnsi="Arial" w:cs="Arial"/>
          <w:sz w:val="22"/>
          <w:szCs w:val="22"/>
        </w:rPr>
        <w:t>y</w:t>
      </w:r>
      <w:proofErr w:type="gramEnd"/>
      <w:r w:rsidRPr="008917F4">
        <w:rPr>
          <w:rFonts w:ascii="Arial" w:hAnsi="Arial" w:cs="Arial"/>
          <w:sz w:val="22"/>
          <w:szCs w:val="22"/>
        </w:rPr>
        <w:t xml:space="preserve"> × £35 = £5,096 monthly revenue. An annual revenue of £</w:t>
      </w:r>
      <w:r w:rsidR="0088319B">
        <w:rPr>
          <w:rFonts w:ascii="Arial" w:hAnsi="Arial" w:cs="Arial"/>
          <w:sz w:val="22"/>
          <w:szCs w:val="22"/>
        </w:rPr>
        <w:t>61</w:t>
      </w:r>
      <w:r w:rsidR="00D96AEF">
        <w:rPr>
          <w:rFonts w:ascii="Arial" w:hAnsi="Arial" w:cs="Arial"/>
          <w:sz w:val="22"/>
          <w:szCs w:val="22"/>
        </w:rPr>
        <w:t>,152</w:t>
      </w:r>
      <w:r w:rsidRPr="008917F4">
        <w:rPr>
          <w:rFonts w:ascii="Arial" w:hAnsi="Arial" w:cs="Arial"/>
          <w:sz w:val="22"/>
          <w:szCs w:val="22"/>
        </w:rPr>
        <w:t>. Basing this information on the lowest treatment cost and a realistic employee working capacity, the owner also needs to reflect on staff wages. Two employees working 24 hours per week, being paid at £13.29 per hour would incur the salon staffing co</w:t>
      </w:r>
      <w:r w:rsidR="00FA039B">
        <w:rPr>
          <w:rFonts w:ascii="Arial" w:hAnsi="Arial" w:cs="Arial"/>
          <w:sz w:val="22"/>
          <w:szCs w:val="22"/>
        </w:rPr>
        <w:t>s</w:t>
      </w:r>
      <w:r w:rsidRPr="008917F4">
        <w:rPr>
          <w:rFonts w:ascii="Arial" w:hAnsi="Arial" w:cs="Arial"/>
          <w:sz w:val="22"/>
          <w:szCs w:val="22"/>
        </w:rPr>
        <w:t>ts to be £33,179.84. With national insurance (£3,476.98) and employer pension contributions (£626.92), this makes a total revenue annually of (</w:t>
      </w:r>
      <w:r w:rsidR="004028EE">
        <w:rPr>
          <w:rFonts w:ascii="Arial" w:hAnsi="Arial" w:cs="Arial"/>
          <w:sz w:val="22"/>
          <w:szCs w:val="22"/>
        </w:rPr>
        <w:t>61,152</w:t>
      </w:r>
      <w:r w:rsidRPr="008917F4">
        <w:rPr>
          <w:rFonts w:ascii="Arial" w:hAnsi="Arial" w:cs="Arial"/>
          <w:sz w:val="22"/>
          <w:szCs w:val="22"/>
        </w:rPr>
        <w:t xml:space="preserve"> – 37,283.74) </w:t>
      </w:r>
      <w:r w:rsidR="008917F4" w:rsidRPr="008917F4">
        <w:rPr>
          <w:rFonts w:ascii="Arial" w:hAnsi="Arial" w:cs="Arial"/>
          <w:sz w:val="22"/>
          <w:szCs w:val="22"/>
        </w:rPr>
        <w:t xml:space="preserve">£19,668.26. </w:t>
      </w:r>
      <w:bookmarkStart w:id="24" w:name="_rka4a7q84ard" w:colFirst="0" w:colLast="0"/>
      <w:bookmarkEnd w:id="24"/>
      <w:r w:rsidR="007628B3">
        <w:rPr>
          <w:rFonts w:ascii="Arial" w:hAnsi="Arial" w:cs="Arial"/>
          <w:sz w:val="22"/>
          <w:szCs w:val="22"/>
        </w:rPr>
        <w:t xml:space="preserve">One step further, each treatment costs £3 so </w:t>
      </w:r>
      <w:r w:rsidR="00536C6A">
        <w:rPr>
          <w:rFonts w:ascii="Arial" w:hAnsi="Arial" w:cs="Arial"/>
          <w:sz w:val="22"/>
          <w:szCs w:val="22"/>
        </w:rPr>
        <w:t xml:space="preserve">a further </w:t>
      </w:r>
      <w:r w:rsidR="00FC20C9">
        <w:rPr>
          <w:rFonts w:ascii="Arial" w:hAnsi="Arial" w:cs="Arial"/>
          <w:sz w:val="22"/>
          <w:szCs w:val="22"/>
        </w:rPr>
        <w:t xml:space="preserve">£5241.60 is deducted, making </w:t>
      </w:r>
      <w:r w:rsidR="007628B3">
        <w:rPr>
          <w:rFonts w:ascii="Arial" w:hAnsi="Arial" w:cs="Arial"/>
          <w:sz w:val="22"/>
          <w:szCs w:val="22"/>
        </w:rPr>
        <w:t>the</w:t>
      </w:r>
      <w:r w:rsidR="00CB2246">
        <w:rPr>
          <w:rFonts w:ascii="Arial" w:hAnsi="Arial" w:cs="Arial"/>
          <w:sz w:val="22"/>
          <w:szCs w:val="22"/>
        </w:rPr>
        <w:t xml:space="preserve"> proposed model is projected to generate </w:t>
      </w:r>
      <w:r w:rsidR="00003CE0">
        <w:rPr>
          <w:rFonts w:ascii="Arial" w:hAnsi="Arial" w:cs="Arial"/>
          <w:sz w:val="22"/>
          <w:szCs w:val="22"/>
        </w:rPr>
        <w:t>a 1</w:t>
      </w:r>
      <w:r w:rsidR="0028531F">
        <w:rPr>
          <w:rFonts w:ascii="Arial" w:hAnsi="Arial" w:cs="Arial"/>
          <w:sz w:val="22"/>
          <w:szCs w:val="22"/>
        </w:rPr>
        <w:t>21</w:t>
      </w:r>
      <w:r w:rsidR="00003CE0">
        <w:rPr>
          <w:rFonts w:ascii="Arial" w:hAnsi="Arial" w:cs="Arial"/>
          <w:sz w:val="22"/>
          <w:szCs w:val="22"/>
        </w:rPr>
        <w:t>.</w:t>
      </w:r>
      <w:r w:rsidR="0028531F">
        <w:rPr>
          <w:rFonts w:ascii="Arial" w:hAnsi="Arial" w:cs="Arial"/>
          <w:sz w:val="22"/>
          <w:szCs w:val="22"/>
        </w:rPr>
        <w:t>7</w:t>
      </w:r>
      <w:r w:rsidR="00003CE0">
        <w:rPr>
          <w:rFonts w:ascii="Arial" w:hAnsi="Arial" w:cs="Arial"/>
          <w:sz w:val="22"/>
          <w:szCs w:val="22"/>
        </w:rPr>
        <w:t xml:space="preserve">5% </w:t>
      </w:r>
      <w:r w:rsidR="00087D5A">
        <w:rPr>
          <w:rFonts w:ascii="Arial" w:hAnsi="Arial" w:cs="Arial"/>
          <w:sz w:val="22"/>
          <w:szCs w:val="22"/>
        </w:rPr>
        <w:t xml:space="preserve">                                                                                                                                                                                                                                                                                                                                                                                                                                                                                                                                                                                                                                                                                                                                                                                                                                                                                                              </w:t>
      </w:r>
      <w:r w:rsidR="003568F3">
        <w:rPr>
          <w:rFonts w:ascii="Arial" w:hAnsi="Arial" w:cs="Arial"/>
          <w:sz w:val="22"/>
          <w:szCs w:val="22"/>
        </w:rPr>
        <w:t xml:space="preserve"> </w:t>
      </w:r>
      <w:r w:rsidR="00025AAD">
        <w:rPr>
          <w:rFonts w:ascii="Arial" w:hAnsi="Arial" w:cs="Arial"/>
          <w:sz w:val="22"/>
          <w:szCs w:val="22"/>
        </w:rPr>
        <w:t>increase</w:t>
      </w:r>
      <w:r w:rsidR="00003CE0">
        <w:rPr>
          <w:rFonts w:ascii="Arial" w:hAnsi="Arial" w:cs="Arial"/>
          <w:sz w:val="22"/>
          <w:szCs w:val="22"/>
        </w:rPr>
        <w:t xml:space="preserve"> in revenue</w:t>
      </w:r>
      <w:r w:rsidR="00C140AD">
        <w:rPr>
          <w:rFonts w:ascii="Arial" w:hAnsi="Arial" w:cs="Arial"/>
          <w:sz w:val="22"/>
          <w:szCs w:val="22"/>
        </w:rPr>
        <w:t>, £18,626</w:t>
      </w:r>
      <w:r w:rsidR="00323C3B">
        <w:rPr>
          <w:rFonts w:ascii="Arial" w:hAnsi="Arial" w:cs="Arial"/>
          <w:sz w:val="22"/>
          <w:szCs w:val="22"/>
        </w:rPr>
        <w:t>.66</w:t>
      </w:r>
      <w:r w:rsidR="00003CE0">
        <w:rPr>
          <w:rFonts w:ascii="Arial" w:hAnsi="Arial" w:cs="Arial"/>
          <w:sz w:val="22"/>
          <w:szCs w:val="22"/>
        </w:rPr>
        <w:t xml:space="preserve">. </w:t>
      </w:r>
      <w:r w:rsidR="00087D5A">
        <w:rPr>
          <w:rFonts w:ascii="Arial" w:hAnsi="Arial" w:cs="Arial"/>
          <w:sz w:val="22"/>
          <w:szCs w:val="22"/>
        </w:rPr>
        <w:t xml:space="preserve"> </w:t>
      </w:r>
    </w:p>
    <w:p w14:paraId="5BF01D95" w14:textId="6AEB9C37" w:rsidR="000A2285" w:rsidRPr="008917F4" w:rsidRDefault="00B9150E" w:rsidP="008917F4">
      <w:pPr>
        <w:pStyle w:val="Heading3"/>
        <w:spacing w:line="360" w:lineRule="auto"/>
      </w:pPr>
      <w:bookmarkStart w:id="25" w:name="_Toc242650072"/>
      <w:r w:rsidRPr="008917F4">
        <w:t>4.3 Justification for Change</w:t>
      </w:r>
      <w:bookmarkEnd w:id="25"/>
    </w:p>
    <w:p w14:paraId="25ABBBB1" w14:textId="77777777" w:rsidR="000A2285" w:rsidRDefault="00B9150E" w:rsidP="008917F4">
      <w:pPr>
        <w:spacing w:before="240" w:after="240" w:line="360" w:lineRule="auto"/>
        <w:jc w:val="both"/>
      </w:pPr>
      <w:r>
        <w:t>The findings from Sections 2 and 3 suggest that transitioning from self-employed practitioners to an employed workforce is strategically justified, although its feasibility remains uncertain, increasing client demand exposes the limitations of owner-dependent service delivery, while evolving regulatory expectations may require greater consistency in training, competence and accountability (Trifonova Price and Antonova, 2024). However, employment alone cannot resolve these weaknesses without sufficient leadership capability and financial resources.</w:t>
      </w:r>
    </w:p>
    <w:p w14:paraId="20A74441" w14:textId="77777777" w:rsidR="00CA20CC" w:rsidRDefault="007200E0" w:rsidP="008917F4">
      <w:pPr>
        <w:spacing w:before="240" w:after="240" w:line="360" w:lineRule="auto"/>
        <w:jc w:val="both"/>
      </w:pPr>
      <w:r>
        <w:t>Committing to change</w:t>
      </w:r>
      <w:r w:rsidR="00B9150E">
        <w:t xml:space="preserve"> may strengthen shared objectives and service standards</w:t>
      </w:r>
      <w:r w:rsidR="00DE2C73">
        <w:t xml:space="preserve">, from employee commitment and </w:t>
      </w:r>
      <w:r w:rsidR="00252415">
        <w:t>organisational core values (</w:t>
      </w:r>
      <w:r w:rsidR="00D76662">
        <w:t xml:space="preserve">Haxhiu and Marc, 2026). </w:t>
      </w:r>
      <w:r w:rsidR="00196022">
        <w:t xml:space="preserve">                                                                                                                                                                                                                                                                                                                                                                                                                                                                                                                                                                                                                                                                                                                                                                                                                                                                                                                                                                                                                                                                                                                                                                                                                                                                           </w:t>
      </w:r>
      <w:r w:rsidR="00B9150E">
        <w:t xml:space="preserve">Morrison (2023) </w:t>
      </w:r>
      <w:r w:rsidR="00D76662">
        <w:t xml:space="preserve">discusses </w:t>
      </w:r>
      <w:r w:rsidR="00F17953">
        <w:t xml:space="preserve">how important it is to allow employees to speak </w:t>
      </w:r>
      <w:r w:rsidR="00FF0DE2">
        <w:t xml:space="preserve">openly, sharing </w:t>
      </w:r>
      <w:r w:rsidR="00FF0DE2">
        <w:lastRenderedPageBreak/>
        <w:t xml:space="preserve">opinions, otherwise this may </w:t>
      </w:r>
      <w:r w:rsidR="00B9150E">
        <w:t>discourage open communication</w:t>
      </w:r>
      <w:r w:rsidR="00FF0DE2">
        <w:t xml:space="preserve"> and trust</w:t>
      </w:r>
      <w:r w:rsidR="00B9150E">
        <w:t xml:space="preserve">. Furthermore, Mladenova (2022) </w:t>
      </w:r>
      <w:r w:rsidR="00FF0DE2">
        <w:t>views</w:t>
      </w:r>
      <w:r w:rsidR="00B9150E">
        <w:t xml:space="preserve"> organisational readiness </w:t>
      </w:r>
      <w:r w:rsidR="00FF0DE2">
        <w:t>by identifying the SME’s capacity</w:t>
      </w:r>
      <w:r w:rsidR="00B9150E">
        <w:t xml:space="preserve">, </w:t>
      </w:r>
      <w:r w:rsidR="00CA20CC">
        <w:t xml:space="preserve">ability to prepare for changes and their leadership. </w:t>
      </w:r>
    </w:p>
    <w:p w14:paraId="2E185CB5" w14:textId="4C8EE300" w:rsidR="000A2285" w:rsidRDefault="00B9150E" w:rsidP="008917F4">
      <w:pPr>
        <w:spacing w:before="240" w:after="240" w:line="360" w:lineRule="auto"/>
        <w:jc w:val="both"/>
      </w:pPr>
      <w:r>
        <w:t>Therefore, the change is justified as a potential response to growth and external pressures, rather than a guaranteed improvement, and the owner must implement a phased transition, supported by financial monitoring, employee consultation and leadership development,  which would help to identify any capability gaps (Osibanjo &amp; Wisdom, 2026).</w:t>
      </w:r>
    </w:p>
    <w:p w14:paraId="77A94B37" w14:textId="77777777" w:rsidR="000A2285" w:rsidRDefault="00B9150E" w:rsidP="008917F4">
      <w:pPr>
        <w:pStyle w:val="Heading2"/>
        <w:spacing w:line="360" w:lineRule="auto"/>
      </w:pPr>
      <w:bookmarkStart w:id="26" w:name="_7hy7s4c0pxdh" w:colFirst="0" w:colLast="0"/>
      <w:bookmarkStart w:id="27" w:name="_Toc242650073"/>
      <w:bookmarkEnd w:id="26"/>
      <w:r>
        <w:t>5.0 Change Objectives and Stakeholder Analysis</w:t>
      </w:r>
      <w:bookmarkEnd w:id="27"/>
    </w:p>
    <w:p w14:paraId="1615F793" w14:textId="799F26F2" w:rsidR="00FF5200" w:rsidRDefault="00FF5200" w:rsidP="00F50D48">
      <w:pPr>
        <w:spacing w:line="360" w:lineRule="auto"/>
        <w:jc w:val="both"/>
      </w:pPr>
      <w:bookmarkStart w:id="28" w:name="_9nigdy6h1e6q" w:colFirst="0" w:colLast="0"/>
      <w:bookmarkEnd w:id="28"/>
      <w:r w:rsidRPr="00FF5200">
        <w:t xml:space="preserve">Organisational objectives for change help to create a steady strategic plan to help the owner to lead and manage the change in the organization (Hendrawan </w:t>
      </w:r>
      <w:r w:rsidRPr="00FF5200">
        <w:rPr>
          <w:i/>
          <w:iCs/>
        </w:rPr>
        <w:t>et al</w:t>
      </w:r>
      <w:r w:rsidRPr="00FF5200">
        <w:t xml:space="preserve">., 2024). A stakeholder analysis is a useful tool </w:t>
      </w:r>
      <w:r w:rsidR="00025AAD">
        <w:t>help</w:t>
      </w:r>
      <w:r w:rsidRPr="00FF5200">
        <w:t xml:space="preserve"> the owner to identify people that might influence or benefit from the </w:t>
      </w:r>
      <w:r w:rsidR="00C2301F">
        <w:t xml:space="preserve">organisational </w:t>
      </w:r>
      <w:r w:rsidRPr="00FF5200">
        <w:t xml:space="preserve">change (Chernyi &amp; Uotila, 2024). </w:t>
      </w:r>
    </w:p>
    <w:p w14:paraId="7D6CEFDA" w14:textId="68B22A84" w:rsidR="000A2285" w:rsidRDefault="00B9150E" w:rsidP="008917F4">
      <w:pPr>
        <w:pStyle w:val="Heading3"/>
        <w:spacing w:line="360" w:lineRule="auto"/>
      </w:pPr>
      <w:bookmarkStart w:id="29" w:name="_Toc242650074"/>
      <w:r>
        <w:t>5.1 Scope and Objectives</w:t>
      </w:r>
      <w:bookmarkEnd w:id="29"/>
      <w:r>
        <w:t xml:space="preserve"> </w:t>
      </w:r>
    </w:p>
    <w:p w14:paraId="33ACFB8E" w14:textId="77777777" w:rsidR="007B0BE8" w:rsidRDefault="007B0BE8" w:rsidP="00647979">
      <w:pPr>
        <w:spacing w:line="360" w:lineRule="auto"/>
        <w:jc w:val="both"/>
      </w:pPr>
      <w:bookmarkStart w:id="30" w:name="_6c4lximk55s" w:colFirst="0" w:colLast="0"/>
      <w:bookmarkEnd w:id="30"/>
      <w:r w:rsidRPr="007B0BE8">
        <w:t>The change being proposed is not only about reshaping the workforce but about creating a uniform organisational culture that reflects professional values, accountability and quality of service. The self-employed model has faced problems in the past that have exposed inconsistencies between expectations and working practices. Oldham (2024) argues that infusing owner-manager values into SMEs goes beyond simply communicating expectations, and employment alone does not guarantee that individuals align with the culture.</w:t>
      </w:r>
    </w:p>
    <w:p w14:paraId="2ACAB960" w14:textId="77777777" w:rsidR="00647979" w:rsidRPr="007B0BE8" w:rsidRDefault="00647979" w:rsidP="00647979">
      <w:pPr>
        <w:spacing w:line="360" w:lineRule="auto"/>
        <w:jc w:val="both"/>
      </w:pPr>
    </w:p>
    <w:p w14:paraId="43B84491" w14:textId="77777777" w:rsidR="00E065B8" w:rsidRDefault="007B0BE8" w:rsidP="00E065B8">
      <w:pPr>
        <w:spacing w:line="360" w:lineRule="auto"/>
        <w:jc w:val="both"/>
      </w:pPr>
      <w:r w:rsidRPr="007B0BE8">
        <w:t xml:space="preserve">It takes the earlier micro and macro-environmental analysis and looks at operational issues in the light of external regulatory pressures and changing professional standards. Recruitment should focus on promotion of qualifications, proven experience and clinical competence, and promote professional development (Zhao </w:t>
      </w:r>
      <w:r w:rsidRPr="007B0BE8">
        <w:rPr>
          <w:i/>
          <w:iCs/>
        </w:rPr>
        <w:t>et al</w:t>
      </w:r>
      <w:r w:rsidRPr="007B0BE8">
        <w:t xml:space="preserve">., 2024). Nevertheless, competence should be continuously evaluated rather than assumed based on qualifications alone, and thus, feedback and performance review will be key to the organisation’s change management (Reineholm </w:t>
      </w:r>
      <w:r w:rsidRPr="00647979">
        <w:rPr>
          <w:i/>
          <w:iCs/>
        </w:rPr>
        <w:t>et al</w:t>
      </w:r>
      <w:r w:rsidRPr="007B0BE8">
        <w:t xml:space="preserve">., 2024). </w:t>
      </w:r>
    </w:p>
    <w:p w14:paraId="0C83AADE" w14:textId="77777777" w:rsidR="00E065B8" w:rsidRDefault="00E065B8" w:rsidP="00E065B8">
      <w:pPr>
        <w:spacing w:line="360" w:lineRule="auto"/>
        <w:jc w:val="both"/>
      </w:pPr>
    </w:p>
    <w:p w14:paraId="45B506BE" w14:textId="46194496" w:rsidR="00E065B8" w:rsidRDefault="007B0BE8" w:rsidP="00E065B8">
      <w:pPr>
        <w:spacing w:line="360" w:lineRule="auto"/>
        <w:jc w:val="both"/>
      </w:pPr>
      <w:r w:rsidRPr="007B0BE8">
        <w:t xml:space="preserve">Change also seeks to maintain organisational values while developing a collaborative working culture. Employee participation has been identified by Hafstad </w:t>
      </w:r>
      <w:r w:rsidRPr="00E065B8">
        <w:rPr>
          <w:i/>
          <w:iCs/>
        </w:rPr>
        <w:t>et al</w:t>
      </w:r>
      <w:r w:rsidRPr="007B0BE8">
        <w:t xml:space="preserve">. (2024) as an important mechanism linking organisational values with commitment and readiness for change. </w:t>
      </w:r>
      <w:r w:rsidR="00E065B8" w:rsidRPr="007B0BE8">
        <w:t>So,</w:t>
      </w:r>
      <w:r w:rsidRPr="007B0BE8">
        <w:t xml:space="preserve"> success needs to be measured by professional competency, adherence to service standards, </w:t>
      </w:r>
      <w:r w:rsidRPr="007B0BE8">
        <w:lastRenderedPageBreak/>
        <w:t>employee engagement, client satisfaction and financial viability, and not just by an increase in the size of the workforce.</w:t>
      </w:r>
    </w:p>
    <w:p w14:paraId="1327C065" w14:textId="2DEBAF68" w:rsidR="000A2285" w:rsidRDefault="00B9150E" w:rsidP="00E065B8">
      <w:pPr>
        <w:pStyle w:val="Heading3"/>
      </w:pPr>
      <w:bookmarkStart w:id="31" w:name="_Toc242650075"/>
      <w:r>
        <w:t>5.2 Stakeholder analysis</w:t>
      </w:r>
      <w:bookmarkEnd w:id="31"/>
    </w:p>
    <w:p w14:paraId="527DA408" w14:textId="77777777" w:rsidR="00E065B8" w:rsidRPr="00E065B8" w:rsidRDefault="00E065B8" w:rsidP="00E065B8"/>
    <w:p w14:paraId="770C8BE6" w14:textId="3B73BA98" w:rsidR="000A2285" w:rsidRPr="007C262D" w:rsidRDefault="00B9150E" w:rsidP="008917F4">
      <w:pPr>
        <w:spacing w:line="360" w:lineRule="auto"/>
        <w:rPr>
          <w:b/>
          <w:bCs/>
        </w:rPr>
      </w:pPr>
      <w:r w:rsidRPr="007C262D">
        <w:rPr>
          <w:b/>
          <w:bCs/>
          <w:i/>
          <w:iCs/>
        </w:rPr>
        <w:t xml:space="preserve">Table </w:t>
      </w:r>
      <w:r w:rsidR="007C262D" w:rsidRPr="007C262D">
        <w:rPr>
          <w:b/>
          <w:bCs/>
          <w:i/>
          <w:iCs/>
        </w:rPr>
        <w:t>2</w:t>
      </w:r>
      <w:r w:rsidRPr="007C262D">
        <w:rPr>
          <w:b/>
          <w:bCs/>
          <w:i/>
          <w:iCs/>
        </w:rPr>
        <w:t>:</w:t>
      </w:r>
      <w:r w:rsidRPr="007C262D">
        <w:rPr>
          <w:b/>
          <w:bCs/>
        </w:rPr>
        <w:t xml:space="preserve"> Stakeholder Analysis of the Proposed Employment Model </w:t>
      </w:r>
    </w:p>
    <w:p w14:paraId="375FF303" w14:textId="77777777" w:rsidR="000A2285" w:rsidRDefault="000A2285" w:rsidP="008917F4">
      <w:pPr>
        <w:spacing w:line="360" w:lineRule="auto"/>
      </w:pP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1110"/>
        <w:gridCol w:w="1770"/>
        <w:gridCol w:w="2280"/>
        <w:gridCol w:w="2040"/>
      </w:tblGrid>
      <w:tr w:rsidR="000A2285" w14:paraId="573E1093" w14:textId="77777777">
        <w:tc>
          <w:tcPr>
            <w:tcW w:w="1800" w:type="dxa"/>
            <w:tcMar>
              <w:top w:w="100" w:type="dxa"/>
              <w:left w:w="100" w:type="dxa"/>
              <w:bottom w:w="100" w:type="dxa"/>
              <w:right w:w="100" w:type="dxa"/>
            </w:tcMar>
          </w:tcPr>
          <w:p w14:paraId="76FA88B0" w14:textId="77777777" w:rsidR="000A2285" w:rsidRDefault="00B9150E" w:rsidP="008917F4">
            <w:pPr>
              <w:widowControl w:val="0"/>
              <w:spacing w:before="240" w:after="240" w:line="360" w:lineRule="auto"/>
            </w:pPr>
            <w:r>
              <w:t>Stakeholder</w:t>
            </w:r>
          </w:p>
          <w:p w14:paraId="045AB689" w14:textId="77777777" w:rsidR="000A2285" w:rsidRDefault="000A2285" w:rsidP="008917F4">
            <w:pPr>
              <w:widowControl w:val="0"/>
              <w:spacing w:before="240" w:after="240" w:line="360" w:lineRule="auto"/>
            </w:pPr>
          </w:p>
        </w:tc>
        <w:tc>
          <w:tcPr>
            <w:tcW w:w="1110" w:type="dxa"/>
            <w:tcMar>
              <w:top w:w="100" w:type="dxa"/>
              <w:left w:w="100" w:type="dxa"/>
              <w:bottom w:w="100" w:type="dxa"/>
              <w:right w:w="100" w:type="dxa"/>
            </w:tcMar>
          </w:tcPr>
          <w:p w14:paraId="27195D25" w14:textId="77777777" w:rsidR="000A2285" w:rsidRDefault="00B9150E" w:rsidP="008917F4">
            <w:pPr>
              <w:widowControl w:val="0"/>
              <w:spacing w:before="240" w:after="240" w:line="360" w:lineRule="auto"/>
            </w:pPr>
            <w:r>
              <w:t>Interest</w:t>
            </w:r>
          </w:p>
          <w:p w14:paraId="131710D6" w14:textId="77777777" w:rsidR="000A2285" w:rsidRDefault="000A2285" w:rsidP="008917F4">
            <w:pPr>
              <w:widowControl w:val="0"/>
              <w:spacing w:before="240" w:after="240" w:line="360" w:lineRule="auto"/>
            </w:pPr>
          </w:p>
        </w:tc>
        <w:tc>
          <w:tcPr>
            <w:tcW w:w="1770" w:type="dxa"/>
            <w:tcMar>
              <w:top w:w="100" w:type="dxa"/>
              <w:left w:w="100" w:type="dxa"/>
              <w:bottom w:w="100" w:type="dxa"/>
              <w:right w:w="100" w:type="dxa"/>
            </w:tcMar>
          </w:tcPr>
          <w:p w14:paraId="76EDA4A6" w14:textId="77777777" w:rsidR="000A2285" w:rsidRDefault="00B9150E" w:rsidP="008917F4">
            <w:pPr>
              <w:widowControl w:val="0"/>
              <w:spacing w:before="240" w:after="240" w:line="360" w:lineRule="auto"/>
            </w:pPr>
            <w:r>
              <w:t>Influence</w:t>
            </w:r>
          </w:p>
          <w:p w14:paraId="15D27C61" w14:textId="77777777" w:rsidR="000A2285" w:rsidRDefault="000A2285" w:rsidP="008917F4">
            <w:pPr>
              <w:widowControl w:val="0"/>
              <w:spacing w:before="240" w:after="240" w:line="360" w:lineRule="auto"/>
            </w:pPr>
          </w:p>
        </w:tc>
        <w:tc>
          <w:tcPr>
            <w:tcW w:w="2280" w:type="dxa"/>
            <w:tcMar>
              <w:top w:w="100" w:type="dxa"/>
              <w:left w:w="100" w:type="dxa"/>
              <w:bottom w:w="100" w:type="dxa"/>
              <w:right w:w="100" w:type="dxa"/>
            </w:tcMar>
          </w:tcPr>
          <w:p w14:paraId="46FA4352" w14:textId="77777777" w:rsidR="000A2285" w:rsidRDefault="00B9150E" w:rsidP="008917F4">
            <w:pPr>
              <w:widowControl w:val="0"/>
              <w:spacing w:before="240" w:after="240" w:line="360" w:lineRule="auto"/>
            </w:pPr>
            <w:r>
              <w:t>Main concerns</w:t>
            </w:r>
          </w:p>
          <w:p w14:paraId="09F56F78" w14:textId="77777777" w:rsidR="000A2285" w:rsidRDefault="000A2285" w:rsidP="008917F4">
            <w:pPr>
              <w:widowControl w:val="0"/>
              <w:spacing w:before="240" w:after="240" w:line="360" w:lineRule="auto"/>
            </w:pPr>
          </w:p>
        </w:tc>
        <w:tc>
          <w:tcPr>
            <w:tcW w:w="2040" w:type="dxa"/>
            <w:tcMar>
              <w:top w:w="100" w:type="dxa"/>
              <w:left w:w="100" w:type="dxa"/>
              <w:bottom w:w="100" w:type="dxa"/>
              <w:right w:w="100" w:type="dxa"/>
            </w:tcMar>
          </w:tcPr>
          <w:p w14:paraId="27C1F76E" w14:textId="77777777" w:rsidR="000A2285" w:rsidRDefault="00B9150E" w:rsidP="008917F4">
            <w:pPr>
              <w:widowControl w:val="0"/>
              <w:spacing w:before="240" w:after="240" w:line="360" w:lineRule="auto"/>
            </w:pPr>
            <w:r>
              <w:t>Engagement needs</w:t>
            </w:r>
          </w:p>
        </w:tc>
      </w:tr>
      <w:tr w:rsidR="000A2285" w14:paraId="023FD82F" w14:textId="77777777">
        <w:tc>
          <w:tcPr>
            <w:tcW w:w="1800" w:type="dxa"/>
            <w:tcMar>
              <w:top w:w="100" w:type="dxa"/>
              <w:left w:w="100" w:type="dxa"/>
              <w:bottom w:w="100" w:type="dxa"/>
              <w:right w:w="100" w:type="dxa"/>
            </w:tcMar>
          </w:tcPr>
          <w:p w14:paraId="030EBA89" w14:textId="77777777" w:rsidR="000A2285" w:rsidRDefault="00B9150E" w:rsidP="008917F4">
            <w:pPr>
              <w:widowControl w:val="0"/>
              <w:pBdr>
                <w:top w:val="nil"/>
                <w:left w:val="nil"/>
                <w:bottom w:val="nil"/>
                <w:right w:val="nil"/>
                <w:between w:val="nil"/>
              </w:pBdr>
              <w:spacing w:line="360" w:lineRule="auto"/>
            </w:pPr>
            <w:r>
              <w:t xml:space="preserve">Owner / management </w:t>
            </w:r>
          </w:p>
        </w:tc>
        <w:tc>
          <w:tcPr>
            <w:tcW w:w="1110" w:type="dxa"/>
            <w:tcMar>
              <w:top w:w="100" w:type="dxa"/>
              <w:left w:w="100" w:type="dxa"/>
              <w:bottom w:w="100" w:type="dxa"/>
              <w:right w:w="100" w:type="dxa"/>
            </w:tcMar>
          </w:tcPr>
          <w:p w14:paraId="6716D928" w14:textId="77777777" w:rsidR="000A2285" w:rsidRDefault="00B9150E" w:rsidP="008917F4">
            <w:pPr>
              <w:widowControl w:val="0"/>
              <w:pBdr>
                <w:top w:val="nil"/>
                <w:left w:val="nil"/>
                <w:bottom w:val="nil"/>
                <w:right w:val="nil"/>
                <w:between w:val="nil"/>
              </w:pBdr>
              <w:spacing w:line="360" w:lineRule="auto"/>
            </w:pPr>
            <w:r>
              <w:t xml:space="preserve">High </w:t>
            </w:r>
          </w:p>
        </w:tc>
        <w:tc>
          <w:tcPr>
            <w:tcW w:w="1770" w:type="dxa"/>
            <w:tcMar>
              <w:top w:w="100" w:type="dxa"/>
              <w:left w:w="100" w:type="dxa"/>
              <w:bottom w:w="100" w:type="dxa"/>
              <w:right w:w="100" w:type="dxa"/>
            </w:tcMar>
          </w:tcPr>
          <w:p w14:paraId="7295C6FF" w14:textId="77777777" w:rsidR="000A2285" w:rsidRDefault="00B9150E" w:rsidP="008917F4">
            <w:pPr>
              <w:widowControl w:val="0"/>
              <w:pBdr>
                <w:top w:val="nil"/>
                <w:left w:val="nil"/>
                <w:bottom w:val="nil"/>
                <w:right w:val="nil"/>
                <w:between w:val="nil"/>
              </w:pBdr>
              <w:spacing w:line="360" w:lineRule="auto"/>
            </w:pPr>
            <w:r>
              <w:t xml:space="preserve">High </w:t>
            </w:r>
          </w:p>
        </w:tc>
        <w:tc>
          <w:tcPr>
            <w:tcW w:w="2280" w:type="dxa"/>
            <w:tcMar>
              <w:top w:w="100" w:type="dxa"/>
              <w:left w:w="100" w:type="dxa"/>
              <w:bottom w:w="100" w:type="dxa"/>
              <w:right w:w="100" w:type="dxa"/>
            </w:tcMar>
          </w:tcPr>
          <w:p w14:paraId="770011F4" w14:textId="77777777" w:rsidR="000A2285" w:rsidRDefault="00B9150E" w:rsidP="008917F4">
            <w:pPr>
              <w:widowControl w:val="0"/>
              <w:pBdr>
                <w:top w:val="nil"/>
                <w:left w:val="nil"/>
                <w:bottom w:val="nil"/>
                <w:right w:val="nil"/>
                <w:between w:val="nil"/>
              </w:pBdr>
              <w:spacing w:line="360" w:lineRule="auto"/>
            </w:pPr>
            <w:r>
              <w:t xml:space="preserve">Profitability, reputation, leadership capacity </w:t>
            </w:r>
          </w:p>
        </w:tc>
        <w:tc>
          <w:tcPr>
            <w:tcW w:w="2040" w:type="dxa"/>
            <w:tcMar>
              <w:top w:w="100" w:type="dxa"/>
              <w:left w:w="100" w:type="dxa"/>
              <w:bottom w:w="100" w:type="dxa"/>
              <w:right w:w="100" w:type="dxa"/>
            </w:tcMar>
          </w:tcPr>
          <w:p w14:paraId="58BDBE71" w14:textId="77777777" w:rsidR="000A2285" w:rsidRDefault="00B9150E" w:rsidP="008917F4">
            <w:pPr>
              <w:widowControl w:val="0"/>
              <w:spacing w:line="360" w:lineRule="auto"/>
            </w:pPr>
            <w:r>
              <w:t xml:space="preserve">Financial reviews, implementation planning </w:t>
            </w:r>
          </w:p>
        </w:tc>
      </w:tr>
      <w:tr w:rsidR="000A2285" w14:paraId="697327CD" w14:textId="77777777">
        <w:tc>
          <w:tcPr>
            <w:tcW w:w="1800" w:type="dxa"/>
            <w:tcMar>
              <w:top w:w="100" w:type="dxa"/>
              <w:left w:w="100" w:type="dxa"/>
              <w:bottom w:w="100" w:type="dxa"/>
              <w:right w:w="100" w:type="dxa"/>
            </w:tcMar>
          </w:tcPr>
          <w:p w14:paraId="66554276" w14:textId="77777777" w:rsidR="000A2285" w:rsidRDefault="00B9150E" w:rsidP="008917F4">
            <w:pPr>
              <w:widowControl w:val="0"/>
              <w:pBdr>
                <w:top w:val="nil"/>
                <w:left w:val="nil"/>
                <w:bottom w:val="nil"/>
                <w:right w:val="nil"/>
                <w:between w:val="nil"/>
              </w:pBdr>
              <w:spacing w:line="360" w:lineRule="auto"/>
            </w:pPr>
            <w:r>
              <w:t xml:space="preserve">Existing self-employed practitioners </w:t>
            </w:r>
          </w:p>
        </w:tc>
        <w:tc>
          <w:tcPr>
            <w:tcW w:w="1110" w:type="dxa"/>
            <w:tcMar>
              <w:top w:w="100" w:type="dxa"/>
              <w:left w:w="100" w:type="dxa"/>
              <w:bottom w:w="100" w:type="dxa"/>
              <w:right w:w="100" w:type="dxa"/>
            </w:tcMar>
          </w:tcPr>
          <w:p w14:paraId="6FE39C55" w14:textId="77777777" w:rsidR="000A2285" w:rsidRDefault="00B9150E" w:rsidP="008917F4">
            <w:pPr>
              <w:widowControl w:val="0"/>
              <w:pBdr>
                <w:top w:val="nil"/>
                <w:left w:val="nil"/>
                <w:bottom w:val="nil"/>
                <w:right w:val="nil"/>
                <w:between w:val="nil"/>
              </w:pBdr>
              <w:spacing w:line="360" w:lineRule="auto"/>
            </w:pPr>
            <w:r>
              <w:t xml:space="preserve">High </w:t>
            </w:r>
          </w:p>
        </w:tc>
        <w:tc>
          <w:tcPr>
            <w:tcW w:w="1770" w:type="dxa"/>
            <w:tcMar>
              <w:top w:w="100" w:type="dxa"/>
              <w:left w:w="100" w:type="dxa"/>
              <w:bottom w:w="100" w:type="dxa"/>
              <w:right w:w="100" w:type="dxa"/>
            </w:tcMar>
          </w:tcPr>
          <w:p w14:paraId="09F15634" w14:textId="77777777" w:rsidR="000A2285" w:rsidRDefault="00B9150E" w:rsidP="008917F4">
            <w:pPr>
              <w:widowControl w:val="0"/>
              <w:pBdr>
                <w:top w:val="nil"/>
                <w:left w:val="nil"/>
                <w:bottom w:val="nil"/>
                <w:right w:val="nil"/>
                <w:between w:val="nil"/>
              </w:pBdr>
              <w:spacing w:line="360" w:lineRule="auto"/>
            </w:pPr>
            <w:r>
              <w:t xml:space="preserve">Medium </w:t>
            </w:r>
          </w:p>
        </w:tc>
        <w:tc>
          <w:tcPr>
            <w:tcW w:w="2280" w:type="dxa"/>
            <w:tcMar>
              <w:top w:w="100" w:type="dxa"/>
              <w:left w:w="100" w:type="dxa"/>
              <w:bottom w:w="100" w:type="dxa"/>
              <w:right w:w="100" w:type="dxa"/>
            </w:tcMar>
          </w:tcPr>
          <w:p w14:paraId="0A84BCF8" w14:textId="77777777" w:rsidR="000A2285" w:rsidRDefault="00B9150E" w:rsidP="008917F4">
            <w:pPr>
              <w:widowControl w:val="0"/>
              <w:pBdr>
                <w:top w:val="nil"/>
                <w:left w:val="nil"/>
                <w:bottom w:val="nil"/>
                <w:right w:val="nil"/>
                <w:between w:val="nil"/>
              </w:pBdr>
              <w:spacing w:line="360" w:lineRule="auto"/>
            </w:pPr>
            <w:r>
              <w:t xml:space="preserve">Loss of autonomy, income and workspace </w:t>
            </w:r>
          </w:p>
        </w:tc>
        <w:tc>
          <w:tcPr>
            <w:tcW w:w="2040" w:type="dxa"/>
            <w:tcMar>
              <w:top w:w="100" w:type="dxa"/>
              <w:left w:w="100" w:type="dxa"/>
              <w:bottom w:w="100" w:type="dxa"/>
              <w:right w:w="100" w:type="dxa"/>
            </w:tcMar>
          </w:tcPr>
          <w:p w14:paraId="215232CA" w14:textId="77777777" w:rsidR="000A2285" w:rsidRDefault="00B9150E" w:rsidP="008917F4">
            <w:pPr>
              <w:widowControl w:val="0"/>
              <w:spacing w:line="360" w:lineRule="auto"/>
            </w:pPr>
            <w:r>
              <w:t xml:space="preserve">Individual consultation, clear notice and transition arrangements </w:t>
            </w:r>
          </w:p>
        </w:tc>
      </w:tr>
      <w:tr w:rsidR="000A2285" w14:paraId="6A7AB65B" w14:textId="77777777">
        <w:tc>
          <w:tcPr>
            <w:tcW w:w="1800" w:type="dxa"/>
            <w:tcMar>
              <w:top w:w="100" w:type="dxa"/>
              <w:left w:w="100" w:type="dxa"/>
              <w:bottom w:w="100" w:type="dxa"/>
              <w:right w:w="100" w:type="dxa"/>
            </w:tcMar>
          </w:tcPr>
          <w:p w14:paraId="01CADB10" w14:textId="77777777" w:rsidR="000A2285" w:rsidRDefault="00B9150E" w:rsidP="008917F4">
            <w:pPr>
              <w:widowControl w:val="0"/>
              <w:pBdr>
                <w:top w:val="nil"/>
                <w:left w:val="nil"/>
                <w:bottom w:val="nil"/>
                <w:right w:val="nil"/>
                <w:between w:val="nil"/>
              </w:pBdr>
              <w:spacing w:line="360" w:lineRule="auto"/>
            </w:pPr>
            <w:r>
              <w:t xml:space="preserve">Prospective employees </w:t>
            </w:r>
          </w:p>
        </w:tc>
        <w:tc>
          <w:tcPr>
            <w:tcW w:w="1110" w:type="dxa"/>
            <w:tcMar>
              <w:top w:w="100" w:type="dxa"/>
              <w:left w:w="100" w:type="dxa"/>
              <w:bottom w:w="100" w:type="dxa"/>
              <w:right w:w="100" w:type="dxa"/>
            </w:tcMar>
          </w:tcPr>
          <w:p w14:paraId="5E42A464" w14:textId="77777777" w:rsidR="000A2285" w:rsidRDefault="00B9150E" w:rsidP="008917F4">
            <w:pPr>
              <w:widowControl w:val="0"/>
              <w:pBdr>
                <w:top w:val="nil"/>
                <w:left w:val="nil"/>
                <w:bottom w:val="nil"/>
                <w:right w:val="nil"/>
                <w:between w:val="nil"/>
              </w:pBdr>
              <w:spacing w:line="360" w:lineRule="auto"/>
            </w:pPr>
            <w:r>
              <w:t xml:space="preserve">High </w:t>
            </w:r>
          </w:p>
        </w:tc>
        <w:tc>
          <w:tcPr>
            <w:tcW w:w="1770" w:type="dxa"/>
            <w:tcMar>
              <w:top w:w="100" w:type="dxa"/>
              <w:left w:w="100" w:type="dxa"/>
              <w:bottom w:w="100" w:type="dxa"/>
              <w:right w:w="100" w:type="dxa"/>
            </w:tcMar>
          </w:tcPr>
          <w:p w14:paraId="3DA97748" w14:textId="77777777" w:rsidR="000A2285" w:rsidRDefault="00B9150E" w:rsidP="008917F4">
            <w:pPr>
              <w:widowControl w:val="0"/>
              <w:pBdr>
                <w:top w:val="nil"/>
                <w:left w:val="nil"/>
                <w:bottom w:val="nil"/>
                <w:right w:val="nil"/>
                <w:between w:val="nil"/>
              </w:pBdr>
              <w:spacing w:line="360" w:lineRule="auto"/>
            </w:pPr>
            <w:r>
              <w:t xml:space="preserve">Medium </w:t>
            </w:r>
          </w:p>
        </w:tc>
        <w:tc>
          <w:tcPr>
            <w:tcW w:w="2280" w:type="dxa"/>
            <w:tcMar>
              <w:top w:w="100" w:type="dxa"/>
              <w:left w:w="100" w:type="dxa"/>
              <w:bottom w:w="100" w:type="dxa"/>
              <w:right w:w="100" w:type="dxa"/>
            </w:tcMar>
          </w:tcPr>
          <w:p w14:paraId="2951E5AA" w14:textId="77777777" w:rsidR="000A2285" w:rsidRDefault="00B9150E" w:rsidP="008917F4">
            <w:pPr>
              <w:widowControl w:val="0"/>
              <w:pBdr>
                <w:top w:val="nil"/>
                <w:left w:val="nil"/>
                <w:bottom w:val="nil"/>
                <w:right w:val="nil"/>
                <w:between w:val="nil"/>
              </w:pBdr>
              <w:spacing w:line="360" w:lineRule="auto"/>
            </w:pPr>
            <w:r>
              <w:t xml:space="preserve">Pay, job security, qualifications, development </w:t>
            </w:r>
          </w:p>
        </w:tc>
        <w:tc>
          <w:tcPr>
            <w:tcW w:w="2040" w:type="dxa"/>
            <w:tcMar>
              <w:top w:w="100" w:type="dxa"/>
              <w:left w:w="100" w:type="dxa"/>
              <w:bottom w:w="100" w:type="dxa"/>
              <w:right w:w="100" w:type="dxa"/>
            </w:tcMar>
          </w:tcPr>
          <w:p w14:paraId="45E482CC" w14:textId="77777777" w:rsidR="000A2285" w:rsidRDefault="00B9150E" w:rsidP="008917F4">
            <w:pPr>
              <w:widowControl w:val="0"/>
              <w:pBdr>
                <w:top w:val="nil"/>
                <w:left w:val="nil"/>
                <w:bottom w:val="nil"/>
                <w:right w:val="nil"/>
                <w:between w:val="nil"/>
              </w:pBdr>
              <w:spacing w:line="360" w:lineRule="auto"/>
            </w:pPr>
            <w:r>
              <w:t xml:space="preserve">Transparent contracts, induction, training and feedback </w:t>
            </w:r>
          </w:p>
        </w:tc>
      </w:tr>
      <w:tr w:rsidR="000A2285" w14:paraId="46B75813" w14:textId="77777777">
        <w:tc>
          <w:tcPr>
            <w:tcW w:w="1800" w:type="dxa"/>
            <w:tcMar>
              <w:top w:w="100" w:type="dxa"/>
              <w:left w:w="100" w:type="dxa"/>
              <w:bottom w:w="100" w:type="dxa"/>
              <w:right w:w="100" w:type="dxa"/>
            </w:tcMar>
          </w:tcPr>
          <w:p w14:paraId="00B2B0A2" w14:textId="77777777" w:rsidR="000A2285" w:rsidRDefault="00B9150E" w:rsidP="008917F4">
            <w:pPr>
              <w:widowControl w:val="0"/>
              <w:pBdr>
                <w:top w:val="nil"/>
                <w:left w:val="nil"/>
                <w:bottom w:val="nil"/>
                <w:right w:val="nil"/>
                <w:between w:val="nil"/>
              </w:pBdr>
              <w:spacing w:line="360" w:lineRule="auto"/>
            </w:pPr>
            <w:r>
              <w:t xml:space="preserve">Clients </w:t>
            </w:r>
          </w:p>
        </w:tc>
        <w:tc>
          <w:tcPr>
            <w:tcW w:w="1110" w:type="dxa"/>
            <w:tcMar>
              <w:top w:w="100" w:type="dxa"/>
              <w:left w:w="100" w:type="dxa"/>
              <w:bottom w:w="100" w:type="dxa"/>
              <w:right w:w="100" w:type="dxa"/>
            </w:tcMar>
          </w:tcPr>
          <w:p w14:paraId="622ED5B8" w14:textId="77777777" w:rsidR="000A2285" w:rsidRDefault="00B9150E" w:rsidP="008917F4">
            <w:pPr>
              <w:widowControl w:val="0"/>
              <w:pBdr>
                <w:top w:val="nil"/>
                <w:left w:val="nil"/>
                <w:bottom w:val="nil"/>
                <w:right w:val="nil"/>
                <w:between w:val="nil"/>
              </w:pBdr>
              <w:spacing w:line="360" w:lineRule="auto"/>
            </w:pPr>
            <w:r>
              <w:t xml:space="preserve">High </w:t>
            </w:r>
          </w:p>
        </w:tc>
        <w:tc>
          <w:tcPr>
            <w:tcW w:w="1770" w:type="dxa"/>
            <w:tcMar>
              <w:top w:w="100" w:type="dxa"/>
              <w:left w:w="100" w:type="dxa"/>
              <w:bottom w:w="100" w:type="dxa"/>
              <w:right w:w="100" w:type="dxa"/>
            </w:tcMar>
          </w:tcPr>
          <w:p w14:paraId="39C9EDC1" w14:textId="77777777" w:rsidR="000A2285" w:rsidRDefault="00B9150E" w:rsidP="008917F4">
            <w:pPr>
              <w:widowControl w:val="0"/>
              <w:pBdr>
                <w:top w:val="nil"/>
                <w:left w:val="nil"/>
                <w:bottom w:val="nil"/>
                <w:right w:val="nil"/>
                <w:between w:val="nil"/>
              </w:pBdr>
              <w:spacing w:line="360" w:lineRule="auto"/>
            </w:pPr>
            <w:r>
              <w:t xml:space="preserve">Medium </w:t>
            </w:r>
          </w:p>
        </w:tc>
        <w:tc>
          <w:tcPr>
            <w:tcW w:w="2280" w:type="dxa"/>
            <w:tcMar>
              <w:top w:w="100" w:type="dxa"/>
              <w:left w:w="100" w:type="dxa"/>
              <w:bottom w:w="100" w:type="dxa"/>
              <w:right w:w="100" w:type="dxa"/>
            </w:tcMar>
          </w:tcPr>
          <w:p w14:paraId="12B2D85D" w14:textId="77777777" w:rsidR="000A2285" w:rsidRDefault="00B9150E" w:rsidP="008917F4">
            <w:pPr>
              <w:widowControl w:val="0"/>
              <w:pBdr>
                <w:top w:val="nil"/>
                <w:left w:val="nil"/>
                <w:bottom w:val="nil"/>
                <w:right w:val="nil"/>
                <w:between w:val="nil"/>
              </w:pBdr>
              <w:spacing w:line="360" w:lineRule="auto"/>
            </w:pPr>
            <w:r>
              <w:t xml:space="preserve">Treatment continuity, safety, service quality </w:t>
            </w:r>
          </w:p>
        </w:tc>
        <w:tc>
          <w:tcPr>
            <w:tcW w:w="2040" w:type="dxa"/>
            <w:tcMar>
              <w:top w:w="100" w:type="dxa"/>
              <w:left w:w="100" w:type="dxa"/>
              <w:bottom w:w="100" w:type="dxa"/>
              <w:right w:w="100" w:type="dxa"/>
            </w:tcMar>
          </w:tcPr>
          <w:p w14:paraId="722313B1" w14:textId="77777777" w:rsidR="000A2285" w:rsidRDefault="00B9150E" w:rsidP="008917F4">
            <w:pPr>
              <w:widowControl w:val="0"/>
              <w:pBdr>
                <w:top w:val="nil"/>
                <w:left w:val="nil"/>
                <w:bottom w:val="nil"/>
                <w:right w:val="nil"/>
                <w:between w:val="nil"/>
              </w:pBdr>
              <w:spacing w:line="360" w:lineRule="auto"/>
            </w:pPr>
            <w:r>
              <w:t xml:space="preserve">Advance communication, reassurance and feedback </w:t>
            </w:r>
          </w:p>
        </w:tc>
      </w:tr>
      <w:tr w:rsidR="000A2285" w14:paraId="52631D02" w14:textId="77777777">
        <w:tc>
          <w:tcPr>
            <w:tcW w:w="1800" w:type="dxa"/>
            <w:tcMar>
              <w:top w:w="100" w:type="dxa"/>
              <w:left w:w="100" w:type="dxa"/>
              <w:bottom w:w="100" w:type="dxa"/>
              <w:right w:w="100" w:type="dxa"/>
            </w:tcMar>
          </w:tcPr>
          <w:p w14:paraId="02BAA49A" w14:textId="77777777" w:rsidR="000A2285" w:rsidRDefault="00B9150E" w:rsidP="008917F4">
            <w:pPr>
              <w:widowControl w:val="0"/>
              <w:pBdr>
                <w:top w:val="nil"/>
                <w:left w:val="nil"/>
                <w:bottom w:val="nil"/>
                <w:right w:val="nil"/>
                <w:between w:val="nil"/>
              </w:pBdr>
              <w:spacing w:line="360" w:lineRule="auto"/>
            </w:pPr>
            <w:r>
              <w:t xml:space="preserve">Regulators, insurers and professional bodies </w:t>
            </w:r>
          </w:p>
        </w:tc>
        <w:tc>
          <w:tcPr>
            <w:tcW w:w="1110" w:type="dxa"/>
            <w:tcMar>
              <w:top w:w="100" w:type="dxa"/>
              <w:left w:w="100" w:type="dxa"/>
              <w:bottom w:w="100" w:type="dxa"/>
              <w:right w:w="100" w:type="dxa"/>
            </w:tcMar>
          </w:tcPr>
          <w:p w14:paraId="4D49574D" w14:textId="77777777" w:rsidR="000A2285" w:rsidRDefault="00B9150E" w:rsidP="008917F4">
            <w:pPr>
              <w:widowControl w:val="0"/>
              <w:pBdr>
                <w:top w:val="nil"/>
                <w:left w:val="nil"/>
                <w:bottom w:val="nil"/>
                <w:right w:val="nil"/>
                <w:between w:val="nil"/>
              </w:pBdr>
              <w:spacing w:line="360" w:lineRule="auto"/>
            </w:pPr>
            <w:r>
              <w:t>High / Medium</w:t>
            </w:r>
          </w:p>
        </w:tc>
        <w:tc>
          <w:tcPr>
            <w:tcW w:w="1770" w:type="dxa"/>
            <w:tcMar>
              <w:top w:w="100" w:type="dxa"/>
              <w:left w:w="100" w:type="dxa"/>
              <w:bottom w:w="100" w:type="dxa"/>
              <w:right w:w="100" w:type="dxa"/>
            </w:tcMar>
          </w:tcPr>
          <w:p w14:paraId="11A6F706" w14:textId="77777777" w:rsidR="000A2285" w:rsidRDefault="00B9150E" w:rsidP="008917F4">
            <w:pPr>
              <w:widowControl w:val="0"/>
              <w:pBdr>
                <w:top w:val="nil"/>
                <w:left w:val="nil"/>
                <w:bottom w:val="nil"/>
                <w:right w:val="nil"/>
                <w:between w:val="nil"/>
              </w:pBdr>
              <w:spacing w:line="360" w:lineRule="auto"/>
            </w:pPr>
            <w:r>
              <w:t xml:space="preserve">High </w:t>
            </w:r>
          </w:p>
        </w:tc>
        <w:tc>
          <w:tcPr>
            <w:tcW w:w="2280" w:type="dxa"/>
            <w:tcMar>
              <w:top w:w="100" w:type="dxa"/>
              <w:left w:w="100" w:type="dxa"/>
              <w:bottom w:w="100" w:type="dxa"/>
              <w:right w:w="100" w:type="dxa"/>
            </w:tcMar>
          </w:tcPr>
          <w:p w14:paraId="4D5F67B0" w14:textId="77777777" w:rsidR="000A2285" w:rsidRDefault="00B9150E" w:rsidP="008917F4">
            <w:pPr>
              <w:widowControl w:val="0"/>
              <w:pBdr>
                <w:top w:val="nil"/>
                <w:left w:val="nil"/>
                <w:bottom w:val="nil"/>
                <w:right w:val="nil"/>
                <w:between w:val="nil"/>
              </w:pBdr>
              <w:spacing w:line="360" w:lineRule="auto"/>
            </w:pPr>
            <w:r>
              <w:t xml:space="preserve">Competence, professional standards and compliance </w:t>
            </w:r>
          </w:p>
        </w:tc>
        <w:tc>
          <w:tcPr>
            <w:tcW w:w="2040" w:type="dxa"/>
            <w:tcMar>
              <w:top w:w="100" w:type="dxa"/>
              <w:left w:w="100" w:type="dxa"/>
              <w:bottom w:w="100" w:type="dxa"/>
              <w:right w:w="100" w:type="dxa"/>
            </w:tcMar>
          </w:tcPr>
          <w:p w14:paraId="6019A1DA" w14:textId="77777777" w:rsidR="000A2285" w:rsidRDefault="00B9150E" w:rsidP="008917F4">
            <w:pPr>
              <w:widowControl w:val="0"/>
              <w:pBdr>
                <w:top w:val="nil"/>
                <w:left w:val="nil"/>
                <w:bottom w:val="nil"/>
                <w:right w:val="nil"/>
                <w:between w:val="nil"/>
              </w:pBdr>
              <w:spacing w:line="360" w:lineRule="auto"/>
            </w:pPr>
            <w:r>
              <w:t xml:space="preserve">Qualification verification, policy reviews and compliance monitoring  </w:t>
            </w:r>
          </w:p>
        </w:tc>
      </w:tr>
      <w:tr w:rsidR="000A2285" w14:paraId="7900C2BA" w14:textId="77777777">
        <w:tc>
          <w:tcPr>
            <w:tcW w:w="1800" w:type="dxa"/>
            <w:tcMar>
              <w:top w:w="100" w:type="dxa"/>
              <w:left w:w="100" w:type="dxa"/>
              <w:bottom w:w="100" w:type="dxa"/>
              <w:right w:w="100" w:type="dxa"/>
            </w:tcMar>
          </w:tcPr>
          <w:p w14:paraId="3F5CB662" w14:textId="77777777" w:rsidR="000A2285" w:rsidRDefault="00B9150E" w:rsidP="008917F4">
            <w:pPr>
              <w:widowControl w:val="0"/>
              <w:pBdr>
                <w:top w:val="nil"/>
                <w:left w:val="nil"/>
                <w:bottom w:val="nil"/>
                <w:right w:val="nil"/>
                <w:between w:val="nil"/>
              </w:pBdr>
              <w:spacing w:line="360" w:lineRule="auto"/>
            </w:pPr>
            <w:r>
              <w:lastRenderedPageBreak/>
              <w:t xml:space="preserve">Training providers / prescribers </w:t>
            </w:r>
          </w:p>
        </w:tc>
        <w:tc>
          <w:tcPr>
            <w:tcW w:w="1110" w:type="dxa"/>
            <w:tcMar>
              <w:top w:w="100" w:type="dxa"/>
              <w:left w:w="100" w:type="dxa"/>
              <w:bottom w:w="100" w:type="dxa"/>
              <w:right w:w="100" w:type="dxa"/>
            </w:tcMar>
          </w:tcPr>
          <w:p w14:paraId="62CDB394" w14:textId="77777777" w:rsidR="000A2285" w:rsidRDefault="00B9150E" w:rsidP="008917F4">
            <w:pPr>
              <w:widowControl w:val="0"/>
              <w:pBdr>
                <w:top w:val="nil"/>
                <w:left w:val="nil"/>
                <w:bottom w:val="nil"/>
                <w:right w:val="nil"/>
                <w:between w:val="nil"/>
              </w:pBdr>
              <w:spacing w:line="360" w:lineRule="auto"/>
            </w:pPr>
            <w:r>
              <w:t>Medium</w:t>
            </w:r>
          </w:p>
        </w:tc>
        <w:tc>
          <w:tcPr>
            <w:tcW w:w="1770" w:type="dxa"/>
            <w:tcMar>
              <w:top w:w="100" w:type="dxa"/>
              <w:left w:w="100" w:type="dxa"/>
              <w:bottom w:w="100" w:type="dxa"/>
              <w:right w:w="100" w:type="dxa"/>
            </w:tcMar>
          </w:tcPr>
          <w:p w14:paraId="086F16C7" w14:textId="77777777" w:rsidR="000A2285" w:rsidRDefault="00B9150E" w:rsidP="008917F4">
            <w:pPr>
              <w:widowControl w:val="0"/>
              <w:pBdr>
                <w:top w:val="nil"/>
                <w:left w:val="nil"/>
                <w:bottom w:val="nil"/>
                <w:right w:val="nil"/>
                <w:between w:val="nil"/>
              </w:pBdr>
              <w:spacing w:line="360" w:lineRule="auto"/>
            </w:pPr>
            <w:r>
              <w:t xml:space="preserve">Medium </w:t>
            </w:r>
          </w:p>
        </w:tc>
        <w:tc>
          <w:tcPr>
            <w:tcW w:w="2280" w:type="dxa"/>
            <w:tcMar>
              <w:top w:w="100" w:type="dxa"/>
              <w:left w:w="100" w:type="dxa"/>
              <w:bottom w:w="100" w:type="dxa"/>
              <w:right w:w="100" w:type="dxa"/>
            </w:tcMar>
          </w:tcPr>
          <w:p w14:paraId="28C973E3" w14:textId="77777777" w:rsidR="000A2285" w:rsidRDefault="00B9150E" w:rsidP="008917F4">
            <w:pPr>
              <w:widowControl w:val="0"/>
              <w:pBdr>
                <w:top w:val="nil"/>
                <w:left w:val="nil"/>
                <w:bottom w:val="nil"/>
                <w:right w:val="nil"/>
                <w:between w:val="nil"/>
              </w:pBdr>
              <w:spacing w:line="360" w:lineRule="auto"/>
            </w:pPr>
            <w:r>
              <w:t xml:space="preserve">Competence, supervision and continuity of professional arrangements </w:t>
            </w:r>
          </w:p>
        </w:tc>
        <w:tc>
          <w:tcPr>
            <w:tcW w:w="2040" w:type="dxa"/>
            <w:tcMar>
              <w:top w:w="100" w:type="dxa"/>
              <w:left w:w="100" w:type="dxa"/>
              <w:bottom w:w="100" w:type="dxa"/>
              <w:right w:w="100" w:type="dxa"/>
            </w:tcMar>
          </w:tcPr>
          <w:p w14:paraId="536F89A8" w14:textId="77777777" w:rsidR="000A2285" w:rsidRDefault="00B9150E" w:rsidP="008917F4">
            <w:pPr>
              <w:widowControl w:val="0"/>
              <w:spacing w:line="360" w:lineRule="auto"/>
            </w:pPr>
            <w:r>
              <w:t>Clear responsibilities and competency requirements</w:t>
            </w:r>
          </w:p>
        </w:tc>
      </w:tr>
    </w:tbl>
    <w:p w14:paraId="2D3B4B76" w14:textId="77777777" w:rsidR="000A2285" w:rsidRDefault="000A2285" w:rsidP="008917F4">
      <w:pPr>
        <w:spacing w:line="360" w:lineRule="auto"/>
      </w:pPr>
    </w:p>
    <w:p w14:paraId="56CACB4D" w14:textId="371B203A" w:rsidR="000A2285" w:rsidRDefault="00B9150E" w:rsidP="008917F4">
      <w:pPr>
        <w:spacing w:line="360" w:lineRule="auto"/>
        <w:rPr>
          <w:i/>
          <w:iCs/>
        </w:rPr>
      </w:pPr>
      <w:r>
        <w:rPr>
          <w:i/>
          <w:iCs/>
        </w:rPr>
        <w:t xml:space="preserve">Table </w:t>
      </w:r>
      <w:r w:rsidR="007C262D">
        <w:rPr>
          <w:i/>
          <w:iCs/>
        </w:rPr>
        <w:t>2</w:t>
      </w:r>
      <w:r>
        <w:rPr>
          <w:i/>
          <w:iCs/>
        </w:rPr>
        <w:t xml:space="preserve">: Created by Hughes (2026), using Word. </w:t>
      </w:r>
    </w:p>
    <w:p w14:paraId="06D70AA3" w14:textId="77777777" w:rsidR="00921ED7" w:rsidRPr="00921ED7" w:rsidRDefault="00921ED7" w:rsidP="009231B3">
      <w:pPr>
        <w:spacing w:line="360" w:lineRule="auto"/>
        <w:jc w:val="both"/>
      </w:pPr>
      <w:bookmarkStart w:id="32" w:name="_ai42matcwkr6" w:colFirst="0" w:colLast="0"/>
      <w:bookmarkEnd w:id="32"/>
      <w:r w:rsidRPr="00921ED7">
        <w:t xml:space="preserve">A stakeholder analysis identifies the factors that are driving the proposed change from self-employment to an employed workforce. Zwank </w:t>
      </w:r>
      <w:r w:rsidRPr="009231B3">
        <w:rPr>
          <w:i/>
          <w:iCs/>
        </w:rPr>
        <w:t>et al</w:t>
      </w:r>
      <w:r w:rsidRPr="00921ED7">
        <w:t>. (2023) show that organisational change creates competing fairness expectations, which implies that decisions made on commercial grounds can still be perceived as unfair.</w:t>
      </w:r>
    </w:p>
    <w:p w14:paraId="02BFB728" w14:textId="77777777" w:rsidR="00921ED7" w:rsidRDefault="00921ED7" w:rsidP="009231B3">
      <w:pPr>
        <w:spacing w:line="360" w:lineRule="auto"/>
        <w:jc w:val="both"/>
      </w:pPr>
      <w:r w:rsidRPr="00921ED7">
        <w:t xml:space="preserve">The future employees may like structure in development and job security but need clarity about their responsibilities, what performance they are expected to deliver and how they will develop (Al-Rakabi et al., 2026). Clients do not have decision-making power but they do have influence through retention, recommendations and complaints so continuity of care is important (Khatri </w:t>
      </w:r>
      <w:r w:rsidRPr="009231B3">
        <w:rPr>
          <w:i/>
          <w:iCs/>
        </w:rPr>
        <w:t>et al</w:t>
      </w:r>
      <w:r w:rsidRPr="00921ED7">
        <w:t xml:space="preserve">., 2023). Professional bodies, insurers and regulatory authorities also influence qualification requirements, clinical competence and operational compliance (Gershuni </w:t>
      </w:r>
      <w:r w:rsidRPr="009231B3">
        <w:rPr>
          <w:i/>
          <w:iCs/>
        </w:rPr>
        <w:t>et al</w:t>
      </w:r>
      <w:r w:rsidRPr="00921ED7">
        <w:t>., 2023).</w:t>
      </w:r>
    </w:p>
    <w:p w14:paraId="01B190C5" w14:textId="77777777" w:rsidR="009231B3" w:rsidRPr="00921ED7" w:rsidRDefault="009231B3" w:rsidP="009231B3">
      <w:pPr>
        <w:spacing w:line="360" w:lineRule="auto"/>
        <w:jc w:val="both"/>
      </w:pPr>
    </w:p>
    <w:p w14:paraId="61C97AEE" w14:textId="3FE0081D" w:rsidR="009231B3" w:rsidRDefault="00921ED7" w:rsidP="009231B3">
      <w:pPr>
        <w:spacing w:line="360" w:lineRule="auto"/>
        <w:jc w:val="both"/>
      </w:pPr>
      <w:r w:rsidRPr="00921ED7">
        <w:t xml:space="preserve">Sahay and Goldthwaite (2024) challenge the assumption that participation will lead to less </w:t>
      </w:r>
      <w:r w:rsidR="009231B3" w:rsidRPr="00921ED7">
        <w:t>resistance and</w:t>
      </w:r>
      <w:r w:rsidRPr="00921ED7">
        <w:t xml:space="preserve"> note the contradictory expectations of stakeholders in a change process. Similarly, Morrison (2023) presents the benefits of employee voice, arguing that consultation should not just be a process of informing about decisions taken before, but a real opportunity to influence implementation</w:t>
      </w:r>
      <w:r w:rsidR="009231B3">
        <w:t xml:space="preserve">. </w:t>
      </w:r>
    </w:p>
    <w:p w14:paraId="168FFF76" w14:textId="77777777" w:rsidR="009231B3" w:rsidRDefault="009231B3" w:rsidP="009231B3">
      <w:pPr>
        <w:spacing w:line="360" w:lineRule="auto"/>
        <w:jc w:val="both"/>
      </w:pPr>
    </w:p>
    <w:p w14:paraId="75E46F1E" w14:textId="2869114D" w:rsidR="009231B3" w:rsidRDefault="00921ED7" w:rsidP="009231B3">
      <w:pPr>
        <w:spacing w:line="360" w:lineRule="auto"/>
        <w:jc w:val="both"/>
      </w:pPr>
      <w:r w:rsidRPr="00921ED7">
        <w:t xml:space="preserve">Therefore, the employment model should aim to balance the commercial objectives with professional accountability, fairness and stakeholder confidence. However, the owner’s dual role as </w:t>
      </w:r>
      <w:r w:rsidR="009231B3" w:rsidRPr="00921ED7">
        <w:t>decisionmaker</w:t>
      </w:r>
      <w:r w:rsidRPr="00921ED7">
        <w:t xml:space="preserve"> and stakeholder with financial exposure may lead to potential bias in the prioritisation of interests (Ciriello </w:t>
      </w:r>
      <w:r w:rsidRPr="009231B3">
        <w:rPr>
          <w:i/>
          <w:iCs/>
        </w:rPr>
        <w:t>et al</w:t>
      </w:r>
      <w:r w:rsidRPr="00921ED7">
        <w:t xml:space="preserve">., 2025). Therefore, there is a need for structured consultation, clear recruitment criteria and regular feedback systems to address uncertainty and facilitate cultural alignment (Amajuoyi </w:t>
      </w:r>
      <w:r w:rsidRPr="009231B3">
        <w:rPr>
          <w:i/>
          <w:iCs/>
        </w:rPr>
        <w:t>et al</w:t>
      </w:r>
      <w:r w:rsidRPr="00921ED7">
        <w:t>., 2024).</w:t>
      </w:r>
    </w:p>
    <w:p w14:paraId="66F24F14" w14:textId="4E2B8043" w:rsidR="000A2285" w:rsidRDefault="00B9150E" w:rsidP="00921ED7">
      <w:pPr>
        <w:pStyle w:val="Heading2"/>
        <w:spacing w:line="360" w:lineRule="auto"/>
      </w:pPr>
      <w:bookmarkStart w:id="33" w:name="_Toc242650076"/>
      <w:r>
        <w:lastRenderedPageBreak/>
        <w:t>6.0 Leading and Implementing The Transition</w:t>
      </w:r>
      <w:bookmarkEnd w:id="33"/>
      <w:r>
        <w:t xml:space="preserve"> </w:t>
      </w:r>
    </w:p>
    <w:p w14:paraId="78D0A055" w14:textId="77777777" w:rsidR="000A2285" w:rsidRDefault="00B9150E" w:rsidP="008917F4">
      <w:pPr>
        <w:spacing w:line="360" w:lineRule="auto"/>
      </w:pPr>
      <w:r>
        <w:t xml:space="preserve">As a leader, it is important to implement change within the organisation to its best ability, seeking selection, evaluation and application into the organisation, as well as leadership and implementation responsibilities (Sott &amp; Bender, 2025). </w:t>
      </w:r>
    </w:p>
    <w:p w14:paraId="76A3D68F" w14:textId="77777777" w:rsidR="000A2285" w:rsidRPr="00B257CC" w:rsidRDefault="00B9150E" w:rsidP="008917F4">
      <w:pPr>
        <w:pStyle w:val="Heading3"/>
        <w:spacing w:line="360" w:lineRule="auto"/>
      </w:pPr>
      <w:bookmarkStart w:id="34" w:name="_czsu3p54bxrn" w:colFirst="0" w:colLast="0"/>
      <w:bookmarkStart w:id="35" w:name="_Toc242650077"/>
      <w:bookmarkEnd w:id="34"/>
      <w:r w:rsidRPr="00B257CC">
        <w:t>6.1 Selection and Evaluation of Change Models</w:t>
      </w:r>
      <w:bookmarkEnd w:id="35"/>
      <w:r w:rsidRPr="00B257CC">
        <w:t xml:space="preserve"> </w:t>
      </w:r>
    </w:p>
    <w:p w14:paraId="066B2B8E" w14:textId="4F511F7B" w:rsidR="000A2285" w:rsidRPr="007C262D" w:rsidRDefault="00B9150E" w:rsidP="008917F4">
      <w:pPr>
        <w:spacing w:line="360" w:lineRule="auto"/>
        <w:rPr>
          <w:b/>
          <w:bCs/>
          <w:i/>
          <w:iCs/>
        </w:rPr>
      </w:pPr>
      <w:r w:rsidRPr="007C262D">
        <w:rPr>
          <w:b/>
          <w:bCs/>
          <w:i/>
          <w:iCs/>
        </w:rPr>
        <w:t xml:space="preserve">Table </w:t>
      </w:r>
      <w:r w:rsidR="007C262D" w:rsidRPr="007C262D">
        <w:rPr>
          <w:b/>
          <w:bCs/>
          <w:i/>
          <w:iCs/>
        </w:rPr>
        <w:t>3</w:t>
      </w:r>
      <w:r w:rsidRPr="007C262D">
        <w:rPr>
          <w:b/>
          <w:bCs/>
          <w:i/>
          <w:iCs/>
        </w:rPr>
        <w:t xml:space="preserve">: Evaluation of change models Kotter (1995), Lewin (1947) and Hiatt (2006). </w:t>
      </w:r>
    </w:p>
    <w:p w14:paraId="5872A6F3" w14:textId="77777777" w:rsidR="000A2285" w:rsidRDefault="000A2285" w:rsidP="008917F4">
      <w:pPr>
        <w:spacing w:line="360" w:lineRule="auto"/>
      </w:pPr>
    </w:p>
    <w:tbl>
      <w:tblPr>
        <w:tblStyle w:val="a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0A2285" w14:paraId="7F69EF7D" w14:textId="77777777">
        <w:tc>
          <w:tcPr>
            <w:tcW w:w="2257" w:type="dxa"/>
            <w:tcMar>
              <w:top w:w="100" w:type="dxa"/>
              <w:left w:w="100" w:type="dxa"/>
              <w:bottom w:w="100" w:type="dxa"/>
              <w:right w:w="100" w:type="dxa"/>
            </w:tcMar>
          </w:tcPr>
          <w:p w14:paraId="417B933E" w14:textId="77777777" w:rsidR="000A2285" w:rsidRDefault="000A2285" w:rsidP="008917F4">
            <w:pPr>
              <w:widowControl w:val="0"/>
              <w:pBdr>
                <w:top w:val="nil"/>
                <w:left w:val="nil"/>
                <w:bottom w:val="nil"/>
                <w:right w:val="nil"/>
                <w:between w:val="nil"/>
              </w:pBdr>
              <w:spacing w:line="360" w:lineRule="auto"/>
            </w:pPr>
          </w:p>
        </w:tc>
        <w:tc>
          <w:tcPr>
            <w:tcW w:w="2257" w:type="dxa"/>
            <w:tcMar>
              <w:top w:w="100" w:type="dxa"/>
              <w:left w:w="100" w:type="dxa"/>
              <w:bottom w:w="100" w:type="dxa"/>
              <w:right w:w="100" w:type="dxa"/>
            </w:tcMar>
          </w:tcPr>
          <w:p w14:paraId="3CCC78A2" w14:textId="77777777" w:rsidR="000A2285" w:rsidRDefault="00B9150E" w:rsidP="008917F4">
            <w:pPr>
              <w:widowControl w:val="0"/>
              <w:spacing w:before="240" w:after="240" w:line="360" w:lineRule="auto"/>
            </w:pPr>
            <w:r>
              <w:t>Kotter (1995)</w:t>
            </w:r>
          </w:p>
          <w:p w14:paraId="0B3CA0CB" w14:textId="77777777" w:rsidR="000A2285" w:rsidRDefault="000A2285" w:rsidP="008917F4">
            <w:pPr>
              <w:widowControl w:val="0"/>
              <w:spacing w:before="240" w:after="240" w:line="360" w:lineRule="auto"/>
            </w:pPr>
          </w:p>
        </w:tc>
        <w:tc>
          <w:tcPr>
            <w:tcW w:w="2257" w:type="dxa"/>
            <w:tcMar>
              <w:top w:w="100" w:type="dxa"/>
              <w:left w:w="100" w:type="dxa"/>
              <w:bottom w:w="100" w:type="dxa"/>
              <w:right w:w="100" w:type="dxa"/>
            </w:tcMar>
          </w:tcPr>
          <w:p w14:paraId="2FF1393B" w14:textId="77777777" w:rsidR="000A2285" w:rsidRDefault="00B9150E" w:rsidP="008917F4">
            <w:pPr>
              <w:widowControl w:val="0"/>
              <w:spacing w:before="240" w:after="240" w:line="360" w:lineRule="auto"/>
            </w:pPr>
            <w:r>
              <w:t>Lewin (1947)</w:t>
            </w:r>
          </w:p>
          <w:p w14:paraId="542D49B9" w14:textId="77777777" w:rsidR="000A2285" w:rsidRDefault="000A2285" w:rsidP="008917F4">
            <w:pPr>
              <w:widowControl w:val="0"/>
              <w:spacing w:before="240" w:after="240" w:line="360" w:lineRule="auto"/>
            </w:pPr>
          </w:p>
        </w:tc>
        <w:tc>
          <w:tcPr>
            <w:tcW w:w="2257" w:type="dxa"/>
            <w:tcMar>
              <w:top w:w="100" w:type="dxa"/>
              <w:left w:w="100" w:type="dxa"/>
              <w:bottom w:w="100" w:type="dxa"/>
              <w:right w:w="100" w:type="dxa"/>
            </w:tcMar>
          </w:tcPr>
          <w:p w14:paraId="68722E5F" w14:textId="77777777" w:rsidR="000A2285" w:rsidRDefault="00B9150E" w:rsidP="008917F4">
            <w:pPr>
              <w:widowControl w:val="0"/>
              <w:spacing w:before="240" w:after="240" w:line="360" w:lineRule="auto"/>
            </w:pPr>
            <w:r>
              <w:t>Hiatt (2006)</w:t>
            </w:r>
          </w:p>
        </w:tc>
      </w:tr>
      <w:tr w:rsidR="000A2285" w14:paraId="483D9441" w14:textId="77777777">
        <w:tc>
          <w:tcPr>
            <w:tcW w:w="2257" w:type="dxa"/>
            <w:tcMar>
              <w:top w:w="100" w:type="dxa"/>
              <w:left w:w="100" w:type="dxa"/>
              <w:bottom w:w="100" w:type="dxa"/>
              <w:right w:w="100" w:type="dxa"/>
            </w:tcMar>
          </w:tcPr>
          <w:p w14:paraId="1E158DB7" w14:textId="77777777" w:rsidR="000A2285" w:rsidRDefault="00B9150E" w:rsidP="008917F4">
            <w:pPr>
              <w:widowControl w:val="0"/>
              <w:spacing w:before="240" w:after="240" w:line="360" w:lineRule="auto"/>
            </w:pPr>
            <w:r>
              <w:t>Framework</w:t>
            </w:r>
          </w:p>
          <w:p w14:paraId="3BEA7056" w14:textId="77777777" w:rsidR="000A2285" w:rsidRDefault="000A2285" w:rsidP="008917F4">
            <w:pPr>
              <w:widowControl w:val="0"/>
              <w:spacing w:before="240" w:after="240" w:line="360" w:lineRule="auto"/>
            </w:pPr>
          </w:p>
        </w:tc>
        <w:tc>
          <w:tcPr>
            <w:tcW w:w="2257" w:type="dxa"/>
            <w:tcMar>
              <w:top w:w="100" w:type="dxa"/>
              <w:left w:w="100" w:type="dxa"/>
              <w:bottom w:w="100" w:type="dxa"/>
              <w:right w:w="100" w:type="dxa"/>
            </w:tcMar>
          </w:tcPr>
          <w:p w14:paraId="2BE45854" w14:textId="77777777" w:rsidR="000A2285" w:rsidRDefault="00B9150E" w:rsidP="008917F4">
            <w:pPr>
              <w:widowControl w:val="0"/>
              <w:spacing w:before="240" w:after="240" w:line="360" w:lineRule="auto"/>
            </w:pPr>
            <w:r>
              <w:t>Eight-step change model</w:t>
            </w:r>
          </w:p>
          <w:p w14:paraId="721D541F" w14:textId="77777777" w:rsidR="000A2285" w:rsidRDefault="000A2285" w:rsidP="008917F4">
            <w:pPr>
              <w:widowControl w:val="0"/>
              <w:pBdr>
                <w:top w:val="nil"/>
                <w:left w:val="nil"/>
                <w:bottom w:val="nil"/>
                <w:right w:val="nil"/>
                <w:between w:val="nil"/>
              </w:pBdr>
              <w:spacing w:line="360" w:lineRule="auto"/>
            </w:pPr>
          </w:p>
        </w:tc>
        <w:tc>
          <w:tcPr>
            <w:tcW w:w="2257" w:type="dxa"/>
            <w:tcMar>
              <w:top w:w="100" w:type="dxa"/>
              <w:left w:w="100" w:type="dxa"/>
              <w:bottom w:w="100" w:type="dxa"/>
              <w:right w:w="100" w:type="dxa"/>
            </w:tcMar>
          </w:tcPr>
          <w:p w14:paraId="6A311FA5" w14:textId="77777777" w:rsidR="000A2285" w:rsidRDefault="00B9150E" w:rsidP="008917F4">
            <w:pPr>
              <w:widowControl w:val="0"/>
              <w:spacing w:before="240" w:after="240" w:line="360" w:lineRule="auto"/>
            </w:pPr>
            <w:r>
              <w:t>Unfreeze, change, refreeze</w:t>
            </w:r>
          </w:p>
          <w:p w14:paraId="7997FCD7" w14:textId="77777777" w:rsidR="000A2285" w:rsidRDefault="000A2285" w:rsidP="008917F4">
            <w:pPr>
              <w:widowControl w:val="0"/>
              <w:pBdr>
                <w:top w:val="nil"/>
                <w:left w:val="nil"/>
                <w:bottom w:val="nil"/>
                <w:right w:val="nil"/>
                <w:between w:val="nil"/>
              </w:pBdr>
              <w:spacing w:line="360" w:lineRule="auto"/>
            </w:pPr>
          </w:p>
        </w:tc>
        <w:tc>
          <w:tcPr>
            <w:tcW w:w="2257" w:type="dxa"/>
            <w:tcMar>
              <w:top w:w="100" w:type="dxa"/>
              <w:left w:w="100" w:type="dxa"/>
              <w:bottom w:w="100" w:type="dxa"/>
              <w:right w:w="100" w:type="dxa"/>
            </w:tcMar>
          </w:tcPr>
          <w:p w14:paraId="56CBC6A1" w14:textId="77777777" w:rsidR="000A2285" w:rsidRDefault="00B9150E" w:rsidP="008917F4">
            <w:pPr>
              <w:widowControl w:val="0"/>
              <w:spacing w:before="240" w:after="240" w:line="360" w:lineRule="auto"/>
            </w:pPr>
            <w:r>
              <w:t>Awareness, desire, knowledge, ability, reinforcement</w:t>
            </w:r>
          </w:p>
          <w:p w14:paraId="628FF883" w14:textId="77777777" w:rsidR="000A2285" w:rsidRDefault="000A2285" w:rsidP="008917F4">
            <w:pPr>
              <w:widowControl w:val="0"/>
              <w:pBdr>
                <w:top w:val="nil"/>
                <w:left w:val="nil"/>
                <w:bottom w:val="nil"/>
                <w:right w:val="nil"/>
                <w:between w:val="nil"/>
              </w:pBdr>
              <w:spacing w:line="360" w:lineRule="auto"/>
            </w:pPr>
          </w:p>
        </w:tc>
      </w:tr>
      <w:tr w:rsidR="000A2285" w14:paraId="70652C61" w14:textId="77777777">
        <w:tc>
          <w:tcPr>
            <w:tcW w:w="2257" w:type="dxa"/>
            <w:tcMar>
              <w:top w:w="100" w:type="dxa"/>
              <w:left w:w="100" w:type="dxa"/>
              <w:bottom w:w="100" w:type="dxa"/>
              <w:right w:w="100" w:type="dxa"/>
            </w:tcMar>
          </w:tcPr>
          <w:p w14:paraId="7D6D5335" w14:textId="77777777" w:rsidR="000A2285" w:rsidRDefault="00B9150E" w:rsidP="008917F4">
            <w:pPr>
              <w:widowControl w:val="0"/>
              <w:spacing w:before="240" w:after="240" w:line="360" w:lineRule="auto"/>
            </w:pPr>
            <w:r>
              <w:t>Main focus</w:t>
            </w:r>
          </w:p>
          <w:p w14:paraId="661E1109" w14:textId="77777777" w:rsidR="000A2285" w:rsidRDefault="000A2285" w:rsidP="008917F4">
            <w:pPr>
              <w:widowControl w:val="0"/>
              <w:spacing w:before="240" w:after="240" w:line="360" w:lineRule="auto"/>
            </w:pPr>
          </w:p>
        </w:tc>
        <w:tc>
          <w:tcPr>
            <w:tcW w:w="2257" w:type="dxa"/>
            <w:tcMar>
              <w:top w:w="100" w:type="dxa"/>
              <w:left w:w="100" w:type="dxa"/>
              <w:bottom w:w="100" w:type="dxa"/>
              <w:right w:w="100" w:type="dxa"/>
            </w:tcMar>
          </w:tcPr>
          <w:p w14:paraId="2A807EFB" w14:textId="77777777" w:rsidR="000A2285" w:rsidRDefault="00B9150E" w:rsidP="008917F4">
            <w:pPr>
              <w:widowControl w:val="0"/>
              <w:spacing w:before="240" w:after="240" w:line="360" w:lineRule="auto"/>
            </w:pPr>
            <w:r>
              <w:t>Leading organisational transformation</w:t>
            </w:r>
          </w:p>
          <w:p w14:paraId="1E942E90" w14:textId="77777777" w:rsidR="000A2285" w:rsidRDefault="000A2285" w:rsidP="008917F4">
            <w:pPr>
              <w:widowControl w:val="0"/>
              <w:spacing w:before="240" w:after="240" w:line="360" w:lineRule="auto"/>
            </w:pPr>
          </w:p>
        </w:tc>
        <w:tc>
          <w:tcPr>
            <w:tcW w:w="2257" w:type="dxa"/>
            <w:tcMar>
              <w:top w:w="100" w:type="dxa"/>
              <w:left w:w="100" w:type="dxa"/>
              <w:bottom w:w="100" w:type="dxa"/>
              <w:right w:w="100" w:type="dxa"/>
            </w:tcMar>
          </w:tcPr>
          <w:p w14:paraId="35CB19D0" w14:textId="77777777" w:rsidR="000A2285" w:rsidRDefault="00B9150E" w:rsidP="008917F4">
            <w:pPr>
              <w:widowControl w:val="0"/>
              <w:spacing w:before="240" w:after="240" w:line="360" w:lineRule="auto"/>
            </w:pPr>
            <w:r>
              <w:t>Preparing for, implementing and stabilising change</w:t>
            </w:r>
          </w:p>
          <w:p w14:paraId="4BAA0FB0" w14:textId="77777777" w:rsidR="000A2285" w:rsidRDefault="000A2285" w:rsidP="008917F4">
            <w:pPr>
              <w:widowControl w:val="0"/>
              <w:spacing w:before="240" w:after="240" w:line="360" w:lineRule="auto"/>
            </w:pPr>
          </w:p>
        </w:tc>
        <w:tc>
          <w:tcPr>
            <w:tcW w:w="2257" w:type="dxa"/>
            <w:tcMar>
              <w:top w:w="100" w:type="dxa"/>
              <w:left w:w="100" w:type="dxa"/>
              <w:bottom w:w="100" w:type="dxa"/>
              <w:right w:w="100" w:type="dxa"/>
            </w:tcMar>
          </w:tcPr>
          <w:p w14:paraId="5628A595" w14:textId="77777777" w:rsidR="000A2285" w:rsidRDefault="00B9150E" w:rsidP="008917F4">
            <w:pPr>
              <w:widowControl w:val="0"/>
              <w:spacing w:before="240" w:after="240" w:line="360" w:lineRule="auto"/>
            </w:pPr>
            <w:r>
              <w:t>Supporting individual change</w:t>
            </w:r>
          </w:p>
        </w:tc>
      </w:tr>
      <w:tr w:rsidR="000A2285" w14:paraId="710A8342" w14:textId="77777777">
        <w:tc>
          <w:tcPr>
            <w:tcW w:w="2257" w:type="dxa"/>
            <w:tcMar>
              <w:top w:w="100" w:type="dxa"/>
              <w:left w:w="100" w:type="dxa"/>
              <w:bottom w:w="100" w:type="dxa"/>
              <w:right w:w="100" w:type="dxa"/>
            </w:tcMar>
          </w:tcPr>
          <w:p w14:paraId="74646A9D" w14:textId="77777777" w:rsidR="000A2285" w:rsidRDefault="00B9150E" w:rsidP="008917F4">
            <w:pPr>
              <w:widowControl w:val="0"/>
              <w:spacing w:before="240" w:after="240" w:line="360" w:lineRule="auto"/>
            </w:pPr>
            <w:r>
              <w:t>Strength</w:t>
            </w:r>
          </w:p>
          <w:p w14:paraId="4B5B0019" w14:textId="77777777" w:rsidR="000A2285" w:rsidRDefault="000A2285" w:rsidP="008917F4">
            <w:pPr>
              <w:widowControl w:val="0"/>
              <w:spacing w:before="240" w:after="240" w:line="360" w:lineRule="auto"/>
            </w:pPr>
          </w:p>
          <w:p w14:paraId="7D1F8AAE" w14:textId="77777777" w:rsidR="000A2285" w:rsidRDefault="000A2285" w:rsidP="008917F4">
            <w:pPr>
              <w:widowControl w:val="0"/>
              <w:spacing w:before="240" w:after="240" w:line="360" w:lineRule="auto"/>
            </w:pPr>
          </w:p>
          <w:p w14:paraId="3E183FFB" w14:textId="77777777" w:rsidR="000A2285" w:rsidRDefault="000A2285" w:rsidP="008917F4">
            <w:pPr>
              <w:widowControl w:val="0"/>
              <w:pBdr>
                <w:top w:val="nil"/>
                <w:left w:val="nil"/>
                <w:bottom w:val="nil"/>
                <w:right w:val="nil"/>
                <w:between w:val="nil"/>
              </w:pBdr>
              <w:spacing w:line="360" w:lineRule="auto"/>
            </w:pPr>
          </w:p>
        </w:tc>
        <w:tc>
          <w:tcPr>
            <w:tcW w:w="2257" w:type="dxa"/>
            <w:tcMar>
              <w:top w:w="100" w:type="dxa"/>
              <w:left w:w="100" w:type="dxa"/>
              <w:bottom w:w="100" w:type="dxa"/>
              <w:right w:w="100" w:type="dxa"/>
            </w:tcMar>
          </w:tcPr>
          <w:p w14:paraId="435B42F2" w14:textId="77777777" w:rsidR="000A2285" w:rsidRDefault="00B9150E" w:rsidP="008917F4">
            <w:pPr>
              <w:widowControl w:val="0"/>
              <w:spacing w:before="240" w:after="240" w:line="360" w:lineRule="auto"/>
            </w:pPr>
            <w:r>
              <w:t>Detailed leadership and implementation stages</w:t>
            </w:r>
          </w:p>
          <w:p w14:paraId="1F2411B0" w14:textId="77777777" w:rsidR="000A2285" w:rsidRDefault="000A2285" w:rsidP="008917F4">
            <w:pPr>
              <w:widowControl w:val="0"/>
              <w:pBdr>
                <w:top w:val="nil"/>
                <w:left w:val="nil"/>
                <w:bottom w:val="nil"/>
                <w:right w:val="nil"/>
                <w:between w:val="nil"/>
              </w:pBdr>
              <w:spacing w:line="360" w:lineRule="auto"/>
            </w:pPr>
          </w:p>
        </w:tc>
        <w:tc>
          <w:tcPr>
            <w:tcW w:w="2257" w:type="dxa"/>
            <w:tcMar>
              <w:top w:w="100" w:type="dxa"/>
              <w:left w:w="100" w:type="dxa"/>
              <w:bottom w:w="100" w:type="dxa"/>
              <w:right w:w="100" w:type="dxa"/>
            </w:tcMar>
          </w:tcPr>
          <w:p w14:paraId="45C74343" w14:textId="77777777" w:rsidR="000A2285" w:rsidRDefault="00B9150E" w:rsidP="008917F4">
            <w:pPr>
              <w:widowControl w:val="0"/>
              <w:spacing w:before="240" w:after="240" w:line="360" w:lineRule="auto"/>
            </w:pPr>
            <w:r>
              <w:t>Simple and proportionate to a small business</w:t>
            </w:r>
          </w:p>
          <w:p w14:paraId="086C2F45" w14:textId="77777777" w:rsidR="000A2285" w:rsidRDefault="000A2285" w:rsidP="008917F4">
            <w:pPr>
              <w:widowControl w:val="0"/>
              <w:pBdr>
                <w:top w:val="nil"/>
                <w:left w:val="nil"/>
                <w:bottom w:val="nil"/>
                <w:right w:val="nil"/>
                <w:between w:val="nil"/>
              </w:pBdr>
              <w:spacing w:line="360" w:lineRule="auto"/>
            </w:pPr>
          </w:p>
        </w:tc>
        <w:tc>
          <w:tcPr>
            <w:tcW w:w="2257" w:type="dxa"/>
            <w:tcMar>
              <w:top w:w="100" w:type="dxa"/>
              <w:left w:w="100" w:type="dxa"/>
              <w:bottom w:w="100" w:type="dxa"/>
              <w:right w:w="100" w:type="dxa"/>
            </w:tcMar>
          </w:tcPr>
          <w:p w14:paraId="395E19F2" w14:textId="77777777" w:rsidR="000A2285" w:rsidRDefault="00B9150E" w:rsidP="008917F4">
            <w:pPr>
              <w:widowControl w:val="0"/>
              <w:spacing w:before="240" w:after="240" w:line="360" w:lineRule="auto"/>
            </w:pPr>
            <w:r>
              <w:t>Recognises individual readiness and development needs</w:t>
            </w:r>
          </w:p>
          <w:p w14:paraId="6A163560" w14:textId="77777777" w:rsidR="000A2285" w:rsidRDefault="000A2285" w:rsidP="008917F4">
            <w:pPr>
              <w:widowControl w:val="0"/>
              <w:pBdr>
                <w:top w:val="nil"/>
                <w:left w:val="nil"/>
                <w:bottom w:val="nil"/>
                <w:right w:val="nil"/>
                <w:between w:val="nil"/>
              </w:pBdr>
              <w:spacing w:line="360" w:lineRule="auto"/>
            </w:pPr>
          </w:p>
        </w:tc>
      </w:tr>
      <w:tr w:rsidR="000A2285" w14:paraId="482FA9B4" w14:textId="77777777">
        <w:tc>
          <w:tcPr>
            <w:tcW w:w="2257" w:type="dxa"/>
            <w:tcMar>
              <w:top w:w="100" w:type="dxa"/>
              <w:left w:w="100" w:type="dxa"/>
              <w:bottom w:w="100" w:type="dxa"/>
              <w:right w:w="100" w:type="dxa"/>
            </w:tcMar>
          </w:tcPr>
          <w:p w14:paraId="3B5A5D95" w14:textId="77777777" w:rsidR="000A2285" w:rsidRDefault="00B9150E" w:rsidP="008917F4">
            <w:pPr>
              <w:widowControl w:val="0"/>
              <w:spacing w:before="240" w:after="240" w:line="360" w:lineRule="auto"/>
            </w:pPr>
            <w:r>
              <w:t>Limitation</w:t>
            </w:r>
          </w:p>
          <w:p w14:paraId="14C4F878" w14:textId="77777777" w:rsidR="000A2285" w:rsidRDefault="000A2285" w:rsidP="008917F4">
            <w:pPr>
              <w:widowControl w:val="0"/>
              <w:spacing w:before="240" w:after="240" w:line="360" w:lineRule="auto"/>
            </w:pPr>
          </w:p>
        </w:tc>
        <w:tc>
          <w:tcPr>
            <w:tcW w:w="2257" w:type="dxa"/>
            <w:tcMar>
              <w:top w:w="100" w:type="dxa"/>
              <w:left w:w="100" w:type="dxa"/>
              <w:bottom w:w="100" w:type="dxa"/>
              <w:right w:w="100" w:type="dxa"/>
            </w:tcMar>
          </w:tcPr>
          <w:p w14:paraId="637CD72D" w14:textId="77777777" w:rsidR="000A2285" w:rsidRDefault="00B9150E" w:rsidP="008917F4">
            <w:pPr>
              <w:widowControl w:val="0"/>
              <w:spacing w:before="240" w:after="240" w:line="360" w:lineRule="auto"/>
            </w:pPr>
            <w:r>
              <w:lastRenderedPageBreak/>
              <w:t>Potentially complex and resource-</w:t>
            </w:r>
            <w:r>
              <w:lastRenderedPageBreak/>
              <w:t>intensive</w:t>
            </w:r>
          </w:p>
          <w:p w14:paraId="4757D368" w14:textId="77777777" w:rsidR="000A2285" w:rsidRDefault="000A2285" w:rsidP="008917F4">
            <w:pPr>
              <w:widowControl w:val="0"/>
              <w:spacing w:before="240" w:after="240" w:line="360" w:lineRule="auto"/>
            </w:pPr>
          </w:p>
        </w:tc>
        <w:tc>
          <w:tcPr>
            <w:tcW w:w="2257" w:type="dxa"/>
            <w:tcMar>
              <w:top w:w="100" w:type="dxa"/>
              <w:left w:w="100" w:type="dxa"/>
              <w:bottom w:w="100" w:type="dxa"/>
              <w:right w:w="100" w:type="dxa"/>
            </w:tcMar>
          </w:tcPr>
          <w:p w14:paraId="0F561281" w14:textId="77777777" w:rsidR="000A2285" w:rsidRDefault="00B9150E" w:rsidP="008917F4">
            <w:pPr>
              <w:widowControl w:val="0"/>
              <w:spacing w:before="240" w:after="240" w:line="360" w:lineRule="auto"/>
            </w:pPr>
            <w:r>
              <w:lastRenderedPageBreak/>
              <w:t xml:space="preserve">May oversimplify ongoing </w:t>
            </w:r>
            <w:r>
              <w:lastRenderedPageBreak/>
              <w:t>organisational change</w:t>
            </w:r>
          </w:p>
          <w:p w14:paraId="74108A8B" w14:textId="77777777" w:rsidR="000A2285" w:rsidRDefault="000A2285" w:rsidP="008917F4">
            <w:pPr>
              <w:widowControl w:val="0"/>
              <w:spacing w:before="240" w:after="240" w:line="360" w:lineRule="auto"/>
            </w:pPr>
          </w:p>
        </w:tc>
        <w:tc>
          <w:tcPr>
            <w:tcW w:w="2257" w:type="dxa"/>
            <w:tcMar>
              <w:top w:w="100" w:type="dxa"/>
              <w:left w:w="100" w:type="dxa"/>
              <w:bottom w:w="100" w:type="dxa"/>
              <w:right w:w="100" w:type="dxa"/>
            </w:tcMar>
          </w:tcPr>
          <w:p w14:paraId="399FF2BA" w14:textId="77777777" w:rsidR="000A2285" w:rsidRDefault="00B9150E" w:rsidP="008917F4">
            <w:pPr>
              <w:widowControl w:val="0"/>
              <w:spacing w:before="240" w:after="240" w:line="360" w:lineRule="auto"/>
            </w:pPr>
            <w:r>
              <w:lastRenderedPageBreak/>
              <w:t xml:space="preserve">Less detailed organisational </w:t>
            </w:r>
            <w:r>
              <w:lastRenderedPageBreak/>
              <w:t>planning</w:t>
            </w:r>
          </w:p>
        </w:tc>
      </w:tr>
      <w:tr w:rsidR="000A2285" w14:paraId="29634D5B" w14:textId="77777777">
        <w:tc>
          <w:tcPr>
            <w:tcW w:w="2257" w:type="dxa"/>
            <w:tcMar>
              <w:top w:w="100" w:type="dxa"/>
              <w:left w:w="100" w:type="dxa"/>
              <w:bottom w:w="100" w:type="dxa"/>
              <w:right w:w="100" w:type="dxa"/>
            </w:tcMar>
          </w:tcPr>
          <w:p w14:paraId="678E39F3" w14:textId="77777777" w:rsidR="000A2285" w:rsidRDefault="00B9150E" w:rsidP="008917F4">
            <w:pPr>
              <w:widowControl w:val="0"/>
              <w:spacing w:line="360" w:lineRule="auto"/>
            </w:pPr>
            <w:r>
              <w:lastRenderedPageBreak/>
              <w:t xml:space="preserve">Application to salon </w:t>
            </w:r>
          </w:p>
        </w:tc>
        <w:tc>
          <w:tcPr>
            <w:tcW w:w="2257" w:type="dxa"/>
            <w:tcMar>
              <w:top w:w="100" w:type="dxa"/>
              <w:left w:w="100" w:type="dxa"/>
              <w:bottom w:w="100" w:type="dxa"/>
              <w:right w:w="100" w:type="dxa"/>
            </w:tcMar>
          </w:tcPr>
          <w:p w14:paraId="56521E21" w14:textId="77777777" w:rsidR="000A2285" w:rsidRDefault="00B9150E" w:rsidP="008917F4">
            <w:pPr>
              <w:widowControl w:val="0"/>
              <w:spacing w:line="360" w:lineRule="auto"/>
            </w:pPr>
            <w:r>
              <w:t xml:space="preserve">Recruitment, communication, induction, responsibilities and culture </w:t>
            </w:r>
          </w:p>
        </w:tc>
        <w:tc>
          <w:tcPr>
            <w:tcW w:w="2257" w:type="dxa"/>
            <w:tcMar>
              <w:top w:w="100" w:type="dxa"/>
              <w:left w:w="100" w:type="dxa"/>
              <w:bottom w:w="100" w:type="dxa"/>
              <w:right w:w="100" w:type="dxa"/>
            </w:tcMar>
          </w:tcPr>
          <w:p w14:paraId="275AC5AF" w14:textId="77777777" w:rsidR="000A2285" w:rsidRDefault="00B9150E" w:rsidP="008917F4">
            <w:pPr>
              <w:widowControl w:val="0"/>
              <w:spacing w:line="360" w:lineRule="auto"/>
            </w:pPr>
            <w:r>
              <w:t xml:space="preserve">Moving from self-employment to a stable employment structure </w:t>
            </w:r>
          </w:p>
        </w:tc>
        <w:tc>
          <w:tcPr>
            <w:tcW w:w="2257" w:type="dxa"/>
            <w:tcMar>
              <w:top w:w="100" w:type="dxa"/>
              <w:left w:w="100" w:type="dxa"/>
              <w:bottom w:w="100" w:type="dxa"/>
              <w:right w:w="100" w:type="dxa"/>
            </w:tcMar>
          </w:tcPr>
          <w:p w14:paraId="605EA16A" w14:textId="18CE300A" w:rsidR="000A2285" w:rsidRDefault="00B9150E" w:rsidP="008917F4">
            <w:pPr>
              <w:widowControl w:val="0"/>
              <w:spacing w:line="360" w:lineRule="auto"/>
            </w:pPr>
            <w:r>
              <w:t>Devel</w:t>
            </w:r>
            <w:r w:rsidR="006B7EA3">
              <w:t>o</w:t>
            </w:r>
            <w:r>
              <w:t>ping staff confidence, competence and commitment</w:t>
            </w:r>
          </w:p>
        </w:tc>
      </w:tr>
    </w:tbl>
    <w:p w14:paraId="619B5A79" w14:textId="77777777" w:rsidR="000A2285" w:rsidRDefault="000A2285" w:rsidP="008917F4">
      <w:pPr>
        <w:spacing w:line="360" w:lineRule="auto"/>
      </w:pPr>
    </w:p>
    <w:p w14:paraId="1FEAB990" w14:textId="056383AE" w:rsidR="000A2285" w:rsidRDefault="00B9150E" w:rsidP="008917F4">
      <w:pPr>
        <w:spacing w:line="360" w:lineRule="auto"/>
        <w:rPr>
          <w:i/>
          <w:iCs/>
        </w:rPr>
      </w:pPr>
      <w:r>
        <w:rPr>
          <w:i/>
          <w:iCs/>
        </w:rPr>
        <w:t xml:space="preserve">Table </w:t>
      </w:r>
      <w:r w:rsidR="007C262D">
        <w:rPr>
          <w:i/>
          <w:iCs/>
        </w:rPr>
        <w:t>3</w:t>
      </w:r>
      <w:r>
        <w:rPr>
          <w:i/>
          <w:iCs/>
        </w:rPr>
        <w:t xml:space="preserve">: Created by Hughes (2026), using Word. </w:t>
      </w:r>
    </w:p>
    <w:p w14:paraId="70C7BF3C" w14:textId="77777777" w:rsidR="003D0607" w:rsidRDefault="003D0607" w:rsidP="008917F4">
      <w:pPr>
        <w:spacing w:line="360" w:lineRule="auto"/>
        <w:rPr>
          <w:i/>
          <w:iCs/>
        </w:rPr>
      </w:pPr>
    </w:p>
    <w:p w14:paraId="15B57392" w14:textId="6A172A5B" w:rsidR="003D0607" w:rsidRDefault="003D0607" w:rsidP="003D0607">
      <w:pPr>
        <w:spacing w:line="360" w:lineRule="auto"/>
        <w:jc w:val="both"/>
      </w:pPr>
      <w:bookmarkStart w:id="36" w:name="_kfilncjj430" w:colFirst="0" w:colLast="0"/>
      <w:bookmarkEnd w:id="36"/>
      <w:r w:rsidRPr="003D0607">
        <w:t xml:space="preserve">The choice of the most appropriate change management model is important in facilitating the move from self-employed practitioners to an employed workforce. Kotter’s eight step model (1995) is a systematic approach to organisational change including leadership, communication, employee engagement and embedding of new practices. However, the sequential structure of the latter can </w:t>
      </w:r>
      <w:r w:rsidR="00814626">
        <w:t>add complication</w:t>
      </w:r>
      <w:r w:rsidRPr="003D0607">
        <w:t xml:space="preserve"> in a small organi</w:t>
      </w:r>
      <w:r>
        <w:t>s</w:t>
      </w:r>
      <w:r w:rsidRPr="003D0607">
        <w:t>ation run by the owner with limited resources and management capacit</w:t>
      </w:r>
      <w:r w:rsidR="00F62170">
        <w:t>y.</w:t>
      </w:r>
    </w:p>
    <w:p w14:paraId="4CB5B0C5" w14:textId="77777777" w:rsidR="003D0607" w:rsidRPr="003D0607" w:rsidRDefault="003D0607" w:rsidP="003D0607">
      <w:pPr>
        <w:spacing w:line="360" w:lineRule="auto"/>
        <w:jc w:val="both"/>
      </w:pPr>
    </w:p>
    <w:p w14:paraId="6D1F55F8" w14:textId="77777777" w:rsidR="003D0607" w:rsidRDefault="003D0607" w:rsidP="003D0607">
      <w:pPr>
        <w:spacing w:line="360" w:lineRule="auto"/>
        <w:jc w:val="both"/>
      </w:pPr>
      <w:r w:rsidRPr="003D0607">
        <w:t>Conversely, Lewin’s (1947) three stage process of unfreezing, changing and refreezing presents a more simplified model to prepare employees, introduce new working arrangements and create stable organisational practices. The concept may seem limiting in an aesthetics industry that is undergoing changing professional standards and regulatory expectations, but the ease of refreezing may be appropriate for the size of the salon. This requires a balance between organisational stability and ongoing agility.</w:t>
      </w:r>
    </w:p>
    <w:p w14:paraId="3A905307" w14:textId="77777777" w:rsidR="00102A61" w:rsidRPr="003D0607" w:rsidRDefault="00102A61" w:rsidP="003D0607">
      <w:pPr>
        <w:spacing w:line="360" w:lineRule="auto"/>
        <w:jc w:val="both"/>
      </w:pPr>
    </w:p>
    <w:p w14:paraId="6631F231" w14:textId="01BD0027" w:rsidR="003D0607" w:rsidRDefault="003D0607" w:rsidP="003D0607">
      <w:pPr>
        <w:spacing w:line="360" w:lineRule="auto"/>
        <w:jc w:val="both"/>
      </w:pPr>
      <w:r w:rsidRPr="003D0607">
        <w:t>Or Hiatt’s (2006) ADKAR model based on individual readiness through awareness, desire, knowledge, ability and reinforcement. It highlights individual development of employees which is particularly important when introducing employees with different qualifications, experience and professional expectations. But the individual focus provides less guidance on how to integrate the broader organisational and financial responsibilities that accompany employment restructuring.</w:t>
      </w:r>
    </w:p>
    <w:p w14:paraId="24086E70" w14:textId="77777777" w:rsidR="00F62170" w:rsidRPr="003D0607" w:rsidRDefault="00F62170" w:rsidP="003D0607">
      <w:pPr>
        <w:spacing w:line="360" w:lineRule="auto"/>
        <w:jc w:val="both"/>
      </w:pPr>
    </w:p>
    <w:p w14:paraId="0A706EDC" w14:textId="1658DB45" w:rsidR="003D0607" w:rsidRDefault="003D0607" w:rsidP="003D0607">
      <w:pPr>
        <w:spacing w:line="360" w:lineRule="auto"/>
        <w:jc w:val="both"/>
      </w:pPr>
      <w:r w:rsidRPr="003D0607">
        <w:t xml:space="preserve">Thus, the recommended primary implementation framework is Kotter, supplemented by Lewin’s broader transition principles and ADKAR’s focus on individual adoption. However, this </w:t>
      </w:r>
      <w:r w:rsidRPr="003D0607">
        <w:lastRenderedPageBreak/>
        <w:t>joined-up approach has to be proportionate to the size of the organi</w:t>
      </w:r>
      <w:r w:rsidR="00CB0D23">
        <w:t>s</w:t>
      </w:r>
      <w:r w:rsidRPr="003D0607">
        <w:t>ation. Mladenova (2022) distinguishes between organisational capacity and readiness for change and stresses the importance of assessing both resources and motivation. Morrison (2023) also emphasises the importance of employee voice, arguing that successful implementation is contingent on the opportunities for consultation rather than just owner-led decision-making.</w:t>
      </w:r>
      <w:r w:rsidR="00CB0D23">
        <w:t xml:space="preserve"> </w:t>
      </w:r>
      <w:r w:rsidRPr="003D0607">
        <w:t xml:space="preserve">Hence, the proposed approach would adapt Kotter’s stages by means of open communication, </w:t>
      </w:r>
      <w:r w:rsidR="00CB0D23" w:rsidRPr="003D0607">
        <w:t>competences-based</w:t>
      </w:r>
      <w:r w:rsidRPr="003D0607">
        <w:t xml:space="preserve"> recruitment, structured induction, professional development and clearly defined responsibilities. The implementation </w:t>
      </w:r>
      <w:r w:rsidR="00CB0D23">
        <w:t>should</w:t>
      </w:r>
      <w:r w:rsidRPr="003D0607">
        <w:t xml:space="preserve"> be flexible and adjusted according to feedback from employees and performance assessment during transition.</w:t>
      </w:r>
    </w:p>
    <w:p w14:paraId="3BF0034F" w14:textId="12921D08" w:rsidR="000A2285" w:rsidRDefault="00B9150E" w:rsidP="003D0607">
      <w:pPr>
        <w:pStyle w:val="Heading3"/>
        <w:spacing w:line="360" w:lineRule="auto"/>
      </w:pPr>
      <w:bookmarkStart w:id="37" w:name="_Toc242650078"/>
      <w:r>
        <w:t>6.2 Application to the workplace</w:t>
      </w:r>
      <w:bookmarkEnd w:id="37"/>
    </w:p>
    <w:p w14:paraId="445A63E9" w14:textId="1C09F704" w:rsidR="00DD7A2C" w:rsidRDefault="00DD7A2C" w:rsidP="00DD7A2C">
      <w:pPr>
        <w:spacing w:line="360" w:lineRule="auto"/>
        <w:jc w:val="both"/>
      </w:pPr>
      <w:bookmarkStart w:id="38" w:name="_xx8umzdxj94j" w:colFirst="0" w:colLast="0"/>
      <w:bookmarkEnd w:id="38"/>
      <w:r w:rsidRPr="00DD7A2C">
        <w:t>The proposed change will be implemented in three phases and will incorporate Kotter’s (1995) organisational framework, Lewin’s (1947) change principles and Hiatt’s (2006) ADKAR model. The combination of these approaches provides a structure but the degree of success depends on the financial capacity of the organi</w:t>
      </w:r>
      <w:r w:rsidR="003439F4">
        <w:t>s</w:t>
      </w:r>
      <w:r w:rsidRPr="00DD7A2C">
        <w:t>ation, the resources of the leadership and the engagement of the employees.</w:t>
      </w:r>
    </w:p>
    <w:p w14:paraId="11277F60" w14:textId="77777777" w:rsidR="003439F4" w:rsidRPr="00DD7A2C" w:rsidRDefault="003439F4" w:rsidP="00DD7A2C">
      <w:pPr>
        <w:spacing w:line="360" w:lineRule="auto"/>
        <w:jc w:val="both"/>
      </w:pPr>
    </w:p>
    <w:p w14:paraId="5AB7C287" w14:textId="5DA8D269" w:rsidR="00DD7A2C" w:rsidRDefault="00DD7A2C" w:rsidP="00DD7A2C">
      <w:pPr>
        <w:spacing w:line="360" w:lineRule="auto"/>
        <w:jc w:val="both"/>
      </w:pPr>
      <w:r w:rsidRPr="00DD7A2C">
        <w:t>Stage One: Preparation – The owner will explain the reasons for the restructure, collect feedback from practitioners affected and set out clear employment expectations. This is indicative of the awareness and desire components of ADKAR (Hiatt, 2006). The owner shall give written notice and allow adequate time for the self-employed workers to make other arrangements</w:t>
      </w:r>
      <w:r w:rsidR="00155F3B">
        <w:t>, maintaining professionalism</w:t>
      </w:r>
      <w:r w:rsidRPr="00DD7A2C">
        <w:t xml:space="preserve">. </w:t>
      </w:r>
      <w:r w:rsidR="00C93183">
        <w:t xml:space="preserve">Recruitment should involve markers </w:t>
      </w:r>
      <w:r w:rsidR="008E4C09">
        <w:t>focusing on</w:t>
      </w:r>
      <w:r w:rsidRPr="00DD7A2C">
        <w:t xml:space="preserve"> qualifications, experience and professional </w:t>
      </w:r>
      <w:r w:rsidR="00095B38" w:rsidRPr="00DD7A2C">
        <w:t>competence</w:t>
      </w:r>
      <w:r w:rsidR="00155F3B">
        <w:t xml:space="preserve">. </w:t>
      </w:r>
      <w:r w:rsidRPr="00DD7A2C">
        <w:t>consultation has to be genuine, otherwise the consequence of merely communicating pre-formed decisions without regard for stakeholder concerns is loss of trust (Morrison, 2023).</w:t>
      </w:r>
    </w:p>
    <w:p w14:paraId="7B2FDE49" w14:textId="77777777" w:rsidR="00A57E6D" w:rsidRPr="00DD7A2C" w:rsidRDefault="00A57E6D" w:rsidP="00DD7A2C">
      <w:pPr>
        <w:spacing w:line="360" w:lineRule="auto"/>
        <w:jc w:val="both"/>
      </w:pPr>
    </w:p>
    <w:p w14:paraId="56AE8990" w14:textId="17E13597" w:rsidR="00DD7A2C" w:rsidRDefault="00DD7A2C" w:rsidP="00DD7A2C">
      <w:pPr>
        <w:spacing w:line="360" w:lineRule="auto"/>
        <w:jc w:val="both"/>
      </w:pPr>
      <w:r w:rsidRPr="00DD7A2C">
        <w:t xml:space="preserve">Phase Two: Implementation - Once recruited, structured induction and competency assessment will take place and clear responsibilities will be set. </w:t>
      </w:r>
      <w:r w:rsidR="00A57E6D">
        <w:t>Employees</w:t>
      </w:r>
      <w:r w:rsidR="006106B8">
        <w:t xml:space="preserve"> </w:t>
      </w:r>
      <w:r w:rsidRPr="00DD7A2C">
        <w:t>will be suitably trained before independently delivering the treatment to reflect the knowledge and ability elements of ADKAR (Hiatt, 2006). Increasing the size of the workforce does not automatically result in better organisational performance. Poor supervision, vague responsibilities or limited financial resources may threaten the consistency of the services and the expected benefits of the restructuring process (Mladenova, 2022).</w:t>
      </w:r>
    </w:p>
    <w:p w14:paraId="2AAD3101" w14:textId="77777777" w:rsidR="00A57E6D" w:rsidRPr="00DD7A2C" w:rsidRDefault="00A57E6D" w:rsidP="00DD7A2C">
      <w:pPr>
        <w:spacing w:line="360" w:lineRule="auto"/>
        <w:jc w:val="both"/>
      </w:pPr>
    </w:p>
    <w:p w14:paraId="62336D24" w14:textId="66DAD1CB" w:rsidR="00DD7A2C" w:rsidRDefault="00DD7A2C" w:rsidP="00DD7A2C">
      <w:pPr>
        <w:spacing w:line="360" w:lineRule="auto"/>
        <w:jc w:val="both"/>
      </w:pPr>
      <w:r w:rsidRPr="00DD7A2C">
        <w:t xml:space="preserve">Phase Three: embedding change - The final phase will introduce regular staff appraisals, client feedback and continuing professional development to </w:t>
      </w:r>
      <w:r w:rsidR="00246595">
        <w:t>support</w:t>
      </w:r>
      <w:r w:rsidRPr="00DD7A2C">
        <w:t xml:space="preserve"> professional standards and </w:t>
      </w:r>
      <w:r w:rsidRPr="00DD7A2C">
        <w:lastRenderedPageBreak/>
        <w:t xml:space="preserve">organisational values. This is a reinforcement element of ADKAR (Hiatt, 2006). However, it should not </w:t>
      </w:r>
      <w:r w:rsidR="00246595">
        <w:t xml:space="preserve">hinder </w:t>
      </w:r>
      <w:r w:rsidRPr="00DD7A2C">
        <w:t xml:space="preserve">the possibility of adapting to regulatory developments or feedback from employees (Bhati </w:t>
      </w:r>
      <w:r w:rsidRPr="00F86898">
        <w:rPr>
          <w:i/>
          <w:iCs/>
        </w:rPr>
        <w:t>et al</w:t>
      </w:r>
      <w:r w:rsidRPr="00DD7A2C">
        <w:t>., 2023). Therefore</w:t>
      </w:r>
      <w:r w:rsidR="00F86898">
        <w:t>,</w:t>
      </w:r>
      <w:r w:rsidRPr="00DD7A2C">
        <w:t xml:space="preserve"> the implementation should be assessed continuously and not be considered successful merely because new employment arrangements have been created.</w:t>
      </w:r>
    </w:p>
    <w:p w14:paraId="3EAB99DE" w14:textId="414DD6BA" w:rsidR="000A2285" w:rsidRDefault="00B9150E" w:rsidP="00DD7A2C">
      <w:pPr>
        <w:pStyle w:val="Heading3"/>
        <w:spacing w:line="360" w:lineRule="auto"/>
      </w:pPr>
      <w:bookmarkStart w:id="39" w:name="_Toc242650079"/>
      <w:r>
        <w:t>6.3 Leadership and implementation responsibilities</w:t>
      </w:r>
      <w:bookmarkEnd w:id="39"/>
    </w:p>
    <w:p w14:paraId="78967A2C" w14:textId="77777777" w:rsidR="00F169B7" w:rsidRDefault="00F169B7" w:rsidP="00F169B7">
      <w:pPr>
        <w:spacing w:line="360" w:lineRule="auto"/>
        <w:jc w:val="both"/>
      </w:pPr>
      <w:bookmarkStart w:id="40" w:name="_bukjig10p39n" w:colFirst="0" w:colLast="0"/>
      <w:bookmarkEnd w:id="40"/>
      <w:r w:rsidRPr="00F169B7">
        <w:t>The business owner is responsible for leading and implementing the change and has to balance making strategic choices, clinical responsibilities and employee development (Okafor &amp; Murphy, 2025). A centralised leadership can provide consistency and accountability, but over-reliance on the owner can restrict delegation and employee autonomy and long-term organisational capacity.</w:t>
      </w:r>
    </w:p>
    <w:p w14:paraId="4A0A1DC7" w14:textId="77777777" w:rsidR="00F169B7" w:rsidRPr="00F169B7" w:rsidRDefault="00F169B7" w:rsidP="00F169B7">
      <w:pPr>
        <w:spacing w:line="360" w:lineRule="auto"/>
        <w:jc w:val="both"/>
      </w:pPr>
    </w:p>
    <w:p w14:paraId="3FD9F1D4" w14:textId="77777777" w:rsidR="00F169B7" w:rsidRDefault="00F169B7" w:rsidP="00F169B7">
      <w:pPr>
        <w:spacing w:line="360" w:lineRule="auto"/>
        <w:jc w:val="both"/>
      </w:pPr>
      <w:r w:rsidRPr="00F169B7">
        <w:t>However, Sott and Bender (2025) claim that adaptability, empathy and long-term vision are important characteristics of effective leadership and relevant to the proposed transition, where employees may require varying levels of supervision, training and professional support. However, employee satisfaction is not the only measure of effective leadership, since clinical competence, service standards and financial sustainability are still important (Oskarsson &amp; Vik, 2024).</w:t>
      </w:r>
    </w:p>
    <w:p w14:paraId="205CBD1F" w14:textId="77777777" w:rsidR="00BC25BE" w:rsidRPr="00F169B7" w:rsidRDefault="00BC25BE" w:rsidP="00F169B7">
      <w:pPr>
        <w:spacing w:line="360" w:lineRule="auto"/>
        <w:jc w:val="both"/>
      </w:pPr>
    </w:p>
    <w:p w14:paraId="271F37FF" w14:textId="56635595" w:rsidR="00F169B7" w:rsidRDefault="00F169B7" w:rsidP="00F169B7">
      <w:pPr>
        <w:spacing w:line="360" w:lineRule="auto"/>
        <w:jc w:val="both"/>
      </w:pPr>
      <w:r w:rsidRPr="00F169B7">
        <w:t xml:space="preserve">Duties will include setting recruitment criteria, checking qualifications and insurance requirements, managing induction, allocating treatment responsibilities and monitoring performance. But if competence </w:t>
      </w:r>
      <w:r w:rsidR="00CA3D4B" w:rsidRPr="00F169B7">
        <w:t>is not</w:t>
      </w:r>
      <w:r w:rsidRPr="00F169B7">
        <w:t xml:space="preserve"> assessed, delegation can lead to both clinical and reputational risk. Reineholm and colleagues (2024) highlight the significance of change competence, reinforcing the focus on leadership capability beyond organisational restructuring.</w:t>
      </w:r>
    </w:p>
    <w:p w14:paraId="6A2C9B4F" w14:textId="77777777" w:rsidR="00BC25BE" w:rsidRPr="00F169B7" w:rsidRDefault="00BC25BE" w:rsidP="00F169B7">
      <w:pPr>
        <w:spacing w:line="360" w:lineRule="auto"/>
        <w:jc w:val="both"/>
      </w:pPr>
    </w:p>
    <w:p w14:paraId="73B3ED47" w14:textId="100407E8" w:rsidR="00F169B7" w:rsidRDefault="00F169B7" w:rsidP="00F169B7">
      <w:pPr>
        <w:spacing w:line="360" w:lineRule="auto"/>
        <w:jc w:val="both"/>
      </w:pPr>
      <w:r w:rsidRPr="00F169B7">
        <w:t xml:space="preserve">Morrison (2023) also stresses the significance of employee voice, noting that regular consultation and feedback can improve engagement and highlight operational inefficiencies. That means the owner has to find a way to clearly </w:t>
      </w:r>
      <w:r w:rsidR="00BC25BE" w:rsidRPr="00F169B7">
        <w:t>manage and</w:t>
      </w:r>
      <w:r w:rsidRPr="00F169B7">
        <w:t xml:space="preserve"> also let the employees have a say in decisions which affect their work.</w:t>
      </w:r>
    </w:p>
    <w:p w14:paraId="501B3378" w14:textId="77777777" w:rsidR="00BC25BE" w:rsidRPr="00F169B7" w:rsidRDefault="00BC25BE" w:rsidP="00F169B7">
      <w:pPr>
        <w:spacing w:line="360" w:lineRule="auto"/>
        <w:jc w:val="both"/>
      </w:pPr>
    </w:p>
    <w:p w14:paraId="37CD4C7F" w14:textId="77777777" w:rsidR="00F169B7" w:rsidRDefault="00F169B7" w:rsidP="00F169B7">
      <w:pPr>
        <w:spacing w:line="360" w:lineRule="auto"/>
        <w:jc w:val="both"/>
      </w:pPr>
      <w:r w:rsidRPr="00F169B7">
        <w:t>Success will be measured by a gradual shift from an owner-dependent model of service delivery to a model of shared operational responsibility, while maintaining professional accountability.</w:t>
      </w:r>
    </w:p>
    <w:p w14:paraId="1A57C63D" w14:textId="2AF5EE8C" w:rsidR="000A2285" w:rsidRDefault="00B9150E" w:rsidP="00F169B7">
      <w:pPr>
        <w:pStyle w:val="Heading2"/>
        <w:spacing w:line="360" w:lineRule="auto"/>
      </w:pPr>
      <w:bookmarkStart w:id="41" w:name="_Toc242650080"/>
      <w:r>
        <w:lastRenderedPageBreak/>
        <w:t>7.0 Managing Resistance and Supporting people</w:t>
      </w:r>
      <w:bookmarkEnd w:id="41"/>
      <w:r>
        <w:t xml:space="preserve"> </w:t>
      </w:r>
    </w:p>
    <w:p w14:paraId="37A4B761" w14:textId="36FC7401" w:rsidR="0048250B" w:rsidRDefault="00B514E8" w:rsidP="008917F4">
      <w:pPr>
        <w:spacing w:line="360" w:lineRule="auto"/>
        <w:jc w:val="both"/>
      </w:pPr>
      <w:bookmarkStart w:id="42" w:name="_e6r9acx48tcv" w:colFirst="0" w:colLast="0"/>
      <w:bookmarkEnd w:id="42"/>
      <w:r>
        <w:t xml:space="preserve">Professionals may </w:t>
      </w:r>
      <w:r w:rsidR="00F645C9">
        <w:t>resist</w:t>
      </w:r>
      <w:r w:rsidR="006F0CC7">
        <w:t xml:space="preserve"> change</w:t>
      </w:r>
      <w:r w:rsidR="00B257CC" w:rsidRPr="00B257CC">
        <w:t xml:space="preserve"> </w:t>
      </w:r>
      <w:r w:rsidR="000870AF">
        <w:t>if</w:t>
      </w:r>
      <w:r w:rsidR="00B257CC" w:rsidRPr="00B257CC">
        <w:t xml:space="preserve"> it involves the loss of </w:t>
      </w:r>
      <w:r w:rsidR="00E25892">
        <w:t xml:space="preserve">professional working relationships and </w:t>
      </w:r>
      <w:r w:rsidR="008D32E0">
        <w:t xml:space="preserve">professionals </w:t>
      </w:r>
      <w:r w:rsidR="006F0CC7">
        <w:t>needing to seek an alternative workplace</w:t>
      </w:r>
      <w:r w:rsidR="008D32E0">
        <w:t xml:space="preserve"> location</w:t>
      </w:r>
      <w:r w:rsidR="006F0CC7">
        <w:t xml:space="preserve">. </w:t>
      </w:r>
      <w:r w:rsidR="002E3BA2">
        <w:t>The owner must update</w:t>
      </w:r>
      <w:r w:rsidR="006F0CC7">
        <w:t xml:space="preserve"> </w:t>
      </w:r>
      <w:r w:rsidR="002B7B40">
        <w:t>self-employed</w:t>
      </w:r>
      <w:r w:rsidR="006F0CC7">
        <w:t xml:space="preserve"> </w:t>
      </w:r>
      <w:r w:rsidR="002B7B40">
        <w:t>professionals regarding</w:t>
      </w:r>
      <w:r w:rsidR="002E3BA2">
        <w:t xml:space="preserve"> the </w:t>
      </w:r>
      <w:r w:rsidR="0007725D">
        <w:t>organisation’s</w:t>
      </w:r>
      <w:r w:rsidR="002E3BA2">
        <w:t xml:space="preserve"> </w:t>
      </w:r>
      <w:r w:rsidR="002B7B40">
        <w:t>growth plan</w:t>
      </w:r>
      <w:r w:rsidR="002E3BA2">
        <w:t xml:space="preserve"> and </w:t>
      </w:r>
      <w:r w:rsidR="002B7B40">
        <w:t xml:space="preserve">provide </w:t>
      </w:r>
      <w:r w:rsidR="002E3BA2">
        <w:t xml:space="preserve">sufficient time/notice </w:t>
      </w:r>
      <w:r w:rsidR="000870AF">
        <w:t>as they will need to seek alternative premises</w:t>
      </w:r>
      <w:r w:rsidR="0007725D">
        <w:t>. Thi</w:t>
      </w:r>
      <w:r w:rsidR="001566D6">
        <w:t xml:space="preserve">s change might affect resistance </w:t>
      </w:r>
      <w:r w:rsidR="002B7B40">
        <w:t xml:space="preserve">as </w:t>
      </w:r>
      <w:r w:rsidR="00863F18">
        <w:t xml:space="preserve">feelings </w:t>
      </w:r>
      <w:r w:rsidR="0048250B">
        <w:t>may be affected;</w:t>
      </w:r>
      <w:r w:rsidR="0098464C">
        <w:t xml:space="preserve"> </w:t>
      </w:r>
      <w:r w:rsidR="00886568">
        <w:t>however,</w:t>
      </w:r>
      <w:r w:rsidR="0098464C">
        <w:t xml:space="preserve"> the owner should aim to support </w:t>
      </w:r>
      <w:r w:rsidR="0048250B">
        <w:t xml:space="preserve">these professional workers </w:t>
      </w:r>
      <w:r w:rsidR="00B25E57">
        <w:t xml:space="preserve">to maintain </w:t>
      </w:r>
      <w:r w:rsidR="001D0F88">
        <w:t>the organisations</w:t>
      </w:r>
      <w:r w:rsidR="00B25E57">
        <w:t xml:space="preserve"> reputation and </w:t>
      </w:r>
      <w:r w:rsidR="00BC25BE">
        <w:t>professionalism</w:t>
      </w:r>
      <w:r w:rsidR="0048250B">
        <w:t xml:space="preserve">. </w:t>
      </w:r>
    </w:p>
    <w:p w14:paraId="561B59DB" w14:textId="77777777" w:rsidR="0048250B" w:rsidRDefault="0048250B" w:rsidP="008917F4">
      <w:pPr>
        <w:spacing w:line="360" w:lineRule="auto"/>
        <w:jc w:val="both"/>
      </w:pPr>
    </w:p>
    <w:p w14:paraId="32C6F974" w14:textId="451BC9D9" w:rsidR="00B257CC" w:rsidRDefault="00B257CC" w:rsidP="008917F4">
      <w:pPr>
        <w:spacing w:line="360" w:lineRule="auto"/>
        <w:jc w:val="both"/>
      </w:pPr>
      <w:r w:rsidRPr="00B257CC">
        <w:t>Employing staff could enhance organisational consistency and service delivery however existing self-employed practitioners may not experience these benefits. Cieślik and van Stel (2024) note the opposing advantages and disadvantages of self-employment and suggest that opposition should not be confused with unwillingness to change</w:t>
      </w:r>
      <w:r>
        <w:t xml:space="preserve">. </w:t>
      </w:r>
    </w:p>
    <w:p w14:paraId="26896A24" w14:textId="77777777" w:rsidR="00B257CC" w:rsidRDefault="00B257CC" w:rsidP="008917F4">
      <w:pPr>
        <w:spacing w:line="360" w:lineRule="auto"/>
        <w:jc w:val="both"/>
      </w:pPr>
    </w:p>
    <w:p w14:paraId="1CCE8F0D" w14:textId="5C9483B2" w:rsidR="00FF5CAE" w:rsidRDefault="00FF5CAE" w:rsidP="00FF5CAE">
      <w:pPr>
        <w:spacing w:line="360" w:lineRule="auto"/>
        <w:jc w:val="both"/>
      </w:pPr>
      <w:r>
        <w:t xml:space="preserve">The concerns can be understood by using the three levels of resistance proposed by Maurer (2010): I </w:t>
      </w:r>
      <w:r w:rsidR="00CA3D4B">
        <w:t>do not</w:t>
      </w:r>
      <w:r>
        <w:t xml:space="preserve"> get it (misunderstanding), I </w:t>
      </w:r>
      <w:r w:rsidR="00CA3D4B">
        <w:t>do not</w:t>
      </w:r>
      <w:r>
        <w:t xml:space="preserve"> like it (emotional/personal concerns), and I do</w:t>
      </w:r>
      <w:r w:rsidR="00CA3D4B">
        <w:t xml:space="preserve"> not</w:t>
      </w:r>
      <w:r>
        <w:t xml:space="preserve"> like you (distrust of leadership). Vague expectations of employment in the salon can lead to misunderstanding or emotional resistance due to perceived financial disadvantages. It is, however, too simplistic to use this model in isolation as objections may be based on legitimate contractual or financial concerns rather than individual attitudes.</w:t>
      </w:r>
    </w:p>
    <w:p w14:paraId="3B52977A" w14:textId="77777777" w:rsidR="00FF5CAE" w:rsidRDefault="00FF5CAE" w:rsidP="00FF5CAE">
      <w:pPr>
        <w:spacing w:line="360" w:lineRule="auto"/>
        <w:jc w:val="both"/>
      </w:pPr>
    </w:p>
    <w:p w14:paraId="63A7DCEE" w14:textId="77777777" w:rsidR="00FF5CAE" w:rsidRDefault="00FF5CAE" w:rsidP="00FF5CAE">
      <w:pPr>
        <w:spacing w:line="360" w:lineRule="auto"/>
        <w:jc w:val="both"/>
      </w:pPr>
      <w:r>
        <w:t>Through consultation and open communication, the owner may be able to identify these differences prior to implementation. Morrison (2023) emphasises the value of employee voice and states the need to develop opportunities for potential employees to have a say on decisions on responsibilities, development and working conditions. But consultation needs to be meaningful, as asking for feedback without considering what it means may further erode trust.</w:t>
      </w:r>
    </w:p>
    <w:p w14:paraId="1FAEE572" w14:textId="77777777" w:rsidR="00F02ED8" w:rsidRDefault="00F02ED8" w:rsidP="00FF5CAE">
      <w:pPr>
        <w:spacing w:line="360" w:lineRule="auto"/>
        <w:jc w:val="both"/>
      </w:pPr>
    </w:p>
    <w:p w14:paraId="41163EB2" w14:textId="5C182ECE" w:rsidR="00123BF4" w:rsidRDefault="00123BF4" w:rsidP="00123BF4">
      <w:pPr>
        <w:spacing w:line="360" w:lineRule="auto"/>
        <w:jc w:val="both"/>
      </w:pPr>
      <w:r w:rsidRPr="00123BF4">
        <w:t xml:space="preserve">Therefore, it is wise that the owner takes a supportive but accountable leadership approach. To clearly state expectations but also be prepared to review aspects of the implementation plan. Feedback may highlight deficiencies to be addressed in workload, pay or training requirements. </w:t>
      </w:r>
      <w:r w:rsidR="00CA3D4B" w:rsidRPr="00123BF4">
        <w:t>Effective</w:t>
      </w:r>
      <w:r w:rsidRPr="00123BF4">
        <w:t xml:space="preserve"> resistance management is about understanding competing interests rather than universal </w:t>
      </w:r>
      <w:r w:rsidR="00944044" w:rsidRPr="00123BF4">
        <w:t>consensus and</w:t>
      </w:r>
      <w:r w:rsidRPr="00123BF4">
        <w:t xml:space="preserve"> ensuring that organisational growth does not come at the expense of fairness, professional relationships or employee well-being.</w:t>
      </w:r>
    </w:p>
    <w:p w14:paraId="0F2A4271" w14:textId="03D5EDF3" w:rsidR="000A2285" w:rsidRDefault="00B9150E" w:rsidP="008917F4">
      <w:pPr>
        <w:pStyle w:val="Heading2"/>
        <w:spacing w:line="360" w:lineRule="auto"/>
      </w:pPr>
      <w:bookmarkStart w:id="43" w:name="_Toc242650081"/>
      <w:r>
        <w:lastRenderedPageBreak/>
        <w:t>8. Evaluating and sustaining the change</w:t>
      </w:r>
      <w:bookmarkEnd w:id="43"/>
    </w:p>
    <w:p w14:paraId="4AEBD135" w14:textId="01C37DA9" w:rsidR="00FF0C28" w:rsidRPr="00FF0C28" w:rsidRDefault="00FF0C28" w:rsidP="008917F4">
      <w:pPr>
        <w:spacing w:line="360" w:lineRule="auto"/>
      </w:pPr>
      <w:r>
        <w:t>Assessing</w:t>
      </w:r>
      <w:r w:rsidRPr="00FF0C28">
        <w:t xml:space="preserve"> organisational change to find out how far it is achieving the intended outcomes</w:t>
      </w:r>
      <w:r>
        <w:t xml:space="preserve"> is regarded as important </w:t>
      </w:r>
      <w:r w:rsidRPr="00FF0C28">
        <w:t>(Vuong &amp; Nguyen, 2022)</w:t>
      </w:r>
      <w:r>
        <w:t xml:space="preserve">. </w:t>
      </w:r>
      <w:r w:rsidRPr="00FF0C28">
        <w:t xml:space="preserve">While hiring employees may help grow </w:t>
      </w:r>
      <w:r>
        <w:t>the organisation</w:t>
      </w:r>
      <w:r w:rsidRPr="00FF0C28">
        <w:t xml:space="preserve"> and increase treatment capacity, </w:t>
      </w:r>
      <w:r>
        <w:t>it is important to</w:t>
      </w:r>
      <w:r w:rsidRPr="00FF0C28">
        <w:t xml:space="preserve"> measure success by revenue. The financial sustainability, the skills of the employees, client satisfaction and the operational consistency must also be considered</w:t>
      </w:r>
      <w:r w:rsidR="00850AA7">
        <w:t xml:space="preserve"> as o</w:t>
      </w:r>
      <w:r w:rsidRPr="00FF0C28">
        <w:t xml:space="preserve">rganisational capacity and readiness are also important considerations in change (Mladenova, 2022), </w:t>
      </w:r>
      <w:r w:rsidR="00850AA7">
        <w:t>whilst</w:t>
      </w:r>
      <w:r w:rsidRPr="00FF0C28">
        <w:t xml:space="preserve"> reinforcing the need to assess the ability of the business to sustain its new employment responsibilities.</w:t>
      </w:r>
    </w:p>
    <w:p w14:paraId="6343A3B8" w14:textId="77777777" w:rsidR="000A2285" w:rsidRDefault="00B9150E" w:rsidP="008917F4">
      <w:pPr>
        <w:pStyle w:val="Heading3"/>
        <w:spacing w:line="360" w:lineRule="auto"/>
      </w:pPr>
      <w:bookmarkStart w:id="44" w:name="_xr1yvsyyf6ie" w:colFirst="0" w:colLast="0"/>
      <w:bookmarkStart w:id="45" w:name="_Toc242650082"/>
      <w:bookmarkEnd w:id="44"/>
      <w:r>
        <w:t>8.1 Success measures</w:t>
      </w:r>
      <w:bookmarkEnd w:id="45"/>
      <w:r>
        <w:t xml:space="preserve"> </w:t>
      </w:r>
    </w:p>
    <w:p w14:paraId="223DA940" w14:textId="1F12A200" w:rsidR="00FF0C28" w:rsidRDefault="00E7594D" w:rsidP="008917F4">
      <w:pPr>
        <w:spacing w:line="360" w:lineRule="auto"/>
      </w:pPr>
      <w:proofErr w:type="spellStart"/>
      <w:r>
        <w:t>F</w:t>
      </w:r>
      <w:r w:rsidR="00FF0C28">
        <w:t>Before</w:t>
      </w:r>
      <w:proofErr w:type="spellEnd"/>
      <w:r w:rsidR="00FF0C28">
        <w:t xml:space="preserve"> hiring, the owner should define baseline performance measures including monthly turnover, operating profit, client retention, appointment availability and existing service standards. </w:t>
      </w:r>
      <w:r w:rsidR="00365395" w:rsidRPr="00365395">
        <w:t>Hendri (2025)</w:t>
      </w:r>
      <w:r w:rsidR="00365395">
        <w:t xml:space="preserve"> </w:t>
      </w:r>
      <w:r w:rsidR="00FF0C28">
        <w:t>suggests these can then be compared against performance after implementation.</w:t>
      </w:r>
    </w:p>
    <w:p w14:paraId="3292B186" w14:textId="77777777" w:rsidR="00FF0C28" w:rsidRDefault="00FF0C28" w:rsidP="008917F4">
      <w:pPr>
        <w:spacing w:line="360" w:lineRule="auto"/>
      </w:pPr>
    </w:p>
    <w:p w14:paraId="40B14123" w14:textId="77777777" w:rsidR="00FF0C28" w:rsidRDefault="00FF0C28" w:rsidP="008917F4">
      <w:pPr>
        <w:spacing w:line="360" w:lineRule="auto"/>
      </w:pPr>
      <w:r>
        <w:t>The measure of success is the employee competency assessments, treatment productivity, client satisfaction, and profitability after employment costs. Hendri (2025) emphasises the importance of performance management in SMEs and suggests a systematic approach to evaluate organisational outcomes.</w:t>
      </w:r>
    </w:p>
    <w:p w14:paraId="6B1CC549" w14:textId="77777777" w:rsidR="00FF0C28" w:rsidRDefault="00FF0C28" w:rsidP="008917F4">
      <w:pPr>
        <w:spacing w:line="360" w:lineRule="auto"/>
      </w:pPr>
    </w:p>
    <w:p w14:paraId="34ECAC4D" w14:textId="17C2760D" w:rsidR="000A2285" w:rsidRDefault="00FF0C28" w:rsidP="008917F4">
      <w:pPr>
        <w:spacing w:line="360" w:lineRule="auto"/>
      </w:pPr>
      <w:r>
        <w:t>However, an increase in the number of appointments available or in turnover would not necessarily mean that the change was successful if additional staffing costs affect profitability or the quality of treatment. Performance should be reviewed monthly for the first six months with a formal review at three and six months</w:t>
      </w:r>
      <w:r w:rsidR="00963C3A">
        <w:t xml:space="preserve"> </w:t>
      </w:r>
      <w:r w:rsidR="00963C3A" w:rsidRPr="00963C3A">
        <w:t>(</w:t>
      </w:r>
      <w:r w:rsidR="00365395" w:rsidRPr="00365395">
        <w:t>Hendri</w:t>
      </w:r>
      <w:r w:rsidR="00365395">
        <w:t xml:space="preserve">, </w:t>
      </w:r>
      <w:r w:rsidR="00365395" w:rsidRPr="00365395">
        <w:t xml:space="preserve">2025 and Reineholm </w:t>
      </w:r>
      <w:r w:rsidR="00365395" w:rsidRPr="00365395">
        <w:rPr>
          <w:i/>
          <w:iCs/>
        </w:rPr>
        <w:t>et al</w:t>
      </w:r>
      <w:r w:rsidR="00365395" w:rsidRPr="00365395">
        <w:t>.</w:t>
      </w:r>
      <w:r w:rsidR="00365395">
        <w:t>,</w:t>
      </w:r>
      <w:r w:rsidR="00365395" w:rsidRPr="00365395">
        <w:t xml:space="preserve"> 2024</w:t>
      </w:r>
      <w:r w:rsidR="00963C3A" w:rsidRPr="00963C3A">
        <w:t>)</w:t>
      </w:r>
      <w:r>
        <w:t>. This would give the owner insight into financial or operational weaknesses before any further increase in the workforce.</w:t>
      </w:r>
    </w:p>
    <w:p w14:paraId="769AD35F" w14:textId="77777777" w:rsidR="000A2285" w:rsidRDefault="00B9150E" w:rsidP="008917F4">
      <w:pPr>
        <w:pStyle w:val="Heading3"/>
        <w:spacing w:line="360" w:lineRule="auto"/>
      </w:pPr>
      <w:bookmarkStart w:id="46" w:name="_6em5qd9kipwp" w:colFirst="0" w:colLast="0"/>
      <w:bookmarkStart w:id="47" w:name="_Toc242650083"/>
      <w:bookmarkEnd w:id="46"/>
      <w:r>
        <w:t>8.2 Embedding and reviewing new practices</w:t>
      </w:r>
      <w:bookmarkEnd w:id="47"/>
      <w:r>
        <w:t xml:space="preserve">  </w:t>
      </w:r>
    </w:p>
    <w:p w14:paraId="5378DA59" w14:textId="756A9D3F" w:rsidR="00963C3A" w:rsidRDefault="00963C3A" w:rsidP="008917F4">
      <w:pPr>
        <w:spacing w:line="360" w:lineRule="auto"/>
      </w:pPr>
      <w:r>
        <w:t xml:space="preserve">To sustain change, consistent procedures are required, employee development, and regular opportunities for feedback. The owner should have structured staff reviews after the first month, three months and six months and then regular performance reviews </w:t>
      </w:r>
      <w:r w:rsidRPr="00963C3A">
        <w:t>(</w:t>
      </w:r>
      <w:r w:rsidR="00365395" w:rsidRPr="00365395">
        <w:t>Hendri</w:t>
      </w:r>
      <w:r w:rsidR="00365395">
        <w:t xml:space="preserve">, </w:t>
      </w:r>
      <w:r w:rsidR="00365395" w:rsidRPr="00365395">
        <w:t xml:space="preserve">2025 and Reineholm </w:t>
      </w:r>
      <w:r w:rsidR="00365395" w:rsidRPr="00365395">
        <w:rPr>
          <w:i/>
          <w:iCs/>
        </w:rPr>
        <w:t>et al</w:t>
      </w:r>
      <w:r w:rsidR="00365395" w:rsidRPr="00365395">
        <w:t>.</w:t>
      </w:r>
      <w:r w:rsidR="00365395">
        <w:t>,</w:t>
      </w:r>
      <w:r w:rsidR="00365395" w:rsidRPr="00365395">
        <w:t xml:space="preserve"> 2024</w:t>
      </w:r>
      <w:r w:rsidR="00365395" w:rsidRPr="00963C3A">
        <w:t>)</w:t>
      </w:r>
      <w:r>
        <w:t>. These should look at clinical competence, professional behaviour, standards of treatment, development needs and employee wellbeing.</w:t>
      </w:r>
    </w:p>
    <w:p w14:paraId="5E5D58CE" w14:textId="77777777" w:rsidR="00963C3A" w:rsidRDefault="00963C3A" w:rsidP="008917F4">
      <w:pPr>
        <w:spacing w:line="360" w:lineRule="auto"/>
      </w:pPr>
    </w:p>
    <w:p w14:paraId="3E24B3D3" w14:textId="6341F927" w:rsidR="00963C3A" w:rsidRDefault="00963C3A" w:rsidP="008917F4">
      <w:pPr>
        <w:spacing w:line="360" w:lineRule="auto"/>
      </w:pPr>
      <w:r>
        <w:lastRenderedPageBreak/>
        <w:t xml:space="preserve">Feedback from clients should be gathered after appointments via short satisfaction surveys, and should be reviewed monthly along with complaints, rebooking rates and client retention </w:t>
      </w:r>
      <w:r w:rsidRPr="00963C3A">
        <w:t>(Hassaan, 2023)</w:t>
      </w:r>
      <w:r>
        <w:t>. Morrison (2023) emphasises the importance of employee voice, noting that feedback from staff can also identify operational issues that are not immediately visible from financial metrics.</w:t>
      </w:r>
    </w:p>
    <w:p w14:paraId="21136917" w14:textId="77777777" w:rsidR="00963C3A" w:rsidRDefault="00963C3A" w:rsidP="008917F4">
      <w:pPr>
        <w:spacing w:line="360" w:lineRule="auto"/>
      </w:pPr>
    </w:p>
    <w:p w14:paraId="00B35D1E" w14:textId="245FE321" w:rsidR="00963C3A" w:rsidRDefault="00963C3A" w:rsidP="008917F4">
      <w:pPr>
        <w:spacing w:line="360" w:lineRule="auto"/>
      </w:pPr>
      <w:r>
        <w:t xml:space="preserve">The owner should </w:t>
      </w:r>
      <w:r w:rsidR="00C173D0">
        <w:t>aim to gather</w:t>
      </w:r>
      <w:r>
        <w:t xml:space="preserve"> feedback </w:t>
      </w:r>
      <w:r w:rsidR="00C173D0">
        <w:t>for</w:t>
      </w:r>
      <w:r>
        <w:t xml:space="preserve"> changes, </w:t>
      </w:r>
      <w:r w:rsidR="00C173D0">
        <w:t>finding trust with</w:t>
      </w:r>
      <w:r>
        <w:t xml:space="preserve"> their employees. Findings should therefore feed into further training, changed procedures and changes to workload or responsibilities. Reineholm </w:t>
      </w:r>
      <w:r w:rsidRPr="00963C3A">
        <w:rPr>
          <w:i/>
          <w:iCs/>
        </w:rPr>
        <w:t>et al</w:t>
      </w:r>
      <w:r>
        <w:t>. (2024) highlight change competence, advocating for continuous organisational learning rather than assuming that implementation alone guarantees sustainable improvement.</w:t>
      </w:r>
    </w:p>
    <w:p w14:paraId="7C07FF7E" w14:textId="77777777" w:rsidR="00963C3A" w:rsidRDefault="00963C3A" w:rsidP="008917F4">
      <w:pPr>
        <w:spacing w:line="360" w:lineRule="auto"/>
      </w:pPr>
    </w:p>
    <w:p w14:paraId="3B021901" w14:textId="402DE174" w:rsidR="000A2285" w:rsidRDefault="00963C3A" w:rsidP="008917F4">
      <w:pPr>
        <w:spacing w:line="360" w:lineRule="auto"/>
      </w:pPr>
      <w:r>
        <w:t xml:space="preserve">The owner must also recognise that excessive oversight can be a source of stress and diminish employee independence. Thus, a balanced review process should facilitate professional development but also hold people accountable. The success of the embedded change will depend on how embedded, affordable and adopted by staff new working practices become. </w:t>
      </w:r>
    </w:p>
    <w:p w14:paraId="5A861041" w14:textId="77777777" w:rsidR="000A2285" w:rsidRDefault="00B9150E" w:rsidP="008917F4">
      <w:pPr>
        <w:pStyle w:val="Heading2"/>
        <w:spacing w:line="360" w:lineRule="auto"/>
      </w:pPr>
      <w:bookmarkStart w:id="48" w:name="_5hl8spbzzxni" w:colFirst="0" w:colLast="0"/>
      <w:bookmarkStart w:id="49" w:name="_Toc242650084"/>
      <w:bookmarkEnd w:id="48"/>
      <w:r>
        <w:t>9.0 Recommendations</w:t>
      </w:r>
      <w:bookmarkEnd w:id="49"/>
      <w:r>
        <w:t xml:space="preserve"> </w:t>
      </w:r>
    </w:p>
    <w:p w14:paraId="642A8619" w14:textId="6FBA7206" w:rsidR="000A2285" w:rsidRDefault="00C173D0" w:rsidP="008917F4">
      <w:pPr>
        <w:spacing w:line="360" w:lineRule="auto"/>
      </w:pPr>
      <w:r>
        <w:t>The analysis recommends a phased approach to implementing the employment model to reduce financial and operational risks. The owner should first perform a detailed financial assessment before recruitment to ascertain if the anticipated treatment income would be enough to meet wages, employer contributions, training and other operational costs. First the recruitment should be limited to the number of people that the business can support. Secondly, clear job descriptions, competency requirements and structured induction procedures should be used to establish professional expectations and standards of treatment. Regular reviews and ongoing professional development should support employee development. Thirdly, meaningful consultation should be included as part of implementation, recognising that concerns around autonomy, remuneration and workload may identify weaknesses in the proposed model. Finally, financial performance, employee competence and client satisfaction should be reviewed against agreed targets, at three and six months. Where objectives are not met, the owner should modify the implementation strategy rather than proceeding with expansion when there is not enough evidence of sustainability.</w:t>
      </w:r>
    </w:p>
    <w:p w14:paraId="4E6749EB" w14:textId="77777777" w:rsidR="000A2285" w:rsidRDefault="00B9150E" w:rsidP="008917F4">
      <w:pPr>
        <w:pStyle w:val="Heading2"/>
        <w:spacing w:line="360" w:lineRule="auto"/>
      </w:pPr>
      <w:bookmarkStart w:id="50" w:name="_wb3hdmgg7dr3" w:colFirst="0" w:colLast="0"/>
      <w:bookmarkStart w:id="51" w:name="_Toc242650085"/>
      <w:bookmarkEnd w:id="50"/>
      <w:r>
        <w:lastRenderedPageBreak/>
        <w:t>10.0 Conclusion</w:t>
      </w:r>
      <w:bookmarkEnd w:id="51"/>
      <w:r>
        <w:t xml:space="preserve"> </w:t>
      </w:r>
    </w:p>
    <w:p w14:paraId="506E7AEC" w14:textId="2C844080" w:rsidR="00850AA7" w:rsidRDefault="00850AA7" w:rsidP="008917F4">
      <w:pPr>
        <w:spacing w:line="360" w:lineRule="auto"/>
      </w:pPr>
      <w:r>
        <w:t xml:space="preserve">For this assignment internal and external factors influencing the proposed change from self-employed practitioners to employed staff have been critically evaluated. While the change offers opportunities to </w:t>
      </w:r>
      <w:r w:rsidR="003D66E7">
        <w:t>increase</w:t>
      </w:r>
      <w:r>
        <w:t xml:space="preserve"> treatment capacity, improve organisational consistency and support business growth, it also brings financial commitments, leadership responsibilities and potential stakeholder resistance.</w:t>
      </w:r>
    </w:p>
    <w:p w14:paraId="396E9616" w14:textId="77777777" w:rsidR="00850AA7" w:rsidRDefault="00850AA7" w:rsidP="008917F4">
      <w:pPr>
        <w:spacing w:line="360" w:lineRule="auto"/>
      </w:pPr>
    </w:p>
    <w:p w14:paraId="6280A87A" w14:textId="77777777" w:rsidR="00850AA7" w:rsidRDefault="00850AA7" w:rsidP="008917F4">
      <w:pPr>
        <w:spacing w:line="360" w:lineRule="auto"/>
      </w:pPr>
      <w:r>
        <w:t>The analysis shows that recruitment is insufficient for successful implementation. Transition management is vital for organisational readiness, communication, employee development and ongoing evaluation. While established change-management models and stakeholder engagement offer a framework, these models must be adapted to the financial and operational realities of a small aesthetics business.</w:t>
      </w:r>
    </w:p>
    <w:p w14:paraId="7CCC2C07" w14:textId="77777777" w:rsidR="00850AA7" w:rsidRDefault="00850AA7" w:rsidP="008917F4">
      <w:pPr>
        <w:spacing w:line="360" w:lineRule="auto"/>
      </w:pPr>
    </w:p>
    <w:p w14:paraId="6B8B983B" w14:textId="296EF12F" w:rsidR="000A2285" w:rsidRDefault="00850AA7" w:rsidP="008917F4">
      <w:pPr>
        <w:spacing w:line="360" w:lineRule="auto"/>
      </w:pPr>
      <w:r>
        <w:t>The suggested change should be considered as a gradual organisational development approach rather than an instant solution to capacity constraints. The company’s long-term success will depend on the owner’s ability to balance commercial growth with employee wellbeing, professional accountability and financial sustainability.</w:t>
      </w:r>
    </w:p>
    <w:p w14:paraId="655C03CC" w14:textId="77777777" w:rsidR="000A2285" w:rsidRDefault="00B9150E" w:rsidP="008917F4">
      <w:pPr>
        <w:pStyle w:val="Heading2"/>
        <w:spacing w:line="360" w:lineRule="auto"/>
      </w:pPr>
      <w:bookmarkStart w:id="52" w:name="_44eukqu92fi4" w:colFirst="0" w:colLast="0"/>
      <w:bookmarkStart w:id="53" w:name="_Toc242650086"/>
      <w:bookmarkEnd w:id="52"/>
      <w:r>
        <w:t>References</w:t>
      </w:r>
      <w:bookmarkEnd w:id="53"/>
      <w:r>
        <w:t xml:space="preserve"> </w:t>
      </w:r>
    </w:p>
    <w:p w14:paraId="160A8666"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 xml:space="preserve">Akhtar, J. R., Huang, C., &amp; Chung, K. C. (2025). Stronger Together: The Art of Delegation. </w:t>
      </w:r>
      <w:r w:rsidRPr="00B257CC">
        <w:rPr>
          <w:i/>
          <w:iCs/>
        </w:rPr>
        <w:t>Plastic &amp; Reconstructive Surgery</w:t>
      </w:r>
      <w:r w:rsidRPr="00B257CC">
        <w:t xml:space="preserve">, </w:t>
      </w:r>
      <w:r w:rsidRPr="00B257CC">
        <w:rPr>
          <w:i/>
          <w:iCs/>
        </w:rPr>
        <w:t>156</w:t>
      </w:r>
      <w:r w:rsidRPr="00B257CC">
        <w:t>(5), 683–689.</w:t>
      </w:r>
      <w:hyperlink r:id="rId13">
        <w:r w:rsidR="000A2285" w:rsidRPr="00B257CC">
          <w:t xml:space="preserve"> </w:t>
        </w:r>
      </w:hyperlink>
      <w:hyperlink r:id="rId14">
        <w:r w:rsidR="000A2285" w:rsidRPr="00B257CC">
          <w:rPr>
            <w:color w:val="1155CC"/>
            <w:u w:val="single"/>
          </w:rPr>
          <w:t>https://doi.org/10.1097/PRS.0000000000011885</w:t>
        </w:r>
      </w:hyperlink>
    </w:p>
    <w:p w14:paraId="2CD2B000"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Al-Rakabi, H. A. O., DanaeeFard, H., &amp; Mortazavi, M. (2026). A systematic review of human resource management strategies for enhancing employee morale: A case study of the Wasit Provincial Government. Future of Work and Digital Management Journal, 1–21.</w:t>
      </w:r>
      <w:hyperlink r:id="rId15">
        <w:r w:rsidR="000A2285" w:rsidRPr="00B257CC">
          <w:rPr>
            <w:color w:val="1155CC"/>
            <w:u w:val="single"/>
          </w:rPr>
          <w:t xml:space="preserve"> https://journalfwdmj.com/index.php/fwdmj/article/view/319</w:t>
        </w:r>
      </w:hyperlink>
    </w:p>
    <w:p w14:paraId="29B6CBA4"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Amajuoyi, P., Benjamin, L. B., &amp; Adeusi, K. B. (2024). Agile methodologies: Adapting product management to rapidly changing market conditions. GSC Advanced Research and Reviews, 19(2), 249–267.</w:t>
      </w:r>
      <w:hyperlink r:id="rId16">
        <w:r w:rsidR="000A2285" w:rsidRPr="00B257CC">
          <w:rPr>
            <w:color w:val="1155CC"/>
            <w:u w:val="single"/>
          </w:rPr>
          <w:t xml:space="preserve"> https://doi.org/10.30574/gscarr.2024.19.2.0181</w:t>
        </w:r>
      </w:hyperlink>
    </w:p>
    <w:p w14:paraId="64AF0BAC"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47885"/>
          <w:u w:val="single"/>
        </w:rPr>
      </w:pPr>
      <w:r w:rsidRPr="00B257CC">
        <w:t xml:space="preserve">Awwad. A,  Anouze. A, &amp; Cudney. E. (2024), "Competitive priorities and engagement: can they be a source of satisfaction? Customer-centered model". </w:t>
      </w:r>
      <w:r w:rsidRPr="00B257CC">
        <w:rPr>
          <w:i/>
          <w:iCs/>
        </w:rPr>
        <w:t>International Journal of Quality &amp; Reliability Management</w:t>
      </w:r>
      <w:r w:rsidRPr="00B257CC">
        <w:t>, Vol. 41 No. 5 pp. 1337–1355, doi:[ https://doi.org/10.1108/IJQRM-01-2023-0001</w:t>
      </w:r>
      <w:r w:rsidRPr="00B257CC">
        <w:rPr>
          <w:color w:val="147885"/>
          <w:u w:val="single"/>
        </w:rPr>
        <w:t>](</w:t>
      </w:r>
      <w:hyperlink r:id="rId17">
        <w:r w:rsidR="000A2285" w:rsidRPr="00B257CC">
          <w:rPr>
            <w:color w:val="1155CC"/>
            <w:u w:val="single"/>
          </w:rPr>
          <w:t>https://doi.org/10.1108/IJQRM-01-2023-0001</w:t>
        </w:r>
      </w:hyperlink>
      <w:r w:rsidRPr="00B257CC">
        <w:rPr>
          <w:color w:val="147885"/>
          <w:u w:val="single"/>
        </w:rPr>
        <w:t>)</w:t>
      </w:r>
    </w:p>
    <w:p w14:paraId="2A5FAF0F"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lastRenderedPageBreak/>
        <w:t xml:space="preserve">Belsare, H. V. (2025). “PESTLE Analysis.” </w:t>
      </w:r>
      <w:r w:rsidRPr="00B257CC">
        <w:rPr>
          <w:i/>
          <w:iCs/>
        </w:rPr>
        <w:t>International Journal of Advanced Research</w:t>
      </w:r>
      <w:r w:rsidRPr="00B257CC">
        <w:t>.</w:t>
      </w:r>
      <w:hyperlink r:id="rId18">
        <w:r w:rsidR="000A2285" w:rsidRPr="00B257CC">
          <w:t xml:space="preserve"> </w:t>
        </w:r>
      </w:hyperlink>
      <w:hyperlink r:id="rId19">
        <w:r w:rsidR="000A2285" w:rsidRPr="00B257CC">
          <w:rPr>
            <w:color w:val="1155CC"/>
            <w:u w:val="single"/>
          </w:rPr>
          <w:t>https://doi.org/10.21474/ijar01/20411</w:t>
        </w:r>
      </w:hyperlink>
    </w:p>
    <w:p w14:paraId="33CBA9AB"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Besley, T., &amp; Persson, T. (2024). Organizational dynamics: Culture, design, and performance. The Journal of Law, Economics, and Organization, 40(2), 394–415.</w:t>
      </w:r>
      <w:hyperlink r:id="rId20">
        <w:r w:rsidR="000A2285" w:rsidRPr="00B257CC">
          <w:t xml:space="preserve"> </w:t>
        </w:r>
      </w:hyperlink>
      <w:hyperlink r:id="rId21">
        <w:r w:rsidR="000A2285" w:rsidRPr="00B257CC">
          <w:rPr>
            <w:color w:val="1155CC"/>
            <w:u w:val="single"/>
          </w:rPr>
          <w:t>https://doi.org/10.1093/jleo/ewac020</w:t>
        </w:r>
      </w:hyperlink>
    </w:p>
    <w:p w14:paraId="2738C915"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Bhati, D., Deogade, M. S., &amp; Kanyal, D. (2023). Improving patient outcomes through effective hospital administration: A comprehensive review. Cureus, 15(10), Article e47731.</w:t>
      </w:r>
      <w:hyperlink r:id="rId22">
        <w:r w:rsidR="000A2285" w:rsidRPr="00B257CC">
          <w:rPr>
            <w:color w:val="1155CC"/>
            <w:u w:val="single"/>
          </w:rPr>
          <w:t xml:space="preserve"> https://doi.org/10.7759/cureus.47731</w:t>
        </w:r>
      </w:hyperlink>
    </w:p>
    <w:p w14:paraId="4886FACD"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Bhuiyan, M., Rahman, M. A., Hoque, A. B., Ashrafuzzaman, M., &amp; Rahman, A. (2023). Advanced analytics and machine learning for revenue optimization in the hospitality industry: A comprehensive review of frameworks. American Journal of Scholarly Research and Innovation, 2(2), 52–74.</w:t>
      </w:r>
      <w:hyperlink r:id="rId23">
        <w:r w:rsidR="000A2285" w:rsidRPr="00B257CC">
          <w:t xml:space="preserve"> </w:t>
        </w:r>
      </w:hyperlink>
      <w:hyperlink r:id="rId24">
        <w:r w:rsidR="000A2285" w:rsidRPr="00B257CC">
          <w:rPr>
            <w:color w:val="1155CC"/>
            <w:u w:val="single"/>
          </w:rPr>
          <w:t>https://doi.org/10.63125/8xbkma40</w:t>
        </w:r>
      </w:hyperlink>
    </w:p>
    <w:p w14:paraId="7D5071F2"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 xml:space="preserve">Business.gov.uk. (n.d.). </w:t>
      </w:r>
      <w:r w:rsidRPr="00B257CC">
        <w:rPr>
          <w:i/>
          <w:iCs/>
        </w:rPr>
        <w:t>Understanding the costs of employment</w:t>
      </w:r>
      <w:r w:rsidRPr="00B257CC">
        <w:t>. Retrieved October 6, 2026, from</w:t>
      </w:r>
      <w:hyperlink r:id="rId25">
        <w:r w:rsidR="000A2285" w:rsidRPr="00B257CC">
          <w:rPr>
            <w:color w:val="1155CC"/>
            <w:u w:val="single"/>
          </w:rPr>
          <w:t xml:space="preserve"> https://www.business.gov.uk/support/employment-skills/costs-of-employment/</w:t>
        </w:r>
      </w:hyperlink>
    </w:p>
    <w:p w14:paraId="12304B33"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Camilli, R., Cristofaro, M., Hristov, I., &amp; Sargiacomo, M. (2025). Cognitive biases in accounting judgment and decision making: A review, a typology, and a future research agenda. Accounting Forum, 49(5), 1038–1067.</w:t>
      </w:r>
      <w:hyperlink r:id="rId26">
        <w:r w:rsidR="000A2285" w:rsidRPr="00B257CC">
          <w:t xml:space="preserve"> </w:t>
        </w:r>
      </w:hyperlink>
      <w:hyperlink r:id="rId27">
        <w:r w:rsidR="000A2285" w:rsidRPr="00B257CC">
          <w:rPr>
            <w:color w:val="1155CC"/>
            <w:u w:val="single"/>
          </w:rPr>
          <w:t>https://doi.org/10.1080/01559982.2024.2434340</w:t>
        </w:r>
      </w:hyperlink>
    </w:p>
    <w:p w14:paraId="61C1A7C9"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Chang, C. L. (2026). Implementation readiness of artificial intelligence in in vitro fertilization: A multi-framework appraisal with special reference to advanced reproductive age patients. Frontiers in Endocrinology, 17, Article 1910448.</w:t>
      </w:r>
      <w:hyperlink r:id="rId28">
        <w:r w:rsidR="000A2285" w:rsidRPr="00B257CC">
          <w:t xml:space="preserve"> </w:t>
        </w:r>
      </w:hyperlink>
      <w:hyperlink r:id="rId29">
        <w:r w:rsidR="000A2285" w:rsidRPr="00B257CC">
          <w:rPr>
            <w:color w:val="1155CC"/>
            <w:u w:val="single"/>
          </w:rPr>
          <w:t>https://doi.org/10.3389/fendo.2026.1910448</w:t>
        </w:r>
      </w:hyperlink>
    </w:p>
    <w:p w14:paraId="5D4EB611"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 xml:space="preserve">Chartered Institute of Personnel and Development. (2024). </w:t>
      </w:r>
      <w:r w:rsidRPr="00B257CC">
        <w:rPr>
          <w:i/>
          <w:iCs/>
        </w:rPr>
        <w:t>Change management: A guide for people professionals</w:t>
      </w:r>
      <w:r w:rsidRPr="00B257CC">
        <w:t>.</w:t>
      </w:r>
      <w:hyperlink r:id="rId30">
        <w:r w:rsidR="000A2285" w:rsidRPr="00B257CC">
          <w:t xml:space="preserve"> </w:t>
        </w:r>
      </w:hyperlink>
      <w:hyperlink r:id="rId31">
        <w:r w:rsidR="000A2285" w:rsidRPr="00B257CC">
          <w:rPr>
            <w:color w:val="1155CC"/>
            <w:u w:val="single"/>
          </w:rPr>
          <w:t>https://www.cipd.org/en/knowledge/guides/change-management/</w:t>
        </w:r>
      </w:hyperlink>
    </w:p>
    <w:p w14:paraId="2FAB812B"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Chernyi, A., &amp; Uotila, J. (2024). Prioritization of organizational stakeholders: A managerial decision-making perspective. Journal of Business Research, 185, Article 114882.</w:t>
      </w:r>
      <w:hyperlink r:id="rId32">
        <w:r w:rsidR="000A2285" w:rsidRPr="00B257CC">
          <w:rPr>
            <w:color w:val="1155CC"/>
            <w:u w:val="single"/>
          </w:rPr>
          <w:t xml:space="preserve"> https://doi.org/10.1016/j.jbusres.2024.114882</w:t>
        </w:r>
      </w:hyperlink>
    </w:p>
    <w:p w14:paraId="6187240A"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Chipangura, P., van Niekerk, D., Mangara, F., &amp; Zembe, A. (2024). Organisational vulnerability: Exploring the pathways. Disaster Prevention and Management: An International Journal, 33(6), 16–29.</w:t>
      </w:r>
      <w:hyperlink r:id="rId33">
        <w:r w:rsidR="000A2285" w:rsidRPr="00B257CC">
          <w:t xml:space="preserve"> </w:t>
        </w:r>
      </w:hyperlink>
      <w:hyperlink r:id="rId34">
        <w:r w:rsidR="000A2285" w:rsidRPr="00B257CC">
          <w:rPr>
            <w:color w:val="1155CC"/>
            <w:u w:val="single"/>
          </w:rPr>
          <w:t>https://doi.org/10.1108/DPM-03-2024-0065</w:t>
        </w:r>
      </w:hyperlink>
    </w:p>
    <w:p w14:paraId="187E702C"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Choi, H.-K., Kim, S.-S., &amp; Kim, B.-S. (2023). Perceived justice and customer loyalty in the situation of beauty service failure. SAGE Open, 13(4).</w:t>
      </w:r>
      <w:hyperlink r:id="rId35">
        <w:r w:rsidR="000A2285" w:rsidRPr="00B257CC">
          <w:rPr>
            <w:color w:val="1155CC"/>
            <w:u w:val="single"/>
          </w:rPr>
          <w:t xml:space="preserve"> https://doi.org/10.1177/21582440231217729</w:t>
        </w:r>
      </w:hyperlink>
    </w:p>
    <w:p w14:paraId="45A207F9"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lastRenderedPageBreak/>
        <w:t>Cieślik, J., &amp; van Stel, A. (2024). Solo self-employment—Key policy challenges. Journal of Economic Surveys, 38(3), 759–792.</w:t>
      </w:r>
      <w:hyperlink r:id="rId36">
        <w:r w:rsidR="000A2285" w:rsidRPr="00B257CC">
          <w:rPr>
            <w:color w:val="1155CC"/>
            <w:u w:val="single"/>
          </w:rPr>
          <w:t xml:space="preserve"> https://doi.org/10.1111/joes.12559</w:t>
        </w:r>
      </w:hyperlink>
    </w:p>
    <w:p w14:paraId="7418B9F0"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Ciriello, R. F., Mathiassen, L., Risius, M., Cheong, M., Scheepers, H., &amp; Vaast, E. (2025). Compassionate digital innovation: A pluralistic perspective and research agenda. Information Systems Journal.</w:t>
      </w:r>
      <w:hyperlink r:id="rId37">
        <w:r w:rsidR="000A2285" w:rsidRPr="00B257CC">
          <w:t xml:space="preserve"> </w:t>
        </w:r>
      </w:hyperlink>
      <w:hyperlink r:id="rId38">
        <w:r w:rsidR="000A2285" w:rsidRPr="00B257CC">
          <w:rPr>
            <w:color w:val="1155CC"/>
            <w:u w:val="single"/>
          </w:rPr>
          <w:t>https://doi.org/10.1111/isj.70003</w:t>
        </w:r>
      </w:hyperlink>
    </w:p>
    <w:p w14:paraId="2FD5A6C5"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Develyn, T., Van Schaik, L., Harvey, W., Ali, Z., &amp; Wright, J. (2026). Strengthening the rural medical workforce: The need for a paradigm shift in protecting and growing the critical role of GP supervisors. Frontiers in Medicine, 13, Article 1868204.</w:t>
      </w:r>
      <w:hyperlink r:id="rId39">
        <w:r w:rsidR="000A2285" w:rsidRPr="00B257CC">
          <w:t xml:space="preserve"> </w:t>
        </w:r>
      </w:hyperlink>
      <w:hyperlink r:id="rId40">
        <w:r w:rsidR="000A2285" w:rsidRPr="00B257CC">
          <w:rPr>
            <w:color w:val="1155CC"/>
            <w:u w:val="single"/>
          </w:rPr>
          <w:t>https://doi.org/10.3389/fmed.2026.1868204</w:t>
        </w:r>
      </w:hyperlink>
    </w:p>
    <w:p w14:paraId="326B92BB"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Edmondson, A. C., &amp; Bransby, D. P. (2023). Psychological safety comes of age: Observed themes in an established literature. Annual Review of Organizational Psychology and Organizational Behavior, 10, 55–78.</w:t>
      </w:r>
      <w:hyperlink r:id="rId41">
        <w:r w:rsidR="000A2285" w:rsidRPr="00B257CC">
          <w:t xml:space="preserve"> </w:t>
        </w:r>
      </w:hyperlink>
      <w:hyperlink r:id="rId42">
        <w:r w:rsidR="000A2285" w:rsidRPr="00B257CC">
          <w:rPr>
            <w:color w:val="1155CC"/>
            <w:u w:val="single"/>
          </w:rPr>
          <w:t>https://doi.org/10.1146/annurev-orgpsych-120920-055217</w:t>
        </w:r>
      </w:hyperlink>
    </w:p>
    <w:p w14:paraId="7A123A73"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Fasbender, U., &amp; Gerpott, F. H. (2023). Designing work for change and its unintended side effects. Journal of Vocational Behavior, 145, Article 103913.</w:t>
      </w:r>
      <w:hyperlink r:id="rId43">
        <w:r w:rsidR="000A2285" w:rsidRPr="00B257CC">
          <w:rPr>
            <w:color w:val="1155CC"/>
            <w:u w:val="single"/>
          </w:rPr>
          <w:t xml:space="preserve"> https://doi.org/10.1016/j.jvb.2023.103913</w:t>
        </w:r>
      </w:hyperlink>
    </w:p>
    <w:p w14:paraId="0656393F"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 xml:space="preserve">GOV.UK (n.d.-a). </w:t>
      </w:r>
      <w:r w:rsidRPr="00B257CC">
        <w:rPr>
          <w:i/>
          <w:iCs/>
        </w:rPr>
        <w:t>Contract types and employer responsibilities: Full-time and part-time contracts</w:t>
      </w:r>
      <w:r w:rsidRPr="00B257CC">
        <w:t>.</w:t>
      </w:r>
      <w:hyperlink r:id="rId44">
        <w:r w:rsidR="000A2285" w:rsidRPr="00B257CC">
          <w:t xml:space="preserve"> </w:t>
        </w:r>
      </w:hyperlink>
      <w:hyperlink r:id="rId45">
        <w:r w:rsidR="000A2285" w:rsidRPr="00B257CC">
          <w:rPr>
            <w:color w:val="1155CC"/>
            <w:u w:val="single"/>
          </w:rPr>
          <w:t>https://www.gov.uk/contract-types-and-employer-responsibilities/fulltime-and-parttime-contracts</w:t>
        </w:r>
      </w:hyperlink>
    </w:p>
    <w:p w14:paraId="34DED398"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 xml:space="preserve">GOV.UK. (n.d.-b). </w:t>
      </w:r>
      <w:r w:rsidRPr="00B257CC">
        <w:rPr>
          <w:i/>
          <w:iCs/>
        </w:rPr>
        <w:t>Employ someone: Step by step</w:t>
      </w:r>
      <w:r w:rsidRPr="00B257CC">
        <w:t>. Retrieved October 6, 2026, from</w:t>
      </w:r>
      <w:hyperlink r:id="rId46">
        <w:r w:rsidR="000A2285" w:rsidRPr="00B257CC">
          <w:rPr>
            <w:color w:val="1155CC"/>
            <w:u w:val="single"/>
          </w:rPr>
          <w:t xml:space="preserve"> https://www.gov.uk/employ-someone</w:t>
        </w:r>
      </w:hyperlink>
    </w:p>
    <w:p w14:paraId="6368406A" w14:textId="77777777" w:rsidR="000A2285"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pPr>
      <w:r w:rsidRPr="00B257CC">
        <w:t xml:space="preserve">GOV.UK. (n.d.). </w:t>
      </w:r>
      <w:r w:rsidRPr="00B257CC">
        <w:rPr>
          <w:i/>
          <w:iCs/>
        </w:rPr>
        <w:t>Contract types and employer responsibilities: Full-time and part-time contracts</w:t>
      </w:r>
      <w:r w:rsidRPr="00B257CC">
        <w:t>. Retrieved October 6, 2026, from</w:t>
      </w:r>
      <w:hyperlink r:id="rId47">
        <w:r w:rsidR="000A2285" w:rsidRPr="00B257CC">
          <w:rPr>
            <w:color w:val="1155CC"/>
            <w:u w:val="single"/>
          </w:rPr>
          <w:t xml:space="preserve"> https://www.gov.uk/contract-types-and-employer-responsibilities/fulltime-and-parttime-contracts</w:t>
        </w:r>
      </w:hyperlink>
    </w:p>
    <w:p w14:paraId="4DFB81CE" w14:textId="49C501DD" w:rsidR="00963C3A" w:rsidRPr="00B257CC" w:rsidRDefault="00963C3A"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963C3A">
        <w:t xml:space="preserve">Gugelmin-Almeida, D., Tobase, L., Maconochie, I., Polastri, T., Rodrigues Gesteira, E. C., &amp; Williams, J. (2022). What can be learned from the literature about intervals and strategies for paediatric CPR retraining of healthcare professionals? A scoping review of literature. Resuscitation Plus, 12, Article 100319. </w:t>
      </w:r>
      <w:hyperlink r:id="rId48" w:history="1">
        <w:r w:rsidRPr="00963C3A">
          <w:rPr>
            <w:rStyle w:val="Hyperlink"/>
          </w:rPr>
          <w:t>https://doi.org/10.1016/j.resplu.2022.100319</w:t>
        </w:r>
      </w:hyperlink>
    </w:p>
    <w:p w14:paraId="317C0650" w14:textId="77777777" w:rsidR="000A2285"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pPr>
      <w:r w:rsidRPr="00B257CC">
        <w:t xml:space="preserve">Harris, B., &amp; Brooker, J. (2025). Environmental Scanning: A Look to the Future. </w:t>
      </w:r>
      <w:r w:rsidRPr="00B257CC">
        <w:rPr>
          <w:i/>
          <w:iCs/>
        </w:rPr>
        <w:t>New Directions for Evaluation</w:t>
      </w:r>
      <w:r w:rsidRPr="00B257CC">
        <w:t xml:space="preserve">, </w:t>
      </w:r>
      <w:r w:rsidRPr="00B257CC">
        <w:rPr>
          <w:i/>
          <w:iCs/>
        </w:rPr>
        <w:t>2025</w:t>
      </w:r>
      <w:r w:rsidRPr="00B257CC">
        <w:t>(185–186), 33–41.</w:t>
      </w:r>
      <w:hyperlink r:id="rId49">
        <w:r w:rsidR="000A2285" w:rsidRPr="00B257CC">
          <w:rPr>
            <w:color w:val="147885"/>
            <w:u w:val="single"/>
          </w:rPr>
          <w:t xml:space="preserve"> </w:t>
        </w:r>
      </w:hyperlink>
      <w:hyperlink r:id="rId50">
        <w:r w:rsidR="000A2285" w:rsidRPr="00B257CC">
          <w:rPr>
            <w:color w:val="1155CC"/>
            <w:u w:val="single"/>
          </w:rPr>
          <w:t>https://doi.org/10.1002/ev.20633</w:t>
        </w:r>
      </w:hyperlink>
    </w:p>
    <w:p w14:paraId="24ADB88F" w14:textId="449A0E27" w:rsidR="00963C3A" w:rsidRPr="00B257CC" w:rsidRDefault="00963C3A"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963C3A">
        <w:lastRenderedPageBreak/>
        <w:t xml:space="preserve">Hassaan, N. (2023). An investigation of the opportunities and challenges facing the acceptance and adoption of patient focused booking systems in Australian outpatient clinics for improved organisational and patients outcomes [Doctoral dissertation, University of Tasmania]. University of Tasmania Research Repository. </w:t>
      </w:r>
      <w:hyperlink r:id="rId51" w:history="1">
        <w:r w:rsidRPr="00963C3A">
          <w:rPr>
            <w:rStyle w:val="Hyperlink"/>
          </w:rPr>
          <w:t>https://figshare.utas.edu.au/articles/thesis/25632372</w:t>
        </w:r>
      </w:hyperlink>
    </w:p>
    <w:p w14:paraId="7E0B02CD"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Haxhiu, E., &amp; Marc, M. (2026). Unintended consequences of management control systems: A systematic review and conceptual framework. Journal of Management Control.</w:t>
      </w:r>
      <w:hyperlink r:id="rId52">
        <w:r w:rsidR="000A2285" w:rsidRPr="00B257CC">
          <w:rPr>
            <w:color w:val="1155CC"/>
            <w:u w:val="single"/>
          </w:rPr>
          <w:t xml:space="preserve"> https://doi.org/10.1007/s00187-026-00422-2</w:t>
        </w:r>
      </w:hyperlink>
    </w:p>
    <w:p w14:paraId="07776737"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rPr>
      </w:pPr>
      <w:r w:rsidRPr="00B257CC">
        <w:t xml:space="preserve">Haykal, D., Flament, F., Payne, C. R., Schalka, S., Philippe, M., Rolland, O., Mora, P., Cartier, H., &amp; Dréno, B. (2025). Sustainability in Cosmetic Dermatology: Moving Toward an Ecologically Responsible Future. </w:t>
      </w:r>
      <w:r w:rsidRPr="00B257CC">
        <w:rPr>
          <w:i/>
          <w:iCs/>
        </w:rPr>
        <w:t>Dermatology and Therapy</w:t>
      </w:r>
      <w:r w:rsidRPr="00B257CC">
        <w:t xml:space="preserve">, </w:t>
      </w:r>
      <w:r w:rsidRPr="00B257CC">
        <w:rPr>
          <w:i/>
          <w:iCs/>
        </w:rPr>
        <w:t>15</w:t>
      </w:r>
      <w:r w:rsidRPr="00B257CC">
        <w:t>(10), 2687–2701.</w:t>
      </w:r>
      <w:hyperlink r:id="rId53">
        <w:r w:rsidR="000A2285" w:rsidRPr="00B257CC">
          <w:t xml:space="preserve"> </w:t>
        </w:r>
      </w:hyperlink>
      <w:hyperlink r:id="rId54">
        <w:r w:rsidR="000A2285" w:rsidRPr="00B257CC">
          <w:rPr>
            <w:color w:val="1155CC"/>
            <w:u w:val="single"/>
          </w:rPr>
          <w:t>https://doi.org/10.1007/s13555-025-01488-x</w:t>
        </w:r>
      </w:hyperlink>
      <w:r w:rsidRPr="00B257CC">
        <w:rPr>
          <w:color w:val="1155CC"/>
        </w:rPr>
        <w:t xml:space="preserve"> </w:t>
      </w:r>
    </w:p>
    <w:p w14:paraId="0ABF5C76"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Hendrawan, S. A., Chatra, A., Iman, N., Hidayatullah, S., &amp; Suprayitno, D. (2024). Digital transformation in MSMEs: Challenges and opportunities in technology management. Jurnal Informasi dan Teknologi, 6(2), 141–149.</w:t>
      </w:r>
      <w:hyperlink r:id="rId55">
        <w:r w:rsidR="000A2285" w:rsidRPr="00B257CC">
          <w:rPr>
            <w:color w:val="1155CC"/>
            <w:u w:val="single"/>
          </w:rPr>
          <w:t xml:space="preserve"> https://doi.org/10.60083/jidt.v6i2.551</w:t>
        </w:r>
      </w:hyperlink>
    </w:p>
    <w:p w14:paraId="6A4AC62C"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Hendri, M. I. (2025). Performance management in SMEs: Integrating bibliometric insights and systematic review on antecedents and outcomes. Social Sciences &amp; Humanities Open, 12, Article 102205.</w:t>
      </w:r>
      <w:hyperlink r:id="rId56">
        <w:r w:rsidR="000A2285" w:rsidRPr="00B257CC">
          <w:rPr>
            <w:color w:val="1155CC"/>
            <w:u w:val="single"/>
          </w:rPr>
          <w:t xml:space="preserve"> https://doi.org/10.1016/j.ssaho.2025.102205</w:t>
        </w:r>
      </w:hyperlink>
    </w:p>
    <w:p w14:paraId="51A185BD"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pPr>
      <w:r w:rsidRPr="00B257CC">
        <w:t>Hiatt, J. M. (2006). ADKAR: A model for change in business, government and our community. Prosci Learning Center Publications.</w:t>
      </w:r>
    </w:p>
    <w:p w14:paraId="3C9471E3"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Hussein, R., Zink, A., Ramadan, B., Howard, F. M., Hightower, M., Shah, S., &amp; Beaulieu-Jones, B. K. (2026). Advancing healthcare AI governance through a comprehensive maturity model based on systematic review. npj Digital Medicine, 9, Article 236.</w:t>
      </w:r>
      <w:hyperlink r:id="rId57">
        <w:r w:rsidR="000A2285" w:rsidRPr="00B257CC">
          <w:rPr>
            <w:color w:val="1155CC"/>
            <w:u w:val="single"/>
          </w:rPr>
          <w:t xml:space="preserve"> https://doi.org/10.1038/s41746-026-02418-7</w:t>
        </w:r>
      </w:hyperlink>
    </w:p>
    <w:p w14:paraId="25E1DD38"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 xml:space="preserve">Joint Council for Cosmetic Practitioners and Hamilton Fraser (2021). </w:t>
      </w:r>
      <w:r w:rsidRPr="00B257CC">
        <w:rPr>
          <w:i/>
          <w:iCs/>
        </w:rPr>
        <w:t>Charter of Recommended Best Practice in Insuring Non-Surgical Aesthetic Practitioners</w:t>
      </w:r>
      <w:r w:rsidRPr="00B257CC">
        <w:t>.</w:t>
      </w:r>
      <w:hyperlink r:id="rId58">
        <w:r w:rsidR="000A2285" w:rsidRPr="00B257CC">
          <w:t xml:space="preserve"> </w:t>
        </w:r>
      </w:hyperlink>
      <w:hyperlink r:id="rId59">
        <w:r w:rsidR="000A2285" w:rsidRPr="00B257CC">
          <w:rPr>
            <w:color w:val="1155CC"/>
            <w:u w:val="single"/>
          </w:rPr>
          <w:t>https://www.jccp.org.uk/ckfinder/userfiles/files/Insurance%20Charter%20-%20Final%20Draft%20V2.pdf</w:t>
        </w:r>
      </w:hyperlink>
    </w:p>
    <w:p w14:paraId="64F07952"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Khatri, R., Endalamaw, A., Erku, D., Wolka, E., Nigatu, F., Zewdie, A., &amp; Assefa, Y. (2023). Continuity and care coordination of primary health care: A scoping review. BMC Health Services Research, 23, Article 750.</w:t>
      </w:r>
      <w:hyperlink r:id="rId60">
        <w:r w:rsidR="000A2285" w:rsidRPr="00B257CC">
          <w:rPr>
            <w:color w:val="1155CC"/>
            <w:u w:val="single"/>
          </w:rPr>
          <w:t xml:space="preserve"> https://doi.org/10.1186/s12913-023-09718-8</w:t>
        </w:r>
      </w:hyperlink>
    </w:p>
    <w:p w14:paraId="40AADE01"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pPr>
      <w:r w:rsidRPr="00B257CC">
        <w:lastRenderedPageBreak/>
        <w:t>Kotter, J. P. (1995). Leading change: Why transformation efforts fail. Harvard Business Review, 73(2), 59–67.</w:t>
      </w:r>
    </w:p>
    <w:p w14:paraId="7613A201"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Lewin, K. (1947). Frontiers in group dynamics: Concept, method and reality in social science; social equilibria and social change. Human Relations, 1(1), 5–41.</w:t>
      </w:r>
      <w:hyperlink r:id="rId61">
        <w:r w:rsidR="000A2285" w:rsidRPr="00B257CC">
          <w:t xml:space="preserve"> </w:t>
        </w:r>
      </w:hyperlink>
      <w:hyperlink r:id="rId62">
        <w:r w:rsidR="000A2285" w:rsidRPr="00B257CC">
          <w:rPr>
            <w:color w:val="1155CC"/>
            <w:u w:val="single"/>
          </w:rPr>
          <w:t>https://doi.org/10.1177/001872674700100103</w:t>
        </w:r>
      </w:hyperlink>
    </w:p>
    <w:p w14:paraId="6A3AF1CD" w14:textId="77777777" w:rsidR="000A2285"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pPr>
      <w:r w:rsidRPr="00B257CC">
        <w:t>Malesu, M. L., &amp; Syrovátka, P. (2025). Critical success factors for small and medium sized businesses: A PRISMA-based systematic review. Future Business Journal, 11, Article 32.</w:t>
      </w:r>
      <w:hyperlink r:id="rId63">
        <w:r w:rsidR="000A2285" w:rsidRPr="00B257CC">
          <w:rPr>
            <w:color w:val="1155CC"/>
            <w:u w:val="single"/>
          </w:rPr>
          <w:t xml:space="preserve"> https://doi.org/10.1186/s43093-025-00458-1</w:t>
        </w:r>
      </w:hyperlink>
    </w:p>
    <w:p w14:paraId="56547E0B" w14:textId="4F61D958" w:rsidR="00FF0C28" w:rsidRPr="00FF0C28" w:rsidRDefault="00FF0C28"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pPr>
      <w:r w:rsidRPr="00FF0C28">
        <w:t>Maurer, R. (2010). Beyond the wall of resistance: Why 70% of all changes still fail—and what you can do about it (Rev. ed.). Bard Press.</w:t>
      </w:r>
    </w:p>
    <w:p w14:paraId="725B45F9"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Meidiaputri, R. D., Sopiah, &amp; Syihabudhin. (2025). Recruitment, selection and training on employee performance: A systematic literature review. Journal of Management: Small and Medium Enterprises (SMEs), 18(1), 507–516.</w:t>
      </w:r>
      <w:hyperlink r:id="rId64">
        <w:r w:rsidR="000A2285" w:rsidRPr="00B257CC">
          <w:t xml:space="preserve"> </w:t>
        </w:r>
      </w:hyperlink>
      <w:hyperlink r:id="rId65">
        <w:r w:rsidR="000A2285" w:rsidRPr="00B257CC">
          <w:rPr>
            <w:color w:val="1155CC"/>
            <w:u w:val="single"/>
          </w:rPr>
          <w:t>https://doi.org/10.35508/jom.v18i1.15703</w:t>
        </w:r>
      </w:hyperlink>
    </w:p>
    <w:p w14:paraId="32984F01"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Mladenova, I. (2022). Relation between organizational capacity for change and readiness for change. Administrative Sciences, 12(4), Article 135.</w:t>
      </w:r>
      <w:hyperlink r:id="rId66">
        <w:r w:rsidR="000A2285" w:rsidRPr="00B257CC">
          <w:t xml:space="preserve"> </w:t>
        </w:r>
      </w:hyperlink>
      <w:hyperlink r:id="rId67">
        <w:r w:rsidR="000A2285" w:rsidRPr="00B257CC">
          <w:rPr>
            <w:color w:val="1155CC"/>
            <w:u w:val="single"/>
          </w:rPr>
          <w:t>https://doi.org/10.3390/admsci12040135</w:t>
        </w:r>
      </w:hyperlink>
    </w:p>
    <w:p w14:paraId="181BA26C"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Morrison, E. W. (2023). Employee voice and silence: Taking stock a decade later. Annual Review of Organizational Psychology and Organizational Behavior, 10, 79–107.</w:t>
      </w:r>
      <w:hyperlink r:id="rId68">
        <w:r w:rsidR="000A2285" w:rsidRPr="00B257CC">
          <w:t xml:space="preserve"> </w:t>
        </w:r>
      </w:hyperlink>
      <w:hyperlink r:id="rId69">
        <w:r w:rsidR="000A2285" w:rsidRPr="00B257CC">
          <w:rPr>
            <w:color w:val="1155CC"/>
            <w:u w:val="single"/>
          </w:rPr>
          <w:t>https://doi.org/10.1146/annurev-orgpsych-120920-054654</w:t>
        </w:r>
      </w:hyperlink>
    </w:p>
    <w:p w14:paraId="7732C087"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pPr>
      <w:r w:rsidRPr="00B257CC">
        <w:t xml:space="preserve">Naveen, M. (2024). The Mediating Effect of Customer Satisfaction on the Relationship Between Brand Loyalty, Brand Awareness, and Customer Repurchase Intention with Reference to a D2C Brand. </w:t>
      </w:r>
      <w:r w:rsidRPr="00B257CC">
        <w:rPr>
          <w:i/>
          <w:iCs/>
        </w:rPr>
        <w:t>IPE Journal of Management</w:t>
      </w:r>
      <w:r w:rsidRPr="00B257CC">
        <w:t xml:space="preserve">, </w:t>
      </w:r>
      <w:r w:rsidRPr="00B257CC">
        <w:rPr>
          <w:i/>
          <w:iCs/>
        </w:rPr>
        <w:t>14</w:t>
      </w:r>
      <w:r w:rsidRPr="00B257CC">
        <w:t>(2), 47–66.</w:t>
      </w:r>
    </w:p>
    <w:p w14:paraId="7110FD31"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Okafor, N. G., &amp; Murphy, P. J. (2025). Utilizing AI in business and entrepreneurship: Implications for complex decision-making in engineering and product development settings. Applied AI Letters, 6(3), Article e70001.</w:t>
      </w:r>
      <w:hyperlink r:id="rId70">
        <w:r w:rsidR="000A2285" w:rsidRPr="00B257CC">
          <w:rPr>
            <w:color w:val="1155CC"/>
            <w:u w:val="single"/>
          </w:rPr>
          <w:t xml:space="preserve"> https://doi.org/10.1002/ail2.70001</w:t>
        </w:r>
      </w:hyperlink>
    </w:p>
    <w:p w14:paraId="33CE2E46" w14:textId="77777777" w:rsidR="000A2285"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pPr>
      <w:r w:rsidRPr="00B257CC">
        <w:t xml:space="preserve">OpenAI. (2026). </w:t>
      </w:r>
      <w:r w:rsidRPr="00B257CC">
        <w:rPr>
          <w:i/>
          <w:iCs/>
        </w:rPr>
        <w:t>ChatGPT (GPT-5.6 Sol) [Large language model].</w:t>
      </w:r>
      <w:hyperlink r:id="rId71">
        <w:r w:rsidR="000A2285" w:rsidRPr="00B257CC">
          <w:rPr>
            <w:color w:val="1155CC"/>
            <w:u w:val="single"/>
          </w:rPr>
          <w:t xml:space="preserve"> https://chatgpt.com/</w:t>
        </w:r>
      </w:hyperlink>
    </w:p>
    <w:p w14:paraId="111F4987" w14:textId="7818884E" w:rsidR="00C173D0" w:rsidRPr="00B257CC" w:rsidRDefault="00C173D0"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C173D0">
        <w:t>Oskarsson, I. M. L., &amp; Vik, E. (2024). Suggesting a holistic framework for understanding healthcare services leadership competence – a critical interpretive synthesis. Leadership in Health Services, 37(5), 99–129.</w:t>
      </w:r>
      <w:r w:rsidRPr="00C173D0">
        <w:rPr>
          <w:u w:val="single"/>
        </w:rPr>
        <w:t xml:space="preserve"> </w:t>
      </w:r>
      <w:hyperlink r:id="rId72" w:history="1">
        <w:r w:rsidRPr="00C173D0">
          <w:rPr>
            <w:rStyle w:val="Hyperlink"/>
          </w:rPr>
          <w:t>https://doi.org/10.1108/LHS-08-2023-0059</w:t>
        </w:r>
      </w:hyperlink>
    </w:p>
    <w:p w14:paraId="07D1F572"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lastRenderedPageBreak/>
        <w:t>Osibanjo, A. O., &amp; Wisdom, O. T. (2026). Change management practices and organisational outcomes: A hybrid systematic literature review and constraint-based leadership framework. F1000Research, 15, Article 1633.</w:t>
      </w:r>
      <w:hyperlink r:id="rId73">
        <w:r w:rsidR="000A2285" w:rsidRPr="00B257CC">
          <w:rPr>
            <w:color w:val="1155CC"/>
            <w:u w:val="single"/>
          </w:rPr>
          <w:t xml:space="preserve"> https://doi.org/10.12688/f1000research.186776.1</w:t>
        </w:r>
      </w:hyperlink>
    </w:p>
    <w:p w14:paraId="1CC1CADE"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 xml:space="preserve">Permana, A. Arafah, W. &amp; Anggiani, S. (2025). The Influence of Electronic Human Resource Management, Strategic Leadership, and Work Motivation on Organizational Performance in Indonesian Army Hospitals: The Mediating Role of Organizational Culture. </w:t>
      </w:r>
      <w:r w:rsidRPr="00B257CC">
        <w:rPr>
          <w:i/>
          <w:iCs/>
        </w:rPr>
        <w:t>International Journal of Business, Economics, and Social Development</w:t>
      </w:r>
      <w:r w:rsidRPr="00B257CC">
        <w:t xml:space="preserve">, </w:t>
      </w:r>
      <w:r w:rsidRPr="00B257CC">
        <w:rPr>
          <w:i/>
          <w:iCs/>
        </w:rPr>
        <w:t>6</w:t>
      </w:r>
      <w:r w:rsidRPr="00B257CC">
        <w:t>(2), 159–167.</w:t>
      </w:r>
      <w:hyperlink r:id="rId74">
        <w:r w:rsidR="000A2285" w:rsidRPr="00B257CC">
          <w:rPr>
            <w:color w:val="147885"/>
            <w:u w:val="single"/>
          </w:rPr>
          <w:t xml:space="preserve"> </w:t>
        </w:r>
      </w:hyperlink>
      <w:hyperlink r:id="rId75">
        <w:r w:rsidR="000A2285" w:rsidRPr="00B257CC">
          <w:rPr>
            <w:color w:val="1155CC"/>
            <w:u w:val="single"/>
          </w:rPr>
          <w:t>https://doi.org/10.46336/ijbesd.v6i2.890</w:t>
        </w:r>
      </w:hyperlink>
    </w:p>
    <w:p w14:paraId="51905FD1"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Reineholm, C., Lundqvist, D., &amp; Wallo, A. (2024). Change competence: An integrative literature review. Work, 79(2), 569–584.</w:t>
      </w:r>
      <w:hyperlink r:id="rId76">
        <w:r w:rsidR="000A2285" w:rsidRPr="00B257CC">
          <w:rPr>
            <w:color w:val="1155CC"/>
            <w:u w:val="single"/>
          </w:rPr>
          <w:t xml:space="preserve"> https://doi.org/10.3233/WOR-230633</w:t>
        </w:r>
      </w:hyperlink>
    </w:p>
    <w:p w14:paraId="2AB8C578"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 xml:space="preserve">Sastre, R., &amp; Yela Aránega, A. (2023). A paradigm change: Aesthetics in the management of organisations. </w:t>
      </w:r>
      <w:r w:rsidRPr="00B257CC">
        <w:rPr>
          <w:i/>
          <w:iCs/>
        </w:rPr>
        <w:t>Journal of Business Research</w:t>
      </w:r>
      <w:r w:rsidRPr="00B257CC">
        <w:t xml:space="preserve">, </w:t>
      </w:r>
      <w:r w:rsidRPr="00B257CC">
        <w:rPr>
          <w:i/>
          <w:iCs/>
        </w:rPr>
        <w:t>157</w:t>
      </w:r>
      <w:r w:rsidRPr="00B257CC">
        <w:t>, Article 113574.</w:t>
      </w:r>
      <w:hyperlink r:id="rId77">
        <w:r w:rsidR="000A2285" w:rsidRPr="00B257CC">
          <w:t xml:space="preserve"> </w:t>
        </w:r>
      </w:hyperlink>
      <w:hyperlink r:id="rId78">
        <w:r w:rsidR="000A2285" w:rsidRPr="00B257CC">
          <w:rPr>
            <w:color w:val="1155CC"/>
            <w:u w:val="single"/>
          </w:rPr>
          <w:t>https://doi.org/10.1016/j.jbusres.2022.113574</w:t>
        </w:r>
      </w:hyperlink>
    </w:p>
    <w:p w14:paraId="0D7C5FB1"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Schlawe, A., Christiansen, A. V., &amp; Henriksen, K. (2025). The high-performance sport environment: Laying the foundation for a new research topic. Frontiers in Sports and Active Living, 7, Article 1503199.</w:t>
      </w:r>
      <w:hyperlink r:id="rId79">
        <w:r w:rsidR="000A2285" w:rsidRPr="00B257CC">
          <w:rPr>
            <w:color w:val="1155CC"/>
            <w:u w:val="single"/>
          </w:rPr>
          <w:t xml:space="preserve"> https://doi.org/10.3389/fspor.2025.1503199</w:t>
        </w:r>
      </w:hyperlink>
    </w:p>
    <w:p w14:paraId="776FCDA2"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Sott, M. K., &amp; Bender, M. S. (2025). The role of adaptive leadership in times of crisis: A systematic review and conceptual framework. Merits, 5(1), Article 2.</w:t>
      </w:r>
      <w:hyperlink r:id="rId80">
        <w:r w:rsidR="000A2285" w:rsidRPr="00B257CC">
          <w:t xml:space="preserve"> </w:t>
        </w:r>
      </w:hyperlink>
      <w:hyperlink r:id="rId81">
        <w:r w:rsidR="000A2285" w:rsidRPr="00B257CC">
          <w:rPr>
            <w:color w:val="1155CC"/>
            <w:u w:val="single"/>
          </w:rPr>
          <w:t>https://doi.org/10.3390/merits5010002</w:t>
        </w:r>
      </w:hyperlink>
    </w:p>
    <w:p w14:paraId="1730B2DF"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 xml:space="preserve">Tang, Y. M., Lau, Y., &amp; Ho, U. L. (2023). Empowering Digital Marketing with Interactive Virtual Reality (IVR) in Interior Design: Effects on Customer Satisfaction and Behaviour Intention. </w:t>
      </w:r>
      <w:r w:rsidRPr="00B257CC">
        <w:rPr>
          <w:i/>
          <w:iCs/>
        </w:rPr>
        <w:t>Journal of Theoretical and Applied Electronic Commerce Research</w:t>
      </w:r>
      <w:r w:rsidRPr="00B257CC">
        <w:t xml:space="preserve">, </w:t>
      </w:r>
      <w:r w:rsidRPr="00B257CC">
        <w:rPr>
          <w:i/>
          <w:iCs/>
        </w:rPr>
        <w:t>18</w:t>
      </w:r>
      <w:r w:rsidRPr="00B257CC">
        <w:t>(2), 889–907.</w:t>
      </w:r>
      <w:hyperlink r:id="rId82">
        <w:r w:rsidR="000A2285" w:rsidRPr="00B257CC">
          <w:rPr>
            <w:color w:val="147885"/>
            <w:u w:val="single"/>
          </w:rPr>
          <w:t xml:space="preserve"> </w:t>
        </w:r>
      </w:hyperlink>
      <w:hyperlink r:id="rId83">
        <w:r w:rsidR="000A2285" w:rsidRPr="00B257CC">
          <w:rPr>
            <w:color w:val="1155CC"/>
            <w:u w:val="single"/>
          </w:rPr>
          <w:t>https://doi.org/10.3390/jtaer18020046</w:t>
        </w:r>
      </w:hyperlink>
    </w:p>
    <w:p w14:paraId="424AC198"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 xml:space="preserve">Taylor, J., Avellone, L., Cimera, R., Brooke, V., Lambert, A., &amp; Iwanaga, K. (2021). Cost-benefit analyses of employment services for individuals with intellectual and developmental disabilities: A scoping review. </w:t>
      </w:r>
      <w:r w:rsidRPr="00B257CC">
        <w:rPr>
          <w:i/>
          <w:iCs/>
        </w:rPr>
        <w:t>Journal of Vocational Rehabilitation</w:t>
      </w:r>
      <w:r w:rsidRPr="00B257CC">
        <w:t xml:space="preserve">, </w:t>
      </w:r>
      <w:r w:rsidRPr="00B257CC">
        <w:rPr>
          <w:i/>
          <w:iCs/>
        </w:rPr>
        <w:t>54</w:t>
      </w:r>
      <w:r w:rsidRPr="00B257CC">
        <w:t>(2), 193–206.</w:t>
      </w:r>
      <w:hyperlink r:id="rId84">
        <w:r w:rsidR="000A2285" w:rsidRPr="00B257CC">
          <w:t xml:space="preserve"> </w:t>
        </w:r>
      </w:hyperlink>
      <w:hyperlink r:id="rId85">
        <w:r w:rsidR="000A2285" w:rsidRPr="00B257CC">
          <w:rPr>
            <w:color w:val="1155CC"/>
            <w:u w:val="single"/>
          </w:rPr>
          <w:t>https://doi.org/10.3233/JVR-201130</w:t>
        </w:r>
      </w:hyperlink>
    </w:p>
    <w:p w14:paraId="48F1C0FB"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Teka, B. M. (2022). Determinants of the sustainability and growth of micro and small enterprises (MSEs) in Ethiopia: Literature review. Journal of Innovation and Entrepreneurship, 11, Article 58.</w:t>
      </w:r>
      <w:hyperlink r:id="rId86">
        <w:r w:rsidR="000A2285" w:rsidRPr="00B257CC">
          <w:rPr>
            <w:color w:val="1155CC"/>
            <w:u w:val="single"/>
          </w:rPr>
          <w:t xml:space="preserve"> https://doi.org/10.1186/s13731-022-00261-0</w:t>
        </w:r>
      </w:hyperlink>
    </w:p>
    <w:p w14:paraId="7D853213"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lastRenderedPageBreak/>
        <w:t>Trifonova Price, L., &amp; Antonova, V. (2024). Challenges and opportunities for journalism in the Bulgarian COVID-19 communication ecology. Journalism Practice, 18(1), 119–136.</w:t>
      </w:r>
      <w:hyperlink r:id="rId87">
        <w:r w:rsidR="000A2285" w:rsidRPr="00B257CC">
          <w:t xml:space="preserve"> </w:t>
        </w:r>
      </w:hyperlink>
      <w:hyperlink r:id="rId88">
        <w:r w:rsidR="000A2285" w:rsidRPr="00B257CC">
          <w:rPr>
            <w:color w:val="1155CC"/>
            <w:u w:val="single"/>
          </w:rPr>
          <w:t>https://doi.org/10.1080/17512786.2022.2118154</w:t>
        </w:r>
      </w:hyperlink>
    </w:p>
    <w:p w14:paraId="79DEFB62" w14:textId="77777777" w:rsidR="000A2285"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pPr>
      <w:r w:rsidRPr="00B257CC">
        <w:t>Venkatesan, K., Amirdaa, H., Casmier, R. B., &amp; Sethupathy, K. (2025). The role of brand image and customer experience on purchase intention in the salon industry: Reassessing the impact of social media marketing. Cureus Journal of Business and Economics, 2, Article</w:t>
      </w:r>
      <w:hyperlink r:id="rId89">
        <w:r w:rsidR="000A2285" w:rsidRPr="00B257CC">
          <w:rPr>
            <w:color w:val="147885"/>
            <w:u w:val="single"/>
          </w:rPr>
          <w:t xml:space="preserve"> </w:t>
        </w:r>
      </w:hyperlink>
      <w:hyperlink r:id="rId90">
        <w:r w:rsidR="000A2285" w:rsidRPr="00B257CC">
          <w:rPr>
            <w:color w:val="1155CC"/>
            <w:u w:val="single"/>
          </w:rPr>
          <w:t>es44404-025-03759-4.doi.org</w:t>
        </w:r>
      </w:hyperlink>
    </w:p>
    <w:p w14:paraId="1F311013" w14:textId="514B289C" w:rsidR="00FF0C28" w:rsidRPr="00B257CC" w:rsidRDefault="00FF0C28"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FF0C28">
        <w:t>Vuong, T. D. N., &amp; Nguyen, L. T. (2022). The key strategies for measuring employee performance in companies: A systematic review. Sustainability, 14(21), Article 14017.</w:t>
      </w:r>
      <w:r w:rsidRPr="00FF0C28">
        <w:rPr>
          <w:u w:val="single"/>
        </w:rPr>
        <w:t xml:space="preserve"> </w:t>
      </w:r>
      <w:hyperlink r:id="rId91" w:history="1">
        <w:r w:rsidRPr="00FF0C28">
          <w:rPr>
            <w:rStyle w:val="Hyperlink"/>
          </w:rPr>
          <w:t>https://doi.org/10.3390/su142114017</w:t>
        </w:r>
      </w:hyperlink>
    </w:p>
    <w:p w14:paraId="7A5EE1CC"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 xml:space="preserve">Zhang, A. D., Shirazi, R., &amp; Vashi, N. A. (2024). Cosmetic Dermatology in the Digital Age. </w:t>
      </w:r>
      <w:r w:rsidRPr="00B257CC">
        <w:rPr>
          <w:i/>
          <w:iCs/>
        </w:rPr>
        <w:t>Journal of Clinical Medicine</w:t>
      </w:r>
      <w:r w:rsidRPr="00B257CC">
        <w:t xml:space="preserve">, </w:t>
      </w:r>
      <w:r w:rsidRPr="00B257CC">
        <w:rPr>
          <w:i/>
          <w:iCs/>
        </w:rPr>
        <w:t>13</w:t>
      </w:r>
      <w:r w:rsidRPr="00B257CC">
        <w:t>(22), 6953.</w:t>
      </w:r>
      <w:hyperlink r:id="rId92">
        <w:r w:rsidR="000A2285" w:rsidRPr="00B257CC">
          <w:rPr>
            <w:color w:val="147885"/>
            <w:u w:val="single"/>
          </w:rPr>
          <w:t xml:space="preserve"> </w:t>
        </w:r>
      </w:hyperlink>
      <w:hyperlink r:id="rId93">
        <w:r w:rsidR="000A2285" w:rsidRPr="00B257CC">
          <w:rPr>
            <w:color w:val="1155CC"/>
            <w:u w:val="single"/>
          </w:rPr>
          <w:t>https://doi.org/10.3390/jcm13226953</w:t>
        </w:r>
      </w:hyperlink>
    </w:p>
    <w:p w14:paraId="25095169" w14:textId="77777777" w:rsidR="000A2285" w:rsidRPr="00B257CC" w:rsidRDefault="00B9150E" w:rsidP="008917F4">
      <w:pPr>
        <w:pBdr>
          <w:top w:val="none" w:sz="0" w:space="0" w:color="E5E7EB"/>
          <w:left w:val="none" w:sz="0" w:space="4" w:color="E5E7EB"/>
          <w:bottom w:val="none" w:sz="0" w:space="0" w:color="E5E7EB"/>
          <w:right w:val="none" w:sz="0" w:space="0" w:color="E5E7EB"/>
          <w:between w:val="none" w:sz="0" w:space="0" w:color="E5E7EB"/>
        </w:pBdr>
        <w:shd w:val="clear" w:color="auto" w:fill="FFFFFF"/>
        <w:spacing w:before="240" w:after="240" w:line="360" w:lineRule="auto"/>
        <w:ind w:hanging="720"/>
        <w:rPr>
          <w:color w:val="1155CC"/>
          <w:u w:val="single"/>
        </w:rPr>
      </w:pPr>
      <w:r w:rsidRPr="00B257CC">
        <w:t>Zhao, Y., Quadros, W., Nagraj, S., Wong, G., English, M., &amp; Leckcivilize, A. (2024). Factors influencing the development, recruitment, integration, retention and career development of advanced practice providers in hospital health care teams: A scoping review. BMC Medicine, 22, Article 286.</w:t>
      </w:r>
      <w:hyperlink r:id="rId94">
        <w:r w:rsidR="000A2285" w:rsidRPr="00B257CC">
          <w:t xml:space="preserve"> </w:t>
        </w:r>
      </w:hyperlink>
      <w:hyperlink r:id="rId95">
        <w:r w:rsidR="000A2285" w:rsidRPr="00B257CC">
          <w:rPr>
            <w:color w:val="1155CC"/>
            <w:u w:val="single"/>
          </w:rPr>
          <w:t>https://doi.org/10.1186/s12916-024-03509-6</w:t>
        </w:r>
      </w:hyperlink>
    </w:p>
    <w:p w14:paraId="7184FE2F" w14:textId="77777777" w:rsidR="000A2285" w:rsidRDefault="00B9150E" w:rsidP="008917F4">
      <w:pPr>
        <w:pStyle w:val="Heading2"/>
        <w:spacing w:line="360" w:lineRule="auto"/>
      </w:pPr>
      <w:bookmarkStart w:id="54" w:name="_dl0p77kc8z" w:colFirst="0" w:colLast="0"/>
      <w:bookmarkStart w:id="55" w:name="_Toc242650087"/>
      <w:bookmarkEnd w:id="54"/>
      <w:r>
        <w:t>Appendices</w:t>
      </w:r>
      <w:bookmarkEnd w:id="55"/>
    </w:p>
    <w:p w14:paraId="16185780" w14:textId="77777777" w:rsidR="000A2285" w:rsidRDefault="000A2285" w:rsidP="008917F4">
      <w:pPr>
        <w:spacing w:line="360" w:lineRule="auto"/>
      </w:pPr>
    </w:p>
    <w:p w14:paraId="076AB4AE" w14:textId="77777777" w:rsidR="008917F4" w:rsidRPr="007C262D" w:rsidRDefault="008917F4" w:rsidP="008917F4">
      <w:pPr>
        <w:spacing w:line="360" w:lineRule="auto"/>
      </w:pPr>
      <w:r w:rsidRPr="007C262D">
        <w:rPr>
          <w:b/>
          <w:bCs/>
        </w:rPr>
        <w:t>Figure 1.</w:t>
      </w:r>
      <w:r w:rsidRPr="007C262D">
        <w:t xml:space="preserve"> PESTLE Analysis</w:t>
      </w:r>
    </w:p>
    <w:p w14:paraId="635B307A" w14:textId="77777777" w:rsidR="008917F4" w:rsidRPr="007C262D" w:rsidRDefault="008917F4" w:rsidP="008917F4">
      <w:pPr>
        <w:spacing w:line="360" w:lineRule="auto"/>
      </w:pPr>
      <w:r w:rsidRPr="007C262D">
        <w:t xml:space="preserve">Created by Hughes (2026) </w:t>
      </w:r>
    </w:p>
    <w:p w14:paraId="7E879169" w14:textId="0F28D655" w:rsidR="008917F4" w:rsidRPr="007C262D" w:rsidRDefault="008917F4" w:rsidP="008917F4">
      <w:pPr>
        <w:spacing w:line="360" w:lineRule="auto"/>
      </w:pPr>
      <w:r w:rsidRPr="007C262D">
        <w:t xml:space="preserve">Using Canva </w:t>
      </w:r>
    </w:p>
    <w:p w14:paraId="58F99E91" w14:textId="77777777" w:rsidR="00EF1A88" w:rsidRPr="007C262D" w:rsidRDefault="00EF1A88"/>
    <w:p w14:paraId="53FBDE74" w14:textId="77777777" w:rsidR="008917F4" w:rsidRPr="007C262D" w:rsidRDefault="008917F4" w:rsidP="008917F4">
      <w:pPr>
        <w:spacing w:before="240" w:after="240"/>
      </w:pPr>
      <w:r w:rsidRPr="007C262D">
        <w:rPr>
          <w:b/>
          <w:bCs/>
        </w:rPr>
        <w:t>Figure 2</w:t>
      </w:r>
      <w:r w:rsidRPr="007C262D">
        <w:t xml:space="preserve">. SWOT analysis </w:t>
      </w:r>
    </w:p>
    <w:p w14:paraId="089D775B" w14:textId="77777777" w:rsidR="008917F4" w:rsidRPr="007C262D" w:rsidRDefault="008917F4" w:rsidP="008917F4">
      <w:pPr>
        <w:spacing w:before="240" w:after="240"/>
      </w:pPr>
      <w:r w:rsidRPr="007C262D">
        <w:t>Created by Hughes (2026)</w:t>
      </w:r>
    </w:p>
    <w:p w14:paraId="5C7280FF" w14:textId="5D6F5DD3" w:rsidR="008917F4" w:rsidRPr="007C262D" w:rsidRDefault="008917F4" w:rsidP="008917F4">
      <w:pPr>
        <w:spacing w:before="240" w:after="240"/>
      </w:pPr>
      <w:r w:rsidRPr="007C262D">
        <w:t xml:space="preserve">Using Canva </w:t>
      </w:r>
    </w:p>
    <w:p w14:paraId="7E080E79" w14:textId="77777777" w:rsidR="008917F4" w:rsidRPr="007C262D" w:rsidRDefault="008917F4" w:rsidP="008917F4">
      <w:pPr>
        <w:spacing w:before="240" w:after="240" w:line="360" w:lineRule="auto"/>
        <w:jc w:val="both"/>
      </w:pPr>
    </w:p>
    <w:p w14:paraId="4ED419A2" w14:textId="146F41F2" w:rsidR="008917F4" w:rsidRPr="007C262D" w:rsidRDefault="008917F4" w:rsidP="008917F4">
      <w:pPr>
        <w:spacing w:before="240" w:after="240" w:line="360" w:lineRule="auto"/>
        <w:jc w:val="both"/>
      </w:pPr>
      <w:r w:rsidRPr="007C262D">
        <w:rPr>
          <w:b/>
          <w:bCs/>
        </w:rPr>
        <w:t>Table 1</w:t>
      </w:r>
      <w:r w:rsidRPr="007C262D">
        <w:t xml:space="preserve">: </w:t>
      </w:r>
      <w:r w:rsidRPr="007C262D">
        <w:rPr>
          <w:b/>
          <w:bCs/>
        </w:rPr>
        <w:t>Salons revenue from a self-employed rental model to an employed model revenue</w:t>
      </w:r>
      <w:r w:rsidRPr="007C262D">
        <w:t xml:space="preserve"> </w:t>
      </w:r>
      <w:r w:rsidRPr="007C262D">
        <w:rPr>
          <w:b/>
          <w:bCs/>
        </w:rPr>
        <w:t xml:space="preserve">estimation </w:t>
      </w:r>
    </w:p>
    <w:p w14:paraId="1FE170A0" w14:textId="77777777" w:rsidR="008917F4" w:rsidRPr="007C262D" w:rsidRDefault="008917F4" w:rsidP="008917F4">
      <w:pPr>
        <w:spacing w:before="240" w:after="240" w:line="360" w:lineRule="auto"/>
        <w:jc w:val="both"/>
      </w:pPr>
      <w:r w:rsidRPr="007C262D">
        <w:t xml:space="preserve">Create by Hughes (2026) </w:t>
      </w:r>
    </w:p>
    <w:p w14:paraId="793AB7B4" w14:textId="790784ED" w:rsidR="000A2285" w:rsidRPr="007C262D" w:rsidRDefault="008917F4" w:rsidP="008917F4">
      <w:pPr>
        <w:spacing w:before="240" w:after="240" w:line="360" w:lineRule="auto"/>
        <w:jc w:val="both"/>
      </w:pPr>
      <w:r w:rsidRPr="007C262D">
        <w:lastRenderedPageBreak/>
        <w:t>Using Word</w:t>
      </w:r>
    </w:p>
    <w:p w14:paraId="3D662269" w14:textId="77777777" w:rsidR="008917F4" w:rsidRPr="007C262D" w:rsidRDefault="008917F4" w:rsidP="008917F4">
      <w:pPr>
        <w:spacing w:before="240" w:after="240" w:line="360" w:lineRule="auto"/>
        <w:jc w:val="both"/>
      </w:pPr>
    </w:p>
    <w:p w14:paraId="51691F7C" w14:textId="77777777" w:rsidR="007C262D" w:rsidRPr="007C262D" w:rsidRDefault="007C262D" w:rsidP="007C262D">
      <w:pPr>
        <w:spacing w:line="360" w:lineRule="auto"/>
        <w:rPr>
          <w:b/>
          <w:bCs/>
        </w:rPr>
      </w:pPr>
      <w:r w:rsidRPr="007C262D">
        <w:rPr>
          <w:b/>
          <w:bCs/>
        </w:rPr>
        <w:t xml:space="preserve">Table 2: Stakeholder Analysis of the Proposed Employment Model </w:t>
      </w:r>
    </w:p>
    <w:p w14:paraId="0542093D" w14:textId="738076C3" w:rsidR="007C262D" w:rsidRPr="007C262D" w:rsidRDefault="007C262D" w:rsidP="008917F4">
      <w:pPr>
        <w:spacing w:before="240" w:after="240" w:line="360" w:lineRule="auto"/>
        <w:jc w:val="both"/>
      </w:pPr>
      <w:r w:rsidRPr="007C262D">
        <w:t>Created by Hughes (2026)</w:t>
      </w:r>
    </w:p>
    <w:p w14:paraId="4ADF2078" w14:textId="7398573C" w:rsidR="007C262D" w:rsidRPr="007C262D" w:rsidRDefault="007C262D" w:rsidP="008917F4">
      <w:pPr>
        <w:spacing w:before="240" w:after="240" w:line="360" w:lineRule="auto"/>
        <w:jc w:val="both"/>
      </w:pPr>
      <w:r w:rsidRPr="007C262D">
        <w:t>Using Word</w:t>
      </w:r>
    </w:p>
    <w:p w14:paraId="5847F5BF" w14:textId="77777777" w:rsidR="007C262D" w:rsidRPr="007C262D" w:rsidRDefault="007C262D" w:rsidP="008917F4">
      <w:pPr>
        <w:spacing w:before="240" w:after="240" w:line="360" w:lineRule="auto"/>
        <w:jc w:val="both"/>
      </w:pPr>
    </w:p>
    <w:p w14:paraId="55BF506C" w14:textId="77777777" w:rsidR="007C262D" w:rsidRPr="007C262D" w:rsidRDefault="007C262D" w:rsidP="007C262D">
      <w:pPr>
        <w:spacing w:line="360" w:lineRule="auto"/>
        <w:rPr>
          <w:b/>
          <w:bCs/>
        </w:rPr>
      </w:pPr>
      <w:r w:rsidRPr="007C262D">
        <w:rPr>
          <w:b/>
          <w:bCs/>
        </w:rPr>
        <w:t xml:space="preserve">Table 3: Evaluation of change models Kotter (1995), Lewin (1947) and Hiatt (2006). </w:t>
      </w:r>
    </w:p>
    <w:p w14:paraId="601D4AF8" w14:textId="1F7C1C65" w:rsidR="007C262D" w:rsidRPr="007C262D" w:rsidRDefault="007C262D" w:rsidP="008917F4">
      <w:pPr>
        <w:spacing w:before="240" w:after="240" w:line="360" w:lineRule="auto"/>
        <w:jc w:val="both"/>
      </w:pPr>
      <w:r w:rsidRPr="007C262D">
        <w:t>Create by Hughes (2026)</w:t>
      </w:r>
    </w:p>
    <w:p w14:paraId="582542D6" w14:textId="1E9C3AD1" w:rsidR="007C262D" w:rsidRPr="007C262D" w:rsidRDefault="007C262D" w:rsidP="008917F4">
      <w:pPr>
        <w:spacing w:before="240" w:after="240" w:line="360" w:lineRule="auto"/>
        <w:jc w:val="both"/>
      </w:pPr>
      <w:r w:rsidRPr="007C262D">
        <w:t>Using Word</w:t>
      </w:r>
    </w:p>
    <w:p w14:paraId="2A0F29F9" w14:textId="77777777" w:rsidR="008917F4" w:rsidRPr="007C262D" w:rsidRDefault="008917F4" w:rsidP="008917F4">
      <w:pPr>
        <w:spacing w:before="240" w:after="240" w:line="360" w:lineRule="auto"/>
        <w:jc w:val="both"/>
      </w:pPr>
    </w:p>
    <w:p w14:paraId="5CA67AD0" w14:textId="77777777" w:rsidR="000A2285" w:rsidRPr="007C262D" w:rsidRDefault="000A2285"/>
    <w:p w14:paraId="79C2524E" w14:textId="77777777" w:rsidR="000A2285" w:rsidRPr="007C262D" w:rsidRDefault="000A2285"/>
    <w:p w14:paraId="2EDC64E3" w14:textId="77777777" w:rsidR="000A2285" w:rsidRPr="007C262D" w:rsidRDefault="000A2285"/>
    <w:p w14:paraId="58171754" w14:textId="77777777" w:rsidR="000A2285" w:rsidRPr="007C262D" w:rsidRDefault="000A2285"/>
    <w:p w14:paraId="08E6DA92" w14:textId="77777777" w:rsidR="000A2285" w:rsidRPr="007C262D" w:rsidRDefault="000A2285"/>
    <w:p w14:paraId="1B5BB97B" w14:textId="77777777" w:rsidR="000A2285" w:rsidRPr="007C262D" w:rsidRDefault="000A2285"/>
    <w:p w14:paraId="28E75E21" w14:textId="77777777" w:rsidR="000A2285" w:rsidRPr="007C262D" w:rsidRDefault="000A2285"/>
    <w:p w14:paraId="4F12E58A" w14:textId="77777777" w:rsidR="000A2285" w:rsidRPr="007C262D" w:rsidRDefault="000A2285"/>
    <w:p w14:paraId="22FCB8E6" w14:textId="77777777" w:rsidR="000A2285" w:rsidRPr="007C262D" w:rsidRDefault="000A2285"/>
    <w:sectPr w:rsidR="000A2285" w:rsidRPr="007C262D">
      <w:headerReference w:type="default" r:id="rId96"/>
      <w:footerReference w:type="default" r:id="rId9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AAD23" w14:textId="77777777" w:rsidR="00851968" w:rsidRDefault="00851968" w:rsidP="00365858">
      <w:pPr>
        <w:spacing w:line="240" w:lineRule="auto"/>
      </w:pPr>
      <w:r>
        <w:separator/>
      </w:r>
    </w:p>
  </w:endnote>
  <w:endnote w:type="continuationSeparator" w:id="0">
    <w:p w14:paraId="29AB1FBE" w14:textId="77777777" w:rsidR="00851968" w:rsidRDefault="00851968" w:rsidP="003658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DDC8881-5050-40E9-A77C-455745F66DF1}"/>
  </w:font>
  <w:font w:name="Cambria">
    <w:panose1 w:val="02040503050406030204"/>
    <w:charset w:val="00"/>
    <w:family w:val="roman"/>
    <w:pitch w:val="variable"/>
    <w:sig w:usb0="E00006FF" w:usb1="420024FF" w:usb2="02000000" w:usb3="00000000" w:csb0="0000019F" w:csb1="00000000"/>
    <w:embedRegular r:id="rId2" w:fontKey="{4F938946-A789-4836-8C29-0320A093EE8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2739075"/>
      <w:docPartObj>
        <w:docPartGallery w:val="Page Numbers (Bottom of Page)"/>
        <w:docPartUnique/>
      </w:docPartObj>
    </w:sdtPr>
    <w:sdtEndPr>
      <w:rPr>
        <w:noProof/>
      </w:rPr>
    </w:sdtEndPr>
    <w:sdtContent>
      <w:p w14:paraId="00B77D38" w14:textId="5A8BED23" w:rsidR="00365858" w:rsidRDefault="003658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4614A9" w14:textId="77777777" w:rsidR="00365858" w:rsidRDefault="003658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EA630" w14:textId="77777777" w:rsidR="00851968" w:rsidRDefault="00851968" w:rsidP="00365858">
      <w:pPr>
        <w:spacing w:line="240" w:lineRule="auto"/>
      </w:pPr>
      <w:r>
        <w:separator/>
      </w:r>
    </w:p>
  </w:footnote>
  <w:footnote w:type="continuationSeparator" w:id="0">
    <w:p w14:paraId="1B9DE35B" w14:textId="77777777" w:rsidR="00851968" w:rsidRDefault="00851968" w:rsidP="003658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388C1" w14:textId="4E0692FE" w:rsidR="00365858" w:rsidRDefault="00365858" w:rsidP="005F0C97">
    <w:pPr>
      <w:pStyle w:val="Header"/>
      <w:jc w:val="center"/>
    </w:pPr>
    <w:r>
      <w:t>Assignment BMSK6011</w:t>
    </w:r>
    <w:r w:rsidR="00A30E1E">
      <w:t xml:space="preserve"> by </w:t>
    </w:r>
    <w:r>
      <w:t>Kelly Hughes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285"/>
    <w:rsid w:val="00003CE0"/>
    <w:rsid w:val="00007102"/>
    <w:rsid w:val="00011CE1"/>
    <w:rsid w:val="00025AAD"/>
    <w:rsid w:val="0005670D"/>
    <w:rsid w:val="00063644"/>
    <w:rsid w:val="0007725D"/>
    <w:rsid w:val="000870AF"/>
    <w:rsid w:val="00087D5A"/>
    <w:rsid w:val="00095B38"/>
    <w:rsid w:val="000A2285"/>
    <w:rsid w:val="000A475D"/>
    <w:rsid w:val="000A7DA6"/>
    <w:rsid w:val="000D0CF2"/>
    <w:rsid w:val="000E64BF"/>
    <w:rsid w:val="000F75E2"/>
    <w:rsid w:val="00102A61"/>
    <w:rsid w:val="00111C6E"/>
    <w:rsid w:val="00123BF4"/>
    <w:rsid w:val="00126078"/>
    <w:rsid w:val="00137660"/>
    <w:rsid w:val="001506B4"/>
    <w:rsid w:val="00155F3B"/>
    <w:rsid w:val="001566D6"/>
    <w:rsid w:val="00166A78"/>
    <w:rsid w:val="00195608"/>
    <w:rsid w:val="00196022"/>
    <w:rsid w:val="001A5D71"/>
    <w:rsid w:val="001C5B59"/>
    <w:rsid w:val="001D0F88"/>
    <w:rsid w:val="001D3BA1"/>
    <w:rsid w:val="00226D9C"/>
    <w:rsid w:val="002443ED"/>
    <w:rsid w:val="00246595"/>
    <w:rsid w:val="00252415"/>
    <w:rsid w:val="00271F40"/>
    <w:rsid w:val="0027599A"/>
    <w:rsid w:val="00277D72"/>
    <w:rsid w:val="0028081C"/>
    <w:rsid w:val="0028531F"/>
    <w:rsid w:val="002A6E11"/>
    <w:rsid w:val="002B7B40"/>
    <w:rsid w:val="002D2919"/>
    <w:rsid w:val="002E3BA2"/>
    <w:rsid w:val="002E4661"/>
    <w:rsid w:val="00323C3B"/>
    <w:rsid w:val="00334472"/>
    <w:rsid w:val="003439F4"/>
    <w:rsid w:val="003568F3"/>
    <w:rsid w:val="00365395"/>
    <w:rsid w:val="00365858"/>
    <w:rsid w:val="003852CA"/>
    <w:rsid w:val="003C06A5"/>
    <w:rsid w:val="003D0607"/>
    <w:rsid w:val="003D66E7"/>
    <w:rsid w:val="003E0988"/>
    <w:rsid w:val="003F1252"/>
    <w:rsid w:val="004028EE"/>
    <w:rsid w:val="004057B3"/>
    <w:rsid w:val="00413C91"/>
    <w:rsid w:val="0041409B"/>
    <w:rsid w:val="00416259"/>
    <w:rsid w:val="00423B50"/>
    <w:rsid w:val="00442B87"/>
    <w:rsid w:val="0048250B"/>
    <w:rsid w:val="004A3D07"/>
    <w:rsid w:val="004E16B1"/>
    <w:rsid w:val="004E173F"/>
    <w:rsid w:val="004E3C1D"/>
    <w:rsid w:val="00506E9D"/>
    <w:rsid w:val="00516A4A"/>
    <w:rsid w:val="0053558A"/>
    <w:rsid w:val="00536C6A"/>
    <w:rsid w:val="00546AE3"/>
    <w:rsid w:val="005501AB"/>
    <w:rsid w:val="0057187B"/>
    <w:rsid w:val="00581373"/>
    <w:rsid w:val="005870A5"/>
    <w:rsid w:val="005948A9"/>
    <w:rsid w:val="005A13F5"/>
    <w:rsid w:val="005D7CBE"/>
    <w:rsid w:val="005F0C97"/>
    <w:rsid w:val="006106B8"/>
    <w:rsid w:val="00632BEF"/>
    <w:rsid w:val="00647979"/>
    <w:rsid w:val="00652B3C"/>
    <w:rsid w:val="00680089"/>
    <w:rsid w:val="00693E89"/>
    <w:rsid w:val="006A22B7"/>
    <w:rsid w:val="006B3E75"/>
    <w:rsid w:val="006B7EA3"/>
    <w:rsid w:val="006C4934"/>
    <w:rsid w:val="006D1C7D"/>
    <w:rsid w:val="006E0DA4"/>
    <w:rsid w:val="006E5C2B"/>
    <w:rsid w:val="006F0CC7"/>
    <w:rsid w:val="006F6F7F"/>
    <w:rsid w:val="007200E0"/>
    <w:rsid w:val="00732E4C"/>
    <w:rsid w:val="007410C9"/>
    <w:rsid w:val="007628B3"/>
    <w:rsid w:val="0079699F"/>
    <w:rsid w:val="007B0BE8"/>
    <w:rsid w:val="007C262D"/>
    <w:rsid w:val="00802253"/>
    <w:rsid w:val="00814626"/>
    <w:rsid w:val="00833D5E"/>
    <w:rsid w:val="0085032A"/>
    <w:rsid w:val="00850AA7"/>
    <w:rsid w:val="00851968"/>
    <w:rsid w:val="00863F18"/>
    <w:rsid w:val="0088319B"/>
    <w:rsid w:val="008832A0"/>
    <w:rsid w:val="00886568"/>
    <w:rsid w:val="00886F6F"/>
    <w:rsid w:val="008917F4"/>
    <w:rsid w:val="008B7B51"/>
    <w:rsid w:val="008D06C3"/>
    <w:rsid w:val="008D1CC3"/>
    <w:rsid w:val="008D32E0"/>
    <w:rsid w:val="008E1940"/>
    <w:rsid w:val="008E410D"/>
    <w:rsid w:val="008E4C09"/>
    <w:rsid w:val="008E4C11"/>
    <w:rsid w:val="008F73CB"/>
    <w:rsid w:val="0091014F"/>
    <w:rsid w:val="00921C0A"/>
    <w:rsid w:val="00921ED7"/>
    <w:rsid w:val="009231B3"/>
    <w:rsid w:val="00926BD3"/>
    <w:rsid w:val="00931D82"/>
    <w:rsid w:val="00935FB1"/>
    <w:rsid w:val="00943E40"/>
    <w:rsid w:val="00944044"/>
    <w:rsid w:val="00957B9D"/>
    <w:rsid w:val="00963C3A"/>
    <w:rsid w:val="00977C2D"/>
    <w:rsid w:val="0098464C"/>
    <w:rsid w:val="0099155E"/>
    <w:rsid w:val="009E735A"/>
    <w:rsid w:val="00A03E1E"/>
    <w:rsid w:val="00A30E1E"/>
    <w:rsid w:val="00A57E6D"/>
    <w:rsid w:val="00AA3260"/>
    <w:rsid w:val="00AA4B10"/>
    <w:rsid w:val="00AB493B"/>
    <w:rsid w:val="00AB52EF"/>
    <w:rsid w:val="00AC5BAA"/>
    <w:rsid w:val="00AF6DA2"/>
    <w:rsid w:val="00B257CC"/>
    <w:rsid w:val="00B25E57"/>
    <w:rsid w:val="00B44063"/>
    <w:rsid w:val="00B514E8"/>
    <w:rsid w:val="00B87B67"/>
    <w:rsid w:val="00B9150E"/>
    <w:rsid w:val="00B947E1"/>
    <w:rsid w:val="00BC25BE"/>
    <w:rsid w:val="00BE3DAC"/>
    <w:rsid w:val="00BE4EE9"/>
    <w:rsid w:val="00BE72C4"/>
    <w:rsid w:val="00BF1A58"/>
    <w:rsid w:val="00C11AB2"/>
    <w:rsid w:val="00C11E4A"/>
    <w:rsid w:val="00C140AD"/>
    <w:rsid w:val="00C173D0"/>
    <w:rsid w:val="00C2301F"/>
    <w:rsid w:val="00C4653F"/>
    <w:rsid w:val="00C5557D"/>
    <w:rsid w:val="00C55582"/>
    <w:rsid w:val="00C56033"/>
    <w:rsid w:val="00C64713"/>
    <w:rsid w:val="00C93183"/>
    <w:rsid w:val="00CA20CC"/>
    <w:rsid w:val="00CA3D4B"/>
    <w:rsid w:val="00CB0D23"/>
    <w:rsid w:val="00CB2246"/>
    <w:rsid w:val="00CB7752"/>
    <w:rsid w:val="00CE1AE9"/>
    <w:rsid w:val="00CE6172"/>
    <w:rsid w:val="00CF2626"/>
    <w:rsid w:val="00D009B5"/>
    <w:rsid w:val="00D27521"/>
    <w:rsid w:val="00D440F0"/>
    <w:rsid w:val="00D57E38"/>
    <w:rsid w:val="00D61E7B"/>
    <w:rsid w:val="00D75990"/>
    <w:rsid w:val="00D76662"/>
    <w:rsid w:val="00D84BBB"/>
    <w:rsid w:val="00D96011"/>
    <w:rsid w:val="00D96AEF"/>
    <w:rsid w:val="00DA1854"/>
    <w:rsid w:val="00DB10E8"/>
    <w:rsid w:val="00DB20BE"/>
    <w:rsid w:val="00DB6CDB"/>
    <w:rsid w:val="00DC5A78"/>
    <w:rsid w:val="00DD0613"/>
    <w:rsid w:val="00DD6FE6"/>
    <w:rsid w:val="00DD7A2C"/>
    <w:rsid w:val="00DE2C73"/>
    <w:rsid w:val="00DF1FA3"/>
    <w:rsid w:val="00E065B8"/>
    <w:rsid w:val="00E25892"/>
    <w:rsid w:val="00E271D6"/>
    <w:rsid w:val="00E5185E"/>
    <w:rsid w:val="00E7594D"/>
    <w:rsid w:val="00E903FB"/>
    <w:rsid w:val="00EB616E"/>
    <w:rsid w:val="00EC0C89"/>
    <w:rsid w:val="00EC0D59"/>
    <w:rsid w:val="00ED360B"/>
    <w:rsid w:val="00EF1A88"/>
    <w:rsid w:val="00F02ED8"/>
    <w:rsid w:val="00F169B7"/>
    <w:rsid w:val="00F17953"/>
    <w:rsid w:val="00F265FE"/>
    <w:rsid w:val="00F50D48"/>
    <w:rsid w:val="00F600B6"/>
    <w:rsid w:val="00F61B34"/>
    <w:rsid w:val="00F62170"/>
    <w:rsid w:val="00F645C9"/>
    <w:rsid w:val="00F67569"/>
    <w:rsid w:val="00F73417"/>
    <w:rsid w:val="00F77655"/>
    <w:rsid w:val="00F86898"/>
    <w:rsid w:val="00F94398"/>
    <w:rsid w:val="00FA039B"/>
    <w:rsid w:val="00FA14FC"/>
    <w:rsid w:val="00FA4988"/>
    <w:rsid w:val="00FC20C9"/>
    <w:rsid w:val="00FE0DE4"/>
    <w:rsid w:val="00FF0C28"/>
    <w:rsid w:val="00FF0DE2"/>
    <w:rsid w:val="00FF5200"/>
    <w:rsid w:val="00FF5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A9A24"/>
  <w15:docId w15:val="{70B3DD49-C927-4C55-BC80-CF6D976AC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TOCHeading">
    <w:name w:val="TOC Heading"/>
    <w:basedOn w:val="Heading1"/>
    <w:next w:val="Normal"/>
    <w:uiPriority w:val="39"/>
    <w:unhideWhenUsed/>
    <w:qFormat/>
    <w:rsid w:val="00B257CC"/>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B257CC"/>
    <w:pPr>
      <w:spacing w:after="100"/>
    </w:pPr>
  </w:style>
  <w:style w:type="paragraph" w:styleId="TOC2">
    <w:name w:val="toc 2"/>
    <w:basedOn w:val="Normal"/>
    <w:next w:val="Normal"/>
    <w:autoRedefine/>
    <w:uiPriority w:val="39"/>
    <w:unhideWhenUsed/>
    <w:rsid w:val="00B257CC"/>
    <w:pPr>
      <w:spacing w:after="100"/>
      <w:ind w:left="220"/>
    </w:pPr>
  </w:style>
  <w:style w:type="paragraph" w:styleId="TOC3">
    <w:name w:val="toc 3"/>
    <w:basedOn w:val="Normal"/>
    <w:next w:val="Normal"/>
    <w:autoRedefine/>
    <w:uiPriority w:val="39"/>
    <w:unhideWhenUsed/>
    <w:rsid w:val="00B257CC"/>
    <w:pPr>
      <w:spacing w:after="100"/>
      <w:ind w:left="440"/>
    </w:pPr>
  </w:style>
  <w:style w:type="character" w:styleId="Hyperlink">
    <w:name w:val="Hyperlink"/>
    <w:basedOn w:val="DefaultParagraphFont"/>
    <w:uiPriority w:val="99"/>
    <w:unhideWhenUsed/>
    <w:rsid w:val="00B257CC"/>
    <w:rPr>
      <w:color w:val="0000FF" w:themeColor="hyperlink"/>
      <w:u w:val="single"/>
    </w:rPr>
  </w:style>
  <w:style w:type="character" w:styleId="UnresolvedMention">
    <w:name w:val="Unresolved Mention"/>
    <w:basedOn w:val="DefaultParagraphFont"/>
    <w:uiPriority w:val="99"/>
    <w:semiHidden/>
    <w:unhideWhenUsed/>
    <w:rsid w:val="00FF0C28"/>
    <w:rPr>
      <w:color w:val="605E5C"/>
      <w:shd w:val="clear" w:color="auto" w:fill="E1DFDD"/>
    </w:rPr>
  </w:style>
  <w:style w:type="table" w:styleId="TableGrid">
    <w:name w:val="Table Grid"/>
    <w:basedOn w:val="TableNormal"/>
    <w:uiPriority w:val="39"/>
    <w:rsid w:val="00F9439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06E9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65858"/>
    <w:pPr>
      <w:tabs>
        <w:tab w:val="center" w:pos="4513"/>
        <w:tab w:val="right" w:pos="9026"/>
      </w:tabs>
      <w:spacing w:line="240" w:lineRule="auto"/>
    </w:pPr>
  </w:style>
  <w:style w:type="character" w:customStyle="1" w:styleId="HeaderChar">
    <w:name w:val="Header Char"/>
    <w:basedOn w:val="DefaultParagraphFont"/>
    <w:link w:val="Header"/>
    <w:uiPriority w:val="99"/>
    <w:rsid w:val="00365858"/>
  </w:style>
  <w:style w:type="paragraph" w:styleId="Footer">
    <w:name w:val="footer"/>
    <w:basedOn w:val="Normal"/>
    <w:link w:val="FooterChar"/>
    <w:uiPriority w:val="99"/>
    <w:unhideWhenUsed/>
    <w:rsid w:val="00365858"/>
    <w:pPr>
      <w:tabs>
        <w:tab w:val="center" w:pos="4513"/>
        <w:tab w:val="right" w:pos="9026"/>
      </w:tabs>
      <w:spacing w:line="240" w:lineRule="auto"/>
    </w:pPr>
  </w:style>
  <w:style w:type="character" w:customStyle="1" w:styleId="FooterChar">
    <w:name w:val="Footer Char"/>
    <w:basedOn w:val="DefaultParagraphFont"/>
    <w:link w:val="Footer"/>
    <w:uiPriority w:val="99"/>
    <w:rsid w:val="003658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080/01559982.2024.2434340" TargetMode="External"/><Relationship Id="rId21" Type="http://schemas.openxmlformats.org/officeDocument/2006/relationships/hyperlink" Target="https://doi.org/10.1093/jleo/ewac020" TargetMode="External"/><Relationship Id="rId42" Type="http://schemas.openxmlformats.org/officeDocument/2006/relationships/hyperlink" Target="https://doi.org/10.1146/annurev-orgpsych-120920-055217" TargetMode="External"/><Relationship Id="rId47" Type="http://schemas.openxmlformats.org/officeDocument/2006/relationships/hyperlink" Target="https://www.gov.uk/contract-types-and-employer-responsibilities/fulltime-and-parttime-contracts?utm_source=chatgpt.com" TargetMode="External"/><Relationship Id="rId63" Type="http://schemas.openxmlformats.org/officeDocument/2006/relationships/hyperlink" Target="https://doi.org/10.1186/s43093-025-00458-1" TargetMode="External"/><Relationship Id="rId68" Type="http://schemas.openxmlformats.org/officeDocument/2006/relationships/hyperlink" Target="https://doi.org/10.1146/annurev-orgpsych-120920-054654" TargetMode="External"/><Relationship Id="rId84" Type="http://schemas.openxmlformats.org/officeDocument/2006/relationships/hyperlink" Target="https://doi.org/10.3233/JVR-201130" TargetMode="External"/><Relationship Id="rId89" Type="http://schemas.openxmlformats.org/officeDocument/2006/relationships/hyperlink" Target="http://es44404-025-03759-4.doi.org" TargetMode="External"/><Relationship Id="rId16" Type="http://schemas.openxmlformats.org/officeDocument/2006/relationships/hyperlink" Target="https://doi.org/10.30574/gscarr.2024.19.2.0181" TargetMode="External"/><Relationship Id="rId11" Type="http://schemas.openxmlformats.org/officeDocument/2006/relationships/hyperlink" Target="http://business.gov.uk" TargetMode="External"/><Relationship Id="rId32" Type="http://schemas.openxmlformats.org/officeDocument/2006/relationships/hyperlink" Target="https://doi.org/10.1016/j.jbusres.2024.114882" TargetMode="External"/><Relationship Id="rId37" Type="http://schemas.openxmlformats.org/officeDocument/2006/relationships/hyperlink" Target="https://doi.org/10.1111/isj.70003" TargetMode="External"/><Relationship Id="rId53" Type="http://schemas.openxmlformats.org/officeDocument/2006/relationships/hyperlink" Target="https://doi.org/10.1007/s13555-025-01488-x" TargetMode="External"/><Relationship Id="rId58" Type="http://schemas.openxmlformats.org/officeDocument/2006/relationships/hyperlink" Target="https://www.jccp.org.uk/ckfinder/userfiles/files/Insurance%20Charter%20-%20Final%20Draft%20V2.pdf" TargetMode="External"/><Relationship Id="rId74" Type="http://schemas.openxmlformats.org/officeDocument/2006/relationships/hyperlink" Target="https://doi.org/10.46336/ijbesd.v6i2.890" TargetMode="External"/><Relationship Id="rId79" Type="http://schemas.openxmlformats.org/officeDocument/2006/relationships/hyperlink" Target="https://doi.org/10.3389/fspor.2025.1503199" TargetMode="External"/><Relationship Id="rId5" Type="http://schemas.openxmlformats.org/officeDocument/2006/relationships/endnotes" Target="endnotes.xml"/><Relationship Id="rId90" Type="http://schemas.openxmlformats.org/officeDocument/2006/relationships/hyperlink" Target="http://es44404-025-03759-4.doi.org" TargetMode="External"/><Relationship Id="rId95" Type="http://schemas.openxmlformats.org/officeDocument/2006/relationships/hyperlink" Target="https://doi.org/10.1186/s12916-024-03509-6" TargetMode="External"/><Relationship Id="rId22" Type="http://schemas.openxmlformats.org/officeDocument/2006/relationships/hyperlink" Target="https://doi.org/10.7759/cureus.47731" TargetMode="External"/><Relationship Id="rId27" Type="http://schemas.openxmlformats.org/officeDocument/2006/relationships/hyperlink" Target="https://doi.org/10.1080/01559982.2024.2434340" TargetMode="External"/><Relationship Id="rId43" Type="http://schemas.openxmlformats.org/officeDocument/2006/relationships/hyperlink" Target="https://doi.org/10.1016/j.jvb.2023.103913" TargetMode="External"/><Relationship Id="rId48" Type="http://schemas.openxmlformats.org/officeDocument/2006/relationships/hyperlink" Target="https://doi.org/10.1016/j.resplu.2022.100319" TargetMode="External"/><Relationship Id="rId64" Type="http://schemas.openxmlformats.org/officeDocument/2006/relationships/hyperlink" Target="https://doi.org/10.35508/jom.v18i1.15703" TargetMode="External"/><Relationship Id="rId69" Type="http://schemas.openxmlformats.org/officeDocument/2006/relationships/hyperlink" Target="https://doi.org/10.1146/annurev-orgpsych-120920-054654" TargetMode="External"/><Relationship Id="rId80" Type="http://schemas.openxmlformats.org/officeDocument/2006/relationships/hyperlink" Target="https://doi.org/10.3390/merits5010002" TargetMode="External"/><Relationship Id="rId85" Type="http://schemas.openxmlformats.org/officeDocument/2006/relationships/hyperlink" Target="https://doi.org/10.3233/JVR-201130" TargetMode="External"/><Relationship Id="rId3"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doi.org/10.1108/IJQRM-01-2023-0001" TargetMode="External"/><Relationship Id="rId25" Type="http://schemas.openxmlformats.org/officeDocument/2006/relationships/hyperlink" Target="https://www.business.gov.uk/support/employment-skills/costs-of-employment/?utm_source=chatgpt.com" TargetMode="External"/><Relationship Id="rId33" Type="http://schemas.openxmlformats.org/officeDocument/2006/relationships/hyperlink" Target="https://doi.org/10.1108/DPM-03-2024-0065" TargetMode="External"/><Relationship Id="rId38" Type="http://schemas.openxmlformats.org/officeDocument/2006/relationships/hyperlink" Target="https://doi.org/10.1111/isj.70003" TargetMode="External"/><Relationship Id="rId46" Type="http://schemas.openxmlformats.org/officeDocument/2006/relationships/hyperlink" Target="https://www.gov.uk/employ-someone?utm_source=chatgpt.com" TargetMode="External"/><Relationship Id="rId59" Type="http://schemas.openxmlformats.org/officeDocument/2006/relationships/hyperlink" Target="https://www.jccp.org.uk/ckfinder/userfiles/files/Insurance%20Charter%20-%20Final%20Draft%20V2.pdf" TargetMode="External"/><Relationship Id="rId67" Type="http://schemas.openxmlformats.org/officeDocument/2006/relationships/hyperlink" Target="https://doi.org/10.3390/admsci12040135" TargetMode="External"/><Relationship Id="rId20" Type="http://schemas.openxmlformats.org/officeDocument/2006/relationships/hyperlink" Target="https://doi.org/10.1093/jleo/ewac020" TargetMode="External"/><Relationship Id="rId41" Type="http://schemas.openxmlformats.org/officeDocument/2006/relationships/hyperlink" Target="https://doi.org/10.1146/annurev-orgpsych-120920-055217" TargetMode="External"/><Relationship Id="rId54" Type="http://schemas.openxmlformats.org/officeDocument/2006/relationships/hyperlink" Target="https://doi.org/10.1007/s13555-025-01488-x" TargetMode="External"/><Relationship Id="rId62" Type="http://schemas.openxmlformats.org/officeDocument/2006/relationships/hyperlink" Target="https://doi.org/10.1177/001872674700100103" TargetMode="External"/><Relationship Id="rId70" Type="http://schemas.openxmlformats.org/officeDocument/2006/relationships/hyperlink" Target="https://doi.org/10.1002/ail2.70001" TargetMode="External"/><Relationship Id="rId75" Type="http://schemas.openxmlformats.org/officeDocument/2006/relationships/hyperlink" Target="https://doi.org/10.46336/ijbesd.v6i2.890" TargetMode="External"/><Relationship Id="rId83" Type="http://schemas.openxmlformats.org/officeDocument/2006/relationships/hyperlink" Target="https://doi.org/10.3390/jtaer18020046" TargetMode="External"/><Relationship Id="rId88" Type="http://schemas.openxmlformats.org/officeDocument/2006/relationships/hyperlink" Target="https://doi.org/10.1080/17512786.2022.2118154" TargetMode="External"/><Relationship Id="rId91" Type="http://schemas.openxmlformats.org/officeDocument/2006/relationships/hyperlink" Target="https://doi.org/10.3390/su142114017" TargetMode="External"/><Relationship Id="rId9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hyperlink" Target="https://journalfwdmj.com/index.php/fwdmj/article/view/319" TargetMode="External"/><Relationship Id="rId23" Type="http://schemas.openxmlformats.org/officeDocument/2006/relationships/hyperlink" Target="https://doi.org/10.63125/8xbkma40" TargetMode="External"/><Relationship Id="rId28" Type="http://schemas.openxmlformats.org/officeDocument/2006/relationships/hyperlink" Target="https://doi.org/10.3389/fendo.2026.1910448" TargetMode="External"/><Relationship Id="rId36" Type="http://schemas.openxmlformats.org/officeDocument/2006/relationships/hyperlink" Target="https://doi.org/10.1111/joes.12559" TargetMode="External"/><Relationship Id="rId49" Type="http://schemas.openxmlformats.org/officeDocument/2006/relationships/hyperlink" Target="https://doi.org/10.1002/ev.20633" TargetMode="External"/><Relationship Id="rId57" Type="http://schemas.openxmlformats.org/officeDocument/2006/relationships/hyperlink" Target="https://doi.org/10.1038/s41746-026-02418-7" TargetMode="External"/><Relationship Id="rId10" Type="http://schemas.openxmlformats.org/officeDocument/2006/relationships/hyperlink" Target="http://business.gov.uk" TargetMode="External"/><Relationship Id="rId31" Type="http://schemas.openxmlformats.org/officeDocument/2006/relationships/hyperlink" Target="https://www.cipd.org/en/knowledge/guides/change-management/" TargetMode="External"/><Relationship Id="rId44" Type="http://schemas.openxmlformats.org/officeDocument/2006/relationships/hyperlink" Target="https://www.gov.uk/contract-types-and-employer-responsibilities/fulltime-and-parttime-contracts" TargetMode="External"/><Relationship Id="rId52" Type="http://schemas.openxmlformats.org/officeDocument/2006/relationships/hyperlink" Target="https://doi.org/10.1007/s00187-026-00422-2" TargetMode="External"/><Relationship Id="rId60" Type="http://schemas.openxmlformats.org/officeDocument/2006/relationships/hyperlink" Target="https://doi.org/10.1186/s12913-023-09718-8" TargetMode="External"/><Relationship Id="rId65" Type="http://schemas.openxmlformats.org/officeDocument/2006/relationships/hyperlink" Target="https://doi.org/10.35508/jom.v18i1.15703" TargetMode="External"/><Relationship Id="rId73" Type="http://schemas.openxmlformats.org/officeDocument/2006/relationships/hyperlink" Target="https://doi.org/10.12688/f1000research.186776.1" TargetMode="External"/><Relationship Id="rId78" Type="http://schemas.openxmlformats.org/officeDocument/2006/relationships/hyperlink" Target="https://doi.org/10.1016/j.jbusres.2022.113574" TargetMode="External"/><Relationship Id="rId81" Type="http://schemas.openxmlformats.org/officeDocument/2006/relationships/hyperlink" Target="https://doi.org/10.3390/merits5010002" TargetMode="External"/><Relationship Id="rId86" Type="http://schemas.openxmlformats.org/officeDocument/2006/relationships/hyperlink" Target="https://doi.org/10.1186/s13731-022-00261-0" TargetMode="External"/><Relationship Id="rId94" Type="http://schemas.openxmlformats.org/officeDocument/2006/relationships/hyperlink" Target="https://doi.org/10.1186/s12916-024-03509-6" TargetMode="External"/><Relationship Id="rId9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gov.uk" TargetMode="External"/><Relationship Id="rId13" Type="http://schemas.openxmlformats.org/officeDocument/2006/relationships/hyperlink" Target="https://doi.org/10.1097/PRS.0000000000011885" TargetMode="External"/><Relationship Id="rId18" Type="http://schemas.openxmlformats.org/officeDocument/2006/relationships/hyperlink" Target="https://doi.org/10.21474/ijar01/20411" TargetMode="External"/><Relationship Id="rId39" Type="http://schemas.openxmlformats.org/officeDocument/2006/relationships/hyperlink" Target="https://doi.org/10.3389/fmed.2026.1868204" TargetMode="External"/><Relationship Id="rId34" Type="http://schemas.openxmlformats.org/officeDocument/2006/relationships/hyperlink" Target="https://doi.org/10.1108/DPM-03-2024-0065" TargetMode="External"/><Relationship Id="rId50" Type="http://schemas.openxmlformats.org/officeDocument/2006/relationships/hyperlink" Target="https://doi.org/10.1002/ev.20633" TargetMode="External"/><Relationship Id="rId55" Type="http://schemas.openxmlformats.org/officeDocument/2006/relationships/hyperlink" Target="https://doi.org/10.60083/jidt.v6i2.551" TargetMode="External"/><Relationship Id="rId76" Type="http://schemas.openxmlformats.org/officeDocument/2006/relationships/hyperlink" Target="https://doi.org/10.3233/WOR-230633" TargetMode="External"/><Relationship Id="rId97" Type="http://schemas.openxmlformats.org/officeDocument/2006/relationships/footer" Target="footer1.xml"/><Relationship Id="rId7" Type="http://schemas.openxmlformats.org/officeDocument/2006/relationships/image" Target="media/image2.png"/><Relationship Id="rId71" Type="http://schemas.openxmlformats.org/officeDocument/2006/relationships/hyperlink" Target="https://chatgpt.com/" TargetMode="External"/><Relationship Id="rId92" Type="http://schemas.openxmlformats.org/officeDocument/2006/relationships/hyperlink" Target="https://doi.org/10.3390/jcm13226953" TargetMode="External"/><Relationship Id="rId2" Type="http://schemas.openxmlformats.org/officeDocument/2006/relationships/settings" Target="settings.xml"/><Relationship Id="rId29" Type="http://schemas.openxmlformats.org/officeDocument/2006/relationships/hyperlink" Target="https://doi.org/10.3389/fendo.2026.1910448" TargetMode="External"/><Relationship Id="rId24" Type="http://schemas.openxmlformats.org/officeDocument/2006/relationships/hyperlink" Target="https://doi.org/10.63125/8xbkma40" TargetMode="External"/><Relationship Id="rId40" Type="http://schemas.openxmlformats.org/officeDocument/2006/relationships/hyperlink" Target="https://doi.org/10.3389/fmed.2026.1868204" TargetMode="External"/><Relationship Id="rId45" Type="http://schemas.openxmlformats.org/officeDocument/2006/relationships/hyperlink" Target="https://www.gov.uk/contract-types-and-employer-responsibilities/fulltime-and-parttime-contracts" TargetMode="External"/><Relationship Id="rId66" Type="http://schemas.openxmlformats.org/officeDocument/2006/relationships/hyperlink" Target="https://doi.org/10.3390/admsci12040135" TargetMode="External"/><Relationship Id="rId87" Type="http://schemas.openxmlformats.org/officeDocument/2006/relationships/hyperlink" Target="https://doi.org/10.1080/17512786.2022.2118154" TargetMode="External"/><Relationship Id="rId61" Type="http://schemas.openxmlformats.org/officeDocument/2006/relationships/hyperlink" Target="https://doi.org/10.1177/001872674700100103" TargetMode="External"/><Relationship Id="rId82" Type="http://schemas.openxmlformats.org/officeDocument/2006/relationships/hyperlink" Target="https://doi.org/10.3390/jtaer18020046" TargetMode="External"/><Relationship Id="rId19" Type="http://schemas.openxmlformats.org/officeDocument/2006/relationships/hyperlink" Target="https://doi.org/10.21474/ijar01/20411" TargetMode="External"/><Relationship Id="rId14" Type="http://schemas.openxmlformats.org/officeDocument/2006/relationships/hyperlink" Target="https://doi.org/10.1097/PRS.0000000000011885" TargetMode="External"/><Relationship Id="rId30" Type="http://schemas.openxmlformats.org/officeDocument/2006/relationships/hyperlink" Target="https://www.cipd.org/en/knowledge/guides/change-management/" TargetMode="External"/><Relationship Id="rId35" Type="http://schemas.openxmlformats.org/officeDocument/2006/relationships/hyperlink" Target="https://doi.org/10.1177/21582440231217729" TargetMode="External"/><Relationship Id="rId56" Type="http://schemas.openxmlformats.org/officeDocument/2006/relationships/hyperlink" Target="https://doi.org/10.1016/j.ssaho.2025.102205" TargetMode="External"/><Relationship Id="rId77" Type="http://schemas.openxmlformats.org/officeDocument/2006/relationships/hyperlink" Target="https://doi.org/10.1016/j.jbusres.2022.113574" TargetMode="External"/><Relationship Id="rId8" Type="http://schemas.openxmlformats.org/officeDocument/2006/relationships/hyperlink" Target="http://business.gov.uk" TargetMode="External"/><Relationship Id="rId51" Type="http://schemas.openxmlformats.org/officeDocument/2006/relationships/hyperlink" Target="https://figshare.utas.edu.au/articles/thesis/25632372" TargetMode="External"/><Relationship Id="rId72" Type="http://schemas.openxmlformats.org/officeDocument/2006/relationships/hyperlink" Target="https://doi.org/10.1108/LHS-08-2023-0059" TargetMode="External"/><Relationship Id="rId93" Type="http://schemas.openxmlformats.org/officeDocument/2006/relationships/hyperlink" Target="https://doi.org/10.3390/jcm13226953" TargetMode="External"/><Relationship Id="rId98"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29</Pages>
  <Words>9937</Words>
  <Characters>56646</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Kelly Keefe (2318120)</cp:lastModifiedBy>
  <cp:revision>2</cp:revision>
  <dcterms:created xsi:type="dcterms:W3CDTF">2026-10-11T22:14:00Z</dcterms:created>
  <dcterms:modified xsi:type="dcterms:W3CDTF">2026-10-11T22:14:00Z</dcterms:modified>
</cp:coreProperties>
</file>