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98D1DA" w14:textId="04893CA2" w:rsidR="002D78D1" w:rsidRDefault="00FA2035" w:rsidP="001E4D19">
      <w:pPr>
        <w:rPr>
          <w:b/>
          <w:sz w:val="24"/>
          <w:szCs w:val="24"/>
          <w:u w:val="single"/>
        </w:rPr>
      </w:pPr>
      <w:r w:rsidRPr="001E4D19">
        <w:rPr>
          <w:b/>
          <w:sz w:val="24"/>
          <w:szCs w:val="24"/>
          <w:u w:val="single"/>
        </w:rPr>
        <w:t>A DETAILED ACCOUNT OF THE MAIN DEITIES INVOLVED, THEIR POWER AND THEIR ACTIVITY.  ANALYSIS OF REASONS FOR THE DIFFERENCE IN TREATMENTS</w:t>
      </w:r>
      <w:r w:rsidR="00EA4167">
        <w:rPr>
          <w:b/>
          <w:sz w:val="24"/>
          <w:szCs w:val="24"/>
          <w:u w:val="single"/>
        </w:rPr>
        <w:t>.</w:t>
      </w:r>
    </w:p>
    <w:p w14:paraId="7286183F" w14:textId="77777777" w:rsidR="001E4D19" w:rsidRPr="001E4D19" w:rsidRDefault="001E4D19" w:rsidP="001E4D19">
      <w:pPr>
        <w:rPr>
          <w:b/>
          <w:sz w:val="24"/>
          <w:szCs w:val="24"/>
          <w:u w:val="single"/>
        </w:rPr>
      </w:pPr>
    </w:p>
    <w:p w14:paraId="008ECBCD" w14:textId="7461DEEF" w:rsidR="001E4D19" w:rsidRDefault="00FA2035" w:rsidP="001E4D19">
      <w:pPr>
        <w:spacing w:after="0"/>
        <w:rPr>
          <w:sz w:val="24"/>
          <w:szCs w:val="24"/>
        </w:rPr>
      </w:pPr>
      <w:r w:rsidRPr="001E4D19">
        <w:rPr>
          <w:sz w:val="24"/>
          <w:szCs w:val="24"/>
        </w:rPr>
        <w:t xml:space="preserve">Ovid’s </w:t>
      </w:r>
      <w:r w:rsidRPr="001E4D19">
        <w:rPr>
          <w:i/>
          <w:sz w:val="24"/>
          <w:szCs w:val="24"/>
        </w:rPr>
        <w:t xml:space="preserve">Fasti </w:t>
      </w:r>
      <w:r w:rsidRPr="001E4D19">
        <w:rPr>
          <w:sz w:val="24"/>
          <w:szCs w:val="24"/>
        </w:rPr>
        <w:t xml:space="preserve">and </w:t>
      </w:r>
      <w:r w:rsidRPr="001E4D19">
        <w:rPr>
          <w:i/>
          <w:sz w:val="24"/>
          <w:szCs w:val="24"/>
        </w:rPr>
        <w:t>Metamorphoses</w:t>
      </w:r>
      <w:r w:rsidRPr="001E4D19">
        <w:rPr>
          <w:sz w:val="24"/>
          <w:szCs w:val="24"/>
        </w:rPr>
        <w:t>, which both include a description of the abduction of Persephone, were, according to Fantham, composed at about the same time, "alternately and even perhaps side by side</w:t>
      </w:r>
      <w:r>
        <w:rPr>
          <w:sz w:val="24"/>
          <w:szCs w:val="24"/>
        </w:rPr>
        <w:t>.</w:t>
      </w:r>
      <w:r w:rsidRPr="001E4D19">
        <w:rPr>
          <w:sz w:val="24"/>
          <w:szCs w:val="24"/>
        </w:rPr>
        <w:t>”</w:t>
      </w:r>
      <w:r>
        <w:rPr>
          <w:rStyle w:val="FootnoteReference"/>
          <w:sz w:val="24"/>
          <w:szCs w:val="24"/>
        </w:rPr>
        <w:footnoteReference w:id="1"/>
      </w:r>
      <w:r w:rsidRPr="001E4D19">
        <w:rPr>
          <w:sz w:val="24"/>
          <w:szCs w:val="24"/>
        </w:rPr>
        <w:t xml:space="preserve">   At first glance, </w:t>
      </w:r>
      <w:r w:rsidR="00161719">
        <w:rPr>
          <w:sz w:val="24"/>
          <w:szCs w:val="24"/>
        </w:rPr>
        <w:t xml:space="preserve">despite their chronological proximity </w:t>
      </w:r>
      <w:r w:rsidRPr="001E4D19">
        <w:rPr>
          <w:sz w:val="24"/>
          <w:szCs w:val="24"/>
        </w:rPr>
        <w:t>there appear to be significant divergences in content, emphasis and texture.</w:t>
      </w:r>
    </w:p>
    <w:p w14:paraId="3A886B62" w14:textId="77777777" w:rsidR="001E4D19" w:rsidRDefault="001E4D19" w:rsidP="001E4D19">
      <w:pPr>
        <w:spacing w:after="0"/>
        <w:rPr>
          <w:sz w:val="24"/>
          <w:szCs w:val="24"/>
        </w:rPr>
      </w:pPr>
    </w:p>
    <w:p w14:paraId="3180FCD6" w14:textId="5055FCBD" w:rsidR="002D78D1" w:rsidRDefault="00FA2035" w:rsidP="001E4D19">
      <w:pPr>
        <w:spacing w:after="0"/>
        <w:rPr>
          <w:sz w:val="24"/>
          <w:szCs w:val="24"/>
        </w:rPr>
      </w:pPr>
      <w:r w:rsidRPr="001E4D19">
        <w:rPr>
          <w:sz w:val="24"/>
          <w:szCs w:val="24"/>
        </w:rPr>
        <w:t xml:space="preserve">Indisputably, the central character is Ceres. </w:t>
      </w:r>
      <w:r w:rsidR="00E430FF">
        <w:rPr>
          <w:sz w:val="24"/>
          <w:szCs w:val="24"/>
        </w:rPr>
        <w:t xml:space="preserve"> </w:t>
      </w:r>
      <w:r w:rsidRPr="001E4D19">
        <w:rPr>
          <w:sz w:val="24"/>
          <w:szCs w:val="24"/>
        </w:rPr>
        <w:t>Described as a ”yellow-haired goddess</w:t>
      </w:r>
      <w:r w:rsidR="001E4D19">
        <w:rPr>
          <w:sz w:val="24"/>
          <w:szCs w:val="24"/>
        </w:rPr>
        <w:t>,</w:t>
      </w:r>
      <w:r w:rsidRPr="001E4D19">
        <w:rPr>
          <w:sz w:val="24"/>
          <w:szCs w:val="24"/>
        </w:rPr>
        <w:t>”</w:t>
      </w:r>
      <w:r>
        <w:rPr>
          <w:rStyle w:val="FootnoteReference"/>
          <w:sz w:val="24"/>
          <w:szCs w:val="24"/>
        </w:rPr>
        <w:footnoteReference w:id="2"/>
      </w:r>
      <w:r w:rsidRPr="001E4D19">
        <w:rPr>
          <w:sz w:val="24"/>
          <w:szCs w:val="24"/>
        </w:rPr>
        <w:t xml:space="preserve"> she is emotionally overwhelmed by learning of her daughter's abduction. </w:t>
      </w:r>
      <w:r w:rsidR="00E430FF">
        <w:rPr>
          <w:sz w:val="24"/>
          <w:szCs w:val="24"/>
        </w:rPr>
        <w:t xml:space="preserve"> </w:t>
      </w:r>
      <w:r w:rsidRPr="001E4D19">
        <w:rPr>
          <w:sz w:val="24"/>
          <w:szCs w:val="24"/>
        </w:rPr>
        <w:t xml:space="preserve">Presumably, omniscience is not one of her powers, or at the very least, they are limited by her position within the immortal hierarchy. </w:t>
      </w:r>
      <w:r w:rsidR="001E4D19">
        <w:rPr>
          <w:sz w:val="24"/>
          <w:szCs w:val="24"/>
        </w:rPr>
        <w:t xml:space="preserve"> </w:t>
      </w:r>
      <w:r w:rsidRPr="001E4D19">
        <w:rPr>
          <w:sz w:val="24"/>
          <w:szCs w:val="24"/>
        </w:rPr>
        <w:t>Shrieking, "Woe's me</w:t>
      </w:r>
      <w:r w:rsidR="001E4D19">
        <w:rPr>
          <w:sz w:val="24"/>
          <w:szCs w:val="24"/>
        </w:rPr>
        <w:t>,</w:t>
      </w:r>
      <w:r w:rsidRPr="001E4D19">
        <w:rPr>
          <w:sz w:val="24"/>
          <w:szCs w:val="24"/>
        </w:rPr>
        <w:t>”</w:t>
      </w:r>
      <w:r>
        <w:rPr>
          <w:rStyle w:val="FootnoteReference"/>
          <w:sz w:val="24"/>
          <w:szCs w:val="24"/>
        </w:rPr>
        <w:footnoteReference w:id="3"/>
      </w:r>
      <w:r w:rsidR="001E4D19">
        <w:rPr>
          <w:sz w:val="24"/>
          <w:szCs w:val="24"/>
        </w:rPr>
        <w:t xml:space="preserve"> </w:t>
      </w:r>
      <w:r w:rsidRPr="001E4D19">
        <w:rPr>
          <w:sz w:val="24"/>
          <w:szCs w:val="24"/>
        </w:rPr>
        <w:t>her reaction  is first compared to</w:t>
      </w:r>
      <w:r w:rsidR="001E4D19">
        <w:rPr>
          <w:sz w:val="24"/>
          <w:szCs w:val="24"/>
        </w:rPr>
        <w:t xml:space="preserve"> “</w:t>
      </w:r>
      <w:r w:rsidRPr="001E4D19">
        <w:rPr>
          <w:sz w:val="24"/>
          <w:szCs w:val="24"/>
        </w:rPr>
        <w:t>Thracian Maenads”</w:t>
      </w:r>
      <w:r>
        <w:rPr>
          <w:rStyle w:val="FootnoteReference"/>
          <w:sz w:val="24"/>
          <w:szCs w:val="24"/>
        </w:rPr>
        <w:footnoteReference w:id="4"/>
      </w:r>
      <w:r w:rsidRPr="001E4D19">
        <w:rPr>
          <w:sz w:val="24"/>
          <w:szCs w:val="24"/>
        </w:rPr>
        <w:t xml:space="preserve"> and then somewhat less flatteringly to "a cow whose calf has been torn from her udder</w:t>
      </w:r>
      <w:r w:rsidR="001E4D19">
        <w:rPr>
          <w:sz w:val="24"/>
          <w:szCs w:val="24"/>
        </w:rPr>
        <w:t>.</w:t>
      </w:r>
      <w:r w:rsidRPr="001E4D19">
        <w:rPr>
          <w:sz w:val="24"/>
          <w:szCs w:val="24"/>
        </w:rPr>
        <w:t>”</w:t>
      </w:r>
      <w:r>
        <w:rPr>
          <w:rStyle w:val="FootnoteReference"/>
          <w:sz w:val="24"/>
          <w:szCs w:val="24"/>
        </w:rPr>
        <w:footnoteReference w:id="5"/>
      </w:r>
      <w:r w:rsidR="001E4D19">
        <w:rPr>
          <w:sz w:val="24"/>
          <w:szCs w:val="24"/>
        </w:rPr>
        <w:t xml:space="preserve">  </w:t>
      </w:r>
      <w:r w:rsidRPr="001E4D19">
        <w:rPr>
          <w:sz w:val="24"/>
          <w:szCs w:val="24"/>
        </w:rPr>
        <w:t>Finding the trail obscured because “swine had foiled the trail she found</w:t>
      </w:r>
      <w:r w:rsidR="001E4D19">
        <w:rPr>
          <w:sz w:val="24"/>
          <w:szCs w:val="24"/>
        </w:rPr>
        <w:t>,</w:t>
      </w:r>
      <w:r w:rsidRPr="001E4D19">
        <w:rPr>
          <w:sz w:val="24"/>
          <w:szCs w:val="24"/>
        </w:rPr>
        <w:t>”</w:t>
      </w:r>
      <w:r>
        <w:rPr>
          <w:rStyle w:val="FootnoteReference"/>
          <w:sz w:val="24"/>
          <w:szCs w:val="24"/>
        </w:rPr>
        <w:footnoteReference w:id="6"/>
      </w:r>
      <w:r w:rsidR="001E4D19">
        <w:rPr>
          <w:sz w:val="24"/>
          <w:szCs w:val="24"/>
        </w:rPr>
        <w:t xml:space="preserve"> </w:t>
      </w:r>
      <w:r w:rsidRPr="001E4D19">
        <w:rPr>
          <w:sz w:val="24"/>
          <w:szCs w:val="24"/>
        </w:rPr>
        <w:t xml:space="preserve"> she takes an extensive tour of the Mediterranean</w:t>
      </w:r>
      <w:r w:rsidR="003E5933">
        <w:rPr>
          <w:sz w:val="24"/>
          <w:szCs w:val="24"/>
        </w:rPr>
        <w:t>.</w:t>
      </w:r>
      <w:r>
        <w:rPr>
          <w:rStyle w:val="FootnoteReference"/>
          <w:sz w:val="24"/>
          <w:szCs w:val="24"/>
        </w:rPr>
        <w:footnoteReference w:id="7"/>
      </w:r>
      <w:r w:rsidR="003E5933">
        <w:rPr>
          <w:sz w:val="24"/>
          <w:szCs w:val="24"/>
        </w:rPr>
        <w:t xml:space="preserve"> </w:t>
      </w:r>
      <w:r w:rsidRPr="001E4D19">
        <w:rPr>
          <w:sz w:val="24"/>
          <w:szCs w:val="24"/>
        </w:rPr>
        <w:t xml:space="preserve"> Constantly crying out her daughter’s name</w:t>
      </w:r>
      <w:r w:rsidR="003E5933">
        <w:rPr>
          <w:sz w:val="24"/>
          <w:szCs w:val="24"/>
        </w:rPr>
        <w:t>,</w:t>
      </w:r>
      <w:r>
        <w:rPr>
          <w:rStyle w:val="FootnoteReference"/>
          <w:sz w:val="24"/>
          <w:szCs w:val="24"/>
        </w:rPr>
        <w:footnoteReference w:id="8"/>
      </w:r>
      <w:r w:rsidR="003E5933">
        <w:rPr>
          <w:sz w:val="24"/>
          <w:szCs w:val="24"/>
        </w:rPr>
        <w:t xml:space="preserve"> </w:t>
      </w:r>
      <w:r w:rsidRPr="001E4D19">
        <w:rPr>
          <w:sz w:val="24"/>
          <w:szCs w:val="24"/>
        </w:rPr>
        <w:t xml:space="preserve">Ceres can only continue the search at night by igniting two pine trees and using them as torches.  Clearly, then her powers do not extend to the infra-red spectrum. </w:t>
      </w:r>
      <w:r w:rsidR="003E5933">
        <w:rPr>
          <w:sz w:val="24"/>
          <w:szCs w:val="24"/>
        </w:rPr>
        <w:t xml:space="preserve"> </w:t>
      </w:r>
      <w:r w:rsidRPr="001E4D19">
        <w:rPr>
          <w:sz w:val="24"/>
          <w:szCs w:val="24"/>
        </w:rPr>
        <w:t>Apparently, her mode of transport thereafter is a "car"</w:t>
      </w:r>
      <w:r>
        <w:rPr>
          <w:rStyle w:val="FootnoteReference"/>
          <w:sz w:val="24"/>
          <w:szCs w:val="24"/>
        </w:rPr>
        <w:footnoteReference w:id="9"/>
      </w:r>
      <w:r w:rsidRPr="001E4D19">
        <w:rPr>
          <w:sz w:val="24"/>
          <w:szCs w:val="24"/>
        </w:rPr>
        <w:t xml:space="preserve"> pulled by serpents, which allows her unhindered travel over water</w:t>
      </w:r>
      <w:r w:rsidR="003E5933">
        <w:rPr>
          <w:sz w:val="24"/>
          <w:szCs w:val="24"/>
        </w:rPr>
        <w:t>.</w:t>
      </w:r>
      <w:r>
        <w:rPr>
          <w:rStyle w:val="FootnoteReference"/>
          <w:sz w:val="24"/>
          <w:szCs w:val="24"/>
        </w:rPr>
        <w:footnoteReference w:id="10"/>
      </w:r>
      <w:r w:rsidR="003E5933">
        <w:rPr>
          <w:sz w:val="24"/>
          <w:szCs w:val="24"/>
        </w:rPr>
        <w:t xml:space="preserve">  </w:t>
      </w:r>
      <w:r w:rsidRPr="001E4D19">
        <w:rPr>
          <w:sz w:val="24"/>
          <w:szCs w:val="24"/>
        </w:rPr>
        <w:t xml:space="preserve"> Eventually, arriving at Eleusis, she disguises herself as an old woman and accepts the hospitality of an aged Celeus and family, who, unlike earlier versions, are now in reduced circumstances.  They provide a willing audience for further lamentations.  We are told that gods cannot weep because she has to manufacture a crystal drop to convey her emotion.  Ceres, through her treatment of Celeus’ terminally ill son Triptolemus, then reveals powers of both healing and apotheosis.</w:t>
      </w:r>
      <w:r w:rsidR="003E5933">
        <w:rPr>
          <w:sz w:val="24"/>
          <w:szCs w:val="24"/>
        </w:rPr>
        <w:t xml:space="preserve"> </w:t>
      </w:r>
      <w:r w:rsidRPr="001E4D19">
        <w:rPr>
          <w:sz w:val="24"/>
          <w:szCs w:val="24"/>
        </w:rPr>
        <w:t xml:space="preserve"> Her deification plan thwarted Ceres granted agricultural advantages to the would-be god and departed on an even wider search pattern ranging from Northern Europe to India.  Finally, appealing to "Parrhasian stars</w:t>
      </w:r>
      <w:r w:rsidR="003E5933">
        <w:rPr>
          <w:sz w:val="24"/>
          <w:szCs w:val="24"/>
        </w:rPr>
        <w:t>,</w:t>
      </w:r>
      <w:r w:rsidRPr="001E4D19">
        <w:rPr>
          <w:sz w:val="24"/>
          <w:szCs w:val="24"/>
        </w:rPr>
        <w:t>”</w:t>
      </w:r>
      <w:r>
        <w:rPr>
          <w:rStyle w:val="FootnoteReference"/>
          <w:sz w:val="24"/>
          <w:szCs w:val="24"/>
        </w:rPr>
        <w:footnoteReference w:id="11"/>
      </w:r>
      <w:r w:rsidRPr="001E4D19">
        <w:rPr>
          <w:sz w:val="24"/>
          <w:szCs w:val="24"/>
        </w:rPr>
        <w:t xml:space="preserve"> she is told by Helice of Persephone’s location. </w:t>
      </w:r>
      <w:r w:rsidR="003E5933">
        <w:rPr>
          <w:sz w:val="24"/>
          <w:szCs w:val="24"/>
        </w:rPr>
        <w:t xml:space="preserve"> </w:t>
      </w:r>
      <w:r w:rsidRPr="001E4D19">
        <w:rPr>
          <w:sz w:val="24"/>
          <w:szCs w:val="24"/>
        </w:rPr>
        <w:t>After some plea bargaining with Jupiter, a deal is struck, and Ceres lifts her agricultural embargo.</w:t>
      </w:r>
    </w:p>
    <w:p w14:paraId="0A4AB757" w14:textId="77777777" w:rsidR="001E4D19" w:rsidRPr="001E4D19" w:rsidRDefault="001E4D19" w:rsidP="001E4D19">
      <w:pPr>
        <w:spacing w:after="0"/>
        <w:rPr>
          <w:sz w:val="24"/>
          <w:szCs w:val="24"/>
        </w:rPr>
      </w:pPr>
    </w:p>
    <w:p w14:paraId="3C70691F" w14:textId="318688EB" w:rsidR="002D78D1" w:rsidRDefault="00FA2035" w:rsidP="003E5933">
      <w:pPr>
        <w:spacing w:after="0"/>
        <w:rPr>
          <w:sz w:val="24"/>
          <w:szCs w:val="24"/>
        </w:rPr>
      </w:pPr>
      <w:r w:rsidRPr="001E4D19">
        <w:rPr>
          <w:sz w:val="24"/>
          <w:szCs w:val="24"/>
        </w:rPr>
        <w:t>Conversely</w:t>
      </w:r>
      <w:r w:rsidRPr="001E4D19">
        <w:rPr>
          <w:b/>
          <w:sz w:val="24"/>
          <w:szCs w:val="24"/>
        </w:rPr>
        <w:t xml:space="preserve">,  </w:t>
      </w:r>
      <w:r w:rsidRPr="003E5933">
        <w:rPr>
          <w:bCs/>
          <w:sz w:val="24"/>
          <w:szCs w:val="24"/>
        </w:rPr>
        <w:t>Persephone</w:t>
      </w:r>
      <w:r w:rsidRPr="001E4D19">
        <w:rPr>
          <w:b/>
          <w:sz w:val="24"/>
          <w:szCs w:val="24"/>
        </w:rPr>
        <w:t xml:space="preserve">, </w:t>
      </w:r>
      <w:r w:rsidRPr="001E4D19">
        <w:rPr>
          <w:sz w:val="24"/>
          <w:szCs w:val="24"/>
        </w:rPr>
        <w:t xml:space="preserve">the true victim of the piece, plays an almost inconsequential part in the </w:t>
      </w:r>
      <w:r w:rsidRPr="003E5933">
        <w:rPr>
          <w:bCs/>
          <w:i/>
          <w:iCs/>
          <w:sz w:val="24"/>
          <w:szCs w:val="24"/>
        </w:rPr>
        <w:t xml:space="preserve">Fasti </w:t>
      </w:r>
      <w:r w:rsidRPr="001E4D19">
        <w:rPr>
          <w:sz w:val="24"/>
          <w:szCs w:val="24"/>
        </w:rPr>
        <w:t>narrative.  Her powers or attributes are not greatly elaborated upon</w:t>
      </w:r>
      <w:r w:rsidR="003E5933">
        <w:rPr>
          <w:sz w:val="24"/>
          <w:szCs w:val="24"/>
        </w:rPr>
        <w:t>,</w:t>
      </w:r>
      <w:r w:rsidRPr="001E4D19">
        <w:rPr>
          <w:sz w:val="24"/>
          <w:szCs w:val="24"/>
        </w:rPr>
        <w:t xml:space="preserve"> presumably because the audience would already be aware of such detail</w:t>
      </w:r>
      <w:r w:rsidR="003E5933">
        <w:rPr>
          <w:sz w:val="24"/>
          <w:szCs w:val="24"/>
        </w:rPr>
        <w:t>,</w:t>
      </w:r>
      <w:r w:rsidRPr="001E4D19">
        <w:rPr>
          <w:sz w:val="24"/>
          <w:szCs w:val="24"/>
        </w:rPr>
        <w:t xml:space="preserve"> although Ceres’ powers are described in some detail earlier in the </w:t>
      </w:r>
      <w:r w:rsidRPr="00E430FF">
        <w:rPr>
          <w:i/>
          <w:iCs/>
          <w:sz w:val="24"/>
          <w:szCs w:val="24"/>
        </w:rPr>
        <w:t>Fasti.</w:t>
      </w:r>
      <w:r w:rsidRPr="001E4D19">
        <w:rPr>
          <w:sz w:val="24"/>
          <w:szCs w:val="24"/>
        </w:rPr>
        <w:t xml:space="preserve">  As Ovid remarks at the start, "you will read much that you knew before; a few particulars will be new to you</w:t>
      </w:r>
      <w:r w:rsidR="003E5933">
        <w:rPr>
          <w:sz w:val="24"/>
          <w:szCs w:val="24"/>
        </w:rPr>
        <w:t>.</w:t>
      </w:r>
      <w:r w:rsidRPr="001E4D19">
        <w:rPr>
          <w:sz w:val="24"/>
          <w:szCs w:val="24"/>
        </w:rPr>
        <w:t>”</w:t>
      </w:r>
      <w:r>
        <w:rPr>
          <w:rStyle w:val="FootnoteReference"/>
          <w:sz w:val="24"/>
          <w:szCs w:val="24"/>
        </w:rPr>
        <w:footnoteReference w:id="12"/>
      </w:r>
      <w:r w:rsidRPr="001E4D19">
        <w:rPr>
          <w:sz w:val="24"/>
          <w:szCs w:val="24"/>
        </w:rPr>
        <w:t xml:space="preserve"> </w:t>
      </w:r>
      <w:r w:rsidR="003E5933">
        <w:rPr>
          <w:sz w:val="24"/>
          <w:szCs w:val="24"/>
        </w:rPr>
        <w:t xml:space="preserve"> </w:t>
      </w:r>
      <w:r w:rsidRPr="001E4D19">
        <w:rPr>
          <w:sz w:val="24"/>
          <w:szCs w:val="24"/>
        </w:rPr>
        <w:t>Evidently, keen on picking flowers and, in particular, crocuses and white lilies,</w:t>
      </w:r>
      <w:r>
        <w:rPr>
          <w:rStyle w:val="FootnoteReference"/>
          <w:sz w:val="24"/>
          <w:szCs w:val="24"/>
        </w:rPr>
        <w:footnoteReference w:id="13"/>
      </w:r>
      <w:r w:rsidRPr="001E4D19">
        <w:rPr>
          <w:sz w:val="24"/>
          <w:szCs w:val="24"/>
        </w:rPr>
        <w:t xml:space="preserve"> She lacks situational awareness because she wanders away from the group she assembled and is forcibly abducted by Dis. </w:t>
      </w:r>
      <w:r w:rsidR="003E5933">
        <w:rPr>
          <w:sz w:val="24"/>
          <w:szCs w:val="24"/>
        </w:rPr>
        <w:t xml:space="preserve"> </w:t>
      </w:r>
      <w:r w:rsidRPr="001E4D19">
        <w:rPr>
          <w:sz w:val="24"/>
          <w:szCs w:val="24"/>
        </w:rPr>
        <w:t>She cries out to her mother; clearly, there is a struggle because "</w:t>
      </w:r>
      <w:r w:rsidRPr="003E5933">
        <w:rPr>
          <w:sz w:val="24"/>
          <w:szCs w:val="24"/>
        </w:rPr>
        <w:t>she rent the bosom of her robe</w:t>
      </w:r>
      <w:r w:rsidR="003E5933">
        <w:rPr>
          <w:sz w:val="24"/>
          <w:szCs w:val="24"/>
        </w:rPr>
        <w:t>.</w:t>
      </w:r>
      <w:r w:rsidRPr="003E5933">
        <w:rPr>
          <w:sz w:val="24"/>
          <w:szCs w:val="24"/>
        </w:rPr>
        <w:t>”</w:t>
      </w:r>
      <w:r>
        <w:rPr>
          <w:rStyle w:val="FootnoteReference"/>
          <w:sz w:val="24"/>
          <w:szCs w:val="24"/>
        </w:rPr>
        <w:footnoteReference w:id="14"/>
      </w:r>
      <w:r w:rsidR="003E5933">
        <w:rPr>
          <w:sz w:val="24"/>
          <w:szCs w:val="24"/>
        </w:rPr>
        <w:t xml:space="preserve">  </w:t>
      </w:r>
      <w:r w:rsidRPr="003E5933">
        <w:rPr>
          <w:bCs/>
          <w:sz w:val="24"/>
          <w:szCs w:val="24"/>
        </w:rPr>
        <w:lastRenderedPageBreak/>
        <w:t>Dis’s attack appears to be</w:t>
      </w:r>
      <w:r w:rsidRPr="001E4D19">
        <w:rPr>
          <w:b/>
          <w:sz w:val="24"/>
          <w:szCs w:val="24"/>
          <w:u w:val="single"/>
        </w:rPr>
        <w:t xml:space="preserve"> </w:t>
      </w:r>
      <w:r w:rsidRPr="001E4D19">
        <w:rPr>
          <w:sz w:val="24"/>
          <w:szCs w:val="24"/>
        </w:rPr>
        <w:t>an impulse attack “hanc videt et visam velociter aufert“</w:t>
      </w:r>
      <w:r>
        <w:rPr>
          <w:rStyle w:val="FootnoteReference"/>
          <w:sz w:val="24"/>
          <w:szCs w:val="24"/>
        </w:rPr>
        <w:footnoteReference w:id="15"/>
      </w:r>
      <w:r w:rsidRPr="001E4D19">
        <w:rPr>
          <w:sz w:val="24"/>
          <w:szCs w:val="24"/>
        </w:rPr>
        <w:t xml:space="preserve"> </w:t>
      </w:r>
      <w:r w:rsidR="003E5933">
        <w:rPr>
          <w:sz w:val="24"/>
          <w:szCs w:val="24"/>
        </w:rPr>
        <w:t xml:space="preserve"> </w:t>
      </w:r>
      <w:r w:rsidRPr="001E4D19">
        <w:rPr>
          <w:sz w:val="24"/>
          <w:szCs w:val="24"/>
        </w:rPr>
        <w:t>for no sooner did he see her than he swiftly carried her off</w:t>
      </w:r>
      <w:r w:rsidR="00DB5E6C">
        <w:rPr>
          <w:sz w:val="24"/>
          <w:szCs w:val="24"/>
        </w:rPr>
        <w:t>, t</w:t>
      </w:r>
      <w:r w:rsidRPr="001E4D19">
        <w:rPr>
          <w:sz w:val="24"/>
          <w:szCs w:val="24"/>
        </w:rPr>
        <w:t>ransporting her on his “dusky steeds”</w:t>
      </w:r>
      <w:r>
        <w:rPr>
          <w:rStyle w:val="FootnoteReference"/>
          <w:sz w:val="24"/>
          <w:szCs w:val="24"/>
        </w:rPr>
        <w:footnoteReference w:id="16"/>
      </w:r>
      <w:r w:rsidRPr="001E4D19">
        <w:rPr>
          <w:sz w:val="24"/>
          <w:szCs w:val="24"/>
        </w:rPr>
        <w:t xml:space="preserve"> which “can hardly brook the unaccustomed light</w:t>
      </w:r>
      <w:r w:rsidR="003E5933">
        <w:rPr>
          <w:sz w:val="24"/>
          <w:szCs w:val="24"/>
        </w:rPr>
        <w:t>.</w:t>
      </w:r>
      <w:r w:rsidRPr="001E4D19">
        <w:rPr>
          <w:sz w:val="24"/>
          <w:szCs w:val="24"/>
        </w:rPr>
        <w:t>”</w:t>
      </w:r>
      <w:r>
        <w:rPr>
          <w:rStyle w:val="FootnoteReference"/>
          <w:sz w:val="24"/>
          <w:szCs w:val="24"/>
        </w:rPr>
        <w:footnoteReference w:id="17"/>
      </w:r>
    </w:p>
    <w:p w14:paraId="0CF726E6" w14:textId="77777777" w:rsidR="001E4D19" w:rsidRPr="001E4D19" w:rsidRDefault="001E4D19" w:rsidP="001E4D19">
      <w:pPr>
        <w:spacing w:after="0"/>
        <w:rPr>
          <w:sz w:val="24"/>
          <w:szCs w:val="24"/>
        </w:rPr>
      </w:pPr>
    </w:p>
    <w:p w14:paraId="3F7D99C3" w14:textId="6069BB01" w:rsidR="002D78D1" w:rsidRDefault="00FA2035" w:rsidP="001E4D19">
      <w:pPr>
        <w:spacing w:after="0"/>
        <w:rPr>
          <w:sz w:val="24"/>
          <w:szCs w:val="24"/>
        </w:rPr>
      </w:pPr>
      <w:r w:rsidRPr="001E4D19">
        <w:rPr>
          <w:sz w:val="24"/>
          <w:szCs w:val="24"/>
        </w:rPr>
        <w:t xml:space="preserve">The </w:t>
      </w:r>
      <w:r w:rsidRPr="003E5933">
        <w:rPr>
          <w:i/>
          <w:iCs/>
          <w:sz w:val="24"/>
          <w:szCs w:val="24"/>
        </w:rPr>
        <w:t>Fasti</w:t>
      </w:r>
      <w:r w:rsidRPr="001E4D19">
        <w:rPr>
          <w:sz w:val="24"/>
          <w:szCs w:val="24"/>
        </w:rPr>
        <w:t xml:space="preserve"> closely follows the Homeric Hymn to Demeter.  That is not to say that Ovid is unafraid to alter detail. </w:t>
      </w:r>
      <w:r w:rsidR="003E5933">
        <w:rPr>
          <w:sz w:val="24"/>
          <w:szCs w:val="24"/>
        </w:rPr>
        <w:t xml:space="preserve"> </w:t>
      </w:r>
      <w:r w:rsidRPr="001E4D19">
        <w:rPr>
          <w:sz w:val="24"/>
          <w:szCs w:val="24"/>
        </w:rPr>
        <w:t>In the abduction scene, he changes the colour of Dis’</w:t>
      </w:r>
      <w:r w:rsidR="00DB03A0">
        <w:rPr>
          <w:sz w:val="24"/>
          <w:szCs w:val="24"/>
        </w:rPr>
        <w:t>s</w:t>
      </w:r>
      <w:r w:rsidRPr="001E4D19">
        <w:rPr>
          <w:sz w:val="24"/>
          <w:szCs w:val="24"/>
        </w:rPr>
        <w:t xml:space="preserve"> chariot from gold to black or, as Hinds calls it in his revelatory obscurative style, "a colour-adjective evocative of the underworld</w:t>
      </w:r>
      <w:r w:rsidR="00DB03A0">
        <w:rPr>
          <w:sz w:val="24"/>
          <w:szCs w:val="24"/>
        </w:rPr>
        <w:t>.</w:t>
      </w:r>
      <w:r w:rsidRPr="001E4D19">
        <w:rPr>
          <w:sz w:val="24"/>
          <w:szCs w:val="24"/>
        </w:rPr>
        <w:t>”</w:t>
      </w:r>
      <w:r>
        <w:rPr>
          <w:rStyle w:val="FootnoteReference"/>
          <w:sz w:val="24"/>
          <w:szCs w:val="24"/>
        </w:rPr>
        <w:footnoteReference w:id="18"/>
      </w:r>
      <w:r w:rsidR="00DB03A0">
        <w:rPr>
          <w:sz w:val="24"/>
          <w:szCs w:val="24"/>
        </w:rPr>
        <w:t xml:space="preserve"> </w:t>
      </w:r>
      <w:r w:rsidRPr="001E4D19">
        <w:rPr>
          <w:sz w:val="24"/>
          <w:szCs w:val="24"/>
        </w:rPr>
        <w:t xml:space="preserve"> The intent being to convey a more sinister impression.</w:t>
      </w:r>
      <w:r w:rsidR="00DB03A0">
        <w:rPr>
          <w:sz w:val="24"/>
          <w:szCs w:val="24"/>
        </w:rPr>
        <w:t xml:space="preserve"> </w:t>
      </w:r>
      <w:r w:rsidRPr="001E4D19">
        <w:rPr>
          <w:sz w:val="24"/>
          <w:szCs w:val="24"/>
        </w:rPr>
        <w:t xml:space="preserve"> Persephone's cries are directed not at her father, which might </w:t>
      </w:r>
      <w:r w:rsidRPr="009D3AD1">
        <w:rPr>
          <w:sz w:val="24"/>
          <w:szCs w:val="24"/>
        </w:rPr>
        <w:t>imply “a formal plea to the king of the Gods”</w:t>
      </w:r>
      <w:r w:rsidR="009D3AD1" w:rsidRPr="009D3AD1">
        <w:rPr>
          <w:rStyle w:val="FootnoteReference"/>
          <w:sz w:val="24"/>
          <w:szCs w:val="24"/>
        </w:rPr>
        <w:footnoteReference w:id="19"/>
      </w:r>
      <w:r w:rsidRPr="00AC0133">
        <w:rPr>
          <w:sz w:val="24"/>
          <w:szCs w:val="24"/>
        </w:rPr>
        <w:t xml:space="preserve"> but to her mother, suggesting a more normal daughter-to-mother</w:t>
      </w:r>
      <w:r w:rsidRPr="001E4D19">
        <w:rPr>
          <w:sz w:val="24"/>
          <w:szCs w:val="24"/>
        </w:rPr>
        <w:t xml:space="preserve"> response</w:t>
      </w:r>
      <w:r w:rsidR="00DB03A0">
        <w:rPr>
          <w:sz w:val="24"/>
          <w:szCs w:val="24"/>
        </w:rPr>
        <w:t>.</w:t>
      </w:r>
      <w:r>
        <w:rPr>
          <w:rStyle w:val="FootnoteReference"/>
          <w:sz w:val="24"/>
          <w:szCs w:val="24"/>
        </w:rPr>
        <w:footnoteReference w:id="20"/>
      </w:r>
      <w:r w:rsidRPr="001E4D19">
        <w:rPr>
          <w:sz w:val="24"/>
          <w:szCs w:val="24"/>
        </w:rPr>
        <w:t xml:space="preserve">  Ovid is also prepared to embellish where necessary to give the work a more cross-referencing flavour.</w:t>
      </w:r>
      <w:r w:rsidR="00DB03A0">
        <w:rPr>
          <w:sz w:val="24"/>
          <w:szCs w:val="24"/>
        </w:rPr>
        <w:t xml:space="preserve"> </w:t>
      </w:r>
      <w:r w:rsidRPr="001E4D19">
        <w:rPr>
          <w:sz w:val="24"/>
          <w:szCs w:val="24"/>
        </w:rPr>
        <w:t xml:space="preserve"> Ceres' bird-like form in the Hymn to Demeter becomes the "ales Ityn” of Procne myth</w:t>
      </w:r>
      <w:r w:rsidR="00DB03A0">
        <w:rPr>
          <w:sz w:val="24"/>
          <w:szCs w:val="24"/>
        </w:rPr>
        <w:t>.</w:t>
      </w:r>
      <w:r>
        <w:rPr>
          <w:rStyle w:val="FootnoteReference"/>
          <w:sz w:val="24"/>
          <w:szCs w:val="24"/>
        </w:rPr>
        <w:footnoteReference w:id="21"/>
      </w:r>
    </w:p>
    <w:p w14:paraId="7AB8F90F" w14:textId="77777777" w:rsidR="001E4D19" w:rsidRPr="001E4D19" w:rsidRDefault="001E4D19" w:rsidP="001E4D19">
      <w:pPr>
        <w:spacing w:after="0"/>
        <w:rPr>
          <w:sz w:val="24"/>
          <w:szCs w:val="24"/>
        </w:rPr>
      </w:pPr>
    </w:p>
    <w:p w14:paraId="50809CF7" w14:textId="3DB10C04" w:rsidR="002D78D1" w:rsidRDefault="00FA2035" w:rsidP="00851B1C">
      <w:pPr>
        <w:spacing w:after="0"/>
        <w:rPr>
          <w:sz w:val="24"/>
          <w:szCs w:val="24"/>
        </w:rPr>
      </w:pPr>
      <w:r w:rsidRPr="001E4D19">
        <w:rPr>
          <w:sz w:val="24"/>
          <w:szCs w:val="24"/>
        </w:rPr>
        <w:t xml:space="preserve">The </w:t>
      </w:r>
      <w:r w:rsidRPr="001E4D19">
        <w:rPr>
          <w:i/>
          <w:sz w:val="24"/>
          <w:szCs w:val="24"/>
        </w:rPr>
        <w:t xml:space="preserve">Metamorphoses </w:t>
      </w:r>
      <w:r w:rsidRPr="001E4D19">
        <w:rPr>
          <w:sz w:val="24"/>
          <w:szCs w:val="24"/>
        </w:rPr>
        <w:t>version of the tale is a much more complicated version, delivered by Calliope, essentially an intentionally critical subcontractor of Ovid.</w:t>
      </w:r>
      <w:r>
        <w:rPr>
          <w:rStyle w:val="FootnoteReference"/>
          <w:sz w:val="24"/>
          <w:szCs w:val="24"/>
        </w:rPr>
        <w:footnoteReference w:id="22"/>
      </w:r>
      <w:r w:rsidRPr="001E4D19">
        <w:rPr>
          <w:sz w:val="24"/>
          <w:szCs w:val="24"/>
        </w:rPr>
        <w:t xml:space="preserve"> </w:t>
      </w:r>
      <w:r w:rsidR="00851B1C">
        <w:rPr>
          <w:sz w:val="24"/>
          <w:szCs w:val="24"/>
        </w:rPr>
        <w:t xml:space="preserve"> </w:t>
      </w:r>
      <w:r w:rsidRPr="001E4D19">
        <w:rPr>
          <w:sz w:val="24"/>
          <w:szCs w:val="24"/>
        </w:rPr>
        <w:t>It is crisscrossed with "a variety of secondary stories of metamorphosis along the way</w:t>
      </w:r>
      <w:r w:rsidR="00851B1C">
        <w:rPr>
          <w:sz w:val="24"/>
          <w:szCs w:val="24"/>
        </w:rPr>
        <w:t>.</w:t>
      </w:r>
      <w:r w:rsidRPr="001E4D19">
        <w:rPr>
          <w:sz w:val="24"/>
          <w:szCs w:val="24"/>
        </w:rPr>
        <w:t>”</w:t>
      </w:r>
      <w:r>
        <w:rPr>
          <w:rStyle w:val="FootnoteReference"/>
          <w:sz w:val="24"/>
          <w:szCs w:val="24"/>
        </w:rPr>
        <w:footnoteReference w:id="23"/>
      </w:r>
    </w:p>
    <w:p w14:paraId="6290A52E" w14:textId="77777777" w:rsidR="001E4D19" w:rsidRPr="001E4D19" w:rsidRDefault="001E4D19" w:rsidP="001E4D19">
      <w:pPr>
        <w:spacing w:after="0"/>
        <w:rPr>
          <w:sz w:val="24"/>
          <w:szCs w:val="24"/>
        </w:rPr>
      </w:pPr>
    </w:p>
    <w:p w14:paraId="71128260" w14:textId="7D7EE50B" w:rsidR="002D78D1" w:rsidRDefault="00FA2035" w:rsidP="001E4D19">
      <w:pPr>
        <w:spacing w:after="0"/>
        <w:rPr>
          <w:sz w:val="24"/>
          <w:szCs w:val="24"/>
        </w:rPr>
      </w:pPr>
      <w:r w:rsidRPr="00FD1A1E">
        <w:rPr>
          <w:bCs/>
          <w:sz w:val="24"/>
          <w:szCs w:val="24"/>
        </w:rPr>
        <w:t xml:space="preserve">Ceres’ treatment in the </w:t>
      </w:r>
      <w:r w:rsidRPr="00FD1A1E">
        <w:rPr>
          <w:bCs/>
          <w:i/>
          <w:sz w:val="24"/>
          <w:szCs w:val="24"/>
        </w:rPr>
        <w:t>Metamorphoses</w:t>
      </w:r>
      <w:r w:rsidRPr="001E4D19">
        <w:rPr>
          <w:b/>
          <w:sz w:val="24"/>
          <w:szCs w:val="24"/>
        </w:rPr>
        <w:t xml:space="preserve"> </w:t>
      </w:r>
      <w:r w:rsidRPr="001E4D19">
        <w:rPr>
          <w:sz w:val="24"/>
          <w:szCs w:val="24"/>
        </w:rPr>
        <w:t xml:space="preserve">shares some of the storyline of the </w:t>
      </w:r>
      <w:r w:rsidRPr="00E430FF">
        <w:rPr>
          <w:i/>
          <w:iCs/>
          <w:sz w:val="24"/>
          <w:szCs w:val="24"/>
        </w:rPr>
        <w:t>Fasti</w:t>
      </w:r>
      <w:r w:rsidRPr="001E4D19">
        <w:rPr>
          <w:sz w:val="24"/>
          <w:szCs w:val="24"/>
        </w:rPr>
        <w:t xml:space="preserve"> but also features many excursions.</w:t>
      </w:r>
      <w:r w:rsidR="00E430FF">
        <w:rPr>
          <w:sz w:val="24"/>
          <w:szCs w:val="24"/>
        </w:rPr>
        <w:t xml:space="preserve"> </w:t>
      </w:r>
      <w:r w:rsidRPr="001E4D19">
        <w:rPr>
          <w:sz w:val="24"/>
          <w:szCs w:val="24"/>
        </w:rPr>
        <w:t xml:space="preserve"> Again she embarks on an exhaustive search for her daughter; however, she does so without the extensive geographical detail.</w:t>
      </w:r>
      <w:r w:rsidR="00E430FF">
        <w:rPr>
          <w:sz w:val="24"/>
          <w:szCs w:val="24"/>
        </w:rPr>
        <w:t xml:space="preserve"> </w:t>
      </w:r>
      <w:r w:rsidRPr="001E4D19">
        <w:rPr>
          <w:sz w:val="24"/>
          <w:szCs w:val="24"/>
        </w:rPr>
        <w:t xml:space="preserve"> Perhaps parodying his own description in the </w:t>
      </w:r>
      <w:r w:rsidRPr="001E4D19">
        <w:rPr>
          <w:i/>
          <w:sz w:val="24"/>
          <w:szCs w:val="24"/>
        </w:rPr>
        <w:t>Fasti</w:t>
      </w:r>
      <w:r w:rsidRPr="001E4D19">
        <w:rPr>
          <w:sz w:val="24"/>
          <w:szCs w:val="24"/>
        </w:rPr>
        <w:t>, "What lands, what oceans Ceres wandered, would weary to relate</w:t>
      </w:r>
      <w:r w:rsidR="00FD1A1E">
        <w:rPr>
          <w:sz w:val="24"/>
          <w:szCs w:val="24"/>
        </w:rPr>
        <w:t>.</w:t>
      </w:r>
      <w:r w:rsidRPr="001E4D19">
        <w:rPr>
          <w:sz w:val="24"/>
          <w:szCs w:val="24"/>
        </w:rPr>
        <w:t>”</w:t>
      </w:r>
      <w:r>
        <w:rPr>
          <w:rStyle w:val="FootnoteReference"/>
          <w:sz w:val="24"/>
          <w:szCs w:val="24"/>
        </w:rPr>
        <w:footnoteReference w:id="24"/>
      </w:r>
      <w:r w:rsidRPr="001E4D19">
        <w:rPr>
          <w:sz w:val="24"/>
          <w:szCs w:val="24"/>
        </w:rPr>
        <w:t xml:space="preserve"> Like the </w:t>
      </w:r>
      <w:r w:rsidRPr="001E4D19">
        <w:rPr>
          <w:i/>
          <w:sz w:val="24"/>
          <w:szCs w:val="24"/>
        </w:rPr>
        <w:t>Fasti,</w:t>
      </w:r>
      <w:r w:rsidRPr="001E4D19">
        <w:rPr>
          <w:sz w:val="24"/>
          <w:szCs w:val="24"/>
        </w:rPr>
        <w:t xml:space="preserve"> exhausted, she pauses at a humble cottage.  However, this time accepts a drink of "barley-meal" from the generous elderly inhabitant yet overreacts to some teasing from a small boy who is cruelly transformed into a lizard.  Ceres has been altered as a character, given more of a human dimension in unity with the general direction of the </w:t>
      </w:r>
      <w:r w:rsidRPr="001E4D19">
        <w:rPr>
          <w:i/>
          <w:sz w:val="24"/>
          <w:szCs w:val="24"/>
        </w:rPr>
        <w:t xml:space="preserve">Metamorphoses, </w:t>
      </w:r>
      <w:r w:rsidRPr="001E4D19">
        <w:rPr>
          <w:sz w:val="24"/>
          <w:szCs w:val="24"/>
        </w:rPr>
        <w:t>although her power is undiminished.</w:t>
      </w:r>
      <w:r w:rsidR="00FD1A1E">
        <w:rPr>
          <w:sz w:val="24"/>
          <w:szCs w:val="24"/>
        </w:rPr>
        <w:t xml:space="preserve"> </w:t>
      </w:r>
      <w:r w:rsidRPr="001E4D19">
        <w:rPr>
          <w:sz w:val="24"/>
          <w:szCs w:val="24"/>
        </w:rPr>
        <w:t xml:space="preserve"> The Nymph Cyane is resurrected as a mute witness for the prosecution, providing Ceres with a vital clue in the form of Prosperine’s girdle. </w:t>
      </w:r>
      <w:r w:rsidR="00FD1A1E">
        <w:rPr>
          <w:sz w:val="24"/>
          <w:szCs w:val="24"/>
        </w:rPr>
        <w:t xml:space="preserve"> </w:t>
      </w:r>
      <w:r w:rsidRPr="001E4D19">
        <w:rPr>
          <w:sz w:val="24"/>
          <w:szCs w:val="24"/>
        </w:rPr>
        <w:t>Ceres does not appear to make the connection to Pluto but, convinced of the reality of her daughter's abduction, is overcome with a fresh tumult of grief; "she tore her streaming lock, and frenzied struck her bosom with her palms</w:t>
      </w:r>
      <w:r w:rsidR="00FD1A1E">
        <w:rPr>
          <w:sz w:val="24"/>
          <w:szCs w:val="24"/>
        </w:rPr>
        <w:t>.</w:t>
      </w:r>
      <w:r w:rsidRPr="001E4D19">
        <w:rPr>
          <w:sz w:val="24"/>
          <w:szCs w:val="24"/>
        </w:rPr>
        <w:t>”</w:t>
      </w:r>
      <w:r>
        <w:rPr>
          <w:rStyle w:val="FootnoteReference"/>
          <w:sz w:val="24"/>
          <w:szCs w:val="24"/>
        </w:rPr>
        <w:footnoteReference w:id="25"/>
      </w:r>
      <w:r w:rsidRPr="001E4D19">
        <w:rPr>
          <w:sz w:val="24"/>
          <w:szCs w:val="24"/>
        </w:rPr>
        <w:t xml:space="preserve"> The extent of her power is revealed in the retribution she wreaks on the whole world, especially Sicily, which is of biblical proportions, involving climatic disaster and total agricultural infertility. </w:t>
      </w:r>
      <w:r w:rsidR="00E83D23">
        <w:rPr>
          <w:sz w:val="24"/>
          <w:szCs w:val="24"/>
        </w:rPr>
        <w:t xml:space="preserve"> </w:t>
      </w:r>
      <w:r w:rsidRPr="001E4D19">
        <w:rPr>
          <w:sz w:val="24"/>
          <w:szCs w:val="24"/>
        </w:rPr>
        <w:t>Another new character, Arethusa</w:t>
      </w:r>
      <w:r w:rsidR="00E83D23">
        <w:rPr>
          <w:sz w:val="24"/>
          <w:szCs w:val="24"/>
        </w:rPr>
        <w:t>,</w:t>
      </w:r>
      <w:r w:rsidRPr="001E4D19">
        <w:rPr>
          <w:sz w:val="24"/>
          <w:szCs w:val="24"/>
        </w:rPr>
        <w:t xml:space="preserve"> in attempting to seek clemency for Sicily</w:t>
      </w:r>
      <w:r w:rsidR="00E83D23">
        <w:rPr>
          <w:sz w:val="24"/>
          <w:szCs w:val="24"/>
        </w:rPr>
        <w:t>,</w:t>
      </w:r>
      <w:r w:rsidRPr="001E4D19">
        <w:rPr>
          <w:sz w:val="24"/>
          <w:szCs w:val="24"/>
        </w:rPr>
        <w:t xml:space="preserve"> confirms Ceres's power addressing her; "O mother of nutritious fruits</w:t>
      </w:r>
      <w:r w:rsidR="00E83D23">
        <w:rPr>
          <w:sz w:val="24"/>
          <w:szCs w:val="24"/>
        </w:rPr>
        <w:t>,</w:t>
      </w:r>
      <w:r w:rsidRPr="001E4D19">
        <w:rPr>
          <w:sz w:val="24"/>
          <w:szCs w:val="24"/>
        </w:rPr>
        <w:t>”</w:t>
      </w:r>
      <w:r>
        <w:rPr>
          <w:rStyle w:val="FootnoteReference"/>
          <w:sz w:val="24"/>
          <w:szCs w:val="24"/>
        </w:rPr>
        <w:footnoteReference w:id="26"/>
      </w:r>
      <w:r w:rsidR="00E83D23">
        <w:rPr>
          <w:sz w:val="24"/>
          <w:szCs w:val="24"/>
        </w:rPr>
        <w:t xml:space="preserve"> “</w:t>
      </w:r>
      <w:r w:rsidRPr="001E4D19">
        <w:rPr>
          <w:sz w:val="24"/>
          <w:szCs w:val="24"/>
        </w:rPr>
        <w:t>O greatest of the Gods</w:t>
      </w:r>
      <w:r w:rsidR="00E83D23">
        <w:rPr>
          <w:sz w:val="24"/>
          <w:szCs w:val="24"/>
        </w:rPr>
        <w:t>.</w:t>
      </w:r>
      <w:r w:rsidRPr="001E4D19">
        <w:rPr>
          <w:sz w:val="24"/>
          <w:szCs w:val="24"/>
        </w:rPr>
        <w:t>”</w:t>
      </w:r>
      <w:r>
        <w:rPr>
          <w:rStyle w:val="FootnoteReference"/>
          <w:sz w:val="24"/>
          <w:szCs w:val="24"/>
        </w:rPr>
        <w:footnoteReference w:id="27"/>
      </w:r>
      <w:r w:rsidR="00E83D23">
        <w:rPr>
          <w:sz w:val="24"/>
          <w:szCs w:val="24"/>
        </w:rPr>
        <w:t xml:space="preserve"> </w:t>
      </w:r>
      <w:r w:rsidRPr="001E4D19">
        <w:rPr>
          <w:sz w:val="24"/>
          <w:szCs w:val="24"/>
        </w:rPr>
        <w:t xml:space="preserve"> Eventually, she reveals Prosperina’s new circumstances as the “queen consort mighty to the King of Hell</w:t>
      </w:r>
      <w:r w:rsidR="00E83D23">
        <w:rPr>
          <w:sz w:val="24"/>
          <w:szCs w:val="24"/>
        </w:rPr>
        <w:t>.</w:t>
      </w:r>
      <w:r w:rsidRPr="001E4D19">
        <w:rPr>
          <w:sz w:val="24"/>
          <w:szCs w:val="24"/>
        </w:rPr>
        <w:t>”</w:t>
      </w:r>
      <w:r>
        <w:rPr>
          <w:rStyle w:val="FootnoteReference"/>
          <w:sz w:val="24"/>
          <w:szCs w:val="24"/>
        </w:rPr>
        <w:footnoteReference w:id="28"/>
      </w:r>
      <w:r w:rsidR="00E83D23">
        <w:rPr>
          <w:sz w:val="24"/>
          <w:szCs w:val="24"/>
        </w:rPr>
        <w:t xml:space="preserve">  </w:t>
      </w:r>
      <w:r w:rsidRPr="001E4D19">
        <w:rPr>
          <w:sz w:val="24"/>
          <w:szCs w:val="24"/>
        </w:rPr>
        <w:t>In response, Ceres flies to see Jupiter, and although she declares herself "a suppliant to thee"</w:t>
      </w:r>
      <w:r>
        <w:rPr>
          <w:rStyle w:val="FootnoteReference"/>
          <w:sz w:val="24"/>
          <w:szCs w:val="24"/>
        </w:rPr>
        <w:footnoteReference w:id="29"/>
      </w:r>
      <w:r w:rsidR="00E83D23">
        <w:rPr>
          <w:sz w:val="24"/>
          <w:szCs w:val="24"/>
        </w:rPr>
        <w:t xml:space="preserve"> </w:t>
      </w:r>
      <w:r w:rsidRPr="001E4D19">
        <w:rPr>
          <w:sz w:val="24"/>
          <w:szCs w:val="24"/>
        </w:rPr>
        <w:t xml:space="preserve">there are a series of </w:t>
      </w:r>
      <w:r w:rsidRPr="001E4D19">
        <w:rPr>
          <w:sz w:val="24"/>
          <w:szCs w:val="24"/>
        </w:rPr>
        <w:lastRenderedPageBreak/>
        <w:t xml:space="preserve">negotiations between the two. </w:t>
      </w:r>
      <w:r w:rsidR="00034E99">
        <w:rPr>
          <w:sz w:val="24"/>
          <w:szCs w:val="24"/>
        </w:rPr>
        <w:t xml:space="preserve"> </w:t>
      </w:r>
      <w:r w:rsidRPr="001E4D19">
        <w:rPr>
          <w:sz w:val="24"/>
          <w:szCs w:val="24"/>
        </w:rPr>
        <w:t xml:space="preserve">Ceres claims Jupiter has a duty of care to his daughter. </w:t>
      </w:r>
      <w:r w:rsidR="00E524AE">
        <w:rPr>
          <w:sz w:val="24"/>
          <w:szCs w:val="24"/>
        </w:rPr>
        <w:t xml:space="preserve"> </w:t>
      </w:r>
      <w:r w:rsidRPr="001E4D19">
        <w:rPr>
          <w:sz w:val="24"/>
          <w:szCs w:val="24"/>
        </w:rPr>
        <w:t xml:space="preserve">Jupiter claims that there was no malice intended by Dis’ actions which were </w:t>
      </w:r>
      <w:r w:rsidRPr="00161719">
        <w:rPr>
          <w:sz w:val="24"/>
          <w:szCs w:val="24"/>
        </w:rPr>
        <w:t>“a deed of love and injuries not</w:t>
      </w:r>
      <w:r w:rsidR="00161719" w:rsidRPr="00161719">
        <w:rPr>
          <w:sz w:val="24"/>
          <w:szCs w:val="24"/>
        </w:rPr>
        <w:t>.</w:t>
      </w:r>
      <w:r w:rsidRPr="00161719">
        <w:rPr>
          <w:sz w:val="24"/>
          <w:szCs w:val="24"/>
        </w:rPr>
        <w:t>”</w:t>
      </w:r>
      <w:r w:rsidR="00161719" w:rsidRPr="00161719">
        <w:rPr>
          <w:rStyle w:val="FootnoteReference"/>
          <w:sz w:val="24"/>
          <w:szCs w:val="24"/>
        </w:rPr>
        <w:footnoteReference w:id="30"/>
      </w:r>
      <w:r w:rsidRPr="001E4D19">
        <w:rPr>
          <w:sz w:val="24"/>
          <w:szCs w:val="24"/>
        </w:rPr>
        <w:t xml:space="preserve">  Thwarted by the evidence of another new character </w:t>
      </w:r>
      <w:proofErr w:type="spellStart"/>
      <w:r w:rsidRPr="001E4D19">
        <w:rPr>
          <w:sz w:val="24"/>
          <w:szCs w:val="24"/>
        </w:rPr>
        <w:t>Ascalaphus</w:t>
      </w:r>
      <w:proofErr w:type="spellEnd"/>
      <w:r w:rsidRPr="001E4D19">
        <w:rPr>
          <w:sz w:val="24"/>
          <w:szCs w:val="24"/>
        </w:rPr>
        <w:t xml:space="preserve">, which prevented </w:t>
      </w:r>
      <w:proofErr w:type="spellStart"/>
      <w:r w:rsidRPr="001E4D19">
        <w:rPr>
          <w:sz w:val="24"/>
          <w:szCs w:val="24"/>
        </w:rPr>
        <w:t>Prosperina’s</w:t>
      </w:r>
      <w:proofErr w:type="spellEnd"/>
      <w:r w:rsidRPr="001E4D19">
        <w:rPr>
          <w:sz w:val="24"/>
          <w:szCs w:val="24"/>
        </w:rPr>
        <w:t xml:space="preserve"> complete return Jupiter acts as mediator and resolves the matter with a compromise.</w:t>
      </w:r>
    </w:p>
    <w:p w14:paraId="2A4E8A17" w14:textId="77777777" w:rsidR="001E4D19" w:rsidRPr="001E4D19" w:rsidRDefault="001E4D19" w:rsidP="001E4D19">
      <w:pPr>
        <w:spacing w:after="0"/>
        <w:rPr>
          <w:b/>
          <w:sz w:val="24"/>
          <w:szCs w:val="24"/>
        </w:rPr>
      </w:pPr>
    </w:p>
    <w:p w14:paraId="6E208420" w14:textId="2B43D4E1" w:rsidR="002D78D1" w:rsidRDefault="00FA2035" w:rsidP="00E524AE">
      <w:pPr>
        <w:spacing w:after="0"/>
        <w:rPr>
          <w:sz w:val="24"/>
          <w:szCs w:val="24"/>
        </w:rPr>
      </w:pPr>
      <w:r w:rsidRPr="00E83D23">
        <w:rPr>
          <w:bCs/>
          <w:sz w:val="24"/>
          <w:szCs w:val="24"/>
        </w:rPr>
        <w:t>Jupiter retains</w:t>
      </w:r>
      <w:r w:rsidRPr="001E4D19">
        <w:rPr>
          <w:b/>
          <w:sz w:val="24"/>
          <w:szCs w:val="24"/>
        </w:rPr>
        <w:t xml:space="preserve"> </w:t>
      </w:r>
      <w:r w:rsidRPr="001E4D19">
        <w:rPr>
          <w:sz w:val="24"/>
          <w:szCs w:val="24"/>
        </w:rPr>
        <w:t>the ultimate executive power, but the instigator of the saga is a new character</w:t>
      </w:r>
      <w:r w:rsidRPr="00E524AE">
        <w:rPr>
          <w:bCs/>
          <w:sz w:val="24"/>
          <w:szCs w:val="24"/>
        </w:rPr>
        <w:t>, Venus</w:t>
      </w:r>
      <w:r w:rsidRPr="001E4D19">
        <w:rPr>
          <w:b/>
          <w:sz w:val="24"/>
          <w:szCs w:val="24"/>
        </w:rPr>
        <w:t>.</w:t>
      </w:r>
      <w:r w:rsidR="00E524AE">
        <w:rPr>
          <w:b/>
          <w:sz w:val="24"/>
          <w:szCs w:val="24"/>
        </w:rPr>
        <w:t xml:space="preserve"> </w:t>
      </w:r>
      <w:r w:rsidRPr="001E4D19">
        <w:rPr>
          <w:sz w:val="24"/>
          <w:szCs w:val="24"/>
        </w:rPr>
        <w:t xml:space="preserve"> At her connivance</w:t>
      </w:r>
      <w:r w:rsidR="00E524AE">
        <w:rPr>
          <w:sz w:val="24"/>
          <w:szCs w:val="24"/>
        </w:rPr>
        <w:t>,</w:t>
      </w:r>
      <w:r w:rsidRPr="001E4D19">
        <w:rPr>
          <w:sz w:val="24"/>
          <w:szCs w:val="24"/>
        </w:rPr>
        <w:t xml:space="preserve"> Pluto, the new name for Dis, is hit by Cupid's arrow.</w:t>
      </w:r>
      <w:r w:rsidR="00E524AE">
        <w:rPr>
          <w:sz w:val="24"/>
          <w:szCs w:val="24"/>
        </w:rPr>
        <w:t xml:space="preserve"> </w:t>
      </w:r>
      <w:r w:rsidRPr="001E4D19">
        <w:rPr>
          <w:sz w:val="24"/>
          <w:szCs w:val="24"/>
        </w:rPr>
        <w:t xml:space="preserve"> According to Lively, this is a purely imperialistic contrivance designed to bring the underworld into her sphere of influence. </w:t>
      </w:r>
      <w:r w:rsidR="00E524AE">
        <w:rPr>
          <w:sz w:val="24"/>
          <w:szCs w:val="24"/>
        </w:rPr>
        <w:t xml:space="preserve"> </w:t>
      </w:r>
      <w:r w:rsidRPr="001E4D19">
        <w:rPr>
          <w:sz w:val="24"/>
          <w:szCs w:val="24"/>
        </w:rPr>
        <w:t>This would have parallels with Augustinian Rome</w:t>
      </w:r>
      <w:r w:rsidR="00E524AE">
        <w:rPr>
          <w:sz w:val="24"/>
          <w:szCs w:val="24"/>
        </w:rPr>
        <w:t>.</w:t>
      </w:r>
      <w:r>
        <w:rPr>
          <w:rStyle w:val="FootnoteReference"/>
          <w:sz w:val="24"/>
          <w:szCs w:val="24"/>
        </w:rPr>
        <w:footnoteReference w:id="31"/>
      </w:r>
      <w:r w:rsidR="00E524AE">
        <w:rPr>
          <w:sz w:val="24"/>
          <w:szCs w:val="24"/>
        </w:rPr>
        <w:t xml:space="preserve"> </w:t>
      </w:r>
      <w:r w:rsidRPr="001E4D19">
        <w:rPr>
          <w:sz w:val="24"/>
          <w:szCs w:val="24"/>
        </w:rPr>
        <w:t xml:space="preserve"> </w:t>
      </w:r>
      <w:r w:rsidRPr="00E524AE">
        <w:rPr>
          <w:bCs/>
          <w:sz w:val="24"/>
          <w:szCs w:val="24"/>
        </w:rPr>
        <w:t>N</w:t>
      </w:r>
      <w:r w:rsidRPr="001E4D19">
        <w:rPr>
          <w:sz w:val="24"/>
          <w:szCs w:val="24"/>
        </w:rPr>
        <w:t>ow equipped with the mitigating circumstance of diminished responsibility, Pluto embarks on the familiar tale of rapid abduction</w:t>
      </w:r>
      <w:r w:rsidR="00E524AE">
        <w:rPr>
          <w:sz w:val="24"/>
          <w:szCs w:val="24"/>
        </w:rPr>
        <w:t>.</w:t>
      </w:r>
      <w:r>
        <w:rPr>
          <w:rStyle w:val="FootnoteReference"/>
          <w:sz w:val="24"/>
          <w:szCs w:val="24"/>
        </w:rPr>
        <w:footnoteReference w:id="32"/>
      </w:r>
      <w:r w:rsidRPr="001E4D19">
        <w:rPr>
          <w:sz w:val="24"/>
          <w:szCs w:val="24"/>
        </w:rPr>
        <w:t xml:space="preserve"> </w:t>
      </w:r>
      <w:r w:rsidR="00E524AE">
        <w:rPr>
          <w:sz w:val="24"/>
          <w:szCs w:val="24"/>
        </w:rPr>
        <w:t xml:space="preserve"> </w:t>
      </w:r>
      <w:r w:rsidRPr="001E4D19">
        <w:rPr>
          <w:sz w:val="24"/>
          <w:szCs w:val="24"/>
        </w:rPr>
        <w:t>The Nymph Cyane impedes his escape.  Although infuriated by this challenge, Pluto's power is implicit  in the ease with which Cyane  is overcome and, indeed, the catastrophic effect it has on her, literally melting away until "nothing that a hand could hold remained</w:t>
      </w:r>
      <w:r w:rsidR="00E524AE">
        <w:rPr>
          <w:sz w:val="24"/>
          <w:szCs w:val="24"/>
        </w:rPr>
        <w:t>.</w:t>
      </w:r>
      <w:r w:rsidRPr="001E4D19">
        <w:rPr>
          <w:sz w:val="24"/>
          <w:szCs w:val="24"/>
        </w:rPr>
        <w:t>”</w:t>
      </w:r>
      <w:r>
        <w:rPr>
          <w:rStyle w:val="FootnoteReference"/>
          <w:sz w:val="24"/>
          <w:szCs w:val="24"/>
        </w:rPr>
        <w:footnoteReference w:id="33"/>
      </w:r>
    </w:p>
    <w:p w14:paraId="04362CF4" w14:textId="77777777" w:rsidR="001E4D19" w:rsidRPr="001E4D19" w:rsidRDefault="001E4D19" w:rsidP="001E4D19">
      <w:pPr>
        <w:spacing w:after="0"/>
        <w:rPr>
          <w:sz w:val="24"/>
          <w:szCs w:val="24"/>
        </w:rPr>
      </w:pPr>
    </w:p>
    <w:p w14:paraId="7079A526" w14:textId="7494AD72" w:rsidR="002D78D1" w:rsidRDefault="00FA2035" w:rsidP="001E4D19">
      <w:pPr>
        <w:spacing w:after="0"/>
        <w:rPr>
          <w:sz w:val="24"/>
          <w:szCs w:val="24"/>
        </w:rPr>
      </w:pPr>
      <w:r w:rsidRPr="00204402">
        <w:rPr>
          <w:sz w:val="24"/>
          <w:szCs w:val="24"/>
        </w:rPr>
        <w:t>Again Persephone, renamed Prosperina</w:t>
      </w:r>
      <w:r w:rsidR="00E524AE" w:rsidRPr="00204402">
        <w:rPr>
          <w:sz w:val="24"/>
          <w:szCs w:val="24"/>
        </w:rPr>
        <w:t>,</w:t>
      </w:r>
      <w:r w:rsidRPr="00204402">
        <w:rPr>
          <w:sz w:val="24"/>
          <w:szCs w:val="24"/>
        </w:rPr>
        <w:t xml:space="preserve"> is an almost periphery character.  Echoing the central theme of </w:t>
      </w:r>
      <w:r w:rsidRPr="00204402">
        <w:rPr>
          <w:i/>
          <w:iCs/>
          <w:sz w:val="24"/>
          <w:szCs w:val="24"/>
        </w:rPr>
        <w:t xml:space="preserve">metamorphosis, </w:t>
      </w:r>
      <w:r w:rsidRPr="00204402">
        <w:rPr>
          <w:sz w:val="24"/>
          <w:szCs w:val="24"/>
        </w:rPr>
        <w:t>she begins as Goddess of Spring but is promoted through marriage to Dis, Queen of the Underworld</w:t>
      </w:r>
      <w:r w:rsidR="00E524AE" w:rsidRPr="00204402">
        <w:rPr>
          <w:sz w:val="24"/>
          <w:szCs w:val="24"/>
        </w:rPr>
        <w:t>.</w:t>
      </w:r>
      <w:r>
        <w:rPr>
          <w:rStyle w:val="FootnoteReference"/>
          <w:sz w:val="24"/>
          <w:szCs w:val="24"/>
        </w:rPr>
        <w:footnoteReference w:id="34"/>
      </w:r>
      <w:r w:rsidR="00E524AE">
        <w:rPr>
          <w:sz w:val="24"/>
          <w:szCs w:val="24"/>
        </w:rPr>
        <w:t xml:space="preserve"> </w:t>
      </w:r>
      <w:r w:rsidRPr="001E4D19">
        <w:rPr>
          <w:sz w:val="24"/>
          <w:szCs w:val="24"/>
        </w:rPr>
        <w:t xml:space="preserve"> There is a hint at the end that she does not learn from her mistakes</w:t>
      </w:r>
      <w:r w:rsidR="00034E99">
        <w:rPr>
          <w:sz w:val="24"/>
          <w:szCs w:val="24"/>
        </w:rPr>
        <w:t>,</w:t>
      </w:r>
      <w:r w:rsidRPr="001E4D19">
        <w:rPr>
          <w:sz w:val="24"/>
          <w:szCs w:val="24"/>
        </w:rPr>
        <w:t xml:space="preserve"> this time picking and eating a pomegranate, which will compromise her ability to escape.</w:t>
      </w:r>
    </w:p>
    <w:p w14:paraId="6C7B376C" w14:textId="77777777" w:rsidR="001E4D19" w:rsidRPr="001E4D19" w:rsidRDefault="001E4D19" w:rsidP="001E4D19">
      <w:pPr>
        <w:spacing w:after="0"/>
        <w:rPr>
          <w:sz w:val="24"/>
          <w:szCs w:val="24"/>
        </w:rPr>
      </w:pPr>
    </w:p>
    <w:p w14:paraId="05C1A7CE" w14:textId="3FD30C8C" w:rsidR="002D78D1" w:rsidRDefault="00FA2035" w:rsidP="001E4D19">
      <w:pPr>
        <w:spacing w:after="0"/>
        <w:rPr>
          <w:sz w:val="24"/>
          <w:szCs w:val="24"/>
        </w:rPr>
      </w:pPr>
      <w:r w:rsidRPr="001E4D19">
        <w:rPr>
          <w:sz w:val="24"/>
          <w:szCs w:val="24"/>
        </w:rPr>
        <w:t>Differences there are, but why are the two works so different?  It seems that there is a trend for</w:t>
      </w:r>
      <w:r w:rsidRPr="001E4D19">
        <w:rPr>
          <w:b/>
          <w:sz w:val="24"/>
          <w:szCs w:val="24"/>
        </w:rPr>
        <w:t xml:space="preserve"> </w:t>
      </w:r>
      <w:r w:rsidRPr="00E524AE">
        <w:rPr>
          <w:bCs/>
          <w:sz w:val="24"/>
          <w:szCs w:val="24"/>
        </w:rPr>
        <w:t>over-analysis in this respect</w:t>
      </w:r>
      <w:r w:rsidRPr="001E4D19">
        <w:rPr>
          <w:sz w:val="24"/>
          <w:szCs w:val="24"/>
        </w:rPr>
        <w:t xml:space="preserve">. </w:t>
      </w:r>
      <w:r w:rsidR="00E524AE">
        <w:rPr>
          <w:sz w:val="24"/>
          <w:szCs w:val="24"/>
        </w:rPr>
        <w:t xml:space="preserve"> </w:t>
      </w:r>
      <w:r w:rsidRPr="001E4D19">
        <w:rPr>
          <w:sz w:val="24"/>
          <w:szCs w:val="24"/>
        </w:rPr>
        <w:t>Hinds, for example, appears intent on emphasi</w:t>
      </w:r>
      <w:r w:rsidR="00E524AE">
        <w:rPr>
          <w:sz w:val="24"/>
          <w:szCs w:val="24"/>
        </w:rPr>
        <w:t>s</w:t>
      </w:r>
      <w:r w:rsidRPr="001E4D19">
        <w:rPr>
          <w:sz w:val="24"/>
          <w:szCs w:val="24"/>
        </w:rPr>
        <w:t xml:space="preserve">ing the subtlest of variations.  The absence of the Cyane episode is compared to the appearance of Cyane as one of the waypoints in the </w:t>
      </w:r>
      <w:r w:rsidRPr="00E524AE">
        <w:rPr>
          <w:i/>
          <w:iCs/>
          <w:sz w:val="24"/>
          <w:szCs w:val="24"/>
        </w:rPr>
        <w:t xml:space="preserve">Fasti </w:t>
      </w:r>
      <w:r w:rsidRPr="001E4D19">
        <w:rPr>
          <w:sz w:val="24"/>
          <w:szCs w:val="24"/>
        </w:rPr>
        <w:t>travelogue, and while Hinds may find it "Tempting....to discern in it an arch-programmic reference</w:t>
      </w:r>
      <w:r w:rsidR="00E524AE">
        <w:rPr>
          <w:sz w:val="24"/>
          <w:szCs w:val="24"/>
        </w:rPr>
        <w:t>,</w:t>
      </w:r>
      <w:r w:rsidRPr="001E4D19">
        <w:rPr>
          <w:sz w:val="24"/>
          <w:szCs w:val="24"/>
        </w:rPr>
        <w:t>”</w:t>
      </w:r>
      <w:r>
        <w:rPr>
          <w:rStyle w:val="FootnoteReference"/>
          <w:sz w:val="24"/>
          <w:szCs w:val="24"/>
        </w:rPr>
        <w:footnoteReference w:id="35"/>
      </w:r>
      <w:r w:rsidRPr="001E4D19">
        <w:rPr>
          <w:sz w:val="24"/>
          <w:szCs w:val="24"/>
        </w:rPr>
        <w:t xml:space="preserve">  I doubt it would have the audience so enthralled. </w:t>
      </w:r>
    </w:p>
    <w:p w14:paraId="75365170" w14:textId="77777777" w:rsidR="001E4D19" w:rsidRPr="001E4D19" w:rsidRDefault="001E4D19" w:rsidP="001E4D19">
      <w:pPr>
        <w:spacing w:after="0"/>
        <w:rPr>
          <w:sz w:val="24"/>
          <w:szCs w:val="24"/>
        </w:rPr>
      </w:pPr>
    </w:p>
    <w:p w14:paraId="714F4D32" w14:textId="579D8860" w:rsidR="002D78D1" w:rsidRDefault="00FA2035" w:rsidP="001E4D19">
      <w:pPr>
        <w:spacing w:after="0"/>
        <w:rPr>
          <w:sz w:val="24"/>
          <w:szCs w:val="24"/>
        </w:rPr>
      </w:pPr>
      <w:r w:rsidRPr="001E4D19">
        <w:rPr>
          <w:sz w:val="24"/>
          <w:szCs w:val="24"/>
        </w:rPr>
        <w:t>Was it the sources that influenced Ovid’s writing?</w:t>
      </w:r>
      <w:r w:rsidR="00E524AE">
        <w:rPr>
          <w:sz w:val="24"/>
          <w:szCs w:val="24"/>
        </w:rPr>
        <w:t xml:space="preserve"> </w:t>
      </w:r>
      <w:r w:rsidRPr="001E4D19">
        <w:rPr>
          <w:sz w:val="24"/>
          <w:szCs w:val="24"/>
        </w:rPr>
        <w:t xml:space="preserve"> Richardson observed that “there is no reason to doubt that Ovid knew and imitated [the Hymn] directly</w:t>
      </w:r>
      <w:r w:rsidR="00E524AE">
        <w:rPr>
          <w:sz w:val="24"/>
          <w:szCs w:val="24"/>
        </w:rPr>
        <w:t>.</w:t>
      </w:r>
      <w:r w:rsidRPr="001E4D19">
        <w:rPr>
          <w:sz w:val="24"/>
          <w:szCs w:val="24"/>
        </w:rPr>
        <w:t>”</w:t>
      </w:r>
      <w:r>
        <w:rPr>
          <w:rStyle w:val="FootnoteReference"/>
          <w:sz w:val="24"/>
          <w:szCs w:val="24"/>
        </w:rPr>
        <w:footnoteReference w:id="36"/>
      </w:r>
      <w:r w:rsidR="00E524AE">
        <w:rPr>
          <w:sz w:val="24"/>
          <w:szCs w:val="24"/>
        </w:rPr>
        <w:t xml:space="preserve"> </w:t>
      </w:r>
      <w:r w:rsidRPr="001E4D19">
        <w:rPr>
          <w:sz w:val="24"/>
          <w:szCs w:val="24"/>
        </w:rPr>
        <w:t xml:space="preserve"> However, it cannot be the only source because Diodorus</w:t>
      </w:r>
      <w:r w:rsidR="00E524AE">
        <w:rPr>
          <w:sz w:val="24"/>
          <w:szCs w:val="24"/>
        </w:rPr>
        <w:t xml:space="preserve">, </w:t>
      </w:r>
      <w:r w:rsidRPr="001E4D19">
        <w:rPr>
          <w:sz w:val="24"/>
          <w:szCs w:val="24"/>
        </w:rPr>
        <w:t>for example, uses Sicily as a location</w:t>
      </w:r>
      <w:r w:rsidR="00E524AE">
        <w:rPr>
          <w:sz w:val="24"/>
          <w:szCs w:val="24"/>
        </w:rPr>
        <w:t>.</w:t>
      </w:r>
      <w:r>
        <w:rPr>
          <w:rStyle w:val="FootnoteReference"/>
          <w:sz w:val="24"/>
          <w:szCs w:val="24"/>
        </w:rPr>
        <w:footnoteReference w:id="37"/>
      </w:r>
      <w:r w:rsidRPr="001E4D19">
        <w:rPr>
          <w:sz w:val="24"/>
          <w:szCs w:val="24"/>
        </w:rPr>
        <w:t xml:space="preserve"> </w:t>
      </w:r>
      <w:r w:rsidR="00E524AE">
        <w:rPr>
          <w:sz w:val="24"/>
          <w:szCs w:val="24"/>
        </w:rPr>
        <w:t xml:space="preserve"> </w:t>
      </w:r>
      <w:r w:rsidRPr="001E4D19">
        <w:rPr>
          <w:sz w:val="24"/>
          <w:szCs w:val="24"/>
        </w:rPr>
        <w:t>Hinds rejects the Mittelsmann solution offered by Malten because the boy's transformation into a lizard seems to be drawn from Nicander</w:t>
      </w:r>
      <w:r w:rsidR="00E524AE">
        <w:rPr>
          <w:sz w:val="24"/>
          <w:szCs w:val="24"/>
        </w:rPr>
        <w:t>.</w:t>
      </w:r>
      <w:r>
        <w:rPr>
          <w:rStyle w:val="FootnoteReference"/>
          <w:sz w:val="24"/>
          <w:szCs w:val="24"/>
        </w:rPr>
        <w:footnoteReference w:id="38"/>
      </w:r>
      <w:r w:rsidRPr="001E4D19">
        <w:rPr>
          <w:sz w:val="24"/>
          <w:szCs w:val="24"/>
        </w:rPr>
        <w:t xml:space="preserve"> </w:t>
      </w:r>
      <w:r w:rsidR="00E524AE">
        <w:rPr>
          <w:sz w:val="24"/>
          <w:szCs w:val="24"/>
        </w:rPr>
        <w:t xml:space="preserve"> </w:t>
      </w:r>
      <w:r w:rsidRPr="001E4D19">
        <w:rPr>
          <w:sz w:val="24"/>
          <w:szCs w:val="24"/>
        </w:rPr>
        <w:t xml:space="preserve">The main problem of source input as an explanation for divergence between the Ovid works is that the information should then appear in both. </w:t>
      </w:r>
    </w:p>
    <w:p w14:paraId="0A3E53EB" w14:textId="77777777" w:rsidR="001E4D19" w:rsidRPr="001E4D19" w:rsidRDefault="001E4D19" w:rsidP="001E4D19">
      <w:pPr>
        <w:spacing w:after="0"/>
        <w:rPr>
          <w:sz w:val="24"/>
          <w:szCs w:val="24"/>
        </w:rPr>
      </w:pPr>
    </w:p>
    <w:p w14:paraId="0A515C52" w14:textId="22DB99D9" w:rsidR="002D78D1" w:rsidRPr="00E524AE" w:rsidRDefault="00FA2035" w:rsidP="00E524AE">
      <w:pPr>
        <w:spacing w:after="0"/>
        <w:rPr>
          <w:sz w:val="24"/>
          <w:szCs w:val="24"/>
        </w:rPr>
      </w:pPr>
      <w:r w:rsidRPr="001E4D19">
        <w:rPr>
          <w:sz w:val="24"/>
          <w:szCs w:val="24"/>
        </w:rPr>
        <w:t>Is the treatment a function of literary style</w:t>
      </w:r>
      <w:r w:rsidRPr="00E524AE">
        <w:rPr>
          <w:bCs/>
          <w:sz w:val="24"/>
          <w:szCs w:val="24"/>
        </w:rPr>
        <w:t>?</w:t>
      </w:r>
      <w:r w:rsidRPr="001E4D19">
        <w:rPr>
          <w:b/>
          <w:sz w:val="24"/>
          <w:szCs w:val="24"/>
        </w:rPr>
        <w:t xml:space="preserve"> </w:t>
      </w:r>
      <w:r w:rsidR="00E524AE">
        <w:rPr>
          <w:b/>
          <w:sz w:val="24"/>
          <w:szCs w:val="24"/>
        </w:rPr>
        <w:t xml:space="preserve"> </w:t>
      </w:r>
      <w:r w:rsidRPr="001E4D19">
        <w:rPr>
          <w:sz w:val="24"/>
          <w:szCs w:val="24"/>
        </w:rPr>
        <w:t xml:space="preserve">In his review of Hinds, Thomas cites a quote from Heinze arguing that the  </w:t>
      </w:r>
      <w:r w:rsidRPr="001E4D19">
        <w:rPr>
          <w:i/>
          <w:sz w:val="24"/>
          <w:szCs w:val="24"/>
        </w:rPr>
        <w:t>Fasti</w:t>
      </w:r>
      <w:r w:rsidRPr="001E4D19">
        <w:rPr>
          <w:sz w:val="24"/>
          <w:szCs w:val="24"/>
        </w:rPr>
        <w:t xml:space="preserve"> is an elegy and exhibits "softer feelings, sorrowful lamentation and pity", whilst the </w:t>
      </w:r>
      <w:r w:rsidRPr="00034E99">
        <w:rPr>
          <w:i/>
          <w:iCs/>
          <w:sz w:val="24"/>
          <w:szCs w:val="24"/>
        </w:rPr>
        <w:t>Metamorphoses</w:t>
      </w:r>
      <w:r w:rsidRPr="001E4D19">
        <w:rPr>
          <w:sz w:val="24"/>
          <w:szCs w:val="24"/>
        </w:rPr>
        <w:t xml:space="preserve"> is characterised by "strong, active emotions, sudden love and sudden anger</w:t>
      </w:r>
      <w:r w:rsidR="00E524AE">
        <w:rPr>
          <w:sz w:val="24"/>
          <w:szCs w:val="24"/>
        </w:rPr>
        <w:t>.</w:t>
      </w:r>
      <w:r w:rsidRPr="001E4D19">
        <w:rPr>
          <w:sz w:val="24"/>
          <w:szCs w:val="24"/>
        </w:rPr>
        <w:t>”</w:t>
      </w:r>
      <w:r>
        <w:rPr>
          <w:rStyle w:val="FootnoteReference"/>
          <w:sz w:val="24"/>
          <w:szCs w:val="24"/>
        </w:rPr>
        <w:footnoteReference w:id="39"/>
      </w:r>
      <w:r w:rsidR="00E524AE">
        <w:rPr>
          <w:sz w:val="24"/>
          <w:szCs w:val="24"/>
        </w:rPr>
        <w:t xml:space="preserve"> </w:t>
      </w:r>
      <w:r w:rsidRPr="001E4D19">
        <w:rPr>
          <w:sz w:val="24"/>
          <w:szCs w:val="24"/>
        </w:rPr>
        <w:t xml:space="preserve"> However, these are not mutually exclusive elements of the </w:t>
      </w:r>
      <w:r w:rsidRPr="001E4D19">
        <w:rPr>
          <w:i/>
          <w:sz w:val="24"/>
          <w:szCs w:val="24"/>
        </w:rPr>
        <w:t>Fasti</w:t>
      </w:r>
      <w:r w:rsidRPr="001E4D19">
        <w:rPr>
          <w:sz w:val="24"/>
          <w:szCs w:val="24"/>
        </w:rPr>
        <w:t xml:space="preserve"> or </w:t>
      </w:r>
      <w:r w:rsidRPr="001E4D19">
        <w:rPr>
          <w:i/>
          <w:sz w:val="24"/>
          <w:szCs w:val="24"/>
        </w:rPr>
        <w:t>Metamorphoses.</w:t>
      </w:r>
    </w:p>
    <w:p w14:paraId="11AD38D9" w14:textId="77777777" w:rsidR="001E4D19" w:rsidRPr="001E4D19" w:rsidRDefault="001E4D19" w:rsidP="001E4D19">
      <w:pPr>
        <w:spacing w:after="0"/>
        <w:rPr>
          <w:iCs/>
          <w:sz w:val="24"/>
          <w:szCs w:val="24"/>
        </w:rPr>
      </w:pPr>
    </w:p>
    <w:p w14:paraId="685993BD" w14:textId="2C4BF56C" w:rsidR="00372ECE" w:rsidRDefault="00FA2035" w:rsidP="001E4D19">
      <w:pPr>
        <w:tabs>
          <w:tab w:val="left" w:pos="1454"/>
        </w:tabs>
        <w:spacing w:after="0"/>
        <w:rPr>
          <w:sz w:val="24"/>
          <w:szCs w:val="24"/>
        </w:rPr>
      </w:pPr>
      <w:r w:rsidRPr="001E4D19">
        <w:rPr>
          <w:sz w:val="24"/>
          <w:szCs w:val="24"/>
        </w:rPr>
        <w:lastRenderedPageBreak/>
        <w:t xml:space="preserve">In the </w:t>
      </w:r>
      <w:r w:rsidRPr="00C37EA6">
        <w:rPr>
          <w:i/>
          <w:iCs/>
          <w:sz w:val="24"/>
          <w:szCs w:val="24"/>
        </w:rPr>
        <w:t>Metamorphoses</w:t>
      </w:r>
      <w:r w:rsidR="00C37EA6">
        <w:rPr>
          <w:i/>
          <w:iCs/>
          <w:sz w:val="24"/>
          <w:szCs w:val="24"/>
        </w:rPr>
        <w:t>,</w:t>
      </w:r>
      <w:r w:rsidRPr="001E4D19">
        <w:rPr>
          <w:sz w:val="24"/>
          <w:szCs w:val="24"/>
        </w:rPr>
        <w:t xml:space="preserve"> Barchiesi describes an intentional linear progression by Ovid from chaos to Augustinian idyll</w:t>
      </w:r>
      <w:r w:rsidR="00C37EA6">
        <w:rPr>
          <w:sz w:val="24"/>
          <w:szCs w:val="24"/>
        </w:rPr>
        <w:t>.</w:t>
      </w:r>
      <w:r>
        <w:rPr>
          <w:rStyle w:val="FootnoteReference"/>
          <w:sz w:val="24"/>
          <w:szCs w:val="24"/>
        </w:rPr>
        <w:footnoteReference w:id="40"/>
      </w:r>
      <w:r w:rsidRPr="001E4D19">
        <w:rPr>
          <w:sz w:val="24"/>
          <w:szCs w:val="24"/>
        </w:rPr>
        <w:t xml:space="preserve"> </w:t>
      </w:r>
      <w:r w:rsidR="00C37EA6">
        <w:rPr>
          <w:sz w:val="24"/>
          <w:szCs w:val="24"/>
        </w:rPr>
        <w:t xml:space="preserve"> </w:t>
      </w:r>
      <w:r w:rsidRPr="001E4D19">
        <w:rPr>
          <w:sz w:val="24"/>
          <w:szCs w:val="24"/>
        </w:rPr>
        <w:t xml:space="preserve">Although he characterises the </w:t>
      </w:r>
      <w:r w:rsidRPr="001E4D19">
        <w:rPr>
          <w:i/>
          <w:sz w:val="24"/>
          <w:szCs w:val="24"/>
        </w:rPr>
        <w:t>Metamorphoses</w:t>
      </w:r>
      <w:r w:rsidRPr="001E4D19">
        <w:rPr>
          <w:sz w:val="24"/>
          <w:szCs w:val="24"/>
        </w:rPr>
        <w:t xml:space="preserve"> as “a multiplicity of voices striving to get out of control</w:t>
      </w:r>
      <w:r w:rsidR="00C37EA6">
        <w:rPr>
          <w:sz w:val="24"/>
          <w:szCs w:val="24"/>
        </w:rPr>
        <w:t>,</w:t>
      </w:r>
      <w:r w:rsidRPr="001E4D19">
        <w:rPr>
          <w:sz w:val="24"/>
          <w:szCs w:val="24"/>
        </w:rPr>
        <w:t>”</w:t>
      </w:r>
      <w:r>
        <w:rPr>
          <w:rStyle w:val="FootnoteReference"/>
          <w:sz w:val="24"/>
          <w:szCs w:val="24"/>
        </w:rPr>
        <w:footnoteReference w:id="41"/>
      </w:r>
      <w:r w:rsidRPr="001E4D19">
        <w:rPr>
          <w:sz w:val="24"/>
          <w:szCs w:val="24"/>
        </w:rPr>
        <w:t xml:space="preserve"> Ovid manages that chaos and sculpts it into a slowly evolving "Venus master-plot" intended to dominate a henotheistic world with her and her decedents, of whom Augustus Caesar is the latest embodiment</w:t>
      </w:r>
      <w:r w:rsidR="00891346">
        <w:rPr>
          <w:sz w:val="24"/>
          <w:szCs w:val="24"/>
        </w:rPr>
        <w:t>.</w:t>
      </w:r>
      <w:r>
        <w:rPr>
          <w:rStyle w:val="FootnoteReference"/>
          <w:sz w:val="24"/>
          <w:szCs w:val="24"/>
        </w:rPr>
        <w:footnoteReference w:id="42"/>
      </w:r>
      <w:r w:rsidRPr="001E4D19">
        <w:rPr>
          <w:sz w:val="24"/>
          <w:szCs w:val="24"/>
        </w:rPr>
        <w:t xml:space="preserve"> </w:t>
      </w:r>
      <w:r w:rsidR="00C37EA6">
        <w:rPr>
          <w:sz w:val="24"/>
          <w:szCs w:val="24"/>
        </w:rPr>
        <w:t xml:space="preserve"> </w:t>
      </w:r>
      <w:r w:rsidRPr="001E4D19">
        <w:rPr>
          <w:sz w:val="24"/>
          <w:szCs w:val="24"/>
        </w:rPr>
        <w:t>Any differences may be ascribed to varying attempts by Ovid to ingratiate himself with Augustus Caesar.</w:t>
      </w:r>
      <w:r w:rsidR="00C37EA6">
        <w:rPr>
          <w:sz w:val="24"/>
          <w:szCs w:val="24"/>
        </w:rPr>
        <w:t xml:space="preserve"> </w:t>
      </w:r>
    </w:p>
    <w:p w14:paraId="7912F77D" w14:textId="77777777" w:rsidR="004E7C36" w:rsidRDefault="004E7C36" w:rsidP="001E4D19">
      <w:pPr>
        <w:tabs>
          <w:tab w:val="left" w:pos="1454"/>
        </w:tabs>
        <w:spacing w:after="0"/>
        <w:rPr>
          <w:sz w:val="24"/>
          <w:szCs w:val="24"/>
        </w:rPr>
      </w:pPr>
    </w:p>
    <w:p w14:paraId="7A02DE05" w14:textId="08DF1639" w:rsidR="00372ECE" w:rsidRDefault="00FA2035" w:rsidP="00372ECE">
      <w:pPr>
        <w:tabs>
          <w:tab w:val="left" w:pos="1454"/>
        </w:tabs>
        <w:spacing w:after="0"/>
        <w:ind w:left="720"/>
        <w:rPr>
          <w:sz w:val="24"/>
          <w:szCs w:val="24"/>
        </w:rPr>
      </w:pPr>
      <w:r w:rsidRPr="001E4D19">
        <w:rPr>
          <w:sz w:val="24"/>
          <w:szCs w:val="24"/>
        </w:rPr>
        <w:t>The clever whimsicality of the poet found opportunity even in the former</w:t>
      </w:r>
      <w:r w:rsidR="00C37EA6">
        <w:rPr>
          <w:sz w:val="24"/>
          <w:szCs w:val="24"/>
        </w:rPr>
        <w:t xml:space="preserve"> </w:t>
      </w:r>
      <w:r w:rsidRPr="001E4D19">
        <w:rPr>
          <w:sz w:val="24"/>
          <w:szCs w:val="24"/>
        </w:rPr>
        <w:t>(</w:t>
      </w:r>
      <w:r w:rsidRPr="001E4D19">
        <w:rPr>
          <w:i/>
          <w:sz w:val="24"/>
          <w:szCs w:val="24"/>
        </w:rPr>
        <w:t>Metamorphoses</w:t>
      </w:r>
      <w:r w:rsidRPr="001E4D19">
        <w:rPr>
          <w:sz w:val="24"/>
          <w:szCs w:val="24"/>
        </w:rPr>
        <w:t xml:space="preserve">), uncompromising  as was its theme, to sound the national note in the last three books, but it is the </w:t>
      </w:r>
      <w:r w:rsidRPr="00C37EA6">
        <w:rPr>
          <w:i/>
          <w:iCs/>
          <w:sz w:val="24"/>
          <w:szCs w:val="24"/>
        </w:rPr>
        <w:t xml:space="preserve">Fasti </w:t>
      </w:r>
      <w:r w:rsidRPr="001E4D19">
        <w:rPr>
          <w:sz w:val="24"/>
          <w:szCs w:val="24"/>
        </w:rPr>
        <w:t>which embodies the poet’s real contribution to imperial propaganda</w:t>
      </w:r>
      <w:r w:rsidR="00C37EA6">
        <w:rPr>
          <w:sz w:val="24"/>
          <w:szCs w:val="24"/>
        </w:rPr>
        <w:t>.</w:t>
      </w:r>
      <w:r w:rsidRPr="001E4D19">
        <w:rPr>
          <w:sz w:val="24"/>
          <w:szCs w:val="24"/>
        </w:rPr>
        <w:t xml:space="preserve"> </w:t>
      </w:r>
      <w:r>
        <w:rPr>
          <w:rStyle w:val="FootnoteReference"/>
          <w:sz w:val="24"/>
          <w:szCs w:val="24"/>
        </w:rPr>
        <w:footnoteReference w:id="43"/>
      </w:r>
      <w:r w:rsidR="00C37EA6">
        <w:rPr>
          <w:sz w:val="24"/>
          <w:szCs w:val="24"/>
        </w:rPr>
        <w:t xml:space="preserve"> </w:t>
      </w:r>
    </w:p>
    <w:p w14:paraId="716434D6" w14:textId="77777777" w:rsidR="004E7C36" w:rsidRDefault="004E7C36" w:rsidP="00372ECE">
      <w:pPr>
        <w:tabs>
          <w:tab w:val="left" w:pos="1454"/>
        </w:tabs>
        <w:spacing w:after="0"/>
        <w:ind w:left="720"/>
        <w:rPr>
          <w:sz w:val="24"/>
          <w:szCs w:val="24"/>
        </w:rPr>
      </w:pPr>
    </w:p>
    <w:p w14:paraId="6E4F71A7" w14:textId="2AB0E6C5" w:rsidR="002D78D1" w:rsidRDefault="00FA2035" w:rsidP="001E4D19">
      <w:pPr>
        <w:tabs>
          <w:tab w:val="left" w:pos="1454"/>
        </w:tabs>
        <w:spacing w:after="0"/>
        <w:rPr>
          <w:sz w:val="24"/>
          <w:szCs w:val="24"/>
        </w:rPr>
      </w:pPr>
      <w:r w:rsidRPr="001E4D19">
        <w:rPr>
          <w:sz w:val="24"/>
          <w:szCs w:val="24"/>
        </w:rPr>
        <w:t xml:space="preserve">This is a compelling argument because </w:t>
      </w:r>
      <w:r w:rsidRPr="001E4D19">
        <w:rPr>
          <w:i/>
          <w:sz w:val="24"/>
          <w:szCs w:val="24"/>
        </w:rPr>
        <w:t xml:space="preserve">Fasti </w:t>
      </w:r>
      <w:r w:rsidR="00C37EA6">
        <w:rPr>
          <w:i/>
          <w:sz w:val="24"/>
          <w:szCs w:val="24"/>
        </w:rPr>
        <w:t xml:space="preserve">IV </w:t>
      </w:r>
      <w:r w:rsidRPr="001E4D19">
        <w:rPr>
          <w:sz w:val="24"/>
          <w:szCs w:val="24"/>
        </w:rPr>
        <w:t>has a direct homage to the emperor</w:t>
      </w:r>
      <w:r w:rsidR="00C37EA6">
        <w:rPr>
          <w:sz w:val="24"/>
          <w:szCs w:val="24"/>
        </w:rPr>
        <w:t xml:space="preserve"> </w:t>
      </w:r>
      <w:r w:rsidRPr="001E4D19">
        <w:rPr>
          <w:sz w:val="24"/>
          <w:szCs w:val="24"/>
        </w:rPr>
        <w:t>“This month thou has inherited by a great pedigree, and it has been made thine by virtue of thine adoption into a noble house</w:t>
      </w:r>
      <w:r w:rsidR="00C37EA6">
        <w:rPr>
          <w:sz w:val="24"/>
          <w:szCs w:val="24"/>
        </w:rPr>
        <w:t>.</w:t>
      </w:r>
      <w:r w:rsidRPr="001E4D19">
        <w:rPr>
          <w:sz w:val="24"/>
          <w:szCs w:val="24"/>
        </w:rPr>
        <w:t>”</w:t>
      </w:r>
      <w:r>
        <w:rPr>
          <w:rStyle w:val="FootnoteReference"/>
          <w:sz w:val="24"/>
          <w:szCs w:val="24"/>
        </w:rPr>
        <w:footnoteReference w:id="44"/>
      </w:r>
      <w:r w:rsidRPr="001E4D19">
        <w:rPr>
          <w:sz w:val="24"/>
          <w:szCs w:val="24"/>
        </w:rPr>
        <w:t xml:space="preserve"> </w:t>
      </w:r>
      <w:r w:rsidR="00C37EA6">
        <w:rPr>
          <w:sz w:val="24"/>
          <w:szCs w:val="24"/>
        </w:rPr>
        <w:t xml:space="preserve"> </w:t>
      </w:r>
      <w:r w:rsidRPr="001E4D19">
        <w:rPr>
          <w:sz w:val="24"/>
          <w:szCs w:val="24"/>
        </w:rPr>
        <w:t>The ultimate power in both is Jupiter, “</w:t>
      </w:r>
      <w:r w:rsidRPr="001E4D19">
        <w:rPr>
          <w:i/>
          <w:sz w:val="24"/>
          <w:szCs w:val="24"/>
        </w:rPr>
        <w:t>Pater</w:t>
      </w:r>
      <w:r w:rsidRPr="001E4D19">
        <w:rPr>
          <w:sz w:val="24"/>
          <w:szCs w:val="24"/>
        </w:rPr>
        <w:t xml:space="preserve"> in heaven”, with the subliminal recognition that </w:t>
      </w:r>
      <w:r w:rsidRPr="001E4D19">
        <w:rPr>
          <w:i/>
          <w:sz w:val="24"/>
          <w:szCs w:val="24"/>
        </w:rPr>
        <w:t>“ Pater</w:t>
      </w:r>
      <w:r w:rsidRPr="001E4D19">
        <w:rPr>
          <w:sz w:val="24"/>
          <w:szCs w:val="24"/>
        </w:rPr>
        <w:t xml:space="preserve"> on earth” is Augustus himself</w:t>
      </w:r>
      <w:r w:rsidR="005027A6">
        <w:rPr>
          <w:sz w:val="24"/>
          <w:szCs w:val="24"/>
        </w:rPr>
        <w:t>.</w:t>
      </w:r>
      <w:r>
        <w:rPr>
          <w:rStyle w:val="FootnoteReference"/>
          <w:sz w:val="24"/>
          <w:szCs w:val="24"/>
        </w:rPr>
        <w:footnoteReference w:id="45"/>
      </w:r>
      <w:r w:rsidRPr="001E4D19">
        <w:rPr>
          <w:sz w:val="24"/>
          <w:szCs w:val="24"/>
        </w:rPr>
        <w:t xml:space="preserve"> </w:t>
      </w:r>
      <w:r w:rsidR="00C37EA6">
        <w:rPr>
          <w:sz w:val="24"/>
          <w:szCs w:val="24"/>
        </w:rPr>
        <w:t xml:space="preserve"> </w:t>
      </w:r>
      <w:r w:rsidRPr="001E4D19">
        <w:rPr>
          <w:sz w:val="24"/>
          <w:szCs w:val="24"/>
        </w:rPr>
        <w:t xml:space="preserve">Stripped of the additional sub-plots and notwithstanding certain variations in detail and chronology, the </w:t>
      </w:r>
      <w:r w:rsidRPr="001E4D19">
        <w:rPr>
          <w:i/>
          <w:sz w:val="24"/>
          <w:szCs w:val="24"/>
        </w:rPr>
        <w:t>Fasti</w:t>
      </w:r>
      <w:r w:rsidRPr="001E4D19">
        <w:rPr>
          <w:sz w:val="24"/>
          <w:szCs w:val="24"/>
        </w:rPr>
        <w:t xml:space="preserve"> and </w:t>
      </w:r>
      <w:r w:rsidRPr="001E4D19">
        <w:rPr>
          <w:i/>
          <w:sz w:val="24"/>
          <w:szCs w:val="24"/>
        </w:rPr>
        <w:t xml:space="preserve">Metamorphoses </w:t>
      </w:r>
      <w:r w:rsidRPr="001E4D19">
        <w:rPr>
          <w:sz w:val="24"/>
          <w:szCs w:val="24"/>
        </w:rPr>
        <w:t>are synonymous.</w:t>
      </w:r>
      <w:r w:rsidR="00C37EA6">
        <w:rPr>
          <w:sz w:val="24"/>
          <w:szCs w:val="24"/>
        </w:rPr>
        <w:t xml:space="preserve"> </w:t>
      </w:r>
      <w:r w:rsidRPr="001E4D19">
        <w:rPr>
          <w:sz w:val="24"/>
          <w:szCs w:val="24"/>
        </w:rPr>
        <w:t xml:space="preserve"> To overcome the sheer nerve of sequel overlapping a sequel, the </w:t>
      </w:r>
      <w:r w:rsidRPr="001E4D19">
        <w:rPr>
          <w:i/>
          <w:sz w:val="24"/>
          <w:szCs w:val="24"/>
        </w:rPr>
        <w:t>Metamorphoses</w:t>
      </w:r>
      <w:r w:rsidRPr="001E4D19">
        <w:rPr>
          <w:sz w:val="24"/>
          <w:szCs w:val="24"/>
        </w:rPr>
        <w:t xml:space="preserve"> may have been adapted for a wider audience.  However, that audience will always be drawn back to the underlying theme, manipulation of power. </w:t>
      </w:r>
      <w:r w:rsidR="00C37EA6">
        <w:rPr>
          <w:sz w:val="24"/>
          <w:szCs w:val="24"/>
        </w:rPr>
        <w:t xml:space="preserve"> </w:t>
      </w:r>
      <w:r w:rsidRPr="001E4D19">
        <w:rPr>
          <w:sz w:val="24"/>
          <w:szCs w:val="24"/>
        </w:rPr>
        <w:t>Power, which is firmly in the hands of a transcendental diarchy.</w:t>
      </w:r>
    </w:p>
    <w:p w14:paraId="5ED21E09" w14:textId="6464749B" w:rsidR="00AC0133" w:rsidRDefault="00AC0133" w:rsidP="001E4D19">
      <w:pPr>
        <w:tabs>
          <w:tab w:val="left" w:pos="1454"/>
        </w:tabs>
        <w:spacing w:after="0"/>
        <w:rPr>
          <w:sz w:val="24"/>
          <w:szCs w:val="24"/>
        </w:rPr>
      </w:pPr>
    </w:p>
    <w:p w14:paraId="7CDA4B53" w14:textId="77777777" w:rsidR="00AC0133" w:rsidRDefault="00AC0133" w:rsidP="001E4D19">
      <w:pPr>
        <w:tabs>
          <w:tab w:val="left" w:pos="1454"/>
        </w:tabs>
        <w:spacing w:after="0"/>
        <w:rPr>
          <w:sz w:val="24"/>
          <w:szCs w:val="24"/>
        </w:rPr>
      </w:pPr>
    </w:p>
    <w:p w14:paraId="05041E22" w14:textId="6EBC2CB8" w:rsidR="00AC0133" w:rsidRPr="00AC0133" w:rsidRDefault="00AC0133" w:rsidP="001E4D19">
      <w:pPr>
        <w:tabs>
          <w:tab w:val="left" w:pos="1454"/>
        </w:tabs>
        <w:spacing w:after="0"/>
        <w:rPr>
          <w:i/>
          <w:iCs/>
          <w:sz w:val="24"/>
          <w:szCs w:val="24"/>
        </w:rPr>
      </w:pPr>
      <w:r w:rsidRPr="00AC0133">
        <w:rPr>
          <w:i/>
          <w:iCs/>
          <w:sz w:val="24"/>
          <w:szCs w:val="24"/>
        </w:rPr>
        <w:t>(Word Count: 16</w:t>
      </w:r>
      <w:r w:rsidR="00161719">
        <w:rPr>
          <w:i/>
          <w:iCs/>
          <w:sz w:val="24"/>
          <w:szCs w:val="24"/>
        </w:rPr>
        <w:t>32</w:t>
      </w:r>
      <w:r w:rsidRPr="00AC0133">
        <w:rPr>
          <w:i/>
          <w:iCs/>
          <w:sz w:val="24"/>
          <w:szCs w:val="24"/>
        </w:rPr>
        <w:t>, excluding title and footnote citations).</w:t>
      </w:r>
    </w:p>
    <w:p w14:paraId="78C818E3" w14:textId="5F39AC84" w:rsidR="00C37EA6" w:rsidRDefault="00FA2035">
      <w:pPr>
        <w:rPr>
          <w:sz w:val="24"/>
          <w:szCs w:val="24"/>
        </w:rPr>
      </w:pPr>
      <w:r>
        <w:rPr>
          <w:sz w:val="24"/>
          <w:szCs w:val="24"/>
        </w:rPr>
        <w:br w:type="page"/>
      </w:r>
    </w:p>
    <w:p w14:paraId="429C34CC" w14:textId="77777777" w:rsidR="002D78D1" w:rsidRPr="001E4D19" w:rsidRDefault="002D78D1" w:rsidP="00124C64">
      <w:pPr>
        <w:spacing w:after="0" w:line="240" w:lineRule="auto"/>
        <w:rPr>
          <w:sz w:val="24"/>
          <w:szCs w:val="24"/>
        </w:rPr>
      </w:pPr>
    </w:p>
    <w:p w14:paraId="2F6FBB2C" w14:textId="15A75DD6" w:rsidR="002D78D1" w:rsidRPr="001E4D19" w:rsidRDefault="00FA2035" w:rsidP="00E430FF">
      <w:pPr>
        <w:spacing w:line="240" w:lineRule="auto"/>
        <w:rPr>
          <w:b/>
          <w:sz w:val="24"/>
          <w:szCs w:val="24"/>
          <w:u w:val="single"/>
        </w:rPr>
      </w:pPr>
      <w:r>
        <w:rPr>
          <w:b/>
          <w:sz w:val="24"/>
          <w:szCs w:val="24"/>
          <w:u w:val="single"/>
        </w:rPr>
        <w:t>Bibliography</w:t>
      </w:r>
    </w:p>
    <w:p w14:paraId="6C6C4074" w14:textId="29F2E231" w:rsidR="002D78D1" w:rsidRDefault="00FA2035" w:rsidP="00204402">
      <w:pPr>
        <w:spacing w:after="0" w:line="240" w:lineRule="auto"/>
        <w:rPr>
          <w:sz w:val="24"/>
          <w:szCs w:val="24"/>
        </w:rPr>
      </w:pPr>
      <w:r w:rsidRPr="00E430FF">
        <w:rPr>
          <w:sz w:val="24"/>
          <w:szCs w:val="24"/>
        </w:rPr>
        <w:t>Allen, K</w:t>
      </w:r>
      <w:r w:rsidR="00D566EB" w:rsidRPr="00E430FF">
        <w:rPr>
          <w:sz w:val="24"/>
          <w:szCs w:val="24"/>
        </w:rPr>
        <w:t>. (</w:t>
      </w:r>
      <w:r w:rsidR="009337E1">
        <w:rPr>
          <w:sz w:val="24"/>
          <w:szCs w:val="24"/>
        </w:rPr>
        <w:t>2016</w:t>
      </w:r>
      <w:r w:rsidR="00D566EB" w:rsidRPr="00E430FF">
        <w:rPr>
          <w:sz w:val="24"/>
          <w:szCs w:val="24"/>
        </w:rPr>
        <w:t>)</w:t>
      </w:r>
      <w:r w:rsidRPr="00E430FF">
        <w:rPr>
          <w:i/>
          <w:iCs/>
          <w:sz w:val="24"/>
          <w:szCs w:val="24"/>
        </w:rPr>
        <w:t xml:space="preserve"> The Fasti of Ovid and the Augustan P</w:t>
      </w:r>
      <w:r w:rsidR="001E4D19" w:rsidRPr="00E430FF">
        <w:rPr>
          <w:i/>
          <w:iCs/>
          <w:sz w:val="24"/>
          <w:szCs w:val="24"/>
        </w:rPr>
        <w:t>r</w:t>
      </w:r>
      <w:r w:rsidRPr="00E430FF">
        <w:rPr>
          <w:i/>
          <w:iCs/>
          <w:sz w:val="24"/>
          <w:szCs w:val="24"/>
        </w:rPr>
        <w:t>opaganda</w:t>
      </w:r>
      <w:r w:rsidR="009337E1">
        <w:rPr>
          <w:sz w:val="24"/>
          <w:szCs w:val="24"/>
        </w:rPr>
        <w:t>,</w:t>
      </w:r>
      <w:r w:rsidR="009337E1">
        <w:rPr>
          <w:i/>
          <w:iCs/>
          <w:sz w:val="24"/>
          <w:szCs w:val="24"/>
        </w:rPr>
        <w:t xml:space="preserve"> Volume 43 1922</w:t>
      </w:r>
      <w:r w:rsidR="009337E1" w:rsidRPr="00250D88">
        <w:rPr>
          <w:rFonts w:cstheme="minorHAnsi"/>
          <w:i/>
          <w:iCs/>
          <w:sz w:val="24"/>
          <w:szCs w:val="24"/>
        </w:rPr>
        <w:t>.</w:t>
      </w:r>
      <w:r w:rsidR="009337E1" w:rsidRPr="00250D88">
        <w:rPr>
          <w:rFonts w:cstheme="minorHAnsi"/>
          <w:sz w:val="24"/>
          <w:szCs w:val="24"/>
        </w:rPr>
        <w:t xml:space="preserve"> </w:t>
      </w:r>
      <w:r w:rsidR="007C69B4" w:rsidRPr="00250D88">
        <w:rPr>
          <w:rFonts w:cstheme="minorHAnsi"/>
          <w:sz w:val="24"/>
          <w:szCs w:val="24"/>
        </w:rPr>
        <w:t>Facsimile Publisher.</w:t>
      </w:r>
    </w:p>
    <w:p w14:paraId="3458E4E7" w14:textId="77777777" w:rsidR="00204402" w:rsidRDefault="00204402" w:rsidP="00204402">
      <w:pPr>
        <w:spacing w:after="0" w:line="240" w:lineRule="auto"/>
        <w:rPr>
          <w:sz w:val="24"/>
          <w:szCs w:val="24"/>
        </w:rPr>
      </w:pPr>
    </w:p>
    <w:p w14:paraId="76792F98" w14:textId="65DC3F33" w:rsidR="00204402" w:rsidRPr="00124C64" w:rsidRDefault="00FA2035" w:rsidP="00124C64">
      <w:pPr>
        <w:spacing w:after="0" w:line="240" w:lineRule="auto"/>
        <w:rPr>
          <w:sz w:val="24"/>
          <w:szCs w:val="24"/>
        </w:rPr>
      </w:pPr>
      <w:r w:rsidRPr="00124C64">
        <w:rPr>
          <w:sz w:val="24"/>
          <w:szCs w:val="24"/>
        </w:rPr>
        <w:t xml:space="preserve">Atsma, A. J. (2000-17) </w:t>
      </w:r>
      <w:r w:rsidRPr="00057790">
        <w:rPr>
          <w:i/>
          <w:iCs/>
          <w:sz w:val="24"/>
          <w:szCs w:val="24"/>
        </w:rPr>
        <w:t>Persephone.</w:t>
      </w:r>
      <w:r w:rsidRPr="00124C64">
        <w:rPr>
          <w:sz w:val="24"/>
          <w:szCs w:val="24"/>
        </w:rPr>
        <w:t xml:space="preserve">  Theoi Project, Netherlands &amp; New Zealand.  Available at:</w:t>
      </w:r>
      <w:r w:rsidR="00124C64" w:rsidRPr="00124C64">
        <w:rPr>
          <w:sz w:val="24"/>
          <w:szCs w:val="24"/>
        </w:rPr>
        <w:t xml:space="preserve"> </w:t>
      </w:r>
      <w:hyperlink r:id="rId6" w:history="1">
        <w:r w:rsidR="00124C64" w:rsidRPr="005471EA">
          <w:rPr>
            <w:rStyle w:val="Hyperlink"/>
            <w:sz w:val="24"/>
            <w:szCs w:val="24"/>
          </w:rPr>
          <w:t>https://www.theoi.com/Khthonios/Persephone.html</w:t>
        </w:r>
      </w:hyperlink>
      <w:r w:rsidR="00124C64">
        <w:rPr>
          <w:sz w:val="24"/>
          <w:szCs w:val="24"/>
        </w:rPr>
        <w:t xml:space="preserve">. </w:t>
      </w:r>
      <w:r w:rsidRPr="00124C64">
        <w:rPr>
          <w:sz w:val="24"/>
          <w:szCs w:val="24"/>
        </w:rPr>
        <w:t>(Accessed: 28 Sep. 2022).</w:t>
      </w:r>
    </w:p>
    <w:p w14:paraId="5A31A5AD" w14:textId="77777777" w:rsidR="00204402" w:rsidRPr="00124C64" w:rsidRDefault="00204402" w:rsidP="00124C64">
      <w:pPr>
        <w:spacing w:after="0" w:line="240" w:lineRule="auto"/>
        <w:rPr>
          <w:sz w:val="24"/>
          <w:szCs w:val="24"/>
        </w:rPr>
      </w:pPr>
    </w:p>
    <w:p w14:paraId="2219F579" w14:textId="15575ACB" w:rsidR="00EF61FA" w:rsidRPr="00EF61FA" w:rsidRDefault="00FA2035" w:rsidP="00EF61FA">
      <w:pPr>
        <w:spacing w:after="0" w:line="240" w:lineRule="auto"/>
        <w:rPr>
          <w:rFonts w:cstheme="minorHAnsi"/>
          <w:sz w:val="24"/>
          <w:szCs w:val="24"/>
        </w:rPr>
      </w:pPr>
      <w:proofErr w:type="spellStart"/>
      <w:r w:rsidRPr="00FF37AB">
        <w:rPr>
          <w:rFonts w:cstheme="minorHAnsi"/>
          <w:sz w:val="24"/>
          <w:szCs w:val="24"/>
        </w:rPr>
        <w:t>Barchiesi</w:t>
      </w:r>
      <w:proofErr w:type="spellEnd"/>
      <w:r w:rsidRPr="00FF37AB">
        <w:rPr>
          <w:rFonts w:cstheme="minorHAnsi"/>
          <w:sz w:val="24"/>
          <w:szCs w:val="24"/>
        </w:rPr>
        <w:t xml:space="preserve">, A. (1999) Venus’ </w:t>
      </w:r>
      <w:proofErr w:type="spellStart"/>
      <w:r w:rsidRPr="00FF37AB">
        <w:rPr>
          <w:rFonts w:cstheme="minorHAnsi"/>
          <w:sz w:val="24"/>
          <w:szCs w:val="24"/>
        </w:rPr>
        <w:t>Masterplot</w:t>
      </w:r>
      <w:proofErr w:type="spellEnd"/>
      <w:r w:rsidRPr="00FF37AB">
        <w:rPr>
          <w:rFonts w:cstheme="minorHAnsi"/>
          <w:sz w:val="24"/>
          <w:szCs w:val="24"/>
        </w:rPr>
        <w:t xml:space="preserve"> : Ovid and the Homeric Hymns</w:t>
      </w:r>
      <w:r w:rsidR="00EF61FA" w:rsidRPr="00FF37AB">
        <w:rPr>
          <w:rFonts w:cstheme="minorHAnsi"/>
          <w:sz w:val="24"/>
          <w:szCs w:val="24"/>
        </w:rPr>
        <w:t xml:space="preserve">. </w:t>
      </w:r>
      <w:r w:rsidRPr="00FF37AB">
        <w:rPr>
          <w:rFonts w:cstheme="minorHAnsi"/>
          <w:sz w:val="24"/>
          <w:szCs w:val="24"/>
        </w:rPr>
        <w:t xml:space="preserve"> </w:t>
      </w:r>
      <w:r w:rsidRPr="00FF37AB">
        <w:rPr>
          <w:rFonts w:cstheme="minorHAnsi"/>
          <w:i/>
          <w:iCs/>
          <w:sz w:val="24"/>
          <w:szCs w:val="24"/>
        </w:rPr>
        <w:t>Ovidian Transformations</w:t>
      </w:r>
      <w:r w:rsidR="00EF61FA" w:rsidRPr="00FF37AB">
        <w:rPr>
          <w:rFonts w:cstheme="minorHAnsi"/>
          <w:i/>
          <w:iCs/>
          <w:sz w:val="24"/>
          <w:szCs w:val="24"/>
        </w:rPr>
        <w:t>: Essays on Ovid’s Metamorphoses and its Reception,</w:t>
      </w:r>
      <w:r w:rsidR="00EF61FA" w:rsidRPr="00FF37AB">
        <w:rPr>
          <w:rFonts w:cstheme="minorHAnsi"/>
          <w:sz w:val="24"/>
          <w:szCs w:val="24"/>
        </w:rPr>
        <w:t xml:space="preserve"> edited by Hardie, P</w:t>
      </w:r>
      <w:r w:rsidR="000F4E9F">
        <w:rPr>
          <w:rFonts w:cstheme="minorHAnsi"/>
          <w:sz w:val="24"/>
          <w:szCs w:val="24"/>
        </w:rPr>
        <w:t>.</w:t>
      </w:r>
      <w:r w:rsidR="00EF61FA" w:rsidRPr="00FF37AB">
        <w:rPr>
          <w:rFonts w:cstheme="minorHAnsi"/>
          <w:sz w:val="24"/>
          <w:szCs w:val="24"/>
        </w:rPr>
        <w:t xml:space="preserve"> et al. Vol. 23 pp. 112-26. </w:t>
      </w:r>
      <w:r w:rsidRPr="00FF37AB">
        <w:rPr>
          <w:rFonts w:cstheme="minorHAnsi"/>
          <w:sz w:val="24"/>
          <w:szCs w:val="24"/>
        </w:rPr>
        <w:t>Cambridge Philo</w:t>
      </w:r>
      <w:r w:rsidR="00FB4AAC" w:rsidRPr="00FF37AB">
        <w:rPr>
          <w:rFonts w:cstheme="minorHAnsi"/>
          <w:sz w:val="24"/>
          <w:szCs w:val="24"/>
        </w:rPr>
        <w:t>logical Society, Cambridge</w:t>
      </w:r>
      <w:r w:rsidR="00EF61FA" w:rsidRPr="00FF37AB">
        <w:rPr>
          <w:rFonts w:cstheme="minorHAnsi"/>
          <w:sz w:val="24"/>
          <w:szCs w:val="24"/>
        </w:rPr>
        <w:t xml:space="preserve">.  Available at: </w:t>
      </w:r>
      <w:r w:rsidR="00EF61FA" w:rsidRPr="00EF61FA">
        <w:rPr>
          <w:rFonts w:eastAsia="Times New Roman" w:cstheme="minorHAnsi"/>
          <w:i/>
          <w:iCs/>
          <w:sz w:val="24"/>
          <w:szCs w:val="24"/>
          <w:lang w:eastAsia="en-GB"/>
        </w:rPr>
        <w:t>JSTOR</w:t>
      </w:r>
      <w:r w:rsidR="00EF61FA" w:rsidRPr="00EF61FA">
        <w:rPr>
          <w:rFonts w:eastAsia="Times New Roman" w:cstheme="minorHAnsi"/>
          <w:sz w:val="24"/>
          <w:szCs w:val="24"/>
          <w:lang w:eastAsia="en-GB"/>
        </w:rPr>
        <w:t xml:space="preserve">, https://doi.org/10.2307/j.ctv27h1pnq.12. </w:t>
      </w:r>
      <w:r w:rsidR="00EF61FA" w:rsidRPr="00FF37AB">
        <w:rPr>
          <w:rFonts w:eastAsia="Times New Roman" w:cstheme="minorHAnsi"/>
          <w:sz w:val="24"/>
          <w:szCs w:val="24"/>
          <w:lang w:eastAsia="en-GB"/>
        </w:rPr>
        <w:t>(</w:t>
      </w:r>
      <w:r w:rsidR="00EF61FA" w:rsidRPr="00EF61FA">
        <w:rPr>
          <w:rFonts w:eastAsia="Times New Roman" w:cstheme="minorHAnsi"/>
          <w:sz w:val="24"/>
          <w:szCs w:val="24"/>
          <w:lang w:eastAsia="en-GB"/>
        </w:rPr>
        <w:t xml:space="preserve">Accessed </w:t>
      </w:r>
      <w:r w:rsidR="00EF61FA" w:rsidRPr="00FF37AB">
        <w:rPr>
          <w:rFonts w:eastAsia="Times New Roman" w:cstheme="minorHAnsi"/>
          <w:sz w:val="24"/>
          <w:szCs w:val="24"/>
          <w:lang w:eastAsia="en-GB"/>
        </w:rPr>
        <w:t>29 Sept.</w:t>
      </w:r>
      <w:r w:rsidR="00EF61FA" w:rsidRPr="00EF61FA">
        <w:rPr>
          <w:rFonts w:eastAsia="Times New Roman" w:cstheme="minorHAnsi"/>
          <w:sz w:val="24"/>
          <w:szCs w:val="24"/>
          <w:lang w:eastAsia="en-GB"/>
        </w:rPr>
        <w:t xml:space="preserve"> 2022</w:t>
      </w:r>
      <w:r w:rsidR="00FF37AB" w:rsidRPr="00FF37AB">
        <w:rPr>
          <w:rFonts w:eastAsia="Times New Roman" w:cstheme="minorHAnsi"/>
          <w:sz w:val="24"/>
          <w:szCs w:val="24"/>
          <w:lang w:eastAsia="en-GB"/>
        </w:rPr>
        <w:t>)</w:t>
      </w:r>
      <w:r w:rsidR="00EF61FA" w:rsidRPr="00EF61FA">
        <w:rPr>
          <w:rFonts w:eastAsia="Times New Roman" w:cstheme="minorHAnsi"/>
          <w:sz w:val="24"/>
          <w:szCs w:val="24"/>
          <w:lang w:eastAsia="en-GB"/>
        </w:rPr>
        <w:t>.</w:t>
      </w:r>
    </w:p>
    <w:p w14:paraId="5046A040" w14:textId="77777777" w:rsidR="00204402" w:rsidRPr="00E430FF" w:rsidRDefault="00204402" w:rsidP="00204402">
      <w:pPr>
        <w:spacing w:after="0" w:line="240" w:lineRule="auto"/>
        <w:rPr>
          <w:sz w:val="24"/>
          <w:szCs w:val="24"/>
        </w:rPr>
      </w:pPr>
    </w:p>
    <w:p w14:paraId="5ACD0DB0" w14:textId="45D16456" w:rsidR="00204402" w:rsidRPr="000F4E9F" w:rsidRDefault="000E2C33" w:rsidP="00204402">
      <w:pPr>
        <w:spacing w:after="0" w:line="240" w:lineRule="auto"/>
        <w:rPr>
          <w:rFonts w:ascii="Noto Sans" w:hAnsi="Noto Sans" w:cs="Noto Sans"/>
          <w:shd w:val="clear" w:color="auto" w:fill="FFFFFF"/>
        </w:rPr>
      </w:pPr>
      <w:proofErr w:type="spellStart"/>
      <w:r w:rsidRPr="000F4E9F">
        <w:rPr>
          <w:rFonts w:ascii="Noto Sans" w:hAnsi="Noto Sans" w:cs="Noto Sans"/>
          <w:shd w:val="clear" w:color="auto" w:fill="FFFFFF"/>
        </w:rPr>
        <w:t>Fantham</w:t>
      </w:r>
      <w:proofErr w:type="spellEnd"/>
      <w:r w:rsidRPr="000F4E9F">
        <w:rPr>
          <w:rFonts w:ascii="Noto Sans" w:hAnsi="Noto Sans" w:cs="Noto Sans"/>
          <w:shd w:val="clear" w:color="auto" w:fill="FFFFFF"/>
        </w:rPr>
        <w:t>, E. (1995) Rewriting and Rereading the Fasti: Augustus, Ovid and Recent Classical Scholarship, </w:t>
      </w:r>
      <w:proofErr w:type="spellStart"/>
      <w:r w:rsidRPr="000F4E9F">
        <w:rPr>
          <w:rFonts w:ascii="Noto Sans" w:hAnsi="Noto Sans" w:cs="Noto Sans"/>
          <w:i/>
          <w:iCs/>
          <w:bdr w:val="none" w:sz="0" w:space="0" w:color="auto" w:frame="1"/>
          <w:shd w:val="clear" w:color="auto" w:fill="FFFFFF"/>
        </w:rPr>
        <w:t>Antichthon</w:t>
      </w:r>
      <w:proofErr w:type="spellEnd"/>
      <w:r w:rsidRPr="000F4E9F">
        <w:rPr>
          <w:rFonts w:ascii="Noto Sans" w:hAnsi="Noto Sans" w:cs="Noto Sans"/>
          <w:shd w:val="clear" w:color="auto" w:fill="FFFFFF"/>
        </w:rPr>
        <w:t xml:space="preserve">. Cambridge University Press, 29, pp. 42–59. </w:t>
      </w:r>
      <w:proofErr w:type="spellStart"/>
      <w:r w:rsidRPr="000F4E9F">
        <w:rPr>
          <w:rFonts w:ascii="Noto Sans" w:hAnsi="Noto Sans" w:cs="Noto Sans"/>
          <w:shd w:val="clear" w:color="auto" w:fill="FFFFFF"/>
        </w:rPr>
        <w:t>doi</w:t>
      </w:r>
      <w:proofErr w:type="spellEnd"/>
      <w:r w:rsidRPr="000F4E9F">
        <w:rPr>
          <w:rFonts w:ascii="Noto Sans" w:hAnsi="Noto Sans" w:cs="Noto Sans"/>
          <w:shd w:val="clear" w:color="auto" w:fill="FFFFFF"/>
        </w:rPr>
        <w:t>: 10.1017/S0066477400000939.</w:t>
      </w:r>
    </w:p>
    <w:p w14:paraId="7D332F70" w14:textId="77777777" w:rsidR="000E2C33" w:rsidRPr="000F4E9F" w:rsidRDefault="000E2C33" w:rsidP="00204402">
      <w:pPr>
        <w:spacing w:after="0" w:line="240" w:lineRule="auto"/>
        <w:rPr>
          <w:sz w:val="24"/>
          <w:szCs w:val="24"/>
        </w:rPr>
      </w:pPr>
    </w:p>
    <w:p w14:paraId="3FA0B9A0" w14:textId="488B119F" w:rsidR="00204402" w:rsidRPr="00E430FF" w:rsidRDefault="00FA2035" w:rsidP="00204402">
      <w:pPr>
        <w:spacing w:after="0" w:line="240" w:lineRule="auto"/>
        <w:rPr>
          <w:sz w:val="24"/>
          <w:szCs w:val="24"/>
        </w:rPr>
      </w:pPr>
      <w:r w:rsidRPr="00E430FF">
        <w:rPr>
          <w:sz w:val="24"/>
          <w:szCs w:val="24"/>
        </w:rPr>
        <w:t xml:space="preserve">Fantham, E. (1998) </w:t>
      </w:r>
      <w:r w:rsidRPr="00E430FF">
        <w:rPr>
          <w:i/>
          <w:iCs/>
          <w:sz w:val="24"/>
          <w:szCs w:val="24"/>
        </w:rPr>
        <w:t>Ovid: Fasti Book IV</w:t>
      </w:r>
      <w:r w:rsidRPr="00E430FF">
        <w:rPr>
          <w:sz w:val="24"/>
          <w:szCs w:val="24"/>
        </w:rPr>
        <w:t>.  Cambridge University Press</w:t>
      </w:r>
      <w:r w:rsidR="00057790">
        <w:rPr>
          <w:sz w:val="24"/>
          <w:szCs w:val="24"/>
        </w:rPr>
        <w:t>, Cambridge.</w:t>
      </w:r>
    </w:p>
    <w:p w14:paraId="597CBB1F" w14:textId="77777777" w:rsidR="00CE4EAF" w:rsidRDefault="00CE4EAF" w:rsidP="00204402">
      <w:pPr>
        <w:spacing w:after="0" w:line="240" w:lineRule="auto"/>
        <w:rPr>
          <w:sz w:val="24"/>
          <w:szCs w:val="24"/>
        </w:rPr>
      </w:pPr>
      <w:r w:rsidRPr="00CE4EAF">
        <w:rPr>
          <w:sz w:val="24"/>
          <w:szCs w:val="24"/>
        </w:rPr>
        <w:t xml:space="preserve"> </w:t>
      </w:r>
    </w:p>
    <w:p w14:paraId="5362C796" w14:textId="1A2FDCA0" w:rsidR="00204402" w:rsidRDefault="00CE4EAF" w:rsidP="00204402">
      <w:pPr>
        <w:spacing w:after="0" w:line="240" w:lineRule="auto"/>
        <w:rPr>
          <w:sz w:val="24"/>
          <w:szCs w:val="24"/>
        </w:rPr>
      </w:pPr>
      <w:proofErr w:type="spellStart"/>
      <w:r w:rsidRPr="00CE4EAF">
        <w:rPr>
          <w:sz w:val="24"/>
          <w:szCs w:val="24"/>
        </w:rPr>
        <w:t>Feldherr</w:t>
      </w:r>
      <w:proofErr w:type="spellEnd"/>
      <w:r w:rsidRPr="00CE4EAF">
        <w:rPr>
          <w:sz w:val="24"/>
          <w:szCs w:val="24"/>
        </w:rPr>
        <w:t xml:space="preserve">, A. (2010) </w:t>
      </w:r>
      <w:r w:rsidRPr="00CE4EAF">
        <w:rPr>
          <w:i/>
          <w:iCs/>
          <w:sz w:val="24"/>
          <w:szCs w:val="24"/>
        </w:rPr>
        <w:t>Playing Gods</w:t>
      </w:r>
      <w:r>
        <w:rPr>
          <w:i/>
          <w:iCs/>
          <w:sz w:val="24"/>
          <w:szCs w:val="24"/>
        </w:rPr>
        <w:t>: Ovid’s Metamorphoses and the Politics of Fiction</w:t>
      </w:r>
      <w:r w:rsidRPr="00CE4EAF">
        <w:rPr>
          <w:sz w:val="24"/>
          <w:szCs w:val="24"/>
        </w:rPr>
        <w:t xml:space="preserve">. Princeton University Press. Available at: </w:t>
      </w:r>
      <w:hyperlink r:id="rId7" w:history="1">
        <w:r w:rsidRPr="000042A9">
          <w:rPr>
            <w:rStyle w:val="Hyperlink"/>
            <w:sz w:val="24"/>
            <w:szCs w:val="24"/>
          </w:rPr>
          <w:t>https://www.perlego.com/book/734914/playing-gods-pdf</w:t>
        </w:r>
      </w:hyperlink>
      <w:r>
        <w:rPr>
          <w:sz w:val="24"/>
          <w:szCs w:val="24"/>
        </w:rPr>
        <w:t xml:space="preserve">. </w:t>
      </w:r>
      <w:r w:rsidRPr="00CE4EAF">
        <w:rPr>
          <w:sz w:val="24"/>
          <w:szCs w:val="24"/>
        </w:rPr>
        <w:t>(Accessed: 3 October 2022).</w:t>
      </w:r>
    </w:p>
    <w:p w14:paraId="38C5A456" w14:textId="6D8DBE2A" w:rsidR="002D78D1" w:rsidRDefault="002D78D1" w:rsidP="00204402">
      <w:pPr>
        <w:spacing w:after="0" w:line="240" w:lineRule="auto"/>
        <w:rPr>
          <w:sz w:val="24"/>
          <w:szCs w:val="24"/>
        </w:rPr>
      </w:pPr>
    </w:p>
    <w:p w14:paraId="1D5644EF" w14:textId="392FB420" w:rsidR="003C4739" w:rsidRPr="003C4739" w:rsidRDefault="003C4739" w:rsidP="003C4739">
      <w:pPr>
        <w:spacing w:after="0" w:line="240" w:lineRule="auto"/>
        <w:rPr>
          <w:rFonts w:eastAsia="Times New Roman" w:cstheme="minorHAnsi"/>
          <w:sz w:val="24"/>
          <w:szCs w:val="24"/>
          <w:lang w:eastAsia="en-GB"/>
        </w:rPr>
      </w:pPr>
      <w:r w:rsidRPr="003C4739">
        <w:rPr>
          <w:rFonts w:eastAsia="Times New Roman" w:cstheme="minorHAnsi"/>
          <w:sz w:val="24"/>
          <w:szCs w:val="24"/>
          <w:lang w:eastAsia="en-GB"/>
        </w:rPr>
        <w:t xml:space="preserve">Ginsberg, W. </w:t>
      </w:r>
      <w:r>
        <w:rPr>
          <w:rFonts w:eastAsia="Times New Roman" w:cstheme="minorHAnsi"/>
          <w:sz w:val="24"/>
          <w:szCs w:val="24"/>
          <w:lang w:eastAsia="en-GB"/>
        </w:rPr>
        <w:t xml:space="preserve"> (1989) </w:t>
      </w:r>
      <w:r w:rsidRPr="003C4739">
        <w:rPr>
          <w:rFonts w:eastAsia="Times New Roman" w:cstheme="minorHAnsi"/>
          <w:sz w:val="24"/>
          <w:szCs w:val="24"/>
          <w:lang w:eastAsia="en-GB"/>
        </w:rPr>
        <w:t xml:space="preserve">Ovid’s ‘Metamorphoses’ and the Politics of Interpretation. </w:t>
      </w:r>
      <w:r w:rsidRPr="003C4739">
        <w:rPr>
          <w:rFonts w:eastAsia="Times New Roman" w:cstheme="minorHAnsi"/>
          <w:i/>
          <w:iCs/>
          <w:sz w:val="24"/>
          <w:szCs w:val="24"/>
          <w:lang w:eastAsia="en-GB"/>
        </w:rPr>
        <w:t>The Classical Journal</w:t>
      </w:r>
      <w:r w:rsidRPr="003C4739">
        <w:rPr>
          <w:rFonts w:eastAsia="Times New Roman" w:cstheme="minorHAnsi"/>
          <w:sz w:val="24"/>
          <w:szCs w:val="24"/>
          <w:lang w:eastAsia="en-GB"/>
        </w:rPr>
        <w:t xml:space="preserve">, vol. 84, no. 3, 1989, pp. 222–31. </w:t>
      </w:r>
      <w:r w:rsidRPr="003C4739">
        <w:rPr>
          <w:rFonts w:eastAsia="Times New Roman" w:cstheme="minorHAnsi"/>
          <w:i/>
          <w:iCs/>
          <w:sz w:val="24"/>
          <w:szCs w:val="24"/>
          <w:lang w:eastAsia="en-GB"/>
        </w:rPr>
        <w:t>JSTOR</w:t>
      </w:r>
      <w:r w:rsidRPr="003C4739">
        <w:rPr>
          <w:rFonts w:eastAsia="Times New Roman" w:cstheme="minorHAnsi"/>
          <w:sz w:val="24"/>
          <w:szCs w:val="24"/>
          <w:lang w:eastAsia="en-GB"/>
        </w:rPr>
        <w:t xml:space="preserve">, http://www.jstor.org/stable/3297514. </w:t>
      </w:r>
      <w:r>
        <w:rPr>
          <w:rFonts w:eastAsia="Times New Roman" w:cstheme="minorHAnsi"/>
          <w:sz w:val="24"/>
          <w:szCs w:val="24"/>
          <w:lang w:eastAsia="en-GB"/>
        </w:rPr>
        <w:t>(</w:t>
      </w:r>
      <w:r w:rsidRPr="003C4739">
        <w:rPr>
          <w:rFonts w:eastAsia="Times New Roman" w:cstheme="minorHAnsi"/>
          <w:sz w:val="24"/>
          <w:szCs w:val="24"/>
          <w:lang w:eastAsia="en-GB"/>
        </w:rPr>
        <w:t xml:space="preserve">Accessed </w:t>
      </w:r>
      <w:r>
        <w:rPr>
          <w:rFonts w:eastAsia="Times New Roman" w:cstheme="minorHAnsi"/>
          <w:sz w:val="24"/>
          <w:szCs w:val="24"/>
          <w:lang w:eastAsia="en-GB"/>
        </w:rPr>
        <w:t>1 Oct</w:t>
      </w:r>
      <w:r w:rsidRPr="003C4739">
        <w:rPr>
          <w:rFonts w:eastAsia="Times New Roman" w:cstheme="minorHAnsi"/>
          <w:sz w:val="24"/>
          <w:szCs w:val="24"/>
          <w:lang w:eastAsia="en-GB"/>
        </w:rPr>
        <w:t>. 2022</w:t>
      </w:r>
      <w:r>
        <w:rPr>
          <w:rFonts w:eastAsia="Times New Roman" w:cstheme="minorHAnsi"/>
          <w:sz w:val="24"/>
          <w:szCs w:val="24"/>
          <w:lang w:eastAsia="en-GB"/>
        </w:rPr>
        <w:t>)</w:t>
      </w:r>
      <w:r w:rsidRPr="003C4739">
        <w:rPr>
          <w:rFonts w:eastAsia="Times New Roman" w:cstheme="minorHAnsi"/>
          <w:sz w:val="24"/>
          <w:szCs w:val="24"/>
          <w:lang w:eastAsia="en-GB"/>
        </w:rPr>
        <w:t>.</w:t>
      </w:r>
    </w:p>
    <w:p w14:paraId="0BE3304B" w14:textId="77777777" w:rsidR="007C69B4" w:rsidRPr="003C4739" w:rsidRDefault="007C69B4" w:rsidP="003C4739">
      <w:pPr>
        <w:spacing w:after="0" w:line="240" w:lineRule="auto"/>
        <w:rPr>
          <w:rFonts w:cstheme="minorHAnsi"/>
          <w:sz w:val="24"/>
          <w:szCs w:val="24"/>
        </w:rPr>
      </w:pPr>
    </w:p>
    <w:p w14:paraId="4154E76A" w14:textId="03053ACD" w:rsidR="007C69B4" w:rsidRDefault="007C69B4" w:rsidP="007C69B4">
      <w:pPr>
        <w:spacing w:after="0" w:line="240" w:lineRule="auto"/>
        <w:rPr>
          <w:sz w:val="24"/>
          <w:szCs w:val="24"/>
        </w:rPr>
      </w:pPr>
      <w:r w:rsidRPr="00E430FF">
        <w:rPr>
          <w:sz w:val="24"/>
          <w:szCs w:val="24"/>
        </w:rPr>
        <w:t>Goode, E. (2012</w:t>
      </w:r>
      <w:r w:rsidR="009F4DEF">
        <w:rPr>
          <w:i/>
          <w:iCs/>
          <w:sz w:val="24"/>
          <w:szCs w:val="24"/>
        </w:rPr>
        <w:t>)</w:t>
      </w:r>
      <w:r w:rsidRPr="00E430FF">
        <w:rPr>
          <w:i/>
          <w:iCs/>
          <w:sz w:val="24"/>
          <w:szCs w:val="24"/>
        </w:rPr>
        <w:t xml:space="preserve"> Beyond Persephone: A Study of the Twice-Told Tales in Ovid’s Fasti and Metamorphoses</w:t>
      </w:r>
      <w:r w:rsidR="009F4DEF">
        <w:rPr>
          <w:i/>
          <w:iCs/>
          <w:sz w:val="24"/>
          <w:szCs w:val="24"/>
        </w:rPr>
        <w:t xml:space="preserve">, </w:t>
      </w:r>
      <w:r w:rsidRPr="00E430FF">
        <w:rPr>
          <w:sz w:val="24"/>
          <w:szCs w:val="24"/>
        </w:rPr>
        <w:t xml:space="preserve">(PhD) [p10ff on Hinds].  University College London.  Available at: </w:t>
      </w:r>
      <w:hyperlink r:id="rId8" w:history="1">
        <w:r w:rsidRPr="00E430FF">
          <w:rPr>
            <w:color w:val="0000FF"/>
            <w:sz w:val="24"/>
            <w:szCs w:val="24"/>
            <w:u w:val="single"/>
          </w:rPr>
          <w:t>https://discovery.ucl.ac.uk/id/eprint/1367616/</w:t>
        </w:r>
      </w:hyperlink>
      <w:r w:rsidRPr="00E430FF">
        <w:rPr>
          <w:sz w:val="24"/>
          <w:szCs w:val="24"/>
        </w:rPr>
        <w:t>.  (Accessed 26 Sept. 2022).</w:t>
      </w:r>
    </w:p>
    <w:p w14:paraId="21F0D48D" w14:textId="77777777" w:rsidR="007C69B4" w:rsidRDefault="007C69B4" w:rsidP="007C69B4">
      <w:pPr>
        <w:spacing w:after="0" w:line="240" w:lineRule="auto"/>
        <w:rPr>
          <w:sz w:val="24"/>
          <w:szCs w:val="24"/>
          <w:shd w:val="clear" w:color="auto" w:fill="FFFFFF"/>
        </w:rPr>
      </w:pPr>
    </w:p>
    <w:p w14:paraId="7349CC4E" w14:textId="4E19883A" w:rsidR="007C69B4" w:rsidRPr="00E430FF" w:rsidRDefault="007C69B4" w:rsidP="007C69B4">
      <w:pPr>
        <w:spacing w:after="0" w:line="240" w:lineRule="auto"/>
        <w:rPr>
          <w:sz w:val="24"/>
          <w:szCs w:val="24"/>
          <w:shd w:val="clear" w:color="auto" w:fill="FFFFFF"/>
        </w:rPr>
      </w:pPr>
      <w:r w:rsidRPr="00057790">
        <w:rPr>
          <w:sz w:val="24"/>
          <w:szCs w:val="24"/>
          <w:shd w:val="clear" w:color="auto" w:fill="FFFFFF"/>
        </w:rPr>
        <w:t xml:space="preserve">Hinds, S. (1987) </w:t>
      </w:r>
      <w:r w:rsidRPr="009F4DEF">
        <w:rPr>
          <w:i/>
          <w:iCs/>
          <w:sz w:val="24"/>
          <w:szCs w:val="24"/>
          <w:shd w:val="clear" w:color="auto" w:fill="FFFFFF"/>
        </w:rPr>
        <w:t>The Metamorphosis of Persephone: Ovid and the Self-Conscious Muse</w:t>
      </w:r>
      <w:r w:rsidRPr="00057790">
        <w:rPr>
          <w:sz w:val="24"/>
          <w:szCs w:val="24"/>
          <w:shd w:val="clear" w:color="auto" w:fill="FFFFFF"/>
        </w:rPr>
        <w:t>.  Cambridge Classical Studies</w:t>
      </w:r>
      <w:r>
        <w:rPr>
          <w:sz w:val="24"/>
          <w:szCs w:val="24"/>
          <w:shd w:val="clear" w:color="auto" w:fill="FFFFFF"/>
        </w:rPr>
        <w:t>.</w:t>
      </w:r>
      <w:r w:rsidRPr="00057790">
        <w:rPr>
          <w:sz w:val="24"/>
          <w:szCs w:val="24"/>
          <w:shd w:val="clear" w:color="auto" w:fill="FFFFFF"/>
        </w:rPr>
        <w:t xml:space="preserve"> Cambridge</w:t>
      </w:r>
      <w:r>
        <w:rPr>
          <w:sz w:val="24"/>
          <w:szCs w:val="24"/>
          <w:shd w:val="clear" w:color="auto" w:fill="FFFFFF"/>
        </w:rPr>
        <w:t xml:space="preserve">, </w:t>
      </w:r>
      <w:r w:rsidRPr="00057790">
        <w:rPr>
          <w:sz w:val="24"/>
          <w:szCs w:val="24"/>
          <w:shd w:val="clear" w:color="auto" w:fill="FFFFFF"/>
        </w:rPr>
        <w:t>New York</w:t>
      </w:r>
      <w:r>
        <w:rPr>
          <w:sz w:val="24"/>
          <w:szCs w:val="24"/>
          <w:shd w:val="clear" w:color="auto" w:fill="FFFFFF"/>
        </w:rPr>
        <w:t xml:space="preserve"> </w:t>
      </w:r>
    </w:p>
    <w:p w14:paraId="2AAD4261" w14:textId="77777777" w:rsidR="007C69B4" w:rsidRDefault="007C69B4" w:rsidP="007C69B4">
      <w:pPr>
        <w:spacing w:after="0" w:line="240" w:lineRule="auto"/>
        <w:rPr>
          <w:rFonts w:cstheme="minorHAnsi"/>
          <w:sz w:val="24"/>
          <w:szCs w:val="24"/>
        </w:rPr>
      </w:pPr>
    </w:p>
    <w:p w14:paraId="1E91C678" w14:textId="490C59A4" w:rsidR="007C69B4" w:rsidRDefault="007C69B4" w:rsidP="007C69B4">
      <w:pPr>
        <w:spacing w:after="0" w:line="240" w:lineRule="auto"/>
        <w:rPr>
          <w:rFonts w:cstheme="minorHAnsi"/>
          <w:sz w:val="24"/>
          <w:szCs w:val="24"/>
        </w:rPr>
      </w:pPr>
      <w:r w:rsidRPr="00E430FF">
        <w:rPr>
          <w:rFonts w:cstheme="minorHAnsi"/>
          <w:sz w:val="24"/>
          <w:szCs w:val="24"/>
        </w:rPr>
        <w:t>Knox, P. (2020)</w:t>
      </w:r>
      <w:r w:rsidRPr="000F04F3">
        <w:rPr>
          <w:rFonts w:cstheme="minorHAnsi"/>
          <w:i/>
          <w:iCs/>
          <w:sz w:val="24"/>
          <w:szCs w:val="24"/>
        </w:rPr>
        <w:t xml:space="preserve"> Ovid's Metamorphoses and the Traditions of Augustan Poetry</w:t>
      </w:r>
      <w:r w:rsidRPr="00E430FF">
        <w:rPr>
          <w:rFonts w:cstheme="minorHAnsi"/>
          <w:sz w:val="24"/>
          <w:szCs w:val="24"/>
        </w:rPr>
        <w:t>.  Cambridge Philological Society</w:t>
      </w:r>
      <w:r>
        <w:rPr>
          <w:rFonts w:cstheme="minorHAnsi"/>
          <w:sz w:val="24"/>
          <w:szCs w:val="24"/>
        </w:rPr>
        <w:t>, Cambridge</w:t>
      </w:r>
      <w:r w:rsidRPr="00E430FF">
        <w:rPr>
          <w:rFonts w:cstheme="minorHAnsi"/>
          <w:sz w:val="24"/>
          <w:szCs w:val="24"/>
        </w:rPr>
        <w:t xml:space="preserve">.  Available at: </w:t>
      </w:r>
      <w:hyperlink r:id="rId9" w:history="1">
        <w:r w:rsidRPr="005471EA">
          <w:rPr>
            <w:rStyle w:val="Hyperlink"/>
            <w:rFonts w:cstheme="minorHAnsi"/>
            <w:sz w:val="24"/>
            <w:szCs w:val="24"/>
          </w:rPr>
          <w:t>https://www.perlego.com/book/3202635/ovids-metamorphoses-and-the-traditions-of-augustan-poetry-pdf</w:t>
        </w:r>
      </w:hyperlink>
      <w:r>
        <w:rPr>
          <w:rFonts w:cstheme="minorHAnsi"/>
          <w:sz w:val="24"/>
          <w:szCs w:val="24"/>
        </w:rPr>
        <w:t xml:space="preserve">. </w:t>
      </w:r>
      <w:r w:rsidRPr="00E430FF">
        <w:rPr>
          <w:rFonts w:cstheme="minorHAnsi"/>
          <w:sz w:val="24"/>
          <w:szCs w:val="24"/>
        </w:rPr>
        <w:t xml:space="preserve"> (Accessed: </w:t>
      </w:r>
      <w:r>
        <w:rPr>
          <w:rFonts w:cstheme="minorHAnsi"/>
          <w:sz w:val="24"/>
          <w:szCs w:val="24"/>
        </w:rPr>
        <w:t>27</w:t>
      </w:r>
      <w:r w:rsidRPr="00E430FF">
        <w:rPr>
          <w:rFonts w:cstheme="minorHAnsi"/>
          <w:sz w:val="24"/>
          <w:szCs w:val="24"/>
        </w:rPr>
        <w:t xml:space="preserve"> Sep</w:t>
      </w:r>
      <w:r>
        <w:rPr>
          <w:rFonts w:cstheme="minorHAnsi"/>
          <w:sz w:val="24"/>
          <w:szCs w:val="24"/>
        </w:rPr>
        <w:t>t.</w:t>
      </w:r>
      <w:r w:rsidRPr="00E430FF">
        <w:rPr>
          <w:rFonts w:cstheme="minorHAnsi"/>
          <w:sz w:val="24"/>
          <w:szCs w:val="24"/>
        </w:rPr>
        <w:t xml:space="preserve"> 2022).</w:t>
      </w:r>
    </w:p>
    <w:p w14:paraId="1CF058DE" w14:textId="66D194DC" w:rsidR="002D78D1" w:rsidRDefault="002D78D1" w:rsidP="00204402">
      <w:pPr>
        <w:spacing w:after="0" w:line="240" w:lineRule="auto"/>
        <w:rPr>
          <w:sz w:val="24"/>
          <w:szCs w:val="24"/>
        </w:rPr>
      </w:pPr>
    </w:p>
    <w:p w14:paraId="1639328F" w14:textId="67F0B605" w:rsidR="007C69B4" w:rsidRDefault="00D41E5D" w:rsidP="007C69B4">
      <w:pPr>
        <w:spacing w:after="0" w:line="240" w:lineRule="auto"/>
        <w:rPr>
          <w:sz w:val="24"/>
          <w:szCs w:val="24"/>
        </w:rPr>
      </w:pPr>
      <w:proofErr w:type="spellStart"/>
      <w:r w:rsidRPr="00D41E5D">
        <w:rPr>
          <w:sz w:val="24"/>
          <w:szCs w:val="24"/>
        </w:rPr>
        <w:t>Liveley</w:t>
      </w:r>
      <w:proofErr w:type="spellEnd"/>
      <w:r w:rsidRPr="00D41E5D">
        <w:rPr>
          <w:sz w:val="24"/>
          <w:szCs w:val="24"/>
        </w:rPr>
        <w:t xml:space="preserve">, G. (2010) </w:t>
      </w:r>
      <w:r w:rsidRPr="00D41E5D">
        <w:rPr>
          <w:i/>
          <w:iCs/>
          <w:sz w:val="24"/>
          <w:szCs w:val="24"/>
        </w:rPr>
        <w:t>Ovid’s ‘Metamorphoses</w:t>
      </w:r>
      <w:r w:rsidRPr="00D41E5D">
        <w:rPr>
          <w:sz w:val="24"/>
          <w:szCs w:val="24"/>
        </w:rPr>
        <w:t xml:space="preserve">. </w:t>
      </w:r>
      <w:r>
        <w:rPr>
          <w:sz w:val="24"/>
          <w:szCs w:val="24"/>
        </w:rPr>
        <w:t>(</w:t>
      </w:r>
      <w:r w:rsidRPr="00D41E5D">
        <w:rPr>
          <w:sz w:val="24"/>
          <w:szCs w:val="24"/>
        </w:rPr>
        <w:t>1st ed</w:t>
      </w:r>
      <w:r>
        <w:rPr>
          <w:sz w:val="24"/>
          <w:szCs w:val="24"/>
        </w:rPr>
        <w:t>)</w:t>
      </w:r>
      <w:r w:rsidRPr="00D41E5D">
        <w:rPr>
          <w:sz w:val="24"/>
          <w:szCs w:val="24"/>
        </w:rPr>
        <w:t>. Bloomsbury Publishing. Available at: https://www.perlego.com/book/806422/ovids-metamorphoses-pdf</w:t>
      </w:r>
      <w:r w:rsidR="00CE4EAF">
        <w:rPr>
          <w:sz w:val="24"/>
          <w:szCs w:val="24"/>
        </w:rPr>
        <w:t>.</w:t>
      </w:r>
      <w:r w:rsidRPr="00D41E5D">
        <w:rPr>
          <w:sz w:val="24"/>
          <w:szCs w:val="24"/>
        </w:rPr>
        <w:t xml:space="preserve"> (Accessed: 3 October 2022).</w:t>
      </w:r>
    </w:p>
    <w:p w14:paraId="34B6653C" w14:textId="77777777" w:rsidR="00CE4EAF" w:rsidRDefault="00CE4EAF" w:rsidP="007C69B4">
      <w:pPr>
        <w:spacing w:after="0" w:line="240" w:lineRule="auto"/>
        <w:rPr>
          <w:sz w:val="24"/>
          <w:szCs w:val="24"/>
        </w:rPr>
      </w:pPr>
    </w:p>
    <w:p w14:paraId="2839B675" w14:textId="1883D03C" w:rsidR="00CE4EAF" w:rsidRPr="00D41E5D" w:rsidRDefault="00CE4EAF" w:rsidP="007C69B4">
      <w:pPr>
        <w:spacing w:after="0" w:line="240" w:lineRule="auto"/>
        <w:rPr>
          <w:sz w:val="24"/>
          <w:szCs w:val="24"/>
        </w:rPr>
      </w:pPr>
      <w:r w:rsidRPr="00CE4EAF">
        <w:rPr>
          <w:sz w:val="24"/>
          <w:szCs w:val="24"/>
        </w:rPr>
        <w:t xml:space="preserve">Mandelbaum, A. (2017) </w:t>
      </w:r>
      <w:r w:rsidRPr="00CE4EAF">
        <w:rPr>
          <w:i/>
          <w:iCs/>
          <w:sz w:val="24"/>
          <w:szCs w:val="24"/>
        </w:rPr>
        <w:t>The Metamorphoses Of Ovid</w:t>
      </w:r>
      <w:r w:rsidRPr="00CE4EAF">
        <w:rPr>
          <w:sz w:val="24"/>
          <w:szCs w:val="24"/>
        </w:rPr>
        <w:t xml:space="preserve">. HarperCollins. Available at: https://www.perlego.com/book/3185051/the-metamorphoses-of-ovid-pdf (Accessed: </w:t>
      </w:r>
      <w:r>
        <w:rPr>
          <w:sz w:val="24"/>
          <w:szCs w:val="24"/>
        </w:rPr>
        <w:t>30 Sept.</w:t>
      </w:r>
      <w:r w:rsidRPr="00CE4EAF">
        <w:rPr>
          <w:sz w:val="24"/>
          <w:szCs w:val="24"/>
        </w:rPr>
        <w:t xml:space="preserve"> 2022).</w:t>
      </w:r>
    </w:p>
    <w:p w14:paraId="3AB46C5C" w14:textId="77777777" w:rsidR="007C69B4" w:rsidRPr="00E430FF" w:rsidRDefault="007C69B4" w:rsidP="007C69B4">
      <w:pPr>
        <w:spacing w:after="0" w:line="240" w:lineRule="auto"/>
        <w:rPr>
          <w:rFonts w:cstheme="minorHAnsi"/>
          <w:sz w:val="24"/>
          <w:szCs w:val="24"/>
        </w:rPr>
      </w:pPr>
    </w:p>
    <w:p w14:paraId="36ADE661" w14:textId="77777777" w:rsidR="007C69B4" w:rsidRPr="00EA4167" w:rsidRDefault="007C69B4" w:rsidP="007C69B4">
      <w:pPr>
        <w:spacing w:after="0" w:line="240" w:lineRule="auto"/>
        <w:rPr>
          <w:sz w:val="24"/>
          <w:szCs w:val="24"/>
        </w:rPr>
      </w:pPr>
      <w:r w:rsidRPr="006612E9">
        <w:rPr>
          <w:rFonts w:cstheme="minorHAnsi"/>
          <w:sz w:val="24"/>
          <w:szCs w:val="24"/>
        </w:rPr>
        <w:t xml:space="preserve">Ovid. </w:t>
      </w:r>
      <w:r w:rsidRPr="006612E9">
        <w:rPr>
          <w:rFonts w:cstheme="minorHAnsi"/>
          <w:i/>
          <w:iCs/>
          <w:sz w:val="24"/>
          <w:szCs w:val="24"/>
        </w:rPr>
        <w:t xml:space="preserve"> Ovid's Fasti</w:t>
      </w:r>
      <w:r w:rsidRPr="006612E9">
        <w:rPr>
          <w:rFonts w:cstheme="minorHAnsi"/>
          <w:sz w:val="24"/>
          <w:szCs w:val="24"/>
        </w:rPr>
        <w:t xml:space="preserve">.  Translated by Frazer, J. G. 1933. London; Cambridge, MA.  William Heinemann Ltd.; Harvard University Press.  Available at:  </w:t>
      </w:r>
      <w:hyperlink r:id="rId10" w:history="1">
        <w:r w:rsidRPr="00EA4167">
          <w:rPr>
            <w:rStyle w:val="Hyperlink"/>
            <w:sz w:val="24"/>
            <w:szCs w:val="24"/>
          </w:rPr>
          <w:t>https://www.perseus.tufts.edu/hopper/text?doc=Perseus%3Atext%3A2008.01.0547%3Abook%3D4</w:t>
        </w:r>
      </w:hyperlink>
      <w:r>
        <w:rPr>
          <w:rStyle w:val="Hyperlink"/>
          <w:sz w:val="24"/>
          <w:szCs w:val="24"/>
        </w:rPr>
        <w:t>.</w:t>
      </w:r>
      <w:r>
        <w:rPr>
          <w:rStyle w:val="Hyperlink"/>
          <w:sz w:val="24"/>
          <w:szCs w:val="24"/>
          <w:u w:val="none"/>
        </w:rPr>
        <w:t xml:space="preserve">  </w:t>
      </w:r>
      <w:r>
        <w:rPr>
          <w:rStyle w:val="Hyperlink"/>
          <w:color w:val="auto"/>
          <w:sz w:val="24"/>
          <w:szCs w:val="24"/>
          <w:u w:val="none"/>
        </w:rPr>
        <w:t>(Accessed: 27 Sept. 2022).</w:t>
      </w:r>
    </w:p>
    <w:p w14:paraId="486BF2BA" w14:textId="77777777" w:rsidR="007C69B4" w:rsidRPr="00EA4167" w:rsidRDefault="007C69B4" w:rsidP="007C69B4">
      <w:pPr>
        <w:spacing w:after="0" w:line="240" w:lineRule="auto"/>
        <w:rPr>
          <w:sz w:val="24"/>
          <w:szCs w:val="24"/>
        </w:rPr>
      </w:pPr>
    </w:p>
    <w:p w14:paraId="704B9B17" w14:textId="77777777" w:rsidR="007C69B4" w:rsidRPr="00E430FF" w:rsidRDefault="007C69B4" w:rsidP="007C69B4">
      <w:pPr>
        <w:spacing w:after="0" w:line="240" w:lineRule="auto"/>
        <w:rPr>
          <w:rFonts w:cstheme="minorHAnsi"/>
          <w:sz w:val="24"/>
          <w:szCs w:val="24"/>
        </w:rPr>
      </w:pPr>
      <w:r w:rsidRPr="006612E9">
        <w:rPr>
          <w:rStyle w:val="bibliographicauthorname"/>
          <w:rFonts w:cstheme="minorHAnsi"/>
          <w:sz w:val="24"/>
          <w:szCs w:val="24"/>
          <w:shd w:val="clear" w:color="auto" w:fill="FFFFFF"/>
        </w:rPr>
        <w:t>Ovid</w:t>
      </w:r>
      <w:r w:rsidRPr="006612E9">
        <w:rPr>
          <w:rFonts w:cstheme="minorHAnsi"/>
          <w:sz w:val="24"/>
          <w:szCs w:val="24"/>
          <w:shd w:val="clear" w:color="auto" w:fill="FFFFFF"/>
        </w:rPr>
        <w:t>. </w:t>
      </w:r>
      <w:r w:rsidRPr="006612E9">
        <w:rPr>
          <w:rFonts w:cstheme="minorHAnsi"/>
          <w:i/>
          <w:iCs/>
          <w:sz w:val="24"/>
          <w:szCs w:val="24"/>
          <w:shd w:val="clear" w:color="auto" w:fill="FFFFFF"/>
        </w:rPr>
        <w:t xml:space="preserve"> Fasti.  </w:t>
      </w:r>
      <w:r w:rsidRPr="006612E9">
        <w:rPr>
          <w:rStyle w:val="translators"/>
          <w:rFonts w:cstheme="minorHAnsi"/>
          <w:sz w:val="24"/>
          <w:szCs w:val="24"/>
          <w:shd w:val="clear" w:color="auto" w:fill="FFFFFF"/>
        </w:rPr>
        <w:t xml:space="preserve">Translated by </w:t>
      </w:r>
      <w:r w:rsidRPr="006612E9">
        <w:rPr>
          <w:rStyle w:val="contributorname"/>
          <w:rFonts w:cstheme="minorHAnsi"/>
          <w:sz w:val="24"/>
          <w:szCs w:val="24"/>
          <w:shd w:val="clear" w:color="auto" w:fill="FFFFFF"/>
        </w:rPr>
        <w:t>Frazer</w:t>
      </w:r>
      <w:r w:rsidRPr="006612E9">
        <w:rPr>
          <w:rStyle w:val="translators"/>
          <w:rFonts w:cstheme="minorHAnsi"/>
          <w:sz w:val="24"/>
          <w:szCs w:val="24"/>
          <w:shd w:val="clear" w:color="auto" w:fill="FFFFFF"/>
        </w:rPr>
        <w:t>, J. G. </w:t>
      </w:r>
      <w:r w:rsidRPr="006612E9">
        <w:rPr>
          <w:rStyle w:val="revisors"/>
          <w:rFonts w:cstheme="minorHAnsi"/>
          <w:sz w:val="24"/>
          <w:szCs w:val="24"/>
          <w:shd w:val="clear" w:color="auto" w:fill="FFFFFF"/>
        </w:rPr>
        <w:t xml:space="preserve"> Revised by </w:t>
      </w:r>
      <w:r w:rsidRPr="006612E9">
        <w:rPr>
          <w:rStyle w:val="contributorname"/>
          <w:rFonts w:cstheme="minorHAnsi"/>
          <w:sz w:val="24"/>
          <w:szCs w:val="24"/>
          <w:shd w:val="clear" w:color="auto" w:fill="FFFFFF"/>
        </w:rPr>
        <w:t xml:space="preserve">G. P. </w:t>
      </w:r>
      <w:proofErr w:type="spellStart"/>
      <w:r w:rsidRPr="006612E9">
        <w:rPr>
          <w:rStyle w:val="contributorname"/>
          <w:rFonts w:cstheme="minorHAnsi"/>
          <w:sz w:val="24"/>
          <w:szCs w:val="24"/>
          <w:shd w:val="clear" w:color="auto" w:fill="FFFFFF"/>
        </w:rPr>
        <w:t>Goold</w:t>
      </w:r>
      <w:proofErr w:type="spellEnd"/>
      <w:r w:rsidRPr="006612E9">
        <w:rPr>
          <w:rStyle w:val="revisors"/>
          <w:rFonts w:cstheme="minorHAnsi"/>
          <w:sz w:val="24"/>
          <w:szCs w:val="24"/>
          <w:shd w:val="clear" w:color="auto" w:fill="FFFFFF"/>
        </w:rPr>
        <w:t xml:space="preserve">.  1931. </w:t>
      </w:r>
      <w:r w:rsidRPr="006612E9">
        <w:rPr>
          <w:rFonts w:cstheme="minorHAnsi"/>
          <w:sz w:val="24"/>
          <w:szCs w:val="24"/>
          <w:shd w:val="clear" w:color="auto" w:fill="FFFFFF"/>
        </w:rPr>
        <w:t>Loeb Classical Library 253.  Cambridge, MA: Harvard University Press.  Available at:</w:t>
      </w:r>
      <w:r w:rsidRPr="00E430FF">
        <w:rPr>
          <w:rFonts w:cstheme="minorHAnsi"/>
          <w:color w:val="333333"/>
          <w:sz w:val="24"/>
          <w:szCs w:val="24"/>
          <w:shd w:val="clear" w:color="auto" w:fill="FFFFFF"/>
        </w:rPr>
        <w:t xml:space="preserve"> </w:t>
      </w:r>
      <w:hyperlink r:id="rId11" w:history="1">
        <w:r w:rsidRPr="00E430FF">
          <w:rPr>
            <w:rStyle w:val="Hyperlink"/>
            <w:rFonts w:cstheme="minorHAnsi"/>
            <w:sz w:val="24"/>
            <w:szCs w:val="24"/>
          </w:rPr>
          <w:t>https://www.loebclassics.com/view/ovid-fasti/1931/pb_LCL253.221.xml</w:t>
        </w:r>
      </w:hyperlink>
      <w:r w:rsidRPr="00E430FF">
        <w:rPr>
          <w:rFonts w:cstheme="minorHAnsi"/>
          <w:sz w:val="24"/>
          <w:szCs w:val="24"/>
        </w:rPr>
        <w:t>.  (Accessed 27 Sep. 2022).</w:t>
      </w:r>
    </w:p>
    <w:p w14:paraId="1F89B32D" w14:textId="77777777" w:rsidR="007C69B4" w:rsidRPr="00E430FF" w:rsidRDefault="007C69B4" w:rsidP="007C69B4">
      <w:pPr>
        <w:spacing w:after="0" w:line="240" w:lineRule="auto"/>
        <w:rPr>
          <w:rFonts w:cstheme="minorHAnsi"/>
          <w:sz w:val="24"/>
          <w:szCs w:val="24"/>
        </w:rPr>
      </w:pPr>
    </w:p>
    <w:p w14:paraId="00AB7588" w14:textId="77777777" w:rsidR="007C69B4" w:rsidRPr="00E430FF" w:rsidRDefault="007C69B4" w:rsidP="007C69B4">
      <w:pPr>
        <w:spacing w:after="0" w:line="240" w:lineRule="auto"/>
        <w:rPr>
          <w:rFonts w:cstheme="minorHAnsi"/>
          <w:sz w:val="24"/>
          <w:szCs w:val="24"/>
        </w:rPr>
      </w:pPr>
      <w:r w:rsidRPr="00E430FF">
        <w:rPr>
          <w:sz w:val="24"/>
          <w:szCs w:val="24"/>
        </w:rPr>
        <w:t xml:space="preserve">Ovid.  </w:t>
      </w:r>
      <w:r w:rsidRPr="00E430FF">
        <w:rPr>
          <w:i/>
          <w:iCs/>
          <w:sz w:val="24"/>
          <w:szCs w:val="24"/>
        </w:rPr>
        <w:t>Metamorphoses V.</w:t>
      </w:r>
      <w:r w:rsidRPr="00E430FF">
        <w:rPr>
          <w:sz w:val="24"/>
          <w:szCs w:val="24"/>
        </w:rPr>
        <w:t xml:space="preserve">  Available at:  </w:t>
      </w:r>
      <w:hyperlink r:id="rId12" w:history="1">
        <w:r w:rsidRPr="00E430FF">
          <w:rPr>
            <w:rStyle w:val="Hyperlink"/>
            <w:sz w:val="24"/>
            <w:szCs w:val="24"/>
          </w:rPr>
          <w:t>https://www.thelatinlibrary.com/ovid/ovid.met5.shtml</w:t>
        </w:r>
      </w:hyperlink>
      <w:r w:rsidRPr="00E430FF">
        <w:rPr>
          <w:sz w:val="24"/>
          <w:szCs w:val="24"/>
        </w:rPr>
        <w:t>.  (Accessed 30 Sept. 2022).</w:t>
      </w:r>
    </w:p>
    <w:p w14:paraId="1D0BC3BF" w14:textId="427E6753" w:rsidR="00204402" w:rsidRDefault="00D41E5D" w:rsidP="00D32E3F">
      <w:pPr>
        <w:spacing w:after="0" w:line="240" w:lineRule="auto"/>
        <w:rPr>
          <w:sz w:val="24"/>
          <w:szCs w:val="24"/>
        </w:rPr>
      </w:pPr>
      <w:r w:rsidRPr="00D41E5D">
        <w:rPr>
          <w:sz w:val="24"/>
          <w:szCs w:val="24"/>
        </w:rPr>
        <w:lastRenderedPageBreak/>
        <w:br/>
      </w:r>
      <w:r w:rsidRPr="006612E9">
        <w:rPr>
          <w:rFonts w:cstheme="minorHAnsi"/>
          <w:color w:val="000000"/>
          <w:sz w:val="24"/>
          <w:szCs w:val="24"/>
        </w:rPr>
        <w:t xml:space="preserve">Ovid. </w:t>
      </w:r>
      <w:r w:rsidRPr="006612E9">
        <w:rPr>
          <w:rFonts w:cstheme="minorHAnsi"/>
          <w:i/>
          <w:iCs/>
          <w:color w:val="000000"/>
          <w:sz w:val="24"/>
          <w:szCs w:val="24"/>
        </w:rPr>
        <w:t>Metamorphoses</w:t>
      </w:r>
      <w:r w:rsidRPr="006612E9">
        <w:rPr>
          <w:rFonts w:cstheme="minorHAnsi"/>
          <w:color w:val="000000"/>
          <w:sz w:val="24"/>
          <w:szCs w:val="24"/>
        </w:rPr>
        <w:t xml:space="preserve">. Translated by More, B. 1922. Boston. Cornhill Publishing Co. Available at: </w:t>
      </w:r>
      <w:hyperlink r:id="rId13" w:history="1">
        <w:r w:rsidRPr="006612E9">
          <w:rPr>
            <w:rStyle w:val="Hyperlink"/>
            <w:sz w:val="24"/>
            <w:szCs w:val="24"/>
          </w:rPr>
          <w:t>https://www.perseus.tufts.edu/hopper/text?doc=Perseus%3Atext%3A1999.02.0028%3Abook%3D5%3Acard%3D341</w:t>
        </w:r>
      </w:hyperlink>
      <w:r w:rsidR="006612E9" w:rsidRPr="006612E9">
        <w:rPr>
          <w:sz w:val="24"/>
          <w:szCs w:val="24"/>
        </w:rPr>
        <w:t xml:space="preserve"> (Accessed: 26 Sept. 2022).</w:t>
      </w:r>
    </w:p>
    <w:p w14:paraId="064EA52F" w14:textId="77777777" w:rsidR="00D32E3F" w:rsidRPr="00E430FF" w:rsidRDefault="00D32E3F" w:rsidP="00D32E3F">
      <w:pPr>
        <w:spacing w:after="0" w:line="240" w:lineRule="auto"/>
        <w:rPr>
          <w:sz w:val="24"/>
          <w:szCs w:val="24"/>
        </w:rPr>
      </w:pPr>
    </w:p>
    <w:p w14:paraId="61FA18E1" w14:textId="13D84F4A" w:rsidR="007C69B4" w:rsidRPr="00EA4167" w:rsidRDefault="007C69B4" w:rsidP="00D32E3F">
      <w:pPr>
        <w:spacing w:after="0" w:line="240" w:lineRule="auto"/>
        <w:rPr>
          <w:rFonts w:cstheme="minorHAnsi"/>
          <w:sz w:val="24"/>
          <w:szCs w:val="24"/>
        </w:rPr>
      </w:pPr>
      <w:r w:rsidRPr="00EB6B89">
        <w:rPr>
          <w:rFonts w:cstheme="minorHAnsi"/>
          <w:sz w:val="24"/>
          <w:szCs w:val="24"/>
        </w:rPr>
        <w:t xml:space="preserve">Richardson, N. (1974) </w:t>
      </w:r>
      <w:r w:rsidRPr="00EB6B89">
        <w:rPr>
          <w:rFonts w:cstheme="minorHAnsi"/>
          <w:i/>
          <w:iCs/>
          <w:sz w:val="24"/>
          <w:szCs w:val="24"/>
        </w:rPr>
        <w:t>The Homeric Hymn to Demeter</w:t>
      </w:r>
      <w:r w:rsidRPr="00EB6B89">
        <w:rPr>
          <w:rFonts w:cstheme="minorHAnsi"/>
          <w:sz w:val="24"/>
          <w:szCs w:val="24"/>
        </w:rPr>
        <w:t xml:space="preserve">. </w:t>
      </w:r>
      <w:proofErr w:type="spellStart"/>
      <w:r w:rsidRPr="00EB6B89">
        <w:rPr>
          <w:rFonts w:cstheme="minorHAnsi"/>
          <w:sz w:val="24"/>
          <w:szCs w:val="24"/>
        </w:rPr>
        <w:t>Claredon</w:t>
      </w:r>
      <w:proofErr w:type="spellEnd"/>
      <w:r w:rsidRPr="00EB6B89">
        <w:rPr>
          <w:rFonts w:cstheme="minorHAnsi"/>
          <w:sz w:val="24"/>
          <w:szCs w:val="24"/>
        </w:rPr>
        <w:t xml:space="preserve"> Press, Oxford.</w:t>
      </w:r>
    </w:p>
    <w:p w14:paraId="41D44F5D" w14:textId="77777777" w:rsidR="007C69B4" w:rsidRDefault="007C69B4" w:rsidP="00D32E3F">
      <w:pPr>
        <w:spacing w:after="0" w:line="240" w:lineRule="auto"/>
        <w:rPr>
          <w:sz w:val="24"/>
          <w:szCs w:val="24"/>
          <w:highlight w:val="yellow"/>
        </w:rPr>
      </w:pPr>
    </w:p>
    <w:p w14:paraId="1A40E56B" w14:textId="6C6673EA" w:rsidR="00EF61FA" w:rsidRDefault="00D32E3F" w:rsidP="000F4E9F">
      <w:pPr>
        <w:spacing w:after="0" w:line="240" w:lineRule="auto"/>
        <w:rPr>
          <w:rFonts w:eastAsia="Times New Roman" w:cstheme="minorHAnsi"/>
          <w:sz w:val="24"/>
          <w:szCs w:val="24"/>
          <w:lang w:eastAsia="en-GB"/>
        </w:rPr>
      </w:pPr>
      <w:r w:rsidRPr="00EF61FA">
        <w:rPr>
          <w:rFonts w:eastAsia="Times New Roman" w:cstheme="minorHAnsi"/>
          <w:sz w:val="24"/>
          <w:szCs w:val="24"/>
          <w:lang w:eastAsia="en-GB"/>
        </w:rPr>
        <w:t>Sch</w:t>
      </w:r>
      <w:r w:rsidR="00EF61FA" w:rsidRPr="00EF61FA">
        <w:rPr>
          <w:rFonts w:eastAsia="Times New Roman" w:cstheme="minorHAnsi"/>
          <w:sz w:val="24"/>
          <w:szCs w:val="24"/>
          <w:lang w:eastAsia="en-GB"/>
        </w:rPr>
        <w:t>eid, J. (1992) Myth, cult and Reality in Ovid’s ‘Fasti’.</w:t>
      </w:r>
      <w:r w:rsidRPr="00EF61FA">
        <w:rPr>
          <w:rFonts w:eastAsia="Times New Roman" w:cstheme="minorHAnsi"/>
          <w:sz w:val="24"/>
          <w:szCs w:val="24"/>
          <w:lang w:eastAsia="en-GB"/>
        </w:rPr>
        <w:t xml:space="preserve"> </w:t>
      </w:r>
      <w:r w:rsidRPr="00EF61FA">
        <w:rPr>
          <w:rFonts w:eastAsia="Times New Roman" w:cstheme="minorHAnsi"/>
          <w:i/>
          <w:iCs/>
          <w:sz w:val="24"/>
          <w:szCs w:val="24"/>
          <w:lang w:eastAsia="en-GB"/>
        </w:rPr>
        <w:t>Proceedings of the Cambridge Philological Society</w:t>
      </w:r>
      <w:r w:rsidRPr="00EF61FA">
        <w:rPr>
          <w:rFonts w:eastAsia="Times New Roman" w:cstheme="minorHAnsi"/>
          <w:sz w:val="24"/>
          <w:szCs w:val="24"/>
          <w:lang w:eastAsia="en-GB"/>
        </w:rPr>
        <w:t xml:space="preserve">, no. 38, pp. 118–31. </w:t>
      </w:r>
      <w:r w:rsidR="00EF61FA" w:rsidRPr="00EF61FA">
        <w:rPr>
          <w:rFonts w:eastAsia="Times New Roman" w:cstheme="minorHAnsi"/>
          <w:sz w:val="24"/>
          <w:szCs w:val="24"/>
          <w:lang w:eastAsia="en-GB"/>
        </w:rPr>
        <w:t xml:space="preserve">Available at: </w:t>
      </w:r>
      <w:r w:rsidRPr="00EF61FA">
        <w:rPr>
          <w:rFonts w:eastAsia="Times New Roman" w:cstheme="minorHAnsi"/>
          <w:i/>
          <w:iCs/>
          <w:sz w:val="24"/>
          <w:szCs w:val="24"/>
          <w:lang w:eastAsia="en-GB"/>
        </w:rPr>
        <w:t>JSTOR</w:t>
      </w:r>
      <w:r w:rsidRPr="00EF61FA">
        <w:rPr>
          <w:rFonts w:eastAsia="Times New Roman" w:cstheme="minorHAnsi"/>
          <w:sz w:val="24"/>
          <w:szCs w:val="24"/>
          <w:lang w:eastAsia="en-GB"/>
        </w:rPr>
        <w:t xml:space="preserve">, http://www.jstor.org/stable/44687107. </w:t>
      </w:r>
      <w:r w:rsidR="00EF61FA" w:rsidRPr="00EF61FA">
        <w:rPr>
          <w:rFonts w:eastAsia="Times New Roman" w:cstheme="minorHAnsi"/>
          <w:sz w:val="24"/>
          <w:szCs w:val="24"/>
          <w:lang w:eastAsia="en-GB"/>
        </w:rPr>
        <w:t>(</w:t>
      </w:r>
      <w:r w:rsidRPr="00EF61FA">
        <w:rPr>
          <w:rFonts w:eastAsia="Times New Roman" w:cstheme="minorHAnsi"/>
          <w:sz w:val="24"/>
          <w:szCs w:val="24"/>
          <w:lang w:eastAsia="en-GB"/>
        </w:rPr>
        <w:t xml:space="preserve">Accessed </w:t>
      </w:r>
      <w:r w:rsidR="00EF61FA" w:rsidRPr="00EF61FA">
        <w:rPr>
          <w:rFonts w:eastAsia="Times New Roman" w:cstheme="minorHAnsi"/>
          <w:sz w:val="24"/>
          <w:szCs w:val="24"/>
          <w:lang w:eastAsia="en-GB"/>
        </w:rPr>
        <w:t>29 Sept</w:t>
      </w:r>
      <w:r w:rsidRPr="00EF61FA">
        <w:rPr>
          <w:rFonts w:eastAsia="Times New Roman" w:cstheme="minorHAnsi"/>
          <w:sz w:val="24"/>
          <w:szCs w:val="24"/>
          <w:lang w:eastAsia="en-GB"/>
        </w:rPr>
        <w:t>. 2022</w:t>
      </w:r>
      <w:r w:rsidR="00EF61FA" w:rsidRPr="00EF61FA">
        <w:rPr>
          <w:rFonts w:eastAsia="Times New Roman" w:cstheme="minorHAnsi"/>
          <w:sz w:val="24"/>
          <w:szCs w:val="24"/>
          <w:lang w:eastAsia="en-GB"/>
        </w:rPr>
        <w:t>)</w:t>
      </w:r>
      <w:r w:rsidRPr="00EF61FA">
        <w:rPr>
          <w:rFonts w:eastAsia="Times New Roman" w:cstheme="minorHAnsi"/>
          <w:sz w:val="24"/>
          <w:szCs w:val="24"/>
          <w:lang w:eastAsia="en-GB"/>
        </w:rPr>
        <w:t>.</w:t>
      </w:r>
    </w:p>
    <w:p w14:paraId="011166BC" w14:textId="77777777" w:rsidR="000F4E9F" w:rsidRDefault="000F4E9F" w:rsidP="000F4E9F">
      <w:pPr>
        <w:spacing w:after="0" w:line="240" w:lineRule="auto"/>
        <w:rPr>
          <w:rFonts w:eastAsia="Times New Roman" w:cstheme="minorHAnsi"/>
          <w:sz w:val="24"/>
          <w:szCs w:val="24"/>
          <w:lang w:eastAsia="en-GB"/>
        </w:rPr>
      </w:pPr>
    </w:p>
    <w:p w14:paraId="20CC2A56" w14:textId="3179D464" w:rsidR="00EA4167" w:rsidRPr="00EF61FA" w:rsidRDefault="00FA2035" w:rsidP="000F4E9F">
      <w:pPr>
        <w:spacing w:after="0" w:line="240" w:lineRule="auto"/>
        <w:rPr>
          <w:rFonts w:eastAsia="Times New Roman" w:cstheme="minorHAnsi"/>
          <w:sz w:val="24"/>
          <w:szCs w:val="24"/>
          <w:lang w:eastAsia="en-GB"/>
        </w:rPr>
      </w:pPr>
      <w:r w:rsidRPr="00EA4167">
        <w:rPr>
          <w:sz w:val="24"/>
          <w:szCs w:val="24"/>
        </w:rPr>
        <w:t>Thomas, R.</w:t>
      </w:r>
      <w:r w:rsidR="00E430FF" w:rsidRPr="00EA4167">
        <w:rPr>
          <w:sz w:val="24"/>
          <w:szCs w:val="24"/>
        </w:rPr>
        <w:t xml:space="preserve"> (</w:t>
      </w:r>
      <w:r w:rsidRPr="00EA4167">
        <w:rPr>
          <w:sz w:val="24"/>
          <w:szCs w:val="24"/>
        </w:rPr>
        <w:t>1990</w:t>
      </w:r>
      <w:r w:rsidR="00E430FF" w:rsidRPr="00EA4167">
        <w:rPr>
          <w:sz w:val="24"/>
          <w:szCs w:val="24"/>
        </w:rPr>
        <w:t>)</w:t>
      </w:r>
      <w:r w:rsidRPr="00EA4167">
        <w:rPr>
          <w:sz w:val="24"/>
          <w:szCs w:val="24"/>
        </w:rPr>
        <w:t xml:space="preserve"> </w:t>
      </w:r>
      <w:r w:rsidR="00E430FF" w:rsidRPr="00EA4167">
        <w:rPr>
          <w:sz w:val="24"/>
          <w:szCs w:val="24"/>
        </w:rPr>
        <w:t xml:space="preserve"> R</w:t>
      </w:r>
      <w:r w:rsidRPr="00EA4167">
        <w:rPr>
          <w:sz w:val="24"/>
          <w:szCs w:val="24"/>
        </w:rPr>
        <w:t xml:space="preserve">eview of the </w:t>
      </w:r>
      <w:r w:rsidR="00E430FF" w:rsidRPr="00EA4167">
        <w:rPr>
          <w:sz w:val="24"/>
          <w:szCs w:val="24"/>
        </w:rPr>
        <w:t>M</w:t>
      </w:r>
      <w:r w:rsidRPr="00EA4167">
        <w:rPr>
          <w:sz w:val="24"/>
          <w:szCs w:val="24"/>
        </w:rPr>
        <w:t xml:space="preserve">etamorphosis of Persephone: Ovid and the </w:t>
      </w:r>
      <w:r w:rsidR="00E430FF" w:rsidRPr="00EA4167">
        <w:rPr>
          <w:sz w:val="24"/>
          <w:szCs w:val="24"/>
        </w:rPr>
        <w:t>S</w:t>
      </w:r>
      <w:r w:rsidRPr="00EA4167">
        <w:rPr>
          <w:sz w:val="24"/>
          <w:szCs w:val="24"/>
        </w:rPr>
        <w:t xml:space="preserve">elf </w:t>
      </w:r>
      <w:r w:rsidR="00E430FF" w:rsidRPr="00EA4167">
        <w:rPr>
          <w:sz w:val="24"/>
          <w:szCs w:val="24"/>
        </w:rPr>
        <w:t>C</w:t>
      </w:r>
      <w:r w:rsidRPr="00EA4167">
        <w:rPr>
          <w:sz w:val="24"/>
          <w:szCs w:val="24"/>
        </w:rPr>
        <w:t xml:space="preserve">onscious </w:t>
      </w:r>
      <w:r w:rsidR="00E430FF" w:rsidRPr="00EA4167">
        <w:rPr>
          <w:sz w:val="24"/>
          <w:szCs w:val="24"/>
        </w:rPr>
        <w:t>M</w:t>
      </w:r>
      <w:r w:rsidRPr="00EA4167">
        <w:rPr>
          <w:sz w:val="24"/>
          <w:szCs w:val="24"/>
        </w:rPr>
        <w:t>use</w:t>
      </w:r>
      <w:r w:rsidR="00EA4167" w:rsidRPr="00EA4167">
        <w:rPr>
          <w:sz w:val="24"/>
          <w:szCs w:val="24"/>
        </w:rPr>
        <w:t>, by Stephen Hinds</w:t>
      </w:r>
      <w:r w:rsidRPr="00EA4167">
        <w:rPr>
          <w:sz w:val="24"/>
          <w:szCs w:val="24"/>
        </w:rPr>
        <w:t xml:space="preserve">. </w:t>
      </w:r>
      <w:r w:rsidRPr="009F4DEF">
        <w:rPr>
          <w:i/>
          <w:iCs/>
          <w:sz w:val="24"/>
          <w:szCs w:val="24"/>
        </w:rPr>
        <w:t>Classical Philology 85(1): 77-80</w:t>
      </w:r>
      <w:r w:rsidR="00EA4167" w:rsidRPr="00EA4167">
        <w:rPr>
          <w:sz w:val="24"/>
          <w:szCs w:val="24"/>
        </w:rPr>
        <w:t xml:space="preserve">. </w:t>
      </w:r>
      <w:r w:rsidR="00EA4167">
        <w:rPr>
          <w:sz w:val="24"/>
          <w:szCs w:val="24"/>
          <w:lang w:eastAsia="en-GB"/>
        </w:rPr>
        <w:t xml:space="preserve"> Available at: </w:t>
      </w:r>
      <w:hyperlink r:id="rId14" w:history="1">
        <w:r w:rsidR="00EA4167" w:rsidRPr="00C3173F">
          <w:rPr>
            <w:rStyle w:val="Hyperlink"/>
            <w:sz w:val="24"/>
            <w:szCs w:val="24"/>
            <w:lang w:eastAsia="en-GB"/>
          </w:rPr>
          <w:t>https://doi.org/10.1086/367182</w:t>
        </w:r>
      </w:hyperlink>
      <w:r w:rsidR="00EA4167">
        <w:rPr>
          <w:sz w:val="24"/>
          <w:szCs w:val="24"/>
        </w:rPr>
        <w:t>.  (Accessed 28 Sept. 2022).</w:t>
      </w:r>
    </w:p>
    <w:p w14:paraId="4EC86AD6" w14:textId="07D59A4D" w:rsidR="00D566EB" w:rsidRPr="00E430FF" w:rsidRDefault="00D566EB" w:rsidP="00204402">
      <w:pPr>
        <w:spacing w:after="0" w:line="240" w:lineRule="auto"/>
        <w:rPr>
          <w:sz w:val="24"/>
          <w:szCs w:val="24"/>
        </w:rPr>
      </w:pPr>
    </w:p>
    <w:p w14:paraId="79B779A4" w14:textId="345D86B2" w:rsidR="00D566EB" w:rsidRDefault="00FA2035" w:rsidP="00204402">
      <w:pPr>
        <w:spacing w:after="0" w:line="240" w:lineRule="auto"/>
        <w:rPr>
          <w:rFonts w:eastAsia="Times New Roman" w:cstheme="minorHAnsi"/>
          <w:sz w:val="24"/>
          <w:szCs w:val="24"/>
          <w:lang w:eastAsia="en-GB"/>
        </w:rPr>
      </w:pPr>
      <w:r w:rsidRPr="00E430FF">
        <w:rPr>
          <w:rFonts w:eastAsia="Times New Roman" w:cstheme="minorHAnsi"/>
          <w:sz w:val="24"/>
          <w:szCs w:val="24"/>
          <w:lang w:eastAsia="en-GB"/>
        </w:rPr>
        <w:t xml:space="preserve">Zissos, A. (1999) The Rape of Proserpina in Ovid ‘Met.’ 5.341-661: Internal Audience and Narrative Distortion. </w:t>
      </w:r>
      <w:r w:rsidRPr="00E430FF">
        <w:rPr>
          <w:rFonts w:eastAsia="Times New Roman" w:cstheme="minorHAnsi"/>
          <w:i/>
          <w:iCs/>
          <w:sz w:val="24"/>
          <w:szCs w:val="24"/>
          <w:lang w:eastAsia="en-GB"/>
        </w:rPr>
        <w:t xml:space="preserve"> Phoenix</w:t>
      </w:r>
      <w:r w:rsidRPr="00E430FF">
        <w:rPr>
          <w:rFonts w:eastAsia="Times New Roman" w:cstheme="minorHAnsi"/>
          <w:sz w:val="24"/>
          <w:szCs w:val="24"/>
          <w:lang w:eastAsia="en-GB"/>
        </w:rPr>
        <w:t xml:space="preserve">, </w:t>
      </w:r>
      <w:r w:rsidRPr="009F4DEF">
        <w:rPr>
          <w:rFonts w:eastAsia="Times New Roman" w:cstheme="minorHAnsi"/>
          <w:i/>
          <w:iCs/>
          <w:sz w:val="24"/>
          <w:szCs w:val="24"/>
          <w:lang w:eastAsia="en-GB"/>
        </w:rPr>
        <w:t>vol. 53, no. 1/2, pp. 97–113</w:t>
      </w:r>
      <w:r w:rsidRPr="00E430FF">
        <w:rPr>
          <w:rFonts w:eastAsia="Times New Roman" w:cstheme="minorHAnsi"/>
          <w:sz w:val="24"/>
          <w:szCs w:val="24"/>
          <w:lang w:eastAsia="en-GB"/>
        </w:rPr>
        <w:t xml:space="preserve">.  Available at: </w:t>
      </w:r>
      <w:r w:rsidRPr="00E430FF">
        <w:rPr>
          <w:rFonts w:eastAsia="Times New Roman" w:cstheme="minorHAnsi"/>
          <w:i/>
          <w:iCs/>
          <w:sz w:val="24"/>
          <w:szCs w:val="24"/>
          <w:lang w:eastAsia="en-GB"/>
        </w:rPr>
        <w:t>JSTOR</w:t>
      </w:r>
      <w:r w:rsidRPr="00E430FF">
        <w:rPr>
          <w:rFonts w:eastAsia="Times New Roman" w:cstheme="minorHAnsi"/>
          <w:sz w:val="24"/>
          <w:szCs w:val="24"/>
          <w:lang w:eastAsia="en-GB"/>
        </w:rPr>
        <w:t>, https://doi.org/10.2307/1088125.  (Accessed 29 Sep. 2022).</w:t>
      </w:r>
    </w:p>
    <w:p w14:paraId="1727D0E4" w14:textId="6D857B0A" w:rsidR="00124C64" w:rsidRDefault="00124C64" w:rsidP="00204402">
      <w:pPr>
        <w:spacing w:after="0" w:line="240" w:lineRule="auto"/>
        <w:rPr>
          <w:rFonts w:eastAsia="Times New Roman" w:cstheme="minorHAnsi"/>
          <w:sz w:val="24"/>
          <w:szCs w:val="24"/>
          <w:lang w:eastAsia="en-GB"/>
        </w:rPr>
      </w:pPr>
    </w:p>
    <w:sectPr w:rsidR="00124C64" w:rsidSect="002D78D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37F59A" w14:textId="77777777" w:rsidR="00D160B3" w:rsidRDefault="00FA2035">
      <w:pPr>
        <w:spacing w:after="0" w:line="240" w:lineRule="auto"/>
      </w:pPr>
      <w:r>
        <w:separator/>
      </w:r>
    </w:p>
  </w:endnote>
  <w:endnote w:type="continuationSeparator" w:id="0">
    <w:p w14:paraId="471FC48C" w14:textId="77777777" w:rsidR="00D160B3" w:rsidRDefault="00FA20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98C6E7" w14:textId="77777777" w:rsidR="001E4D19" w:rsidRDefault="00FA2035" w:rsidP="001E4D19">
      <w:pPr>
        <w:spacing w:after="0" w:line="240" w:lineRule="auto"/>
      </w:pPr>
      <w:r>
        <w:separator/>
      </w:r>
    </w:p>
  </w:footnote>
  <w:footnote w:type="continuationSeparator" w:id="0">
    <w:p w14:paraId="37CCD89D" w14:textId="77777777" w:rsidR="001E4D19" w:rsidRDefault="00FA2035" w:rsidP="001E4D19">
      <w:pPr>
        <w:spacing w:after="0" w:line="240" w:lineRule="auto"/>
      </w:pPr>
      <w:r>
        <w:continuationSeparator/>
      </w:r>
    </w:p>
  </w:footnote>
  <w:footnote w:id="1">
    <w:p w14:paraId="41383EAF" w14:textId="31EB4526" w:rsidR="001E4D19" w:rsidRPr="00EA4167" w:rsidRDefault="00FA2035">
      <w:pPr>
        <w:pStyle w:val="FootnoteText"/>
        <w:rPr>
          <w:lang w:val="da-DK"/>
        </w:rPr>
      </w:pPr>
      <w:r w:rsidRPr="000E2C33">
        <w:rPr>
          <w:rStyle w:val="FootnoteReference"/>
        </w:rPr>
        <w:footnoteRef/>
      </w:r>
      <w:r w:rsidRPr="000E2C33">
        <w:rPr>
          <w:lang w:val="da-DK"/>
        </w:rPr>
        <w:t xml:space="preserve"> </w:t>
      </w:r>
      <w:proofErr w:type="spellStart"/>
      <w:r w:rsidRPr="000E2C33">
        <w:rPr>
          <w:lang w:val="da-DK"/>
        </w:rPr>
        <w:t>Fantham</w:t>
      </w:r>
      <w:proofErr w:type="spellEnd"/>
      <w:r w:rsidRPr="000E2C33">
        <w:rPr>
          <w:lang w:val="da-DK"/>
        </w:rPr>
        <w:t xml:space="preserve">, </w:t>
      </w:r>
      <w:r w:rsidR="000E2C33" w:rsidRPr="000E2C33">
        <w:rPr>
          <w:lang w:val="da-DK"/>
        </w:rPr>
        <w:t xml:space="preserve">1995, </w:t>
      </w:r>
      <w:r w:rsidRPr="000E2C33">
        <w:rPr>
          <w:lang w:val="da-DK"/>
        </w:rPr>
        <w:t>p. 70.</w:t>
      </w:r>
    </w:p>
  </w:footnote>
  <w:footnote w:id="2">
    <w:p w14:paraId="40FF7AB5" w14:textId="5BB03716" w:rsidR="001E4D19" w:rsidRPr="00124C64" w:rsidRDefault="00FA2035">
      <w:pPr>
        <w:pStyle w:val="FootnoteText"/>
        <w:rPr>
          <w:lang w:val="da-DK"/>
        </w:rPr>
      </w:pPr>
      <w:r w:rsidRPr="005027A6">
        <w:rPr>
          <w:rStyle w:val="FootnoteReference"/>
        </w:rPr>
        <w:footnoteRef/>
      </w:r>
      <w:r w:rsidRPr="00124C64">
        <w:rPr>
          <w:lang w:val="da-DK"/>
        </w:rPr>
        <w:t xml:space="preserve"> </w:t>
      </w:r>
      <w:proofErr w:type="spellStart"/>
      <w:r w:rsidRPr="00124C64">
        <w:rPr>
          <w:lang w:val="da-DK"/>
        </w:rPr>
        <w:t>Ov</w:t>
      </w:r>
      <w:proofErr w:type="spellEnd"/>
      <w:r w:rsidR="00124C64" w:rsidRPr="00124C64">
        <w:rPr>
          <w:lang w:val="da-DK"/>
        </w:rPr>
        <w:t>.</w:t>
      </w:r>
      <w:r w:rsidRPr="00124C64">
        <w:rPr>
          <w:lang w:val="da-DK"/>
        </w:rPr>
        <w:t xml:space="preserve"> Fast</w:t>
      </w:r>
      <w:r w:rsidR="00952B4A">
        <w:rPr>
          <w:lang w:val="da-DK"/>
        </w:rPr>
        <w:t>.</w:t>
      </w:r>
      <w:r w:rsidRPr="00124C64">
        <w:rPr>
          <w:lang w:val="da-DK"/>
        </w:rPr>
        <w:t xml:space="preserve"> 4</w:t>
      </w:r>
      <w:r w:rsidR="00952B4A">
        <w:rPr>
          <w:lang w:val="da-DK"/>
        </w:rPr>
        <w:t>.</w:t>
      </w:r>
      <w:r w:rsidRPr="00124C64">
        <w:rPr>
          <w:lang w:val="da-DK"/>
        </w:rPr>
        <w:t>425</w:t>
      </w:r>
      <w:r w:rsidR="00354391">
        <w:rPr>
          <w:lang w:val="da-DK"/>
        </w:rPr>
        <w:t>-</w:t>
      </w:r>
      <w:r w:rsidRPr="00124C64">
        <w:rPr>
          <w:lang w:val="da-DK"/>
        </w:rPr>
        <w:t>6</w:t>
      </w:r>
      <w:r w:rsidR="00354391">
        <w:rPr>
          <w:lang w:val="da-DK"/>
        </w:rPr>
        <w:t>.</w:t>
      </w:r>
    </w:p>
  </w:footnote>
  <w:footnote w:id="3">
    <w:p w14:paraId="101F6EAF" w14:textId="4BE7839B" w:rsidR="001E4D19" w:rsidRPr="00124C64" w:rsidRDefault="00FA2035">
      <w:pPr>
        <w:pStyle w:val="FootnoteText"/>
        <w:rPr>
          <w:lang w:val="da-DK"/>
        </w:rPr>
      </w:pPr>
      <w:r w:rsidRPr="005027A6">
        <w:rPr>
          <w:rStyle w:val="FootnoteReference"/>
        </w:rPr>
        <w:footnoteRef/>
      </w:r>
      <w:r w:rsidRPr="00124C64">
        <w:rPr>
          <w:lang w:val="da-DK"/>
        </w:rPr>
        <w:t xml:space="preserve"> </w:t>
      </w:r>
      <w:proofErr w:type="spellStart"/>
      <w:r w:rsidRPr="00124C64">
        <w:rPr>
          <w:lang w:val="da-DK"/>
        </w:rPr>
        <w:t>Ov</w:t>
      </w:r>
      <w:proofErr w:type="spellEnd"/>
      <w:r w:rsidR="00124C64" w:rsidRPr="00124C64">
        <w:rPr>
          <w:lang w:val="da-DK"/>
        </w:rPr>
        <w:t xml:space="preserve">. </w:t>
      </w:r>
      <w:r w:rsidRPr="00124C64">
        <w:rPr>
          <w:lang w:val="da-DK"/>
        </w:rPr>
        <w:t>Fast</w:t>
      </w:r>
      <w:r w:rsidR="00952B4A">
        <w:rPr>
          <w:lang w:val="da-DK"/>
        </w:rPr>
        <w:t>.</w:t>
      </w:r>
      <w:r w:rsidR="005027A6" w:rsidRPr="00124C64">
        <w:rPr>
          <w:lang w:val="da-DK"/>
        </w:rPr>
        <w:t xml:space="preserve"> </w:t>
      </w:r>
      <w:r w:rsidRPr="00124C64">
        <w:rPr>
          <w:lang w:val="da-DK"/>
        </w:rPr>
        <w:t>4</w:t>
      </w:r>
      <w:r w:rsidR="00952B4A">
        <w:rPr>
          <w:lang w:val="da-DK"/>
        </w:rPr>
        <w:t>.</w:t>
      </w:r>
      <w:r w:rsidRPr="00124C64">
        <w:rPr>
          <w:lang w:val="da-DK"/>
        </w:rPr>
        <w:t>456</w:t>
      </w:r>
      <w:r w:rsidR="00354391">
        <w:rPr>
          <w:lang w:val="da-DK"/>
        </w:rPr>
        <w:t>.</w:t>
      </w:r>
    </w:p>
  </w:footnote>
  <w:footnote w:id="4">
    <w:p w14:paraId="25B2D953" w14:textId="534FAAEC" w:rsidR="001E4D19" w:rsidRPr="009F43A3" w:rsidRDefault="00FA2035">
      <w:pPr>
        <w:pStyle w:val="FootnoteText"/>
      </w:pPr>
      <w:r w:rsidRPr="005027A6">
        <w:rPr>
          <w:rStyle w:val="FootnoteReference"/>
        </w:rPr>
        <w:footnoteRef/>
      </w:r>
      <w:r w:rsidRPr="009F43A3">
        <w:t xml:space="preserve"> </w:t>
      </w:r>
      <w:r w:rsidR="009F43A3" w:rsidRPr="009F43A3">
        <w:t>Ibid</w:t>
      </w:r>
      <w:r w:rsidR="00952B4A" w:rsidRPr="009F43A3">
        <w:t>.</w:t>
      </w:r>
      <w:r w:rsidRPr="009F43A3">
        <w:t xml:space="preserve"> 4</w:t>
      </w:r>
      <w:r w:rsidR="00952B4A" w:rsidRPr="009F43A3">
        <w:t>.</w:t>
      </w:r>
      <w:r w:rsidRPr="009F43A3">
        <w:t>457-9</w:t>
      </w:r>
      <w:r w:rsidR="00354391" w:rsidRPr="009F43A3">
        <w:t>.</w:t>
      </w:r>
    </w:p>
  </w:footnote>
  <w:footnote w:id="5">
    <w:p w14:paraId="5A25776F" w14:textId="3EE248AF" w:rsidR="001E4D19" w:rsidRPr="009F43A3" w:rsidRDefault="00FA2035">
      <w:pPr>
        <w:pStyle w:val="FootnoteText"/>
      </w:pPr>
      <w:r w:rsidRPr="005027A6">
        <w:rPr>
          <w:rStyle w:val="FootnoteReference"/>
        </w:rPr>
        <w:footnoteRef/>
      </w:r>
      <w:r w:rsidRPr="009F43A3">
        <w:t xml:space="preserve"> </w:t>
      </w:r>
      <w:r w:rsidR="009F43A3" w:rsidRPr="009F43A3">
        <w:t>Ibid</w:t>
      </w:r>
      <w:r w:rsidR="00952B4A" w:rsidRPr="009F43A3">
        <w:t>.</w:t>
      </w:r>
      <w:r w:rsidRPr="009F43A3">
        <w:t xml:space="preserve"> 4</w:t>
      </w:r>
      <w:r w:rsidR="00952B4A" w:rsidRPr="009F43A3">
        <w:t>.</w:t>
      </w:r>
      <w:r w:rsidRPr="009F43A3">
        <w:t>459-61</w:t>
      </w:r>
      <w:r w:rsidR="00354391" w:rsidRPr="009F43A3">
        <w:t>.</w:t>
      </w:r>
    </w:p>
  </w:footnote>
  <w:footnote w:id="6">
    <w:p w14:paraId="0685F494" w14:textId="781E16D9" w:rsidR="001E4D19" w:rsidRPr="009F43A3" w:rsidRDefault="00FA2035">
      <w:pPr>
        <w:pStyle w:val="FootnoteText"/>
      </w:pPr>
      <w:r w:rsidRPr="005027A6">
        <w:rPr>
          <w:rStyle w:val="FootnoteReference"/>
        </w:rPr>
        <w:footnoteRef/>
      </w:r>
      <w:r w:rsidRPr="009F43A3">
        <w:t xml:space="preserve"> </w:t>
      </w:r>
      <w:r w:rsidR="009F43A3" w:rsidRPr="009F43A3">
        <w:t>Ibid</w:t>
      </w:r>
      <w:r w:rsidR="00952B4A" w:rsidRPr="009F43A3">
        <w:t>.</w:t>
      </w:r>
      <w:r w:rsidR="00354391" w:rsidRPr="009F43A3">
        <w:t xml:space="preserve"> </w:t>
      </w:r>
      <w:r w:rsidRPr="009F43A3">
        <w:t>4</w:t>
      </w:r>
      <w:r w:rsidR="00952B4A" w:rsidRPr="009F43A3">
        <w:t>.</w:t>
      </w:r>
      <w:r w:rsidRPr="009F43A3">
        <w:t>463-4</w:t>
      </w:r>
      <w:r w:rsidR="00354391" w:rsidRPr="009F43A3">
        <w:t>.</w:t>
      </w:r>
    </w:p>
  </w:footnote>
  <w:footnote w:id="7">
    <w:p w14:paraId="64528BD3" w14:textId="003E1CAD" w:rsidR="003E5933" w:rsidRPr="009F43A3" w:rsidRDefault="00FA2035">
      <w:pPr>
        <w:pStyle w:val="FootnoteText"/>
      </w:pPr>
      <w:r w:rsidRPr="005027A6">
        <w:rPr>
          <w:rStyle w:val="FootnoteReference"/>
        </w:rPr>
        <w:footnoteRef/>
      </w:r>
      <w:r w:rsidRPr="009F43A3">
        <w:t xml:space="preserve"> </w:t>
      </w:r>
      <w:r w:rsidR="009F43A3" w:rsidRPr="009F43A3">
        <w:t>Ibid</w:t>
      </w:r>
      <w:r w:rsidR="00952B4A" w:rsidRPr="009F43A3">
        <w:t>.</w:t>
      </w:r>
      <w:r w:rsidR="00354391" w:rsidRPr="009F43A3">
        <w:t xml:space="preserve"> </w:t>
      </w:r>
      <w:r w:rsidRPr="009F43A3">
        <w:t>4</w:t>
      </w:r>
      <w:r w:rsidR="00952B4A" w:rsidRPr="009F43A3">
        <w:t>.</w:t>
      </w:r>
      <w:r w:rsidRPr="009F43A3">
        <w:t>465-81</w:t>
      </w:r>
      <w:r w:rsidR="00354391" w:rsidRPr="009F43A3">
        <w:t>.</w:t>
      </w:r>
    </w:p>
  </w:footnote>
  <w:footnote w:id="8">
    <w:p w14:paraId="4D92D20F" w14:textId="0A026530" w:rsidR="003E5933" w:rsidRPr="009F43A3" w:rsidRDefault="00FA2035">
      <w:pPr>
        <w:pStyle w:val="FootnoteText"/>
      </w:pPr>
      <w:r w:rsidRPr="005027A6">
        <w:rPr>
          <w:rStyle w:val="FootnoteReference"/>
        </w:rPr>
        <w:footnoteRef/>
      </w:r>
      <w:r w:rsidRPr="009F43A3">
        <w:t xml:space="preserve"> </w:t>
      </w:r>
      <w:r w:rsidR="009F43A3" w:rsidRPr="009F43A3">
        <w:t>Ibid</w:t>
      </w:r>
      <w:r w:rsidR="00952B4A" w:rsidRPr="009F43A3">
        <w:t>.</w:t>
      </w:r>
      <w:r w:rsidR="00354391" w:rsidRPr="009F43A3">
        <w:t xml:space="preserve"> 4</w:t>
      </w:r>
      <w:r w:rsidR="005665EC" w:rsidRPr="009F43A3">
        <w:t>.</w:t>
      </w:r>
      <w:r w:rsidRPr="009F43A3">
        <w:t>91-3</w:t>
      </w:r>
      <w:r w:rsidR="00354391" w:rsidRPr="009F43A3">
        <w:t>.</w:t>
      </w:r>
    </w:p>
  </w:footnote>
  <w:footnote w:id="9">
    <w:p w14:paraId="659B483F" w14:textId="4E17FF73" w:rsidR="003E5933" w:rsidRPr="00EF5A26" w:rsidRDefault="00FA2035">
      <w:pPr>
        <w:pStyle w:val="FootnoteText"/>
      </w:pPr>
      <w:r w:rsidRPr="005027A6">
        <w:rPr>
          <w:rStyle w:val="FootnoteReference"/>
        </w:rPr>
        <w:footnoteRef/>
      </w:r>
      <w:r w:rsidRPr="00EF5A26">
        <w:t xml:space="preserve"> </w:t>
      </w:r>
      <w:r w:rsidR="009F43A3" w:rsidRPr="00EF5A26">
        <w:t>Ibid</w:t>
      </w:r>
      <w:r w:rsidR="005665EC" w:rsidRPr="00EF5A26">
        <w:t>.</w:t>
      </w:r>
      <w:r w:rsidRPr="00EF5A26">
        <w:t xml:space="preserve"> 4</w:t>
      </w:r>
      <w:r w:rsidR="005665EC" w:rsidRPr="00EF5A26">
        <w:t>.</w:t>
      </w:r>
      <w:r w:rsidRPr="00EF5A26">
        <w:t>496</w:t>
      </w:r>
      <w:r w:rsidR="00124C64" w:rsidRPr="00EF5A26">
        <w:t>.</w:t>
      </w:r>
    </w:p>
  </w:footnote>
  <w:footnote w:id="10">
    <w:p w14:paraId="76693923" w14:textId="2B2ACEC1" w:rsidR="003E5933" w:rsidRPr="00EF5A26" w:rsidRDefault="00FA2035">
      <w:pPr>
        <w:pStyle w:val="FootnoteText"/>
      </w:pPr>
      <w:r w:rsidRPr="005027A6">
        <w:rPr>
          <w:rStyle w:val="FootnoteReference"/>
        </w:rPr>
        <w:footnoteRef/>
      </w:r>
      <w:r w:rsidRPr="00EF5A26">
        <w:t xml:space="preserve"> </w:t>
      </w:r>
      <w:r w:rsidR="009F43A3" w:rsidRPr="00EF5A26">
        <w:t>Ibid</w:t>
      </w:r>
      <w:r w:rsidR="005665EC" w:rsidRPr="00EF5A26">
        <w:t>.</w:t>
      </w:r>
      <w:r w:rsidR="00354391" w:rsidRPr="00EF5A26">
        <w:t xml:space="preserve"> </w:t>
      </w:r>
      <w:r w:rsidRPr="00EF5A26">
        <w:t>4</w:t>
      </w:r>
      <w:r w:rsidR="005665EC" w:rsidRPr="00EF5A26">
        <w:t>.</w:t>
      </w:r>
      <w:r w:rsidRPr="00EF5A26">
        <w:t>496-500</w:t>
      </w:r>
      <w:r w:rsidR="00354391" w:rsidRPr="00EF5A26">
        <w:t>.</w:t>
      </w:r>
    </w:p>
  </w:footnote>
  <w:footnote w:id="11">
    <w:p w14:paraId="7DC6D35F" w14:textId="2CB8BBDA" w:rsidR="003E5933" w:rsidRPr="00EF5A26" w:rsidRDefault="00FA2035">
      <w:pPr>
        <w:pStyle w:val="FootnoteText"/>
      </w:pPr>
      <w:r w:rsidRPr="005027A6">
        <w:rPr>
          <w:rStyle w:val="FootnoteReference"/>
        </w:rPr>
        <w:footnoteRef/>
      </w:r>
      <w:r w:rsidRPr="00EF5A26">
        <w:t xml:space="preserve"> </w:t>
      </w:r>
      <w:r w:rsidR="00EF5A26" w:rsidRPr="00EF5A26">
        <w:t>Ibid</w:t>
      </w:r>
      <w:r w:rsidR="005665EC" w:rsidRPr="00EF5A26">
        <w:t>.</w:t>
      </w:r>
      <w:r w:rsidR="00354391" w:rsidRPr="00EF5A26">
        <w:t xml:space="preserve"> </w:t>
      </w:r>
      <w:r w:rsidRPr="00EF5A26">
        <w:t>4</w:t>
      </w:r>
      <w:r w:rsidR="005665EC" w:rsidRPr="00EF5A26">
        <w:t>.</w:t>
      </w:r>
      <w:r w:rsidRPr="00EF5A26">
        <w:t>576</w:t>
      </w:r>
      <w:r w:rsidR="00354391" w:rsidRPr="00EF5A26">
        <w:t>.</w:t>
      </w:r>
    </w:p>
  </w:footnote>
  <w:footnote w:id="12">
    <w:p w14:paraId="027E3F9D" w14:textId="27CBCED0" w:rsidR="003E5933" w:rsidRPr="00EF5A26" w:rsidRDefault="00FA2035">
      <w:pPr>
        <w:pStyle w:val="FootnoteText"/>
      </w:pPr>
      <w:r w:rsidRPr="005027A6">
        <w:rPr>
          <w:rStyle w:val="FootnoteReference"/>
        </w:rPr>
        <w:footnoteRef/>
      </w:r>
      <w:r w:rsidRPr="00EF5A26">
        <w:t xml:space="preserve"> </w:t>
      </w:r>
      <w:r w:rsidR="00EF5A26" w:rsidRPr="00EF5A26">
        <w:t>Ibid</w:t>
      </w:r>
      <w:r w:rsidR="005665EC" w:rsidRPr="00EF5A26">
        <w:t>.</w:t>
      </w:r>
      <w:r w:rsidRPr="00EF5A26">
        <w:t xml:space="preserve"> 4</w:t>
      </w:r>
      <w:r w:rsidR="005665EC" w:rsidRPr="00EF5A26">
        <w:t>.</w:t>
      </w:r>
      <w:r w:rsidRPr="00EF5A26">
        <w:t>417-19.</w:t>
      </w:r>
    </w:p>
  </w:footnote>
  <w:footnote w:id="13">
    <w:p w14:paraId="358996EC" w14:textId="1AF356F4" w:rsidR="003E5933" w:rsidRPr="00EF5A26" w:rsidRDefault="00FA2035">
      <w:pPr>
        <w:pStyle w:val="FootnoteText"/>
      </w:pPr>
      <w:r w:rsidRPr="005027A6">
        <w:rPr>
          <w:rStyle w:val="FootnoteReference"/>
        </w:rPr>
        <w:footnoteRef/>
      </w:r>
      <w:r w:rsidRPr="00EF5A26">
        <w:t xml:space="preserve"> </w:t>
      </w:r>
      <w:r w:rsidR="00EF5A26" w:rsidRPr="00EF5A26">
        <w:t>Ibid</w:t>
      </w:r>
      <w:r w:rsidR="005665EC" w:rsidRPr="00EF5A26">
        <w:t>.</w:t>
      </w:r>
      <w:r w:rsidRPr="00EF5A26">
        <w:t xml:space="preserve"> 4</w:t>
      </w:r>
      <w:r w:rsidR="005665EC" w:rsidRPr="00EF5A26">
        <w:t>.</w:t>
      </w:r>
      <w:r w:rsidRPr="00EF5A26">
        <w:t>440-2</w:t>
      </w:r>
      <w:r w:rsidR="00354391" w:rsidRPr="00EF5A26">
        <w:t>.</w:t>
      </w:r>
    </w:p>
  </w:footnote>
  <w:footnote w:id="14">
    <w:p w14:paraId="4DDF5665" w14:textId="1C59A6E2" w:rsidR="003E5933" w:rsidRPr="00952B4A" w:rsidRDefault="00FA2035" w:rsidP="00DB03A0">
      <w:pPr>
        <w:pStyle w:val="FootnoteText"/>
        <w:rPr>
          <w:lang w:val="da-DK"/>
        </w:rPr>
      </w:pPr>
      <w:r w:rsidRPr="00DB03A0">
        <w:rPr>
          <w:rStyle w:val="FootnoteReference"/>
        </w:rPr>
        <w:footnoteRef/>
      </w:r>
      <w:r w:rsidR="00354391" w:rsidRPr="00952B4A">
        <w:rPr>
          <w:lang w:val="da-DK"/>
        </w:rPr>
        <w:t xml:space="preserve"> </w:t>
      </w:r>
      <w:r w:rsidR="00EF5A26">
        <w:rPr>
          <w:lang w:val="da-DK"/>
        </w:rPr>
        <w:t>Ibid</w:t>
      </w:r>
      <w:r w:rsidR="005665EC">
        <w:rPr>
          <w:lang w:val="da-DK"/>
        </w:rPr>
        <w:t>.</w:t>
      </w:r>
      <w:r w:rsidRPr="00952B4A">
        <w:rPr>
          <w:lang w:val="da-DK"/>
        </w:rPr>
        <w:t xml:space="preserve"> 4</w:t>
      </w:r>
      <w:r w:rsidR="005665EC">
        <w:rPr>
          <w:lang w:val="da-DK"/>
        </w:rPr>
        <w:t>.</w:t>
      </w:r>
      <w:r w:rsidRPr="00952B4A">
        <w:rPr>
          <w:lang w:val="da-DK"/>
        </w:rPr>
        <w:t>447-9</w:t>
      </w:r>
      <w:r w:rsidR="00354391" w:rsidRPr="00952B4A">
        <w:rPr>
          <w:lang w:val="da-DK"/>
        </w:rPr>
        <w:t>.</w:t>
      </w:r>
    </w:p>
  </w:footnote>
  <w:footnote w:id="15">
    <w:p w14:paraId="66C79424" w14:textId="65EC6A9A" w:rsidR="003E5933" w:rsidRPr="00952B4A" w:rsidRDefault="00FA2035" w:rsidP="00DB03A0">
      <w:pPr>
        <w:pStyle w:val="FootnoteText"/>
        <w:rPr>
          <w:lang w:val="da-DK"/>
        </w:rPr>
      </w:pPr>
      <w:r w:rsidRPr="00DB03A0">
        <w:rPr>
          <w:rStyle w:val="FootnoteReference"/>
        </w:rPr>
        <w:footnoteRef/>
      </w:r>
      <w:r w:rsidRPr="00952B4A">
        <w:rPr>
          <w:lang w:val="da-DK"/>
        </w:rPr>
        <w:t xml:space="preserve"> </w:t>
      </w:r>
      <w:proofErr w:type="spellStart"/>
      <w:r w:rsidR="00952B4A" w:rsidRPr="00952B4A">
        <w:rPr>
          <w:lang w:val="da-DK"/>
        </w:rPr>
        <w:t>Ov</w:t>
      </w:r>
      <w:proofErr w:type="spellEnd"/>
      <w:r w:rsidR="00952B4A" w:rsidRPr="00952B4A">
        <w:rPr>
          <w:lang w:val="da-DK"/>
        </w:rPr>
        <w:t xml:space="preserve">. Fast. </w:t>
      </w:r>
      <w:r w:rsidRPr="00952B4A">
        <w:rPr>
          <w:lang w:val="da-DK"/>
        </w:rPr>
        <w:t>4.444</w:t>
      </w:r>
      <w:r w:rsidR="00952B4A" w:rsidRPr="00952B4A">
        <w:rPr>
          <w:lang w:val="da-DK"/>
        </w:rPr>
        <w:t>-</w:t>
      </w:r>
      <w:r w:rsidRPr="00952B4A">
        <w:rPr>
          <w:lang w:val="da-DK"/>
        </w:rPr>
        <w:t>5</w:t>
      </w:r>
      <w:r w:rsidR="00952B4A" w:rsidRPr="00952B4A">
        <w:rPr>
          <w:lang w:val="da-DK"/>
        </w:rPr>
        <w:t>.</w:t>
      </w:r>
    </w:p>
  </w:footnote>
  <w:footnote w:id="16">
    <w:p w14:paraId="52318283" w14:textId="6AA315D8" w:rsidR="003E5933" w:rsidRPr="00952B4A" w:rsidRDefault="00FA2035" w:rsidP="00DB03A0">
      <w:pPr>
        <w:pStyle w:val="FootnoteText"/>
        <w:rPr>
          <w:lang w:val="da-DK"/>
        </w:rPr>
      </w:pPr>
      <w:r w:rsidRPr="00DB03A0">
        <w:rPr>
          <w:rStyle w:val="FootnoteReference"/>
        </w:rPr>
        <w:footnoteRef/>
      </w:r>
      <w:r w:rsidRPr="00952B4A">
        <w:rPr>
          <w:lang w:val="da-DK"/>
        </w:rPr>
        <w:t xml:space="preserve"> </w:t>
      </w:r>
      <w:proofErr w:type="spellStart"/>
      <w:r w:rsidR="00952B4A" w:rsidRPr="00952B4A">
        <w:rPr>
          <w:lang w:val="da-DK"/>
        </w:rPr>
        <w:t>Ov</w:t>
      </w:r>
      <w:proofErr w:type="spellEnd"/>
      <w:r w:rsidR="00952B4A" w:rsidRPr="00952B4A">
        <w:rPr>
          <w:lang w:val="da-DK"/>
        </w:rPr>
        <w:t xml:space="preserve">. </w:t>
      </w:r>
      <w:r w:rsidRPr="00952B4A">
        <w:rPr>
          <w:lang w:val="da-DK"/>
        </w:rPr>
        <w:t>F</w:t>
      </w:r>
      <w:r w:rsidR="00952B4A" w:rsidRPr="00952B4A">
        <w:rPr>
          <w:lang w:val="da-DK"/>
        </w:rPr>
        <w:t>ast</w:t>
      </w:r>
      <w:r w:rsidRPr="00952B4A">
        <w:rPr>
          <w:lang w:val="da-DK"/>
        </w:rPr>
        <w:t>. 4.446</w:t>
      </w:r>
      <w:r w:rsidR="00952B4A" w:rsidRPr="00952B4A">
        <w:rPr>
          <w:lang w:val="da-DK"/>
        </w:rPr>
        <w:t>.</w:t>
      </w:r>
    </w:p>
  </w:footnote>
  <w:footnote w:id="17">
    <w:p w14:paraId="0D27DE14" w14:textId="7DDA3456" w:rsidR="003E5933" w:rsidRPr="00DB5E6C" w:rsidRDefault="00FA2035" w:rsidP="00EF5A26">
      <w:pPr>
        <w:spacing w:after="0"/>
        <w:rPr>
          <w:sz w:val="20"/>
          <w:szCs w:val="20"/>
        </w:rPr>
      </w:pPr>
      <w:r w:rsidRPr="00DB03A0">
        <w:rPr>
          <w:rStyle w:val="FootnoteReference"/>
          <w:sz w:val="20"/>
          <w:szCs w:val="20"/>
        </w:rPr>
        <w:footnoteRef/>
      </w:r>
      <w:r w:rsidRPr="00DB5E6C">
        <w:rPr>
          <w:sz w:val="20"/>
          <w:szCs w:val="20"/>
        </w:rPr>
        <w:t xml:space="preserve"> </w:t>
      </w:r>
      <w:r w:rsidR="00EF5A26" w:rsidRPr="00DB5E6C">
        <w:rPr>
          <w:sz w:val="20"/>
          <w:szCs w:val="20"/>
        </w:rPr>
        <w:t>Ibid</w:t>
      </w:r>
      <w:r w:rsidR="00952B4A" w:rsidRPr="00DB5E6C">
        <w:rPr>
          <w:sz w:val="20"/>
          <w:szCs w:val="20"/>
        </w:rPr>
        <w:t xml:space="preserve">. </w:t>
      </w:r>
      <w:r w:rsidRPr="00DB5E6C">
        <w:rPr>
          <w:sz w:val="20"/>
          <w:szCs w:val="20"/>
        </w:rPr>
        <w:t>4.450-451</w:t>
      </w:r>
      <w:r w:rsidR="00AC0133" w:rsidRPr="00DB5E6C">
        <w:rPr>
          <w:sz w:val="20"/>
          <w:szCs w:val="20"/>
        </w:rPr>
        <w:t>.</w:t>
      </w:r>
    </w:p>
  </w:footnote>
  <w:footnote w:id="18">
    <w:p w14:paraId="76870370" w14:textId="7BB7A105" w:rsidR="00DB03A0" w:rsidRPr="00DB5E6C" w:rsidRDefault="00FA2035" w:rsidP="00DB03A0">
      <w:pPr>
        <w:pStyle w:val="FootnoteText"/>
      </w:pPr>
      <w:r w:rsidRPr="00DB03A0">
        <w:rPr>
          <w:rStyle w:val="FootnoteReference"/>
        </w:rPr>
        <w:footnoteRef/>
      </w:r>
      <w:r w:rsidRPr="00DB5E6C">
        <w:t xml:space="preserve"> Hinds</w:t>
      </w:r>
      <w:r w:rsidR="00952B4A" w:rsidRPr="00DB5E6C">
        <w:t xml:space="preserve">, </w:t>
      </w:r>
      <w:r w:rsidR="00AC0133" w:rsidRPr="00DB5E6C">
        <w:t xml:space="preserve">1987, </w:t>
      </w:r>
      <w:r w:rsidRPr="00DB5E6C">
        <w:t>p. 61.</w:t>
      </w:r>
    </w:p>
  </w:footnote>
  <w:footnote w:id="19">
    <w:p w14:paraId="5337ECA7" w14:textId="5E99D577" w:rsidR="009D3AD1" w:rsidRDefault="009D3AD1">
      <w:pPr>
        <w:pStyle w:val="FootnoteText"/>
      </w:pPr>
      <w:r>
        <w:rPr>
          <w:rStyle w:val="FootnoteReference"/>
        </w:rPr>
        <w:footnoteRef/>
      </w:r>
      <w:r>
        <w:t xml:space="preserve"> Hinds, 1987, p. 61.</w:t>
      </w:r>
    </w:p>
  </w:footnote>
  <w:footnote w:id="20">
    <w:p w14:paraId="0379B73A" w14:textId="52013A77" w:rsidR="00DB03A0" w:rsidRDefault="00FA2035" w:rsidP="00DB03A0">
      <w:pPr>
        <w:pStyle w:val="FootnoteText"/>
      </w:pPr>
      <w:r>
        <w:rPr>
          <w:rStyle w:val="FootnoteReference"/>
        </w:rPr>
        <w:footnoteRef/>
      </w:r>
      <w:r>
        <w:t xml:space="preserve"> </w:t>
      </w:r>
      <w:r w:rsidR="009D3AD1">
        <w:t>Ibid.</w:t>
      </w:r>
      <w:r w:rsidR="00AC0133">
        <w:t xml:space="preserve"> </w:t>
      </w:r>
      <w:r>
        <w:t>p. 61.</w:t>
      </w:r>
    </w:p>
  </w:footnote>
  <w:footnote w:id="21">
    <w:p w14:paraId="5B924322" w14:textId="0F9BE82C" w:rsidR="00DB03A0" w:rsidRDefault="00FA2035" w:rsidP="00DB03A0">
      <w:pPr>
        <w:pStyle w:val="FootnoteText"/>
      </w:pPr>
      <w:r>
        <w:rPr>
          <w:rStyle w:val="FootnoteReference"/>
        </w:rPr>
        <w:footnoteRef/>
      </w:r>
      <w:r>
        <w:t xml:space="preserve"> </w:t>
      </w:r>
      <w:r w:rsidR="00EF5A26">
        <w:t>Ibid.</w:t>
      </w:r>
      <w:r w:rsidR="00AC0133">
        <w:t xml:space="preserve"> </w:t>
      </w:r>
      <w:r>
        <w:t>p. 62.</w:t>
      </w:r>
    </w:p>
  </w:footnote>
  <w:footnote w:id="22">
    <w:p w14:paraId="58AB7EB4" w14:textId="4F9D1D1F" w:rsidR="00851B1C" w:rsidRPr="00E83D23" w:rsidRDefault="00FA2035">
      <w:pPr>
        <w:pStyle w:val="FootnoteText"/>
      </w:pPr>
      <w:r w:rsidRPr="00E83D23">
        <w:rPr>
          <w:rStyle w:val="FootnoteReference"/>
        </w:rPr>
        <w:footnoteRef/>
      </w:r>
      <w:r w:rsidRPr="00E83D23">
        <w:t xml:space="preserve"> Lively</w:t>
      </w:r>
      <w:r w:rsidR="00161719">
        <w:t>, 2010,</w:t>
      </w:r>
      <w:r w:rsidRPr="00E83D23">
        <w:t xml:space="preserve"> p. 65.</w:t>
      </w:r>
    </w:p>
  </w:footnote>
  <w:footnote w:id="23">
    <w:p w14:paraId="7B7A26BA" w14:textId="28603A85" w:rsidR="00851B1C" w:rsidRPr="00124C64" w:rsidRDefault="00FA2035">
      <w:pPr>
        <w:pStyle w:val="FootnoteText"/>
        <w:rPr>
          <w:lang w:val="nl-NL"/>
        </w:rPr>
      </w:pPr>
      <w:r w:rsidRPr="00E83D23">
        <w:rPr>
          <w:rStyle w:val="FootnoteReference"/>
        </w:rPr>
        <w:footnoteRef/>
      </w:r>
      <w:r w:rsidRPr="00124C64">
        <w:rPr>
          <w:lang w:val="nl-NL"/>
        </w:rPr>
        <w:t xml:space="preserve"> </w:t>
      </w:r>
      <w:proofErr w:type="spellStart"/>
      <w:r w:rsidRPr="00124C64">
        <w:rPr>
          <w:lang w:val="nl-NL"/>
        </w:rPr>
        <w:t>Lively</w:t>
      </w:r>
      <w:proofErr w:type="spellEnd"/>
      <w:r w:rsidR="00161719">
        <w:rPr>
          <w:lang w:val="nl-NL"/>
        </w:rPr>
        <w:t>, 2010,</w:t>
      </w:r>
      <w:r w:rsidRPr="00124C64">
        <w:rPr>
          <w:lang w:val="nl-NL"/>
        </w:rPr>
        <w:t xml:space="preserve"> p. 66.</w:t>
      </w:r>
    </w:p>
  </w:footnote>
  <w:footnote w:id="24">
    <w:p w14:paraId="6C3191BB" w14:textId="6BD67759" w:rsidR="00FD1A1E" w:rsidRPr="00124C64" w:rsidRDefault="00FA2035">
      <w:pPr>
        <w:pStyle w:val="FootnoteText"/>
        <w:rPr>
          <w:lang w:val="nl-NL"/>
        </w:rPr>
      </w:pPr>
      <w:r w:rsidRPr="00E83D23">
        <w:rPr>
          <w:rStyle w:val="FootnoteReference"/>
        </w:rPr>
        <w:footnoteRef/>
      </w:r>
      <w:r w:rsidRPr="00124C64">
        <w:rPr>
          <w:lang w:val="nl-NL"/>
        </w:rPr>
        <w:t xml:space="preserve"> </w:t>
      </w:r>
      <w:r w:rsidR="00124C64" w:rsidRPr="00124C64">
        <w:rPr>
          <w:lang w:val="nl-NL"/>
        </w:rPr>
        <w:t>Ov. Met.</w:t>
      </w:r>
      <w:r w:rsidRPr="00124C64">
        <w:rPr>
          <w:lang w:val="nl-NL"/>
        </w:rPr>
        <w:t xml:space="preserve"> </w:t>
      </w:r>
      <w:r w:rsidR="00124C64" w:rsidRPr="00124C64">
        <w:rPr>
          <w:lang w:val="nl-NL"/>
        </w:rPr>
        <w:t>5</w:t>
      </w:r>
      <w:r w:rsidR="00161719">
        <w:rPr>
          <w:lang w:val="nl-NL"/>
        </w:rPr>
        <w:t>.</w:t>
      </w:r>
      <w:r w:rsidRPr="00124C64">
        <w:rPr>
          <w:lang w:val="nl-NL"/>
        </w:rPr>
        <w:t>454-53.</w:t>
      </w:r>
    </w:p>
  </w:footnote>
  <w:footnote w:id="25">
    <w:p w14:paraId="3D94701F" w14:textId="3EF1B8C5" w:rsidR="00FD1A1E" w:rsidRPr="00124C64" w:rsidRDefault="00FA2035">
      <w:pPr>
        <w:pStyle w:val="FootnoteText"/>
        <w:rPr>
          <w:lang w:val="nl-NL"/>
        </w:rPr>
      </w:pPr>
      <w:r w:rsidRPr="00E83D23">
        <w:rPr>
          <w:rStyle w:val="FootnoteReference"/>
        </w:rPr>
        <w:footnoteRef/>
      </w:r>
      <w:r w:rsidRPr="00124C64">
        <w:rPr>
          <w:lang w:val="nl-NL"/>
        </w:rPr>
        <w:t xml:space="preserve"> </w:t>
      </w:r>
      <w:r w:rsidR="00124C64" w:rsidRPr="00124C64">
        <w:rPr>
          <w:lang w:val="nl-NL"/>
        </w:rPr>
        <w:t>Ov. Met.</w:t>
      </w:r>
      <w:r w:rsidR="00124C64">
        <w:rPr>
          <w:lang w:val="nl-NL"/>
        </w:rPr>
        <w:t xml:space="preserve"> 5</w:t>
      </w:r>
      <w:r w:rsidR="00161719">
        <w:rPr>
          <w:lang w:val="nl-NL"/>
        </w:rPr>
        <w:t>.</w:t>
      </w:r>
      <w:r w:rsidRPr="00124C64">
        <w:rPr>
          <w:lang w:val="nl-NL"/>
        </w:rPr>
        <w:t>467-8.</w:t>
      </w:r>
    </w:p>
  </w:footnote>
  <w:footnote w:id="26">
    <w:p w14:paraId="4E9E7098" w14:textId="5CC3B937" w:rsidR="00E83D23" w:rsidRPr="00DB5E6C" w:rsidRDefault="00FA2035">
      <w:pPr>
        <w:pStyle w:val="FootnoteText"/>
      </w:pPr>
      <w:r w:rsidRPr="00E83D23">
        <w:rPr>
          <w:rStyle w:val="FootnoteReference"/>
        </w:rPr>
        <w:footnoteRef/>
      </w:r>
      <w:r w:rsidRPr="00DB5E6C">
        <w:t xml:space="preserve"> </w:t>
      </w:r>
      <w:r w:rsidR="00EF5A26" w:rsidRPr="00DB5E6C">
        <w:t>Ibid</w:t>
      </w:r>
      <w:r w:rsidR="00124C64" w:rsidRPr="00DB5E6C">
        <w:t>. 5</w:t>
      </w:r>
      <w:r w:rsidR="00161719" w:rsidRPr="00DB5E6C">
        <w:t>.</w:t>
      </w:r>
      <w:r w:rsidRPr="00DB5E6C">
        <w:t>491</w:t>
      </w:r>
      <w:r w:rsidR="00124C64" w:rsidRPr="00DB5E6C">
        <w:t>.</w:t>
      </w:r>
    </w:p>
  </w:footnote>
  <w:footnote w:id="27">
    <w:p w14:paraId="79F13B56" w14:textId="6BE6B5CD" w:rsidR="00E83D23" w:rsidRPr="00DB5E6C" w:rsidRDefault="00FA2035">
      <w:pPr>
        <w:pStyle w:val="FootnoteText"/>
      </w:pPr>
      <w:r w:rsidRPr="00E83D23">
        <w:rPr>
          <w:rStyle w:val="FootnoteReference"/>
        </w:rPr>
        <w:footnoteRef/>
      </w:r>
      <w:r w:rsidRPr="00DB5E6C">
        <w:t xml:space="preserve"> </w:t>
      </w:r>
      <w:r w:rsidR="00EF5A26" w:rsidRPr="00DB5E6C">
        <w:t>Ibid</w:t>
      </w:r>
      <w:r w:rsidR="00124C64" w:rsidRPr="00DB5E6C">
        <w:t>. 5</w:t>
      </w:r>
      <w:r w:rsidR="00161719" w:rsidRPr="00DB5E6C">
        <w:t>.</w:t>
      </w:r>
      <w:r w:rsidRPr="00DB5E6C">
        <w:t>505</w:t>
      </w:r>
      <w:r w:rsidR="00124C64" w:rsidRPr="00DB5E6C">
        <w:t>.</w:t>
      </w:r>
    </w:p>
  </w:footnote>
  <w:footnote w:id="28">
    <w:p w14:paraId="65675091" w14:textId="142B5369" w:rsidR="00E83D23" w:rsidRPr="00DB5E6C" w:rsidRDefault="00FA2035">
      <w:pPr>
        <w:pStyle w:val="FootnoteText"/>
      </w:pPr>
      <w:r w:rsidRPr="00E83D23">
        <w:rPr>
          <w:rStyle w:val="FootnoteReference"/>
        </w:rPr>
        <w:footnoteRef/>
      </w:r>
      <w:r w:rsidRPr="00DB5E6C">
        <w:t xml:space="preserve"> </w:t>
      </w:r>
      <w:r w:rsidR="00EF5A26" w:rsidRPr="00DB5E6C">
        <w:t>Ibid</w:t>
      </w:r>
      <w:r w:rsidR="00124C64" w:rsidRPr="00DB5E6C">
        <w:t xml:space="preserve">. </w:t>
      </w:r>
      <w:r w:rsidRPr="00DB5E6C">
        <w:t>5</w:t>
      </w:r>
      <w:r w:rsidR="00161719" w:rsidRPr="00DB5E6C">
        <w:t>.</w:t>
      </w:r>
      <w:r w:rsidRPr="00DB5E6C">
        <w:t>520</w:t>
      </w:r>
      <w:r w:rsidR="00124C64" w:rsidRPr="00DB5E6C">
        <w:t>.</w:t>
      </w:r>
    </w:p>
  </w:footnote>
  <w:footnote w:id="29">
    <w:p w14:paraId="7289474C" w14:textId="683D9A26" w:rsidR="00E83D23" w:rsidRPr="00DB5E6C" w:rsidRDefault="00FA2035">
      <w:pPr>
        <w:pStyle w:val="FootnoteText"/>
      </w:pPr>
      <w:r w:rsidRPr="00E83D23">
        <w:rPr>
          <w:rStyle w:val="FootnoteReference"/>
        </w:rPr>
        <w:footnoteRef/>
      </w:r>
      <w:r w:rsidRPr="00DB5E6C">
        <w:t xml:space="preserve"> </w:t>
      </w:r>
      <w:r w:rsidR="00EF5A26" w:rsidRPr="00DB5E6C">
        <w:t>Ibid</w:t>
      </w:r>
      <w:r w:rsidR="00124C64" w:rsidRPr="00DB5E6C">
        <w:t>.</w:t>
      </w:r>
      <w:r w:rsidRPr="00DB5E6C">
        <w:t xml:space="preserve"> 5</w:t>
      </w:r>
      <w:r w:rsidR="00161719" w:rsidRPr="00DB5E6C">
        <w:t>.</w:t>
      </w:r>
      <w:r w:rsidRPr="00DB5E6C">
        <w:t>528</w:t>
      </w:r>
      <w:r w:rsidR="00124C64" w:rsidRPr="00DB5E6C">
        <w:t>.</w:t>
      </w:r>
    </w:p>
  </w:footnote>
  <w:footnote w:id="30">
    <w:p w14:paraId="2C3FEA49" w14:textId="46719A38" w:rsidR="00161719" w:rsidRPr="00DB5E6C" w:rsidRDefault="00161719">
      <w:pPr>
        <w:pStyle w:val="FootnoteText"/>
      </w:pPr>
      <w:r>
        <w:rPr>
          <w:rStyle w:val="FootnoteReference"/>
        </w:rPr>
        <w:footnoteRef/>
      </w:r>
      <w:r w:rsidRPr="00DB5E6C">
        <w:t xml:space="preserve"> Ov. Met. 5.509.</w:t>
      </w:r>
    </w:p>
  </w:footnote>
  <w:footnote w:id="31">
    <w:p w14:paraId="239B9743" w14:textId="730613FB" w:rsidR="00E524AE" w:rsidRPr="00124C64" w:rsidRDefault="00FA2035" w:rsidP="00E524AE">
      <w:pPr>
        <w:pStyle w:val="FootnoteText"/>
        <w:rPr>
          <w:lang w:val="nl-NL"/>
        </w:rPr>
      </w:pPr>
      <w:r w:rsidRPr="00E524AE">
        <w:rPr>
          <w:rStyle w:val="FootnoteReference"/>
        </w:rPr>
        <w:footnoteRef/>
      </w:r>
      <w:r w:rsidRPr="00124C64">
        <w:rPr>
          <w:lang w:val="nl-NL"/>
        </w:rPr>
        <w:t xml:space="preserve"> </w:t>
      </w:r>
      <w:proofErr w:type="spellStart"/>
      <w:r w:rsidRPr="00124C64">
        <w:rPr>
          <w:lang w:val="nl-NL"/>
        </w:rPr>
        <w:t>Lively</w:t>
      </w:r>
      <w:proofErr w:type="spellEnd"/>
      <w:r w:rsidR="006409E4" w:rsidRPr="00124C64">
        <w:rPr>
          <w:lang w:val="nl-NL"/>
        </w:rPr>
        <w:t xml:space="preserve">, </w:t>
      </w:r>
      <w:r w:rsidR="00124C64" w:rsidRPr="00124C64">
        <w:rPr>
          <w:lang w:val="nl-NL"/>
        </w:rPr>
        <w:t xml:space="preserve">2010, </w:t>
      </w:r>
      <w:r w:rsidR="006409E4" w:rsidRPr="00124C64">
        <w:rPr>
          <w:lang w:val="nl-NL"/>
        </w:rPr>
        <w:t>p.</w:t>
      </w:r>
      <w:r w:rsidRPr="00124C64">
        <w:rPr>
          <w:lang w:val="nl-NL"/>
        </w:rPr>
        <w:t xml:space="preserve"> 67.</w:t>
      </w:r>
    </w:p>
  </w:footnote>
  <w:footnote w:id="32">
    <w:p w14:paraId="27CF1042" w14:textId="0EE46037" w:rsidR="00E524AE" w:rsidRPr="00161719" w:rsidRDefault="00FA2035" w:rsidP="00E524AE">
      <w:pPr>
        <w:pStyle w:val="FootnoteText"/>
        <w:rPr>
          <w:lang w:val="nl-NL"/>
        </w:rPr>
      </w:pPr>
      <w:r w:rsidRPr="00E524AE">
        <w:rPr>
          <w:rStyle w:val="FootnoteReference"/>
        </w:rPr>
        <w:footnoteRef/>
      </w:r>
      <w:r w:rsidRPr="00161719">
        <w:rPr>
          <w:lang w:val="nl-NL"/>
        </w:rPr>
        <w:t xml:space="preserve"> Ov</w:t>
      </w:r>
      <w:r w:rsidR="00124C64" w:rsidRPr="00161719">
        <w:rPr>
          <w:lang w:val="nl-NL"/>
        </w:rPr>
        <w:t>.</w:t>
      </w:r>
      <w:r w:rsidRPr="00161719">
        <w:rPr>
          <w:lang w:val="nl-NL"/>
        </w:rPr>
        <w:t xml:space="preserve"> M</w:t>
      </w:r>
      <w:r w:rsidR="00124C64" w:rsidRPr="00161719">
        <w:rPr>
          <w:lang w:val="nl-NL"/>
        </w:rPr>
        <w:t>et.</w:t>
      </w:r>
      <w:r w:rsidRPr="00161719">
        <w:rPr>
          <w:lang w:val="nl-NL"/>
        </w:rPr>
        <w:t xml:space="preserve"> 5</w:t>
      </w:r>
      <w:r w:rsidR="00161719" w:rsidRPr="00161719">
        <w:rPr>
          <w:lang w:val="nl-NL"/>
        </w:rPr>
        <w:t>.</w:t>
      </w:r>
      <w:r w:rsidRPr="00161719">
        <w:rPr>
          <w:lang w:val="nl-NL"/>
        </w:rPr>
        <w:t>390-1</w:t>
      </w:r>
      <w:r w:rsidR="00124C64" w:rsidRPr="00161719">
        <w:rPr>
          <w:lang w:val="nl-NL"/>
        </w:rPr>
        <w:t>.</w:t>
      </w:r>
    </w:p>
  </w:footnote>
  <w:footnote w:id="33">
    <w:p w14:paraId="3FF8885D" w14:textId="604F4CA7" w:rsidR="00E524AE" w:rsidRPr="00161719" w:rsidRDefault="00FA2035" w:rsidP="00E524AE">
      <w:pPr>
        <w:spacing w:after="0"/>
        <w:rPr>
          <w:sz w:val="20"/>
          <w:szCs w:val="20"/>
          <w:lang w:val="nl-NL"/>
        </w:rPr>
      </w:pPr>
      <w:r w:rsidRPr="00E524AE">
        <w:rPr>
          <w:rStyle w:val="FootnoteReference"/>
          <w:sz w:val="20"/>
          <w:szCs w:val="20"/>
        </w:rPr>
        <w:footnoteRef/>
      </w:r>
      <w:r w:rsidRPr="00161719">
        <w:rPr>
          <w:sz w:val="20"/>
          <w:szCs w:val="20"/>
          <w:lang w:val="nl-NL"/>
        </w:rPr>
        <w:t xml:space="preserve"> </w:t>
      </w:r>
      <w:r w:rsidR="00124C64" w:rsidRPr="00161719">
        <w:rPr>
          <w:sz w:val="20"/>
          <w:szCs w:val="20"/>
          <w:lang w:val="nl-NL"/>
        </w:rPr>
        <w:t>Ov. Met.</w:t>
      </w:r>
      <w:r w:rsidRPr="00161719">
        <w:rPr>
          <w:sz w:val="20"/>
          <w:szCs w:val="20"/>
          <w:lang w:val="nl-NL"/>
        </w:rPr>
        <w:t xml:space="preserve"> 5</w:t>
      </w:r>
      <w:r w:rsidR="00161719" w:rsidRPr="00161719">
        <w:rPr>
          <w:sz w:val="20"/>
          <w:szCs w:val="20"/>
          <w:lang w:val="nl-NL"/>
        </w:rPr>
        <w:t>.</w:t>
      </w:r>
      <w:r w:rsidRPr="00161719">
        <w:rPr>
          <w:sz w:val="20"/>
          <w:szCs w:val="20"/>
          <w:lang w:val="nl-NL"/>
        </w:rPr>
        <w:t>451</w:t>
      </w:r>
      <w:r w:rsidR="00124C64" w:rsidRPr="00161719">
        <w:rPr>
          <w:sz w:val="20"/>
          <w:szCs w:val="20"/>
          <w:lang w:val="nl-NL"/>
        </w:rPr>
        <w:t>.</w:t>
      </w:r>
    </w:p>
  </w:footnote>
  <w:footnote w:id="34">
    <w:p w14:paraId="51E3ED2F" w14:textId="2C685CF1" w:rsidR="00E524AE" w:rsidRPr="00DB5E6C" w:rsidRDefault="00FA2035" w:rsidP="00E524AE">
      <w:pPr>
        <w:pStyle w:val="FootnoteText"/>
      </w:pPr>
      <w:r w:rsidRPr="00E524AE">
        <w:rPr>
          <w:rStyle w:val="FootnoteReference"/>
        </w:rPr>
        <w:footnoteRef/>
      </w:r>
      <w:r w:rsidRPr="00DB5E6C">
        <w:t xml:space="preserve"> </w:t>
      </w:r>
      <w:r w:rsidR="00204402" w:rsidRPr="00DB5E6C">
        <w:t>Atsma, 2000-17.</w:t>
      </w:r>
    </w:p>
  </w:footnote>
  <w:footnote w:id="35">
    <w:p w14:paraId="66AE23BE" w14:textId="04BAFC9F" w:rsidR="00E524AE" w:rsidRPr="00E524AE" w:rsidRDefault="00FA2035" w:rsidP="00E524AE">
      <w:pPr>
        <w:pStyle w:val="FootnoteText"/>
      </w:pPr>
      <w:r w:rsidRPr="00E524AE">
        <w:rPr>
          <w:rStyle w:val="FootnoteReference"/>
        </w:rPr>
        <w:footnoteRef/>
      </w:r>
      <w:r w:rsidRPr="00E524AE">
        <w:t xml:space="preserve"> Hinds, </w:t>
      </w:r>
      <w:r w:rsidR="00124C64">
        <w:t xml:space="preserve">1987, </w:t>
      </w:r>
      <w:r w:rsidRPr="00E524AE">
        <w:t>p. 82.</w:t>
      </w:r>
    </w:p>
  </w:footnote>
  <w:footnote w:id="36">
    <w:p w14:paraId="300276CF" w14:textId="777246C0" w:rsidR="00E524AE" w:rsidRPr="00E524AE" w:rsidRDefault="00FA2035" w:rsidP="00E524AE">
      <w:pPr>
        <w:pStyle w:val="FootnoteText"/>
      </w:pPr>
      <w:r w:rsidRPr="007B5D49">
        <w:rPr>
          <w:rStyle w:val="FootnoteReference"/>
        </w:rPr>
        <w:footnoteRef/>
      </w:r>
      <w:r w:rsidRPr="007B5D49">
        <w:t xml:space="preserve"> Richardson</w:t>
      </w:r>
      <w:r w:rsidR="006409E4" w:rsidRPr="007B5D49">
        <w:t xml:space="preserve">, </w:t>
      </w:r>
      <w:r w:rsidRPr="007B5D49">
        <w:t xml:space="preserve"> </w:t>
      </w:r>
      <w:r w:rsidR="007B5D49" w:rsidRPr="007B5D49">
        <w:t xml:space="preserve">1974, </w:t>
      </w:r>
      <w:r w:rsidRPr="007B5D49">
        <w:t>p</w:t>
      </w:r>
      <w:r w:rsidR="006409E4" w:rsidRPr="007B5D49">
        <w:t xml:space="preserve">. </w:t>
      </w:r>
      <w:r w:rsidRPr="007B5D49">
        <w:t>52.</w:t>
      </w:r>
    </w:p>
  </w:footnote>
  <w:footnote w:id="37">
    <w:p w14:paraId="7EE5136C" w14:textId="17DA10CE" w:rsidR="00E524AE" w:rsidRPr="00E524AE" w:rsidRDefault="00FA2035" w:rsidP="00E524AE">
      <w:pPr>
        <w:pStyle w:val="FootnoteText"/>
      </w:pPr>
      <w:r w:rsidRPr="00E524AE">
        <w:rPr>
          <w:rStyle w:val="FootnoteReference"/>
        </w:rPr>
        <w:footnoteRef/>
      </w:r>
      <w:r w:rsidRPr="00E524AE">
        <w:t xml:space="preserve"> Hinds</w:t>
      </w:r>
      <w:r w:rsidR="00124C64">
        <w:t>, 1987, p.</w:t>
      </w:r>
      <w:r w:rsidRPr="00E524AE">
        <w:t xml:space="preserve"> 53</w:t>
      </w:r>
      <w:r w:rsidR="00124C64">
        <w:t>.</w:t>
      </w:r>
    </w:p>
  </w:footnote>
  <w:footnote w:id="38">
    <w:p w14:paraId="1192E133" w14:textId="3F0D5A85" w:rsidR="00E524AE" w:rsidRPr="00124C64" w:rsidRDefault="00FA2035" w:rsidP="00E524AE">
      <w:pPr>
        <w:pStyle w:val="FootnoteText"/>
      </w:pPr>
      <w:r w:rsidRPr="00E524AE">
        <w:rPr>
          <w:rStyle w:val="FootnoteReference"/>
        </w:rPr>
        <w:footnoteRef/>
      </w:r>
      <w:r w:rsidRPr="00124C64">
        <w:t xml:space="preserve"> Hinds</w:t>
      </w:r>
      <w:r w:rsidR="00124C64">
        <w:t>, 1987, p.</w:t>
      </w:r>
      <w:r w:rsidRPr="00124C64">
        <w:t xml:space="preserve"> 54</w:t>
      </w:r>
      <w:r w:rsidR="00124C64">
        <w:t>.</w:t>
      </w:r>
    </w:p>
  </w:footnote>
  <w:footnote w:id="39">
    <w:p w14:paraId="35F1EBF8" w14:textId="6BCE9148" w:rsidR="00E524AE" w:rsidRPr="00124C64" w:rsidRDefault="00FA2035" w:rsidP="00E524AE">
      <w:pPr>
        <w:pStyle w:val="FootnoteText"/>
      </w:pPr>
      <w:r w:rsidRPr="00E524AE">
        <w:rPr>
          <w:rStyle w:val="FootnoteReference"/>
        </w:rPr>
        <w:footnoteRef/>
      </w:r>
      <w:r w:rsidRPr="00124C64">
        <w:t xml:space="preserve"> Thomas, 1990, p. 79.</w:t>
      </w:r>
    </w:p>
  </w:footnote>
  <w:footnote w:id="40">
    <w:p w14:paraId="747F6054" w14:textId="63CC9D0F" w:rsidR="00C37EA6" w:rsidRPr="00DB5E6C" w:rsidRDefault="00FA2035">
      <w:pPr>
        <w:pStyle w:val="FootnoteText"/>
        <w:rPr>
          <w:lang w:val="it-IT"/>
        </w:rPr>
      </w:pPr>
      <w:r w:rsidRPr="005027A6">
        <w:rPr>
          <w:rStyle w:val="FootnoteReference"/>
        </w:rPr>
        <w:footnoteRef/>
      </w:r>
      <w:r w:rsidRPr="00DB5E6C">
        <w:rPr>
          <w:lang w:val="it-IT"/>
        </w:rPr>
        <w:t xml:space="preserve"> Barchiesi</w:t>
      </w:r>
      <w:r w:rsidR="005027A6" w:rsidRPr="00DB5E6C">
        <w:rPr>
          <w:lang w:val="it-IT"/>
        </w:rPr>
        <w:t xml:space="preserve">, </w:t>
      </w:r>
      <w:r w:rsidR="009403AD" w:rsidRPr="00DB5E6C">
        <w:rPr>
          <w:lang w:val="it-IT"/>
        </w:rPr>
        <w:t>1999, p.</w:t>
      </w:r>
      <w:r w:rsidRPr="00DB5E6C">
        <w:rPr>
          <w:lang w:val="it-IT"/>
        </w:rPr>
        <w:t xml:space="preserve"> 126.</w:t>
      </w:r>
    </w:p>
  </w:footnote>
  <w:footnote w:id="41">
    <w:p w14:paraId="59DA0C0D" w14:textId="29477B26" w:rsidR="00C37EA6" w:rsidRPr="005027A6" w:rsidRDefault="00FA2035">
      <w:pPr>
        <w:pStyle w:val="FootnoteText"/>
        <w:rPr>
          <w:lang w:val="it-IT"/>
        </w:rPr>
      </w:pPr>
      <w:r w:rsidRPr="005027A6">
        <w:rPr>
          <w:rStyle w:val="FootnoteReference"/>
        </w:rPr>
        <w:footnoteRef/>
      </w:r>
      <w:r w:rsidRPr="005027A6">
        <w:rPr>
          <w:lang w:val="it-IT"/>
        </w:rPr>
        <w:t xml:space="preserve"> Barchiesi</w:t>
      </w:r>
      <w:r w:rsidR="009403AD">
        <w:rPr>
          <w:lang w:val="it-IT"/>
        </w:rPr>
        <w:t>, 1999,</w:t>
      </w:r>
      <w:r w:rsidRPr="005027A6">
        <w:rPr>
          <w:lang w:val="it-IT"/>
        </w:rPr>
        <w:t xml:space="preserve"> p</w:t>
      </w:r>
      <w:r w:rsidR="009403AD">
        <w:rPr>
          <w:lang w:val="it-IT"/>
        </w:rPr>
        <w:t xml:space="preserve">. </w:t>
      </w:r>
      <w:r w:rsidRPr="005027A6">
        <w:rPr>
          <w:lang w:val="it-IT"/>
        </w:rPr>
        <w:t>113</w:t>
      </w:r>
      <w:r w:rsidR="009403AD">
        <w:rPr>
          <w:lang w:val="it-IT"/>
        </w:rPr>
        <w:t>.</w:t>
      </w:r>
    </w:p>
  </w:footnote>
  <w:footnote w:id="42">
    <w:p w14:paraId="300647CD" w14:textId="093EA713" w:rsidR="00C37EA6" w:rsidRPr="009403AD" w:rsidRDefault="00FA2035">
      <w:pPr>
        <w:pStyle w:val="FootnoteText"/>
        <w:rPr>
          <w:lang w:val="it-IT"/>
        </w:rPr>
      </w:pPr>
      <w:r w:rsidRPr="005027A6">
        <w:rPr>
          <w:rStyle w:val="FootnoteReference"/>
        </w:rPr>
        <w:footnoteRef/>
      </w:r>
      <w:r w:rsidRPr="009403AD">
        <w:rPr>
          <w:lang w:val="it-IT"/>
        </w:rPr>
        <w:t xml:space="preserve"> </w:t>
      </w:r>
      <w:r w:rsidR="00EF5A26">
        <w:rPr>
          <w:lang w:val="it-IT"/>
        </w:rPr>
        <w:t xml:space="preserve">Ibid. </w:t>
      </w:r>
      <w:r w:rsidR="009403AD">
        <w:rPr>
          <w:lang w:val="it-IT"/>
        </w:rPr>
        <w:t>p.</w:t>
      </w:r>
      <w:r w:rsidRPr="009403AD">
        <w:rPr>
          <w:lang w:val="it-IT"/>
        </w:rPr>
        <w:t xml:space="preserve"> 126</w:t>
      </w:r>
      <w:r w:rsidR="009403AD">
        <w:rPr>
          <w:lang w:val="it-IT"/>
        </w:rPr>
        <w:t>.</w:t>
      </w:r>
    </w:p>
  </w:footnote>
  <w:footnote w:id="43">
    <w:p w14:paraId="3CE4EEF4" w14:textId="4ED0FF91" w:rsidR="00C37EA6" w:rsidRPr="00DB5E6C" w:rsidRDefault="00FA2035">
      <w:pPr>
        <w:pStyle w:val="FootnoteText"/>
        <w:rPr>
          <w:lang w:val="de-DE"/>
        </w:rPr>
      </w:pPr>
      <w:r w:rsidRPr="005027A6">
        <w:rPr>
          <w:rStyle w:val="FootnoteReference"/>
        </w:rPr>
        <w:footnoteRef/>
      </w:r>
      <w:r w:rsidRPr="00DB5E6C">
        <w:rPr>
          <w:lang w:val="de-DE"/>
        </w:rPr>
        <w:t xml:space="preserve"> Allen</w:t>
      </w:r>
      <w:r w:rsidR="009403AD" w:rsidRPr="00DB5E6C">
        <w:rPr>
          <w:lang w:val="de-DE"/>
        </w:rPr>
        <w:t>, 1922, p.</w:t>
      </w:r>
      <w:r w:rsidRPr="00DB5E6C">
        <w:rPr>
          <w:lang w:val="de-DE"/>
        </w:rPr>
        <w:t xml:space="preserve"> 251</w:t>
      </w:r>
      <w:r w:rsidR="009403AD" w:rsidRPr="00DB5E6C">
        <w:rPr>
          <w:lang w:val="de-DE"/>
        </w:rPr>
        <w:t>.</w:t>
      </w:r>
    </w:p>
  </w:footnote>
  <w:footnote w:id="44">
    <w:p w14:paraId="2C8B8F46" w14:textId="32BCEDA8" w:rsidR="00C37EA6" w:rsidRPr="00DB5E6C" w:rsidRDefault="00161719">
      <w:pPr>
        <w:pStyle w:val="FootnoteText"/>
        <w:rPr>
          <w:lang w:val="de-DE"/>
        </w:rPr>
      </w:pPr>
      <w:r>
        <w:rPr>
          <w:rStyle w:val="FootnoteReference"/>
        </w:rPr>
        <w:footnoteRef/>
      </w:r>
      <w:r w:rsidR="00FA2035" w:rsidRPr="00DB5E6C">
        <w:rPr>
          <w:lang w:val="de-DE"/>
        </w:rPr>
        <w:t xml:space="preserve"> </w:t>
      </w:r>
      <w:r w:rsidR="00124C64" w:rsidRPr="00DB5E6C">
        <w:rPr>
          <w:lang w:val="de-DE"/>
        </w:rPr>
        <w:t xml:space="preserve">Ov. </w:t>
      </w:r>
      <w:r w:rsidR="00FA2035" w:rsidRPr="00DB5E6C">
        <w:rPr>
          <w:lang w:val="de-DE"/>
        </w:rPr>
        <w:t>F</w:t>
      </w:r>
      <w:r w:rsidR="00AC0133" w:rsidRPr="00DB5E6C">
        <w:rPr>
          <w:lang w:val="de-DE"/>
        </w:rPr>
        <w:t>ast</w:t>
      </w:r>
      <w:r w:rsidRPr="00DB5E6C">
        <w:rPr>
          <w:lang w:val="de-DE"/>
        </w:rPr>
        <w:t>.</w:t>
      </w:r>
      <w:r w:rsidR="00FA2035" w:rsidRPr="00DB5E6C">
        <w:rPr>
          <w:lang w:val="de-DE"/>
        </w:rPr>
        <w:t xml:space="preserve"> 4</w:t>
      </w:r>
      <w:r w:rsidRPr="00DB5E6C">
        <w:rPr>
          <w:lang w:val="de-DE"/>
        </w:rPr>
        <w:t>.</w:t>
      </w:r>
      <w:r w:rsidR="00FA2035" w:rsidRPr="00DB5E6C">
        <w:rPr>
          <w:lang w:val="de-DE"/>
        </w:rPr>
        <w:t xml:space="preserve">21-3.  </w:t>
      </w:r>
    </w:p>
  </w:footnote>
  <w:footnote w:id="45">
    <w:p w14:paraId="06D8A043" w14:textId="4C1625C7" w:rsidR="00C37EA6" w:rsidRPr="00DB5E6C" w:rsidRDefault="00FA2035">
      <w:pPr>
        <w:pStyle w:val="FootnoteText"/>
        <w:rPr>
          <w:lang w:val="de-DE"/>
        </w:rPr>
      </w:pPr>
      <w:r w:rsidRPr="005027A6">
        <w:rPr>
          <w:rStyle w:val="FootnoteReference"/>
        </w:rPr>
        <w:footnoteRef/>
      </w:r>
      <w:r w:rsidRPr="00DB5E6C">
        <w:rPr>
          <w:lang w:val="de-DE"/>
        </w:rPr>
        <w:t xml:space="preserve"> Allen</w:t>
      </w:r>
      <w:r w:rsidR="009403AD" w:rsidRPr="00DB5E6C">
        <w:rPr>
          <w:lang w:val="de-DE"/>
        </w:rPr>
        <w:t>, 1922, p.</w:t>
      </w:r>
      <w:r w:rsidRPr="00DB5E6C">
        <w:rPr>
          <w:lang w:val="de-DE"/>
        </w:rPr>
        <w:t xml:space="preserve"> 257.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removePersonalInformation/>
  <w:removeDateAndTime/>
  <w:proofState w:spelling="clean"/>
  <w:defaultTabStop w:val="720"/>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78D1"/>
    <w:rsid w:val="00034E99"/>
    <w:rsid w:val="00057790"/>
    <w:rsid w:val="000E2C33"/>
    <w:rsid w:val="000F04F3"/>
    <w:rsid w:val="000F4E9F"/>
    <w:rsid w:val="00124C64"/>
    <w:rsid w:val="00161719"/>
    <w:rsid w:val="001E4D19"/>
    <w:rsid w:val="00204402"/>
    <w:rsid w:val="00250D88"/>
    <w:rsid w:val="002D78D1"/>
    <w:rsid w:val="00347CE9"/>
    <w:rsid w:val="00354391"/>
    <w:rsid w:val="00372ECE"/>
    <w:rsid w:val="003C4739"/>
    <w:rsid w:val="003E5933"/>
    <w:rsid w:val="004E7C36"/>
    <w:rsid w:val="005027A6"/>
    <w:rsid w:val="005471EA"/>
    <w:rsid w:val="005665EC"/>
    <w:rsid w:val="006409E4"/>
    <w:rsid w:val="006612E9"/>
    <w:rsid w:val="007B5D49"/>
    <w:rsid w:val="007C69B4"/>
    <w:rsid w:val="00851B1C"/>
    <w:rsid w:val="00891346"/>
    <w:rsid w:val="009337E1"/>
    <w:rsid w:val="009403AD"/>
    <w:rsid w:val="00952B4A"/>
    <w:rsid w:val="009D3AD1"/>
    <w:rsid w:val="009F43A3"/>
    <w:rsid w:val="009F4DEF"/>
    <w:rsid w:val="00A52416"/>
    <w:rsid w:val="00AC0133"/>
    <w:rsid w:val="00AC17EF"/>
    <w:rsid w:val="00BC6529"/>
    <w:rsid w:val="00C37EA6"/>
    <w:rsid w:val="00CE4EAF"/>
    <w:rsid w:val="00D160B3"/>
    <w:rsid w:val="00D32E3F"/>
    <w:rsid w:val="00D41E5D"/>
    <w:rsid w:val="00D566EB"/>
    <w:rsid w:val="00DB03A0"/>
    <w:rsid w:val="00DB5E6C"/>
    <w:rsid w:val="00E430FF"/>
    <w:rsid w:val="00E524AE"/>
    <w:rsid w:val="00E83D23"/>
    <w:rsid w:val="00EA4167"/>
    <w:rsid w:val="00EF5A26"/>
    <w:rsid w:val="00EF61FA"/>
    <w:rsid w:val="00FA2035"/>
    <w:rsid w:val="00FB4AAC"/>
    <w:rsid w:val="00FD1A1E"/>
    <w:rsid w:val="00FF37A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743FC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D78D1"/>
  </w:style>
  <w:style w:type="paragraph" w:styleId="Heading1">
    <w:name w:val="heading 1"/>
    <w:basedOn w:val="Normal"/>
    <w:next w:val="Normal"/>
    <w:link w:val="Heading1Char"/>
    <w:uiPriority w:val="9"/>
    <w:qFormat/>
    <w:rsid w:val="00D41E5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5">
    <w:name w:val="heading 5"/>
    <w:basedOn w:val="Normal"/>
    <w:next w:val="Normal"/>
    <w:link w:val="Heading5Char"/>
    <w:uiPriority w:val="9"/>
    <w:semiHidden/>
    <w:unhideWhenUsed/>
    <w:qFormat/>
    <w:rsid w:val="00EA4167"/>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E4D1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E4D19"/>
    <w:rPr>
      <w:sz w:val="20"/>
      <w:szCs w:val="20"/>
    </w:rPr>
  </w:style>
  <w:style w:type="character" w:styleId="FootnoteReference">
    <w:name w:val="footnote reference"/>
    <w:basedOn w:val="DefaultParagraphFont"/>
    <w:uiPriority w:val="99"/>
    <w:semiHidden/>
    <w:unhideWhenUsed/>
    <w:rsid w:val="001E4D19"/>
    <w:rPr>
      <w:vertAlign w:val="superscript"/>
    </w:rPr>
  </w:style>
  <w:style w:type="character" w:styleId="Hyperlink">
    <w:name w:val="Hyperlink"/>
    <w:basedOn w:val="DefaultParagraphFont"/>
    <w:uiPriority w:val="99"/>
    <w:unhideWhenUsed/>
    <w:rsid w:val="00D566EB"/>
    <w:rPr>
      <w:color w:val="0000FF"/>
      <w:u w:val="single"/>
    </w:rPr>
  </w:style>
  <w:style w:type="character" w:customStyle="1" w:styleId="bibliographicauthorname">
    <w:name w:val="bibliographicauthorname"/>
    <w:basedOn w:val="DefaultParagraphFont"/>
    <w:rsid w:val="00D566EB"/>
  </w:style>
  <w:style w:type="character" w:customStyle="1" w:styleId="translators">
    <w:name w:val="translators"/>
    <w:basedOn w:val="DefaultParagraphFont"/>
    <w:rsid w:val="00D566EB"/>
  </w:style>
  <w:style w:type="character" w:customStyle="1" w:styleId="contributorname">
    <w:name w:val="contributorname"/>
    <w:basedOn w:val="DefaultParagraphFont"/>
    <w:rsid w:val="00D566EB"/>
  </w:style>
  <w:style w:type="character" w:customStyle="1" w:styleId="revisors">
    <w:name w:val="revisors"/>
    <w:basedOn w:val="DefaultParagraphFont"/>
    <w:rsid w:val="00D566EB"/>
  </w:style>
  <w:style w:type="character" w:styleId="FollowedHyperlink">
    <w:name w:val="FollowedHyperlink"/>
    <w:basedOn w:val="DefaultParagraphFont"/>
    <w:uiPriority w:val="99"/>
    <w:semiHidden/>
    <w:unhideWhenUsed/>
    <w:rsid w:val="00D566EB"/>
    <w:rPr>
      <w:color w:val="800080" w:themeColor="followedHyperlink"/>
      <w:u w:val="single"/>
    </w:rPr>
  </w:style>
  <w:style w:type="character" w:customStyle="1" w:styleId="UnresolvedMention1">
    <w:name w:val="Unresolved Mention1"/>
    <w:basedOn w:val="DefaultParagraphFont"/>
    <w:uiPriority w:val="99"/>
    <w:semiHidden/>
    <w:unhideWhenUsed/>
    <w:rsid w:val="00FB4AAC"/>
    <w:rPr>
      <w:color w:val="605E5C"/>
      <w:shd w:val="clear" w:color="auto" w:fill="E1DFDD"/>
    </w:rPr>
  </w:style>
  <w:style w:type="character" w:styleId="UnresolvedMention">
    <w:name w:val="Unresolved Mention"/>
    <w:basedOn w:val="DefaultParagraphFont"/>
    <w:uiPriority w:val="99"/>
    <w:rsid w:val="00124C64"/>
    <w:rPr>
      <w:color w:val="605E5C"/>
      <w:shd w:val="clear" w:color="auto" w:fill="E1DFDD"/>
    </w:rPr>
  </w:style>
  <w:style w:type="character" w:customStyle="1" w:styleId="Heading5Char">
    <w:name w:val="Heading 5 Char"/>
    <w:basedOn w:val="DefaultParagraphFont"/>
    <w:link w:val="Heading5"/>
    <w:uiPriority w:val="9"/>
    <w:semiHidden/>
    <w:rsid w:val="00EA4167"/>
    <w:rPr>
      <w:rFonts w:asciiTheme="majorHAnsi" w:eastAsiaTheme="majorEastAsia" w:hAnsiTheme="majorHAnsi" w:cstheme="majorBidi"/>
      <w:color w:val="365F91" w:themeColor="accent1" w:themeShade="BF"/>
    </w:rPr>
  </w:style>
  <w:style w:type="paragraph" w:styleId="Header">
    <w:name w:val="header"/>
    <w:basedOn w:val="Normal"/>
    <w:link w:val="HeaderChar"/>
    <w:uiPriority w:val="99"/>
    <w:unhideWhenUsed/>
    <w:rsid w:val="009D3A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3AD1"/>
  </w:style>
  <w:style w:type="paragraph" w:styleId="Footer">
    <w:name w:val="footer"/>
    <w:basedOn w:val="Normal"/>
    <w:link w:val="FooterChar"/>
    <w:uiPriority w:val="99"/>
    <w:unhideWhenUsed/>
    <w:rsid w:val="009D3A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3AD1"/>
  </w:style>
  <w:style w:type="character" w:customStyle="1" w:styleId="Heading1Char">
    <w:name w:val="Heading 1 Char"/>
    <w:basedOn w:val="DefaultParagraphFont"/>
    <w:link w:val="Heading1"/>
    <w:uiPriority w:val="9"/>
    <w:rsid w:val="00D41E5D"/>
    <w:rPr>
      <w:rFonts w:asciiTheme="majorHAnsi" w:eastAsiaTheme="majorEastAsia" w:hAnsiTheme="majorHAnsi" w:cstheme="majorBidi"/>
      <w:color w:val="365F91" w:themeColor="accent1" w:themeShade="BF"/>
      <w:sz w:val="32"/>
      <w:szCs w:val="32"/>
    </w:rPr>
  </w:style>
  <w:style w:type="character" w:customStyle="1" w:styleId="Title1">
    <w:name w:val="Title1"/>
    <w:basedOn w:val="DefaultParagraphFont"/>
    <w:rsid w:val="00D41E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0179341">
      <w:bodyDiv w:val="1"/>
      <w:marLeft w:val="0"/>
      <w:marRight w:val="0"/>
      <w:marTop w:val="0"/>
      <w:marBottom w:val="0"/>
      <w:divBdr>
        <w:top w:val="none" w:sz="0" w:space="0" w:color="auto"/>
        <w:left w:val="none" w:sz="0" w:space="0" w:color="auto"/>
        <w:bottom w:val="none" w:sz="0" w:space="0" w:color="auto"/>
        <w:right w:val="none" w:sz="0" w:space="0" w:color="auto"/>
      </w:divBdr>
    </w:div>
    <w:div w:id="760876340">
      <w:bodyDiv w:val="1"/>
      <w:marLeft w:val="0"/>
      <w:marRight w:val="0"/>
      <w:marTop w:val="0"/>
      <w:marBottom w:val="0"/>
      <w:divBdr>
        <w:top w:val="none" w:sz="0" w:space="0" w:color="auto"/>
        <w:left w:val="none" w:sz="0" w:space="0" w:color="auto"/>
        <w:bottom w:val="none" w:sz="0" w:space="0" w:color="auto"/>
        <w:right w:val="none" w:sz="0" w:space="0" w:color="auto"/>
      </w:divBdr>
      <w:divsChild>
        <w:div w:id="419715032">
          <w:marLeft w:val="0"/>
          <w:marRight w:val="0"/>
          <w:marTop w:val="0"/>
          <w:marBottom w:val="0"/>
          <w:divBdr>
            <w:top w:val="none" w:sz="0" w:space="0" w:color="auto"/>
            <w:left w:val="none" w:sz="0" w:space="0" w:color="auto"/>
            <w:bottom w:val="none" w:sz="0" w:space="0" w:color="auto"/>
            <w:right w:val="none" w:sz="0" w:space="0" w:color="auto"/>
          </w:divBdr>
          <w:divsChild>
            <w:div w:id="1717387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6224267">
      <w:bodyDiv w:val="1"/>
      <w:marLeft w:val="0"/>
      <w:marRight w:val="0"/>
      <w:marTop w:val="0"/>
      <w:marBottom w:val="0"/>
      <w:divBdr>
        <w:top w:val="none" w:sz="0" w:space="0" w:color="auto"/>
        <w:left w:val="none" w:sz="0" w:space="0" w:color="auto"/>
        <w:bottom w:val="none" w:sz="0" w:space="0" w:color="auto"/>
        <w:right w:val="none" w:sz="0" w:space="0" w:color="auto"/>
      </w:divBdr>
    </w:div>
    <w:div w:id="1168249228">
      <w:bodyDiv w:val="1"/>
      <w:marLeft w:val="0"/>
      <w:marRight w:val="0"/>
      <w:marTop w:val="0"/>
      <w:marBottom w:val="0"/>
      <w:divBdr>
        <w:top w:val="none" w:sz="0" w:space="0" w:color="auto"/>
        <w:left w:val="none" w:sz="0" w:space="0" w:color="auto"/>
        <w:bottom w:val="none" w:sz="0" w:space="0" w:color="auto"/>
        <w:right w:val="none" w:sz="0" w:space="0" w:color="auto"/>
      </w:divBdr>
    </w:div>
    <w:div w:id="1993826478">
      <w:bodyDiv w:val="1"/>
      <w:marLeft w:val="0"/>
      <w:marRight w:val="0"/>
      <w:marTop w:val="0"/>
      <w:marBottom w:val="0"/>
      <w:divBdr>
        <w:top w:val="none" w:sz="0" w:space="0" w:color="auto"/>
        <w:left w:val="none" w:sz="0" w:space="0" w:color="auto"/>
        <w:bottom w:val="none" w:sz="0" w:space="0" w:color="auto"/>
        <w:right w:val="none" w:sz="0" w:space="0" w:color="auto"/>
      </w:divBdr>
      <w:divsChild>
        <w:div w:id="2010793074">
          <w:marLeft w:val="0"/>
          <w:marRight w:val="0"/>
          <w:marTop w:val="0"/>
          <w:marBottom w:val="0"/>
          <w:divBdr>
            <w:top w:val="none" w:sz="0" w:space="0" w:color="auto"/>
            <w:left w:val="none" w:sz="0" w:space="0" w:color="auto"/>
            <w:bottom w:val="none" w:sz="0" w:space="0" w:color="auto"/>
            <w:right w:val="none" w:sz="0" w:space="0" w:color="auto"/>
          </w:divBdr>
          <w:divsChild>
            <w:div w:id="1460562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3091128">
      <w:bodyDiv w:val="1"/>
      <w:marLeft w:val="0"/>
      <w:marRight w:val="0"/>
      <w:marTop w:val="0"/>
      <w:marBottom w:val="0"/>
      <w:divBdr>
        <w:top w:val="none" w:sz="0" w:space="0" w:color="auto"/>
        <w:left w:val="none" w:sz="0" w:space="0" w:color="auto"/>
        <w:bottom w:val="none" w:sz="0" w:space="0" w:color="auto"/>
        <w:right w:val="none" w:sz="0" w:space="0" w:color="auto"/>
      </w:divBdr>
      <w:divsChild>
        <w:div w:id="2091342791">
          <w:marLeft w:val="0"/>
          <w:marRight w:val="0"/>
          <w:marTop w:val="0"/>
          <w:marBottom w:val="0"/>
          <w:divBdr>
            <w:top w:val="none" w:sz="0" w:space="0" w:color="auto"/>
            <w:left w:val="none" w:sz="0" w:space="0" w:color="auto"/>
            <w:bottom w:val="none" w:sz="0" w:space="0" w:color="auto"/>
            <w:right w:val="none" w:sz="0" w:space="0" w:color="auto"/>
          </w:divBdr>
          <w:divsChild>
            <w:div w:id="765268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iscovery.ucl.ac.uk/id/eprint/1367616/" TargetMode="External"/><Relationship Id="rId13" Type="http://schemas.openxmlformats.org/officeDocument/2006/relationships/hyperlink" Target="https://www.perseus.tufts.edu/hopper/text?doc=Perseus%3Atext%3A1999.02.0028%3Abook%3D5%3Acard%3D341" TargetMode="External"/><Relationship Id="rId3" Type="http://schemas.openxmlformats.org/officeDocument/2006/relationships/webSettings" Target="webSettings.xml"/><Relationship Id="rId7" Type="http://schemas.openxmlformats.org/officeDocument/2006/relationships/hyperlink" Target="https://www.perlego.com/book/734914/playing-gods-pdf" TargetMode="External"/><Relationship Id="rId12" Type="http://schemas.openxmlformats.org/officeDocument/2006/relationships/hyperlink" Target="https://www.thelatinlibrary.com/ovid/ovid.met5.shtml"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theoi.com/Khthonios/Persephone.html" TargetMode="External"/><Relationship Id="rId11" Type="http://schemas.openxmlformats.org/officeDocument/2006/relationships/hyperlink" Target="https://www.loebclassics.com/view/ovid-fasti/1931/pb_LCL253.221.xml"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perseus.tufts.edu/hopper/text?doc=Perseus%3Atext%3A2008.01.0547%3Abook%3D4" TargetMode="External"/><Relationship Id="rId4" Type="http://schemas.openxmlformats.org/officeDocument/2006/relationships/footnotes" Target="footnotes.xml"/><Relationship Id="rId9" Type="http://schemas.openxmlformats.org/officeDocument/2006/relationships/hyperlink" Target="https://www.perlego.com/book/3202635/ovids-metamorphoses-and-the-traditions-of-augustan-poetry-pdf" TargetMode="External"/><Relationship Id="rId14" Type="http://schemas.openxmlformats.org/officeDocument/2006/relationships/hyperlink" Target="https://doi.org/10.1086/36718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2106</Words>
  <Characters>13079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2022-10-03T07:46:00Z</dcterms:created>
  <dcterms:modified xsi:type="dcterms:W3CDTF">2022-10-03T08:00:00Z</dcterms:modified>
</cp:coreProperties>
</file>