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1FE311" w14:textId="77777777" w:rsidR="00EE4A06" w:rsidRDefault="00EE4A06" w:rsidP="00EE4A06">
      <w:pPr>
        <w:spacing w:line="259" w:lineRule="auto"/>
        <w:jc w:val="center"/>
        <w:rPr>
          <w:b/>
          <w:i/>
          <w:sz w:val="48"/>
        </w:rPr>
      </w:pPr>
    </w:p>
    <w:p w14:paraId="2256E3B0" w14:textId="77777777" w:rsidR="00EE4A06" w:rsidRDefault="00EE4A06" w:rsidP="00EE4A06">
      <w:pPr>
        <w:spacing w:line="259" w:lineRule="auto"/>
        <w:jc w:val="center"/>
        <w:rPr>
          <w:b/>
          <w:i/>
          <w:sz w:val="48"/>
        </w:rPr>
      </w:pPr>
    </w:p>
    <w:p w14:paraId="7A69889D" w14:textId="77777777" w:rsidR="00EE4A06" w:rsidRDefault="00EE4A06" w:rsidP="00EE4A06">
      <w:pPr>
        <w:spacing w:line="259" w:lineRule="auto"/>
        <w:jc w:val="center"/>
        <w:rPr>
          <w:b/>
          <w:i/>
          <w:sz w:val="48"/>
        </w:rPr>
      </w:pPr>
    </w:p>
    <w:p w14:paraId="3DAAD949" w14:textId="77777777" w:rsidR="00EE4A06" w:rsidRDefault="00EE4A06" w:rsidP="00EE4A06">
      <w:pPr>
        <w:spacing w:line="259" w:lineRule="auto"/>
        <w:jc w:val="center"/>
        <w:rPr>
          <w:b/>
          <w:i/>
          <w:sz w:val="48"/>
        </w:rPr>
      </w:pPr>
    </w:p>
    <w:p w14:paraId="5E5E8EDF" w14:textId="77777777" w:rsidR="00EE4A06" w:rsidRDefault="00EE4A06" w:rsidP="00EE4A06">
      <w:pPr>
        <w:spacing w:line="259" w:lineRule="auto"/>
        <w:jc w:val="center"/>
        <w:rPr>
          <w:b/>
          <w:i/>
          <w:sz w:val="48"/>
        </w:rPr>
      </w:pPr>
    </w:p>
    <w:p w14:paraId="6C9BFA8B" w14:textId="77777777" w:rsidR="00EE4A06" w:rsidRDefault="00EE4A06" w:rsidP="00EE4A06">
      <w:pPr>
        <w:spacing w:line="259" w:lineRule="auto"/>
        <w:jc w:val="center"/>
        <w:rPr>
          <w:b/>
          <w:i/>
          <w:sz w:val="48"/>
        </w:rPr>
      </w:pPr>
    </w:p>
    <w:p w14:paraId="36E7982A" w14:textId="77777777" w:rsidR="00EE4A06" w:rsidRDefault="00EE4A06" w:rsidP="00EE4A06">
      <w:pPr>
        <w:spacing w:line="259" w:lineRule="auto"/>
        <w:jc w:val="center"/>
        <w:rPr>
          <w:b/>
          <w:i/>
          <w:sz w:val="48"/>
        </w:rPr>
      </w:pPr>
    </w:p>
    <w:p w14:paraId="6C326460" w14:textId="77777777" w:rsidR="006F1A66" w:rsidRDefault="00EE4A06" w:rsidP="00EE4A06">
      <w:pPr>
        <w:spacing w:line="259" w:lineRule="auto"/>
        <w:jc w:val="center"/>
        <w:rPr>
          <w:b/>
          <w:i/>
          <w:sz w:val="48"/>
        </w:rPr>
      </w:pPr>
      <w:r w:rsidRPr="00EE4A06">
        <w:rPr>
          <w:b/>
          <w:i/>
          <w:sz w:val="48"/>
        </w:rPr>
        <w:t>Judicial independence</w:t>
      </w:r>
    </w:p>
    <w:p w14:paraId="33D85045" w14:textId="77777777" w:rsidR="006F1A66" w:rsidRDefault="006F1A66" w:rsidP="00EE4A06">
      <w:pPr>
        <w:spacing w:line="259" w:lineRule="auto"/>
        <w:jc w:val="center"/>
        <w:rPr>
          <w:b/>
          <w:i/>
          <w:sz w:val="48"/>
        </w:rPr>
      </w:pPr>
      <w:r>
        <w:rPr>
          <w:b/>
          <w:i/>
          <w:sz w:val="48"/>
        </w:rPr>
        <w:t>Connor Thomas</w:t>
      </w:r>
    </w:p>
    <w:p w14:paraId="2FF34A8D" w14:textId="77777777" w:rsidR="008244DE" w:rsidRDefault="006F1A66" w:rsidP="00EE4A06">
      <w:pPr>
        <w:spacing w:line="259" w:lineRule="auto"/>
        <w:jc w:val="center"/>
        <w:rPr>
          <w:b/>
          <w:i/>
          <w:sz w:val="48"/>
        </w:rPr>
      </w:pPr>
      <w:r>
        <w:rPr>
          <w:b/>
          <w:i/>
          <w:sz w:val="48"/>
        </w:rPr>
        <w:t>2016629</w:t>
      </w:r>
      <w:r w:rsidR="00EE4A06" w:rsidRPr="00EE4A06">
        <w:rPr>
          <w:b/>
          <w:i/>
          <w:sz w:val="48"/>
        </w:rPr>
        <w:t xml:space="preserve"> </w:t>
      </w:r>
    </w:p>
    <w:p w14:paraId="6DC54BDC" w14:textId="34841545" w:rsidR="00EE4A06" w:rsidRPr="00EE4A06" w:rsidRDefault="008244DE" w:rsidP="00EE4A06">
      <w:pPr>
        <w:spacing w:line="259" w:lineRule="auto"/>
        <w:jc w:val="center"/>
        <w:rPr>
          <w:rFonts w:eastAsiaTheme="majorEastAsia" w:cstheme="majorBidi"/>
          <w:b/>
          <w:i/>
          <w:color w:val="000000" w:themeColor="text1"/>
          <w:sz w:val="28"/>
          <w:szCs w:val="32"/>
        </w:rPr>
      </w:pPr>
      <w:r>
        <w:rPr>
          <w:b/>
          <w:i/>
          <w:sz w:val="48"/>
        </w:rPr>
        <w:t>26/11/2020</w:t>
      </w:r>
      <w:r w:rsidR="00EE4A06" w:rsidRPr="00EE4A06">
        <w:rPr>
          <w:b/>
          <w:i/>
        </w:rPr>
        <w:br w:type="page"/>
      </w:r>
    </w:p>
    <w:sdt>
      <w:sdtPr>
        <w:rPr>
          <w:rFonts w:ascii="Times New Roman" w:eastAsiaTheme="minorHAnsi" w:hAnsi="Times New Roman" w:cstheme="minorBidi"/>
          <w:color w:val="auto"/>
          <w:sz w:val="24"/>
          <w:szCs w:val="22"/>
        </w:rPr>
        <w:id w:val="-2144034016"/>
        <w:docPartObj>
          <w:docPartGallery w:val="Table of Contents"/>
          <w:docPartUnique/>
        </w:docPartObj>
      </w:sdtPr>
      <w:sdtEndPr>
        <w:rPr>
          <w:b/>
          <w:bCs/>
          <w:noProof/>
        </w:rPr>
      </w:sdtEndPr>
      <w:sdtContent>
        <w:p w14:paraId="44FC3780" w14:textId="77777777" w:rsidR="00EE4A06" w:rsidRDefault="00EE4A06" w:rsidP="00EE4A06">
          <w:pPr>
            <w:pStyle w:val="TOCHeading"/>
            <w:jc w:val="center"/>
            <w:rPr>
              <w:rStyle w:val="Heading1Char"/>
            </w:rPr>
          </w:pPr>
          <w:r w:rsidRPr="00EE4A06">
            <w:rPr>
              <w:rStyle w:val="Heading1Char"/>
            </w:rPr>
            <w:t>Table of Contents</w:t>
          </w:r>
        </w:p>
        <w:p w14:paraId="1AE9F7A7" w14:textId="77777777" w:rsidR="00EE4A06" w:rsidRPr="00EE4A06" w:rsidRDefault="00EE4A06" w:rsidP="00EE4A06"/>
        <w:p w14:paraId="1CCE8674" w14:textId="77777777" w:rsidR="00EE4A06" w:rsidRDefault="00EE4A06">
          <w:pPr>
            <w:pStyle w:val="TOC1"/>
            <w:tabs>
              <w:tab w:val="right" w:leader="dot" w:pos="9350"/>
            </w:tabs>
            <w:rPr>
              <w:noProof/>
            </w:rPr>
          </w:pPr>
          <w:r>
            <w:fldChar w:fldCharType="begin"/>
          </w:r>
          <w:r>
            <w:instrText xml:space="preserve"> TOC \o "1-3" \h \z \u </w:instrText>
          </w:r>
          <w:r>
            <w:fldChar w:fldCharType="separate"/>
          </w:r>
          <w:hyperlink w:anchor="_Toc56707555" w:history="1">
            <w:r w:rsidRPr="005D3CB9">
              <w:rPr>
                <w:rStyle w:val="Hyperlink"/>
                <w:noProof/>
              </w:rPr>
              <w:t>Introduction</w:t>
            </w:r>
            <w:r>
              <w:rPr>
                <w:noProof/>
                <w:webHidden/>
              </w:rPr>
              <w:tab/>
            </w:r>
            <w:r>
              <w:rPr>
                <w:noProof/>
                <w:webHidden/>
              </w:rPr>
              <w:fldChar w:fldCharType="begin"/>
            </w:r>
            <w:r>
              <w:rPr>
                <w:noProof/>
                <w:webHidden/>
              </w:rPr>
              <w:instrText xml:space="preserve"> PAGEREF _Toc56707555 \h </w:instrText>
            </w:r>
            <w:r>
              <w:rPr>
                <w:noProof/>
                <w:webHidden/>
              </w:rPr>
            </w:r>
            <w:r>
              <w:rPr>
                <w:noProof/>
                <w:webHidden/>
              </w:rPr>
              <w:fldChar w:fldCharType="separate"/>
            </w:r>
            <w:r>
              <w:rPr>
                <w:noProof/>
                <w:webHidden/>
              </w:rPr>
              <w:t>3</w:t>
            </w:r>
            <w:r>
              <w:rPr>
                <w:noProof/>
                <w:webHidden/>
              </w:rPr>
              <w:fldChar w:fldCharType="end"/>
            </w:r>
          </w:hyperlink>
        </w:p>
        <w:p w14:paraId="3A08E03D" w14:textId="77777777" w:rsidR="00EE4A06" w:rsidRDefault="001E49A8">
          <w:pPr>
            <w:pStyle w:val="TOC1"/>
            <w:tabs>
              <w:tab w:val="right" w:leader="dot" w:pos="9350"/>
            </w:tabs>
            <w:rPr>
              <w:noProof/>
            </w:rPr>
          </w:pPr>
          <w:hyperlink w:anchor="_Toc56707556" w:history="1">
            <w:r w:rsidR="00EE4A06" w:rsidRPr="005D3CB9">
              <w:rPr>
                <w:rStyle w:val="Hyperlink"/>
                <w:noProof/>
              </w:rPr>
              <w:t>Importance of judicial independence</w:t>
            </w:r>
            <w:r w:rsidR="00EE4A06">
              <w:rPr>
                <w:noProof/>
                <w:webHidden/>
              </w:rPr>
              <w:tab/>
            </w:r>
            <w:r w:rsidR="00EE4A06">
              <w:rPr>
                <w:noProof/>
                <w:webHidden/>
              </w:rPr>
              <w:fldChar w:fldCharType="begin"/>
            </w:r>
            <w:r w:rsidR="00EE4A06">
              <w:rPr>
                <w:noProof/>
                <w:webHidden/>
              </w:rPr>
              <w:instrText xml:space="preserve"> PAGEREF _Toc56707556 \h </w:instrText>
            </w:r>
            <w:r w:rsidR="00EE4A06">
              <w:rPr>
                <w:noProof/>
                <w:webHidden/>
              </w:rPr>
            </w:r>
            <w:r w:rsidR="00EE4A06">
              <w:rPr>
                <w:noProof/>
                <w:webHidden/>
              </w:rPr>
              <w:fldChar w:fldCharType="separate"/>
            </w:r>
            <w:r w:rsidR="00EE4A06">
              <w:rPr>
                <w:noProof/>
                <w:webHidden/>
              </w:rPr>
              <w:t>3</w:t>
            </w:r>
            <w:r w:rsidR="00EE4A06">
              <w:rPr>
                <w:noProof/>
                <w:webHidden/>
              </w:rPr>
              <w:fldChar w:fldCharType="end"/>
            </w:r>
          </w:hyperlink>
        </w:p>
        <w:p w14:paraId="018F64AC" w14:textId="77777777" w:rsidR="00EE4A06" w:rsidRDefault="001E49A8">
          <w:pPr>
            <w:pStyle w:val="TOC1"/>
            <w:tabs>
              <w:tab w:val="right" w:leader="dot" w:pos="9350"/>
            </w:tabs>
            <w:rPr>
              <w:noProof/>
            </w:rPr>
          </w:pPr>
          <w:hyperlink w:anchor="_Toc56707557" w:history="1">
            <w:r w:rsidR="00EE4A06" w:rsidRPr="005D3CB9">
              <w:rPr>
                <w:rStyle w:val="Hyperlink"/>
                <w:noProof/>
              </w:rPr>
              <w:t>Development of the concept and separation of powers</w:t>
            </w:r>
            <w:r w:rsidR="00EE4A06">
              <w:rPr>
                <w:noProof/>
                <w:webHidden/>
              </w:rPr>
              <w:tab/>
            </w:r>
            <w:r w:rsidR="00EE4A06">
              <w:rPr>
                <w:noProof/>
                <w:webHidden/>
              </w:rPr>
              <w:fldChar w:fldCharType="begin"/>
            </w:r>
            <w:r w:rsidR="00EE4A06">
              <w:rPr>
                <w:noProof/>
                <w:webHidden/>
              </w:rPr>
              <w:instrText xml:space="preserve"> PAGEREF _Toc56707557 \h </w:instrText>
            </w:r>
            <w:r w:rsidR="00EE4A06">
              <w:rPr>
                <w:noProof/>
                <w:webHidden/>
              </w:rPr>
            </w:r>
            <w:r w:rsidR="00EE4A06">
              <w:rPr>
                <w:noProof/>
                <w:webHidden/>
              </w:rPr>
              <w:fldChar w:fldCharType="separate"/>
            </w:r>
            <w:r w:rsidR="00EE4A06">
              <w:rPr>
                <w:noProof/>
                <w:webHidden/>
              </w:rPr>
              <w:t>4</w:t>
            </w:r>
            <w:r w:rsidR="00EE4A06">
              <w:rPr>
                <w:noProof/>
                <w:webHidden/>
              </w:rPr>
              <w:fldChar w:fldCharType="end"/>
            </w:r>
          </w:hyperlink>
        </w:p>
        <w:p w14:paraId="7515CC29" w14:textId="77777777" w:rsidR="00EE4A06" w:rsidRDefault="001E49A8">
          <w:pPr>
            <w:pStyle w:val="TOC1"/>
            <w:tabs>
              <w:tab w:val="right" w:leader="dot" w:pos="9350"/>
            </w:tabs>
            <w:rPr>
              <w:noProof/>
            </w:rPr>
          </w:pPr>
          <w:hyperlink w:anchor="_Toc56707558" w:history="1">
            <w:r w:rsidR="00EE4A06" w:rsidRPr="005D3CB9">
              <w:rPr>
                <w:rStyle w:val="Hyperlink"/>
                <w:noProof/>
              </w:rPr>
              <w:t>Separation between Judiciary and executive</w:t>
            </w:r>
            <w:r w:rsidR="00EE4A06">
              <w:rPr>
                <w:noProof/>
                <w:webHidden/>
              </w:rPr>
              <w:tab/>
            </w:r>
            <w:r w:rsidR="00EE4A06">
              <w:rPr>
                <w:noProof/>
                <w:webHidden/>
              </w:rPr>
              <w:fldChar w:fldCharType="begin"/>
            </w:r>
            <w:r w:rsidR="00EE4A06">
              <w:rPr>
                <w:noProof/>
                <w:webHidden/>
              </w:rPr>
              <w:instrText xml:space="preserve"> PAGEREF _Toc56707558 \h </w:instrText>
            </w:r>
            <w:r w:rsidR="00EE4A06">
              <w:rPr>
                <w:noProof/>
                <w:webHidden/>
              </w:rPr>
            </w:r>
            <w:r w:rsidR="00EE4A06">
              <w:rPr>
                <w:noProof/>
                <w:webHidden/>
              </w:rPr>
              <w:fldChar w:fldCharType="separate"/>
            </w:r>
            <w:r w:rsidR="00EE4A06">
              <w:rPr>
                <w:noProof/>
                <w:webHidden/>
              </w:rPr>
              <w:t>6</w:t>
            </w:r>
            <w:r w:rsidR="00EE4A06">
              <w:rPr>
                <w:noProof/>
                <w:webHidden/>
              </w:rPr>
              <w:fldChar w:fldCharType="end"/>
            </w:r>
          </w:hyperlink>
        </w:p>
        <w:p w14:paraId="60462B24" w14:textId="77777777" w:rsidR="00EE4A06" w:rsidRDefault="001E49A8">
          <w:pPr>
            <w:pStyle w:val="TOC1"/>
            <w:tabs>
              <w:tab w:val="right" w:leader="dot" w:pos="9350"/>
            </w:tabs>
            <w:rPr>
              <w:noProof/>
            </w:rPr>
          </w:pPr>
          <w:hyperlink w:anchor="_Toc56707559" w:history="1">
            <w:r w:rsidR="00EE4A06" w:rsidRPr="005D3CB9">
              <w:rPr>
                <w:rStyle w:val="Hyperlink"/>
                <w:noProof/>
              </w:rPr>
              <w:t>The separation of Judiciary and Legislature</w:t>
            </w:r>
            <w:r w:rsidR="00EE4A06">
              <w:rPr>
                <w:noProof/>
                <w:webHidden/>
              </w:rPr>
              <w:tab/>
            </w:r>
            <w:r w:rsidR="00EE4A06">
              <w:rPr>
                <w:noProof/>
                <w:webHidden/>
              </w:rPr>
              <w:fldChar w:fldCharType="begin"/>
            </w:r>
            <w:r w:rsidR="00EE4A06">
              <w:rPr>
                <w:noProof/>
                <w:webHidden/>
              </w:rPr>
              <w:instrText xml:space="preserve"> PAGEREF _Toc56707559 \h </w:instrText>
            </w:r>
            <w:r w:rsidR="00EE4A06">
              <w:rPr>
                <w:noProof/>
                <w:webHidden/>
              </w:rPr>
            </w:r>
            <w:r w:rsidR="00EE4A06">
              <w:rPr>
                <w:noProof/>
                <w:webHidden/>
              </w:rPr>
              <w:fldChar w:fldCharType="separate"/>
            </w:r>
            <w:r w:rsidR="00EE4A06">
              <w:rPr>
                <w:noProof/>
                <w:webHidden/>
              </w:rPr>
              <w:t>7</w:t>
            </w:r>
            <w:r w:rsidR="00EE4A06">
              <w:rPr>
                <w:noProof/>
                <w:webHidden/>
              </w:rPr>
              <w:fldChar w:fldCharType="end"/>
            </w:r>
          </w:hyperlink>
        </w:p>
        <w:p w14:paraId="7EF1FF2F" w14:textId="77777777" w:rsidR="00EE4A06" w:rsidRDefault="001E49A8">
          <w:pPr>
            <w:pStyle w:val="TOC1"/>
            <w:tabs>
              <w:tab w:val="right" w:leader="dot" w:pos="9350"/>
            </w:tabs>
            <w:rPr>
              <w:noProof/>
            </w:rPr>
          </w:pPr>
          <w:hyperlink w:anchor="_Toc56707560" w:history="1">
            <w:r w:rsidR="00EE4A06" w:rsidRPr="005D3CB9">
              <w:rPr>
                <w:rStyle w:val="Hyperlink"/>
                <w:noProof/>
              </w:rPr>
              <w:t>Conclusion</w:t>
            </w:r>
            <w:r w:rsidR="00EE4A06">
              <w:rPr>
                <w:noProof/>
                <w:webHidden/>
              </w:rPr>
              <w:tab/>
            </w:r>
            <w:r w:rsidR="00EE4A06">
              <w:rPr>
                <w:noProof/>
                <w:webHidden/>
              </w:rPr>
              <w:fldChar w:fldCharType="begin"/>
            </w:r>
            <w:r w:rsidR="00EE4A06">
              <w:rPr>
                <w:noProof/>
                <w:webHidden/>
              </w:rPr>
              <w:instrText xml:space="preserve"> PAGEREF _Toc56707560 \h </w:instrText>
            </w:r>
            <w:r w:rsidR="00EE4A06">
              <w:rPr>
                <w:noProof/>
                <w:webHidden/>
              </w:rPr>
            </w:r>
            <w:r w:rsidR="00EE4A06">
              <w:rPr>
                <w:noProof/>
                <w:webHidden/>
              </w:rPr>
              <w:fldChar w:fldCharType="separate"/>
            </w:r>
            <w:r w:rsidR="00EE4A06">
              <w:rPr>
                <w:noProof/>
                <w:webHidden/>
              </w:rPr>
              <w:t>9</w:t>
            </w:r>
            <w:r w:rsidR="00EE4A06">
              <w:rPr>
                <w:noProof/>
                <w:webHidden/>
              </w:rPr>
              <w:fldChar w:fldCharType="end"/>
            </w:r>
          </w:hyperlink>
        </w:p>
        <w:p w14:paraId="24D798A0" w14:textId="77777777" w:rsidR="00EE4A06" w:rsidRDefault="001E49A8">
          <w:pPr>
            <w:pStyle w:val="TOC1"/>
            <w:tabs>
              <w:tab w:val="right" w:leader="dot" w:pos="9350"/>
            </w:tabs>
            <w:rPr>
              <w:noProof/>
            </w:rPr>
          </w:pPr>
          <w:hyperlink w:anchor="_Toc56707561" w:history="1">
            <w:r w:rsidR="00EE4A06" w:rsidRPr="005D3CB9">
              <w:rPr>
                <w:rStyle w:val="Hyperlink"/>
                <w:noProof/>
              </w:rPr>
              <w:t>References</w:t>
            </w:r>
            <w:r w:rsidR="00EE4A06">
              <w:rPr>
                <w:noProof/>
                <w:webHidden/>
              </w:rPr>
              <w:tab/>
            </w:r>
            <w:r w:rsidR="00EE4A06">
              <w:rPr>
                <w:noProof/>
                <w:webHidden/>
              </w:rPr>
              <w:fldChar w:fldCharType="begin"/>
            </w:r>
            <w:r w:rsidR="00EE4A06">
              <w:rPr>
                <w:noProof/>
                <w:webHidden/>
              </w:rPr>
              <w:instrText xml:space="preserve"> PAGEREF _Toc56707561 \h </w:instrText>
            </w:r>
            <w:r w:rsidR="00EE4A06">
              <w:rPr>
                <w:noProof/>
                <w:webHidden/>
              </w:rPr>
            </w:r>
            <w:r w:rsidR="00EE4A06">
              <w:rPr>
                <w:noProof/>
                <w:webHidden/>
              </w:rPr>
              <w:fldChar w:fldCharType="separate"/>
            </w:r>
            <w:r w:rsidR="00EE4A06">
              <w:rPr>
                <w:noProof/>
                <w:webHidden/>
              </w:rPr>
              <w:t>10</w:t>
            </w:r>
            <w:r w:rsidR="00EE4A06">
              <w:rPr>
                <w:noProof/>
                <w:webHidden/>
              </w:rPr>
              <w:fldChar w:fldCharType="end"/>
            </w:r>
          </w:hyperlink>
        </w:p>
        <w:p w14:paraId="7E06F0FD" w14:textId="77777777" w:rsidR="00EE4A06" w:rsidRDefault="00EE4A06">
          <w:r>
            <w:rPr>
              <w:b/>
              <w:bCs/>
              <w:noProof/>
            </w:rPr>
            <w:fldChar w:fldCharType="end"/>
          </w:r>
        </w:p>
      </w:sdtContent>
    </w:sdt>
    <w:p w14:paraId="6B5802F5" w14:textId="77777777" w:rsidR="00EE4A06" w:rsidRDefault="00EE4A06">
      <w:pPr>
        <w:spacing w:line="259" w:lineRule="auto"/>
        <w:jc w:val="left"/>
        <w:rPr>
          <w:rFonts w:eastAsiaTheme="majorEastAsia" w:cstheme="majorBidi"/>
          <w:b/>
          <w:color w:val="000000" w:themeColor="text1"/>
          <w:sz w:val="28"/>
          <w:szCs w:val="32"/>
        </w:rPr>
      </w:pPr>
      <w:r>
        <w:br w:type="page"/>
      </w:r>
    </w:p>
    <w:p w14:paraId="2A766452" w14:textId="77777777" w:rsidR="00C9377E" w:rsidRDefault="00937432" w:rsidP="00DA7504">
      <w:pPr>
        <w:pStyle w:val="Heading1"/>
      </w:pPr>
      <w:bookmarkStart w:id="0" w:name="_Toc56707555"/>
      <w:r>
        <w:lastRenderedPageBreak/>
        <w:t>Introduction</w:t>
      </w:r>
      <w:bookmarkEnd w:id="0"/>
    </w:p>
    <w:p w14:paraId="1AF3663F" w14:textId="77777777" w:rsidR="00937432" w:rsidRDefault="00937432">
      <w:r>
        <w:t xml:space="preserve">The concept of Judicial Independence is referred to the fact that the judiciary should be independent from the other governmental branches. This means that the courts must not be subjected to the influence which is improper from the other governmental branches or from the interests of the partisan or private interests. The Judicial independence is significant to the concept of separation of powers. </w:t>
      </w:r>
      <w:proofErr w:type="gramStart"/>
      <w:r>
        <w:t>A number of</w:t>
      </w:r>
      <w:proofErr w:type="gramEnd"/>
      <w:r>
        <w:t xml:space="preserve"> countries have to deal with the idea of the independence of Judiciary through a number of means of the selection of the judicial or choosing the judges of the country. A way for the promotion of independence of the judiciary is through granting the life tenure and the tenures of long-term for the judges which frees them ideally for the deciding the cases and creation of the rulings in accordance with the rule of law and </w:t>
      </w:r>
      <w:r w:rsidR="00C63E28">
        <w:t xml:space="preserve">the discretion of the judiciary, even if such decisions are unpopular </w:t>
      </w:r>
      <w:r w:rsidR="002073C0">
        <w:t>in the context of politics or are opposed by the interests which are powerful. This concept could be tracked back to England in the 18</w:t>
      </w:r>
      <w:r w:rsidR="002073C0" w:rsidRPr="002073C0">
        <w:rPr>
          <w:vertAlign w:val="superscript"/>
        </w:rPr>
        <w:t>th</w:t>
      </w:r>
      <w:r w:rsidR="002073C0">
        <w:t xml:space="preserve"> century. In some of the countries, the capability of the judiciary for checking the legislature gets boosted by the power of the review of judiciary. This power could be used for instance by mandating particular action when it is perceived by the judiciary that a governmental branch has refused for performing a duty of the constitution or by declaring the laws which are passed by the unconstitutional legislature. </w:t>
      </w:r>
    </w:p>
    <w:p w14:paraId="06A64B2B" w14:textId="77777777" w:rsidR="002073C0" w:rsidRDefault="002073C0" w:rsidP="00DA7504">
      <w:pPr>
        <w:pStyle w:val="Heading1"/>
      </w:pPr>
      <w:bookmarkStart w:id="1" w:name="_Toc56707556"/>
      <w:r>
        <w:t>Importance of judicial independence</w:t>
      </w:r>
      <w:bookmarkEnd w:id="1"/>
      <w:r>
        <w:t xml:space="preserve"> </w:t>
      </w:r>
    </w:p>
    <w:p w14:paraId="349E60A7" w14:textId="77777777" w:rsidR="002073C0" w:rsidRDefault="002073C0">
      <w:r>
        <w:t>The judicial independence has been serving as a safeguard for the privileges and rights which are provided through the constitution which is limited and prevents the legislative and executive encroachment upon such rights</w:t>
      </w:r>
      <w:r w:rsidR="00DA7504" w:rsidRPr="00DA7504">
        <w:t xml:space="preserve"> </w:t>
      </w:r>
      <w:r w:rsidR="00DA7504">
        <w:t>(Murthy, and Syamala)</w:t>
      </w:r>
      <w:r>
        <w:t xml:space="preserve">. It has been serving as the foundation for the democracy and rule of law. </w:t>
      </w:r>
      <w:r w:rsidR="00F676F6">
        <w:t xml:space="preserve">It is meant by the rule of law that </w:t>
      </w:r>
      <w:proofErr w:type="gramStart"/>
      <w:r w:rsidR="00F676F6">
        <w:t>all of</w:t>
      </w:r>
      <w:proofErr w:type="gramEnd"/>
      <w:r w:rsidR="00F676F6">
        <w:t xml:space="preserve"> the power and authority should come from the ultimate law source. Under the system of independent judiciary, the officers </w:t>
      </w:r>
      <w:r w:rsidR="00F676F6">
        <w:lastRenderedPageBreak/>
        <w:t xml:space="preserve">of the courts and the courts themselves are free from the intervention which is inappropriate in the affairs of judiciary. With </w:t>
      </w:r>
      <w:r w:rsidR="00E35037">
        <w:t xml:space="preserve">such independence, the judiciary could safeguard the rights of the people and the freedoms which ensure that the equal protection is provided to all. </w:t>
      </w:r>
    </w:p>
    <w:p w14:paraId="3AEEAAB4" w14:textId="51746EFC" w:rsidR="00E35037" w:rsidRDefault="00E35037">
      <w:r>
        <w:t>The law effectiveness and the respect which is associated with the people that they have the government and law and which enacts it is dependent upon the independence of the judiciary to me</w:t>
      </w:r>
      <w:r w:rsidR="009809F5">
        <w:t>te</w:t>
      </w:r>
      <w:r>
        <w:t xml:space="preserve"> out the decisions which are fair</w:t>
      </w:r>
      <w:r w:rsidR="00DA7504">
        <w:t xml:space="preserve"> (Murthy, and Syamala)</w:t>
      </w:r>
      <w:r>
        <w:t xml:space="preserve">. Additionally it is considered as the pillar of the growth of the economy as the businesses of the multinational and the investors are found to have the confidence for investing in the nation’s economy who has a stable and strong judiciary which is independent of any interference. The role of the judiciary is deciding the validity of the parliamentary of the presidential elections </w:t>
      </w:r>
      <w:r w:rsidR="00EC1A01">
        <w:t xml:space="preserve">has also stressed upon the independence of the judiciary. </w:t>
      </w:r>
    </w:p>
    <w:p w14:paraId="71179288" w14:textId="77777777" w:rsidR="00EC1A01" w:rsidRDefault="00EC1A01" w:rsidP="00DA7504">
      <w:pPr>
        <w:pStyle w:val="Heading1"/>
      </w:pPr>
      <w:bookmarkStart w:id="2" w:name="_Toc56707557"/>
      <w:r>
        <w:t>Development of the concept and separation of powers</w:t>
      </w:r>
      <w:bookmarkEnd w:id="2"/>
      <w:r>
        <w:t xml:space="preserve"> </w:t>
      </w:r>
    </w:p>
    <w:p w14:paraId="305D4EC3" w14:textId="77777777" w:rsidR="00EC1A01" w:rsidRDefault="00EC1A01">
      <w:r>
        <w:t>The development of the independence of the judiciary has been argued for involving the cycle of the national law which has an impact in the international laws which ultimately impacts the national law</w:t>
      </w:r>
      <w:r w:rsidR="00DA7504" w:rsidRPr="00DA7504">
        <w:t xml:space="preserve"> </w:t>
      </w:r>
      <w:r w:rsidR="00DA7504">
        <w:t>(</w:t>
      </w:r>
      <w:r w:rsidR="00DA7504" w:rsidRPr="00DA7504">
        <w:t>Kahn</w:t>
      </w:r>
      <w:r w:rsidR="00DA7504">
        <w:t xml:space="preserve">, </w:t>
      </w:r>
      <w:r w:rsidR="00DA7504" w:rsidRPr="00DA7504">
        <w:t>2019</w:t>
      </w:r>
      <w:r w:rsidR="00DA7504">
        <w:t>)</w:t>
      </w:r>
      <w:r>
        <w:t>. This is found to be occurring in three phases: the first phase is referred to the domestic development of the concept for the independence of the judiciary, the second through the spread of the concepts in the international boundaries and the implementation of these laws in the international boundaries and the third is the implementation of the laws in the nationa</w:t>
      </w:r>
      <w:r w:rsidR="00713C15">
        <w:t xml:space="preserve">l boundaries for the newly formulated principles for independence of the judiciary. </w:t>
      </w:r>
    </w:p>
    <w:p w14:paraId="06A3634A" w14:textId="77777777" w:rsidR="00713C15" w:rsidRDefault="00713C15">
      <w:r>
        <w:t xml:space="preserve">A notable illustration of this cycle has been found in the United Kingdom. Such phase had occurred in England with the real conception of the independence of the judiciary in the Act of Settlement 1701. The second phase has been found evident when the concepts of England related to the </w:t>
      </w:r>
      <w:r>
        <w:lastRenderedPageBreak/>
        <w:t xml:space="preserve">independence of judiciary spread in the international boundaries and had been adopted in the domestic laws of the other countries for example England was serving for the separation of  power of the doctrine of Montesquieu </w:t>
      </w:r>
      <w:r w:rsidR="00C26759">
        <w:t>and the founding fathers of the constitution of US who used England as their dominant model for in the formulation of the Article III constitution which is considered as the foundation of the judicial independence in England</w:t>
      </w:r>
      <w:r w:rsidR="00DA7504">
        <w:t xml:space="preserve"> (</w:t>
      </w:r>
      <w:r w:rsidR="00DA7504" w:rsidRPr="00DA7504">
        <w:t>Kahn</w:t>
      </w:r>
      <w:r w:rsidR="00DA7504">
        <w:t xml:space="preserve">, </w:t>
      </w:r>
      <w:r w:rsidR="00DA7504" w:rsidRPr="00DA7504">
        <w:t>2019</w:t>
      </w:r>
      <w:r w:rsidR="00DA7504">
        <w:t>)</w:t>
      </w:r>
      <w:r w:rsidR="00C26759">
        <w:t xml:space="preserve">. The other of the common </w:t>
      </w:r>
      <w:proofErr w:type="gramStart"/>
      <w:r w:rsidR="00C26759">
        <w:t>laws</w:t>
      </w:r>
      <w:proofErr w:type="gramEnd"/>
      <w:r w:rsidR="00C26759">
        <w:t xml:space="preserve"> countries for instance Australia, Canada and India has also adopted the judicial independence model of the Great Britain. </w:t>
      </w:r>
    </w:p>
    <w:p w14:paraId="4524B632" w14:textId="77777777" w:rsidR="00C26759" w:rsidRDefault="00C26759">
      <w:r>
        <w:t xml:space="preserve">In the recent decades, the third phase which is found in the judicial independence were found to be prominent in the United Kingdom as it has been influenced significantly by the principles of judicial independence </w:t>
      </w:r>
      <w:r w:rsidR="00C241C2">
        <w:t>which are developed by the documents of international human rights constitution</w:t>
      </w:r>
      <w:r w:rsidR="00DA7504">
        <w:t xml:space="preserve"> (Murthy, and Syamala)</w:t>
      </w:r>
      <w:r w:rsidR="00C241C2">
        <w:t xml:space="preserve">. There was a significant impact which was by the European Court of Human Rights (ECtHR) has made on the </w:t>
      </w:r>
      <w:r w:rsidR="00D54597">
        <w:t xml:space="preserve">conceptual analysis of the judicial independence in Scotland and England. The process started in the 1990s with the ECtHR who heard the cases of UK more specifically in the application of the “European Convention on Human Rights” within the laws of the Great Britain through the “Human Rights Act 1998” which came into force in the United Kingdom in 2000. </w:t>
      </w:r>
    </w:p>
    <w:p w14:paraId="2C6E6B5D" w14:textId="77777777" w:rsidR="00D54597" w:rsidRDefault="00EE6AAE">
      <w:r>
        <w:t xml:space="preserve">The concept of the separation of powers could be applied to United Kingdom and the executive, legislative and judicial functions. In the previous times, there had been found </w:t>
      </w:r>
      <w:r w:rsidR="00894E25">
        <w:t xml:space="preserve">of the legislature and the executive with a prime minister who was powerful drawn from the biggest party in the parliament and specifically with a majority which was safe, led towards the theorists for contending that the separation of powers </w:t>
      </w:r>
      <w:r w:rsidR="00E557FE">
        <w:t>is not found applicable to the United Kingdom. But in the recent years, it has been found that the separation of powers has been adopted as the necessary part of the constitution of United Kingdom.</w:t>
      </w:r>
    </w:p>
    <w:p w14:paraId="2319A867" w14:textId="77777777" w:rsidR="00E557FE" w:rsidRDefault="00E557FE">
      <w:r>
        <w:lastRenderedPageBreak/>
        <w:t xml:space="preserve">The independence of the judiciary has never gotten questioned as the principle even through the application is problematic. The personnel have also found to be isolated increasingly </w:t>
      </w:r>
      <w:r w:rsidR="00542189">
        <w:t>from the other parts of the government, no longer sitting in the Cabinet and the House of Lords</w:t>
      </w:r>
      <w:r w:rsidR="00DA7504">
        <w:t xml:space="preserve"> (</w:t>
      </w:r>
      <w:r w:rsidR="00DA7504" w:rsidRPr="00DA7504">
        <w:t>Kahn</w:t>
      </w:r>
      <w:r w:rsidR="00DA7504">
        <w:t xml:space="preserve">, </w:t>
      </w:r>
      <w:r w:rsidR="00DA7504" w:rsidRPr="00DA7504">
        <w:t>2019</w:t>
      </w:r>
      <w:r w:rsidR="00DA7504">
        <w:t>)</w:t>
      </w:r>
      <w:r w:rsidR="00542189">
        <w:t xml:space="preserve">. The ability of the court for legislating through the </w:t>
      </w:r>
      <w:r w:rsidR="008507A8">
        <w:t>prece</w:t>
      </w:r>
      <w:r w:rsidR="00542189">
        <w:t xml:space="preserve">dent, the inability for questioning the validity had enacted through the supremacy of the legislative and the sovereignty through the parliament and the role which is found in the </w:t>
      </w:r>
      <w:r w:rsidR="008507A8">
        <w:t xml:space="preserve">role of Europe-wide institutions for legislating, executing and judging on the matters has also defined the boundaries of the system of United Kingdom. </w:t>
      </w:r>
    </w:p>
    <w:p w14:paraId="2A5E3430" w14:textId="77777777" w:rsidR="006F168A" w:rsidRDefault="006F168A" w:rsidP="00DA7504">
      <w:pPr>
        <w:pStyle w:val="Heading1"/>
      </w:pPr>
      <w:bookmarkStart w:id="3" w:name="_Toc56707558"/>
      <w:r>
        <w:t>Separation between Judiciary and executive</w:t>
      </w:r>
      <w:bookmarkEnd w:id="3"/>
      <w:r>
        <w:t xml:space="preserve"> </w:t>
      </w:r>
    </w:p>
    <w:p w14:paraId="7B04D4D3" w14:textId="77777777" w:rsidR="006F168A" w:rsidRDefault="006F168A">
      <w:r>
        <w:t>The “Judicial Committee of the Privy Council” has remained a court which is independent despite of being a part of the executive in the organi</w:t>
      </w:r>
      <w:r w:rsidR="00675D8A">
        <w:t xml:space="preserve">zational manner. The Lord </w:t>
      </w:r>
      <w:r>
        <w:t xml:space="preserve">Chancellor who is considered as a member of the Cabinet is no longer found as a judge since the “Constitutional Reform Act 2005”. The </w:t>
      </w:r>
      <w:r w:rsidR="00675D8A">
        <w:t>Attorney General of England and Wales and the Scotland’s Lord Advocate have the judicial roles which are quasi-</w:t>
      </w:r>
      <w:proofErr w:type="gramStart"/>
      <w:r w:rsidR="00675D8A">
        <w:t>judicial</w:t>
      </w:r>
      <w:proofErr w:type="gramEnd"/>
      <w:r w:rsidR="00675D8A">
        <w:t xml:space="preserve"> but they are considered as a part of executive. In </w:t>
      </w:r>
      <w:r w:rsidR="006C5C7A">
        <w:t xml:space="preserve">Wales and England, the judges in the superior courts could not be dismissed arbitrarily by the executive, instead of serving while being in a “good behavior”. Most of the tribunal members could not be dismissed by the governmental members </w:t>
      </w:r>
      <w:r w:rsidR="004E783A">
        <w:t xml:space="preserve">of which they have formed a part. This is considered significant specifically in the cases of the review of judicial and the other methods for preventing the abuse of the government in terms of power. </w:t>
      </w:r>
    </w:p>
    <w:p w14:paraId="0365961F" w14:textId="3B6ABD42" w:rsidR="004E783A" w:rsidRDefault="004E783A">
      <w:r>
        <w:t>The judiciary is undertaking the minor functions of the legislative in the form of the procedure of court which while the performance of a power which is conflicting, provides strength to their independence</w:t>
      </w:r>
      <w:r w:rsidR="00DA7504">
        <w:t xml:space="preserve"> (</w:t>
      </w:r>
      <w:r w:rsidR="00DA7504" w:rsidRPr="00DA7504">
        <w:t>Van Dijk, and Vos, 2017</w:t>
      </w:r>
      <w:r w:rsidR="00DA7504">
        <w:t>)</w:t>
      </w:r>
      <w:r w:rsidR="001636B4">
        <w:t xml:space="preserve">. The tribunals are tied but have remained from the executive. The departments of government have </w:t>
      </w:r>
      <w:r w:rsidR="009809F5">
        <w:t>adjudicated</w:t>
      </w:r>
      <w:r w:rsidR="001636B4">
        <w:t xml:space="preserve"> on </w:t>
      </w:r>
      <w:proofErr w:type="gramStart"/>
      <w:r w:rsidR="001636B4">
        <w:t>a number of</w:t>
      </w:r>
      <w:proofErr w:type="gramEnd"/>
      <w:r w:rsidR="001636B4">
        <w:t xml:space="preserve"> decisions and have </w:t>
      </w:r>
      <w:r w:rsidR="001636B4">
        <w:lastRenderedPageBreak/>
        <w:t xml:space="preserve">been required to take on the principles for instance transparency and fairness into the account in return. The courts only provide a single method for the resolution of dispute, albeit one that is significant where the government is seen as a single party and independence is seen as obligatory. </w:t>
      </w:r>
      <w:r w:rsidR="00442D7A">
        <w:t>The picture of the processes of decision-making must be assigned to where the body is found complicated. This has remained as the problem with the scope of the role of penal system and Home Secretary and the decisions of the judiciary in related to the sentencing</w:t>
      </w:r>
      <w:r w:rsidR="00DA7504" w:rsidRPr="00DA7504">
        <w:t xml:space="preserve"> </w:t>
      </w:r>
      <w:r w:rsidR="00DA7504">
        <w:t>(</w:t>
      </w:r>
      <w:r w:rsidR="00DA7504" w:rsidRPr="00DA7504">
        <w:t>Van Dijk, and Vos, 2017</w:t>
      </w:r>
      <w:r w:rsidR="00DA7504">
        <w:t>)</w:t>
      </w:r>
      <w:r w:rsidR="00442D7A">
        <w:t xml:space="preserve">. In the matters for instance the Extradition of the nationals of the Great Britain, the courts should first have a consent and the Home Secretary should agree and sign the Order of Extradition or the individual could not get extradited. </w:t>
      </w:r>
      <w:r w:rsidR="00C2061C">
        <w:t xml:space="preserve">A recent example of this could be Gary McKinnon who is an autistic computer-hacker who was being extradited to the United States. The courts </w:t>
      </w:r>
      <w:proofErr w:type="gramStart"/>
      <w:r w:rsidR="00C2061C">
        <w:t>has</w:t>
      </w:r>
      <w:proofErr w:type="gramEnd"/>
      <w:r w:rsidR="00C2061C">
        <w:t xml:space="preserve"> decreed that he could get extradited and this would not be harming him</w:t>
      </w:r>
      <w:r w:rsidR="00DA7504">
        <w:t xml:space="preserve"> (</w:t>
      </w:r>
      <w:r w:rsidR="00DA7504" w:rsidRPr="00DA7504">
        <w:t>Van Dijk, and Vos, 2017</w:t>
      </w:r>
      <w:r w:rsidR="00DA7504">
        <w:t>)</w:t>
      </w:r>
      <w:r w:rsidR="00C2061C">
        <w:t xml:space="preserve">. However it had been announced by the Home Secretary that she had refused to sign the order as it had been believed by her that it would be harming the rights of the life and might lead him towards the commitment of suicide. </w:t>
      </w:r>
    </w:p>
    <w:p w14:paraId="6B3CD34A" w14:textId="77777777" w:rsidR="00C2061C" w:rsidRDefault="00C2061C" w:rsidP="00DA7504">
      <w:pPr>
        <w:pStyle w:val="Heading1"/>
      </w:pPr>
      <w:bookmarkStart w:id="4" w:name="_Toc56707559"/>
      <w:r>
        <w:t>The separation of Judiciary and Legislature</w:t>
      </w:r>
      <w:bookmarkEnd w:id="4"/>
    </w:p>
    <w:p w14:paraId="1782A849" w14:textId="1404B3CE" w:rsidR="00C2061C" w:rsidRDefault="00C2061C">
      <w:r>
        <w:t>The judges who are found in the Supreme Court are not allowed to be sitting in the House of Lords. Until the year 2009, the judges had app</w:t>
      </w:r>
      <w:r w:rsidR="00F154B8">
        <w:t>ointed as the Law Lords had formed the part of the House of Lords within the Parliament. The creation of the Supreme Court had ended the confusion which was with the names of both the capacities. None of the member of the parliament might be holding a position which is full-time in the judiciary. The judiciary’s departure from the House of L</w:t>
      </w:r>
      <w:r w:rsidR="009809F5">
        <w:t>o</w:t>
      </w:r>
      <w:r w:rsidR="00F154B8">
        <w:t>rds had led towards the greater tension among the Parliament, government and the courts as the judges which are senior and no longer able to amend and speak on the Peers and Bills are no longer able for questioning the judges and hence had held them to the account</w:t>
      </w:r>
      <w:r w:rsidR="00EE4A06">
        <w:t xml:space="preserve"> (</w:t>
      </w:r>
      <w:r w:rsidR="00EE4A06" w:rsidRPr="00DA7504">
        <w:t>Jones, 2016</w:t>
      </w:r>
      <w:r w:rsidR="00EE4A06">
        <w:t>)</w:t>
      </w:r>
      <w:r w:rsidR="00F154B8">
        <w:t xml:space="preserve">. The rights had </w:t>
      </w:r>
      <w:r w:rsidR="00F154B8">
        <w:lastRenderedPageBreak/>
        <w:t xml:space="preserve">been retained by the legislature </w:t>
      </w:r>
      <w:r w:rsidR="00F75F87">
        <w:t xml:space="preserve">for impeaching the judicial members by the agreement of </w:t>
      </w:r>
      <w:proofErr w:type="gramStart"/>
      <w:r w:rsidR="00F75F87">
        <w:t xml:space="preserve">both of the </w:t>
      </w:r>
      <w:r w:rsidR="009809F5">
        <w:t>houses</w:t>
      </w:r>
      <w:proofErr w:type="gramEnd"/>
      <w:r w:rsidR="009809F5">
        <w:t>,</w:t>
      </w:r>
      <w:r w:rsidR="00F75F87">
        <w:t xml:space="preserve"> but this happened only once in a hundred years. These are considered as the restrictions on the criticism of the judges who are found in the parliament</w:t>
      </w:r>
      <w:r w:rsidR="00DA7504" w:rsidRPr="00DA7504">
        <w:t xml:space="preserve"> </w:t>
      </w:r>
      <w:r w:rsidR="00DA7504">
        <w:t>(</w:t>
      </w:r>
      <w:r w:rsidR="00DA7504" w:rsidRPr="00DA7504">
        <w:t>Jamieson, 2019</w:t>
      </w:r>
      <w:r w:rsidR="00DA7504">
        <w:t>)</w:t>
      </w:r>
      <w:r w:rsidR="00F75F87">
        <w:t>. The courts are bound for interpreting the Acts of the parliament even in a retrospective manner, and it has been dictated by the supremacy of the legislative that they are not able to declare properly the invalidly enacted primary legislation</w:t>
      </w:r>
      <w:r w:rsidR="00DA7504">
        <w:t xml:space="preserve"> (</w:t>
      </w:r>
      <w:r w:rsidR="00DA7504" w:rsidRPr="00DA7504">
        <w:t>Jamieson, 2019</w:t>
      </w:r>
      <w:r w:rsidR="00DA7504">
        <w:t>)</w:t>
      </w:r>
      <w:r w:rsidR="00F75F87">
        <w:t xml:space="preserve">. They are not found to be bound to the resolution of any of the houses. A legislature-imposed requirement had been imposed by the “European Communities Act 1972” on the judiciary for following the law of European case in the matters which were relevant. Even though </w:t>
      </w:r>
      <w:r w:rsidR="00A657F2">
        <w:t>the Human Rights Act 1998 had allowed the courts for making a declaration of the incompatibility, they are also required to interpret but might not disapply the legislation which is primary.</w:t>
      </w:r>
    </w:p>
    <w:p w14:paraId="0A7EA94D" w14:textId="4B2B478A" w:rsidR="00A657F2" w:rsidRDefault="00A657F2">
      <w:r>
        <w:t xml:space="preserve">Each of the Parliamentary house which retains the right for punishing the offenders within the walls including the cognizance which is exclusive with the potential of creating the conflict. </w:t>
      </w:r>
      <w:r w:rsidR="009809F5">
        <w:t>However,</w:t>
      </w:r>
      <w:r>
        <w:t xml:space="preserve"> it had been found through the case of R v Chaytor that the rights </w:t>
      </w:r>
      <w:proofErr w:type="gramStart"/>
      <w:r>
        <w:t>has</w:t>
      </w:r>
      <w:proofErr w:type="gramEnd"/>
      <w:r>
        <w:t xml:space="preserve"> to be limited in the scope </w:t>
      </w:r>
      <w:r w:rsidR="00446D17">
        <w:t>along with dictating that it was the court which would decide what the scope was. It had been thought by the court that it is really unlikely that the “intention of the Parliament” was the protection of the ones who are guilty of a crime which was unrelated to the business of the parliament in such way</w:t>
      </w:r>
      <w:r w:rsidR="00DA7504" w:rsidRPr="00DA7504">
        <w:t xml:space="preserve"> </w:t>
      </w:r>
      <w:r w:rsidR="00DA7504">
        <w:t>(</w:t>
      </w:r>
      <w:r w:rsidR="00DA7504" w:rsidRPr="00DA7504">
        <w:t>Jones, 2016</w:t>
      </w:r>
      <w:r w:rsidR="00DA7504">
        <w:t>)</w:t>
      </w:r>
      <w:r w:rsidR="00446D17">
        <w:t xml:space="preserve">. It had also been exercised by the courts a power which is quasi-legislative through the precedent for instance ending the exemption of the marital rape in R v R. There is considered a </w:t>
      </w:r>
      <w:proofErr w:type="gramStart"/>
      <w:r w:rsidR="00446D17">
        <w:t xml:space="preserve">particular </w:t>
      </w:r>
      <w:r w:rsidR="00970EC9">
        <w:t>for</w:t>
      </w:r>
      <w:proofErr w:type="gramEnd"/>
      <w:r w:rsidR="00970EC9">
        <w:t xml:space="preserve"> noticing and applying the liberties which are personal and in some of the cases they have shaped the relationship of judiciary-legislature.</w:t>
      </w:r>
    </w:p>
    <w:p w14:paraId="3831ABF7" w14:textId="77777777" w:rsidR="00970EC9" w:rsidRDefault="00970EC9" w:rsidP="00DA7504">
      <w:pPr>
        <w:pStyle w:val="Heading1"/>
      </w:pPr>
      <w:bookmarkStart w:id="5" w:name="_Toc56707560"/>
      <w:r>
        <w:lastRenderedPageBreak/>
        <w:t>Conclusion</w:t>
      </w:r>
      <w:bookmarkEnd w:id="5"/>
    </w:p>
    <w:p w14:paraId="649EF706" w14:textId="77777777" w:rsidR="00DA7504" w:rsidRDefault="00970EC9">
      <w:r>
        <w:t>The concept for the power separation has been embodied in the 1</w:t>
      </w:r>
      <w:r w:rsidRPr="00970EC9">
        <w:rPr>
          <w:vertAlign w:val="superscript"/>
        </w:rPr>
        <w:t>st</w:t>
      </w:r>
      <w:r>
        <w:t>, 2</w:t>
      </w:r>
      <w:r w:rsidRPr="00970EC9">
        <w:rPr>
          <w:vertAlign w:val="superscript"/>
        </w:rPr>
        <w:t>nd</w:t>
      </w:r>
      <w:r>
        <w:t xml:space="preserve"> and 3</w:t>
      </w:r>
      <w:r w:rsidRPr="00970EC9">
        <w:rPr>
          <w:vertAlign w:val="superscript"/>
        </w:rPr>
        <w:t>rd</w:t>
      </w:r>
      <w:r>
        <w:t xml:space="preserve"> Article of the Constitution of Britain. The power separation has been devised by the constitutional framers which has one common aim, the prevention of majority from ruling with powers and an iron fist. </w:t>
      </w:r>
    </w:p>
    <w:p w14:paraId="41778848" w14:textId="77777777" w:rsidR="00DA7504" w:rsidRDefault="00DA7504">
      <w:pPr>
        <w:spacing w:line="259" w:lineRule="auto"/>
        <w:jc w:val="left"/>
      </w:pPr>
      <w:r>
        <w:br w:type="page"/>
      </w:r>
    </w:p>
    <w:p w14:paraId="21B4099A" w14:textId="77777777" w:rsidR="00DA7504" w:rsidRDefault="00DA7504" w:rsidP="00DA7504">
      <w:pPr>
        <w:pStyle w:val="Heading1"/>
      </w:pPr>
      <w:bookmarkStart w:id="6" w:name="_Toc56707561"/>
      <w:r>
        <w:lastRenderedPageBreak/>
        <w:t>References</w:t>
      </w:r>
      <w:bookmarkEnd w:id="6"/>
    </w:p>
    <w:p w14:paraId="12E10B73" w14:textId="77777777" w:rsidR="00EE4A06" w:rsidRDefault="00EE4A06" w:rsidP="00EE4A06">
      <w:pPr>
        <w:ind w:left="720" w:hanging="720"/>
      </w:pPr>
      <w:r w:rsidRPr="00DA7504">
        <w:t>Ahmed, M.N., Independence of Judiciary: Challenges and Possibility.</w:t>
      </w:r>
    </w:p>
    <w:p w14:paraId="5E80FE96" w14:textId="77777777" w:rsidR="00EE4A06" w:rsidRDefault="00EE4A06" w:rsidP="00EE4A06">
      <w:pPr>
        <w:ind w:left="720" w:hanging="720"/>
      </w:pPr>
      <w:r w:rsidRPr="00DA7504">
        <w:t xml:space="preserve">Blackham, A., 2017. Judicial Retirement Ages in the UK: Legitimate Aims and Proportionate </w:t>
      </w:r>
      <w:proofErr w:type="gramStart"/>
      <w:r w:rsidRPr="00DA7504">
        <w:t>Means?.</w:t>
      </w:r>
      <w:proofErr w:type="gramEnd"/>
    </w:p>
    <w:p w14:paraId="15B3A918" w14:textId="77777777" w:rsidR="00EE4A06" w:rsidRDefault="00EE4A06" w:rsidP="00EE4A06">
      <w:pPr>
        <w:ind w:left="720" w:hanging="720"/>
      </w:pPr>
      <w:r w:rsidRPr="00DA7504">
        <w:t>Boukalas, C., 2017. UK Counterterrorism Law, Pre-Emption, and Politics: Toward “Authoritarian Legality</w:t>
      </w:r>
      <w:proofErr w:type="gramStart"/>
      <w:r w:rsidRPr="00DA7504">
        <w:t>”?.</w:t>
      </w:r>
      <w:proofErr w:type="gramEnd"/>
      <w:r w:rsidRPr="00DA7504">
        <w:t xml:space="preserve"> New Criminal Law Review, 20(3), pp.355-390.</w:t>
      </w:r>
    </w:p>
    <w:p w14:paraId="286AC713" w14:textId="77777777" w:rsidR="00EE4A06" w:rsidRDefault="00EE4A06" w:rsidP="00EE4A06">
      <w:pPr>
        <w:ind w:left="720" w:hanging="720"/>
      </w:pPr>
      <w:r w:rsidRPr="00DA7504">
        <w:t>Fiss, O.M., 2019. The right degree of independence. In Transition to Democracy in Latin America (pp. 55-72). Routledge.</w:t>
      </w:r>
    </w:p>
    <w:p w14:paraId="2363F713" w14:textId="77777777" w:rsidR="00EE4A06" w:rsidRDefault="00EE4A06" w:rsidP="00EE4A06">
      <w:pPr>
        <w:ind w:left="720" w:hanging="720"/>
      </w:pPr>
      <w:r w:rsidRPr="00DA7504">
        <w:t>Jamieson, F., 2019. Judicial Independence: the master narrative in sentencing practice. Criminology &amp; Criminal Justice, p.1748895819842940.</w:t>
      </w:r>
    </w:p>
    <w:p w14:paraId="4D0A5F34" w14:textId="77777777" w:rsidR="00EE4A06" w:rsidRDefault="00EE4A06" w:rsidP="00EE4A06">
      <w:pPr>
        <w:ind w:left="720" w:hanging="720"/>
      </w:pPr>
      <w:r w:rsidRPr="00DA7504">
        <w:t xml:space="preserve">Jones, B.C., 2016. Where Do Justice Ginsburg and Justice Hale—and Judicial Independence—Go from </w:t>
      </w:r>
      <w:proofErr w:type="gramStart"/>
      <w:r w:rsidRPr="00DA7504">
        <w:t>Here?.</w:t>
      </w:r>
      <w:proofErr w:type="gramEnd"/>
      <w:r w:rsidRPr="00DA7504">
        <w:t xml:space="preserve"> International Journal of Constitutional Law Blog, 30.</w:t>
      </w:r>
    </w:p>
    <w:p w14:paraId="21F33CC9" w14:textId="77777777" w:rsidR="00EE4A06" w:rsidRDefault="00EE4A06" w:rsidP="00EE4A06">
      <w:pPr>
        <w:ind w:left="720" w:hanging="720"/>
      </w:pPr>
      <w:r w:rsidRPr="00DA7504">
        <w:t>Kahn, P.W., 2019. Independence and responsibility in the judicial role. In Transition to Democracy in Latin America (pp. 73-87). Routledge.</w:t>
      </w:r>
    </w:p>
    <w:p w14:paraId="0B6FBE45" w14:textId="77777777" w:rsidR="00EE4A06" w:rsidRDefault="00EE4A06" w:rsidP="00EE4A06">
      <w:pPr>
        <w:ind w:left="720" w:hanging="720"/>
      </w:pPr>
      <w:r w:rsidRPr="00DA7504">
        <w:t>Keith, K.J., 2017. Challenges to the Independence of the international judiciary: Reflections on the international court of justice. LJIL, 30, p.137.</w:t>
      </w:r>
    </w:p>
    <w:p w14:paraId="58E308F9" w14:textId="77777777" w:rsidR="00EE4A06" w:rsidRDefault="00EE4A06" w:rsidP="00EE4A06">
      <w:pPr>
        <w:ind w:left="720" w:hanging="720"/>
      </w:pPr>
      <w:r w:rsidRPr="00DA7504">
        <w:t>Kolaković-Bojović, M., 2016. Constitutional provisions on judicial independence and EU standards. Анали Правног факултета у Београду, 64(3), pp.192-204.</w:t>
      </w:r>
    </w:p>
    <w:p w14:paraId="18DC233C" w14:textId="77777777" w:rsidR="00EE4A06" w:rsidRDefault="00EE4A06" w:rsidP="00EE4A06">
      <w:pPr>
        <w:ind w:left="720" w:hanging="720"/>
      </w:pPr>
      <w:r w:rsidRPr="00DA7504">
        <w:t>Künnecke, M., 2019. German Constitutional Law in the UK Supreme Court. Liverpool Law Review, 40(1), pp.31-47.</w:t>
      </w:r>
    </w:p>
    <w:p w14:paraId="5040620E" w14:textId="77777777" w:rsidR="00EE4A06" w:rsidRDefault="00EE4A06" w:rsidP="00EE4A06">
      <w:pPr>
        <w:ind w:left="720" w:hanging="720"/>
      </w:pPr>
      <w:r w:rsidRPr="00DA7504">
        <w:lastRenderedPageBreak/>
        <w:t>Lawson, R., 2018. Protecting the independence of the judiciary: possibilities and limits of the European Convention on Human Rights. Revista do Instituto Brasileiro de Direitos Humanos, 17, pp.249-268.</w:t>
      </w:r>
    </w:p>
    <w:p w14:paraId="50FE81D6" w14:textId="77777777" w:rsidR="00EE4A06" w:rsidRDefault="00EE4A06" w:rsidP="00EE4A06">
      <w:pPr>
        <w:ind w:left="720" w:hanging="720"/>
      </w:pPr>
      <w:r w:rsidRPr="00DA7504">
        <w:t>Masterman, R. and Wheatle, S.S., 2017. Unpacking separation of powers: judicial independence, sovereignty and conceptual flexibility in the UK constitution. Public law., 2017(Jul), pp.469-487.</w:t>
      </w:r>
    </w:p>
    <w:p w14:paraId="4EC7C4E9" w14:textId="77777777" w:rsidR="00EE4A06" w:rsidRDefault="00EE4A06" w:rsidP="00EE4A06">
      <w:pPr>
        <w:ind w:left="720" w:hanging="720"/>
      </w:pPr>
      <w:r w:rsidRPr="00DA7504">
        <w:t>Murthy, M.S. and Syamala, K., Doctrine of Independence of Judiciary vis-a-vis Judicial Standards and Accountability Bill, 2010: A Critical Analysis.</w:t>
      </w:r>
    </w:p>
    <w:p w14:paraId="60D9F423" w14:textId="77777777" w:rsidR="00EE4A06" w:rsidRDefault="00EE4A06" w:rsidP="00EE4A06">
      <w:pPr>
        <w:ind w:left="720" w:hanging="720"/>
      </w:pPr>
      <w:r w:rsidRPr="00DA7504">
        <w:t>Ruto, S.K. and Njoroge, J., ANALYSIS OF THE STRUCTURAL DETERMINANTS OF FUNDING ALLOCATION IMPLEMENTATION IN THE KENYAN JUDICIARY.</w:t>
      </w:r>
    </w:p>
    <w:p w14:paraId="2477C639" w14:textId="77777777" w:rsidR="00EE4A06" w:rsidRDefault="00EE4A06" w:rsidP="00EE4A06">
      <w:pPr>
        <w:ind w:left="720" w:hanging="720"/>
      </w:pPr>
      <w:r w:rsidRPr="00DA7504">
        <w:t>Shaheen, F. and Khalid, M., 2018. Judicial Independence and Impartiality of Judiciary: A Comparative Study.</w:t>
      </w:r>
    </w:p>
    <w:p w14:paraId="21FC3494" w14:textId="77777777" w:rsidR="00EE4A06" w:rsidRDefault="00EE4A06" w:rsidP="00EE4A06">
      <w:pPr>
        <w:ind w:left="720" w:hanging="720"/>
      </w:pPr>
      <w:r w:rsidRPr="00DA7504">
        <w:t>Shapkova Kocevska, K., 2019. Judiciary independence, impartiality, the court budget: Understanding outcomes from economic constraints to court performance.</w:t>
      </w:r>
    </w:p>
    <w:p w14:paraId="6379CA42" w14:textId="77777777" w:rsidR="00EE4A06" w:rsidRDefault="00EE4A06" w:rsidP="00EE4A06">
      <w:pPr>
        <w:ind w:left="720" w:hanging="720"/>
      </w:pPr>
      <w:r w:rsidRPr="00DA7504">
        <w:t>Stanković, M., 2018. Judiciary in the Serbian Constitution of 2006 and a critical review of draft amendments. Анали Правног факултета у Београду, 66(4), pp.114-126.</w:t>
      </w:r>
    </w:p>
    <w:p w14:paraId="52514488" w14:textId="77777777" w:rsidR="00EE4A06" w:rsidRDefault="00EE4A06" w:rsidP="00EE4A06">
      <w:pPr>
        <w:ind w:left="720" w:hanging="720"/>
      </w:pPr>
      <w:r w:rsidRPr="00DA7504">
        <w:t xml:space="preserve">Sutil, J.C., 2019. The Judiciary and the Political System in Chile: The dilemmas of judicial independence during the transition to democracy. In Transition </w:t>
      </w:r>
      <w:proofErr w:type="gramStart"/>
      <w:r w:rsidRPr="00DA7504">
        <w:t>To</w:t>
      </w:r>
      <w:proofErr w:type="gramEnd"/>
      <w:r w:rsidRPr="00DA7504">
        <w:t xml:space="preserve"> Democracy In Latin America (pp. 89-106). Routledge.</w:t>
      </w:r>
    </w:p>
    <w:p w14:paraId="12BEE73B" w14:textId="77777777" w:rsidR="00EE4A06" w:rsidRDefault="00EE4A06" w:rsidP="00EE4A06">
      <w:pPr>
        <w:ind w:left="720" w:hanging="720"/>
      </w:pPr>
      <w:r w:rsidRPr="00DA7504">
        <w:t>van Dijk, F. and Koolen, S., 2018. Independence, accountability and quality of the judiciary: Validation of methodology, exploring quality of justice and promoting judicial change.</w:t>
      </w:r>
    </w:p>
    <w:p w14:paraId="40B98366" w14:textId="77777777" w:rsidR="00EE4A06" w:rsidRDefault="00EE4A06" w:rsidP="00EE4A06">
      <w:pPr>
        <w:ind w:left="720" w:hanging="720"/>
      </w:pPr>
      <w:r w:rsidRPr="00DA7504">
        <w:lastRenderedPageBreak/>
        <w:t>Van Dijk, F. and Vos, G., 2017. A Method for Assessment of the Independence and Accountability of the Judiciary. In IJCA (Vol. 9, p. 1).</w:t>
      </w:r>
    </w:p>
    <w:sectPr w:rsidR="00EE4A06">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5F98CD" w14:textId="77777777" w:rsidR="001E49A8" w:rsidRDefault="001E49A8" w:rsidP="00EE4A06">
      <w:pPr>
        <w:spacing w:after="0" w:line="240" w:lineRule="auto"/>
      </w:pPr>
      <w:r>
        <w:separator/>
      </w:r>
    </w:p>
  </w:endnote>
  <w:endnote w:type="continuationSeparator" w:id="0">
    <w:p w14:paraId="0EE2BEA6" w14:textId="77777777" w:rsidR="001E49A8" w:rsidRDefault="001E49A8" w:rsidP="00EE4A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934F04" w14:textId="77777777" w:rsidR="001E49A8" w:rsidRDefault="001E49A8" w:rsidP="00EE4A06">
      <w:pPr>
        <w:spacing w:after="0" w:line="240" w:lineRule="auto"/>
      </w:pPr>
      <w:r>
        <w:separator/>
      </w:r>
    </w:p>
  </w:footnote>
  <w:footnote w:type="continuationSeparator" w:id="0">
    <w:p w14:paraId="19029AA6" w14:textId="77777777" w:rsidR="001E49A8" w:rsidRDefault="001E49A8" w:rsidP="00EE4A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78524891"/>
      <w:docPartObj>
        <w:docPartGallery w:val="Page Numbers (Top of Page)"/>
        <w:docPartUnique/>
      </w:docPartObj>
    </w:sdtPr>
    <w:sdtEndPr>
      <w:rPr>
        <w:noProof/>
      </w:rPr>
    </w:sdtEndPr>
    <w:sdtContent>
      <w:p w14:paraId="7DFE0517" w14:textId="77777777" w:rsidR="00EE4A06" w:rsidRDefault="00EE4A06">
        <w:pPr>
          <w:pStyle w:val="Header"/>
          <w:jc w:val="right"/>
        </w:pPr>
        <w:r>
          <w:fldChar w:fldCharType="begin"/>
        </w:r>
        <w:r>
          <w:instrText xml:space="preserve"> PAGE   \* MERGEFORMAT </w:instrText>
        </w:r>
        <w:r>
          <w:fldChar w:fldCharType="separate"/>
        </w:r>
        <w:r>
          <w:rPr>
            <w:noProof/>
          </w:rPr>
          <w:t>1</w:t>
        </w:r>
        <w:r>
          <w:rPr>
            <w:noProof/>
          </w:rPr>
          <w:fldChar w:fldCharType="end"/>
        </w:r>
      </w:p>
    </w:sdtContent>
  </w:sdt>
  <w:p w14:paraId="15164775" w14:textId="77777777" w:rsidR="00EE4A06" w:rsidRDefault="00EE4A0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7432"/>
    <w:rsid w:val="001636B4"/>
    <w:rsid w:val="001E49A8"/>
    <w:rsid w:val="002073C0"/>
    <w:rsid w:val="00243537"/>
    <w:rsid w:val="003B0870"/>
    <w:rsid w:val="003C65E2"/>
    <w:rsid w:val="003D423A"/>
    <w:rsid w:val="00442D7A"/>
    <w:rsid w:val="00446D17"/>
    <w:rsid w:val="004E783A"/>
    <w:rsid w:val="00542189"/>
    <w:rsid w:val="00580657"/>
    <w:rsid w:val="00675D8A"/>
    <w:rsid w:val="006C5C7A"/>
    <w:rsid w:val="006F168A"/>
    <w:rsid w:val="006F1A66"/>
    <w:rsid w:val="00713C15"/>
    <w:rsid w:val="00802FE9"/>
    <w:rsid w:val="00815F75"/>
    <w:rsid w:val="008244DE"/>
    <w:rsid w:val="008507A8"/>
    <w:rsid w:val="0085393A"/>
    <w:rsid w:val="00894E25"/>
    <w:rsid w:val="00931A96"/>
    <w:rsid w:val="00937432"/>
    <w:rsid w:val="00970EC9"/>
    <w:rsid w:val="009809F5"/>
    <w:rsid w:val="00A657F2"/>
    <w:rsid w:val="00C2061C"/>
    <w:rsid w:val="00C241C2"/>
    <w:rsid w:val="00C26759"/>
    <w:rsid w:val="00C63E28"/>
    <w:rsid w:val="00D54597"/>
    <w:rsid w:val="00DA7504"/>
    <w:rsid w:val="00E35037"/>
    <w:rsid w:val="00E557FE"/>
    <w:rsid w:val="00EC1A01"/>
    <w:rsid w:val="00EE4A06"/>
    <w:rsid w:val="00EE6AAE"/>
    <w:rsid w:val="00F154B8"/>
    <w:rsid w:val="00F676F6"/>
    <w:rsid w:val="00F75F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80EE9"/>
  <w15:chartTrackingRefBased/>
  <w15:docId w15:val="{2BA6D190-7667-43E7-8970-4836E3A3E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0870"/>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580657"/>
    <w:pPr>
      <w:keepNext/>
      <w:keepLines/>
      <w:spacing w:before="240" w:after="0"/>
      <w:outlineLvl w:val="0"/>
    </w:pPr>
    <w:rPr>
      <w:rFonts w:eastAsiaTheme="majorEastAsia" w:cstheme="majorBidi"/>
      <w:b/>
      <w:color w:val="000000" w:themeColor="tex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0657"/>
    <w:rPr>
      <w:rFonts w:ascii="Times New Roman" w:eastAsiaTheme="majorEastAsia" w:hAnsi="Times New Roman" w:cstheme="majorBidi"/>
      <w:b/>
      <w:color w:val="000000" w:themeColor="text1"/>
      <w:sz w:val="28"/>
      <w:szCs w:val="32"/>
    </w:rPr>
  </w:style>
  <w:style w:type="paragraph" w:styleId="TOCHeading">
    <w:name w:val="TOC Heading"/>
    <w:basedOn w:val="Heading1"/>
    <w:next w:val="Normal"/>
    <w:uiPriority w:val="39"/>
    <w:unhideWhenUsed/>
    <w:qFormat/>
    <w:rsid w:val="00EE4A06"/>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EE4A06"/>
    <w:pPr>
      <w:spacing w:after="100"/>
    </w:pPr>
  </w:style>
  <w:style w:type="character" w:styleId="Hyperlink">
    <w:name w:val="Hyperlink"/>
    <w:basedOn w:val="DefaultParagraphFont"/>
    <w:uiPriority w:val="99"/>
    <w:unhideWhenUsed/>
    <w:rsid w:val="00EE4A06"/>
    <w:rPr>
      <w:color w:val="0563C1" w:themeColor="hyperlink"/>
      <w:u w:val="single"/>
    </w:rPr>
  </w:style>
  <w:style w:type="paragraph" w:styleId="Header">
    <w:name w:val="header"/>
    <w:basedOn w:val="Normal"/>
    <w:link w:val="HeaderChar"/>
    <w:uiPriority w:val="99"/>
    <w:unhideWhenUsed/>
    <w:rsid w:val="00EE4A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4A06"/>
    <w:rPr>
      <w:rFonts w:ascii="Times New Roman" w:hAnsi="Times New Roman"/>
      <w:sz w:val="24"/>
    </w:rPr>
  </w:style>
  <w:style w:type="paragraph" w:styleId="Footer">
    <w:name w:val="footer"/>
    <w:basedOn w:val="Normal"/>
    <w:link w:val="FooterChar"/>
    <w:uiPriority w:val="99"/>
    <w:unhideWhenUsed/>
    <w:rsid w:val="00EE4A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4A06"/>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0671A7-7A41-48B5-8E9C-571F644DDE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2395</Words>
  <Characters>13652</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Connor Thomas</cp:lastModifiedBy>
  <cp:revision>7</cp:revision>
  <dcterms:created xsi:type="dcterms:W3CDTF">2020-11-19T21:40:00Z</dcterms:created>
  <dcterms:modified xsi:type="dcterms:W3CDTF">2020-11-26T21:47:00Z</dcterms:modified>
</cp:coreProperties>
</file>