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4A37D1" w14:textId="77777777" w:rsidR="00FC0214" w:rsidRPr="00FC0214" w:rsidRDefault="00FC0214" w:rsidP="00FC0214">
      <w:pPr>
        <w:rPr>
          <w:b/>
          <w:bCs/>
        </w:rPr>
      </w:pPr>
      <w:r w:rsidRPr="00FC0214">
        <w:rPr>
          <w:b/>
          <w:bCs/>
        </w:rPr>
        <w:t>Critical Evaluation of the Example Bad Dashboard</w:t>
      </w:r>
    </w:p>
    <w:p w14:paraId="364C1DC6" w14:textId="77777777" w:rsidR="00FC0214" w:rsidRPr="00FC0214" w:rsidRDefault="00FC0214" w:rsidP="00FC0214">
      <w:r w:rsidRPr="00FC0214">
        <w:t>The dashboard shown demonstrates multiple weaknesses in visual communication, usability, and decision-support design. Although it appears information-rich, its presentation substantially reduces interpretability and therefore limits its usefulness within a Business Intelligence (BI) environment.</w:t>
      </w:r>
    </w:p>
    <w:p w14:paraId="211F0E65" w14:textId="77777777" w:rsidR="00FC0214" w:rsidRPr="00FC0214" w:rsidRDefault="00FC0214" w:rsidP="00FC0214">
      <w:r w:rsidRPr="00FC0214">
        <w:t>A primary issue is excessive cognitive load. Users have limited working memory capacity, and interfaces presenting too many simultaneous stimuli increase unnecessary mental effort [4]. This dashboard contains numerous charts, icons, colours, labels, and decorative elements competing for attention. Rather than enabling rapid insight, the user must first decode the interface itself.</w:t>
      </w:r>
    </w:p>
    <w:p w14:paraId="3F780DE3" w14:textId="77777777" w:rsidR="00FC0214" w:rsidRPr="00FC0214" w:rsidRDefault="00FC0214" w:rsidP="00FC0214">
      <w:r w:rsidRPr="00FC0214">
        <w:t>A second weakness is the absence of a clear visual hierarchy. Effective dashboards should direct the viewer toward the most important KPIs first through size, position, contrast, or grouping [2]. In this example, no metric is visually dominant and no logical reading path is evident. As a result, users may not know where to begin, reducing efficiency and delaying decisions.</w:t>
      </w:r>
    </w:p>
    <w:p w14:paraId="7BB98518" w14:textId="77777777" w:rsidR="00FC0214" w:rsidRPr="00FC0214" w:rsidRDefault="00FC0214" w:rsidP="00FC0214">
      <w:r w:rsidRPr="00FC0214">
        <w:t>The chart choices are also problematic. The inclusion of a 3D pie chart is particularly poor. Research into graphical perception demonstrates that humans compare aligned lengths more accurately than angles or areas [1]. The added three-dimensional perspective further distorts slice size, reducing reliability. A sorted bar chart would communicate the same information more effectively.</w:t>
      </w:r>
    </w:p>
    <w:p w14:paraId="1733DC70" w14:textId="77777777" w:rsidR="00FC0214" w:rsidRPr="00FC0214" w:rsidRDefault="00FC0214" w:rsidP="00FC0214">
      <w:r w:rsidRPr="00FC0214">
        <w:t>Similarly, the bubble chart appears to use area as an encoding variable. While bubble charts can be acceptable for exploratory multivariate analysis, users estimate area less accurately than position or length [6]. If precise comparison is required, this form is weak.</w:t>
      </w:r>
    </w:p>
    <w:p w14:paraId="3B9C6BC3" w14:textId="77777777" w:rsidR="00FC0214" w:rsidRPr="00FC0214" w:rsidRDefault="00FC0214" w:rsidP="00FC0214">
      <w:r w:rsidRPr="00FC0214">
        <w:t xml:space="preserve">The use of colour is another major issue. The dashboard employs many saturated colours without consistent semantic meaning. Colour should be used selectively to encode categories, status, or emphasis. Random or decorative colour usage weakens </w:t>
      </w:r>
      <w:proofErr w:type="spellStart"/>
      <w:r w:rsidRPr="00FC0214">
        <w:t>preattentive</w:t>
      </w:r>
      <w:proofErr w:type="spellEnd"/>
      <w:r w:rsidRPr="00FC0214">
        <w:t xml:space="preserve"> processing, where viewers rapidly detect meaningful differences before conscious effort [6]. Instead of guiding attention, colour here creates distraction.</w:t>
      </w:r>
    </w:p>
    <w:p w14:paraId="7ADEDEB8" w14:textId="77777777" w:rsidR="00FC0214" w:rsidRPr="00FC0214" w:rsidRDefault="00FC0214" w:rsidP="00FC0214">
      <w:r w:rsidRPr="00FC0214">
        <w:t>The layout also violates Gestalt principles of perception. Related elements are not clearly grouped through proximity or alignment, making it harder for users to identify relationships between metrics [3]. Uneven spacing and irregular sizing contribute to a fragmented and confusing interface.</w:t>
      </w:r>
    </w:p>
    <w:p w14:paraId="5313329A" w14:textId="77777777" w:rsidR="00FC0214" w:rsidRPr="00FC0214" w:rsidRDefault="00FC0214" w:rsidP="00FC0214">
      <w:r w:rsidRPr="00FC0214">
        <w:t>A further concern is the high proportion of non-data ink. Tufte argues that unnecessary decorative elements reduce the ratio of useful information to visual noise [5]. The emoji faces, ornamental indicators, and excessive styling add little analytical value while consuming space and attention.</w:t>
      </w:r>
    </w:p>
    <w:p w14:paraId="22891E3B" w14:textId="77777777" w:rsidR="00FC0214" w:rsidRPr="00FC0214" w:rsidRDefault="00FC0214" w:rsidP="00FC0214">
      <w:r w:rsidRPr="00FC0214">
        <w:lastRenderedPageBreak/>
        <w:t>Most importantly, the dashboard fails in its fundamental business purpose: supporting decisions. It does not clearly answer key management questions such as:</w:t>
      </w:r>
    </w:p>
    <w:p w14:paraId="01598093" w14:textId="77777777" w:rsidR="00FC0214" w:rsidRPr="00FC0214" w:rsidRDefault="00FC0214" w:rsidP="00FC0214">
      <w:pPr>
        <w:numPr>
          <w:ilvl w:val="0"/>
          <w:numId w:val="3"/>
        </w:numPr>
      </w:pPr>
      <w:r w:rsidRPr="00FC0214">
        <w:t>Are we meeting targets?</w:t>
      </w:r>
    </w:p>
    <w:p w14:paraId="61A63149" w14:textId="77777777" w:rsidR="00FC0214" w:rsidRPr="00FC0214" w:rsidRDefault="00FC0214" w:rsidP="00FC0214">
      <w:pPr>
        <w:numPr>
          <w:ilvl w:val="0"/>
          <w:numId w:val="3"/>
        </w:numPr>
      </w:pPr>
      <w:r w:rsidRPr="00FC0214">
        <w:t>What has changed recently?</w:t>
      </w:r>
    </w:p>
    <w:p w14:paraId="3FBDABF7" w14:textId="77777777" w:rsidR="00FC0214" w:rsidRPr="00FC0214" w:rsidRDefault="00FC0214" w:rsidP="00FC0214">
      <w:pPr>
        <w:numPr>
          <w:ilvl w:val="0"/>
          <w:numId w:val="3"/>
        </w:numPr>
      </w:pPr>
      <w:r w:rsidRPr="00FC0214">
        <w:t>Which area requires intervention?</w:t>
      </w:r>
    </w:p>
    <w:p w14:paraId="6A7AFDFE" w14:textId="77777777" w:rsidR="00FC0214" w:rsidRPr="00FC0214" w:rsidRDefault="00FC0214" w:rsidP="00FC0214">
      <w:pPr>
        <w:numPr>
          <w:ilvl w:val="0"/>
          <w:numId w:val="3"/>
        </w:numPr>
      </w:pPr>
      <w:r w:rsidRPr="00FC0214">
        <w:t>What action should be prioritised?</w:t>
      </w:r>
    </w:p>
    <w:p w14:paraId="0B6EDC42" w14:textId="77777777" w:rsidR="00FC0214" w:rsidRPr="00FC0214" w:rsidRDefault="00FC0214" w:rsidP="00FC0214">
      <w:r w:rsidRPr="00FC0214">
        <w:t>Without clear decision pathways, the dashboard becomes a display of data rather than a tool for business intelligence.</w:t>
      </w:r>
    </w:p>
    <w:p w14:paraId="3704816E" w14:textId="77777777" w:rsidR="00FC0214" w:rsidRPr="00FC0214" w:rsidRDefault="00FC0214" w:rsidP="00FC0214">
      <w:r w:rsidRPr="00FC0214">
        <w:t>To improve the dashboard, the design should be simplified around a limited number of KPIs, use more appropriate chart forms (especially bars and lines), adopt a structured grid layout, reduce decorative content, and apply colour consistently to highlight trends or exceptions.</w:t>
      </w:r>
    </w:p>
    <w:p w14:paraId="42E62E4E" w14:textId="77777777" w:rsidR="00FC0214" w:rsidRPr="00FC0214" w:rsidRDefault="00FC0214" w:rsidP="00FC0214">
      <w:r w:rsidRPr="00FC0214">
        <w:t>In conclusion, although visually energetic, the dashboard performs poorly as a BI interface because it increases cognitive effort, reduces perceptual accuracy, and obscures decision-relevant insight.</w:t>
      </w:r>
    </w:p>
    <w:p w14:paraId="138B3BE8" w14:textId="624857BC" w:rsidR="00FC0214" w:rsidRPr="00FC0214" w:rsidRDefault="00FC0214" w:rsidP="00FC0214"/>
    <w:p w14:paraId="5F85F764" w14:textId="28F14067" w:rsidR="00FC0214" w:rsidRPr="00FC0214" w:rsidRDefault="00FC0214" w:rsidP="00FC0214">
      <w:pPr>
        <w:rPr>
          <w:b/>
          <w:bCs/>
        </w:rPr>
      </w:pPr>
      <w:r w:rsidRPr="00FC0214">
        <w:rPr>
          <w:b/>
          <w:bCs/>
        </w:rPr>
        <w:t>References</w:t>
      </w:r>
    </w:p>
    <w:p w14:paraId="31709570" w14:textId="77777777" w:rsidR="00FC0214" w:rsidRPr="00FC0214" w:rsidRDefault="00FC0214" w:rsidP="00FC0214">
      <w:r w:rsidRPr="00FC0214">
        <w:t xml:space="preserve">[1] W. S. Cleveland and R. McGill, “Graphical perception: Theory, experimentation, and application to the development of graphical methods,” </w:t>
      </w:r>
      <w:r w:rsidRPr="00FC0214">
        <w:rPr>
          <w:i/>
          <w:iCs/>
        </w:rPr>
        <w:t>Journal of the American Statistical Association</w:t>
      </w:r>
      <w:r w:rsidRPr="00FC0214">
        <w:t>, vol. 79, no. 387, pp. 531–554, 1984.</w:t>
      </w:r>
    </w:p>
    <w:p w14:paraId="4721C8EC" w14:textId="77777777" w:rsidR="00FC0214" w:rsidRPr="00FC0214" w:rsidRDefault="00FC0214" w:rsidP="00FC0214">
      <w:r w:rsidRPr="00FC0214">
        <w:t xml:space="preserve">[2] S. Few, </w:t>
      </w:r>
      <w:r w:rsidRPr="00FC0214">
        <w:rPr>
          <w:i/>
          <w:iCs/>
        </w:rPr>
        <w:t>Information Dashboard Design: Displaying Data for At-a-Glance Monitoring</w:t>
      </w:r>
      <w:r w:rsidRPr="00FC0214">
        <w:t>, 2nd ed. Burlingame, CA, USA: Analytics Press, 2013.</w:t>
      </w:r>
    </w:p>
    <w:p w14:paraId="7625DA66" w14:textId="77777777" w:rsidR="00FC0214" w:rsidRPr="00FC0214" w:rsidRDefault="00FC0214" w:rsidP="00FC0214">
      <w:r w:rsidRPr="00FC0214">
        <w:t xml:space="preserve">[3] W. Lidwell, K. Holden, and J. Butler, </w:t>
      </w:r>
      <w:r w:rsidRPr="00FC0214">
        <w:rPr>
          <w:i/>
          <w:iCs/>
        </w:rPr>
        <w:t>Universal Principles of Design</w:t>
      </w:r>
      <w:r w:rsidRPr="00FC0214">
        <w:t>, 2nd ed. Beverly, MA, USA: Rockport Publishers, 2010.</w:t>
      </w:r>
    </w:p>
    <w:p w14:paraId="25388500" w14:textId="77777777" w:rsidR="00FC0214" w:rsidRPr="00FC0214" w:rsidRDefault="00FC0214" w:rsidP="00FC0214">
      <w:r w:rsidRPr="00FC0214">
        <w:t xml:space="preserve">[4] J. </w:t>
      </w:r>
      <w:proofErr w:type="spellStart"/>
      <w:r w:rsidRPr="00FC0214">
        <w:t>Sweller</w:t>
      </w:r>
      <w:proofErr w:type="spellEnd"/>
      <w:r w:rsidRPr="00FC0214">
        <w:t xml:space="preserve">, “Cognitive load during problem solving: Effects on learning,” </w:t>
      </w:r>
      <w:r w:rsidRPr="00FC0214">
        <w:rPr>
          <w:i/>
          <w:iCs/>
        </w:rPr>
        <w:t>Cognitive Science</w:t>
      </w:r>
      <w:r w:rsidRPr="00FC0214">
        <w:t>, vol. 12, no. 2, pp. 257–285, 1988.</w:t>
      </w:r>
    </w:p>
    <w:p w14:paraId="045313EA" w14:textId="77777777" w:rsidR="00FC0214" w:rsidRPr="00FC0214" w:rsidRDefault="00FC0214" w:rsidP="00FC0214">
      <w:r w:rsidRPr="00FC0214">
        <w:t xml:space="preserve">[5] E. R. Tufte, </w:t>
      </w:r>
      <w:r w:rsidRPr="00FC0214">
        <w:rPr>
          <w:i/>
          <w:iCs/>
        </w:rPr>
        <w:t>The Visual Display of Quantitative Information</w:t>
      </w:r>
      <w:r w:rsidRPr="00FC0214">
        <w:t>, 2nd ed. Cheshire, CT, USA: Graphics Press, 2001.</w:t>
      </w:r>
    </w:p>
    <w:p w14:paraId="022FB35B" w14:textId="77777777" w:rsidR="00FC0214" w:rsidRPr="00FC0214" w:rsidRDefault="00FC0214" w:rsidP="00FC0214">
      <w:r w:rsidRPr="00FC0214">
        <w:t xml:space="preserve">[6] C. Ware, </w:t>
      </w:r>
      <w:r w:rsidRPr="00FC0214">
        <w:rPr>
          <w:i/>
          <w:iCs/>
        </w:rPr>
        <w:t>Information Visualization: Perception for Design</w:t>
      </w:r>
      <w:r w:rsidRPr="00FC0214">
        <w:t>, 4th ed. Cambridge, MA, USA: Morgan Kaufmann, 2021.</w:t>
      </w:r>
    </w:p>
    <w:p w14:paraId="4DE55B13" w14:textId="6F736839" w:rsidR="00FC0214" w:rsidRPr="00FC0214" w:rsidRDefault="00FC0214" w:rsidP="00FC0214"/>
    <w:sectPr w:rsidR="00FC0214" w:rsidRPr="00FC02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280F8A"/>
    <w:multiLevelType w:val="multilevel"/>
    <w:tmpl w:val="A8427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D06853"/>
    <w:multiLevelType w:val="multilevel"/>
    <w:tmpl w:val="F4527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CE1C07"/>
    <w:multiLevelType w:val="multilevel"/>
    <w:tmpl w:val="E708D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3583243">
    <w:abstractNumId w:val="2"/>
  </w:num>
  <w:num w:numId="2" w16cid:durableId="943534943">
    <w:abstractNumId w:val="1"/>
  </w:num>
  <w:num w:numId="3" w16cid:durableId="678194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214"/>
    <w:rsid w:val="00384D80"/>
    <w:rsid w:val="005273EC"/>
    <w:rsid w:val="00CB7005"/>
    <w:rsid w:val="00DA3F65"/>
    <w:rsid w:val="00FC02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E0106"/>
  <w15:chartTrackingRefBased/>
  <w15:docId w15:val="{5BD002EE-DD98-4AD0-BB60-7393003B0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2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02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02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02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02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02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02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02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02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2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02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02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02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02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02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02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02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0214"/>
    <w:rPr>
      <w:rFonts w:eastAsiaTheme="majorEastAsia" w:cstheme="majorBidi"/>
      <w:color w:val="272727" w:themeColor="text1" w:themeTint="D8"/>
    </w:rPr>
  </w:style>
  <w:style w:type="paragraph" w:styleId="Title">
    <w:name w:val="Title"/>
    <w:basedOn w:val="Normal"/>
    <w:next w:val="Normal"/>
    <w:link w:val="TitleChar"/>
    <w:uiPriority w:val="10"/>
    <w:qFormat/>
    <w:rsid w:val="00FC02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02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02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02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0214"/>
    <w:pPr>
      <w:spacing w:before="160"/>
      <w:jc w:val="center"/>
    </w:pPr>
    <w:rPr>
      <w:i/>
      <w:iCs/>
      <w:color w:val="404040" w:themeColor="text1" w:themeTint="BF"/>
    </w:rPr>
  </w:style>
  <w:style w:type="character" w:customStyle="1" w:styleId="QuoteChar">
    <w:name w:val="Quote Char"/>
    <w:basedOn w:val="DefaultParagraphFont"/>
    <w:link w:val="Quote"/>
    <w:uiPriority w:val="29"/>
    <w:rsid w:val="00FC0214"/>
    <w:rPr>
      <w:i/>
      <w:iCs/>
      <w:color w:val="404040" w:themeColor="text1" w:themeTint="BF"/>
    </w:rPr>
  </w:style>
  <w:style w:type="paragraph" w:styleId="ListParagraph">
    <w:name w:val="List Paragraph"/>
    <w:basedOn w:val="Normal"/>
    <w:uiPriority w:val="34"/>
    <w:qFormat/>
    <w:rsid w:val="00FC0214"/>
    <w:pPr>
      <w:ind w:left="720"/>
      <w:contextualSpacing/>
    </w:pPr>
  </w:style>
  <w:style w:type="character" w:styleId="IntenseEmphasis">
    <w:name w:val="Intense Emphasis"/>
    <w:basedOn w:val="DefaultParagraphFont"/>
    <w:uiPriority w:val="21"/>
    <w:qFormat/>
    <w:rsid w:val="00FC0214"/>
    <w:rPr>
      <w:i/>
      <w:iCs/>
      <w:color w:val="0F4761" w:themeColor="accent1" w:themeShade="BF"/>
    </w:rPr>
  </w:style>
  <w:style w:type="paragraph" w:styleId="IntenseQuote">
    <w:name w:val="Intense Quote"/>
    <w:basedOn w:val="Normal"/>
    <w:next w:val="Normal"/>
    <w:link w:val="IntenseQuoteChar"/>
    <w:uiPriority w:val="30"/>
    <w:qFormat/>
    <w:rsid w:val="00FC02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0214"/>
    <w:rPr>
      <w:i/>
      <w:iCs/>
      <w:color w:val="0F4761" w:themeColor="accent1" w:themeShade="BF"/>
    </w:rPr>
  </w:style>
  <w:style w:type="character" w:styleId="IntenseReference">
    <w:name w:val="Intense Reference"/>
    <w:basedOn w:val="DefaultParagraphFont"/>
    <w:uiPriority w:val="32"/>
    <w:qFormat/>
    <w:rsid w:val="00FC021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626</Words>
  <Characters>3876</Characters>
  <Application>Microsoft Office Word</Application>
  <DocSecurity>0</DocSecurity>
  <Lines>69</Lines>
  <Paragraphs>27</Paragraphs>
  <ScaleCrop>false</ScaleCrop>
  <Company>University of Wales Trinity Saint David</Company>
  <LinksUpToDate>false</LinksUpToDate>
  <CharactersWithSpaces>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1</cp:revision>
  <dcterms:created xsi:type="dcterms:W3CDTF">2026-04-24T13:23:00Z</dcterms:created>
  <dcterms:modified xsi:type="dcterms:W3CDTF">2026-04-24T13:28:00Z</dcterms:modified>
</cp:coreProperties>
</file>