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jpeg" ContentType="image/jpeg"/>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2.xml" ContentType="application/xml"/>
  <Override PartName="/customXml/itemProps1.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3.xml" ContentType="application/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Arial" w:hAnsi="Arial" w:cs="Arial"/>
          <w:b/>
          <w:b/>
          <w:u w:val="single"/>
        </w:rPr>
      </w:pPr>
      <w:r>
        <w:rPr>
          <w:rFonts w:cs="Arial" w:ascii="Arial" w:hAnsi="Arial"/>
          <w:b/>
          <w:u w:val="single"/>
        </w:rPr>
      </w:r>
      <w:bookmarkStart w:id="0" w:name="_GoBack"/>
      <w:bookmarkStart w:id="1" w:name="_GoBack"/>
      <w:bookmarkEnd w:id="1"/>
    </w:p>
    <w:p>
      <w:pPr>
        <w:pStyle w:val="Normal"/>
        <w:jc w:val="both"/>
        <w:rPr>
          <w:rFonts w:ascii="Arial" w:hAnsi="Arial" w:cs="Arial"/>
          <w:b/>
          <w:b/>
          <w:u w:val="single"/>
        </w:rPr>
      </w:pPr>
      <w:r>
        <w:rPr>
          <w:rFonts w:cs="Arial" w:ascii="Arial" w:hAnsi="Arial"/>
          <w:b/>
          <w:u w:val="single"/>
        </w:rPr>
      </w:r>
    </w:p>
    <w:p>
      <w:pPr>
        <w:pStyle w:val="Normal"/>
        <w:jc w:val="both"/>
        <w:rPr>
          <w:rFonts w:ascii="Arial" w:hAnsi="Arial" w:cs="Arial"/>
          <w:b/>
          <w:b/>
          <w:u w:val="single"/>
        </w:rPr>
      </w:pPr>
      <w:r>
        <w:rPr>
          <w:rFonts w:cs="Arial" w:ascii="Arial" w:hAnsi="Arial"/>
          <w:b/>
          <w:u w:val="single"/>
        </w:rPr>
      </w:r>
    </w:p>
    <w:p>
      <w:pPr>
        <w:pStyle w:val="Normal"/>
        <w:jc w:val="center"/>
        <w:rPr>
          <w:rFonts w:ascii="Arial" w:hAnsi="Arial" w:cs="Arial"/>
          <w:b/>
          <w:b/>
          <w:sz w:val="40"/>
          <w:u w:val="single"/>
        </w:rPr>
      </w:pPr>
      <w:r>
        <w:rPr>
          <w:rFonts w:cs="Arial" w:ascii="Arial" w:hAnsi="Arial"/>
          <w:b/>
          <w:sz w:val="40"/>
          <w:u w:val="single"/>
        </w:rPr>
        <w:t>Student Journal</w:t>
      </w:r>
    </w:p>
    <w:p>
      <w:pPr>
        <w:pStyle w:val="Normal"/>
        <w:jc w:val="both"/>
        <w:rPr>
          <w:rFonts w:ascii="Arial" w:hAnsi="Arial" w:cs="Arial"/>
          <w:b/>
          <w:b/>
          <w:u w:val="single"/>
        </w:rPr>
      </w:pPr>
      <w:r>
        <w:rPr>
          <w:rFonts w:cs="Arial" w:ascii="Arial" w:hAnsi="Arial"/>
          <w:b/>
          <w:u w:val="single"/>
        </w:rPr>
      </w:r>
    </w:p>
    <w:p>
      <w:pPr>
        <w:pStyle w:val="Normal"/>
        <w:rPr>
          <w:rFonts w:ascii="Arial" w:hAnsi="Arial" w:cs="Arial"/>
          <w:sz w:val="20"/>
          <w:szCs w:val="20"/>
        </w:rPr>
      </w:pPr>
      <w:r>
        <w:rPr>
          <w:rFonts w:cs="Arial" w:ascii="Arial" w:hAnsi="Arial"/>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986"/>
        <w:gridCol w:w="7195"/>
      </w:tblGrid>
      <w:tr>
        <w:trPr/>
        <w:tc>
          <w:tcPr>
            <w:tcW w:w="3986" w:type="dxa"/>
            <w:tcBorders/>
            <w:shd w:color="auto" w:fill="8DB3E2" w:themeFill="text2" w:themeFillTint="66" w:val="clear"/>
          </w:tcPr>
          <w:p>
            <w:pPr>
              <w:pStyle w:val="Normal"/>
              <w:rPr/>
            </w:pPr>
            <w:r>
              <w:rPr>
                <w:rFonts w:cs="Arial" w:ascii="Arial" w:hAnsi="Arial"/>
                <w:b/>
              </w:rPr>
              <w:t xml:space="preserve">Student Name: </w:t>
            </w:r>
            <w:r>
              <w:rPr>
                <w:rFonts w:cs="Arial" w:ascii="Arial" w:hAnsi="Arial"/>
                <w:b/>
              </w:rPr>
              <w:t>Costel Orlando Tocila</w:t>
            </w:r>
          </w:p>
          <w:p>
            <w:pPr>
              <w:pStyle w:val="Normal"/>
              <w:rPr>
                <w:rFonts w:ascii="Arial" w:hAnsi="Arial" w:cs="Arial"/>
                <w:b/>
                <w:b/>
              </w:rPr>
            </w:pPr>
            <w:r>
              <w:rPr>
                <w:rFonts w:cs="Arial" w:ascii="Arial" w:hAnsi="Arial"/>
                <w:b/>
              </w:rPr>
            </w:r>
          </w:p>
          <w:p>
            <w:pPr>
              <w:pStyle w:val="Normal"/>
              <w:rPr/>
            </w:pPr>
            <w:r>
              <w:rPr>
                <w:rFonts w:cs="Arial" w:ascii="Arial" w:hAnsi="Arial"/>
                <w:b/>
              </w:rPr>
              <w:t xml:space="preserve">Student Number: </w:t>
            </w:r>
            <w:r>
              <w:rPr>
                <w:rFonts w:cs="Arial" w:ascii="Arial" w:hAnsi="Arial"/>
                <w:b/>
              </w:rPr>
              <w:t>2120092</w:t>
            </w:r>
          </w:p>
          <w:p>
            <w:pPr>
              <w:pStyle w:val="Normal"/>
              <w:rPr>
                <w:rFonts w:ascii="Arial" w:hAnsi="Arial" w:cs="Arial"/>
                <w:b/>
                <w:b/>
              </w:rPr>
            </w:pPr>
            <w:r>
              <w:rPr>
                <w:rFonts w:cs="Arial" w:ascii="Arial" w:hAnsi="Arial"/>
                <w:b/>
              </w:rPr>
            </w:r>
          </w:p>
        </w:tc>
        <w:tc>
          <w:tcPr>
            <w:tcW w:w="7195" w:type="dxa"/>
            <w:tcBorders/>
            <w:shd w:color="auto" w:fill="8DB3E2" w:themeFill="text2" w:themeFillTint="66" w:val="clear"/>
          </w:tcPr>
          <w:p>
            <w:pPr>
              <w:pStyle w:val="Normal"/>
              <w:rPr/>
            </w:pPr>
            <w:r>
              <w:rPr>
                <w:rFonts w:cs="Arial" w:ascii="Arial" w:hAnsi="Arial"/>
                <w:b/>
              </w:rPr>
              <w:t xml:space="preserve">Module: </w:t>
            </w:r>
            <w:r>
              <w:rPr>
                <w:rFonts w:cs="Arial" w:ascii="Arial" w:hAnsi="Arial"/>
                <w:b/>
              </w:rPr>
              <w:t>Food And Beverage Operation</w:t>
            </w:r>
          </w:p>
          <w:p>
            <w:pPr>
              <w:pStyle w:val="Normal"/>
              <w:rPr>
                <w:rFonts w:ascii="Arial" w:hAnsi="Arial" w:cs="Arial"/>
                <w:b/>
                <w:b/>
              </w:rPr>
            </w:pPr>
            <w:r>
              <w:rPr>
                <w:rFonts w:cs="Arial" w:ascii="Arial" w:hAnsi="Arial"/>
                <w:b/>
              </w:rPr>
            </w:r>
          </w:p>
          <w:p>
            <w:pPr>
              <w:pStyle w:val="Normal"/>
              <w:rPr/>
            </w:pPr>
            <w:r>
              <w:rPr>
                <w:rFonts w:cs="Arial" w:ascii="Arial" w:hAnsi="Arial"/>
                <w:b/>
              </w:rPr>
              <w:t xml:space="preserve">Lecturer: </w:t>
            </w:r>
            <w:r>
              <w:rPr>
                <w:rFonts w:cs="Arial" w:ascii="Arial" w:hAnsi="Arial"/>
                <w:b/>
              </w:rPr>
              <w:t>Lola Villard</w:t>
            </w:r>
          </w:p>
        </w:tc>
      </w:tr>
    </w:tbl>
    <w:p>
      <w:pPr>
        <w:pStyle w:val="Normal"/>
        <w:rPr>
          <w:rFonts w:ascii="Arial" w:hAnsi="Arial" w:cs="Arial"/>
          <w:sz w:val="20"/>
          <w:szCs w:val="20"/>
        </w:rPr>
      </w:pPr>
      <w:r>
        <w:rPr>
          <w:rFonts w:cs="Arial" w:ascii="Arial" w:hAnsi="Arial"/>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983"/>
        <w:gridCol w:w="7198"/>
      </w:tblGrid>
      <w:tr>
        <w:trPr>
          <w:trHeight w:val="640" w:hRule="atLeast"/>
        </w:trPr>
        <w:tc>
          <w:tcPr>
            <w:tcW w:w="3983" w:type="dxa"/>
            <w:tcBorders/>
            <w:shd w:color="auto" w:fill="FBD4B4" w:themeFill="accent6" w:themeFillTint="66" w:val="clear"/>
          </w:tcPr>
          <w:p>
            <w:pPr>
              <w:pStyle w:val="Normal"/>
              <w:rPr>
                <w:rFonts w:ascii="Arial" w:hAnsi="Arial" w:cs="Arial"/>
                <w:b/>
                <w:b/>
              </w:rPr>
            </w:pPr>
            <w:r>
              <w:rPr>
                <w:rFonts w:cs="Arial" w:ascii="Arial" w:hAnsi="Arial"/>
                <w:b/>
              </w:rPr>
              <w:t xml:space="preserve">The topic of choice: </w:t>
            </w:r>
          </w:p>
        </w:tc>
        <w:tc>
          <w:tcPr>
            <w:tcW w:w="7198" w:type="dxa"/>
            <w:tcBorders/>
            <w:shd w:color="auto" w:fill="FBD4B4" w:themeFill="accent6" w:themeFillTint="66" w:val="clear"/>
          </w:tcPr>
          <w:p>
            <w:pPr>
              <w:pStyle w:val="NormalWeb"/>
              <w:spacing w:before="0" w:after="0"/>
              <w:rPr>
                <w:rFonts w:ascii="Arial" w:hAnsi="Arial" w:cs="Arial"/>
              </w:rPr>
            </w:pPr>
            <w:r>
              <w:rPr>
                <w:rFonts w:cs="Arial" w:ascii="Arial" w:hAnsi="Arial"/>
              </w:rPr>
              <w:t xml:space="preserve">Allergies and Intolerances and the importance within the industry </w:t>
            </w:r>
          </w:p>
        </w:tc>
      </w:tr>
      <w:tr>
        <w:trPr>
          <w:trHeight w:val="2494" w:hRule="atLeast"/>
        </w:trPr>
        <w:tc>
          <w:tcPr>
            <w:tcW w:w="11181" w:type="dxa"/>
            <w:gridSpan w:val="2"/>
            <w:tcBorders/>
            <w:shd w:fill="auto" w:val="clear"/>
          </w:tcPr>
          <w:p>
            <w:pPr>
              <w:pStyle w:val="Normal"/>
              <w:rPr>
                <w:rFonts w:ascii="Arial" w:hAnsi="Arial" w:cs="Arial"/>
                <w:sz w:val="20"/>
                <w:szCs w:val="20"/>
              </w:rPr>
            </w:pPr>
            <w:r>
              <w:rPr>
                <w:rFonts w:cs="Arial" w:ascii="Arial" w:hAnsi="Arial"/>
                <w:sz w:val="20"/>
                <w:szCs w:val="20"/>
              </w:rPr>
            </w:r>
          </w:p>
          <w:p>
            <w:pPr>
              <w:pStyle w:val="Normal"/>
              <w:spacing w:lineRule="auto" w:line="360"/>
              <w:jc w:val="both"/>
              <w:rPr>
                <w:rFonts w:ascii="Arial" w:hAnsi="Arial" w:cs="Arial"/>
              </w:rPr>
            </w:pPr>
            <w:r>
              <w:rPr>
                <w:rFonts w:cs="Arial" w:ascii="Arial" w:hAnsi="Arial"/>
              </w:rPr>
              <w:t xml:space="preserve">Food and beverage management is an essential part of Hospitality and Tourism management. The staff working in the hospitality and tourism sector have to remain aware of food safety regarding allergenic ingredients and any type of intolerant ingredients in the food. I attended the lecture on Allergies and Intolerance in week 2. In the lecture, the lecturer discussed what is meant by allergenic foods, what are the existing legislation and law for managing the allergens, and the procedures for managing the risk in the lecture. Therefore, I could accumulate new areas of skill and knowledge regarding the topic. </w:t>
            </w:r>
          </w:p>
          <w:p>
            <w:pPr>
              <w:pStyle w:val="Normal"/>
              <w:spacing w:lineRule="auto" w:line="360" w:before="240" w:after="0"/>
              <w:jc w:val="both"/>
              <w:rPr>
                <w:rFonts w:ascii="Arial" w:hAnsi="Arial" w:cs="Arial"/>
              </w:rPr>
            </w:pPr>
            <w:r>
              <w:rPr>
                <w:rFonts w:cs="Arial" w:ascii="Arial" w:hAnsi="Arial"/>
              </w:rPr>
              <w:t>From the lecture, I have learned that the allergens are the response of the immune system being attached to or consuming a specific kind of food. In recent times, the case of food allergens and intolerance has got the most buzzing, especially in the case of children due to several incidents (</w:t>
            </w:r>
            <w:r>
              <w:rPr>
                <w:rFonts w:cs="Arial" w:ascii="Arial" w:hAnsi="Arial"/>
                <w:color w:val="000000"/>
              </w:rPr>
              <w:t>Nicklin, 2017</w:t>
            </w:r>
            <w:r>
              <w:rPr>
                <w:rFonts w:cs="Arial" w:ascii="Arial" w:hAnsi="Arial"/>
              </w:rPr>
              <w:t xml:space="preserve">). Therefore, it is required to maintain and comply with the existing laws and regulations. I came to know from the lecture that food allergens can even cause death if it reaches a severity. As a result, a person who has allergens in certain foods should remain aware of them. As the hospitality and tourism industry deals with supplying foods to the tourists and customers visiting the premises. They are very much sensitive to complying with the regulations and laws relating to it. </w:t>
            </w:r>
          </w:p>
          <w:p>
            <w:pPr>
              <w:pStyle w:val="Normal"/>
              <w:spacing w:lineRule="auto" w:line="360" w:before="240" w:after="0"/>
              <w:jc w:val="both"/>
              <w:rPr>
                <w:rFonts w:ascii="Arial" w:hAnsi="Arial" w:cs="Arial"/>
              </w:rPr>
            </w:pPr>
            <w:r>
              <w:rPr>
                <w:rFonts w:cs="Arial" w:ascii="Arial" w:hAnsi="Arial"/>
              </w:rPr>
              <w:t>I have learned from the lecture that an effective allergen management program can eliminate or alleviate the risk of allergen and intolerance in the hospitality and tourism sector. The foods and food items that contain allergenic substances should be handled with care and responsibility in every step of processing raw materials, final foods, presentation, etc (</w:t>
            </w:r>
            <w:r>
              <w:rPr>
                <w:rFonts w:cs="Arial" w:ascii="Arial" w:hAnsi="Arial"/>
                <w:color w:val="000000"/>
              </w:rPr>
              <w:t>Fietz, Bavorová, Grüner, and Hirschauer, 2018</w:t>
            </w:r>
            <w:r>
              <w:rPr>
                <w:rFonts w:cs="Arial" w:ascii="Arial" w:hAnsi="Arial"/>
              </w:rPr>
              <w:t xml:space="preserve">). I also came to know that the proper training and education of the staff can also eliminate the risk of food allergenic. The reason behind it is that it will enable them to emphasize identification, management, and communication of the issue effectively which will eliminate the risk. </w:t>
            </w:r>
          </w:p>
          <w:p>
            <w:pPr>
              <w:pStyle w:val="Normal"/>
              <w:spacing w:lineRule="auto" w:line="360" w:before="240" w:after="0"/>
              <w:jc w:val="both"/>
              <w:rPr>
                <w:rFonts w:ascii="Arial" w:hAnsi="Arial" w:cs="Arial"/>
              </w:rPr>
            </w:pPr>
            <w:r>
              <w:rPr>
                <w:rFonts w:cs="Arial" w:ascii="Arial" w:hAnsi="Arial"/>
              </w:rPr>
              <w:t>From the lecture, I have learned that, according to the EU law, it is mandatory for the producer and supplier to mention the allergenic substances on the label of 14 types of foods and food items including milk, fish, peanuts, nuts, etc. In the US, the government has indicated 8 foods that contain 80% of the food allergens (</w:t>
            </w:r>
            <w:r>
              <w:rPr>
                <w:rFonts w:cs="Arial" w:ascii="Arial" w:hAnsi="Arial"/>
                <w:color w:val="000000"/>
              </w:rPr>
              <w:t>Seaman and Eves, 2016</w:t>
            </w:r>
            <w:r>
              <w:rPr>
                <w:rFonts w:cs="Arial" w:ascii="Arial" w:hAnsi="Arial"/>
              </w:rPr>
              <w:t>). The manufacturers and suppliers of these foods should remain aware and indicate the risk in the label of the products while marketing. I learned from the lecture that ISO has described the allergens as food safety hazards and they should be managed effectively for protecting the health of the people. The lecturer also discussed Natsha’s law in his lecture which was enacted on 1</w:t>
            </w:r>
            <w:r>
              <w:rPr>
                <w:rFonts w:cs="Arial" w:ascii="Arial" w:hAnsi="Arial"/>
                <w:vertAlign w:val="superscript"/>
              </w:rPr>
              <w:t>st</w:t>
            </w:r>
            <w:r>
              <w:rPr>
                <w:rFonts w:cs="Arial" w:ascii="Arial" w:hAnsi="Arial"/>
              </w:rPr>
              <w:t xml:space="preserve"> October 2021 (</w:t>
            </w:r>
            <w:r>
              <w:rPr>
                <w:rFonts w:cs="Arial" w:ascii="Arial" w:hAnsi="Arial"/>
                <w:color w:val="000000"/>
              </w:rPr>
              <w:t>Garzon, Kempker and Piel, 2022</w:t>
            </w:r>
            <w:r>
              <w:rPr>
                <w:rFonts w:cs="Arial" w:ascii="Arial" w:hAnsi="Arial"/>
              </w:rPr>
              <w:t xml:space="preserve">). I have learned that the law requires to label all ingredients of a food, allergen substances in the food emphasizing through different colors, bold or italic so that people can easily understand them. </w:t>
            </w:r>
          </w:p>
          <w:p>
            <w:pPr>
              <w:pStyle w:val="Normal"/>
              <w:spacing w:lineRule="auto" w:line="360" w:before="240" w:after="0"/>
              <w:jc w:val="both"/>
              <w:rPr>
                <w:rFonts w:ascii="Arial" w:hAnsi="Arial" w:cs="Arial"/>
              </w:rPr>
            </w:pPr>
            <w:r>
              <w:rPr>
                <w:rFonts w:cs="Arial" w:ascii="Arial" w:hAnsi="Arial"/>
              </w:rPr>
              <w:t>The cases of allergenic attacks and intolerance of food items served to the customers of the hospitality and tourism sector are closely related to the reputation of the company. it creates a severe negative impact on the company’s market share and customer satisfaction as it raises the question of the management and awareness of customers' health and food safety (</w:t>
            </w:r>
            <w:r>
              <w:rPr>
                <w:rFonts w:cs="Arial" w:ascii="Arial" w:hAnsi="Arial"/>
                <w:color w:val="000000"/>
              </w:rPr>
              <w:t>Coyle, 2011</w:t>
            </w:r>
            <w:r>
              <w:rPr>
                <w:rFonts w:cs="Arial" w:ascii="Arial" w:hAnsi="Arial"/>
              </w:rPr>
              <w:t xml:space="preserve">). The learnings that I attained from the lecture are expected to have wide value in my future career. I will be able to manage the food safety risk of the guests visiting my premises where I will be employed. Moreover, I will be able to comply with the laws and industry standards that have been imposed as a best practice to minimize the risk of allergens and intolerance. As a result, I will be able to show my prudence and awareness in managing the food safety of customers. it will also facilitate managing the reputation and increase the acceptability of the company where I will be employed. Although I have been able to improve my knowledge and skill regarding allergen and intolerance of food in the tourism and hospitality sector, I have some areas to learn more about it. For example, I have to learn international practices of allergenic management and food safety management. Moreover, I need to learn how to eliminate the risk of allergenic attacks. </w:t>
            </w:r>
          </w:p>
          <w:p>
            <w:pPr>
              <w:pStyle w:val="Normal"/>
              <w:jc w:val="both"/>
              <w:rPr>
                <w:rFonts w:ascii="Arial" w:hAnsi="Arial" w:cs="Arial"/>
                <w:sz w:val="20"/>
                <w:szCs w:val="20"/>
              </w:rPr>
            </w:pPr>
            <w:r>
              <w:rPr>
                <w:rFonts w:cs="Arial" w:ascii="Arial" w:hAnsi="Arial"/>
                <w:sz w:val="20"/>
                <w:szCs w:val="20"/>
              </w:rPr>
            </w:r>
          </w:p>
        </w:tc>
      </w:tr>
    </w:tbl>
    <w:p>
      <w:pPr>
        <w:pStyle w:val="Normal"/>
        <w:rPr>
          <w:rFonts w:ascii="Arial" w:hAnsi="Arial" w:cs="Arial"/>
          <w:b/>
          <w:b/>
        </w:rPr>
      </w:pPr>
      <w:r>
        <w:rPr>
          <w:rFonts w:cs="Arial" w:ascii="Arial" w:hAnsi="Arial"/>
          <w:b/>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10909"/>
        <w:gridCol w:w="272"/>
      </w:tblGrid>
      <w:tr>
        <w:trPr/>
        <w:tc>
          <w:tcPr>
            <w:tcW w:w="10909" w:type="dxa"/>
            <w:tcBorders/>
            <w:shd w:color="auto" w:fill="FBD4B4" w:themeFill="accent6" w:themeFillTint="66" w:val="clear"/>
          </w:tcPr>
          <w:p>
            <w:pPr>
              <w:pStyle w:val="Normal"/>
              <w:rPr>
                <w:rFonts w:ascii="Arial" w:hAnsi="Arial" w:cs="Arial"/>
                <w:b/>
                <w:b/>
                <w:sz w:val="20"/>
                <w:szCs w:val="20"/>
              </w:rPr>
            </w:pPr>
            <w:r>
              <w:rPr>
                <w:rFonts w:cs="Arial" w:ascii="Arial" w:hAnsi="Arial"/>
                <w:b/>
                <w:sz w:val="20"/>
                <w:szCs w:val="20"/>
              </w:rPr>
              <w:t>REFERENCE LIST</w:t>
            </w:r>
          </w:p>
        </w:tc>
        <w:tc>
          <w:tcPr>
            <w:tcW w:w="272" w:type="dxa"/>
            <w:tcBorders/>
            <w:shd w:color="auto" w:fill="FBD4B4" w:themeFill="accent6" w:themeFillTint="66" w:val="clear"/>
          </w:tcPr>
          <w:p>
            <w:pPr>
              <w:pStyle w:val="Normal"/>
              <w:jc w:val="center"/>
              <w:rPr>
                <w:rFonts w:ascii="Arial" w:hAnsi="Arial" w:cs="Arial"/>
                <w:b/>
                <w:b/>
                <w:sz w:val="20"/>
                <w:szCs w:val="20"/>
              </w:rPr>
            </w:pPr>
            <w:r>
              <w:rPr>
                <w:rFonts w:cs="Arial" w:ascii="Arial" w:hAnsi="Arial"/>
                <w:b/>
                <w:sz w:val="20"/>
                <w:szCs w:val="20"/>
              </w:rPr>
            </w:r>
          </w:p>
          <w:p>
            <w:pPr>
              <w:pStyle w:val="Normal"/>
              <w:jc w:val="center"/>
              <w:rPr>
                <w:rFonts w:ascii="Arial" w:hAnsi="Arial" w:cs="Arial"/>
                <w:b/>
                <w:b/>
                <w:sz w:val="20"/>
                <w:szCs w:val="20"/>
              </w:rPr>
            </w:pPr>
            <w:r>
              <w:rPr>
                <w:rFonts w:cs="Arial" w:ascii="Arial" w:hAnsi="Arial"/>
                <w:b/>
                <w:sz w:val="20"/>
                <w:szCs w:val="20"/>
              </w:rPr>
            </w:r>
          </w:p>
        </w:tc>
      </w:tr>
      <w:tr>
        <w:trPr>
          <w:trHeight w:val="2494" w:hRule="atLeast"/>
        </w:trPr>
        <w:tc>
          <w:tcPr>
            <w:tcW w:w="11181" w:type="dxa"/>
            <w:gridSpan w:val="2"/>
            <w:tcBorders/>
            <w:shd w:fill="auto" w:val="clear"/>
          </w:tcPr>
          <w:p>
            <w:pPr>
              <w:pStyle w:val="Normal"/>
              <w:rPr>
                <w:rFonts w:ascii="Arial" w:hAnsi="Arial" w:cs="Arial"/>
                <w:sz w:val="20"/>
                <w:szCs w:val="20"/>
              </w:rPr>
            </w:pPr>
            <w:r>
              <w:rPr>
                <w:rFonts w:cs="Arial" w:ascii="Arial" w:hAnsi="Arial"/>
                <w:sz w:val="20"/>
                <w:szCs w:val="20"/>
              </w:rPr>
            </w:r>
          </w:p>
          <w:p>
            <w:pPr>
              <w:pStyle w:val="Normal"/>
              <w:spacing w:before="0" w:after="180"/>
              <w:ind w:left="450" w:hanging="450"/>
              <w:jc w:val="both"/>
              <w:rPr>
                <w:rFonts w:ascii="Arial" w:hAnsi="Arial" w:cs="Arial"/>
                <w:color w:val="000000"/>
              </w:rPr>
            </w:pPr>
            <w:r>
              <w:rPr>
                <w:rFonts w:cs="Arial" w:ascii="Arial" w:hAnsi="Arial"/>
                <w:color w:val="000000"/>
              </w:rPr>
              <w:t>Coyle, M., 2011. Food and Beverage Management, 2nd ed. </w:t>
            </w:r>
            <w:r>
              <w:rPr>
                <w:rFonts w:cs="Arial" w:ascii="Arial" w:hAnsi="Arial"/>
                <w:i/>
                <w:iCs/>
                <w:color w:val="000000"/>
              </w:rPr>
              <w:t>International Journal of Hospitality Management</w:t>
            </w:r>
            <w:r>
              <w:rPr>
                <w:rFonts w:cs="Arial" w:ascii="Arial" w:hAnsi="Arial"/>
                <w:color w:val="000000"/>
              </w:rPr>
              <w:t>, 12(2), pp.213-214.</w:t>
            </w:r>
          </w:p>
          <w:p>
            <w:pPr>
              <w:pStyle w:val="Normal"/>
              <w:spacing w:before="0" w:after="180"/>
              <w:ind w:left="450" w:hanging="450"/>
              <w:jc w:val="both"/>
              <w:rPr>
                <w:rFonts w:ascii="Arial" w:hAnsi="Arial" w:cs="Arial"/>
                <w:color w:val="000000"/>
              </w:rPr>
            </w:pPr>
            <w:r>
              <w:rPr>
                <w:rFonts w:cs="Arial" w:ascii="Arial" w:hAnsi="Arial"/>
                <w:color w:val="000000"/>
              </w:rPr>
              <w:t>Fietz, A., Bavorová, M., Grüner, S. and Hirschauer, N., 2018. Compliance with Food Safety Laws. </w:t>
            </w:r>
            <w:r>
              <w:rPr>
                <w:rFonts w:cs="Arial" w:ascii="Arial" w:hAnsi="Arial"/>
                <w:i/>
                <w:iCs/>
                <w:color w:val="000000"/>
              </w:rPr>
              <w:t>Law &amp;amp; Policy</w:t>
            </w:r>
            <w:r>
              <w:rPr>
                <w:rFonts w:cs="Arial" w:ascii="Arial" w:hAnsi="Arial"/>
                <w:color w:val="000000"/>
              </w:rPr>
              <w:t>, 40(3), pp.267-285.</w:t>
            </w:r>
          </w:p>
          <w:p>
            <w:pPr>
              <w:pStyle w:val="Normal"/>
              <w:spacing w:before="0" w:after="180"/>
              <w:ind w:left="450" w:hanging="450"/>
              <w:jc w:val="both"/>
              <w:rPr>
                <w:rFonts w:ascii="Arial" w:hAnsi="Arial" w:cs="Arial"/>
                <w:color w:val="000000"/>
              </w:rPr>
            </w:pPr>
            <w:r>
              <w:rPr>
                <w:rFonts w:cs="Arial" w:ascii="Arial" w:hAnsi="Arial"/>
                <w:color w:val="000000"/>
              </w:rPr>
              <w:t>Garzon, D., Kempker, T. and Piel, P., 2022. Primary care management of food allergy and food intolerance. </w:t>
            </w:r>
            <w:r>
              <w:rPr>
                <w:rFonts w:cs="Arial" w:ascii="Arial" w:hAnsi="Arial"/>
                <w:i/>
                <w:iCs/>
                <w:color w:val="000000"/>
              </w:rPr>
              <w:t>The Nurse Practitioner</w:t>
            </w:r>
            <w:r>
              <w:rPr>
                <w:rFonts w:cs="Arial" w:ascii="Arial" w:hAnsi="Arial"/>
                <w:color w:val="000000"/>
              </w:rPr>
              <w:t>, 36(12), pp.34-40.</w:t>
            </w:r>
          </w:p>
          <w:p>
            <w:pPr>
              <w:pStyle w:val="Normal"/>
              <w:spacing w:before="0" w:after="180"/>
              <w:ind w:left="450" w:hanging="450"/>
              <w:jc w:val="both"/>
              <w:rPr>
                <w:rFonts w:ascii="Arial" w:hAnsi="Arial" w:cs="Arial"/>
                <w:color w:val="000000"/>
              </w:rPr>
            </w:pPr>
            <w:r>
              <w:rPr>
                <w:rFonts w:cs="Arial" w:ascii="Arial" w:hAnsi="Arial"/>
                <w:color w:val="000000"/>
              </w:rPr>
              <w:t>Nicklin, S., 2017. Food allergy and food intolerance. </w:t>
            </w:r>
            <w:r>
              <w:rPr>
                <w:rFonts w:cs="Arial" w:ascii="Arial" w:hAnsi="Arial"/>
                <w:i/>
                <w:iCs/>
                <w:color w:val="000000"/>
              </w:rPr>
              <w:t>Food and Chemical Toxicology</w:t>
            </w:r>
            <w:r>
              <w:rPr>
                <w:rFonts w:cs="Arial" w:ascii="Arial" w:hAnsi="Arial"/>
                <w:color w:val="000000"/>
              </w:rPr>
              <w:t>, 25(9), p.713.</w:t>
            </w:r>
          </w:p>
          <w:p>
            <w:pPr>
              <w:pStyle w:val="Normal"/>
              <w:spacing w:before="0" w:after="180"/>
              <w:ind w:left="450" w:hanging="450"/>
              <w:jc w:val="both"/>
              <w:rPr>
                <w:rFonts w:ascii="Arial" w:hAnsi="Arial" w:cs="Arial"/>
                <w:color w:val="000000"/>
              </w:rPr>
            </w:pPr>
            <w:r>
              <w:rPr>
                <w:rFonts w:cs="Arial" w:ascii="Arial" w:hAnsi="Arial"/>
                <w:color w:val="000000"/>
              </w:rPr>
              <w:t>Seaman, P. and Eves, A., 2016. The management of food safety—the role of food hygiene training in the UK service sector. </w:t>
            </w:r>
            <w:r>
              <w:rPr>
                <w:rFonts w:cs="Arial" w:ascii="Arial" w:hAnsi="Arial"/>
                <w:i/>
                <w:iCs/>
                <w:color w:val="000000"/>
              </w:rPr>
              <w:t>International Journal of Hospitality Management</w:t>
            </w:r>
            <w:r>
              <w:rPr>
                <w:rFonts w:cs="Arial" w:ascii="Arial" w:hAnsi="Arial"/>
                <w:color w:val="000000"/>
              </w:rPr>
              <w:t>, 25(2), pp.278-296</w:t>
            </w:r>
          </w:p>
          <w:p>
            <w:pPr>
              <w:pStyle w:val="Normal"/>
              <w:jc w:val="both"/>
              <w:rPr>
                <w:rFonts w:ascii="Arial" w:hAnsi="Arial" w:cs="Arial"/>
                <w:sz w:val="20"/>
                <w:szCs w:val="20"/>
              </w:rPr>
            </w:pPr>
            <w:r>
              <w:rPr>
                <w:rFonts w:cs="Arial" w:ascii="Arial" w:hAnsi="Arial"/>
                <w:sz w:val="20"/>
                <w:szCs w:val="20"/>
              </w:rPr>
            </w:r>
          </w:p>
        </w:tc>
      </w:tr>
    </w:tbl>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pPr>
      <w:r>
        <w:rPr/>
      </w:r>
    </w:p>
    <w:sectPr>
      <w:headerReference w:type="default" r:id="rId2"/>
      <w:footerReference w:type="default" r:id="rId3"/>
      <w:type w:val="nextPage"/>
      <w:pgSz w:w="11906" w:h="16838"/>
      <w:pgMar w:left="357" w:right="357" w:header="709" w:top="766" w:footer="709" w:bottom="766"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0"/>
    <w:family w:val="swiss"/>
    <w:pitch w:val="variable"/>
  </w:font>
  <w:font w:name="Tahoma">
    <w:charset w:val="00"/>
    <w:family w:val="roman"/>
    <w:pitch w:val="variable"/>
  </w:font>
  <w:font w:name="Arial">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110376784"/>
    </w:sdtPr>
    <w:sdtContent>
      <w:p>
        <w:pPr>
          <w:pStyle w:val="Footer"/>
          <w:jc w:val="right"/>
          <w:rPr/>
        </w:pPr>
        <w:r>
          <w:rPr/>
          <w:fldChar w:fldCharType="begin"/>
        </w:r>
        <w:r>
          <w:rPr/>
          <w:instrText> PAGE </w:instrText>
        </w:r>
        <w:r>
          <w:rPr/>
          <w:fldChar w:fldCharType="separate"/>
        </w:r>
        <w:r>
          <w:rPr/>
          <w:t>3</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rFonts w:ascii="Calibri" w:hAnsi="Calibri" w:asciiTheme="minorHAnsi" w:hAnsiTheme="minorHAnsi"/>
      </w:rPr>
    </w:pPr>
    <w:r>
      <w:drawing>
        <wp:anchor behindDoc="1" distT="0" distB="0" distL="114300" distR="114300" simplePos="0" locked="0" layoutInCell="1" allowOverlap="1" relativeHeight="4">
          <wp:simplePos x="0" y="0"/>
          <wp:positionH relativeFrom="margin">
            <wp:posOffset>1270</wp:posOffset>
          </wp:positionH>
          <wp:positionV relativeFrom="margin">
            <wp:posOffset>-357505</wp:posOffset>
          </wp:positionV>
          <wp:extent cx="2303780" cy="765175"/>
          <wp:effectExtent l="0" t="0" r="0" b="0"/>
          <wp:wrapSquare wrapText="bothSides"/>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1"/>
                  <a:stretch>
                    <a:fillRect/>
                  </a:stretch>
                </pic:blipFill>
                <pic:spPr bwMode="auto">
                  <a:xfrm>
                    <a:off x="0" y="0"/>
                    <a:ext cx="2303780" cy="765175"/>
                  </a:xfrm>
                  <a:prstGeom prst="rect">
                    <a:avLst/>
                  </a:prstGeom>
                </pic:spPr>
              </pic:pic>
            </a:graphicData>
          </a:graphic>
        </wp:anchor>
      </w:drawing>
    </w:r>
    <w:r>
      <w:rPr>
        <w:rFonts w:ascii="Calibri" w:hAnsi="Calibri" w:asciiTheme="minorHAnsi" w:hAnsiTheme="minorHAnsi"/>
      </w:rPr>
      <w:t>I</w:t>
    </w:r>
    <w:r>
      <w:rPr>
        <w:rFonts w:ascii="Calibri" w:hAnsi="Calibri" w:asciiTheme="minorHAnsi" w:hAnsiTheme="minorHAnsi"/>
      </w:rPr>
      <w:t>nternational Hotel Management</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478ce"/>
    <w:pPr>
      <w:widowControl/>
      <w:bidi w:val="0"/>
      <w:jc w:val="left"/>
    </w:pPr>
    <w:rPr>
      <w:rFonts w:ascii="Times New Roman" w:hAnsi="Times New Roman" w:eastAsia="Times New Roman" w:cs="Times New Roman"/>
      <w:color w:val="auto"/>
      <w:kern w:val="0"/>
      <w:sz w:val="24"/>
      <w:szCs w:val="24"/>
      <w:lang w:val="en-GB" w:eastAsia="en-GB" w:bidi="ar-SA"/>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b44b68"/>
    <w:rPr>
      <w:sz w:val="24"/>
      <w:szCs w:val="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rsid w:val="00301ad0"/>
    <w:pPr>
      <w:tabs>
        <w:tab w:val="clear" w:pos="720"/>
        <w:tab w:val="center" w:pos="4153" w:leader="none"/>
        <w:tab w:val="right" w:pos="8306" w:leader="none"/>
      </w:tabs>
    </w:pPr>
    <w:rPr/>
  </w:style>
  <w:style w:type="paragraph" w:styleId="Footer">
    <w:name w:val="Footer"/>
    <w:basedOn w:val="Normal"/>
    <w:link w:val="FooterChar"/>
    <w:uiPriority w:val="99"/>
    <w:rsid w:val="00301ad0"/>
    <w:pPr>
      <w:tabs>
        <w:tab w:val="clear" w:pos="720"/>
        <w:tab w:val="center" w:pos="4153" w:leader="none"/>
        <w:tab w:val="right" w:pos="8306" w:leader="none"/>
      </w:tabs>
    </w:pPr>
    <w:rPr/>
  </w:style>
  <w:style w:type="paragraph" w:styleId="BalloonText">
    <w:name w:val="Balloon Text"/>
    <w:basedOn w:val="Normal"/>
    <w:semiHidden/>
    <w:qFormat/>
    <w:rsid w:val="00294842"/>
    <w:pPr/>
    <w:rPr>
      <w:rFonts w:ascii="Tahoma" w:hAnsi="Tahoma" w:cs="Tahoma"/>
      <w:sz w:val="16"/>
      <w:szCs w:val="16"/>
    </w:rPr>
  </w:style>
  <w:style w:type="paragraph" w:styleId="ListParagraph">
    <w:name w:val="List Paragraph"/>
    <w:basedOn w:val="Normal"/>
    <w:uiPriority w:val="34"/>
    <w:qFormat/>
    <w:rsid w:val="00162fe2"/>
    <w:pPr>
      <w:spacing w:before="0" w:after="0"/>
      <w:ind w:left="720" w:hanging="0"/>
      <w:contextualSpacing/>
    </w:pPr>
    <w:rPr/>
  </w:style>
  <w:style w:type="paragraph" w:styleId="NormalWeb">
    <w:name w:val="Normal (Web)"/>
    <w:basedOn w:val="Normal"/>
    <w:uiPriority w:val="99"/>
    <w:unhideWhenUsed/>
    <w:qFormat/>
    <w:rsid w:val="0079230b"/>
    <w:pPr>
      <w:spacing w:beforeAutospacing="1" w:afterAutospacing="1"/>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301ad0"/>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 Id="rId8" Type="http://schemas.openxmlformats.org/officeDocument/2006/relationships/customXml" Target="../customXml/item2.xml"/><Relationship Id="rId9" Type="http://schemas.openxmlformats.org/officeDocument/2006/relationships/customXml" Target="../customXml/item3.xml"/>
</Relationships>
</file>

<file path=word/_rels/header1.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07C12548ED31B4EA71F50A9A6C3847F" ma:contentTypeVersion="0" ma:contentTypeDescription="Create a new document." ma:contentTypeScope="" ma:versionID="18d8f3c8fad9e2080352d24f1ad38bbe">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BB0F35-913A-403D-B000-95B48074A1B1}">
  <ds:schemaRefs>
    <ds:schemaRef ds:uri="http://schemas.microsoft.com/sharepoint/v3/contenttype/forms"/>
  </ds:schemaRefs>
</ds:datastoreItem>
</file>

<file path=customXml/itemProps2.xml><?xml version="1.0" encoding="utf-8"?>
<ds:datastoreItem xmlns:ds="http://schemas.openxmlformats.org/officeDocument/2006/customXml" ds:itemID="{B4822EB0-D9D9-4BE3-AC08-71B3EE4C0D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3455BFFA-0AD0-4CBE-9EF8-01897FB8460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109</TotalTime>
  <Application>Neat_Office/6.2.8.2$Windows_x86 LibreOffice_project/</Application>
  <Pages>3</Pages>
  <Words>873</Words>
  <Characters>4510</Characters>
  <CharactersWithSpaces>5369</CharactersWithSpaces>
  <Paragraphs>20</Paragraphs>
  <Company>Marriott International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2022-01-12T15:50:00Z</dcterms:created>
  <dc:creator>lrbal454</dc:creator>
  <dc:description/>
  <dc:language>en-GB</dc:language>
  <cp:lastModifiedBy/>
  <cp:lastPrinted>2020-09-28T20:53:00Z</cp:lastPrinted>
  <dcterms:modified xsi:type="dcterms:W3CDTF">2022-05-25T09:39:34Z</dcterms:modified>
  <cp:revision>12</cp:revision>
  <dc:subject/>
  <dc:title>West Cluster Probationary Period Development Plan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Marriott International</vt:lpwstr>
  </property>
  <property fmtid="{D5CDD505-2E9C-101B-9397-08002B2CF9AE}" pid="4" name="ContentTypeId">
    <vt:lpwstr>0x010100307C12548ED31B4EA71F50A9A6C3847F</vt:lpwstr>
  </property>
  <property fmtid="{D5CDD505-2E9C-101B-9397-08002B2CF9AE}" pid="5" name="DocSecurity">
    <vt:i4>0</vt:i4>
  </property>
  <property fmtid="{D5CDD505-2E9C-101B-9397-08002B2CF9AE}" pid="6" name="HyperlinksChanged">
    <vt:bool>0</vt:bool>
  </property>
  <property fmtid="{D5CDD505-2E9C-101B-9397-08002B2CF9AE}" pid="7" name="LinksUpToDate">
    <vt:bool>0</vt:bool>
  </property>
  <property fmtid="{D5CDD505-2E9C-101B-9397-08002B2CF9AE}" pid="8" name="ScaleCrop">
    <vt:bool>0</vt:bool>
  </property>
  <property fmtid="{D5CDD505-2E9C-101B-9397-08002B2CF9AE}" pid="9" name="ShareDoc">
    <vt:bool>0</vt:bool>
  </property>
</Properties>
</file>