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u w:val="single"/>
        </w:rPr>
      </w:pPr>
      <w:r>
        <w:rPr>
          <w:u w:val="single"/>
          <w:rtl w:val="0"/>
          <w:lang w:val="en-US"/>
        </w:rPr>
        <w:t>The Risks and Benefits of Non-Electronic Resources</w:t>
      </w:r>
    </w:p>
    <w:p>
      <w:pPr>
        <w:pStyle w:val="Body"/>
      </w:pPr>
    </w:p>
    <w:p>
      <w:pPr>
        <w:pStyle w:val="Body"/>
      </w:pPr>
      <w:r>
        <w:rPr>
          <w:rtl w:val="0"/>
          <w:lang w:val="en-US"/>
        </w:rPr>
        <w:t xml:space="preserve">The benefits and risks of non-electronic resources are critical to look at when finding resources to use for legal research. There are many different forms of non-electronic resources that are all credible and can be used in vital ways to conduct research, such as legislation, case law, encyclopaedias, and textbooks. These forms of resources are most commonly used when conducting legal research as they are easily accessible and contain the most accurate information as some of them come directly from the government or courts, depending on what information is required. However, there are some risks to using non-electronic resources as if the information is required as soon as possible then it may take longer to use a non-electronic resource instead of an electronic one. Also, the use of non-electronic resources carry the risk of being outdated as it is a longer process to update non-electronic resources compared to electronic information. The risks and benefits of non-electronic resources poses the scenario for a researcher as to whether they should be using electronic or non-electronic resources when conducting their own research and also which form of resource will provide them with the most accurate information that they can form an understanding from. </w:t>
      </w:r>
    </w:p>
    <w:p>
      <w:pPr>
        <w:pStyle w:val="Body"/>
      </w:pPr>
    </w:p>
    <w:p>
      <w:pPr>
        <w:pStyle w:val="Body"/>
      </w:pPr>
      <w:r>
        <w:rPr>
          <w:rtl w:val="0"/>
          <w:lang w:val="en-US"/>
        </w:rPr>
        <w:t xml:space="preserve">The risk of non-electronic resources is that the world is becoming more reliant on technology and many students can find the information that they want much faster using the internet instead of looking through textbooks or legislation. The study carried out at the University of KwaZulu Natal completely supports this theory as their </w:t>
      </w:r>
      <w:r>
        <w:rPr>
          <w:rtl w:val="1"/>
          <w:lang w:val="ar-SA" w:bidi="ar-SA"/>
        </w:rPr>
        <w:t>“</w:t>
      </w:r>
      <w:r>
        <w:rPr>
          <w:rtl w:val="0"/>
          <w:lang w:val="en-US"/>
        </w:rPr>
        <w:t>study results showed that the undergraduate law students did use most of the electronic databases that the library subscribed to</w:t>
      </w:r>
      <w:r>
        <w:rPr>
          <w:rtl w:val="0"/>
        </w:rPr>
        <w:t xml:space="preserve">” </w:t>
      </w:r>
      <w:r>
        <w:rPr>
          <w:rtl w:val="0"/>
          <w:lang w:val="en-US"/>
        </w:rPr>
        <w:t xml:space="preserve">(Toteng 2014). This shows the risks of non-electronic resources as students prefer the quickest way of gaining information which is what leads them to using these online databases instead of finding the information in a textbook. The problem with this is that students may then be led to information that is either false or does not cover the whole topic as not every online source is credible and can be used for legal research whereas the legislation, case law and textbooks would contain all the correct information and are the most credible source of information. </w:t>
      </w:r>
    </w:p>
    <w:p>
      <w:pPr>
        <w:pStyle w:val="Body"/>
      </w:pPr>
    </w:p>
    <w:p>
      <w:pPr>
        <w:pStyle w:val="Body"/>
      </w:pPr>
      <w:r>
        <w:rPr>
          <w:rtl w:val="0"/>
          <w:lang w:val="en-US"/>
        </w:rPr>
        <w:t xml:space="preserve">Another risk of non-electronic resources is that the information on them can be uploaded to databases and then make the use of them worthless. There are thousands of databases in the world and the growth rate of them is not stopping as </w:t>
      </w:r>
      <w:r>
        <w:rPr>
          <w:rtl w:val="1"/>
          <w:lang w:val="ar-SA" w:bidi="ar-SA"/>
        </w:rPr>
        <w:t>“</w:t>
      </w:r>
      <w:r>
        <w:rPr>
          <w:rtl w:val="0"/>
          <w:lang w:val="en-US"/>
        </w:rPr>
        <w:t>the number of commercially available databases has increased by nearly fifty percent every year for the past six years</w:t>
      </w:r>
      <w:r>
        <w:rPr>
          <w:rtl w:val="0"/>
        </w:rPr>
        <w:t xml:space="preserve">” </w:t>
      </w:r>
      <w:r>
        <w:rPr>
          <w:rtl w:val="0"/>
          <w:lang w:val="en-US"/>
        </w:rPr>
        <w:t xml:space="preserve">(Kauffman 1987). This research shows the increase in online databases and how they are becoming the new norm for people to use for their research which diminishes the use of non-electronic resources as the information that is stored in them is now being uploaded to these databases and people can access them more easily and in their preferred way. This research also shows the increase of technology use as the need for more databases is what pushes the growth rate of them and indicates that people are more inclined to be using these online databases for their research as they prefer the comfortability of having all of their required information in one place. </w:t>
      </w:r>
    </w:p>
    <w:p>
      <w:pPr>
        <w:pStyle w:val="Body"/>
      </w:pPr>
    </w:p>
    <w:p>
      <w:pPr>
        <w:pStyle w:val="Body"/>
      </w:pPr>
      <w:r>
        <w:rPr>
          <w:rtl w:val="0"/>
          <w:lang w:val="en-US"/>
        </w:rPr>
        <w:t xml:space="preserve">The prices of non-electronic resources is another reason why many would choose to use the online resources as </w:t>
      </w:r>
      <w:r>
        <w:rPr>
          <w:rtl w:val="1"/>
          <w:lang w:val="ar-SA" w:bidi="ar-SA"/>
        </w:rPr>
        <w:t>“</w:t>
      </w:r>
      <w:r>
        <w:rPr>
          <w:rtl w:val="0"/>
          <w:lang w:val="en-US"/>
        </w:rPr>
        <w:t>many law offices negotiate reasonable rates for online services, while the price of print publications continues to climb</w:t>
      </w:r>
      <w:r>
        <w:rPr>
          <w:rtl w:val="0"/>
        </w:rPr>
        <w:t xml:space="preserve">” </w:t>
      </w:r>
      <w:r>
        <w:rPr>
          <w:rtl w:val="0"/>
          <w:lang w:val="en-US"/>
        </w:rPr>
        <w:t xml:space="preserve">(Rowe, 1999). For many firms, the accessibility and difficulty of conducting legal research is a key factor for when deciding how to gain the information that they need and so reasons such as the price and how easy it is to access them in terms of speed all add up to the conclusion of their decision to use the electronic resources instead of non-electronic. </w:t>
      </w:r>
    </w:p>
    <w:p>
      <w:pPr>
        <w:pStyle w:val="Body"/>
      </w:pPr>
    </w:p>
    <w:p>
      <w:pPr>
        <w:pStyle w:val="Body"/>
      </w:pPr>
      <w:r>
        <w:rPr>
          <w:rtl w:val="0"/>
          <w:lang w:val="en-US"/>
        </w:rPr>
        <w:t xml:space="preserve">Another key benefit to using non-electronic resources when conducting legal research is that the credibility of them can be determined more easily and the sources can be more reliable as there will always be an author or publisher who signed off on the text. However, when using electronic resources there may not always be an author or publisher whose credentials can be checked to show the credibility of them and so </w:t>
      </w:r>
      <w:r>
        <w:rPr>
          <w:rtl w:val="1"/>
          <w:lang w:val="ar-SA" w:bidi="ar-SA"/>
        </w:rPr>
        <w:t>“</w:t>
      </w:r>
      <w:r>
        <w:rPr>
          <w:rtl w:val="0"/>
          <w:lang w:val="en-US"/>
        </w:rPr>
        <w:t>you must still decide which sources to read carefully and which authorities are relevant</w:t>
      </w:r>
      <w:r>
        <w:rPr>
          <w:rtl w:val="0"/>
        </w:rPr>
        <w:t xml:space="preserve">” </w:t>
      </w:r>
      <w:r>
        <w:rPr>
          <w:rtl w:val="0"/>
          <w:lang w:val="en-US"/>
        </w:rPr>
        <w:t xml:space="preserve">(Rowe 1999). The paper published by Rowe shows the different forms of research that one can use when doing their own legal research and clearly shows how there are both advantages and disadvantages to electronic and non-electronic resources. This segment shows the extra lengths that are needed to verify resources when using electronic databases whereas the authority and author are much easier to locate in non-electronic sources and therefore can be verified more easily to decide if they are credible enough to use for the practical legal research. </w:t>
      </w:r>
    </w:p>
    <w:p>
      <w:pPr>
        <w:pStyle w:val="Body"/>
      </w:pPr>
    </w:p>
    <w:p>
      <w:pPr>
        <w:pStyle w:val="Body"/>
      </w:pPr>
      <w:r>
        <w:rPr>
          <w:rtl w:val="0"/>
          <w:lang w:val="en-US"/>
        </w:rPr>
        <w:t xml:space="preserve">A benefit for the use of non-electronic resources is that the reader is able to differentiate between a newspaper and a Supreme Court report as they can use physical copies and evidence to know what they are reading whereas </w:t>
      </w:r>
      <w:r>
        <w:rPr>
          <w:rtl w:val="1"/>
          <w:lang w:val="ar-SA" w:bidi="ar-SA"/>
        </w:rPr>
        <w:t>“</w:t>
      </w:r>
      <w:r>
        <w:rPr>
          <w:rtl w:val="0"/>
          <w:lang w:val="en-US"/>
        </w:rPr>
        <w:t>the text of an editorial from your local newspaper may look on a computer screen very much like the text of a Supreme Court decision,</w:t>
      </w:r>
      <w:r>
        <w:rPr>
          <w:rtl w:val="0"/>
        </w:rPr>
        <w:t xml:space="preserve">” </w:t>
      </w:r>
      <w:r>
        <w:rPr>
          <w:rtl w:val="0"/>
          <w:lang w:val="en-US"/>
        </w:rPr>
        <w:t xml:space="preserve">(Rowe, 1999). This ability to differentiate is key to being able to know which sources would make for a good, credible argument and to know which ones would not support your answer as well as they could. </w:t>
      </w:r>
    </w:p>
    <w:p>
      <w:pPr>
        <w:pStyle w:val="Body"/>
      </w:pPr>
    </w:p>
    <w:p>
      <w:pPr>
        <w:pStyle w:val="Body"/>
      </w:pPr>
      <w:r>
        <w:rPr>
          <w:rtl w:val="0"/>
          <w:lang w:val="en-US"/>
        </w:rPr>
        <w:t xml:space="preserve">There are many types of resources that can be used for legal research with one of them being legislation, which is a law or set of laws that have been passed by parliament and are now integrated into the law. When conducting practical legal research, it is important to have reliable information to ensure that the research is up to a good enough level to use and so using legislation is one of the ways to make sure that you can use the information. When using and finding legislation, it is important to make sure that the information comes straight from the government as all legislation is published and available for the public to see. This allows for researchers to have the most accurate information about any new laws or legislation that are being introduced and allows for them to accurately analyse them. This form of research shows the benefit of non-electronic resources as it clearly demonstrates the accuracy that these resources can have as they often come straight from the government or courts and so the information in them is always going to be accurate and dependable for the use of practical research. </w:t>
      </w:r>
    </w:p>
    <w:p>
      <w:pPr>
        <w:pStyle w:val="Body"/>
      </w:pPr>
    </w:p>
    <w:p>
      <w:pPr>
        <w:pStyle w:val="Body"/>
      </w:pPr>
      <w:r>
        <w:rPr>
          <w:rtl w:val="0"/>
          <w:lang w:val="en-US"/>
        </w:rPr>
        <w:t xml:space="preserve">One of the other many ways to use non-electronic resources is to use case law to support the legal research that is being conducted. Case law is a great way of adding to legal research as case law is about the rulings and judgements of judges in courts that have established laws based on their rulings and precedent. Case law can be found via law reports or official transcripts from the court house which are easily accessible for the public. When carrying out legal research, case law becomes an important asset to use as it is directly related to the rulings carried out by judges and becomes law that other cases will follow if they have similarities in their cases. The benefit of using this resource for practical legal research is that it is the most credible source of information as it comes from the judges and so the authority of that law can not be challenged in the research. Another reason why this form of non-electronic resource is more beneficial than electronic resources is that the case law is clear and concise which means you do not need to be listening to someone else is opinion about that specific ruling in their online article but can instead see what the case was about and what the ruling was from the judge, which allows for you to form your own understanding as to why that ruling was made and the consequences of that ruling both for better or worse. </w:t>
      </w:r>
    </w:p>
    <w:p>
      <w:pPr>
        <w:pStyle w:val="Body"/>
      </w:pPr>
    </w:p>
    <w:p>
      <w:pPr>
        <w:pStyle w:val="Body"/>
      </w:pPr>
      <w:r>
        <w:rPr>
          <w:rtl w:val="0"/>
          <w:lang w:val="en-US"/>
        </w:rPr>
        <w:t xml:space="preserve">Law encyclopaedias are another form of resource that people use for legal research as many firms have these books at their disposal and are seen as vital assets to have at a law firm. Legal encyclopaedias provide researchers with a great starting point in their research as they contain information about different laws in a summary version and also contain citations to relevant case law and legislation that is related to the specific law. These encyclopaedias are another demonstration as to how there are many benefits to non-electronics resources as they contain different aspects that are needed when doing practical legal research such as containing the law and a summary of that section of the law, citations to relevant cases and also to relevant statutes for that law. These reasons show the benefits of non-electronic resources and how they carry the credibility to be used and have all the information in one place.  </w:t>
      </w:r>
    </w:p>
    <w:p>
      <w:pPr>
        <w:pStyle w:val="Body"/>
      </w:pPr>
    </w:p>
    <w:p>
      <w:pPr>
        <w:pStyle w:val="Body"/>
      </w:pPr>
      <w:r>
        <w:rPr>
          <w:rtl w:val="0"/>
          <w:lang w:val="en-US"/>
        </w:rPr>
        <w:t>To conclude, there are clear benefits to using non-electronic resources but there are also risks that make the researcher think about which form of resource they want to use for their practical legal research. The benefits of this form of resource are ones that allow the researcher to gather information in a more accessible way and for them to have more confidence in the information that they are using as the credibility of the non-electronic resources are easier to determine and are more reliable in most cases. The functionality of the non-electronic resources is another reason why researchers use them as the law encyclopaedias contain most of the information they will need in one place as it will have a section summaries that law with citations to case laws and legislations that relate to that law. However, there are risks that come with non-electronic resources such as the price of them as many law firms have negotiated reasonable prices for the online services which is an incentive to use them. The online resources also contain many of the non-electronic resources</w:t>
      </w:r>
      <w:r>
        <w:rPr>
          <w:rtl w:val="1"/>
        </w:rPr>
        <w:t xml:space="preserve">’ </w:t>
      </w:r>
      <w:r>
        <w:rPr>
          <w:rtl w:val="0"/>
          <w:lang w:val="en-US"/>
        </w:rPr>
        <w:t xml:space="preserve">information and so researchers would be inclined to use these services as they are more convenient for them. One of the major risks with non-electronic resources is that the world is moving in a more technology reliant place and so more students and researchers are more likely to be using online resources as seen in the case study done at the university which showed how the students used almost all of the online resources available. With all of these reasons stated the benefits of the non-electronic resources outweigh the risks and show how they are effective when conducting practical legal research and are vital in gaining key information.   </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fr-FR"/>
        </w:rPr>
        <w:t>References</w:t>
      </w:r>
    </w:p>
    <w:p>
      <w:pPr>
        <w:pStyle w:val="Body"/>
        <w:rPr>
          <w:outline w:val="0"/>
          <w:color w:val="333333"/>
          <w:sz w:val="23"/>
          <w:szCs w:val="23"/>
          <w:u w:color="333333"/>
          <w:shd w:val="clear" w:color="auto" w:fill="fbfbfb"/>
          <w14:textFill>
            <w14:solidFill>
              <w14:srgbClr w14:val="333333"/>
            </w14:solidFill>
          </w14:textFill>
        </w:rPr>
      </w:pPr>
    </w:p>
    <w:p>
      <w:pPr>
        <w:pStyle w:val="Body"/>
        <w:rPr>
          <w:outline w:val="0"/>
          <w:color w:val="333333"/>
          <w:sz w:val="23"/>
          <w:szCs w:val="23"/>
          <w:u w:color="333333"/>
          <w:shd w:val="clear" w:color="auto" w:fill="fbfbfb"/>
          <w14:textFill>
            <w14:solidFill>
              <w14:srgbClr w14:val="333333"/>
            </w14:solidFill>
          </w14:textFill>
        </w:rPr>
      </w:pPr>
      <w:r>
        <w:rPr>
          <w:outline w:val="0"/>
          <w:color w:val="333333"/>
          <w:sz w:val="23"/>
          <w:szCs w:val="23"/>
          <w:u w:color="333333"/>
          <w:shd w:val="clear" w:color="auto" w:fill="fbfbfb"/>
          <w:rtl w:val="0"/>
          <w:lang w:val="en-US"/>
          <w14:textFill>
            <w14:solidFill>
              <w14:srgbClr w14:val="333333"/>
            </w14:solidFill>
          </w14:textFill>
        </w:rPr>
        <w:t>Kauffman, S. (1987) 'Electronic Databases in Legal Research: Beyond Nexis and Westlaw', Electronic Databases, pp 77.</w:t>
      </w:r>
    </w:p>
    <w:p>
      <w:pPr>
        <w:pStyle w:val="Body"/>
        <w:rPr>
          <w:outline w:val="0"/>
          <w:color w:val="333333"/>
          <w:sz w:val="23"/>
          <w:szCs w:val="23"/>
          <w:u w:color="333333"/>
          <w:shd w:val="clear" w:color="auto" w:fill="fbfbfb"/>
          <w14:textFill>
            <w14:solidFill>
              <w14:srgbClr w14:val="333333"/>
            </w14:solidFill>
          </w14:textFill>
        </w:rPr>
      </w:pPr>
    </w:p>
    <w:p>
      <w:pPr>
        <w:pStyle w:val="Body"/>
      </w:pPr>
      <w:r>
        <w:rPr>
          <w:outline w:val="0"/>
          <w:color w:val="333333"/>
          <w:u w:color="333333"/>
          <w:shd w:val="clear" w:color="auto" w:fill="fbfbfb"/>
          <w:rtl w:val="0"/>
          <w:lang w:val="en-US"/>
          <w14:textFill>
            <w14:solidFill>
              <w14:srgbClr w14:val="333333"/>
            </w14:solidFill>
          </w14:textFill>
        </w:rPr>
        <w:t xml:space="preserve">Library of congress (2023) </w:t>
      </w:r>
      <w:r>
        <w:rPr>
          <w:i w:val="1"/>
          <w:iCs w:val="1"/>
          <w:outline w:val="0"/>
          <w:color w:val="333333"/>
          <w:u w:color="333333"/>
          <w:rtl w:val="0"/>
          <w:lang w:val="en-US"/>
          <w14:textFill>
            <w14:solidFill>
              <w14:srgbClr w14:val="333333"/>
            </w14:solidFill>
          </w14:textFill>
        </w:rPr>
        <w:t>Legal encyclopaedias</w:t>
      </w:r>
      <w:r>
        <w:rPr>
          <w:outline w:val="0"/>
          <w:color w:val="33333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"https://guides.loc.gov/law-secondary-resources/legal-encyclopedias"</w:instrText>
      </w:r>
      <w:r>
        <w:rPr>
          <w:rStyle w:val="Hyperlink.0"/>
        </w:rPr>
        <w:fldChar w:fldCharType="separate" w:fldLock="0"/>
      </w:r>
      <w:r>
        <w:rPr>
          <w:rStyle w:val="Hyperlink.0"/>
          <w:rtl w:val="0"/>
        </w:rPr>
        <w:t>https://guides.loc.gov/law-secondary-resources/legal-encyclopedias</w:t>
      </w:r>
      <w:r>
        <w:rPr/>
        <w:fldChar w:fldCharType="end" w:fldLock="0"/>
      </w:r>
      <w:r>
        <w:rPr>
          <w:rStyle w:val="None"/>
          <w:outline w:val="0"/>
          <w:color w:val="333333"/>
          <w:u w:color="333333"/>
          <w:shd w:val="clear" w:color="auto" w:fill="fbfbfb"/>
          <w:rtl w:val="0"/>
          <w:lang w:val="en-US"/>
          <w14:textFill>
            <w14:solidFill>
              <w14:srgbClr w14:val="333333"/>
            </w14:solidFill>
          </w14:textFill>
        </w:rPr>
        <w:t xml:space="preserve"> (Accessed: 27 November 2023).</w:t>
      </w:r>
    </w:p>
    <w:p>
      <w:pPr>
        <w:pStyle w:val="Body"/>
      </w:pPr>
    </w:p>
    <w:p>
      <w:pPr>
        <w:pStyle w:val="Body"/>
      </w:pPr>
      <w:r>
        <w:rPr>
          <w:rStyle w:val="None"/>
          <w:outline w:val="0"/>
          <w:color w:val="333333"/>
          <w:sz w:val="23"/>
          <w:szCs w:val="23"/>
          <w:u w:color="333333"/>
          <w:shd w:val="clear" w:color="auto" w:fill="fbfbfb"/>
          <w:rtl w:val="0"/>
          <w:lang w:val="en-US"/>
          <w14:textFill>
            <w14:solidFill>
              <w14:srgbClr w14:val="333333"/>
            </w14:solidFill>
          </w14:textFill>
        </w:rPr>
        <w:t xml:space="preserve">Llewellyn, K. (1956) 'On What Makes Legal Research Worthwhile', Journal of Legal Education, pp 399. </w:t>
      </w:r>
    </w:p>
    <w:p>
      <w:pPr>
        <w:pStyle w:val="Body"/>
      </w:pPr>
    </w:p>
    <w:p>
      <w:pPr>
        <w:pStyle w:val="Body"/>
        <w:rPr>
          <w:rStyle w:val="None"/>
          <w:outline w:val="0"/>
          <w:color w:val="333333"/>
          <w:u w:color="333333"/>
          <w:shd w:val="clear" w:color="auto" w:fill="fbfbfb"/>
          <w14:textFill>
            <w14:solidFill>
              <w14:srgbClr w14:val="333333"/>
            </w14:solidFill>
          </w14:textFill>
        </w:rPr>
      </w:pPr>
      <w:r>
        <w:rPr>
          <w:rStyle w:val="None"/>
          <w:outline w:val="0"/>
          <w:color w:val="333333"/>
          <w:u w:color="333333"/>
          <w:shd w:val="clear" w:color="auto" w:fill="fbfbfb"/>
          <w:rtl w:val="0"/>
          <w14:textFill>
            <w14:solidFill>
              <w14:srgbClr w14:val="333333"/>
            </w14:solidFill>
          </w14:textFill>
        </w:rPr>
        <w:t xml:space="preserve">Rowe, S. (2015) </w:t>
      </w:r>
      <w:r>
        <w:rPr>
          <w:rStyle w:val="None"/>
          <w:i w:val="1"/>
          <w:iCs w:val="1"/>
          <w:outline w:val="0"/>
          <w:color w:val="333333"/>
          <w:u w:color="333333"/>
          <w:rtl w:val="0"/>
          <w:lang w:val="en-US"/>
          <w14:textFill>
            <w14:solidFill>
              <w14:srgbClr w14:val="333333"/>
            </w14:solidFill>
          </w14:textFill>
        </w:rPr>
        <w:t>Legal Research, Legal Writing, and Legal analysis: Putting Law School into practice</w:t>
      </w:r>
      <w:r>
        <w:rPr>
          <w:rStyle w:val="None"/>
          <w:outline w:val="0"/>
          <w:color w:val="33333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deliverypdf.ssrn.com/delivery.php?ID=563006110027086019086080111098069110102013067092070087126002107100017081077079118113099122116002019025028002084107121028083066126032013032039089001120121022094024001045037085091066126074122027107073127109066001015004099120080023123067006028028105009&amp;EXT=pdf&amp;INDEX=TRUE"</w:instrText>
      </w:r>
      <w:r>
        <w:rPr>
          <w:rStyle w:val="Hyperlink.0"/>
        </w:rPr>
        <w:fldChar w:fldCharType="separate" w:fldLock="0"/>
      </w:r>
      <w:r>
        <w:rPr>
          <w:rStyle w:val="Hyperlink.0"/>
          <w:rtl w:val="0"/>
        </w:rPr>
        <w:t>https://deliverypdf.ssrn.com/delivery.php?ID=563006110027086019086080111098069110102013067092070087126002107100017081077079118113099122116002019025028002084107121028083066126032013032039089001120121022094024001045037085091066126074122027107073127109066001015004099120080023123067006028028105009&amp;EXT=pdf&amp;INDEX=TRUE</w:t>
      </w:r>
      <w:r>
        <w:rPr/>
        <w:fldChar w:fldCharType="end" w:fldLock="0"/>
      </w:r>
      <w:r>
        <w:rPr>
          <w:rStyle w:val="None"/>
          <w:outline w:val="0"/>
          <w:color w:val="333333"/>
          <w:u w:color="333333"/>
          <w:shd w:val="clear" w:color="auto" w:fill="fbfbfb"/>
          <w:rtl w:val="0"/>
          <w:lang w:val="en-US"/>
          <w14:textFill>
            <w14:solidFill>
              <w14:srgbClr w14:val="333333"/>
            </w14:solidFill>
          </w14:textFill>
        </w:rPr>
        <w:t xml:space="preserve"> (Accessed: 28 November).</w:t>
      </w:r>
    </w:p>
    <w:p>
      <w:pPr>
        <w:pStyle w:val="Body"/>
        <w:rPr>
          <w:rStyle w:val="None"/>
          <w:outline w:val="0"/>
          <w:color w:val="333333"/>
          <w:u w:color="333333"/>
          <w:shd w:val="clear" w:color="auto" w:fill="fbfbfb"/>
          <w14:textFill>
            <w14:solidFill>
              <w14:srgbClr w14:val="333333"/>
            </w14:solidFill>
          </w14:textFill>
        </w:rPr>
      </w:pPr>
    </w:p>
    <w:p>
      <w:pPr>
        <w:pStyle w:val="Body"/>
        <w:rPr>
          <w:rStyle w:val="None"/>
          <w:outline w:val="0"/>
          <w:color w:val="33333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14:textFill>
            <w14:solidFill>
              <w14:srgbClr w14:val="333333"/>
            </w14:solidFill>
          </w14:textFill>
        </w:rPr>
        <w:t xml:space="preserve">Toteng, B. (2014) </w:t>
      </w:r>
      <w:r>
        <w:rPr>
          <w:rStyle w:val="None"/>
          <w:i w:val="1"/>
          <w:iCs w:val="1"/>
          <w:outline w:val="0"/>
          <w:color w:val="333333"/>
          <w:sz w:val="23"/>
          <w:szCs w:val="23"/>
          <w:u w:color="333333"/>
          <w:shd w:val="clear" w:color="auto" w:fill="fbfbfb"/>
          <w:rtl w:val="0"/>
          <w:lang w:val="en-US"/>
          <w14:textFill>
            <w14:solidFill>
              <w14:srgbClr w14:val="333333"/>
            </w14:solidFill>
          </w14:textFill>
        </w:rPr>
        <w:t>Use of Electronic Databases by Law Students at the University of Botswana Library</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1"/>
        </w:rPr>
        <w:fldChar w:fldCharType="begin" w:fldLock="0"/>
      </w:r>
      <w:r>
        <w:rPr>
          <w:rStyle w:val="Hyperlink.1"/>
        </w:rPr>
        <w:instrText xml:space="preserve"> HYPERLINK "https://www.ajol.info/index.php/ajlais/article/view/106569"</w:instrText>
      </w:r>
      <w:r>
        <w:rPr>
          <w:rStyle w:val="Hyperlink.1"/>
        </w:rPr>
        <w:fldChar w:fldCharType="separate" w:fldLock="0"/>
      </w:r>
      <w:r>
        <w:rPr>
          <w:rStyle w:val="Hyperlink.1"/>
          <w:rtl w:val="0"/>
        </w:rPr>
        <w:t>https://www.ajol.info/index.php/ajlais/article/view/106569</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27 November).</w:t>
      </w:r>
    </w:p>
    <w:p>
      <w:pPr>
        <w:pStyle w:val="Body"/>
        <w:rPr>
          <w:rStyle w:val="None"/>
          <w:outline w:val="0"/>
          <w:color w:val="333333"/>
          <w:u w:color="333333"/>
          <w:shd w:val="clear" w:color="auto" w:fill="fbfbfb"/>
          <w14:textFill>
            <w14:solidFill>
              <w14:srgbClr w14:val="333333"/>
            </w14:solidFill>
          </w14:textFill>
        </w:rPr>
      </w:pPr>
    </w:p>
    <w:p>
      <w:pPr>
        <w:pStyle w:val="Body"/>
        <w:rPr>
          <w:rStyle w:val="None"/>
          <w:outline w:val="0"/>
          <w:color w:val="333333"/>
          <w:u w:color="333333"/>
          <w:shd w:val="clear" w:color="auto" w:fill="fbfbfb"/>
          <w14:textFill>
            <w14:solidFill>
              <w14:srgbClr w14:val="333333"/>
            </w14:solidFill>
          </w14:textFill>
        </w:rPr>
      </w:pPr>
      <w:r>
        <w:rPr>
          <w:rStyle w:val="None"/>
          <w:outline w:val="0"/>
          <w:color w:val="333333"/>
          <w:u w:color="333333"/>
          <w:shd w:val="clear" w:color="auto" w:fill="fbfbfb"/>
          <w:rtl w:val="0"/>
          <w14:textFill>
            <w14:solidFill>
              <w14:srgbClr w14:val="333333"/>
            </w14:solidFill>
          </w14:textFill>
        </w:rPr>
        <w:t xml:space="preserve">UK Parliament  (2023) </w:t>
      </w:r>
      <w:r>
        <w:rPr>
          <w:rStyle w:val="None"/>
          <w:i w:val="1"/>
          <w:iCs w:val="1"/>
          <w:outline w:val="0"/>
          <w:color w:val="333333"/>
          <w:u w:color="333333"/>
          <w:shd w:val="clear" w:color="auto" w:fill="fbfbfb"/>
          <w:rtl w:val="0"/>
          <w:lang w:val="en-US"/>
          <w14:textFill>
            <w14:solidFill>
              <w14:srgbClr w14:val="333333"/>
            </w14:solidFill>
          </w14:textFill>
        </w:rPr>
        <w:t>How are Laws made?</w:t>
      </w:r>
      <w:r>
        <w:rPr>
          <w:rStyle w:val="None"/>
          <w:outline w:val="0"/>
          <w:color w:val="333333"/>
          <w:u w:color="333333"/>
          <w:shd w:val="clear" w:color="auto" w:fill="fbfbfb"/>
          <w:rtl w:val="0"/>
          <w:lang w:val="en-US"/>
          <w14:textFill>
            <w14:solidFill>
              <w14:srgbClr w14:val="333333"/>
            </w14:solidFill>
          </w14:textFill>
        </w:rPr>
        <w:t xml:space="preserve">. Available at: </w:t>
      </w:r>
      <w:r>
        <w:rPr>
          <w:rStyle w:val="Hyperlink.0"/>
        </w:rPr>
        <w:fldChar w:fldCharType="begin" w:fldLock="0"/>
      </w:r>
      <w:r>
        <w:rPr>
          <w:rStyle w:val="Hyperlink.0"/>
        </w:rPr>
        <w:instrText xml:space="preserve"> HYPERLINK "https://www.parliament.uk/about/how/laws/"</w:instrText>
      </w:r>
      <w:r>
        <w:rPr>
          <w:rStyle w:val="Hyperlink.0"/>
        </w:rPr>
        <w:fldChar w:fldCharType="separate" w:fldLock="0"/>
      </w:r>
      <w:r>
        <w:rPr>
          <w:rStyle w:val="Hyperlink.0"/>
          <w:rtl w:val="0"/>
        </w:rPr>
        <w:t>https://www.parliament.uk/about/how/laws/</w:t>
      </w:r>
      <w:r>
        <w:rPr/>
        <w:fldChar w:fldCharType="end" w:fldLock="0"/>
      </w:r>
      <w:r>
        <w:rPr>
          <w:rStyle w:val="None"/>
          <w:outline w:val="0"/>
          <w:color w:val="333333"/>
          <w:u w:color="333333"/>
          <w:shd w:val="clear" w:color="auto" w:fill="fbfbfb"/>
          <w:rtl w:val="0"/>
          <w:lang w:val="en-US"/>
          <w14:textFill>
            <w14:solidFill>
              <w14:srgbClr w14:val="333333"/>
            </w14:solidFill>
          </w14:textFill>
        </w:rPr>
        <w:t xml:space="preserve"> (Accessed: 29 November).</w:t>
      </w:r>
    </w:p>
    <w:p>
      <w:pPr>
        <w:pStyle w:val="Body"/>
        <w:rPr>
          <w:rStyle w:val="None"/>
          <w:outline w:val="0"/>
          <w:color w:val="333333"/>
          <w:u w:color="333333"/>
          <w:shd w:val="clear" w:color="auto" w:fill="fbfbfb"/>
          <w14:textFill>
            <w14:solidFill>
              <w14:srgbClr w14:val="333333"/>
            </w14:solidFill>
          </w14:textFill>
        </w:rPr>
      </w:pPr>
    </w:p>
    <w:p>
      <w:pPr>
        <w:pStyle w:val="Body"/>
        <w:rPr>
          <w:rStyle w:val="None"/>
          <w:outline w:val="0"/>
          <w:color w:val="33333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 xml:space="preserve">University of Oxford (2023) </w:t>
      </w:r>
      <w:r>
        <w:rPr>
          <w:rStyle w:val="None"/>
          <w:i w:val="1"/>
          <w:iCs w:val="1"/>
          <w:outline w:val="0"/>
          <w:color w:val="333333"/>
          <w:sz w:val="23"/>
          <w:szCs w:val="23"/>
          <w:u w:color="333333"/>
          <w:shd w:val="clear" w:color="auto" w:fill="fbfbfb"/>
          <w:rtl w:val="0"/>
          <w:lang w:val="en-US"/>
          <w14:textFill>
            <w14:solidFill>
              <w14:srgbClr w14:val="333333"/>
            </w14:solidFill>
          </w14:textFill>
        </w:rPr>
        <w:t>Halsbury's Law Online</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1"/>
        </w:rPr>
        <w:fldChar w:fldCharType="begin" w:fldLock="0"/>
      </w:r>
      <w:r>
        <w:rPr>
          <w:rStyle w:val="Hyperlink.1"/>
        </w:rPr>
        <w:instrText xml:space="preserve"> HYPERLINK "https://www.law.ox.ac.uk/legal-research-and-mooting-skills-programme/halsburys-laws-online%23:~:text=Halsbury's%2520Laws%2520is%2520an%2520authoritative,and%2520commentary%2520in%2520that%2520area"</w:instrText>
      </w:r>
      <w:r>
        <w:rPr>
          <w:rStyle w:val="Hyperlink.1"/>
        </w:rPr>
        <w:fldChar w:fldCharType="separate" w:fldLock="0"/>
      </w:r>
      <w:r>
        <w:rPr>
          <w:rStyle w:val="Hyperlink.1"/>
          <w:rtl w:val="0"/>
        </w:rPr>
        <w:t>https://www.law.ox.ac.uk/legal-research-and-mooting-skills-programme/halsburys-laws-online#:~:text=Halsbury%27s%20Laws%20is%20an%20authoritative,and%20commentary%20in%20that%20area</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27 November). </w:t>
      </w:r>
    </w:p>
    <w:p>
      <w:pPr>
        <w:pStyle w:val="Body"/>
      </w:pPr>
    </w:p>
    <w:p>
      <w:pPr>
        <w:pStyle w:val="Body"/>
      </w:pPr>
    </w:p>
    <w:p>
      <w:pPr>
        <w:pStyle w:val="Body"/>
        <w:jc w:val="center"/>
      </w:pPr>
      <w:r>
        <w:rPr>
          <w:rStyle w:val="None"/>
          <w:rtl w:val="0"/>
          <w:lang w:val="en-US"/>
        </w:rPr>
        <w:t>Legislation</w:t>
      </w:r>
    </w:p>
    <w:p>
      <w:pPr>
        <w:pStyle w:val="Body"/>
      </w:pPr>
    </w:p>
    <w:p>
      <w:pPr>
        <w:pStyle w:val="Body"/>
      </w:pPr>
      <w:r>
        <w:rPr>
          <w:rStyle w:val="None"/>
          <w:rtl w:val="0"/>
          <w:lang w:val="en-US"/>
        </w:rPr>
        <w:t xml:space="preserve">Criminal Justice Act 2003. Available at: </w:t>
      </w:r>
      <w:r>
        <w:rPr>
          <w:rStyle w:val="Hyperlink.2"/>
        </w:rPr>
        <w:fldChar w:fldCharType="begin" w:fldLock="0"/>
      </w:r>
      <w:r>
        <w:rPr>
          <w:rStyle w:val="Hyperlink.2"/>
        </w:rPr>
        <w:instrText xml:space="preserve"> HYPERLINK "https://www.legislation.gov.uk/ukpga/2003/44/contents"</w:instrText>
      </w:r>
      <w:r>
        <w:rPr>
          <w:rStyle w:val="Hyperlink.2"/>
        </w:rPr>
        <w:fldChar w:fldCharType="separate" w:fldLock="0"/>
      </w:r>
      <w:r>
        <w:rPr>
          <w:rStyle w:val="Hyperlink.2"/>
          <w:rtl w:val="0"/>
        </w:rPr>
        <w:t>https://www.legislation.gov.uk/ukpga/2003/44/contents</w:t>
      </w:r>
      <w:r>
        <w:rPr/>
        <w:fldChar w:fldCharType="end" w:fldLock="0"/>
      </w:r>
      <w:r>
        <w:rPr>
          <w:rStyle w:val="None"/>
          <w:rtl w:val="0"/>
          <w:lang w:val="en-US"/>
        </w:rPr>
        <w:t xml:space="preserve"> (Accessed: 27 November)  </w:t>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1155cc"/>
      <w:u w:val="single" w:color="1155cc"/>
      <w:shd w:val="clear" w:color="auto" w:fill="fbfbfb"/>
      <w14:textFill>
        <w14:solidFill>
          <w14:srgbClr w14:val="1155CC"/>
        </w14:solidFill>
      </w14:textFill>
    </w:rPr>
  </w:style>
  <w:style w:type="character" w:styleId="Hyperlink.1">
    <w:name w:val="Hyperlink.1"/>
    <w:basedOn w:val="None"/>
    <w:next w:val="Hyperlink.1"/>
    <w:rPr>
      <w:outline w:val="0"/>
      <w:color w:val="1155cc"/>
      <w:sz w:val="23"/>
      <w:szCs w:val="23"/>
      <w:u w:val="single" w:color="1155cc"/>
      <w:shd w:val="clear" w:color="auto" w:fill="fbfbfb"/>
      <w14:textFill>
        <w14:solidFill>
          <w14:srgbClr w14:val="1155CC"/>
        </w14:solidFill>
      </w14:textFill>
    </w:rPr>
  </w:style>
  <w:style w:type="character" w:styleId="Hyperlink.2">
    <w:name w:val="Hyperlink.2"/>
    <w:basedOn w:val="None"/>
    <w:next w:val="Hyperlink.2"/>
    <w:rPr>
      <w:outline w:val="0"/>
      <w:color w:val="1155cc"/>
      <w:u w:val="single" w:color="1155cc"/>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