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319E3" w14:textId="77777777" w:rsidR="0070638D" w:rsidRDefault="0070638D" w:rsidP="0070638D">
      <w:pPr>
        <w:pStyle w:val="Heading1"/>
      </w:pPr>
      <w:bookmarkStart w:id="0" w:name="_Toc232703517"/>
    </w:p>
    <w:p w14:paraId="5774EE87" w14:textId="77777777" w:rsidR="0070638D" w:rsidRPr="00AA6DF2" w:rsidRDefault="0070638D" w:rsidP="0070638D">
      <w:pPr>
        <w:jc w:val="center"/>
        <w:rPr>
          <w:b/>
          <w:lang w:val="en-US"/>
        </w:rPr>
      </w:pPr>
      <w:r w:rsidRPr="00AA6DF2">
        <w:rPr>
          <w:b/>
          <w:lang w:val="en-US"/>
        </w:rPr>
        <w:t>Student Name</w:t>
      </w:r>
      <w:r>
        <w:rPr>
          <w:b/>
          <w:lang w:val="en-US"/>
        </w:rPr>
        <w:t xml:space="preserve"> : Sehrish Bibi</w:t>
      </w:r>
    </w:p>
    <w:p w14:paraId="3BEFA75B" w14:textId="77777777" w:rsidR="0070638D" w:rsidRPr="00AA6DF2" w:rsidRDefault="0070638D" w:rsidP="0070638D">
      <w:pPr>
        <w:jc w:val="center"/>
        <w:rPr>
          <w:b/>
          <w:lang w:val="en-US"/>
        </w:rPr>
      </w:pPr>
      <w:r w:rsidRPr="00AA6DF2">
        <w:rPr>
          <w:b/>
          <w:lang w:val="en-US"/>
        </w:rPr>
        <w:t>Student Number</w:t>
      </w:r>
      <w:r>
        <w:rPr>
          <w:b/>
          <w:lang w:val="en-US"/>
        </w:rPr>
        <w:t xml:space="preserve"> :  2322746</w:t>
      </w:r>
    </w:p>
    <w:p w14:paraId="73F420A0" w14:textId="77777777" w:rsidR="0070638D" w:rsidRPr="00AA6DF2" w:rsidRDefault="0070638D" w:rsidP="0070638D">
      <w:pPr>
        <w:jc w:val="center"/>
        <w:rPr>
          <w:b/>
          <w:lang w:val="en-US"/>
        </w:rPr>
      </w:pPr>
      <w:r w:rsidRPr="00AA6DF2">
        <w:rPr>
          <w:b/>
          <w:lang w:val="en-US"/>
        </w:rPr>
        <w:t>Module Code</w:t>
      </w:r>
      <w:r>
        <w:rPr>
          <w:b/>
          <w:lang w:val="en-US"/>
        </w:rPr>
        <w:t xml:space="preserve">: </w:t>
      </w:r>
      <w:r w:rsidRPr="00AA6DF2">
        <w:rPr>
          <w:b/>
          <w:lang w:val="en-US"/>
        </w:rPr>
        <w:t>BMHP6027</w:t>
      </w:r>
    </w:p>
    <w:p w14:paraId="7794A0C5" w14:textId="77777777" w:rsidR="0070638D" w:rsidRPr="00AA6DF2" w:rsidRDefault="0070638D" w:rsidP="0070638D">
      <w:pPr>
        <w:jc w:val="center"/>
        <w:rPr>
          <w:b/>
          <w:lang w:val="en-US"/>
        </w:rPr>
      </w:pPr>
      <w:r w:rsidRPr="00AA6DF2">
        <w:rPr>
          <w:b/>
          <w:lang w:val="en-US"/>
        </w:rPr>
        <w:t>Module Title</w:t>
      </w:r>
      <w:r>
        <w:rPr>
          <w:b/>
          <w:lang w:val="en-US"/>
        </w:rPr>
        <w:t xml:space="preserve">: </w:t>
      </w:r>
      <w:r w:rsidRPr="00AA6DF2">
        <w:rPr>
          <w:b/>
          <w:lang w:val="en-US"/>
        </w:rPr>
        <w:t>Empowering the Older Person</w:t>
      </w:r>
    </w:p>
    <w:p w14:paraId="16F3E8A0" w14:textId="77777777" w:rsidR="0070638D" w:rsidRDefault="0070638D" w:rsidP="0070638D">
      <w:pPr>
        <w:jc w:val="center"/>
        <w:rPr>
          <w:b/>
          <w:lang w:val="en-US"/>
        </w:rPr>
      </w:pPr>
      <w:r w:rsidRPr="00AA6DF2">
        <w:rPr>
          <w:b/>
          <w:lang w:val="en-US"/>
        </w:rPr>
        <w:t>Assignment Title</w:t>
      </w:r>
      <w:r>
        <w:rPr>
          <w:b/>
          <w:lang w:val="en-US"/>
        </w:rPr>
        <w:t xml:space="preserve">: </w:t>
      </w:r>
      <w:r w:rsidRPr="00AA6DF2">
        <w:rPr>
          <w:b/>
          <w:lang w:val="en-US"/>
        </w:rPr>
        <w:t>Component 2: Debate / Discussion</w:t>
      </w:r>
    </w:p>
    <w:p w14:paraId="1B802901" w14:textId="77777777" w:rsidR="0070638D" w:rsidRDefault="0070638D" w:rsidP="0070638D">
      <w:pPr>
        <w:jc w:val="center"/>
        <w:rPr>
          <w:b/>
          <w:lang w:val="en-US"/>
        </w:rPr>
      </w:pPr>
    </w:p>
    <w:p w14:paraId="16144DC4" w14:textId="263006C3" w:rsidR="0070638D" w:rsidRPr="0070638D" w:rsidRDefault="0070638D" w:rsidP="0070638D">
      <w:pPr>
        <w:jc w:val="center"/>
        <w:rPr>
          <w:b/>
          <w:bCs/>
          <w:sz w:val="28"/>
          <w:szCs w:val="28"/>
          <w:lang w:val="en-US"/>
        </w:rPr>
      </w:pPr>
      <w:r w:rsidRPr="0070638D">
        <w:rPr>
          <w:b/>
          <w:bCs/>
          <w:sz w:val="28"/>
          <w:szCs w:val="28"/>
        </w:rPr>
        <w:t>References</w:t>
      </w:r>
      <w:bookmarkEnd w:id="0"/>
    </w:p>
    <w:p w14:paraId="6CA367AD" w14:textId="77777777" w:rsidR="0070638D" w:rsidRDefault="0070638D" w:rsidP="0070638D">
      <w:pPr>
        <w:ind w:left="720" w:hanging="720"/>
      </w:pPr>
    </w:p>
    <w:p w14:paraId="4BD45815" w14:textId="77777777" w:rsidR="0070638D" w:rsidRDefault="0070638D" w:rsidP="0070638D"/>
    <w:p w14:paraId="623D6FAF" w14:textId="77777777" w:rsidR="0056745D" w:rsidRDefault="0056745D" w:rsidP="0056745D">
      <w:pPr>
        <w:pStyle w:val="Heading1"/>
      </w:pPr>
      <w:r>
        <w:t xml:space="preserve"> </w:t>
      </w:r>
      <w:r>
        <w:t>References</w:t>
      </w:r>
    </w:p>
    <w:p w14:paraId="69F278EB" w14:textId="77777777" w:rsidR="0056745D" w:rsidRDefault="0056745D" w:rsidP="0056745D">
      <w:pPr>
        <w:ind w:left="720" w:hanging="720"/>
      </w:pPr>
      <w:r w:rsidRPr="00CF1B6F">
        <w:t xml:space="preserve">Dyer, S.M., Suen, J., Williams, H., Inacio, M.C., Harvey, G., </w:t>
      </w:r>
      <w:proofErr w:type="spellStart"/>
      <w:r w:rsidRPr="00CF1B6F">
        <w:t>Roder</w:t>
      </w:r>
      <w:proofErr w:type="spellEnd"/>
      <w:r w:rsidRPr="00CF1B6F">
        <w:t xml:space="preserve">, D., </w:t>
      </w:r>
      <w:proofErr w:type="spellStart"/>
      <w:r w:rsidRPr="00CF1B6F">
        <w:t>Wesselingh</w:t>
      </w:r>
      <w:proofErr w:type="spellEnd"/>
      <w:r w:rsidRPr="00CF1B6F">
        <w:t xml:space="preserve">, S., Kellie, A., Crotty, M. and Caughey, G.E. </w:t>
      </w:r>
      <w:r>
        <w:t>(</w:t>
      </w:r>
      <w:r w:rsidRPr="00CF1B6F">
        <w:t>2022</w:t>
      </w:r>
      <w:r>
        <w:t>)</w:t>
      </w:r>
      <w:r w:rsidRPr="00CF1B6F">
        <w:t>. Impact of relational continuity of primary care in aged care: a systematic review. </w:t>
      </w:r>
      <w:r w:rsidRPr="00CF1B6F">
        <w:rPr>
          <w:i/>
          <w:iCs/>
        </w:rPr>
        <w:t>BMC Geriatrics</w:t>
      </w:r>
      <w:r w:rsidRPr="00CF1B6F">
        <w:t>, </w:t>
      </w:r>
      <w:r w:rsidRPr="00CF1B6F">
        <w:rPr>
          <w:i/>
          <w:iCs/>
        </w:rPr>
        <w:t>22</w:t>
      </w:r>
      <w:r w:rsidRPr="00CF1B6F">
        <w:t>(1), p.579.</w:t>
      </w:r>
    </w:p>
    <w:p w14:paraId="1615C23D" w14:textId="77777777" w:rsidR="0056745D" w:rsidRDefault="0056745D" w:rsidP="0056745D">
      <w:pPr>
        <w:ind w:left="720" w:hanging="720"/>
      </w:pPr>
      <w:r w:rsidRPr="00CF1B6F">
        <w:t>El-Osta, A., Smith, P., Leyns, C.C., Steenfeldt-Foss, O.W. and Webber, D.</w:t>
      </w:r>
      <w:r>
        <w:t xml:space="preserve"> (</w:t>
      </w:r>
      <w:r w:rsidRPr="00CF1B6F">
        <w:t>2023</w:t>
      </w:r>
      <w:r>
        <w:t>)</w:t>
      </w:r>
      <w:r w:rsidRPr="00CF1B6F">
        <w:t>. Empowerment of community members. In </w:t>
      </w:r>
      <w:r w:rsidRPr="00CF1B6F">
        <w:rPr>
          <w:i/>
          <w:iCs/>
        </w:rPr>
        <w:t>Person Centred Medicine</w:t>
      </w:r>
      <w:r w:rsidRPr="00CF1B6F">
        <w:t> (pp. 687-702). Cham: Springer International Publishing.</w:t>
      </w:r>
    </w:p>
    <w:p w14:paraId="5BC96318" w14:textId="77777777" w:rsidR="0056745D" w:rsidRDefault="0056745D" w:rsidP="0056745D">
      <w:pPr>
        <w:ind w:left="720" w:hanging="720"/>
      </w:pPr>
      <w:r w:rsidRPr="00CF1B6F">
        <w:t xml:space="preserve">Peace, S. </w:t>
      </w:r>
      <w:r>
        <w:t>(</w:t>
      </w:r>
      <w:r w:rsidRPr="00CF1B6F">
        <w:t>2022</w:t>
      </w:r>
      <w:r>
        <w:t>)</w:t>
      </w:r>
      <w:r w:rsidRPr="00CF1B6F">
        <w:t>. Care home living: a form of long-term care. In </w:t>
      </w:r>
      <w:r w:rsidRPr="00CF1B6F">
        <w:rPr>
          <w:i/>
          <w:iCs/>
        </w:rPr>
        <w:t>The Environments of Ageing</w:t>
      </w:r>
      <w:r w:rsidRPr="00CF1B6F">
        <w:t> (pp. 193-234). Bristol University Press.</w:t>
      </w:r>
    </w:p>
    <w:p w14:paraId="57EB6DC1" w14:textId="77777777" w:rsidR="0056745D" w:rsidRDefault="0056745D" w:rsidP="0056745D">
      <w:pPr>
        <w:ind w:left="720" w:hanging="720"/>
      </w:pPr>
      <w:r w:rsidRPr="00CF1B6F">
        <w:t>World Health Organi</w:t>
      </w:r>
      <w:r>
        <w:t>s</w:t>
      </w:r>
      <w:r w:rsidRPr="00CF1B6F">
        <w:t xml:space="preserve">ation </w:t>
      </w:r>
      <w:r>
        <w:t>(</w:t>
      </w:r>
      <w:r w:rsidRPr="00CF1B6F">
        <w:t>2024</w:t>
      </w:r>
      <w:r>
        <w:t>)</w:t>
      </w:r>
      <w:r w:rsidRPr="00CF1B6F">
        <w:t>. </w:t>
      </w:r>
      <w:r w:rsidRPr="00CF1B6F">
        <w:rPr>
          <w:i/>
          <w:iCs/>
        </w:rPr>
        <w:t>Long-term care for older people: package for universal health coverage</w:t>
      </w:r>
      <w:r w:rsidRPr="00CF1B6F">
        <w:t>. World Health Organi</w:t>
      </w:r>
      <w:r>
        <w:t>s</w:t>
      </w:r>
      <w:r w:rsidRPr="00CF1B6F">
        <w:t>ation.</w:t>
      </w:r>
    </w:p>
    <w:p w14:paraId="7DDE5D60" w14:textId="77777777" w:rsidR="0056745D" w:rsidRPr="00CF1B6F" w:rsidRDefault="0056745D" w:rsidP="0056745D">
      <w:pPr>
        <w:ind w:left="720" w:hanging="720"/>
      </w:pPr>
    </w:p>
    <w:p w14:paraId="56B12B07" w14:textId="77777777" w:rsidR="0056745D" w:rsidRDefault="0056745D" w:rsidP="0056745D">
      <w:pPr>
        <w:pStyle w:val="Heading2"/>
      </w:pPr>
      <w:bookmarkStart w:id="1" w:name="_Toc232703518"/>
      <w:r>
        <w:t>Student B</w:t>
      </w:r>
      <w:bookmarkEnd w:id="1"/>
    </w:p>
    <w:p w14:paraId="65CC8ED2" w14:textId="77777777" w:rsidR="0056745D" w:rsidRDefault="0056745D" w:rsidP="0056745D">
      <w:pPr>
        <w:ind w:left="720" w:hanging="720"/>
      </w:pPr>
      <w:r w:rsidRPr="00507E01">
        <w:t xml:space="preserve">Arney, J., Gray, C., Clark, J.A., Smith, D., Swank, A., Matlock, D.D., Melcher, J., Kanwal, F. and Naik, A.D. </w:t>
      </w:r>
      <w:r>
        <w:t>(</w:t>
      </w:r>
      <w:r w:rsidRPr="00507E01">
        <w:t>2022</w:t>
      </w:r>
      <w:r>
        <w:t>)</w:t>
      </w:r>
      <w:r w:rsidRPr="00507E01">
        <w:t>. Prognosis conversations in advanced liver disease: a qualitative interview study with health professionals and patients. </w:t>
      </w:r>
      <w:proofErr w:type="spellStart"/>
      <w:r w:rsidRPr="00507E01">
        <w:rPr>
          <w:i/>
          <w:iCs/>
        </w:rPr>
        <w:t>PLoS</w:t>
      </w:r>
      <w:proofErr w:type="spellEnd"/>
      <w:r w:rsidRPr="00507E01">
        <w:rPr>
          <w:i/>
          <w:iCs/>
        </w:rPr>
        <w:t xml:space="preserve"> One</w:t>
      </w:r>
      <w:r w:rsidRPr="00507E01">
        <w:t>, </w:t>
      </w:r>
      <w:r w:rsidRPr="00507E01">
        <w:rPr>
          <w:i/>
          <w:iCs/>
        </w:rPr>
        <w:t>17</w:t>
      </w:r>
      <w:r w:rsidRPr="00507E01">
        <w:t>(2), p.e0263874.</w:t>
      </w:r>
    </w:p>
    <w:p w14:paraId="739001FA" w14:textId="77777777" w:rsidR="0056745D" w:rsidRDefault="0056745D" w:rsidP="0056745D">
      <w:pPr>
        <w:ind w:left="720" w:hanging="720"/>
      </w:pPr>
      <w:r w:rsidRPr="00F40A64">
        <w:t xml:space="preserve">Buka, P. ed. </w:t>
      </w:r>
      <w:r>
        <w:t>(</w:t>
      </w:r>
      <w:r w:rsidRPr="00F40A64">
        <w:t>2024</w:t>
      </w:r>
      <w:r>
        <w:t>)</w:t>
      </w:r>
      <w:r w:rsidRPr="00F40A64">
        <w:t>. </w:t>
      </w:r>
      <w:r w:rsidRPr="00507E01">
        <w:rPr>
          <w:i/>
          <w:iCs/>
        </w:rPr>
        <w:t>Patient Safety in Clinical Practice: A Diverse Approach to Safe Healthcare for All</w:t>
      </w:r>
      <w:r w:rsidRPr="00F40A64">
        <w:t>. Taylor &amp; Francis.</w:t>
      </w:r>
    </w:p>
    <w:p w14:paraId="76A8BF0A" w14:textId="77777777" w:rsidR="0056745D" w:rsidRDefault="0056745D" w:rsidP="0056745D">
      <w:pPr>
        <w:ind w:left="720" w:hanging="720"/>
      </w:pPr>
      <w:r w:rsidRPr="00F40A64">
        <w:lastRenderedPageBreak/>
        <w:t xml:space="preserve">Carrier, J., Jones, A. and Newbury, G. </w:t>
      </w:r>
      <w:r>
        <w:t>(</w:t>
      </w:r>
      <w:r w:rsidRPr="00F40A64">
        <w:t>2022</w:t>
      </w:r>
      <w:r>
        <w:t>)</w:t>
      </w:r>
      <w:r w:rsidRPr="00F40A64">
        <w:t>. Care coordination and the role of multi-disciplinary teams. In </w:t>
      </w:r>
      <w:r w:rsidRPr="00507E01">
        <w:rPr>
          <w:i/>
          <w:iCs/>
        </w:rPr>
        <w:t>Managing Long-term Conditions and Chronic Illness in Primary Care</w:t>
      </w:r>
      <w:r w:rsidRPr="00F40A64">
        <w:t> (pp. 35-49). Routledge.</w:t>
      </w:r>
    </w:p>
    <w:p w14:paraId="42B5E023" w14:textId="77777777" w:rsidR="0056745D" w:rsidRPr="00507E01" w:rsidRDefault="0056745D" w:rsidP="0056745D">
      <w:pPr>
        <w:ind w:left="720" w:hanging="720"/>
        <w:rPr>
          <w:lang w:val="en-US"/>
        </w:rPr>
      </w:pPr>
      <w:r w:rsidRPr="00507E01">
        <w:rPr>
          <w:lang w:val="en-US"/>
        </w:rPr>
        <w:t xml:space="preserve">CQC. (2026). </w:t>
      </w:r>
      <w:r w:rsidRPr="00507E01">
        <w:rPr>
          <w:i/>
          <w:iCs/>
          <w:lang w:val="en-US"/>
        </w:rPr>
        <w:t>The fundamental standards of care</w:t>
      </w:r>
      <w:r w:rsidRPr="00507E01">
        <w:rPr>
          <w:lang w:val="en-US"/>
        </w:rPr>
        <w:t xml:space="preserve">. The fundamental standards of care - Care Quality Commission. </w:t>
      </w:r>
      <w:hyperlink r:id="rId4" w:history="1">
        <w:r w:rsidRPr="00507E01">
          <w:rPr>
            <w:rStyle w:val="Hyperlink"/>
            <w:lang w:val="en-US"/>
          </w:rPr>
          <w:t>https://www.cqc.org.uk/about-us/fundamental-standards</w:t>
        </w:r>
      </w:hyperlink>
      <w:r>
        <w:rPr>
          <w:lang w:val="en-US"/>
        </w:rPr>
        <w:t xml:space="preserve"> </w:t>
      </w:r>
      <w:r w:rsidRPr="00746758">
        <w:t>[Accessed 16 Jun. 2026].</w:t>
      </w:r>
    </w:p>
    <w:p w14:paraId="56648225" w14:textId="77777777" w:rsidR="0056745D" w:rsidRDefault="0056745D" w:rsidP="0056745D">
      <w:pPr>
        <w:ind w:left="720" w:hanging="720"/>
      </w:pPr>
      <w:r w:rsidRPr="00507E01">
        <w:t xml:space="preserve">Li, J., Wu, X., Wu, Y., Fong, D.Y.T., Song, Y., Xu, S., Kim, C., Lin, X. and Pandian, V. </w:t>
      </w:r>
      <w:r>
        <w:t>(</w:t>
      </w:r>
      <w:r w:rsidRPr="00507E01">
        <w:t>2025</w:t>
      </w:r>
      <w:r>
        <w:t>)</w:t>
      </w:r>
      <w:r w:rsidRPr="00507E01">
        <w:t>. Physical, mental, and health empowerment disparities across chronic obstructive pulmonary disease, asthma, and combined groups and the moderating role of eHealth literacy: Cross-sectional study. </w:t>
      </w:r>
      <w:r w:rsidRPr="00507E01">
        <w:rPr>
          <w:i/>
          <w:iCs/>
        </w:rPr>
        <w:t>Journal of medical Internet research</w:t>
      </w:r>
      <w:r w:rsidRPr="00507E01">
        <w:t>, </w:t>
      </w:r>
      <w:r w:rsidRPr="00507E01">
        <w:rPr>
          <w:i/>
          <w:iCs/>
        </w:rPr>
        <w:t>27</w:t>
      </w:r>
      <w:r w:rsidRPr="00507E01">
        <w:t>, p.e70822.</w:t>
      </w:r>
    </w:p>
    <w:p w14:paraId="68E1A0B4" w14:textId="77777777" w:rsidR="0056745D" w:rsidRDefault="0056745D" w:rsidP="0056745D">
      <w:pPr>
        <w:ind w:left="720" w:hanging="720"/>
      </w:pPr>
      <w:r w:rsidRPr="00F40A64">
        <w:t xml:space="preserve">Lopez Fernandez, V. </w:t>
      </w:r>
      <w:r>
        <w:t>(</w:t>
      </w:r>
      <w:r w:rsidRPr="00F40A64">
        <w:t>2022</w:t>
      </w:r>
      <w:r>
        <w:t>)</w:t>
      </w:r>
      <w:r w:rsidRPr="00F40A64">
        <w:t>. Age-related pharmacovigilance perspectives.</w:t>
      </w:r>
    </w:p>
    <w:p w14:paraId="32DEFC5F" w14:textId="77777777" w:rsidR="0056745D" w:rsidRDefault="0056745D" w:rsidP="0056745D">
      <w:pPr>
        <w:ind w:left="720" w:hanging="720"/>
      </w:pPr>
      <w:r w:rsidRPr="00F40A64">
        <w:t>Miura, T. and Kanoya, Y.</w:t>
      </w:r>
      <w:r>
        <w:t xml:space="preserve"> (</w:t>
      </w:r>
      <w:r w:rsidRPr="00F40A64">
        <w:t>2025</w:t>
      </w:r>
      <w:r>
        <w:t>)</w:t>
      </w:r>
      <w:r w:rsidRPr="00F40A64">
        <w:t>. Fall risk assessment and prevention strategies in nursing homes: A narrative review. In </w:t>
      </w:r>
      <w:r w:rsidRPr="00507E01">
        <w:rPr>
          <w:i/>
          <w:iCs/>
        </w:rPr>
        <w:t>Healthcare</w:t>
      </w:r>
      <w:r w:rsidRPr="00F40A64">
        <w:t> (Vol. 13, No. 4, p. 357). MDPI.</w:t>
      </w:r>
    </w:p>
    <w:p w14:paraId="2F84A054" w14:textId="77777777" w:rsidR="0056745D" w:rsidRDefault="0056745D" w:rsidP="0056745D">
      <w:pPr>
        <w:ind w:left="720" w:hanging="720"/>
      </w:pPr>
      <w:r w:rsidRPr="00507E01">
        <w:t xml:space="preserve">New, M., </w:t>
      </w:r>
      <w:proofErr w:type="spellStart"/>
      <w:r w:rsidRPr="00507E01">
        <w:t>Reckien</w:t>
      </w:r>
      <w:proofErr w:type="spellEnd"/>
      <w:r w:rsidRPr="00507E01">
        <w:t>, D., Viner, D., Adler, C., Cheong, S.M., Conde, C., Constable, A., de Perez, E.C., Lammel, A., Mechler, R. and Orlove, B</w:t>
      </w:r>
      <w:r>
        <w:t>.</w:t>
      </w:r>
      <w:r w:rsidRPr="00507E01">
        <w:t xml:space="preserve"> </w:t>
      </w:r>
      <w:r>
        <w:t>(</w:t>
      </w:r>
      <w:r w:rsidRPr="00507E01">
        <w:t>2022</w:t>
      </w:r>
      <w:r>
        <w:t>)</w:t>
      </w:r>
      <w:r w:rsidRPr="00507E01">
        <w:t>. Decision-making options for managing risk. In </w:t>
      </w:r>
      <w:r w:rsidRPr="00507E01">
        <w:rPr>
          <w:i/>
          <w:iCs/>
        </w:rPr>
        <w:t>Climate change 2022: Impacts, adaptation and vulnerability: contribution of working Group II to the sixth assessment report of the intergovernmental panel on climate change</w:t>
      </w:r>
      <w:r w:rsidRPr="00507E01">
        <w:t> (pp. 2539-2654). Cambridge University Press.</w:t>
      </w:r>
    </w:p>
    <w:p w14:paraId="0E078BDD" w14:textId="77777777" w:rsidR="0056745D" w:rsidRDefault="0056745D" w:rsidP="0056745D">
      <w:pPr>
        <w:ind w:left="720" w:hanging="720"/>
      </w:pPr>
      <w:r w:rsidRPr="00507E01">
        <w:t xml:space="preserve">Powell, J., Willis, P., Cameron, A., Vickery, A., Johnson, E.K., Beach, B. and Smith, R.C. </w:t>
      </w:r>
      <w:r>
        <w:t>(</w:t>
      </w:r>
      <w:r w:rsidRPr="00507E01">
        <w:t>2024</w:t>
      </w:r>
      <w:r>
        <w:t>)</w:t>
      </w:r>
      <w:r w:rsidRPr="00507E01">
        <w:t>. The role of built environments and use of communal spaces in helping facilitate social connections of older people living in housing with care schemes. </w:t>
      </w:r>
      <w:r w:rsidRPr="00507E01">
        <w:rPr>
          <w:i/>
          <w:iCs/>
        </w:rPr>
        <w:t>Quality in Ageing and Older Adults</w:t>
      </w:r>
      <w:r w:rsidRPr="00507E01">
        <w:t>, </w:t>
      </w:r>
      <w:r w:rsidRPr="00507E01">
        <w:rPr>
          <w:i/>
          <w:iCs/>
        </w:rPr>
        <w:t>25</w:t>
      </w:r>
      <w:r w:rsidRPr="00507E01">
        <w:t>(3), pp.220-231.</w:t>
      </w:r>
    </w:p>
    <w:p w14:paraId="528D4C7D" w14:textId="77777777" w:rsidR="0056745D" w:rsidRDefault="0056745D" w:rsidP="0056745D">
      <w:pPr>
        <w:ind w:left="720" w:hanging="720"/>
      </w:pPr>
      <w:r w:rsidRPr="00F40A64">
        <w:t xml:space="preserve">Prizeman, K., Weinstein, N. and McCabe, C. </w:t>
      </w:r>
      <w:r>
        <w:t>(</w:t>
      </w:r>
      <w:r w:rsidRPr="00F40A64">
        <w:t>2023</w:t>
      </w:r>
      <w:r>
        <w:t>)</w:t>
      </w:r>
      <w:r w:rsidRPr="00F40A64">
        <w:t>. Effects of mental health stigma on loneliness, social isolation, and relationships in young people with depression symptoms. </w:t>
      </w:r>
      <w:r w:rsidRPr="00507E01">
        <w:rPr>
          <w:i/>
          <w:iCs/>
        </w:rPr>
        <w:t>BMC psychiatry</w:t>
      </w:r>
      <w:r w:rsidRPr="00F40A64">
        <w:t>, </w:t>
      </w:r>
      <w:r w:rsidRPr="00507E01">
        <w:rPr>
          <w:i/>
          <w:iCs/>
        </w:rPr>
        <w:t>23</w:t>
      </w:r>
      <w:r w:rsidRPr="00F40A64">
        <w:t>(1), p.527.</w:t>
      </w:r>
    </w:p>
    <w:p w14:paraId="11BC41E3" w14:textId="77777777" w:rsidR="0056745D" w:rsidRDefault="0056745D" w:rsidP="0056745D">
      <w:pPr>
        <w:ind w:left="720" w:hanging="720"/>
      </w:pPr>
      <w:r w:rsidRPr="00507E01">
        <w:t xml:space="preserve">Rachmad, Y.E. </w:t>
      </w:r>
      <w:r>
        <w:t>(</w:t>
      </w:r>
      <w:r w:rsidRPr="00507E01">
        <w:t>2022</w:t>
      </w:r>
      <w:r>
        <w:t>)</w:t>
      </w:r>
      <w:r w:rsidRPr="00507E01">
        <w:t>. Empowerment Theory.</w:t>
      </w:r>
    </w:p>
    <w:p w14:paraId="7E385935" w14:textId="77777777" w:rsidR="0056745D" w:rsidRDefault="0056745D" w:rsidP="0056745D">
      <w:pPr>
        <w:ind w:left="720" w:hanging="720"/>
      </w:pPr>
      <w:r w:rsidRPr="00F40A64">
        <w:t xml:space="preserve">Sherwood-Johnson, F., Rummery, K., Lawrence, J., Mackay, K., Ramsay, K. and McGregor, R. </w:t>
      </w:r>
      <w:r>
        <w:t>(</w:t>
      </w:r>
      <w:r w:rsidRPr="00F40A64">
        <w:t>2023</w:t>
      </w:r>
      <w:r>
        <w:t>)</w:t>
      </w:r>
      <w:r w:rsidRPr="00F40A64">
        <w:t>. Dangerous care: developing theory to safeguard older adults in caring relationships in the UK. </w:t>
      </w:r>
      <w:r w:rsidRPr="00507E01">
        <w:rPr>
          <w:i/>
          <w:iCs/>
        </w:rPr>
        <w:t>The Journal of Adult Protection</w:t>
      </w:r>
      <w:r w:rsidRPr="00F40A64">
        <w:t>, </w:t>
      </w:r>
      <w:r w:rsidRPr="00507E01">
        <w:rPr>
          <w:i/>
          <w:iCs/>
        </w:rPr>
        <w:t>25</w:t>
      </w:r>
      <w:r w:rsidRPr="00F40A64">
        <w:t>(3), pp.156-166.</w:t>
      </w:r>
    </w:p>
    <w:p w14:paraId="52C34BDA" w14:textId="77777777" w:rsidR="0056745D" w:rsidRDefault="0056745D" w:rsidP="0056745D">
      <w:pPr>
        <w:ind w:left="720" w:hanging="720"/>
      </w:pPr>
      <w:proofErr w:type="spellStart"/>
      <w:r w:rsidRPr="00D802CF">
        <w:t>Silverglow</w:t>
      </w:r>
      <w:proofErr w:type="spellEnd"/>
      <w:r w:rsidRPr="00D802CF">
        <w:t xml:space="preserve">, A., Johansson, L., Lidén, E. and Wijk, H. </w:t>
      </w:r>
      <w:r>
        <w:t>(</w:t>
      </w:r>
      <w:r w:rsidRPr="00D802CF">
        <w:t>2022</w:t>
      </w:r>
      <w:r>
        <w:t>)</w:t>
      </w:r>
      <w:r w:rsidRPr="00D802CF">
        <w:t>. Perceptions of providing safe care for frail older people at home: a qualitative study based on focus group interviews with home care staff. </w:t>
      </w:r>
      <w:r w:rsidRPr="00507E01">
        <w:rPr>
          <w:i/>
          <w:iCs/>
        </w:rPr>
        <w:t>Scandinavian journal of caring sciences</w:t>
      </w:r>
      <w:r w:rsidRPr="00D802CF">
        <w:t>, </w:t>
      </w:r>
      <w:r w:rsidRPr="00507E01">
        <w:rPr>
          <w:i/>
          <w:iCs/>
        </w:rPr>
        <w:t>36</w:t>
      </w:r>
      <w:r w:rsidRPr="00D802CF">
        <w:t>(3), pp.852-862.</w:t>
      </w:r>
    </w:p>
    <w:p w14:paraId="2941BEF1" w14:textId="77777777" w:rsidR="0056745D" w:rsidRDefault="0056745D" w:rsidP="0056745D">
      <w:pPr>
        <w:ind w:left="720" w:hanging="720"/>
      </w:pPr>
      <w:r w:rsidRPr="00F40A64">
        <w:t xml:space="preserve">Sims, S., Desai, A., Harris, R., Rafferty, A.M., Hussein, S., Adams, R., Rees, L., Brearley, S. and Fitzpatrick, J.M. </w:t>
      </w:r>
      <w:r>
        <w:t>(</w:t>
      </w:r>
      <w:r w:rsidRPr="00F40A64">
        <w:t>2024</w:t>
      </w:r>
      <w:r>
        <w:t>)</w:t>
      </w:r>
      <w:r w:rsidRPr="00F40A64">
        <w:t xml:space="preserve">. Living restricted lives‐Understanding the impact of isolation, social distancing and other restriction measures on older care home residents and their </w:t>
      </w:r>
      <w:r w:rsidRPr="00F40A64">
        <w:lastRenderedPageBreak/>
        <w:t>relatives in England during the COVID-19 pandemic: A qualitative study. </w:t>
      </w:r>
      <w:proofErr w:type="spellStart"/>
      <w:r w:rsidRPr="00507E01">
        <w:rPr>
          <w:i/>
          <w:iCs/>
        </w:rPr>
        <w:t>Plos</w:t>
      </w:r>
      <w:proofErr w:type="spellEnd"/>
      <w:r w:rsidRPr="00507E01">
        <w:rPr>
          <w:i/>
          <w:iCs/>
        </w:rPr>
        <w:t xml:space="preserve"> one</w:t>
      </w:r>
      <w:r w:rsidRPr="00F40A64">
        <w:t>, </w:t>
      </w:r>
      <w:r w:rsidRPr="00507E01">
        <w:rPr>
          <w:i/>
          <w:iCs/>
        </w:rPr>
        <w:t>19</w:t>
      </w:r>
      <w:r w:rsidRPr="00F40A64">
        <w:t>(12), p. e0312509.</w:t>
      </w:r>
    </w:p>
    <w:p w14:paraId="5A46E7BC" w14:textId="77777777" w:rsidR="0056745D" w:rsidRPr="005C6ECC" w:rsidRDefault="0056745D" w:rsidP="0056745D">
      <w:pPr>
        <w:ind w:left="720" w:hanging="720"/>
      </w:pPr>
      <w:r w:rsidRPr="00F40A64">
        <w:t xml:space="preserve">Weld, N., Rankine, M., Beddoe, L. and Davys, A. </w:t>
      </w:r>
      <w:r>
        <w:t>(</w:t>
      </w:r>
      <w:r w:rsidRPr="00F40A64">
        <w:t>2025</w:t>
      </w:r>
      <w:r>
        <w:t>)</w:t>
      </w:r>
      <w:r w:rsidRPr="00F40A64">
        <w:t>. Learning, connecting and holistic wellbeing: A study of how supervisors sustain wellbeing and resilience. </w:t>
      </w:r>
      <w:r w:rsidRPr="00507E01">
        <w:rPr>
          <w:i/>
          <w:iCs/>
        </w:rPr>
        <w:t>International Journal of Wellbeing</w:t>
      </w:r>
      <w:r w:rsidRPr="00F40A64">
        <w:t>, </w:t>
      </w:r>
      <w:r w:rsidRPr="00507E01">
        <w:rPr>
          <w:i/>
          <w:iCs/>
        </w:rPr>
        <w:t>15</w:t>
      </w:r>
      <w:r w:rsidRPr="00F40A64">
        <w:t>(4).</w:t>
      </w:r>
    </w:p>
    <w:p w14:paraId="6D34FC5F" w14:textId="77777777" w:rsidR="0056745D" w:rsidRDefault="0056745D" w:rsidP="0056745D"/>
    <w:p w14:paraId="28530436" w14:textId="24C2C9FD" w:rsidR="0070638D" w:rsidRPr="005C6ECC" w:rsidRDefault="0070638D" w:rsidP="0070638D">
      <w:pPr>
        <w:ind w:left="720" w:hanging="720"/>
      </w:pPr>
    </w:p>
    <w:sectPr w:rsidR="0070638D" w:rsidRPr="005C6ECC" w:rsidSect="0070638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93DEB" w14:textId="77777777" w:rsidR="0070638D" w:rsidRDefault="007063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328ED" w14:textId="77777777" w:rsidR="0070638D" w:rsidRDefault="007063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39DB6" w14:textId="77777777" w:rsidR="0070638D" w:rsidRDefault="0070638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1085" w14:textId="77777777" w:rsidR="0070638D" w:rsidRDefault="007063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43279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151C5" w14:textId="77777777" w:rsidR="0070638D" w:rsidRDefault="0070638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4AF060" w14:textId="77777777" w:rsidR="0070638D" w:rsidRDefault="0070638D" w:rsidP="007029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C0B73" w14:textId="77777777" w:rsidR="0070638D" w:rsidRDefault="007063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8D"/>
    <w:rsid w:val="0056745D"/>
    <w:rsid w:val="0070638D"/>
    <w:rsid w:val="009B2940"/>
    <w:rsid w:val="00A80E47"/>
    <w:rsid w:val="00E35E56"/>
    <w:rsid w:val="00E5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80079"/>
  <w15:chartTrackingRefBased/>
  <w15:docId w15:val="{59A1BFD9-9BB3-421E-AB5F-163F9841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38D"/>
    <w:pPr>
      <w:spacing w:line="276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638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38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38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38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638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38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38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38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638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3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3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3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3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63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63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63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63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63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63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063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638D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063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638D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063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638D"/>
    <w:pPr>
      <w:spacing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063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63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63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638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6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38D"/>
    <w:rPr>
      <w:rFonts w:ascii="Times New Roman" w:hAnsi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06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38D"/>
    <w:rPr>
      <w:rFonts w:ascii="Times New Roman" w:hAnsi="Times New Roman"/>
      <w:kern w:val="0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70638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hyperlink" Target="https://www.cqc.org.uk/about-us/fundamental-standards" TargetMode="Externa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Sehrish Bibi (2322746)</dc:creator>
  <cp:keywords/>
  <dc:description/>
  <cp:lastModifiedBy>Sehrish Bibi (2322746)</cp:lastModifiedBy>
  <cp:revision>2</cp:revision>
  <dcterms:created xsi:type="dcterms:W3CDTF">2026-07-06T10:39:00Z</dcterms:created>
  <dcterms:modified xsi:type="dcterms:W3CDTF">2026-07-06T10:39:00Z</dcterms:modified>
</cp:coreProperties>
</file>