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01429E7" wp14:paraId="1E4F4268" wp14:textId="3C5C6153">
      <w:pPr>
        <w:spacing w:line="360"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none"/>
          <w:lang w:val="en-GB"/>
        </w:rPr>
      </w:pPr>
      <w:r w:rsidRPr="401429E7" w:rsidR="1D3F9B3C">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none"/>
          <w:lang w:val="en-GB"/>
        </w:rPr>
        <w:t>Component</w:t>
      </w:r>
      <w:r w:rsidRPr="401429E7" w:rsidR="1D3F9B3C">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none"/>
          <w:lang w:val="en-GB"/>
        </w:rPr>
        <w:t xml:space="preserve"> 2 </w:t>
      </w:r>
    </w:p>
    <w:p xmlns:wp14="http://schemas.microsoft.com/office/word/2010/wordml" w:rsidP="401429E7" wp14:paraId="537942A6" wp14:textId="155FE343">
      <w:pPr>
        <w:pStyle w:val="Normal"/>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657779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Name: </w:t>
      </w:r>
      <w:r w:rsidRPr="401429E7" w:rsidR="657779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Kudeja</w:t>
      </w:r>
      <w:r w:rsidRPr="401429E7" w:rsidR="657779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Yasmin</w:t>
      </w:r>
      <w:r>
        <w:br/>
      </w:r>
      <w:r w:rsidRPr="401429E7" w:rsidR="657779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Student Number: </w:t>
      </w:r>
      <w:hyperlink r:id="R779dbedff44b44e9">
        <w:r w:rsidRPr="401429E7" w:rsidR="657779E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2419337</w:t>
        </w:r>
        <w:r>
          <w:br/>
        </w:r>
      </w:hyperlink>
      <w:r w:rsidRPr="401429E7" w:rsidR="657779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Module Title: </w:t>
      </w:r>
      <w:r w:rsidRPr="401429E7" w:rsidR="1560FC7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Written Assignment </w:t>
      </w:r>
      <w:r>
        <w:br/>
      </w:r>
      <w:r w:rsidRPr="401429E7" w:rsidR="657779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Module Code: LCHS4003</w:t>
      </w:r>
      <w:r>
        <w:br/>
      </w:r>
      <w:r w:rsidRPr="401429E7" w:rsidR="657779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Lecturer Name: </w:t>
      </w:r>
      <w:r w:rsidRPr="401429E7" w:rsidR="657779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Ayazullah</w:t>
      </w:r>
      <w:r w:rsidRPr="401429E7" w:rsidR="657779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Safi</w:t>
      </w:r>
      <w:r>
        <w:br/>
      </w:r>
      <w:r w:rsidRPr="401429E7" w:rsidR="657779E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Rektake Tutor: Raheela Sheikh</w:t>
      </w:r>
      <w:r>
        <w:br/>
      </w:r>
      <w:r w:rsidRPr="401429E7" w:rsidR="59BAC23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Submission date: 28</w:t>
      </w:r>
      <w:r w:rsidRPr="401429E7" w:rsidR="59BAC23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401429E7" w:rsidR="59BAC23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November</w:t>
      </w:r>
      <w:r w:rsidRPr="401429E7" w:rsidR="78D8784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2025</w:t>
      </w:r>
      <w:r>
        <w:br/>
      </w:r>
      <w:r>
        <w:br/>
      </w:r>
      <w:r>
        <w:br/>
      </w:r>
      <w:r w:rsidRPr="401429E7" w:rsidR="732B0C5D">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The Role </w:t>
      </w:r>
      <w:r w:rsidRPr="401429E7" w:rsidR="3A723BD2">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of</w:t>
      </w:r>
      <w:r w:rsidRPr="401429E7" w:rsidR="732B0C5D">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 </w:t>
      </w:r>
      <w:r w:rsidRPr="401429E7" w:rsidR="52432A8C">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a</w:t>
      </w:r>
      <w:r w:rsidRPr="401429E7" w:rsidR="732B0C5D">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 Health Care Prac</w:t>
      </w:r>
      <w:r w:rsidRPr="401429E7" w:rsidR="14763728">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ti</w:t>
      </w:r>
      <w:r w:rsidRPr="401429E7" w:rsidR="732B0C5D">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tioner </w:t>
      </w:r>
      <w:r>
        <w:br/>
      </w:r>
      <w:r>
        <w:br/>
      </w:r>
      <w:r w:rsidRPr="401429E7" w:rsidR="732B0C5D">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Introduction</w:t>
      </w:r>
    </w:p>
    <w:p xmlns:wp14="http://schemas.microsoft.com/office/word/2010/wordml" w:rsidP="401429E7" wp14:paraId="5662002F" wp14:textId="2B93FDBF">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2FEFF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As a future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Health and social care practitioners </w:t>
      </w:r>
      <w:r w:rsidRPr="401429E7" w:rsidR="076A5E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 am aware that we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have a pivotal role in enabling individuals, families, and communities to achieve positive health and wellbeing outcomes. </w:t>
      </w:r>
      <w:r w:rsidRPr="401429E7" w:rsidR="0EEEB5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Our</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practice extends beyond clinical or physical care; </w:t>
      </w:r>
      <w:r w:rsidRPr="401429E7" w:rsidR="491C4F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encompass effective communication,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accurate</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record-keeping, and collaboration in multidisciplinary teams. All these functions are components of person-centred, safe, and ethical care delivery. In modern practice, employees must also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operate</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within a robust legislative framework that protects service users' rights, ensures equality of access, and upholds confidentiality. The Equality Act 2010 and Data Protection Act 2018 underpin much of this professional responsibility. This essay considers how communication skills, administrative capacity, and ongoing professional development intersect to enable effective and lawful practice. It explains how Berlo's (1960) SMCR model promotes inclusive communication, the role of factual recording within data-protection guidelines, and the need for continuous learning and working together to achieve high-quality care outcomes.</w:t>
      </w:r>
    </w:p>
    <w:p xmlns:wp14="http://schemas.microsoft.com/office/word/2010/wordml" w:rsidP="401429E7" wp14:paraId="22221C1A" wp14:textId="04586585">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Communication with Service Users and Families</w:t>
      </w:r>
    </w:p>
    <w:p xmlns:wp14="http://schemas.microsoft.com/office/word/2010/wordml" w:rsidP="401429E7" wp14:paraId="035B4AF0" wp14:textId="2E66F335">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Compassionate and person-centred health and social care is at the heart of effective communication. It enables practitioners to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determine</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needs of service users, convey information in a clear manner, and build trusting relationships with service users and their families. Poor communication is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frequently</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cited in serious case reviews as a main factor in service failure (CQC, 2021). Practitioners are therefore expected to communicate sensitively, professionally, and with consideration of legal and ethical expectations.</w:t>
      </w:r>
    </w:p>
    <w:p xmlns:wp14="http://schemas.microsoft.com/office/word/2010/wordml" w:rsidP="401429E7" wp14:paraId="1CDAAD7D" wp14:textId="7E1503E2">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Equality Act 2010 is the legal foundation of inclusive communication. The act prohibits discrimination on the grounds of protected characteristics such as age, disability, race, gender, religion, or sexual orientation. Practically, this implies that practitioners should make sure that reasonable adjustments are in place so that everyone is able to access information and communicate. Examples include the availability of interpreters for individuals with limited English skills, easy-read information for service users with learning disability, or the adaptation of communication for those with sensory impairment. These adjustments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demonstrate</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respect for equality and dignity, fundamental values in contemporary care provision.</w:t>
      </w:r>
      <w:r w:rsidRPr="401429E7" w:rsidR="7B2E61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SMCR (Source–Message–Channel–Receiver) model of Berlo offers a theoretical framework for understanding how communication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operates</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practice. The sender (practitioner) encodes a message based on skills, attitudes, and knowledge; the message is the information to be conveyed; the channel is the medium—verbal, non-verbal, or written—and the receiver (service user or family) decodes and interprets it (Berlo, 1960). The importance of what this model highlights is that effective communication is based on shared understanding and feedback. In health and social care, barriers such as cultural difference, emotional distress, or cognitive impairment may distort the message. Practitioners are therefore compelled to use active listening, empathy, and clarification </w:t>
      </w:r>
      <w:r w:rsidRPr="401429E7" w:rsidR="15EC89A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to</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ensure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accurate</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interpretation.</w:t>
      </w:r>
      <w:r w:rsidRPr="401429E7" w:rsidR="252945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For instance, when explaining treatment plans to families in a mental-health setting, practitioners might avoid the use of jargon and check for understanding with open questions. A facilitative tone, posture, and emotional intelligence enhance trust and participation (Egan, 2014). The SMCR model also points out that sender and receiver both affect communication outcome; thus, practitioners must take into consideration their own biases, choice of words, and attitudes.</w:t>
      </w:r>
      <w:r w:rsidRPr="401429E7" w:rsidR="667102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Concisely, principle-based communication that is theoretically informed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facilitates</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practitioners in the delivery of accessible, respectful, and person-centred care. The communication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renders</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service users and </w:t>
      </w:r>
      <w:r w:rsidRPr="401429E7" w:rsidR="69753C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families'</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equal partners in decision-making, with autonomy and shared responsibility for outcomes in health terms.</w:t>
      </w:r>
    </w:p>
    <w:p xmlns:wp14="http://schemas.microsoft.com/office/word/2010/wordml" w:rsidP="401429E7" wp14:paraId="2614BD6D" wp14:textId="63B7A0DE">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xmlns:wp14="http://schemas.microsoft.com/office/word/2010/wordml" w:rsidP="401429E7" wp14:paraId="3495753D" wp14:textId="1E0B5007">
      <w:pPr>
        <w:pStyle w:val="Normal"/>
        <w:spacing w:before="240" w:beforeAutospacing="off" w:after="240" w:afterAutospacing="off" w:line="360" w:lineRule="auto"/>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Administrative Skills, Record-Keeping, and Data Protection</w:t>
      </w:r>
    </w:p>
    <w:p xmlns:wp14="http://schemas.microsoft.com/office/word/2010/wordml" w:rsidP="401429E7" wp14:paraId="56506F1F" wp14:textId="00C7C317">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017E38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Appropriate</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record-keeping is one of the cornerstones of professional accountability in health and social care. It ensures continuity of care, effective communication between professionals, and is legal evidence of interventions provided. Administrative competence illustrates a practitioner's commitment to safety, transparency, and ethical accountability (NHS England, 2022).</w:t>
      </w:r>
      <w:r w:rsidRPr="401429E7" w:rsidR="7340E4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Data Protection Act 2018, which adopts the General Data Protection Regulation (GDPR), governs the way in which personal and sensitive information needs to be handled. It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establishes</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principles of lawfulness, fairness, transparency, purpose limitation, data</w:t>
      </w:r>
      <w:r w:rsidRPr="401429E7" w:rsidR="4741C5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minimisation, accuracy, storage limitation, and confidentiality. Health and social care practitioners are legally obligated to collect and process only necessary information, store it safely, and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transmit</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it only on a need-to-know basis. This protects service users' privacy and trust in caring relationships (Department of Health and Social Care [DHSC], 2021).</w:t>
      </w:r>
      <w:r w:rsidRPr="401429E7" w:rsidR="7295E2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01429E7" w:rsidR="60FC00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Appropriate</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record-keeping in practice requires clarity, accuracy, and timeliness. Entries into records should be factual,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objective</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and signed or electronically authenticated. Omissions or mistakes carry grave implications, including compromised care quality or legal liability (RCN, 2017). For example, incomplete documentation of drug administration could lead to duplication or omission, with grave patient-safety consequences. Practitioners should therefore ensure that all records—manual or electronic—reflect care accurately and chronologically.</w:t>
      </w:r>
      <w:r w:rsidRPr="401429E7" w:rsidR="513171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move to electronic record systems has improved information sharing but increased data-security risks. Practitioners must use secure passwords, not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disclose</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login details, and lock computers when they are unattended. The Caldicott Principles (NHS Digital, 2020) also support data governance by emphasizing justification for information sharing and minimisation of identifiable information.</w:t>
      </w:r>
      <w:r w:rsidRPr="401429E7" w:rsidR="57EA8F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Administrative duties exceed mere data entry; they entail knowledge and adherence to organisational policy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regarding</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confidentiality, consent, and record retention. Practitioners need to remain aware of the Care Quality Commission's (CQC) Fundamental Standards (2014), which require records to be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accurate</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complete, and securely stored. They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are also required to</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undergo regular audit and training </w:t>
      </w:r>
      <w:r w:rsidRPr="401429E7" w:rsidR="1BB1C7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to</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remain competent in digital literacy and compliance with evolving data-protection law.</w:t>
      </w:r>
      <w:r w:rsidRPr="401429E7" w:rsidR="56CEB7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Lastly, keeping good records is not a matter of bureaucratic necessity but rather a professional and ethical duty. Practitioners, by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utilizing</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provisions of the Data Protection Act 2018 and professional standards as benchmarks, contribute towards the fostering of a culture of accountability, safety, and respect for service users' rights.</w:t>
      </w:r>
    </w:p>
    <w:p xmlns:wp14="http://schemas.microsoft.com/office/word/2010/wordml" w:rsidP="401429E7" wp14:paraId="509FD000" wp14:textId="369E5424">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xmlns:wp14="http://schemas.microsoft.com/office/word/2010/wordml" w:rsidP="401429E7" wp14:paraId="66F94BA8" wp14:textId="4D63A345">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Continuing Professional Development and Collaborative Practice</w:t>
      </w:r>
    </w:p>
    <w:p xmlns:wp14="http://schemas.microsoft.com/office/word/2010/wordml" w:rsidP="401429E7" wp14:paraId="5A532CD5" wp14:textId="4DF22030">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Multidisciplinary team working is central to modern health and social care. Service users with complex needs can require input from nurses, social workers, occupational therapists, and other allied professionals. Interprofessional working ensures holistic care and reduce</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fragmentation. However, effective working together is contingent upon practitioners being capable of communicating effectively, understanding professional boundaries, and engaging in continuous professional development (CPD).</w:t>
      </w:r>
      <w:r w:rsidRPr="401429E7" w:rsidR="37E168E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Reflective practice promotes ongoing learning and personal development. Frameworks such as Kolb's Experiential Learning Cycle (1984) and Johns' Model of Reflection (2017) encourage practitioners to reflect on experiences,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identify</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learning needs, and apply insights to future practice</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401429E7" w:rsidR="61D50A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For example, after a challenging experience of inter-professional conflict, reflection allows practitioners to reflect on communication styles and consider alternative approaches to resolution.</w:t>
      </w:r>
      <w:r w:rsidRPr="401429E7" w:rsidR="0C4CA4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CPD is a professional and personal duty, supported by regulatory bodies like the Health and Care Professions Council (HCPC) and the Nursing and Midwifery Council (NMC). It allows practitioners to update their knowledge, adhere to evidence-based practice, and stay informed about legislative or technological advances. Attending workshops, supervision, and peer feedback in terms of team working encourages confidence in collaborative decision-making (Foster and Hawkins, 2021).</w:t>
      </w:r>
      <w:r w:rsidRPr="401429E7" w:rsidR="1A5A3B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Within interprofessional environments, critical thinking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facilitates</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integration of different professional perspectives while respecting service users' autonomy. Practitioners must be prepared to debate, respect diversity, and use negotiating skills in the resolution of disagreements between perspectives. By developing emotional intelligence, empathy, and self-awareness, practitioners </w:t>
      </w:r>
      <w:r w:rsidRPr="401429E7" w:rsidR="351410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can</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build relationships and improve the quality of services.</w:t>
      </w:r>
      <w:r w:rsidRPr="401429E7" w:rsidR="3B5F50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By ongoing professional reflection and collaboration, practitioners not only become more effective but also help create an inclusive, learning organisational culture.</w:t>
      </w:r>
    </w:p>
    <w:p xmlns:wp14="http://schemas.microsoft.com/office/word/2010/wordml" w:rsidP="401429E7" wp14:paraId="5E1B041B" wp14:textId="3C8FE14E">
      <w:pPr>
        <w:spacing w:before="240" w:beforeAutospacing="off" w:after="24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xmlns:wp14="http://schemas.microsoft.com/office/word/2010/wordml" w:rsidP="401429E7" wp14:paraId="109E0152" wp14:textId="008156CD">
      <w:pPr>
        <w:spacing w:before="240" w:beforeAutospacing="off" w:after="240" w:afterAutospacing="of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Conclusion</w:t>
      </w:r>
    </w:p>
    <w:p xmlns:wp14="http://schemas.microsoft.com/office/word/2010/wordml" w:rsidP="401429E7" wp14:paraId="08FA933C" wp14:textId="55A56DE2">
      <w:pPr>
        <w:spacing w:before="240" w:beforeAutospacing="off" w:after="240" w:afterAutospacing="off" w:line="360" w:lineRule="auto"/>
        <w:rPr>
          <w:rFonts w:ascii="Calibri" w:hAnsi="Calibri" w:eastAsia="Calibri" w:cs="Calibri" w:asciiTheme="minorAscii" w:hAnsiTheme="minorAscii" w:eastAsiaTheme="minorAscii" w:cstheme="minorAscii"/>
          <w:b w:val="1"/>
          <w:bCs w:val="1"/>
          <w:i w:val="1"/>
          <w:iCs w:val="1"/>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work of a health and social care practitioner entails far more than the delivery of physical care. Safe, ethical, and person-centred care can be provided only through effective communication, legal handling of information, and continuous professional development. Berlo's SMCR model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identifies</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interactive and dynamic process of communication, whilst the Equality Act 2010 ensures that this communication is inclusive and fair. Similarly, efficient administrative processes underpinned by the Data Protection Act 2018 uphold confidentiality and accountability. Finally,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reflective</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collaborative ongoing professional development enables practitioners to adjust, learn, and contribute effectively as part of multidisciplinary teams. Collectively, these competencies form the foundation of modern health and social care to ensure that practitioners meet both legal requirements and ethical standards in upholding dignity, respect, and equality for all service users.</w:t>
      </w:r>
    </w:p>
    <w:p xmlns:wp14="http://schemas.microsoft.com/office/word/2010/wordml" w:rsidP="401429E7" wp14:paraId="7F96B6B7" wp14:textId="2C0FB26D">
      <w:pPr>
        <w:spacing w:before="240" w:beforeAutospacing="off" w:after="240" w:afterAutospacing="off" w:line="360" w:lineRule="auto"/>
        <w:rPr>
          <w:rFonts w:ascii="Calibri" w:hAnsi="Calibri" w:eastAsia="Calibri" w:cs="Calibri" w:asciiTheme="minorAscii" w:hAnsiTheme="minorAscii" w:eastAsiaTheme="minorAscii" w:cstheme="minorAscii"/>
          <w:b w:val="1"/>
          <w:bCs w:val="1"/>
          <w:i w:val="1"/>
          <w:iCs w:val="1"/>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1"/>
          <w:bCs w:val="1"/>
          <w:i w:val="1"/>
          <w:iCs w:val="1"/>
          <w:caps w:val="0"/>
          <w:smallCaps w:val="0"/>
          <w:noProof w:val="0"/>
          <w:color w:val="auto"/>
          <w:sz w:val="22"/>
          <w:szCs w:val="22"/>
          <w:lang w:val="en-GB"/>
        </w:rPr>
        <w:t>References</w:t>
      </w:r>
    </w:p>
    <w:p xmlns:wp14="http://schemas.microsoft.com/office/word/2010/wordml" w:rsidP="401429E7" wp14:paraId="798BC6B1" wp14:textId="47AAAF75">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 Berlo, D. K. (1960) The Process of Communication: An Introduction to Theory and Practice. New York: Holt, Rinehart &amp; Winston.</w:t>
      </w:r>
    </w:p>
    <w:p xmlns:wp14="http://schemas.microsoft.com/office/word/2010/wordml" w:rsidP="401429E7" wp14:paraId="5399EFED" wp14:textId="6119E86B">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 Care Quality Commission (CQC) (2014) Fundamental Standards. London: CQC.</w:t>
      </w:r>
    </w:p>
    <w:p xmlns:wp14="http://schemas.microsoft.com/office/word/2010/wordml" w:rsidP="401429E7" wp14:paraId="15829A94" wp14:textId="23EB534E">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3. Care Quality Commission (CQC) (2021) The State of Health Care and Adult Social Care in England 2020/21. London: CQC.</w:t>
      </w:r>
    </w:p>
    <w:p xmlns:wp14="http://schemas.microsoft.com/office/word/2010/wordml" w:rsidP="401429E7" wp14:paraId="0E0C225A" wp14:textId="259E699A">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4. Department of Health and Social Care (DHSC) (2021) Data Security and Protection Toolkit: Guidance for Health and Social Care Organisations. London: DHSC.</w:t>
      </w:r>
    </w:p>
    <w:p xmlns:wp14="http://schemas.microsoft.com/office/word/2010/wordml" w:rsidP="401429E7" wp14:paraId="697691F0" wp14:textId="191DD8A8">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5. Egan, G. (2014) The Skilled Helper: A Problem-Management and Opportunity-Development Approach to Helping. 10th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edn</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Belmont, CA: Brooks/Cole.</w:t>
      </w:r>
    </w:p>
    <w:p xmlns:wp14="http://schemas.microsoft.com/office/word/2010/wordml" w:rsidP="401429E7" wp14:paraId="0001A1E5" wp14:textId="73FC6087">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6. Foster,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Hawkins, J. (2021) ‘Continuing professional development and its impact on collaborative healthcare practice’, Journal of Interprofessional Care, 35(6), pp. 808–815.</w:t>
      </w:r>
    </w:p>
    <w:p xmlns:wp14="http://schemas.microsoft.com/office/word/2010/wordml" w:rsidP="401429E7" wp14:paraId="45C580EC" wp14:textId="22CA79A6">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7. Johns, C. (2017) Becoming a Reflective Practitioner. 5th </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edn</w:t>
      </w: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Chichester: Wiley-Blackwell.</w:t>
      </w:r>
    </w:p>
    <w:p xmlns:wp14="http://schemas.microsoft.com/office/word/2010/wordml" w:rsidP="401429E7" wp14:paraId="460A3E30" wp14:textId="00BF0B87">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8. Kolb, D. A. (1984) Experiential Learning: Experience as the Source of Learning and Development. Englewood Cliffs, NJ: Prentice Hall.</w:t>
      </w:r>
    </w:p>
    <w:p xmlns:wp14="http://schemas.microsoft.com/office/word/2010/wordml" w:rsidP="401429E7" wp14:paraId="7B7E42D8" wp14:textId="5E145D46">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9. NHS Digital (2020) The Caldicott Principles. London: NHS Digital.</w:t>
      </w:r>
    </w:p>
    <w:p xmlns:wp14="http://schemas.microsoft.com/office/word/2010/wordml" w:rsidP="401429E7" wp14:paraId="0530A486" wp14:textId="675D3209">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10. NHS England (2022) Record Keeping: Standards and Guidance for Health and Care Staff. London: NHS England.</w:t>
      </w:r>
    </w:p>
    <w:p xmlns:wp14="http://schemas.microsoft.com/office/word/2010/wordml" w:rsidP="401429E7" wp14:paraId="00F78090" wp14:textId="5356BE91">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11. Nursing and Midwifery Council (NMC) (2018) The Code: Professional Standards of Practice and Behaviour for Nurses, Midwives and Nursing Associates. London: NMC.</w:t>
      </w:r>
    </w:p>
    <w:p xmlns:wp14="http://schemas.microsoft.com/office/word/2010/wordml" w:rsidP="401429E7" wp14:paraId="10451F1A" wp14:textId="06588669">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01429E7" w:rsidR="732B0C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12. Royal College of Nursing (RCN) (2017) Guidance for Record Keeping. London: RCN.</w:t>
      </w:r>
    </w:p>
    <w:p xmlns:wp14="http://schemas.microsoft.com/office/word/2010/wordml" w:rsidP="401429E7" wp14:paraId="149301E9" wp14:textId="36B1D8B1">
      <w:pPr>
        <w:spacing w:before="240" w:beforeAutospacing="off" w:after="24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xmlns:wp14="http://schemas.microsoft.com/office/word/2010/wordml" w:rsidP="401429E7" wp14:paraId="0087CCA4" wp14:textId="21EBFF4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pPr>
    </w:p>
    <w:p xmlns:wp14="http://schemas.microsoft.com/office/word/2010/wordml" wp14:paraId="5E5787A5" wp14:textId="0A57BD1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4C3BC6"/>
    <w:rsid w:val="076A5E34"/>
    <w:rsid w:val="0C4CA4D7"/>
    <w:rsid w:val="0EEEB523"/>
    <w:rsid w:val="0FA57C2D"/>
    <w:rsid w:val="10979B4A"/>
    <w:rsid w:val="14763728"/>
    <w:rsid w:val="1560FC78"/>
    <w:rsid w:val="15EC89A5"/>
    <w:rsid w:val="1A5A3B13"/>
    <w:rsid w:val="1BB1C7DF"/>
    <w:rsid w:val="1D3F9B3C"/>
    <w:rsid w:val="1F35AF0C"/>
    <w:rsid w:val="1F5E36F4"/>
    <w:rsid w:val="209C739D"/>
    <w:rsid w:val="25294503"/>
    <w:rsid w:val="30E2E33B"/>
    <w:rsid w:val="3220CBF9"/>
    <w:rsid w:val="351410B3"/>
    <w:rsid w:val="37E168EB"/>
    <w:rsid w:val="38560473"/>
    <w:rsid w:val="3A1CC2BF"/>
    <w:rsid w:val="3A723BD2"/>
    <w:rsid w:val="3B5F503B"/>
    <w:rsid w:val="3CA5BD84"/>
    <w:rsid w:val="3E18844A"/>
    <w:rsid w:val="3FE423FF"/>
    <w:rsid w:val="401429E7"/>
    <w:rsid w:val="4741C542"/>
    <w:rsid w:val="491C4F17"/>
    <w:rsid w:val="4975EF5F"/>
    <w:rsid w:val="4F7AFAA5"/>
    <w:rsid w:val="513171B4"/>
    <w:rsid w:val="52432A8C"/>
    <w:rsid w:val="56CEB7E8"/>
    <w:rsid w:val="57EA8FE4"/>
    <w:rsid w:val="58EA8FFD"/>
    <w:rsid w:val="59BAC23E"/>
    <w:rsid w:val="5CAD4639"/>
    <w:rsid w:val="60FC00D6"/>
    <w:rsid w:val="61D50A1B"/>
    <w:rsid w:val="63A43311"/>
    <w:rsid w:val="657779E2"/>
    <w:rsid w:val="66710212"/>
    <w:rsid w:val="67F4BA27"/>
    <w:rsid w:val="691EC8C3"/>
    <w:rsid w:val="69753C2E"/>
    <w:rsid w:val="7017E386"/>
    <w:rsid w:val="7295E24D"/>
    <w:rsid w:val="72FEFFDB"/>
    <w:rsid w:val="732B0C5D"/>
    <w:rsid w:val="7340E4F2"/>
    <w:rsid w:val="754C3BC6"/>
    <w:rsid w:val="761750CE"/>
    <w:rsid w:val="78D87849"/>
    <w:rsid w:val="7B2E61AE"/>
    <w:rsid w:val="7BAAB411"/>
    <w:rsid w:val="7CC01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98E7F"/>
  <w15:chartTrackingRefBased/>
  <w15:docId w15:val="{4411F620-CBDB-4BEB-92D4-EE0AA5CE4C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01429E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2419337@student.uwtsd.ac.uk" TargetMode="External" Id="R779dbedff44b44e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Kudeja Yasmin (2419337)</dc:creator>
  <keywords/>
  <dc:description/>
  <lastModifiedBy>Kudeja Yasmin (2419337)</lastModifiedBy>
  <revision>2</revision>
  <dcterms:created xsi:type="dcterms:W3CDTF">2025-11-27T20:42:53.4728415Z</dcterms:created>
  <dcterms:modified xsi:type="dcterms:W3CDTF">2025-11-27T21:19:07.2491769Z</dcterms:modified>
</coreProperties>
</file>