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2BEF1" w14:textId="77777777" w:rsidR="006F5D37" w:rsidRDefault="009B6CC6" w:rsidP="00CE7066">
      <w:pPr>
        <w:spacing w:before="100" w:beforeAutospacing="1" w:after="100" w:afterAutospacing="1" w:line="240" w:lineRule="auto"/>
        <w:outlineLvl w:val="1"/>
        <w:rPr>
          <w:rStyle w:val="normaltextrun"/>
          <w:rFonts w:ascii="Arial" w:hAnsi="Arial" w:cs="Arial"/>
          <w:b/>
          <w:bCs/>
          <w:color w:val="1D2125"/>
          <w:sz w:val="22"/>
          <w:szCs w:val="22"/>
        </w:rPr>
      </w:pPr>
      <w:r>
        <w:rPr>
          <w:rStyle w:val="normaltextrun"/>
          <w:rFonts w:ascii="Segoe UI" w:hAnsi="Segoe UI" w:cs="Segoe UI"/>
          <w:b/>
          <w:bCs/>
          <w:color w:val="1D2125"/>
        </w:rPr>
        <w:t xml:space="preserve"> </w:t>
      </w:r>
      <w:r w:rsidRPr="006F5D37">
        <w:rPr>
          <w:rStyle w:val="normaltextrun"/>
          <w:rFonts w:ascii="Arial" w:hAnsi="Arial" w:cs="Arial"/>
          <w:b/>
          <w:bCs/>
          <w:color w:val="1D2125"/>
          <w:sz w:val="22"/>
          <w:szCs w:val="22"/>
        </w:rPr>
        <w:t xml:space="preserve">Introduction to Independent </w:t>
      </w:r>
      <w:r w:rsidR="006F5D37" w:rsidRPr="006F5D37">
        <w:rPr>
          <w:rStyle w:val="normaltextrun"/>
          <w:rFonts w:ascii="Arial" w:hAnsi="Arial" w:cs="Arial"/>
          <w:b/>
          <w:bCs/>
          <w:color w:val="1D2125"/>
          <w:sz w:val="22"/>
          <w:szCs w:val="22"/>
        </w:rPr>
        <w:t xml:space="preserve">Research Skills </w:t>
      </w:r>
    </w:p>
    <w:p w14:paraId="4818B8BB" w14:textId="34FC101E" w:rsidR="000E1C09" w:rsidRDefault="000E1C09" w:rsidP="000E1C09">
      <w:pPr>
        <w:spacing w:before="100" w:beforeAutospacing="1" w:after="100" w:afterAutospacing="1" w:line="240" w:lineRule="auto"/>
        <w:outlineLvl w:val="1"/>
        <w:rPr>
          <w:rStyle w:val="normaltextrun"/>
          <w:rFonts w:ascii="Arial" w:hAnsi="Arial" w:cs="Arial"/>
          <w:b/>
          <w:bCs/>
          <w:color w:val="1D2125"/>
          <w:sz w:val="22"/>
          <w:szCs w:val="22"/>
        </w:rPr>
      </w:pPr>
      <w:r>
        <w:rPr>
          <w:rStyle w:val="normaltextrun"/>
          <w:rFonts w:ascii="Arial" w:hAnsi="Arial" w:cs="Arial"/>
          <w:b/>
          <w:bCs/>
          <w:color w:val="1D2125"/>
          <w:sz w:val="22"/>
          <w:szCs w:val="22"/>
        </w:rPr>
        <w:t>Lecture:</w:t>
      </w:r>
      <w:r w:rsidRPr="000E1C09">
        <w:rPr>
          <w:rStyle w:val="normaltextrun"/>
          <w:rFonts w:ascii="Arial" w:hAnsi="Arial" w:cs="Arial"/>
          <w:b/>
          <w:bCs/>
          <w:color w:val="1D2125"/>
          <w:sz w:val="22"/>
          <w:szCs w:val="22"/>
        </w:rPr>
        <w:t xml:space="preserve"> </w:t>
      </w:r>
      <w:r w:rsidRPr="006F5D37">
        <w:rPr>
          <w:rStyle w:val="normaltextrun"/>
          <w:rFonts w:ascii="Arial" w:hAnsi="Arial" w:cs="Arial"/>
          <w:b/>
          <w:bCs/>
          <w:color w:val="1D2125"/>
          <w:sz w:val="22"/>
          <w:szCs w:val="22"/>
        </w:rPr>
        <w:t>Eleni</w:t>
      </w:r>
      <w:r w:rsidRPr="006F5D37">
        <w:rPr>
          <w:rStyle w:val="apple-converted-space"/>
          <w:rFonts w:ascii="Arial" w:hAnsi="Arial" w:cs="Arial"/>
          <w:b/>
          <w:bCs/>
          <w:color w:val="1D2125"/>
          <w:sz w:val="22"/>
          <w:szCs w:val="22"/>
        </w:rPr>
        <w:t> </w:t>
      </w:r>
      <w:r w:rsidRPr="006F5D37">
        <w:rPr>
          <w:rStyle w:val="normaltextrun"/>
          <w:rFonts w:ascii="Arial" w:hAnsi="Arial" w:cs="Arial"/>
          <w:b/>
          <w:bCs/>
          <w:color w:val="1D2125"/>
          <w:sz w:val="22"/>
          <w:szCs w:val="22"/>
        </w:rPr>
        <w:t>Koutsogeorgou</w:t>
      </w:r>
    </w:p>
    <w:p w14:paraId="251F24C2" w14:textId="2D0346FE" w:rsidR="000E1C09" w:rsidRDefault="00FF080B" w:rsidP="000E1C09">
      <w:pPr>
        <w:spacing w:before="100" w:beforeAutospacing="1" w:after="100" w:afterAutospacing="1" w:line="240" w:lineRule="auto"/>
        <w:outlineLvl w:val="1"/>
        <w:rPr>
          <w:rStyle w:val="normaltextrun"/>
          <w:rFonts w:ascii="Arial" w:hAnsi="Arial" w:cs="Arial"/>
          <w:b/>
          <w:bCs/>
          <w:color w:val="1D2125"/>
          <w:sz w:val="22"/>
          <w:szCs w:val="22"/>
        </w:rPr>
      </w:pPr>
      <w:r>
        <w:rPr>
          <w:rStyle w:val="normaltextrun"/>
          <w:rFonts w:ascii="Arial" w:hAnsi="Arial" w:cs="Arial"/>
          <w:b/>
          <w:bCs/>
          <w:color w:val="1D2125"/>
          <w:sz w:val="22"/>
          <w:szCs w:val="22"/>
        </w:rPr>
        <w:t>Student number :23368</w:t>
      </w:r>
      <w:r w:rsidR="001E03AE">
        <w:rPr>
          <w:rStyle w:val="normaltextrun"/>
          <w:rFonts w:ascii="Arial" w:hAnsi="Arial" w:cs="Arial"/>
          <w:b/>
          <w:bCs/>
          <w:color w:val="1D2125"/>
          <w:sz w:val="22"/>
          <w:szCs w:val="22"/>
        </w:rPr>
        <w:t>78</w:t>
      </w:r>
      <w:r w:rsidR="00A72D2F">
        <w:rPr>
          <w:rStyle w:val="normaltextrun"/>
          <w:rFonts w:ascii="Arial" w:hAnsi="Arial" w:cs="Arial"/>
          <w:b/>
          <w:bCs/>
          <w:color w:val="1D2125"/>
          <w:sz w:val="22"/>
          <w:szCs w:val="22"/>
        </w:rPr>
        <w:t xml:space="preserve"> </w:t>
      </w:r>
    </w:p>
    <w:p w14:paraId="03A3CF37" w14:textId="1E1F3499" w:rsidR="00A72D2F" w:rsidRPr="000E1C09" w:rsidRDefault="00A72D2F" w:rsidP="000E1C09">
      <w:pPr>
        <w:spacing w:before="100" w:beforeAutospacing="1" w:after="100" w:afterAutospacing="1" w:line="240" w:lineRule="auto"/>
        <w:outlineLvl w:val="1"/>
        <w:rPr>
          <w:rFonts w:ascii="Arial" w:hAnsi="Arial" w:cs="Arial"/>
          <w:b/>
          <w:bCs/>
          <w:color w:val="1D2125"/>
          <w:sz w:val="22"/>
          <w:szCs w:val="22"/>
        </w:rPr>
      </w:pPr>
      <w:r>
        <w:rPr>
          <w:rStyle w:val="normaltextrun"/>
          <w:rFonts w:ascii="Arial" w:hAnsi="Arial" w:cs="Arial"/>
          <w:b/>
          <w:bCs/>
          <w:color w:val="1D2125"/>
          <w:sz w:val="22"/>
          <w:szCs w:val="22"/>
        </w:rPr>
        <w:t xml:space="preserve">Student mane: Deborah Flores Rodrigues </w:t>
      </w:r>
    </w:p>
    <w:p w14:paraId="1A483699" w14:textId="4D08D241" w:rsidR="006F5D37" w:rsidRDefault="006F5D37" w:rsidP="00CE7066">
      <w:pPr>
        <w:spacing w:before="100" w:beforeAutospacing="1" w:after="100" w:afterAutospacing="1" w:line="240" w:lineRule="auto"/>
        <w:outlineLvl w:val="1"/>
        <w:rPr>
          <w:rStyle w:val="normaltextrun"/>
          <w:rFonts w:ascii="Arial" w:hAnsi="Arial" w:cs="Arial"/>
          <w:b/>
          <w:bCs/>
          <w:color w:val="1D2125"/>
          <w:sz w:val="22"/>
          <w:szCs w:val="22"/>
        </w:rPr>
      </w:pPr>
    </w:p>
    <w:p w14:paraId="448FE3A8" w14:textId="77777777" w:rsidR="006F5D37" w:rsidRPr="006F5D37" w:rsidRDefault="006F5D37" w:rsidP="00CE7066">
      <w:pPr>
        <w:spacing w:before="100" w:beforeAutospacing="1" w:after="100" w:afterAutospacing="1" w:line="240" w:lineRule="auto"/>
        <w:outlineLvl w:val="1"/>
        <w:rPr>
          <w:rStyle w:val="normaltextrun"/>
          <w:rFonts w:ascii="Arial" w:hAnsi="Arial" w:cs="Arial"/>
          <w:b/>
          <w:bCs/>
          <w:color w:val="1D2125"/>
          <w:sz w:val="22"/>
          <w:szCs w:val="22"/>
        </w:rPr>
      </w:pPr>
    </w:p>
    <w:p w14:paraId="1C48BF69" w14:textId="7D02A5F9" w:rsidR="00CE7066" w:rsidRPr="00CE7066" w:rsidRDefault="00CE7066" w:rsidP="00CE7066">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Inclusion of Immigrants and Refugees in Social Care Services in the United Kingdom</w:t>
      </w:r>
    </w:p>
    <w:p w14:paraId="2DE3D817" w14:textId="77777777" w:rsidR="00CE7066" w:rsidRPr="00CE7066" w:rsidRDefault="00CE7066" w:rsidP="00CE7066">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1. Context and Rationale</w:t>
      </w:r>
    </w:p>
    <w:p w14:paraId="18E5C5FF" w14:textId="71CB3B20"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 xml:space="preserve">According to the 2021 Census, approximately 3,575,739 people living in London were born outside the United Kingdom, representing around 40.6% of the city’s population. This means that nearly 2 in 5 residents of London were born abroad, highlighting the importance of considering immigrants and refugees when </w:t>
      </w:r>
      <w:r w:rsidR="00E43071" w:rsidRPr="00CE7066">
        <w:rPr>
          <w:rFonts w:ascii="Arial" w:eastAsia="Times New Roman" w:hAnsi="Arial" w:cs="Arial"/>
          <w:color w:val="000000"/>
          <w:kern w:val="0"/>
          <w:sz w:val="22"/>
          <w:szCs w:val="22"/>
          <w:lang w:eastAsia="en-GB"/>
          <w14:ligatures w14:val="none"/>
        </w:rPr>
        <w:t>analysing</w:t>
      </w:r>
      <w:r w:rsidRPr="00CE7066">
        <w:rPr>
          <w:rFonts w:ascii="Arial" w:eastAsia="Times New Roman" w:hAnsi="Arial" w:cs="Arial"/>
          <w:color w:val="000000"/>
          <w:kern w:val="0"/>
          <w:sz w:val="22"/>
          <w:szCs w:val="22"/>
          <w:lang w:eastAsia="en-GB"/>
          <w14:ligatures w14:val="none"/>
        </w:rPr>
        <w:t xml:space="preserve"> social care services (Scott, Forde &amp; Wedderburn, 2022).</w:t>
      </w:r>
    </w:p>
    <w:p w14:paraId="41E980BB" w14:textId="7CF6E7FC"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 xml:space="preserve">The United Kingdom has a long history of migration, and immigrants and refugees contribute significantly to society. However, many face systemic barriers when accessing essential social care services, such as home care, childcare, and community support (Turnpenny &amp; Hussein, 2021; </w:t>
      </w:r>
      <w:r w:rsidR="00E43071" w:rsidRPr="00CE7066">
        <w:rPr>
          <w:rFonts w:ascii="Arial" w:eastAsia="Times New Roman" w:hAnsi="Arial" w:cs="Arial"/>
          <w:color w:val="000000"/>
          <w:kern w:val="0"/>
          <w:sz w:val="22"/>
          <w:szCs w:val="22"/>
          <w:lang w:eastAsia="en-GB"/>
          <w14:ligatures w14:val="none"/>
        </w:rPr>
        <w:t>Pied</w:t>
      </w:r>
      <w:r w:rsidRPr="00CE7066">
        <w:rPr>
          <w:rFonts w:ascii="Arial" w:eastAsia="Times New Roman" w:hAnsi="Arial" w:cs="Arial"/>
          <w:color w:val="000000"/>
          <w:kern w:val="0"/>
          <w:sz w:val="22"/>
          <w:szCs w:val="22"/>
          <w:lang w:eastAsia="en-GB"/>
          <w14:ligatures w14:val="none"/>
        </w:rPr>
        <w:t xml:space="preserve"> &amp; Booth, 2025). Policies like “No Recourse to Public Funds” can create inequalities, leaving vulnerable families without critical support (Pidd &amp; Booth, 2025).</w:t>
      </w:r>
    </w:p>
    <w:p w14:paraId="35FC6F82" w14:textId="77777777"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Conducting a scoping review will allow the synthesis of available evidence, identify knowledge gaps, and inform policies and practices that promote inclusion (Turnpenny &amp; Hussein, 2021). Understanding these issues is essential to create a balanced and humanized social care system, ensuring dignity, well-being, and access to services for all residents, regardless of their migration status (Scott, Forde &amp; Wedderburn, 2022).</w:t>
      </w:r>
    </w:p>
    <w:p w14:paraId="304EA572" w14:textId="77777777" w:rsidR="00CE7066" w:rsidRPr="00CE7066" w:rsidRDefault="00C013E0" w:rsidP="00CE7066">
      <w:pPr>
        <w:spacing w:after="0" w:line="240" w:lineRule="auto"/>
        <w:rPr>
          <w:rFonts w:ascii="Arial" w:eastAsia="Times New Roman" w:hAnsi="Arial" w:cs="Arial"/>
          <w:kern w:val="0"/>
          <w:sz w:val="22"/>
          <w:szCs w:val="22"/>
          <w:lang w:eastAsia="en-GB"/>
          <w14:ligatures w14:val="none"/>
        </w:rPr>
      </w:pPr>
      <w:r>
        <w:rPr>
          <w:noProof/>
        </w:rPr>
      </w:r>
      <w:r>
        <w:pict w14:anchorId="76114B7C">
          <v:rect id="Horizontal Line 55" o:spid="_x0000_s1029"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542DCA60" w14:textId="77777777" w:rsidR="00CE7066" w:rsidRPr="00CE7066" w:rsidRDefault="00CE7066" w:rsidP="00CE7066">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2. Review Question</w:t>
      </w:r>
    </w:p>
    <w:p w14:paraId="7BB9950C" w14:textId="77777777"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How are immigrants and refugees included in social care services in the United Kingdom, and what barriers or facilitating factors affect their access and experience (Scott, Forde &amp; Wedderburn, 2022)?</w:t>
      </w:r>
    </w:p>
    <w:p w14:paraId="1997D4D7" w14:textId="77777777" w:rsidR="00CE7066" w:rsidRPr="00CE7066" w:rsidRDefault="00C013E0" w:rsidP="00CE7066">
      <w:pPr>
        <w:spacing w:after="0" w:line="240" w:lineRule="auto"/>
        <w:rPr>
          <w:rFonts w:ascii="Arial" w:eastAsia="Times New Roman" w:hAnsi="Arial" w:cs="Arial"/>
          <w:kern w:val="0"/>
          <w:sz w:val="22"/>
          <w:szCs w:val="22"/>
          <w:lang w:eastAsia="en-GB"/>
          <w14:ligatures w14:val="none"/>
        </w:rPr>
      </w:pPr>
      <w:r>
        <w:rPr>
          <w:noProof/>
        </w:rPr>
      </w:r>
      <w:r>
        <w:pict w14:anchorId="6CB3E960">
          <v:rect id="Horizontal Line 56" o:spid="_x0000_s1028"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70CCE9BC" w14:textId="77777777" w:rsidR="00CE7066" w:rsidRPr="00CE7066" w:rsidRDefault="00CE7066" w:rsidP="00CE7066">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3. Objectives</w:t>
      </w:r>
    </w:p>
    <w:p w14:paraId="002FC2E4" w14:textId="77777777" w:rsidR="00CE7066" w:rsidRPr="00CE7066" w:rsidRDefault="00CE7066" w:rsidP="00CE7066">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Map the existing literature on the inclusion of immigrants and refugees in UK social care services (Turnpenny &amp; Hussein, 2021).</w:t>
      </w:r>
    </w:p>
    <w:p w14:paraId="43546664" w14:textId="77777777" w:rsidR="00CE7066" w:rsidRPr="00CE7066" w:rsidRDefault="00CE7066" w:rsidP="00CE7066">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Identify challenges and barriers to accessing services (Scott, Forde &amp; Wedderburn, 2022).</w:t>
      </w:r>
    </w:p>
    <w:p w14:paraId="17E8E1B3" w14:textId="77777777" w:rsidR="00CE7066" w:rsidRPr="00CE7066" w:rsidRDefault="00CE7066" w:rsidP="00CE7066">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Highlight policies, practices, and interventions that promote inclusion (Pidd &amp; Booth, 2025).</w:t>
      </w:r>
    </w:p>
    <w:p w14:paraId="5C2749F2" w14:textId="42384CD9" w:rsidR="00CE7066" w:rsidRPr="00CE7066" w:rsidRDefault="00E43071" w:rsidP="00CE7066">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lastRenderedPageBreak/>
        <w:t>Analyse</w:t>
      </w:r>
      <w:r w:rsidR="00CE7066" w:rsidRPr="00CE7066">
        <w:rPr>
          <w:rFonts w:ascii="Arial" w:eastAsia="Times New Roman" w:hAnsi="Arial" w:cs="Arial"/>
          <w:color w:val="000000"/>
          <w:kern w:val="0"/>
          <w:sz w:val="22"/>
          <w:szCs w:val="22"/>
          <w:lang w:eastAsia="en-GB"/>
          <w14:ligatures w14:val="none"/>
        </w:rPr>
        <w:t xml:space="preserve"> the impact of recent changes in immigration and social policies, including the post-Brexit context, on service accessibility (Turnpenny &amp; Hussein, 2021).</w:t>
      </w:r>
    </w:p>
    <w:p w14:paraId="6A4CB269" w14:textId="77777777" w:rsidR="00CE7066" w:rsidRPr="00CE7066" w:rsidRDefault="00C013E0" w:rsidP="00CE7066">
      <w:pPr>
        <w:spacing w:after="0" w:line="240" w:lineRule="auto"/>
        <w:rPr>
          <w:rFonts w:ascii="Arial" w:eastAsia="Times New Roman" w:hAnsi="Arial" w:cs="Arial"/>
          <w:kern w:val="0"/>
          <w:sz w:val="22"/>
          <w:szCs w:val="22"/>
          <w:lang w:eastAsia="en-GB"/>
          <w14:ligatures w14:val="none"/>
        </w:rPr>
      </w:pPr>
      <w:r w:rsidRPr="00C013E0">
        <w:rPr>
          <w:rFonts w:ascii="Arial" w:eastAsia="Times New Roman" w:hAnsi="Arial" w:cs="Arial"/>
          <w:noProof/>
          <w:kern w:val="0"/>
          <w:sz w:val="22"/>
          <w:szCs w:val="22"/>
          <w:lang w:eastAsia="en-GB"/>
        </w:rPr>
        <w:pict w14:anchorId="6A8772AA">
          <v:rect id="_x0000_i1027" alt="" style="width:451.3pt;height:.05pt;mso-width-percent:0;mso-height-percent:0;mso-width-percent:0;mso-height-percent:0" o:hralign="center" o:hrstd="t" o:hr="t" fillcolor="#a0a0a0" stroked="f"/>
        </w:pict>
      </w:r>
    </w:p>
    <w:p w14:paraId="1B655CC2" w14:textId="77777777" w:rsidR="00CE7066" w:rsidRPr="00CE7066" w:rsidRDefault="00CE7066" w:rsidP="00CE7066">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4. Methods</w:t>
      </w:r>
    </w:p>
    <w:p w14:paraId="1AA4468F" w14:textId="77777777"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A scoping review methodology will be used. The databases PubMed, Scopus, Web of Science, and Google Scholar will be searched using terms such as “immigrants,” “refugees,” “social care,” “inclusion,” and “United Kingdom” (Turnpenny &amp; Hussein, 2021). Only studies published in English in the last 15 years will be considered to capture contemporary practices and policies (Scott, Forde &amp; Wedderburn, 2022).</w:t>
      </w:r>
    </w:p>
    <w:p w14:paraId="2B33ABC0" w14:textId="77777777" w:rsidR="00CE7066" w:rsidRPr="00CE7066" w:rsidRDefault="00CE7066" w:rsidP="00CE7066">
      <w:pPr>
        <w:spacing w:before="100" w:beforeAutospacing="1" w:after="100" w:afterAutospacing="1" w:line="240" w:lineRule="auto"/>
        <w:outlineLvl w:val="3"/>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Data Analysis (Mixed Approach)</w:t>
      </w:r>
    </w:p>
    <w:p w14:paraId="7850A962" w14:textId="796C8413"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Quantitative:</w:t>
      </w:r>
      <w:r w:rsidRPr="00CE7066">
        <w:rPr>
          <w:rFonts w:ascii="Arial" w:eastAsia="Times New Roman" w:hAnsi="Arial" w:cs="Arial"/>
          <w:color w:val="000000"/>
          <w:kern w:val="0"/>
          <w:sz w:val="22"/>
          <w:szCs w:val="22"/>
          <w:lang w:eastAsia="en-GB"/>
          <w14:ligatures w14:val="none"/>
        </w:rPr>
        <w:t xml:space="preserve"> Studies reporting numerical data on immigrants’ access to or exclusion from services will be </w:t>
      </w:r>
      <w:r w:rsidR="00E43071" w:rsidRPr="00CE7066">
        <w:rPr>
          <w:rFonts w:ascii="Arial" w:eastAsia="Times New Roman" w:hAnsi="Arial" w:cs="Arial"/>
          <w:color w:val="000000"/>
          <w:kern w:val="0"/>
          <w:sz w:val="22"/>
          <w:szCs w:val="22"/>
          <w:lang w:eastAsia="en-GB"/>
          <w14:ligatures w14:val="none"/>
        </w:rPr>
        <w:t>analysed</w:t>
      </w:r>
      <w:r w:rsidRPr="00CE7066">
        <w:rPr>
          <w:rFonts w:ascii="Arial" w:eastAsia="Times New Roman" w:hAnsi="Arial" w:cs="Arial"/>
          <w:color w:val="000000"/>
          <w:kern w:val="0"/>
          <w:sz w:val="22"/>
          <w:szCs w:val="22"/>
          <w:lang w:eastAsia="en-GB"/>
          <w14:ligatures w14:val="none"/>
        </w:rPr>
        <w:t xml:space="preserve"> descriptively using frequencies, percentages, and comparative charts, providing an overview of the scope of the issue (Turnpenny &amp; Hussein, 2021).</w:t>
      </w:r>
    </w:p>
    <w:p w14:paraId="497EFD20" w14:textId="77777777"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Qualitative:</w:t>
      </w:r>
      <w:r w:rsidRPr="00CE7066">
        <w:rPr>
          <w:rFonts w:ascii="Arial" w:eastAsia="Times New Roman" w:hAnsi="Arial" w:cs="Arial"/>
          <w:color w:val="000000"/>
          <w:kern w:val="0"/>
          <w:sz w:val="22"/>
          <w:szCs w:val="22"/>
          <w:lang w:eastAsia="en-GB"/>
          <w14:ligatures w14:val="none"/>
        </w:rPr>
        <w:t> Studies reporting experiences, perceptions, or barriers will be organized into themes and categories, highlighting patterns, trends, and gaps in access (Scott, Forde &amp; Wedderburn, 2022).</w:t>
      </w:r>
    </w:p>
    <w:p w14:paraId="27C19D74" w14:textId="77777777" w:rsidR="00CE7066" w:rsidRPr="00CE7066" w:rsidRDefault="00CE7066" w:rsidP="00CE7066">
      <w:pPr>
        <w:spacing w:before="100" w:beforeAutospacing="1" w:after="100" w:afterAutospacing="1" w:line="240" w:lineRule="auto"/>
        <w:outlineLvl w:val="3"/>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Ethical Considerations</w:t>
      </w:r>
    </w:p>
    <w:p w14:paraId="49C22309" w14:textId="39573A7E"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As this is a secondary literature review, there will be no direct contact with participants. Copyright and proper citation will be respected. Data will be presented in an aggregated and anonymous form, and the limitations of the included studies will be acknowledged to ensure transparency and integrity (</w:t>
      </w:r>
      <w:r w:rsidR="00E43071" w:rsidRPr="00CE7066">
        <w:rPr>
          <w:rFonts w:ascii="Arial" w:eastAsia="Times New Roman" w:hAnsi="Arial" w:cs="Arial"/>
          <w:color w:val="000000"/>
          <w:kern w:val="0"/>
          <w:sz w:val="22"/>
          <w:szCs w:val="22"/>
          <w:lang w:eastAsia="en-GB"/>
          <w14:ligatures w14:val="none"/>
        </w:rPr>
        <w:t>Pied</w:t>
      </w:r>
      <w:r w:rsidRPr="00CE7066">
        <w:rPr>
          <w:rFonts w:ascii="Arial" w:eastAsia="Times New Roman" w:hAnsi="Arial" w:cs="Arial"/>
          <w:color w:val="000000"/>
          <w:kern w:val="0"/>
          <w:sz w:val="22"/>
          <w:szCs w:val="22"/>
          <w:lang w:eastAsia="en-GB"/>
          <w14:ligatures w14:val="none"/>
        </w:rPr>
        <w:t xml:space="preserve"> &amp; Booth, 2025).</w:t>
      </w:r>
    </w:p>
    <w:p w14:paraId="37C6FD71" w14:textId="77777777" w:rsidR="00CE7066" w:rsidRPr="00CE7066" w:rsidRDefault="00C013E0" w:rsidP="00CE7066">
      <w:pPr>
        <w:spacing w:after="0" w:line="240" w:lineRule="auto"/>
        <w:rPr>
          <w:rFonts w:ascii="Arial" w:eastAsia="Times New Roman" w:hAnsi="Arial" w:cs="Arial"/>
          <w:kern w:val="0"/>
          <w:sz w:val="22"/>
          <w:szCs w:val="22"/>
          <w:lang w:eastAsia="en-GB"/>
          <w14:ligatures w14:val="none"/>
        </w:rPr>
      </w:pPr>
      <w:r>
        <w:rPr>
          <w:noProof/>
        </w:rPr>
      </w:r>
      <w:r>
        <w:pict w14:anchorId="6E8B7959">
          <v:rect id="Horizontal Line 58" o:spid="_x0000_s1027"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67F5A47A" w14:textId="77777777" w:rsidR="00CE7066" w:rsidRPr="00CE7066" w:rsidRDefault="00CE7066" w:rsidP="00CE7066">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5. Conclusion</w:t>
      </w:r>
    </w:p>
    <w:p w14:paraId="55B3C0A6" w14:textId="58D09ED7" w:rsidR="00CE7066" w:rsidRPr="00CE7066" w:rsidRDefault="00CE7066" w:rsidP="00CE706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 xml:space="preserve">This scoping review will provide a humanized understanding of how immigrants and refugees experience social care services in the United Kingdom (Scott, Forde &amp; Wedderburn, 2022). By mapping the evidence, the study will contribute to more equitable services and offer valuable insights for policies, practice, and future research in the field (Turnpenny &amp; Hussein, 2021; </w:t>
      </w:r>
      <w:r w:rsidR="00E43071" w:rsidRPr="00CE7066">
        <w:rPr>
          <w:rFonts w:ascii="Arial" w:eastAsia="Times New Roman" w:hAnsi="Arial" w:cs="Arial"/>
          <w:color w:val="000000"/>
          <w:kern w:val="0"/>
          <w:sz w:val="22"/>
          <w:szCs w:val="22"/>
          <w:lang w:eastAsia="en-GB"/>
          <w14:ligatures w14:val="none"/>
        </w:rPr>
        <w:t>Pied</w:t>
      </w:r>
      <w:r w:rsidRPr="00CE7066">
        <w:rPr>
          <w:rFonts w:ascii="Arial" w:eastAsia="Times New Roman" w:hAnsi="Arial" w:cs="Arial"/>
          <w:color w:val="000000"/>
          <w:kern w:val="0"/>
          <w:sz w:val="22"/>
          <w:szCs w:val="22"/>
          <w:lang w:eastAsia="en-GB"/>
          <w14:ligatures w14:val="none"/>
        </w:rPr>
        <w:t xml:space="preserve"> &amp; Booth, 2025).</w:t>
      </w:r>
    </w:p>
    <w:p w14:paraId="6BF28275" w14:textId="77777777" w:rsidR="00CE7066" w:rsidRPr="00CE7066" w:rsidRDefault="00C013E0" w:rsidP="00CE7066">
      <w:pPr>
        <w:spacing w:after="0" w:line="240" w:lineRule="auto"/>
        <w:rPr>
          <w:rFonts w:ascii="Arial" w:eastAsia="Times New Roman" w:hAnsi="Arial" w:cs="Arial"/>
          <w:kern w:val="0"/>
          <w:sz w:val="22"/>
          <w:szCs w:val="22"/>
          <w:lang w:eastAsia="en-GB"/>
          <w14:ligatures w14:val="none"/>
        </w:rPr>
      </w:pPr>
      <w:r>
        <w:rPr>
          <w:noProof/>
        </w:rPr>
      </w:r>
      <w:r>
        <w:pict w14:anchorId="6CD9589F">
          <v:rect id="Horizontal Line 5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5183C0C2" w14:textId="18434297" w:rsidR="00CE7066" w:rsidRPr="00CE7066" w:rsidRDefault="00CE7066" w:rsidP="00CE7066">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CE7066">
        <w:rPr>
          <w:rFonts w:ascii="Arial" w:eastAsia="Times New Roman" w:hAnsi="Arial" w:cs="Arial"/>
          <w:b/>
          <w:bCs/>
          <w:color w:val="000000"/>
          <w:kern w:val="0"/>
          <w:sz w:val="22"/>
          <w:szCs w:val="22"/>
          <w:lang w:eastAsia="en-GB"/>
          <w14:ligatures w14:val="none"/>
        </w:rPr>
        <w:t xml:space="preserve">References </w:t>
      </w:r>
    </w:p>
    <w:p w14:paraId="4686AEDD" w14:textId="504890E7" w:rsidR="00CE7066" w:rsidRDefault="00E43071" w:rsidP="00CE7066">
      <w:pPr>
        <w:numPr>
          <w:ilvl w:val="0"/>
          <w:numId w:val="4"/>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Pied</w:t>
      </w:r>
      <w:r w:rsidR="00CE7066" w:rsidRPr="00CE7066">
        <w:rPr>
          <w:rFonts w:ascii="Arial" w:eastAsia="Times New Roman" w:hAnsi="Arial" w:cs="Arial"/>
          <w:color w:val="000000"/>
          <w:kern w:val="0"/>
          <w:sz w:val="22"/>
          <w:szCs w:val="22"/>
          <w:lang w:eastAsia="en-GB"/>
          <w14:ligatures w14:val="none"/>
        </w:rPr>
        <w:t>, H. &amp; Booth, R. (2025) ‘Migrants and refugee families in the UK denied childcare funding, report finds’, </w:t>
      </w:r>
      <w:r w:rsidR="00CE7066" w:rsidRPr="00CE7066">
        <w:rPr>
          <w:rFonts w:ascii="Arial" w:eastAsia="Times New Roman" w:hAnsi="Arial" w:cs="Arial"/>
          <w:i/>
          <w:iCs/>
          <w:color w:val="000000"/>
          <w:kern w:val="0"/>
          <w:sz w:val="22"/>
          <w:szCs w:val="22"/>
          <w:lang w:eastAsia="en-GB"/>
          <w14:ligatures w14:val="none"/>
        </w:rPr>
        <w:t>The Guardian</w:t>
      </w:r>
      <w:r w:rsidR="00CE7066" w:rsidRPr="00CE7066">
        <w:rPr>
          <w:rFonts w:ascii="Arial" w:eastAsia="Times New Roman" w:hAnsi="Arial" w:cs="Arial"/>
          <w:color w:val="000000"/>
          <w:kern w:val="0"/>
          <w:sz w:val="22"/>
          <w:szCs w:val="22"/>
          <w:lang w:eastAsia="en-GB"/>
          <w14:ligatures w14:val="none"/>
        </w:rPr>
        <w:t>, 7 March. Available at: </w:t>
      </w:r>
      <w:hyperlink r:id="rId5" w:tgtFrame="_new" w:history="1">
        <w:r w:rsidR="00CE7066" w:rsidRPr="00CE7066">
          <w:rPr>
            <w:rFonts w:ascii="Arial" w:eastAsia="Times New Roman" w:hAnsi="Arial" w:cs="Arial"/>
            <w:color w:val="0000FF"/>
            <w:kern w:val="0"/>
            <w:sz w:val="22"/>
            <w:szCs w:val="22"/>
            <w:u w:val="single"/>
            <w:lang w:eastAsia="en-GB"/>
            <w14:ligatures w14:val="none"/>
          </w:rPr>
          <w:t>https://www.theguardian.com/uk-news/2025/mar/07/migrants-and-refugee-families-in-the-uk-denied-childcare-funding-report-finds</w:t>
        </w:r>
      </w:hyperlink>
      <w:r w:rsidR="00CE7066" w:rsidRPr="00CE7066">
        <w:rPr>
          <w:rFonts w:ascii="Arial" w:eastAsia="Times New Roman" w:hAnsi="Arial" w:cs="Arial"/>
          <w:color w:val="000000"/>
          <w:kern w:val="0"/>
          <w:sz w:val="22"/>
          <w:szCs w:val="22"/>
          <w:lang w:eastAsia="en-GB"/>
          <w14:ligatures w14:val="none"/>
        </w:rPr>
        <w:t> (Accessed: 5 March 2026).</w:t>
      </w:r>
    </w:p>
    <w:p w14:paraId="097E2854" w14:textId="77777777" w:rsidR="00B23AEC" w:rsidRPr="00CE7066" w:rsidRDefault="00B23AEC" w:rsidP="00B23AEC">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37EF2CB4" w14:textId="77777777" w:rsidR="00CE7066" w:rsidRPr="00CE7066" w:rsidRDefault="00CE7066" w:rsidP="00CE7066">
      <w:pPr>
        <w:numPr>
          <w:ilvl w:val="0"/>
          <w:numId w:val="4"/>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 xml:space="preserve">Scott, R., Forde, E. &amp; Wedderburn, C. (2022) ‘Refugee, migrant and asylum seekers’ experience of accessing and receiving primary healthcare in a UK City of </w:t>
      </w:r>
      <w:r w:rsidRPr="00CE7066">
        <w:rPr>
          <w:rFonts w:ascii="Arial" w:eastAsia="Times New Roman" w:hAnsi="Arial" w:cs="Arial"/>
          <w:color w:val="000000"/>
          <w:kern w:val="0"/>
          <w:sz w:val="22"/>
          <w:szCs w:val="22"/>
          <w:lang w:eastAsia="en-GB"/>
          <w14:ligatures w14:val="none"/>
        </w:rPr>
        <w:lastRenderedPageBreak/>
        <w:t>Sanctuary’, </w:t>
      </w:r>
      <w:r w:rsidRPr="00CE7066">
        <w:rPr>
          <w:rFonts w:ascii="Arial" w:eastAsia="Times New Roman" w:hAnsi="Arial" w:cs="Arial"/>
          <w:i/>
          <w:iCs/>
          <w:color w:val="000000"/>
          <w:kern w:val="0"/>
          <w:sz w:val="22"/>
          <w:szCs w:val="22"/>
          <w:lang w:eastAsia="en-GB"/>
          <w14:ligatures w14:val="none"/>
        </w:rPr>
        <w:t>Journal of Immigrant and Minority Health</w:t>
      </w:r>
      <w:r w:rsidRPr="00CE7066">
        <w:rPr>
          <w:rFonts w:ascii="Arial" w:eastAsia="Times New Roman" w:hAnsi="Arial" w:cs="Arial"/>
          <w:color w:val="000000"/>
          <w:kern w:val="0"/>
          <w:sz w:val="22"/>
          <w:szCs w:val="22"/>
          <w:lang w:eastAsia="en-GB"/>
          <w14:ligatures w14:val="none"/>
        </w:rPr>
        <w:t>. Available at: </w:t>
      </w:r>
      <w:hyperlink r:id="rId6" w:tgtFrame="_new" w:history="1">
        <w:r w:rsidRPr="00CE7066">
          <w:rPr>
            <w:rFonts w:ascii="Arial" w:eastAsia="Times New Roman" w:hAnsi="Arial" w:cs="Arial"/>
            <w:color w:val="0000FF"/>
            <w:kern w:val="0"/>
            <w:sz w:val="22"/>
            <w:szCs w:val="22"/>
            <w:u w:val="single"/>
            <w:lang w:eastAsia="en-GB"/>
            <w14:ligatures w14:val="none"/>
          </w:rPr>
          <w:t>https://link.springer.com/article/10.1007/s10903-021-01227-2</w:t>
        </w:r>
      </w:hyperlink>
      <w:r w:rsidRPr="00CE7066">
        <w:rPr>
          <w:rFonts w:ascii="Arial" w:eastAsia="Times New Roman" w:hAnsi="Arial" w:cs="Arial"/>
          <w:color w:val="000000"/>
          <w:kern w:val="0"/>
          <w:sz w:val="22"/>
          <w:szCs w:val="22"/>
          <w:lang w:eastAsia="en-GB"/>
          <w14:ligatures w14:val="none"/>
        </w:rPr>
        <w:t> (Accessed: 5 March 2026).</w:t>
      </w:r>
    </w:p>
    <w:p w14:paraId="6D92B5C0" w14:textId="77777777" w:rsidR="00CE7066" w:rsidRPr="00CE7066" w:rsidRDefault="00CE7066" w:rsidP="00CE7066">
      <w:pPr>
        <w:numPr>
          <w:ilvl w:val="0"/>
          <w:numId w:val="4"/>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CE7066">
        <w:rPr>
          <w:rFonts w:ascii="Arial" w:eastAsia="Times New Roman" w:hAnsi="Arial" w:cs="Arial"/>
          <w:color w:val="000000"/>
          <w:kern w:val="0"/>
          <w:sz w:val="22"/>
          <w:szCs w:val="22"/>
          <w:lang w:eastAsia="en-GB"/>
          <w14:ligatures w14:val="none"/>
        </w:rPr>
        <w:t>Turnpenny, A. &amp; Hussein, S. (2021) ‘Migrant home care workers in the UK: a scoping review of outcomes and sustainability and implications in the context of Brexit’, </w:t>
      </w:r>
      <w:r w:rsidRPr="00CE7066">
        <w:rPr>
          <w:rFonts w:ascii="Arial" w:eastAsia="Times New Roman" w:hAnsi="Arial" w:cs="Arial"/>
          <w:i/>
          <w:iCs/>
          <w:color w:val="000000"/>
          <w:kern w:val="0"/>
          <w:sz w:val="22"/>
          <w:szCs w:val="22"/>
          <w:lang w:eastAsia="en-GB"/>
          <w14:ligatures w14:val="none"/>
        </w:rPr>
        <w:t>Journal of International Migration and Integration, 23</w:t>
      </w:r>
      <w:r w:rsidRPr="00CE7066">
        <w:rPr>
          <w:rFonts w:ascii="Arial" w:eastAsia="Times New Roman" w:hAnsi="Arial" w:cs="Arial"/>
          <w:color w:val="000000"/>
          <w:kern w:val="0"/>
          <w:sz w:val="22"/>
          <w:szCs w:val="22"/>
          <w:lang w:eastAsia="en-GB"/>
          <w14:ligatures w14:val="none"/>
        </w:rPr>
        <w:t>, pp. 23–42. Available at: </w:t>
      </w:r>
      <w:hyperlink r:id="rId7" w:tgtFrame="_new" w:history="1">
        <w:r w:rsidRPr="00CE7066">
          <w:rPr>
            <w:rFonts w:ascii="Arial" w:eastAsia="Times New Roman" w:hAnsi="Arial" w:cs="Arial"/>
            <w:color w:val="0000FF"/>
            <w:kern w:val="0"/>
            <w:sz w:val="22"/>
            <w:szCs w:val="22"/>
            <w:u w:val="single"/>
            <w:lang w:eastAsia="en-GB"/>
            <w14:ligatures w14:val="none"/>
          </w:rPr>
          <w:t>https://link.springer.com/article/10.1007/s12134-021-00807-3</w:t>
        </w:r>
      </w:hyperlink>
      <w:r w:rsidRPr="00CE7066">
        <w:rPr>
          <w:rFonts w:ascii="Arial" w:eastAsia="Times New Roman" w:hAnsi="Arial" w:cs="Arial"/>
          <w:color w:val="000000"/>
          <w:kern w:val="0"/>
          <w:sz w:val="22"/>
          <w:szCs w:val="22"/>
          <w:lang w:eastAsia="en-GB"/>
          <w14:ligatures w14:val="none"/>
        </w:rPr>
        <w:t> (Accessed: 5 March 2026).</w:t>
      </w:r>
    </w:p>
    <w:p w14:paraId="3BE5AC7F" w14:textId="77777777" w:rsidR="00117764" w:rsidRPr="00CC4063" w:rsidRDefault="00117764">
      <w:pPr>
        <w:rPr>
          <w:rFonts w:ascii="Arial" w:hAnsi="Arial" w:cs="Arial"/>
          <w:sz w:val="22"/>
          <w:szCs w:val="22"/>
        </w:rPr>
      </w:pPr>
    </w:p>
    <w:sectPr w:rsidR="00117764" w:rsidRPr="00CC40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423E8"/>
    <w:multiLevelType w:val="multilevel"/>
    <w:tmpl w:val="733C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B145C"/>
    <w:multiLevelType w:val="multilevel"/>
    <w:tmpl w:val="68B2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D7CAE"/>
    <w:multiLevelType w:val="multilevel"/>
    <w:tmpl w:val="C11E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8C17B5"/>
    <w:multiLevelType w:val="multilevel"/>
    <w:tmpl w:val="6E46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3555433">
    <w:abstractNumId w:val="3"/>
  </w:num>
  <w:num w:numId="2" w16cid:durableId="185485445">
    <w:abstractNumId w:val="0"/>
  </w:num>
  <w:num w:numId="3" w16cid:durableId="1551460956">
    <w:abstractNumId w:val="1"/>
  </w:num>
  <w:num w:numId="4" w16cid:durableId="190992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764"/>
    <w:rsid w:val="000E1C09"/>
    <w:rsid w:val="00117764"/>
    <w:rsid w:val="001E03AE"/>
    <w:rsid w:val="001F6F84"/>
    <w:rsid w:val="002D3225"/>
    <w:rsid w:val="003F0E95"/>
    <w:rsid w:val="006F5D37"/>
    <w:rsid w:val="00811BD8"/>
    <w:rsid w:val="008348C2"/>
    <w:rsid w:val="009B6CC6"/>
    <w:rsid w:val="00A72D2F"/>
    <w:rsid w:val="00AC278F"/>
    <w:rsid w:val="00B23AEC"/>
    <w:rsid w:val="00C013E0"/>
    <w:rsid w:val="00CC4063"/>
    <w:rsid w:val="00CE7066"/>
    <w:rsid w:val="00E43071"/>
    <w:rsid w:val="00F34868"/>
    <w:rsid w:val="00FF0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9D6CF1F"/>
  <w15:chartTrackingRefBased/>
  <w15:docId w15:val="{6769C06D-6755-2842-B437-F07B8A2B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7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77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77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7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7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77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77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7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764"/>
    <w:rPr>
      <w:rFonts w:eastAsiaTheme="majorEastAsia" w:cstheme="majorBidi"/>
      <w:color w:val="272727" w:themeColor="text1" w:themeTint="D8"/>
    </w:rPr>
  </w:style>
  <w:style w:type="paragraph" w:styleId="Title">
    <w:name w:val="Title"/>
    <w:basedOn w:val="Normal"/>
    <w:next w:val="Normal"/>
    <w:link w:val="TitleChar"/>
    <w:uiPriority w:val="10"/>
    <w:qFormat/>
    <w:rsid w:val="00117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764"/>
    <w:pPr>
      <w:spacing w:before="160"/>
      <w:jc w:val="center"/>
    </w:pPr>
    <w:rPr>
      <w:i/>
      <w:iCs/>
      <w:color w:val="404040" w:themeColor="text1" w:themeTint="BF"/>
    </w:rPr>
  </w:style>
  <w:style w:type="character" w:customStyle="1" w:styleId="QuoteChar">
    <w:name w:val="Quote Char"/>
    <w:basedOn w:val="DefaultParagraphFont"/>
    <w:link w:val="Quote"/>
    <w:uiPriority w:val="29"/>
    <w:rsid w:val="00117764"/>
    <w:rPr>
      <w:i/>
      <w:iCs/>
      <w:color w:val="404040" w:themeColor="text1" w:themeTint="BF"/>
    </w:rPr>
  </w:style>
  <w:style w:type="paragraph" w:styleId="ListParagraph">
    <w:name w:val="List Paragraph"/>
    <w:basedOn w:val="Normal"/>
    <w:uiPriority w:val="34"/>
    <w:qFormat/>
    <w:rsid w:val="00117764"/>
    <w:pPr>
      <w:ind w:left="720"/>
      <w:contextualSpacing/>
    </w:pPr>
  </w:style>
  <w:style w:type="character" w:styleId="IntenseEmphasis">
    <w:name w:val="Intense Emphasis"/>
    <w:basedOn w:val="DefaultParagraphFont"/>
    <w:uiPriority w:val="21"/>
    <w:qFormat/>
    <w:rsid w:val="00117764"/>
    <w:rPr>
      <w:i/>
      <w:iCs/>
      <w:color w:val="0F4761" w:themeColor="accent1" w:themeShade="BF"/>
    </w:rPr>
  </w:style>
  <w:style w:type="paragraph" w:styleId="IntenseQuote">
    <w:name w:val="Intense Quote"/>
    <w:basedOn w:val="Normal"/>
    <w:next w:val="Normal"/>
    <w:link w:val="IntenseQuoteChar"/>
    <w:uiPriority w:val="30"/>
    <w:qFormat/>
    <w:rsid w:val="00117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764"/>
    <w:rPr>
      <w:i/>
      <w:iCs/>
      <w:color w:val="0F4761" w:themeColor="accent1" w:themeShade="BF"/>
    </w:rPr>
  </w:style>
  <w:style w:type="character" w:styleId="IntenseReference">
    <w:name w:val="Intense Reference"/>
    <w:basedOn w:val="DefaultParagraphFont"/>
    <w:uiPriority w:val="32"/>
    <w:qFormat/>
    <w:rsid w:val="00117764"/>
    <w:rPr>
      <w:b/>
      <w:bCs/>
      <w:smallCaps/>
      <w:color w:val="0F4761" w:themeColor="accent1" w:themeShade="BF"/>
      <w:spacing w:val="5"/>
    </w:rPr>
  </w:style>
  <w:style w:type="paragraph" w:styleId="NormalWeb">
    <w:name w:val="Normal (Web)"/>
    <w:basedOn w:val="Normal"/>
    <w:uiPriority w:val="99"/>
    <w:semiHidden/>
    <w:unhideWhenUsed/>
    <w:rsid w:val="001177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17764"/>
    <w:rPr>
      <w:b/>
      <w:bCs/>
    </w:rPr>
  </w:style>
  <w:style w:type="character" w:customStyle="1" w:styleId="apple-converted-space">
    <w:name w:val="apple-converted-space"/>
    <w:basedOn w:val="DefaultParagraphFont"/>
    <w:rsid w:val="00117764"/>
  </w:style>
  <w:style w:type="character" w:styleId="Emphasis">
    <w:name w:val="Emphasis"/>
    <w:basedOn w:val="DefaultParagraphFont"/>
    <w:uiPriority w:val="20"/>
    <w:qFormat/>
    <w:rsid w:val="00117764"/>
    <w:rPr>
      <w:i/>
      <w:iCs/>
    </w:rPr>
  </w:style>
  <w:style w:type="character" w:styleId="Hyperlink">
    <w:name w:val="Hyperlink"/>
    <w:basedOn w:val="DefaultParagraphFont"/>
    <w:uiPriority w:val="99"/>
    <w:semiHidden/>
    <w:unhideWhenUsed/>
    <w:rsid w:val="00117764"/>
    <w:rPr>
      <w:color w:val="0000FF"/>
      <w:u w:val="single"/>
    </w:rPr>
  </w:style>
  <w:style w:type="character" w:customStyle="1" w:styleId="normaltextrun">
    <w:name w:val="normaltextrun"/>
    <w:basedOn w:val="DefaultParagraphFont"/>
    <w:rsid w:val="002D3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article/10.1007/s12134-021-0080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007/s10903-021-01227-2" TargetMode="External"/><Relationship Id="rId5" Type="http://schemas.openxmlformats.org/officeDocument/2006/relationships/hyperlink" Target="https://www.theguardian.com/uk-news/2025/mar/07/migrants-and-refugee-families-in-the-uk-denied-childcare-funding-report-find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733</Words>
  <Characters>4532</Characters>
  <Application>Microsoft Office Word</Application>
  <DocSecurity>0</DocSecurity>
  <Lines>73</Lines>
  <Paragraphs>12</Paragraphs>
  <ScaleCrop>false</ScaleCrop>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Flores Rodrigues (2336878)</dc:creator>
  <cp:keywords/>
  <dc:description/>
  <cp:lastModifiedBy>Deborah Flores Rodrigues (2336878)</cp:lastModifiedBy>
  <cp:revision>4</cp:revision>
  <dcterms:created xsi:type="dcterms:W3CDTF">2026-03-05T11:45:00Z</dcterms:created>
  <dcterms:modified xsi:type="dcterms:W3CDTF">2026-03-07T15:16:00Z</dcterms:modified>
</cp:coreProperties>
</file>