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BDEC478" w14:textId="77777777" w:rsidR="007D1947" w:rsidRDefault="007D1947">
          <w:pPr>
            <w:pStyle w:val="NoSpacing"/>
            <w:spacing w:before="1540" w:after="240"/>
            <w:jc w:val="center"/>
            <w:rPr>
              <w:color w:val="5B9BD5" w:themeColor="accent1"/>
            </w:rPr>
          </w:pPr>
          <w:r>
            <w:rPr>
              <w:noProof/>
              <w:color w:val="5B9BD5" w:themeColor="accent1"/>
            </w:rPr>
            <w:drawing>
              <wp:inline distT="0" distB="0" distL="0" distR="0" wp14:anchorId="1932C643" wp14:editId="4BECBF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6C240649" w14:textId="1C503398" w:rsidR="007D1947" w:rsidRDefault="00D57ED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D57EDA">
                <w:rPr>
                  <w:rFonts w:asciiTheme="majorHAnsi" w:eastAsiaTheme="majorEastAsia" w:hAnsiTheme="majorHAnsi" w:cstheme="majorBidi"/>
                  <w:caps/>
                  <w:color w:val="5B9BD5" w:themeColor="accent1"/>
                  <w:sz w:val="72"/>
                  <w:szCs w:val="72"/>
                </w:rPr>
                <w:t>Assignment 1: Hilton Hotel</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D11FE6E" w14:textId="71354249" w:rsidR="007D1947" w:rsidRDefault="00BA7FBD">
              <w:pPr>
                <w:pStyle w:val="NoSpacing"/>
                <w:jc w:val="center"/>
                <w:rPr>
                  <w:color w:val="5B9BD5" w:themeColor="accent1"/>
                  <w:sz w:val="28"/>
                  <w:szCs w:val="28"/>
                </w:rPr>
              </w:pPr>
              <w:r w:rsidRPr="00BA7FBD">
                <w:rPr>
                  <w:color w:val="5B9BD5" w:themeColor="accent1"/>
                  <w:sz w:val="28"/>
                  <w:szCs w:val="28"/>
                </w:rPr>
                <w:t>Financial Management for the Hotel Industry</w:t>
              </w:r>
            </w:p>
          </w:sdtContent>
        </w:sdt>
        <w:p w14:paraId="765A889E" w14:textId="085CAA61" w:rsidR="007D1947" w:rsidRDefault="007D1947">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547C4096" wp14:editId="3DC68A3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704676237"/>
                                  <w:showingPlcHdr/>
                                  <w:dataBinding w:prefixMappings="xmlns:ns0='http://schemas.microsoft.com/office/2006/coverPageProps' " w:xpath="/ns0:CoverPageProperties[1]/ns0:PublishDate[1]" w:storeItemID="{55AF091B-3C7A-41E3-B477-F2FDAA23CFDA}"/>
                                  <w:date w:fullDate="2022-05-27T00:00:00Z">
                                    <w:dateFormat w:val="MMMM d, yyyy"/>
                                    <w:lid w:val="en-US"/>
                                    <w:storeMappedDataAs w:val="dateTime"/>
                                    <w:calendar w:val="gregorian"/>
                                  </w:date>
                                </w:sdtPr>
                                <w:sdtEndPr/>
                                <w:sdtContent>
                                  <w:p w14:paraId="5DA3BD92" w14:textId="7E3E53A7" w:rsidR="007D1947" w:rsidRDefault="00EE520D">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6DAC6D9E" w14:textId="3D0F2073" w:rsidR="007D1947" w:rsidRDefault="001324B1">
                                <w:pPr>
                                  <w:pStyle w:val="NoSpacing"/>
                                  <w:jc w:val="center"/>
                                  <w:rPr>
                                    <w:color w:val="5B9BD5" w:themeColor="accent1"/>
                                  </w:rPr>
                                </w:pPr>
                                <w:sdt>
                                  <w:sdtPr>
                                    <w:rPr>
                                      <w:caps/>
                                      <w:color w:val="5B9BD5" w:themeColor="accent1"/>
                                    </w:rPr>
                                    <w:alias w:val="Company"/>
                                    <w:tag w:val=""/>
                                    <w:id w:val="1491055103"/>
                                    <w:showingPlcHdr/>
                                    <w:dataBinding w:prefixMappings="xmlns:ns0='http://schemas.openxmlformats.org/officeDocument/2006/extended-properties' " w:xpath="/ns0:Properties[1]/ns0:Company[1]" w:storeItemID="{6668398D-A668-4E3E-A5EB-62B293D839F1}"/>
                                    <w:text/>
                                  </w:sdtPr>
                                  <w:sdtEndPr/>
                                  <w:sdtContent>
                                    <w:r w:rsidR="00EE520D">
                                      <w:rPr>
                                        <w:caps/>
                                        <w:color w:val="5B9BD5" w:themeColor="accent1"/>
                                      </w:rPr>
                                      <w:t xml:space="preserve">     </w:t>
                                    </w:r>
                                  </w:sdtContent>
                                </w:sdt>
                              </w:p>
                              <w:p w14:paraId="0AF62F9A" w14:textId="77777777" w:rsidR="007D1947" w:rsidRDefault="001324B1">
                                <w:pPr>
                                  <w:pStyle w:val="NoSpacing"/>
                                  <w:jc w:val="center"/>
                                  <w:rPr>
                                    <w:color w:val="5B9BD5" w:themeColor="accent1"/>
                                  </w:rPr>
                                </w:pPr>
                                <w:sdt>
                                  <w:sdtPr>
                                    <w:rPr>
                                      <w:color w:val="5B9BD5" w:themeColor="accent1"/>
                                    </w:rPr>
                                    <w:alias w:val="Address"/>
                                    <w:tag w:val=""/>
                                    <w:id w:val="-410395726"/>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7C409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704676237"/>
                            <w:showingPlcHdr/>
                            <w:dataBinding w:prefixMappings="xmlns:ns0='http://schemas.microsoft.com/office/2006/coverPageProps' " w:xpath="/ns0:CoverPageProperties[1]/ns0:PublishDate[1]" w:storeItemID="{55AF091B-3C7A-41E3-B477-F2FDAA23CFDA}"/>
                            <w:date w:fullDate="2022-05-27T00:00:00Z">
                              <w:dateFormat w:val="MMMM d, yyyy"/>
                              <w:lid w:val="en-US"/>
                              <w:storeMappedDataAs w:val="dateTime"/>
                              <w:calendar w:val="gregorian"/>
                            </w:date>
                          </w:sdtPr>
                          <w:sdtEndPr/>
                          <w:sdtContent>
                            <w:p w14:paraId="5DA3BD92" w14:textId="7E3E53A7" w:rsidR="007D1947" w:rsidRDefault="00EE520D">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6DAC6D9E" w14:textId="3D0F2073" w:rsidR="007D1947" w:rsidRDefault="001324B1">
                          <w:pPr>
                            <w:pStyle w:val="NoSpacing"/>
                            <w:jc w:val="center"/>
                            <w:rPr>
                              <w:color w:val="5B9BD5" w:themeColor="accent1"/>
                            </w:rPr>
                          </w:pPr>
                          <w:sdt>
                            <w:sdtPr>
                              <w:rPr>
                                <w:caps/>
                                <w:color w:val="5B9BD5" w:themeColor="accent1"/>
                              </w:rPr>
                              <w:alias w:val="Company"/>
                              <w:tag w:val=""/>
                              <w:id w:val="1491055103"/>
                              <w:showingPlcHdr/>
                              <w:dataBinding w:prefixMappings="xmlns:ns0='http://schemas.openxmlformats.org/officeDocument/2006/extended-properties' " w:xpath="/ns0:Properties[1]/ns0:Company[1]" w:storeItemID="{6668398D-A668-4E3E-A5EB-62B293D839F1}"/>
                              <w:text/>
                            </w:sdtPr>
                            <w:sdtEndPr/>
                            <w:sdtContent>
                              <w:r w:rsidR="00EE520D">
                                <w:rPr>
                                  <w:caps/>
                                  <w:color w:val="5B9BD5" w:themeColor="accent1"/>
                                </w:rPr>
                                <w:t xml:space="preserve">     </w:t>
                              </w:r>
                            </w:sdtContent>
                          </w:sdt>
                        </w:p>
                        <w:p w14:paraId="0AF62F9A" w14:textId="77777777" w:rsidR="007D1947" w:rsidRDefault="001324B1">
                          <w:pPr>
                            <w:pStyle w:val="NoSpacing"/>
                            <w:jc w:val="center"/>
                            <w:rPr>
                              <w:color w:val="5B9BD5" w:themeColor="accent1"/>
                            </w:rPr>
                          </w:pPr>
                          <w:sdt>
                            <w:sdtPr>
                              <w:rPr>
                                <w:color w:val="5B9BD5" w:themeColor="accent1"/>
                              </w:rPr>
                              <w:alias w:val="Address"/>
                              <w:tag w:val=""/>
                              <w:id w:val="-410395726"/>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rPr>
            <w:drawing>
              <wp:inline distT="0" distB="0" distL="0" distR="0" wp14:anchorId="04B14404" wp14:editId="1F8AED6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08EC50" w14:textId="16C67306" w:rsidR="00EE520D" w:rsidRPr="00EE520D" w:rsidRDefault="00EE520D" w:rsidP="007D1947">
          <w:pPr>
            <w:pStyle w:val="Heading1"/>
            <w:rPr>
              <w:color w:val="FFD966" w:themeColor="accent4" w:themeTint="99"/>
              <w:sz w:val="28"/>
              <w:szCs w:val="28"/>
            </w:rPr>
          </w:pPr>
        </w:p>
        <w:p w14:paraId="119E12F0" w14:textId="1E16A961" w:rsidR="00EE520D" w:rsidRDefault="00EE520D" w:rsidP="00EE520D">
          <w:pPr>
            <w:rPr>
              <w:sz w:val="24"/>
              <w:szCs w:val="24"/>
            </w:rPr>
          </w:pPr>
          <w:r w:rsidRPr="00EE520D">
            <w:rPr>
              <w:sz w:val="24"/>
              <w:szCs w:val="24"/>
            </w:rPr>
            <w:t>Module Name- Financial Management for The Hotel Industry</w:t>
          </w:r>
          <w:r w:rsidR="006901F6">
            <w:rPr>
              <w:sz w:val="24"/>
              <w:szCs w:val="24"/>
            </w:rPr>
            <w:t xml:space="preserve"> BMIH5007, BMIH5002.</w:t>
          </w:r>
        </w:p>
        <w:p w14:paraId="7612D417" w14:textId="666CA84E" w:rsidR="00EE520D" w:rsidRDefault="00EE520D" w:rsidP="00EE520D">
          <w:pPr>
            <w:rPr>
              <w:sz w:val="24"/>
              <w:szCs w:val="24"/>
            </w:rPr>
          </w:pPr>
          <w:r>
            <w:rPr>
              <w:sz w:val="24"/>
              <w:szCs w:val="24"/>
            </w:rPr>
            <w:t xml:space="preserve">Student name – Jahanara </w:t>
          </w:r>
          <w:proofErr w:type="spellStart"/>
          <w:r>
            <w:rPr>
              <w:sz w:val="24"/>
              <w:szCs w:val="24"/>
            </w:rPr>
            <w:t>Jesmin</w:t>
          </w:r>
          <w:proofErr w:type="spellEnd"/>
          <w:r w:rsidR="006901F6">
            <w:rPr>
              <w:sz w:val="24"/>
              <w:szCs w:val="24"/>
            </w:rPr>
            <w:t xml:space="preserve"> 2021263.</w:t>
          </w:r>
        </w:p>
        <w:p w14:paraId="7181AFC5" w14:textId="74FF0C14" w:rsidR="006901F6" w:rsidRDefault="006901F6" w:rsidP="00EE520D">
          <w:pPr>
            <w:rPr>
              <w:sz w:val="24"/>
              <w:szCs w:val="24"/>
            </w:rPr>
          </w:pPr>
          <w:r>
            <w:rPr>
              <w:sz w:val="24"/>
              <w:szCs w:val="24"/>
            </w:rPr>
            <w:t>Lecturer Name – Dale Clarke.</w:t>
          </w:r>
        </w:p>
        <w:p w14:paraId="01F87B2E" w14:textId="77777777" w:rsidR="006901F6" w:rsidRPr="00EE520D" w:rsidRDefault="006901F6" w:rsidP="00EE520D">
          <w:pPr>
            <w:rPr>
              <w:sz w:val="24"/>
              <w:szCs w:val="24"/>
            </w:rPr>
          </w:pPr>
        </w:p>
        <w:p w14:paraId="11E58CE4" w14:textId="77777777" w:rsidR="00EE520D" w:rsidRPr="00EE520D" w:rsidRDefault="00EE520D" w:rsidP="00EE520D"/>
        <w:p w14:paraId="0A37FA41" w14:textId="3198F558" w:rsidR="007D1947" w:rsidRDefault="007D1947" w:rsidP="007D1947">
          <w:pPr>
            <w:pStyle w:val="Heading1"/>
          </w:pPr>
          <w:r w:rsidRPr="00EE520D">
            <w:br w:type="page"/>
          </w:r>
          <w:bookmarkStart w:id="0" w:name="_Toc104552228"/>
          <w:r>
            <w:lastRenderedPageBreak/>
            <w:t>Executive Summary</w:t>
          </w:r>
          <w:bookmarkEnd w:id="0"/>
        </w:p>
        <w:p w14:paraId="59D9630D" w14:textId="77777777" w:rsidR="00D57EDA" w:rsidRDefault="007D1947" w:rsidP="00DE04B1">
          <w:pPr>
            <w:jc w:val="both"/>
            <w:rPr>
              <w:rFonts w:ascii="Times New Roman" w:hAnsi="Times New Roman" w:cs="Times New Roman"/>
              <w:sz w:val="24"/>
              <w:szCs w:val="24"/>
            </w:rPr>
          </w:pPr>
          <w:r w:rsidRPr="000D3B36">
            <w:rPr>
              <w:rFonts w:ascii="Times New Roman" w:hAnsi="Times New Roman" w:cs="Times New Roman"/>
              <w:sz w:val="24"/>
              <w:szCs w:val="24"/>
            </w:rPr>
            <w:t xml:space="preserve">The purpose </w:t>
          </w:r>
          <w:r w:rsidR="000D3B36" w:rsidRPr="000D3B36">
            <w:rPr>
              <w:rFonts w:ascii="Times New Roman" w:hAnsi="Times New Roman" w:cs="Times New Roman"/>
              <w:sz w:val="24"/>
              <w:szCs w:val="24"/>
            </w:rPr>
            <w:t xml:space="preserve">of this report is to </w:t>
          </w:r>
          <w:r w:rsidR="000D3B36">
            <w:rPr>
              <w:rFonts w:ascii="Times New Roman" w:hAnsi="Times New Roman" w:cs="Times New Roman"/>
              <w:sz w:val="24"/>
              <w:szCs w:val="24"/>
            </w:rPr>
            <w:t>analyse the financial situation</w:t>
          </w:r>
          <w:r w:rsidR="000D3B36" w:rsidRPr="000D3B36">
            <w:rPr>
              <w:rFonts w:ascii="Times New Roman" w:hAnsi="Times New Roman" w:cs="Times New Roman"/>
              <w:sz w:val="24"/>
              <w:szCs w:val="24"/>
            </w:rPr>
            <w:t xml:space="preserve"> of Hilton Worldwide Holdings Inc. (HLT)</w:t>
          </w:r>
          <w:r w:rsidR="000D3B36">
            <w:rPr>
              <w:rFonts w:ascii="Times New Roman" w:hAnsi="Times New Roman" w:cs="Times New Roman"/>
              <w:sz w:val="24"/>
              <w:szCs w:val="24"/>
            </w:rPr>
            <w:t xml:space="preserve"> by using horizontal ratios to find out the scenario of overall business. </w:t>
          </w:r>
          <w:r w:rsidR="00DE04B1" w:rsidRPr="00DE04B1">
            <w:rPr>
              <w:rFonts w:ascii="Times New Roman" w:hAnsi="Times New Roman" w:cs="Times New Roman"/>
              <w:sz w:val="24"/>
              <w:szCs w:val="24"/>
            </w:rPr>
            <w:t xml:space="preserve">Horizontal financial statement analysis compares a financial ratio, a benchmark, or a line item over many accounting periods. Trend analysis is another name for this type of study. Horizontal analysis analyses the proportion of each item in accounts, assets, and debt financing on a balance sheet or income statement over time, whereas vertical analysis compares the percentage of each item in accounts, assets, and debt financing on an income statement. </w:t>
          </w:r>
        </w:p>
        <w:p w14:paraId="0C547626" w14:textId="39A3BEBE" w:rsidR="007D1947" w:rsidRPr="000D3B36" w:rsidRDefault="00DE04B1" w:rsidP="00DE04B1">
          <w:pPr>
            <w:jc w:val="both"/>
            <w:rPr>
              <w:rFonts w:ascii="Times New Roman" w:hAnsi="Times New Roman" w:cs="Times New Roman"/>
              <w:sz w:val="24"/>
              <w:szCs w:val="24"/>
            </w:rPr>
          </w:pPr>
          <w:r w:rsidRPr="00DE04B1">
            <w:rPr>
              <w:rFonts w:ascii="Times New Roman" w:hAnsi="Times New Roman" w:cs="Times New Roman"/>
              <w:sz w:val="24"/>
              <w:szCs w:val="24"/>
            </w:rPr>
            <w:t>Horizontal analysis compares the proportion of each item in accounts, assets, and debt financing on a balance sheet or income statement over time, whereas vertical analysis compares the percentage of each item in accounts, resources, and debt financing on such a financial statement. Under this study, ratios of various items are calculated and compared over various times. The examination of the ratios over a period of years is done whether the company is heading forward or backward. The indicator of excellent or bad management may be recognized by looking at this study.</w:t>
          </w:r>
          <w:r>
            <w:rPr>
              <w:rFonts w:ascii="Times New Roman" w:hAnsi="Times New Roman" w:cs="Times New Roman"/>
              <w:sz w:val="24"/>
              <w:szCs w:val="24"/>
            </w:rPr>
            <w:t xml:space="preserve"> In this analysis it vividly shows the fluctuation on their every item on income statement and financial statement, there dramatically changes happens through the in year 2019 to 2020. </w:t>
          </w:r>
        </w:p>
        <w:p w14:paraId="1F455677" w14:textId="77777777" w:rsidR="007D1947" w:rsidRDefault="007D1947"/>
        <w:p w14:paraId="4212D1B9" w14:textId="77777777" w:rsidR="007D1947" w:rsidRDefault="007D1947"/>
        <w:p w14:paraId="67046C6A" w14:textId="77777777" w:rsidR="007D1947" w:rsidRDefault="007D1947"/>
        <w:p w14:paraId="2FBFFFEA" w14:textId="77777777" w:rsidR="007D1947" w:rsidRDefault="007D1947"/>
        <w:p w14:paraId="73C992F0" w14:textId="77777777" w:rsidR="007D1947" w:rsidRDefault="007D1947"/>
        <w:p w14:paraId="171706B6" w14:textId="77777777" w:rsidR="007D1947" w:rsidRDefault="007D1947"/>
        <w:p w14:paraId="696941F7" w14:textId="77777777" w:rsidR="007D1947" w:rsidRDefault="007D1947"/>
        <w:p w14:paraId="0614965F" w14:textId="77777777" w:rsidR="007D1947" w:rsidRDefault="007D1947"/>
        <w:p w14:paraId="5ED974BB" w14:textId="77777777" w:rsidR="007D1947" w:rsidRDefault="007D1947"/>
        <w:p w14:paraId="576008F1" w14:textId="77777777" w:rsidR="007D1947" w:rsidRDefault="007D1947"/>
        <w:p w14:paraId="1A43EBAE" w14:textId="77777777" w:rsidR="007D1947" w:rsidRDefault="007D1947"/>
        <w:p w14:paraId="3AB53BCB" w14:textId="77777777" w:rsidR="007D1947" w:rsidRDefault="007D1947"/>
        <w:p w14:paraId="55C39C75" w14:textId="77777777" w:rsidR="007D1947" w:rsidRDefault="007D1947"/>
        <w:p w14:paraId="4C5619CE" w14:textId="77777777" w:rsidR="007D1947" w:rsidRDefault="007D1947"/>
        <w:p w14:paraId="1E28E3DB" w14:textId="77777777" w:rsidR="007D1947" w:rsidRDefault="007D1947"/>
        <w:p w14:paraId="21BA113E" w14:textId="77777777" w:rsidR="007D1947" w:rsidRDefault="007D1947"/>
        <w:p w14:paraId="7A343257" w14:textId="77777777" w:rsidR="007D1947" w:rsidRDefault="007D1947"/>
        <w:p w14:paraId="3F7C2400" w14:textId="77777777" w:rsidR="007D1947" w:rsidRDefault="007D1947"/>
        <w:p w14:paraId="187DD929" w14:textId="77777777" w:rsidR="007D1947" w:rsidRDefault="007D1947"/>
        <w:p w14:paraId="26495A02" w14:textId="7F048813" w:rsidR="007D1947" w:rsidRDefault="007D1947"/>
        <w:p w14:paraId="6BE533EA" w14:textId="53059151" w:rsidR="00D57EDA" w:rsidRDefault="00D57EDA"/>
        <w:p w14:paraId="17A4AD44" w14:textId="2397BF34" w:rsidR="00D57EDA" w:rsidRDefault="00D57EDA"/>
        <w:p w14:paraId="0F8EFBE5" w14:textId="7B623709" w:rsidR="00D57EDA" w:rsidRDefault="00D57EDA"/>
        <w:p w14:paraId="01E652FA" w14:textId="77777777" w:rsidR="00D57EDA" w:rsidRDefault="00D57EDA"/>
        <w:p w14:paraId="670ED438"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EF04BD9" w14:textId="77777777" w:rsidR="007D1947" w:rsidRDefault="007D1947">
              <w:pPr>
                <w:pStyle w:val="TOCHeading"/>
              </w:pPr>
              <w:r>
                <w:t>Table of Contents</w:t>
              </w:r>
            </w:p>
            <w:p w14:paraId="25B80F4F" w14:textId="61A6D1B5" w:rsidR="003765F8" w:rsidRDefault="007D1947">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04552228" w:history="1">
                <w:r w:rsidR="003765F8" w:rsidRPr="00A21D1F">
                  <w:rPr>
                    <w:rStyle w:val="Hyperlink"/>
                    <w:noProof/>
                  </w:rPr>
                  <w:t>Executive Summary</w:t>
                </w:r>
                <w:r w:rsidR="003765F8">
                  <w:rPr>
                    <w:noProof/>
                    <w:webHidden/>
                  </w:rPr>
                  <w:tab/>
                </w:r>
                <w:r w:rsidR="003765F8">
                  <w:rPr>
                    <w:noProof/>
                    <w:webHidden/>
                  </w:rPr>
                  <w:fldChar w:fldCharType="begin"/>
                </w:r>
                <w:r w:rsidR="003765F8">
                  <w:rPr>
                    <w:noProof/>
                    <w:webHidden/>
                  </w:rPr>
                  <w:instrText xml:space="preserve"> PAGEREF _Toc104552228 \h </w:instrText>
                </w:r>
                <w:r w:rsidR="003765F8">
                  <w:rPr>
                    <w:noProof/>
                    <w:webHidden/>
                  </w:rPr>
                </w:r>
                <w:r w:rsidR="003765F8">
                  <w:rPr>
                    <w:noProof/>
                    <w:webHidden/>
                  </w:rPr>
                  <w:fldChar w:fldCharType="separate"/>
                </w:r>
                <w:r w:rsidR="00973BF7">
                  <w:rPr>
                    <w:noProof/>
                    <w:webHidden/>
                  </w:rPr>
                  <w:t>1</w:t>
                </w:r>
                <w:r w:rsidR="003765F8">
                  <w:rPr>
                    <w:noProof/>
                    <w:webHidden/>
                  </w:rPr>
                  <w:fldChar w:fldCharType="end"/>
                </w:r>
              </w:hyperlink>
            </w:p>
            <w:p w14:paraId="21300CFD" w14:textId="2CB7D1F1" w:rsidR="003765F8" w:rsidRDefault="001324B1">
              <w:pPr>
                <w:pStyle w:val="TOC1"/>
                <w:tabs>
                  <w:tab w:val="right" w:leader="dot" w:pos="9016"/>
                </w:tabs>
                <w:rPr>
                  <w:rFonts w:eastAsiaTheme="minorEastAsia"/>
                  <w:noProof/>
                  <w:lang w:val="en-US"/>
                </w:rPr>
              </w:pPr>
              <w:hyperlink w:anchor="_Toc104552229" w:history="1">
                <w:r w:rsidR="003765F8" w:rsidRPr="00A21D1F">
                  <w:rPr>
                    <w:rStyle w:val="Hyperlink"/>
                    <w:noProof/>
                  </w:rPr>
                  <w:t>Introduction</w:t>
                </w:r>
                <w:r w:rsidR="003765F8">
                  <w:rPr>
                    <w:noProof/>
                    <w:webHidden/>
                  </w:rPr>
                  <w:tab/>
                </w:r>
                <w:r w:rsidR="003765F8">
                  <w:rPr>
                    <w:noProof/>
                    <w:webHidden/>
                  </w:rPr>
                  <w:fldChar w:fldCharType="begin"/>
                </w:r>
                <w:r w:rsidR="003765F8">
                  <w:rPr>
                    <w:noProof/>
                    <w:webHidden/>
                  </w:rPr>
                  <w:instrText xml:space="preserve"> PAGEREF _Toc104552229 \h </w:instrText>
                </w:r>
                <w:r w:rsidR="003765F8">
                  <w:rPr>
                    <w:noProof/>
                    <w:webHidden/>
                  </w:rPr>
                </w:r>
                <w:r w:rsidR="003765F8">
                  <w:rPr>
                    <w:noProof/>
                    <w:webHidden/>
                  </w:rPr>
                  <w:fldChar w:fldCharType="separate"/>
                </w:r>
                <w:r w:rsidR="00973BF7">
                  <w:rPr>
                    <w:noProof/>
                    <w:webHidden/>
                  </w:rPr>
                  <w:t>3</w:t>
                </w:r>
                <w:r w:rsidR="003765F8">
                  <w:rPr>
                    <w:noProof/>
                    <w:webHidden/>
                  </w:rPr>
                  <w:fldChar w:fldCharType="end"/>
                </w:r>
              </w:hyperlink>
            </w:p>
            <w:p w14:paraId="4B6EFDBB" w14:textId="7ECE3D6A" w:rsidR="003765F8" w:rsidRDefault="001324B1">
              <w:pPr>
                <w:pStyle w:val="TOC1"/>
                <w:tabs>
                  <w:tab w:val="right" w:leader="dot" w:pos="9016"/>
                </w:tabs>
                <w:rPr>
                  <w:rFonts w:eastAsiaTheme="minorEastAsia"/>
                  <w:noProof/>
                  <w:lang w:val="en-US"/>
                </w:rPr>
              </w:pPr>
              <w:hyperlink w:anchor="_Toc104552230" w:history="1">
                <w:r w:rsidR="003765F8" w:rsidRPr="00A21D1F">
                  <w:rPr>
                    <w:rStyle w:val="Hyperlink"/>
                    <w:noProof/>
                  </w:rPr>
                  <w:t>Financial Analysis</w:t>
                </w:r>
                <w:r w:rsidR="003765F8">
                  <w:rPr>
                    <w:noProof/>
                    <w:webHidden/>
                  </w:rPr>
                  <w:tab/>
                </w:r>
                <w:r w:rsidR="003765F8">
                  <w:rPr>
                    <w:noProof/>
                    <w:webHidden/>
                  </w:rPr>
                  <w:fldChar w:fldCharType="begin"/>
                </w:r>
                <w:r w:rsidR="003765F8">
                  <w:rPr>
                    <w:noProof/>
                    <w:webHidden/>
                  </w:rPr>
                  <w:instrText xml:space="preserve"> PAGEREF _Toc104552230 \h </w:instrText>
                </w:r>
                <w:r w:rsidR="003765F8">
                  <w:rPr>
                    <w:noProof/>
                    <w:webHidden/>
                  </w:rPr>
                </w:r>
                <w:r w:rsidR="003765F8">
                  <w:rPr>
                    <w:noProof/>
                    <w:webHidden/>
                  </w:rPr>
                  <w:fldChar w:fldCharType="separate"/>
                </w:r>
                <w:r w:rsidR="00973BF7">
                  <w:rPr>
                    <w:noProof/>
                    <w:webHidden/>
                  </w:rPr>
                  <w:t>4</w:t>
                </w:r>
                <w:r w:rsidR="003765F8">
                  <w:rPr>
                    <w:noProof/>
                    <w:webHidden/>
                  </w:rPr>
                  <w:fldChar w:fldCharType="end"/>
                </w:r>
              </w:hyperlink>
            </w:p>
            <w:p w14:paraId="7C08D522" w14:textId="12CA66A5" w:rsidR="003765F8" w:rsidRDefault="001324B1">
              <w:pPr>
                <w:pStyle w:val="TOC1"/>
                <w:tabs>
                  <w:tab w:val="right" w:leader="dot" w:pos="9016"/>
                </w:tabs>
                <w:rPr>
                  <w:rFonts w:eastAsiaTheme="minorEastAsia"/>
                  <w:noProof/>
                  <w:lang w:val="en-US"/>
                </w:rPr>
              </w:pPr>
              <w:hyperlink w:anchor="_Toc104552231" w:history="1">
                <w:r w:rsidR="003765F8" w:rsidRPr="00A21D1F">
                  <w:rPr>
                    <w:rStyle w:val="Hyperlink"/>
                    <w:noProof/>
                  </w:rPr>
                  <w:t>Financial Analysis Trends</w:t>
                </w:r>
                <w:r w:rsidR="003765F8">
                  <w:rPr>
                    <w:noProof/>
                    <w:webHidden/>
                  </w:rPr>
                  <w:tab/>
                </w:r>
                <w:r w:rsidR="003765F8">
                  <w:rPr>
                    <w:noProof/>
                    <w:webHidden/>
                  </w:rPr>
                  <w:fldChar w:fldCharType="begin"/>
                </w:r>
                <w:r w:rsidR="003765F8">
                  <w:rPr>
                    <w:noProof/>
                    <w:webHidden/>
                  </w:rPr>
                  <w:instrText xml:space="preserve"> PAGEREF _Toc104552231 \h </w:instrText>
                </w:r>
                <w:r w:rsidR="003765F8">
                  <w:rPr>
                    <w:noProof/>
                    <w:webHidden/>
                  </w:rPr>
                </w:r>
                <w:r w:rsidR="003765F8">
                  <w:rPr>
                    <w:noProof/>
                    <w:webHidden/>
                  </w:rPr>
                  <w:fldChar w:fldCharType="separate"/>
                </w:r>
                <w:r w:rsidR="00973BF7">
                  <w:rPr>
                    <w:noProof/>
                    <w:webHidden/>
                  </w:rPr>
                  <w:t>4</w:t>
                </w:r>
                <w:r w:rsidR="003765F8">
                  <w:rPr>
                    <w:noProof/>
                    <w:webHidden/>
                  </w:rPr>
                  <w:fldChar w:fldCharType="end"/>
                </w:r>
              </w:hyperlink>
            </w:p>
            <w:p w14:paraId="79E57042" w14:textId="4FB0D74F" w:rsidR="003765F8" w:rsidRDefault="001324B1">
              <w:pPr>
                <w:pStyle w:val="TOC1"/>
                <w:tabs>
                  <w:tab w:val="right" w:leader="dot" w:pos="9016"/>
                </w:tabs>
                <w:rPr>
                  <w:rFonts w:eastAsiaTheme="minorEastAsia"/>
                  <w:noProof/>
                  <w:lang w:val="en-US"/>
                </w:rPr>
              </w:pPr>
              <w:hyperlink w:anchor="_Toc104552232" w:history="1">
                <w:r w:rsidR="003765F8" w:rsidRPr="00A21D1F">
                  <w:rPr>
                    <w:rStyle w:val="Hyperlink"/>
                    <w:noProof/>
                  </w:rPr>
                  <w:t>Conclusion</w:t>
                </w:r>
                <w:r w:rsidR="003765F8">
                  <w:rPr>
                    <w:noProof/>
                    <w:webHidden/>
                  </w:rPr>
                  <w:tab/>
                </w:r>
                <w:r w:rsidR="003765F8">
                  <w:rPr>
                    <w:noProof/>
                    <w:webHidden/>
                  </w:rPr>
                  <w:fldChar w:fldCharType="begin"/>
                </w:r>
                <w:r w:rsidR="003765F8">
                  <w:rPr>
                    <w:noProof/>
                    <w:webHidden/>
                  </w:rPr>
                  <w:instrText xml:space="preserve"> PAGEREF _Toc104552232 \h </w:instrText>
                </w:r>
                <w:r w:rsidR="003765F8">
                  <w:rPr>
                    <w:noProof/>
                    <w:webHidden/>
                  </w:rPr>
                </w:r>
                <w:r w:rsidR="003765F8">
                  <w:rPr>
                    <w:noProof/>
                    <w:webHidden/>
                  </w:rPr>
                  <w:fldChar w:fldCharType="separate"/>
                </w:r>
                <w:r w:rsidR="00973BF7">
                  <w:rPr>
                    <w:noProof/>
                    <w:webHidden/>
                  </w:rPr>
                  <w:t>9</w:t>
                </w:r>
                <w:r w:rsidR="003765F8">
                  <w:rPr>
                    <w:noProof/>
                    <w:webHidden/>
                  </w:rPr>
                  <w:fldChar w:fldCharType="end"/>
                </w:r>
              </w:hyperlink>
            </w:p>
            <w:p w14:paraId="72109E5E" w14:textId="25E74927" w:rsidR="003765F8" w:rsidRDefault="001324B1">
              <w:pPr>
                <w:pStyle w:val="TOC1"/>
                <w:tabs>
                  <w:tab w:val="right" w:leader="dot" w:pos="9016"/>
                </w:tabs>
                <w:rPr>
                  <w:rFonts w:eastAsiaTheme="minorEastAsia"/>
                  <w:noProof/>
                  <w:lang w:val="en-US"/>
                </w:rPr>
              </w:pPr>
              <w:hyperlink w:anchor="_Toc104552233" w:history="1">
                <w:r w:rsidR="003765F8" w:rsidRPr="00A21D1F">
                  <w:rPr>
                    <w:rStyle w:val="Hyperlink"/>
                    <w:noProof/>
                  </w:rPr>
                  <w:t>Bibliography</w:t>
                </w:r>
                <w:r w:rsidR="003765F8">
                  <w:rPr>
                    <w:noProof/>
                    <w:webHidden/>
                  </w:rPr>
                  <w:tab/>
                </w:r>
                <w:r w:rsidR="003765F8">
                  <w:rPr>
                    <w:noProof/>
                    <w:webHidden/>
                  </w:rPr>
                  <w:fldChar w:fldCharType="begin"/>
                </w:r>
                <w:r w:rsidR="003765F8">
                  <w:rPr>
                    <w:noProof/>
                    <w:webHidden/>
                  </w:rPr>
                  <w:instrText xml:space="preserve"> PAGEREF _Toc104552233 \h </w:instrText>
                </w:r>
                <w:r w:rsidR="003765F8">
                  <w:rPr>
                    <w:noProof/>
                    <w:webHidden/>
                  </w:rPr>
                </w:r>
                <w:r w:rsidR="003765F8">
                  <w:rPr>
                    <w:noProof/>
                    <w:webHidden/>
                  </w:rPr>
                  <w:fldChar w:fldCharType="separate"/>
                </w:r>
                <w:r w:rsidR="00973BF7">
                  <w:rPr>
                    <w:noProof/>
                    <w:webHidden/>
                  </w:rPr>
                  <w:t>10</w:t>
                </w:r>
                <w:r w:rsidR="003765F8">
                  <w:rPr>
                    <w:noProof/>
                    <w:webHidden/>
                  </w:rPr>
                  <w:fldChar w:fldCharType="end"/>
                </w:r>
              </w:hyperlink>
            </w:p>
            <w:p w14:paraId="3BC68F25" w14:textId="57995599" w:rsidR="007D1947" w:rsidRDefault="007D1947">
              <w:r>
                <w:rPr>
                  <w:b/>
                  <w:bCs/>
                  <w:noProof/>
                </w:rPr>
                <w:fldChar w:fldCharType="end"/>
              </w:r>
            </w:p>
          </w:sdtContent>
        </w:sdt>
        <w:p w14:paraId="4B6E43C0" w14:textId="77777777" w:rsidR="007D1947" w:rsidRDefault="007D1947"/>
        <w:p w14:paraId="6029F743" w14:textId="77777777" w:rsidR="007D1947" w:rsidRDefault="007D1947"/>
        <w:p w14:paraId="44FFAF5D" w14:textId="77777777" w:rsidR="007D1947" w:rsidRDefault="007D1947"/>
        <w:p w14:paraId="1FF75D73" w14:textId="77777777" w:rsidR="007D1947" w:rsidRDefault="007D1947"/>
        <w:p w14:paraId="6FC8D65F" w14:textId="77777777" w:rsidR="007D1947" w:rsidRDefault="007D1947"/>
        <w:p w14:paraId="06D4F34D" w14:textId="77777777" w:rsidR="007D1947" w:rsidRDefault="007D1947"/>
        <w:p w14:paraId="32867CF5" w14:textId="77777777" w:rsidR="007D1947" w:rsidRDefault="007D1947"/>
        <w:p w14:paraId="6C748E61" w14:textId="77777777" w:rsidR="007D1947" w:rsidRDefault="007D1947"/>
        <w:p w14:paraId="4E87151A" w14:textId="77777777" w:rsidR="007D1947" w:rsidRDefault="007D1947"/>
        <w:p w14:paraId="2F4155A5" w14:textId="77777777" w:rsidR="007D1947" w:rsidRDefault="007D1947"/>
        <w:p w14:paraId="787F748D" w14:textId="77777777" w:rsidR="007D1947" w:rsidRDefault="007D1947"/>
        <w:p w14:paraId="4CA74EB7" w14:textId="77777777" w:rsidR="007D1947" w:rsidRDefault="007D1947"/>
        <w:p w14:paraId="4983A84F" w14:textId="77777777" w:rsidR="007D1947" w:rsidRDefault="007D1947"/>
        <w:p w14:paraId="5ADCB2C4" w14:textId="77777777" w:rsidR="007D1947" w:rsidRDefault="007D1947"/>
        <w:p w14:paraId="0E392455" w14:textId="763884FB" w:rsidR="0067588E" w:rsidRDefault="0067588E" w:rsidP="007D1947">
          <w:pPr>
            <w:pStyle w:val="Heading1"/>
            <w:rPr>
              <w:rFonts w:asciiTheme="minorHAnsi" w:eastAsiaTheme="minorHAnsi" w:hAnsiTheme="minorHAnsi" w:cstheme="minorBidi"/>
              <w:color w:val="auto"/>
              <w:sz w:val="22"/>
              <w:szCs w:val="22"/>
            </w:rPr>
          </w:pPr>
          <w:bookmarkStart w:id="1" w:name="_Toc104552229"/>
        </w:p>
        <w:p w14:paraId="71527CDA" w14:textId="77777777" w:rsidR="00DE04B1" w:rsidRPr="00DE04B1" w:rsidRDefault="00DE04B1" w:rsidP="00DE04B1"/>
        <w:p w14:paraId="33FC2C21" w14:textId="121D6F07" w:rsidR="007D1947" w:rsidRDefault="007D1947" w:rsidP="007D1947">
          <w:pPr>
            <w:pStyle w:val="Heading1"/>
          </w:pPr>
          <w:r>
            <w:lastRenderedPageBreak/>
            <w:t>Introduction</w:t>
          </w:r>
          <w:bookmarkEnd w:id="1"/>
        </w:p>
        <w:p w14:paraId="78EDB295" w14:textId="77777777" w:rsidR="00BA7FBD" w:rsidRDefault="00973BF7" w:rsidP="00D57EDA">
          <w:pPr>
            <w:jc w:val="both"/>
            <w:rPr>
              <w:rFonts w:ascii="Times New Roman" w:hAnsi="Times New Roman" w:cs="Times New Roman"/>
              <w:sz w:val="24"/>
              <w:szCs w:val="24"/>
            </w:rPr>
          </w:pPr>
          <w:r w:rsidRPr="00D57EDA">
            <w:rPr>
              <w:rFonts w:ascii="Times New Roman" w:hAnsi="Times New Roman" w:cs="Times New Roman"/>
              <w:sz w:val="24"/>
              <w:szCs w:val="24"/>
            </w:rPr>
            <w:t xml:space="preserve">Financial ratios could be seen of as essential tools for organizations and investors to utilize in the process of assessing and comparing relationships between various pieces of financial data across time. The financial data included in the company's primary financial statements, such as the Income Statement and Balance Sheet, is used to calculate a financial ratio. It is critical for a firm to make the best option about whether to employ debt or equity as a source of finance. Finally, but certainly not least, a company's capacity to handle its short-term ordeals, such as managing current assets and obligations throughout a single period of financial activity, is examined. </w:t>
          </w:r>
        </w:p>
        <w:p w14:paraId="0E289598" w14:textId="0FCE505D" w:rsidR="0067588E" w:rsidRPr="00D57EDA" w:rsidRDefault="00973BF7" w:rsidP="00D57EDA">
          <w:pPr>
            <w:jc w:val="both"/>
            <w:rPr>
              <w:rFonts w:ascii="Times New Roman" w:hAnsi="Times New Roman" w:cs="Times New Roman"/>
              <w:sz w:val="24"/>
              <w:szCs w:val="24"/>
            </w:rPr>
          </w:pPr>
          <w:r w:rsidRPr="00D57EDA">
            <w:rPr>
              <w:rFonts w:ascii="Times New Roman" w:hAnsi="Times New Roman" w:cs="Times New Roman"/>
              <w:sz w:val="24"/>
              <w:szCs w:val="24"/>
            </w:rPr>
            <w:t>Financial ratios are the most often used tools for assessing a company's financial health. Simply specify a set of accounting data as the numerator and divide it with another set of financial data as the denominator, apparently because they are intuitively simple to calculate. Second, because they connect directly to specific accounting statistics, they are generally simple to comprehend.</w:t>
          </w:r>
          <w:r w:rsidR="00D57EDA" w:rsidRPr="00D57EDA">
            <w:rPr>
              <w:rFonts w:ascii="Times New Roman" w:hAnsi="Times New Roman" w:cs="Times New Roman"/>
              <w:sz w:val="24"/>
              <w:szCs w:val="24"/>
            </w:rPr>
            <w:t xml:space="preserve"> This study explores that in 2019 and 2020 financial situation and overall business performance of Hilton Worldwide Holdings Inc. (HLT). Financial statement analysis which horizontal ratios could help Hilton Worldwide Holdings Inc. (HLT) to analyse and identify company’s financial strengths, limitations, and synergies on overall business situation.</w:t>
          </w:r>
        </w:p>
        <w:p w14:paraId="660FF286" w14:textId="77777777" w:rsidR="004A11F6" w:rsidRDefault="004A11F6" w:rsidP="004A11F6">
          <w:pPr>
            <w:pStyle w:val="Heading1"/>
          </w:pPr>
          <w:bookmarkStart w:id="2" w:name="_Toc104552230"/>
          <w:r>
            <w:t>Financial Analysis</w:t>
          </w:r>
          <w:bookmarkEnd w:id="2"/>
        </w:p>
        <w:p w14:paraId="0CD7F226" w14:textId="008FE8B2" w:rsidR="004A11F6" w:rsidRDefault="004A11F6" w:rsidP="007D1947"/>
        <w:p w14:paraId="53714BC2" w14:textId="77777777" w:rsidR="004A11F6" w:rsidRDefault="004A11F6" w:rsidP="007D1947"/>
        <w:tbl>
          <w:tblPr>
            <w:tblW w:w="9820" w:type="dxa"/>
            <w:tblLook w:val="04A0" w:firstRow="1" w:lastRow="0" w:firstColumn="1" w:lastColumn="0" w:noHBand="0" w:noVBand="1"/>
          </w:tblPr>
          <w:tblGrid>
            <w:gridCol w:w="3200"/>
            <w:gridCol w:w="1956"/>
            <w:gridCol w:w="1956"/>
            <w:gridCol w:w="1248"/>
            <w:gridCol w:w="1460"/>
          </w:tblGrid>
          <w:tr w:rsidR="009C1CE2" w:rsidRPr="009C1CE2" w14:paraId="6C347622" w14:textId="77777777" w:rsidTr="009C1CE2">
            <w:trPr>
              <w:trHeight w:val="288"/>
            </w:trPr>
            <w:tc>
              <w:tcPr>
                <w:tcW w:w="3200" w:type="dxa"/>
                <w:tcBorders>
                  <w:top w:val="nil"/>
                  <w:left w:val="nil"/>
                  <w:bottom w:val="nil"/>
                  <w:right w:val="nil"/>
                </w:tcBorders>
                <w:shd w:val="clear" w:color="auto" w:fill="auto"/>
                <w:noWrap/>
                <w:vAlign w:val="bottom"/>
                <w:hideMark/>
              </w:tcPr>
              <w:p w14:paraId="3C7434E8" w14:textId="77777777" w:rsidR="009C1CE2" w:rsidRPr="004779DC" w:rsidRDefault="009C1CE2" w:rsidP="009C1CE2">
                <w:pPr>
                  <w:spacing w:after="0" w:line="240" w:lineRule="auto"/>
                  <w:rPr>
                    <w:rFonts w:ascii="Times New Roman" w:eastAsia="Times New Roman" w:hAnsi="Times New Roman" w:cs="Times New Roman"/>
                    <w:b/>
                    <w:bCs/>
                    <w:color w:val="000000"/>
                    <w:lang w:eastAsia="en-GB"/>
                  </w:rPr>
                </w:pPr>
                <w:r w:rsidRPr="004779DC">
                  <w:rPr>
                    <w:rFonts w:ascii="Times New Roman" w:eastAsia="Times New Roman" w:hAnsi="Times New Roman" w:cs="Times New Roman"/>
                    <w:b/>
                    <w:bCs/>
                    <w:color w:val="000000"/>
                    <w:lang w:eastAsia="en-GB"/>
                  </w:rPr>
                  <w:t>Income Statement</w:t>
                </w:r>
              </w:p>
            </w:tc>
            <w:tc>
              <w:tcPr>
                <w:tcW w:w="5160" w:type="dxa"/>
                <w:gridSpan w:val="3"/>
                <w:tcBorders>
                  <w:top w:val="nil"/>
                  <w:left w:val="nil"/>
                  <w:bottom w:val="nil"/>
                  <w:right w:val="nil"/>
                </w:tcBorders>
                <w:shd w:val="clear" w:color="auto" w:fill="auto"/>
                <w:noWrap/>
                <w:vAlign w:val="bottom"/>
                <w:hideMark/>
              </w:tcPr>
              <w:p w14:paraId="511E838B" w14:textId="77777777" w:rsidR="009C1CE2" w:rsidRPr="004779DC" w:rsidRDefault="009C1CE2" w:rsidP="009C1CE2">
                <w:pPr>
                  <w:spacing w:after="0" w:line="240" w:lineRule="auto"/>
                  <w:rPr>
                    <w:rFonts w:ascii="Times New Roman" w:eastAsia="Times New Roman" w:hAnsi="Times New Roman" w:cs="Times New Roman"/>
                    <w:b/>
                    <w:bCs/>
                    <w:color w:val="232A31"/>
                    <w:lang w:eastAsia="en-GB"/>
                  </w:rPr>
                </w:pPr>
                <w:r w:rsidRPr="004779DC">
                  <w:rPr>
                    <w:rFonts w:ascii="Times New Roman" w:eastAsia="Times New Roman" w:hAnsi="Times New Roman" w:cs="Times New Roman"/>
                    <w:b/>
                    <w:bCs/>
                    <w:color w:val="232A31"/>
                    <w:lang w:eastAsia="en-GB"/>
                  </w:rPr>
                  <w:t>Hilton Worldwide Holdings Inc. (HLT)</w:t>
                </w:r>
              </w:p>
            </w:tc>
            <w:tc>
              <w:tcPr>
                <w:tcW w:w="1460" w:type="dxa"/>
                <w:tcBorders>
                  <w:top w:val="nil"/>
                  <w:left w:val="nil"/>
                  <w:bottom w:val="nil"/>
                  <w:right w:val="nil"/>
                </w:tcBorders>
                <w:shd w:val="clear" w:color="auto" w:fill="auto"/>
                <w:noWrap/>
                <w:vAlign w:val="bottom"/>
                <w:hideMark/>
              </w:tcPr>
              <w:p w14:paraId="1AA94E7B" w14:textId="77777777" w:rsidR="009C1CE2" w:rsidRPr="004779DC" w:rsidRDefault="009C1CE2" w:rsidP="009C1CE2">
                <w:pPr>
                  <w:spacing w:after="0" w:line="240" w:lineRule="auto"/>
                  <w:rPr>
                    <w:rFonts w:ascii="Times New Roman" w:eastAsia="Times New Roman" w:hAnsi="Times New Roman" w:cs="Times New Roman"/>
                    <w:b/>
                    <w:bCs/>
                    <w:color w:val="232A31"/>
                    <w:lang w:eastAsia="en-GB"/>
                  </w:rPr>
                </w:pPr>
              </w:p>
            </w:tc>
          </w:tr>
          <w:tr w:rsidR="009C1CE2" w:rsidRPr="009C1CE2" w14:paraId="0351A774" w14:textId="77777777" w:rsidTr="009C1CE2">
            <w:trPr>
              <w:trHeight w:val="288"/>
            </w:trPr>
            <w:tc>
              <w:tcPr>
                <w:tcW w:w="3200" w:type="dxa"/>
                <w:tcBorders>
                  <w:top w:val="nil"/>
                  <w:left w:val="nil"/>
                  <w:bottom w:val="nil"/>
                  <w:right w:val="nil"/>
                </w:tcBorders>
                <w:shd w:val="clear" w:color="auto" w:fill="auto"/>
                <w:noWrap/>
                <w:vAlign w:val="bottom"/>
                <w:hideMark/>
              </w:tcPr>
              <w:p w14:paraId="33A4F20F"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59E6FF17"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2020</w:t>
                </w:r>
              </w:p>
            </w:tc>
            <w:tc>
              <w:tcPr>
                <w:tcW w:w="1956" w:type="dxa"/>
                <w:tcBorders>
                  <w:top w:val="nil"/>
                  <w:left w:val="nil"/>
                  <w:bottom w:val="nil"/>
                  <w:right w:val="nil"/>
                </w:tcBorders>
                <w:shd w:val="clear" w:color="auto" w:fill="auto"/>
                <w:noWrap/>
                <w:vAlign w:val="bottom"/>
                <w:hideMark/>
              </w:tcPr>
              <w:p w14:paraId="0DD506CD"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2019</w:t>
                </w:r>
              </w:p>
            </w:tc>
            <w:tc>
              <w:tcPr>
                <w:tcW w:w="1248" w:type="dxa"/>
                <w:tcBorders>
                  <w:top w:val="nil"/>
                  <w:left w:val="nil"/>
                  <w:bottom w:val="nil"/>
                  <w:right w:val="nil"/>
                </w:tcBorders>
                <w:shd w:val="clear" w:color="auto" w:fill="auto"/>
                <w:noWrap/>
                <w:vAlign w:val="bottom"/>
                <w:hideMark/>
              </w:tcPr>
              <w:p w14:paraId="40729A19" w14:textId="77777777" w:rsidR="009C1CE2" w:rsidRPr="004779DC" w:rsidRDefault="009C1CE2" w:rsidP="009C1CE2">
                <w:pPr>
                  <w:spacing w:after="0" w:line="240" w:lineRule="auto"/>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Change</w:t>
                </w:r>
              </w:p>
            </w:tc>
            <w:tc>
              <w:tcPr>
                <w:tcW w:w="1460" w:type="dxa"/>
                <w:tcBorders>
                  <w:top w:val="nil"/>
                  <w:left w:val="nil"/>
                  <w:bottom w:val="nil"/>
                  <w:right w:val="nil"/>
                </w:tcBorders>
                <w:shd w:val="clear" w:color="auto" w:fill="auto"/>
                <w:noWrap/>
                <w:vAlign w:val="bottom"/>
                <w:hideMark/>
              </w:tcPr>
              <w:p w14:paraId="078E90B2" w14:textId="77777777" w:rsidR="009C1CE2" w:rsidRPr="004779DC" w:rsidRDefault="009C1CE2" w:rsidP="009C1CE2">
                <w:pPr>
                  <w:spacing w:after="0" w:line="240" w:lineRule="auto"/>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 Change</w:t>
                </w:r>
              </w:p>
            </w:tc>
          </w:tr>
          <w:tr w:rsidR="009C1CE2" w:rsidRPr="009C1CE2" w14:paraId="3FBB9818" w14:textId="77777777" w:rsidTr="009C1CE2">
            <w:trPr>
              <w:trHeight w:val="288"/>
            </w:trPr>
            <w:tc>
              <w:tcPr>
                <w:tcW w:w="3200" w:type="dxa"/>
                <w:tcBorders>
                  <w:top w:val="nil"/>
                  <w:left w:val="nil"/>
                  <w:bottom w:val="nil"/>
                  <w:right w:val="nil"/>
                </w:tcBorders>
                <w:shd w:val="clear" w:color="auto" w:fill="auto"/>
                <w:noWrap/>
                <w:vAlign w:val="bottom"/>
                <w:hideMark/>
              </w:tcPr>
              <w:p w14:paraId="6E91B5C0" w14:textId="77777777" w:rsidR="009C1CE2" w:rsidRPr="004779DC" w:rsidRDefault="009C1CE2" w:rsidP="009C1CE2">
                <w:pPr>
                  <w:spacing w:after="0" w:line="240" w:lineRule="auto"/>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Fiscal Year Ends</w:t>
                </w:r>
              </w:p>
            </w:tc>
            <w:tc>
              <w:tcPr>
                <w:tcW w:w="1956" w:type="dxa"/>
                <w:tcBorders>
                  <w:top w:val="nil"/>
                  <w:left w:val="nil"/>
                  <w:bottom w:val="nil"/>
                  <w:right w:val="nil"/>
                </w:tcBorders>
                <w:shd w:val="clear" w:color="auto" w:fill="auto"/>
                <w:noWrap/>
                <w:vAlign w:val="bottom"/>
                <w:hideMark/>
              </w:tcPr>
              <w:p w14:paraId="66F671D3"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31/12/2021</w:t>
                </w:r>
              </w:p>
            </w:tc>
            <w:tc>
              <w:tcPr>
                <w:tcW w:w="1956" w:type="dxa"/>
                <w:tcBorders>
                  <w:top w:val="nil"/>
                  <w:left w:val="nil"/>
                  <w:bottom w:val="nil"/>
                  <w:right w:val="nil"/>
                </w:tcBorders>
                <w:shd w:val="clear" w:color="auto" w:fill="auto"/>
                <w:noWrap/>
                <w:vAlign w:val="bottom"/>
                <w:hideMark/>
              </w:tcPr>
              <w:p w14:paraId="17798BCA"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31/12/2020</w:t>
                </w:r>
              </w:p>
            </w:tc>
            <w:tc>
              <w:tcPr>
                <w:tcW w:w="1248" w:type="dxa"/>
                <w:tcBorders>
                  <w:top w:val="nil"/>
                  <w:left w:val="nil"/>
                  <w:bottom w:val="nil"/>
                  <w:right w:val="nil"/>
                </w:tcBorders>
                <w:shd w:val="clear" w:color="auto" w:fill="auto"/>
                <w:noWrap/>
                <w:vAlign w:val="bottom"/>
                <w:hideMark/>
              </w:tcPr>
              <w:p w14:paraId="2CF47995" w14:textId="795CBEDE" w:rsidR="009C1CE2" w:rsidRPr="004779DC" w:rsidRDefault="009C1CE2" w:rsidP="009C1CE2">
                <w:pPr>
                  <w:spacing w:after="0" w:line="240" w:lineRule="auto"/>
                  <w:jc w:val="right"/>
                  <w:rPr>
                    <w:rFonts w:ascii="Times New Roman" w:eastAsia="Times New Roman" w:hAnsi="Times New Roman" w:cs="Times New Roman"/>
                    <w:color w:val="000000"/>
                    <w:lang w:eastAsia="en-GB"/>
                  </w:rPr>
                </w:pPr>
              </w:p>
            </w:tc>
            <w:tc>
              <w:tcPr>
                <w:tcW w:w="1460" w:type="dxa"/>
                <w:tcBorders>
                  <w:top w:val="nil"/>
                  <w:left w:val="nil"/>
                  <w:bottom w:val="nil"/>
                  <w:right w:val="nil"/>
                </w:tcBorders>
                <w:shd w:val="clear" w:color="auto" w:fill="auto"/>
                <w:noWrap/>
                <w:vAlign w:val="bottom"/>
                <w:hideMark/>
              </w:tcPr>
              <w:p w14:paraId="39E9219F" w14:textId="6A170A64" w:rsidR="009C1CE2" w:rsidRPr="004779DC" w:rsidRDefault="009C1CE2" w:rsidP="009C1CE2">
                <w:pPr>
                  <w:spacing w:after="0" w:line="240" w:lineRule="auto"/>
                  <w:rPr>
                    <w:rFonts w:ascii="Times New Roman" w:eastAsia="Times New Roman" w:hAnsi="Times New Roman" w:cs="Times New Roman"/>
                    <w:sz w:val="20"/>
                    <w:szCs w:val="20"/>
                    <w:lang w:eastAsia="en-GB"/>
                  </w:rPr>
                </w:pPr>
              </w:p>
            </w:tc>
          </w:tr>
          <w:tr w:rsidR="009C1CE2" w:rsidRPr="009C1CE2" w14:paraId="78C06B21" w14:textId="77777777" w:rsidTr="002E0194">
            <w:trPr>
              <w:trHeight w:val="288"/>
            </w:trPr>
            <w:tc>
              <w:tcPr>
                <w:tcW w:w="3200" w:type="dxa"/>
                <w:tcBorders>
                  <w:top w:val="nil"/>
                  <w:left w:val="nil"/>
                  <w:bottom w:val="nil"/>
                  <w:right w:val="nil"/>
                </w:tcBorders>
                <w:shd w:val="clear" w:color="auto" w:fill="auto"/>
                <w:noWrap/>
                <w:vAlign w:val="bottom"/>
                <w:hideMark/>
              </w:tcPr>
              <w:p w14:paraId="1AC6A790" w14:textId="77777777" w:rsidR="009C1CE2" w:rsidRPr="004779DC" w:rsidRDefault="009C1CE2" w:rsidP="009C1CE2">
                <w:pPr>
                  <w:spacing w:after="0" w:line="240" w:lineRule="auto"/>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Sales</w:t>
                </w:r>
              </w:p>
            </w:tc>
            <w:tc>
              <w:tcPr>
                <w:tcW w:w="1956" w:type="dxa"/>
                <w:tcBorders>
                  <w:top w:val="nil"/>
                  <w:left w:val="nil"/>
                  <w:bottom w:val="nil"/>
                  <w:right w:val="nil"/>
                </w:tcBorders>
                <w:shd w:val="clear" w:color="auto" w:fill="auto"/>
                <w:noWrap/>
                <w:vAlign w:val="bottom"/>
                <w:hideMark/>
              </w:tcPr>
              <w:p w14:paraId="521706CB"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4,307,000</w:t>
                </w:r>
              </w:p>
            </w:tc>
            <w:tc>
              <w:tcPr>
                <w:tcW w:w="1956" w:type="dxa"/>
                <w:tcBorders>
                  <w:top w:val="nil"/>
                  <w:left w:val="nil"/>
                  <w:bottom w:val="nil"/>
                  <w:right w:val="nil"/>
                </w:tcBorders>
                <w:shd w:val="clear" w:color="auto" w:fill="auto"/>
                <w:noWrap/>
                <w:vAlign w:val="bottom"/>
                <w:hideMark/>
              </w:tcPr>
              <w:p w14:paraId="586C7E86"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9,452,000</w:t>
                </w:r>
              </w:p>
            </w:tc>
            <w:tc>
              <w:tcPr>
                <w:tcW w:w="1248" w:type="dxa"/>
                <w:tcBorders>
                  <w:top w:val="nil"/>
                  <w:left w:val="nil"/>
                  <w:bottom w:val="nil"/>
                  <w:right w:val="nil"/>
                </w:tcBorders>
                <w:shd w:val="clear" w:color="auto" w:fill="auto"/>
                <w:noWrap/>
                <w:vAlign w:val="bottom"/>
                <w:hideMark/>
              </w:tcPr>
              <w:p w14:paraId="553EC048" w14:textId="2B6DA143" w:rsidR="009C1CE2" w:rsidRPr="004779DC" w:rsidRDefault="00AF494D"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-5145000</w:t>
                </w:r>
              </w:p>
            </w:tc>
            <w:tc>
              <w:tcPr>
                <w:tcW w:w="1460" w:type="dxa"/>
                <w:tcBorders>
                  <w:top w:val="nil"/>
                  <w:left w:val="nil"/>
                  <w:bottom w:val="nil"/>
                  <w:right w:val="nil"/>
                </w:tcBorders>
                <w:shd w:val="clear" w:color="auto" w:fill="auto"/>
                <w:noWrap/>
                <w:vAlign w:val="bottom"/>
              </w:tcPr>
              <w:p w14:paraId="63636FAF" w14:textId="2A80B36E" w:rsidR="009C1CE2" w:rsidRPr="004779DC" w:rsidRDefault="002E0194" w:rsidP="009C1CE2">
                <w:pPr>
                  <w:spacing w:after="0" w:line="240" w:lineRule="auto"/>
                  <w:rPr>
                    <w:rFonts w:ascii="Times New Roman" w:eastAsia="Times New Roman" w:hAnsi="Times New Roman" w:cs="Times New Roman"/>
                    <w:sz w:val="20"/>
                    <w:szCs w:val="20"/>
                    <w:lang w:eastAsia="en-GB"/>
                  </w:rPr>
                </w:pPr>
                <w:r w:rsidRPr="004779DC">
                  <w:rPr>
                    <w:rFonts w:ascii="Times New Roman" w:eastAsia="Times New Roman" w:hAnsi="Times New Roman" w:cs="Times New Roman"/>
                    <w:sz w:val="20"/>
                    <w:szCs w:val="20"/>
                    <w:lang w:eastAsia="en-GB"/>
                  </w:rPr>
                  <w:t>-0.54</w:t>
                </w:r>
              </w:p>
            </w:tc>
          </w:tr>
          <w:tr w:rsidR="009C1CE2" w:rsidRPr="009C1CE2" w14:paraId="47A149B2" w14:textId="77777777" w:rsidTr="002E0194">
            <w:trPr>
              <w:trHeight w:val="288"/>
            </w:trPr>
            <w:tc>
              <w:tcPr>
                <w:tcW w:w="3200" w:type="dxa"/>
                <w:tcBorders>
                  <w:top w:val="nil"/>
                  <w:left w:val="nil"/>
                  <w:bottom w:val="nil"/>
                  <w:right w:val="nil"/>
                </w:tcBorders>
                <w:shd w:val="clear" w:color="auto" w:fill="auto"/>
                <w:noWrap/>
                <w:vAlign w:val="bottom"/>
                <w:hideMark/>
              </w:tcPr>
              <w:p w14:paraId="08DADA09" w14:textId="77777777" w:rsidR="009C1CE2" w:rsidRPr="004779DC" w:rsidRDefault="009C1CE2" w:rsidP="009C1CE2">
                <w:pPr>
                  <w:spacing w:after="0" w:line="240" w:lineRule="auto"/>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Cost of goods sold</w:t>
                </w:r>
              </w:p>
            </w:tc>
            <w:tc>
              <w:tcPr>
                <w:tcW w:w="1956" w:type="dxa"/>
                <w:tcBorders>
                  <w:top w:val="nil"/>
                  <w:left w:val="nil"/>
                  <w:bottom w:val="nil"/>
                  <w:right w:val="nil"/>
                </w:tcBorders>
                <w:shd w:val="clear" w:color="auto" w:fill="auto"/>
                <w:noWrap/>
                <w:vAlign w:val="bottom"/>
                <w:hideMark/>
              </w:tcPr>
              <w:p w14:paraId="4EEB4749"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3,724,000</w:t>
                </w:r>
              </w:p>
            </w:tc>
            <w:tc>
              <w:tcPr>
                <w:tcW w:w="1956" w:type="dxa"/>
                <w:tcBorders>
                  <w:top w:val="nil"/>
                  <w:left w:val="nil"/>
                  <w:bottom w:val="nil"/>
                  <w:right w:val="nil"/>
                </w:tcBorders>
                <w:shd w:val="clear" w:color="auto" w:fill="auto"/>
                <w:noWrap/>
                <w:vAlign w:val="bottom"/>
                <w:hideMark/>
              </w:tcPr>
              <w:p w14:paraId="331AA851"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7,017,000</w:t>
                </w:r>
              </w:p>
            </w:tc>
            <w:tc>
              <w:tcPr>
                <w:tcW w:w="1248" w:type="dxa"/>
                <w:tcBorders>
                  <w:top w:val="nil"/>
                  <w:left w:val="nil"/>
                  <w:bottom w:val="nil"/>
                  <w:right w:val="nil"/>
                </w:tcBorders>
                <w:shd w:val="clear" w:color="auto" w:fill="auto"/>
                <w:noWrap/>
                <w:vAlign w:val="bottom"/>
                <w:hideMark/>
              </w:tcPr>
              <w:p w14:paraId="20B7FB60" w14:textId="07846E28" w:rsidR="009C1CE2" w:rsidRPr="004779DC" w:rsidRDefault="00AF494D"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-3,293,000</w:t>
                </w:r>
              </w:p>
            </w:tc>
            <w:tc>
              <w:tcPr>
                <w:tcW w:w="1460" w:type="dxa"/>
                <w:tcBorders>
                  <w:top w:val="nil"/>
                  <w:left w:val="nil"/>
                  <w:bottom w:val="nil"/>
                  <w:right w:val="nil"/>
                </w:tcBorders>
                <w:shd w:val="clear" w:color="auto" w:fill="auto"/>
                <w:noWrap/>
                <w:vAlign w:val="bottom"/>
              </w:tcPr>
              <w:p w14:paraId="4D336472" w14:textId="3D13F0DC" w:rsidR="009C1CE2" w:rsidRPr="004779DC" w:rsidRDefault="002E0194" w:rsidP="009C1CE2">
                <w:pPr>
                  <w:spacing w:after="0" w:line="240" w:lineRule="auto"/>
                  <w:rPr>
                    <w:rFonts w:ascii="Times New Roman" w:eastAsia="Times New Roman" w:hAnsi="Times New Roman" w:cs="Times New Roman"/>
                    <w:sz w:val="20"/>
                    <w:szCs w:val="20"/>
                    <w:lang w:eastAsia="en-GB"/>
                  </w:rPr>
                </w:pPr>
                <w:r w:rsidRPr="004779DC">
                  <w:rPr>
                    <w:rFonts w:ascii="Times New Roman" w:eastAsia="Times New Roman" w:hAnsi="Times New Roman" w:cs="Times New Roman"/>
                    <w:sz w:val="20"/>
                    <w:szCs w:val="20"/>
                    <w:lang w:eastAsia="en-GB"/>
                  </w:rPr>
                  <w:t>-0.47</w:t>
                </w:r>
              </w:p>
            </w:tc>
          </w:tr>
          <w:tr w:rsidR="009C1CE2" w:rsidRPr="009C1CE2" w14:paraId="46F4F6E0" w14:textId="77777777" w:rsidTr="002E0194">
            <w:trPr>
              <w:trHeight w:val="288"/>
            </w:trPr>
            <w:tc>
              <w:tcPr>
                <w:tcW w:w="3200" w:type="dxa"/>
                <w:tcBorders>
                  <w:top w:val="nil"/>
                  <w:left w:val="nil"/>
                  <w:bottom w:val="nil"/>
                  <w:right w:val="nil"/>
                </w:tcBorders>
                <w:shd w:val="clear" w:color="auto" w:fill="auto"/>
                <w:noWrap/>
                <w:vAlign w:val="bottom"/>
                <w:hideMark/>
              </w:tcPr>
              <w:p w14:paraId="11951B2B" w14:textId="77777777" w:rsidR="009C1CE2" w:rsidRPr="004779DC" w:rsidRDefault="009C1CE2" w:rsidP="009C1CE2">
                <w:pPr>
                  <w:spacing w:after="0" w:line="240" w:lineRule="auto"/>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Gross profit</w:t>
                </w:r>
              </w:p>
            </w:tc>
            <w:tc>
              <w:tcPr>
                <w:tcW w:w="1956" w:type="dxa"/>
                <w:tcBorders>
                  <w:top w:val="nil"/>
                  <w:left w:val="nil"/>
                  <w:bottom w:val="nil"/>
                  <w:right w:val="nil"/>
                </w:tcBorders>
                <w:shd w:val="clear" w:color="auto" w:fill="auto"/>
                <w:noWrap/>
                <w:vAlign w:val="bottom"/>
                <w:hideMark/>
              </w:tcPr>
              <w:p w14:paraId="203FEA82"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583,000</w:t>
                </w:r>
              </w:p>
            </w:tc>
            <w:tc>
              <w:tcPr>
                <w:tcW w:w="1956" w:type="dxa"/>
                <w:tcBorders>
                  <w:top w:val="nil"/>
                  <w:left w:val="nil"/>
                  <w:bottom w:val="nil"/>
                  <w:right w:val="nil"/>
                </w:tcBorders>
                <w:shd w:val="clear" w:color="auto" w:fill="auto"/>
                <w:noWrap/>
                <w:vAlign w:val="bottom"/>
                <w:hideMark/>
              </w:tcPr>
              <w:p w14:paraId="4F14454F"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2,435,000</w:t>
                </w:r>
              </w:p>
            </w:tc>
            <w:tc>
              <w:tcPr>
                <w:tcW w:w="1248" w:type="dxa"/>
                <w:tcBorders>
                  <w:top w:val="nil"/>
                  <w:left w:val="nil"/>
                  <w:bottom w:val="nil"/>
                  <w:right w:val="nil"/>
                </w:tcBorders>
                <w:shd w:val="clear" w:color="auto" w:fill="auto"/>
                <w:noWrap/>
                <w:vAlign w:val="bottom"/>
                <w:hideMark/>
              </w:tcPr>
              <w:p w14:paraId="57B3B77F" w14:textId="1F4208C1" w:rsidR="009C1CE2" w:rsidRPr="004779DC" w:rsidRDefault="00AF494D"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-1,852,000</w:t>
                </w:r>
              </w:p>
            </w:tc>
            <w:tc>
              <w:tcPr>
                <w:tcW w:w="1460" w:type="dxa"/>
                <w:tcBorders>
                  <w:top w:val="nil"/>
                  <w:left w:val="nil"/>
                  <w:bottom w:val="nil"/>
                  <w:right w:val="nil"/>
                </w:tcBorders>
                <w:shd w:val="clear" w:color="auto" w:fill="auto"/>
                <w:noWrap/>
                <w:vAlign w:val="bottom"/>
              </w:tcPr>
              <w:p w14:paraId="24936E23" w14:textId="0EC9AB59" w:rsidR="009C1CE2" w:rsidRPr="004779DC" w:rsidRDefault="002E0194" w:rsidP="009C1CE2">
                <w:pPr>
                  <w:spacing w:after="0" w:line="240" w:lineRule="auto"/>
                  <w:rPr>
                    <w:rFonts w:ascii="Times New Roman" w:eastAsia="Times New Roman" w:hAnsi="Times New Roman" w:cs="Times New Roman"/>
                    <w:sz w:val="20"/>
                    <w:szCs w:val="20"/>
                    <w:lang w:eastAsia="en-GB"/>
                  </w:rPr>
                </w:pPr>
                <w:r w:rsidRPr="004779DC">
                  <w:rPr>
                    <w:rFonts w:ascii="Times New Roman" w:eastAsia="Times New Roman" w:hAnsi="Times New Roman" w:cs="Times New Roman"/>
                    <w:sz w:val="20"/>
                    <w:szCs w:val="20"/>
                    <w:lang w:eastAsia="en-GB"/>
                  </w:rPr>
                  <w:t>-0.76</w:t>
                </w:r>
              </w:p>
            </w:tc>
          </w:tr>
          <w:tr w:rsidR="009C1CE2" w:rsidRPr="009C1CE2" w14:paraId="7FBDA34D" w14:textId="77777777" w:rsidTr="002E0194">
            <w:trPr>
              <w:trHeight w:val="288"/>
            </w:trPr>
            <w:tc>
              <w:tcPr>
                <w:tcW w:w="3200" w:type="dxa"/>
                <w:tcBorders>
                  <w:top w:val="nil"/>
                  <w:left w:val="nil"/>
                  <w:bottom w:val="nil"/>
                  <w:right w:val="nil"/>
                </w:tcBorders>
                <w:shd w:val="clear" w:color="auto" w:fill="auto"/>
                <w:noWrap/>
                <w:vAlign w:val="bottom"/>
                <w:hideMark/>
              </w:tcPr>
              <w:p w14:paraId="3EAFD820" w14:textId="77777777" w:rsidR="009C1CE2" w:rsidRPr="004779DC" w:rsidRDefault="009C1CE2" w:rsidP="009C1CE2">
                <w:pPr>
                  <w:spacing w:after="0" w:line="240" w:lineRule="auto"/>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Operating Expenses</w:t>
                </w:r>
              </w:p>
            </w:tc>
            <w:tc>
              <w:tcPr>
                <w:tcW w:w="1956" w:type="dxa"/>
                <w:tcBorders>
                  <w:top w:val="nil"/>
                  <w:left w:val="nil"/>
                  <w:bottom w:val="nil"/>
                  <w:right w:val="nil"/>
                </w:tcBorders>
                <w:shd w:val="clear" w:color="auto" w:fill="auto"/>
                <w:noWrap/>
                <w:vAlign w:val="bottom"/>
                <w:hideMark/>
              </w:tcPr>
              <w:p w14:paraId="7B031AEA"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702,000</w:t>
                </w:r>
              </w:p>
            </w:tc>
            <w:tc>
              <w:tcPr>
                <w:tcW w:w="1956" w:type="dxa"/>
                <w:tcBorders>
                  <w:top w:val="nil"/>
                  <w:left w:val="nil"/>
                  <w:bottom w:val="nil"/>
                  <w:right w:val="nil"/>
                </w:tcBorders>
                <w:shd w:val="clear" w:color="auto" w:fill="auto"/>
                <w:noWrap/>
                <w:vAlign w:val="bottom"/>
                <w:hideMark/>
              </w:tcPr>
              <w:p w14:paraId="412C744D"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859,000</w:t>
                </w:r>
              </w:p>
            </w:tc>
            <w:tc>
              <w:tcPr>
                <w:tcW w:w="1248" w:type="dxa"/>
                <w:tcBorders>
                  <w:top w:val="nil"/>
                  <w:left w:val="nil"/>
                  <w:bottom w:val="nil"/>
                  <w:right w:val="nil"/>
                </w:tcBorders>
                <w:shd w:val="clear" w:color="auto" w:fill="auto"/>
                <w:noWrap/>
                <w:vAlign w:val="bottom"/>
                <w:hideMark/>
              </w:tcPr>
              <w:p w14:paraId="61767A06" w14:textId="188B2043" w:rsidR="009C1CE2" w:rsidRPr="004779DC" w:rsidRDefault="00AF494D"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-157,000</w:t>
                </w:r>
              </w:p>
            </w:tc>
            <w:tc>
              <w:tcPr>
                <w:tcW w:w="1460" w:type="dxa"/>
                <w:tcBorders>
                  <w:top w:val="nil"/>
                  <w:left w:val="nil"/>
                  <w:bottom w:val="nil"/>
                  <w:right w:val="nil"/>
                </w:tcBorders>
                <w:shd w:val="clear" w:color="auto" w:fill="auto"/>
                <w:noWrap/>
                <w:vAlign w:val="bottom"/>
              </w:tcPr>
              <w:p w14:paraId="19342008" w14:textId="0B51ADB5" w:rsidR="009C1CE2" w:rsidRPr="004779DC" w:rsidRDefault="002E0194" w:rsidP="009C1CE2">
                <w:pPr>
                  <w:spacing w:after="0" w:line="240" w:lineRule="auto"/>
                  <w:rPr>
                    <w:rFonts w:ascii="Times New Roman" w:eastAsia="Times New Roman" w:hAnsi="Times New Roman" w:cs="Times New Roman"/>
                    <w:sz w:val="20"/>
                    <w:szCs w:val="20"/>
                    <w:lang w:eastAsia="en-GB"/>
                  </w:rPr>
                </w:pPr>
                <w:r w:rsidRPr="004779DC">
                  <w:rPr>
                    <w:rFonts w:ascii="Times New Roman" w:eastAsia="Times New Roman" w:hAnsi="Times New Roman" w:cs="Times New Roman"/>
                    <w:sz w:val="20"/>
                    <w:szCs w:val="20"/>
                    <w:lang w:eastAsia="en-GB"/>
                  </w:rPr>
                  <w:t>-0.18</w:t>
                </w:r>
              </w:p>
            </w:tc>
          </w:tr>
          <w:tr w:rsidR="009C1CE2" w:rsidRPr="009C1CE2" w14:paraId="22704FA7" w14:textId="77777777" w:rsidTr="002E0194">
            <w:trPr>
              <w:trHeight w:val="288"/>
            </w:trPr>
            <w:tc>
              <w:tcPr>
                <w:tcW w:w="3200" w:type="dxa"/>
                <w:tcBorders>
                  <w:top w:val="nil"/>
                  <w:left w:val="nil"/>
                  <w:bottom w:val="nil"/>
                  <w:right w:val="nil"/>
                </w:tcBorders>
                <w:shd w:val="clear" w:color="auto" w:fill="auto"/>
                <w:noWrap/>
                <w:vAlign w:val="bottom"/>
                <w:hideMark/>
              </w:tcPr>
              <w:p w14:paraId="292EBD5B" w14:textId="77777777" w:rsidR="009C1CE2" w:rsidRPr="004779DC" w:rsidRDefault="009C1CE2" w:rsidP="009C1CE2">
                <w:pPr>
                  <w:spacing w:after="0" w:line="240" w:lineRule="auto"/>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Operating income</w:t>
                </w:r>
              </w:p>
            </w:tc>
            <w:tc>
              <w:tcPr>
                <w:tcW w:w="1956" w:type="dxa"/>
                <w:tcBorders>
                  <w:top w:val="nil"/>
                  <w:left w:val="nil"/>
                  <w:bottom w:val="nil"/>
                  <w:right w:val="nil"/>
                </w:tcBorders>
                <w:shd w:val="clear" w:color="auto" w:fill="auto"/>
                <w:noWrap/>
                <w:vAlign w:val="bottom"/>
                <w:hideMark/>
              </w:tcPr>
              <w:p w14:paraId="0123139F"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-119,000</w:t>
                </w:r>
              </w:p>
            </w:tc>
            <w:tc>
              <w:tcPr>
                <w:tcW w:w="1956" w:type="dxa"/>
                <w:tcBorders>
                  <w:top w:val="nil"/>
                  <w:left w:val="nil"/>
                  <w:bottom w:val="nil"/>
                  <w:right w:val="nil"/>
                </w:tcBorders>
                <w:shd w:val="clear" w:color="auto" w:fill="auto"/>
                <w:noWrap/>
                <w:vAlign w:val="bottom"/>
                <w:hideMark/>
              </w:tcPr>
              <w:p w14:paraId="39B459C8"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1,576,000</w:t>
                </w:r>
              </w:p>
            </w:tc>
            <w:tc>
              <w:tcPr>
                <w:tcW w:w="1248" w:type="dxa"/>
                <w:tcBorders>
                  <w:top w:val="nil"/>
                  <w:left w:val="nil"/>
                  <w:bottom w:val="nil"/>
                  <w:right w:val="nil"/>
                </w:tcBorders>
                <w:shd w:val="clear" w:color="auto" w:fill="auto"/>
                <w:noWrap/>
                <w:vAlign w:val="bottom"/>
                <w:hideMark/>
              </w:tcPr>
              <w:p w14:paraId="56E52F23" w14:textId="176F2BDE" w:rsidR="009C1CE2" w:rsidRPr="004779DC" w:rsidRDefault="00AF494D"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-1,695,000</w:t>
                </w:r>
              </w:p>
            </w:tc>
            <w:tc>
              <w:tcPr>
                <w:tcW w:w="1460" w:type="dxa"/>
                <w:tcBorders>
                  <w:top w:val="nil"/>
                  <w:left w:val="nil"/>
                  <w:bottom w:val="nil"/>
                  <w:right w:val="nil"/>
                </w:tcBorders>
                <w:shd w:val="clear" w:color="auto" w:fill="auto"/>
                <w:noWrap/>
                <w:vAlign w:val="bottom"/>
              </w:tcPr>
              <w:p w14:paraId="314E4315" w14:textId="2D1570B0" w:rsidR="009C1CE2" w:rsidRPr="004779DC" w:rsidRDefault="002E0194" w:rsidP="009C1CE2">
                <w:pPr>
                  <w:spacing w:after="0" w:line="240" w:lineRule="auto"/>
                  <w:rPr>
                    <w:rFonts w:ascii="Times New Roman" w:eastAsia="Times New Roman" w:hAnsi="Times New Roman" w:cs="Times New Roman"/>
                    <w:sz w:val="20"/>
                    <w:szCs w:val="20"/>
                    <w:lang w:eastAsia="en-GB"/>
                  </w:rPr>
                </w:pPr>
                <w:r w:rsidRPr="004779DC">
                  <w:rPr>
                    <w:rFonts w:ascii="Times New Roman" w:eastAsia="Times New Roman" w:hAnsi="Times New Roman" w:cs="Times New Roman"/>
                    <w:sz w:val="20"/>
                    <w:szCs w:val="20"/>
                    <w:lang w:eastAsia="en-GB"/>
                  </w:rPr>
                  <w:t>-1.08</w:t>
                </w:r>
              </w:p>
            </w:tc>
          </w:tr>
          <w:tr w:rsidR="009C1CE2" w:rsidRPr="009C1CE2" w14:paraId="094DF5AC" w14:textId="77777777" w:rsidTr="002E0194">
            <w:trPr>
              <w:trHeight w:val="288"/>
            </w:trPr>
            <w:tc>
              <w:tcPr>
                <w:tcW w:w="3200" w:type="dxa"/>
                <w:tcBorders>
                  <w:top w:val="nil"/>
                  <w:left w:val="nil"/>
                  <w:bottom w:val="nil"/>
                  <w:right w:val="nil"/>
                </w:tcBorders>
                <w:shd w:val="clear" w:color="auto" w:fill="auto"/>
                <w:noWrap/>
                <w:vAlign w:val="bottom"/>
                <w:hideMark/>
              </w:tcPr>
              <w:p w14:paraId="49AC7709" w14:textId="77777777" w:rsidR="009C1CE2" w:rsidRPr="004779DC" w:rsidRDefault="009C1CE2" w:rsidP="009C1CE2">
                <w:pPr>
                  <w:spacing w:after="0" w:line="240" w:lineRule="auto"/>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Interest Expense</w:t>
                </w:r>
              </w:p>
            </w:tc>
            <w:tc>
              <w:tcPr>
                <w:tcW w:w="1956" w:type="dxa"/>
                <w:tcBorders>
                  <w:top w:val="nil"/>
                  <w:left w:val="nil"/>
                  <w:bottom w:val="nil"/>
                  <w:right w:val="nil"/>
                </w:tcBorders>
                <w:shd w:val="clear" w:color="auto" w:fill="auto"/>
                <w:noWrap/>
                <w:vAlign w:val="bottom"/>
                <w:hideMark/>
              </w:tcPr>
              <w:p w14:paraId="785F650A"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429,000</w:t>
                </w:r>
              </w:p>
            </w:tc>
            <w:tc>
              <w:tcPr>
                <w:tcW w:w="1956" w:type="dxa"/>
                <w:tcBorders>
                  <w:top w:val="nil"/>
                  <w:left w:val="nil"/>
                  <w:bottom w:val="nil"/>
                  <w:right w:val="nil"/>
                </w:tcBorders>
                <w:shd w:val="clear" w:color="auto" w:fill="auto"/>
                <w:noWrap/>
                <w:vAlign w:val="bottom"/>
                <w:hideMark/>
              </w:tcPr>
              <w:p w14:paraId="7EB4297D"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414,000</w:t>
                </w:r>
              </w:p>
            </w:tc>
            <w:tc>
              <w:tcPr>
                <w:tcW w:w="1248" w:type="dxa"/>
                <w:tcBorders>
                  <w:top w:val="nil"/>
                  <w:left w:val="nil"/>
                  <w:bottom w:val="nil"/>
                  <w:right w:val="nil"/>
                </w:tcBorders>
                <w:shd w:val="clear" w:color="auto" w:fill="auto"/>
                <w:noWrap/>
                <w:vAlign w:val="bottom"/>
                <w:hideMark/>
              </w:tcPr>
              <w:p w14:paraId="60A8A029" w14:textId="6E2DF10A" w:rsidR="009C1CE2" w:rsidRPr="004779DC" w:rsidRDefault="00AF494D"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15000</w:t>
                </w:r>
              </w:p>
            </w:tc>
            <w:tc>
              <w:tcPr>
                <w:tcW w:w="1460" w:type="dxa"/>
                <w:tcBorders>
                  <w:top w:val="nil"/>
                  <w:left w:val="nil"/>
                  <w:bottom w:val="nil"/>
                  <w:right w:val="nil"/>
                </w:tcBorders>
                <w:shd w:val="clear" w:color="auto" w:fill="auto"/>
                <w:noWrap/>
                <w:vAlign w:val="bottom"/>
              </w:tcPr>
              <w:p w14:paraId="4015398F" w14:textId="7445235A" w:rsidR="009C1CE2" w:rsidRPr="004779DC" w:rsidRDefault="002E0194" w:rsidP="009C1CE2">
                <w:pPr>
                  <w:spacing w:after="0" w:line="240" w:lineRule="auto"/>
                  <w:rPr>
                    <w:rFonts w:ascii="Times New Roman" w:eastAsia="Times New Roman" w:hAnsi="Times New Roman" w:cs="Times New Roman"/>
                    <w:sz w:val="20"/>
                    <w:szCs w:val="20"/>
                    <w:lang w:eastAsia="en-GB"/>
                  </w:rPr>
                </w:pPr>
                <w:r w:rsidRPr="004779DC">
                  <w:rPr>
                    <w:rFonts w:ascii="Times New Roman" w:eastAsia="Times New Roman" w:hAnsi="Times New Roman" w:cs="Times New Roman"/>
                    <w:sz w:val="20"/>
                    <w:szCs w:val="20"/>
                    <w:lang w:eastAsia="en-GB"/>
                  </w:rPr>
                  <w:t>0.04</w:t>
                </w:r>
              </w:p>
            </w:tc>
          </w:tr>
          <w:tr w:rsidR="009C1CE2" w:rsidRPr="009C1CE2" w14:paraId="1213894D" w14:textId="77777777" w:rsidTr="002E0194">
            <w:trPr>
              <w:trHeight w:val="288"/>
            </w:trPr>
            <w:tc>
              <w:tcPr>
                <w:tcW w:w="3200" w:type="dxa"/>
                <w:tcBorders>
                  <w:top w:val="nil"/>
                  <w:left w:val="nil"/>
                  <w:bottom w:val="nil"/>
                  <w:right w:val="nil"/>
                </w:tcBorders>
                <w:shd w:val="clear" w:color="auto" w:fill="auto"/>
                <w:noWrap/>
                <w:vAlign w:val="bottom"/>
                <w:hideMark/>
              </w:tcPr>
              <w:p w14:paraId="0ED68F58" w14:textId="77777777" w:rsidR="009C1CE2" w:rsidRPr="004779DC" w:rsidRDefault="009C1CE2" w:rsidP="009C1CE2">
                <w:pPr>
                  <w:spacing w:after="0" w:line="240" w:lineRule="auto"/>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 xml:space="preserve">Total Other income/ expenses net </w:t>
                </w:r>
              </w:p>
            </w:tc>
            <w:tc>
              <w:tcPr>
                <w:tcW w:w="1956" w:type="dxa"/>
                <w:tcBorders>
                  <w:top w:val="nil"/>
                  <w:left w:val="nil"/>
                  <w:bottom w:val="nil"/>
                  <w:right w:val="nil"/>
                </w:tcBorders>
                <w:shd w:val="clear" w:color="auto" w:fill="auto"/>
                <w:noWrap/>
                <w:vAlign w:val="bottom"/>
                <w:hideMark/>
              </w:tcPr>
              <w:p w14:paraId="5845DDDC"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-376,000</w:t>
                </w:r>
              </w:p>
            </w:tc>
            <w:tc>
              <w:tcPr>
                <w:tcW w:w="1956" w:type="dxa"/>
                <w:tcBorders>
                  <w:top w:val="nil"/>
                  <w:left w:val="nil"/>
                  <w:bottom w:val="nil"/>
                  <w:right w:val="nil"/>
                </w:tcBorders>
                <w:shd w:val="clear" w:color="auto" w:fill="auto"/>
                <w:noWrap/>
                <w:vAlign w:val="bottom"/>
                <w:hideMark/>
              </w:tcPr>
              <w:p w14:paraId="0B5D3849"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82,000</w:t>
                </w:r>
              </w:p>
            </w:tc>
            <w:tc>
              <w:tcPr>
                <w:tcW w:w="1248" w:type="dxa"/>
                <w:tcBorders>
                  <w:top w:val="nil"/>
                  <w:left w:val="nil"/>
                  <w:bottom w:val="nil"/>
                  <w:right w:val="nil"/>
                </w:tcBorders>
                <w:shd w:val="clear" w:color="auto" w:fill="auto"/>
                <w:noWrap/>
                <w:vAlign w:val="bottom"/>
                <w:hideMark/>
              </w:tcPr>
              <w:p w14:paraId="1245098F" w14:textId="4E34C2E1" w:rsidR="009C1CE2" w:rsidRPr="004779DC" w:rsidRDefault="00AF494D"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-458,000</w:t>
                </w:r>
              </w:p>
            </w:tc>
            <w:tc>
              <w:tcPr>
                <w:tcW w:w="1460" w:type="dxa"/>
                <w:tcBorders>
                  <w:top w:val="nil"/>
                  <w:left w:val="nil"/>
                  <w:bottom w:val="nil"/>
                  <w:right w:val="nil"/>
                </w:tcBorders>
                <w:shd w:val="clear" w:color="auto" w:fill="auto"/>
                <w:noWrap/>
                <w:vAlign w:val="bottom"/>
              </w:tcPr>
              <w:p w14:paraId="7D8C7FE6" w14:textId="097DE92F" w:rsidR="009C1CE2" w:rsidRPr="004779DC" w:rsidRDefault="002E0194" w:rsidP="009C1CE2">
                <w:pPr>
                  <w:spacing w:after="0" w:line="240" w:lineRule="auto"/>
                  <w:rPr>
                    <w:rFonts w:ascii="Times New Roman" w:eastAsia="Times New Roman" w:hAnsi="Times New Roman" w:cs="Times New Roman"/>
                    <w:sz w:val="20"/>
                    <w:szCs w:val="20"/>
                    <w:lang w:eastAsia="en-GB"/>
                  </w:rPr>
                </w:pPr>
                <w:r w:rsidRPr="004779DC">
                  <w:rPr>
                    <w:rFonts w:ascii="Times New Roman" w:eastAsia="Times New Roman" w:hAnsi="Times New Roman" w:cs="Times New Roman"/>
                    <w:sz w:val="20"/>
                    <w:szCs w:val="20"/>
                    <w:lang w:eastAsia="en-GB"/>
                  </w:rPr>
                  <w:t>-5.59</w:t>
                </w:r>
              </w:p>
            </w:tc>
          </w:tr>
          <w:tr w:rsidR="009C1CE2" w:rsidRPr="009C1CE2" w14:paraId="672E6703" w14:textId="77777777" w:rsidTr="002E0194">
            <w:trPr>
              <w:trHeight w:val="288"/>
            </w:trPr>
            <w:tc>
              <w:tcPr>
                <w:tcW w:w="3200" w:type="dxa"/>
                <w:tcBorders>
                  <w:top w:val="nil"/>
                  <w:left w:val="nil"/>
                  <w:bottom w:val="nil"/>
                  <w:right w:val="nil"/>
                </w:tcBorders>
                <w:shd w:val="clear" w:color="auto" w:fill="auto"/>
                <w:noWrap/>
                <w:vAlign w:val="bottom"/>
                <w:hideMark/>
              </w:tcPr>
              <w:p w14:paraId="1287146F" w14:textId="77777777" w:rsidR="009C1CE2" w:rsidRPr="004779DC" w:rsidRDefault="009C1CE2" w:rsidP="009C1CE2">
                <w:pPr>
                  <w:spacing w:after="0" w:line="240" w:lineRule="auto"/>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Income before taxes</w:t>
                </w:r>
              </w:p>
            </w:tc>
            <w:tc>
              <w:tcPr>
                <w:tcW w:w="1956" w:type="dxa"/>
                <w:tcBorders>
                  <w:top w:val="nil"/>
                  <w:left w:val="nil"/>
                  <w:bottom w:val="nil"/>
                  <w:right w:val="nil"/>
                </w:tcBorders>
                <w:shd w:val="clear" w:color="auto" w:fill="auto"/>
                <w:noWrap/>
                <w:vAlign w:val="bottom"/>
                <w:hideMark/>
              </w:tcPr>
              <w:p w14:paraId="6327A869"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-924,000</w:t>
                </w:r>
              </w:p>
            </w:tc>
            <w:tc>
              <w:tcPr>
                <w:tcW w:w="1956" w:type="dxa"/>
                <w:tcBorders>
                  <w:top w:val="nil"/>
                  <w:left w:val="nil"/>
                  <w:bottom w:val="nil"/>
                  <w:right w:val="nil"/>
                </w:tcBorders>
                <w:shd w:val="clear" w:color="auto" w:fill="auto"/>
                <w:noWrap/>
                <w:vAlign w:val="bottom"/>
                <w:hideMark/>
              </w:tcPr>
              <w:p w14:paraId="0374A5EE"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1,244,000</w:t>
                </w:r>
              </w:p>
            </w:tc>
            <w:tc>
              <w:tcPr>
                <w:tcW w:w="1248" w:type="dxa"/>
                <w:tcBorders>
                  <w:top w:val="nil"/>
                  <w:left w:val="nil"/>
                  <w:bottom w:val="nil"/>
                  <w:right w:val="nil"/>
                </w:tcBorders>
                <w:shd w:val="clear" w:color="auto" w:fill="auto"/>
                <w:noWrap/>
                <w:vAlign w:val="bottom"/>
                <w:hideMark/>
              </w:tcPr>
              <w:p w14:paraId="2D0E5083" w14:textId="64AC8D14" w:rsidR="009C1CE2" w:rsidRPr="004779DC" w:rsidRDefault="00AF494D"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-2,168,000</w:t>
                </w:r>
              </w:p>
            </w:tc>
            <w:tc>
              <w:tcPr>
                <w:tcW w:w="1460" w:type="dxa"/>
                <w:tcBorders>
                  <w:top w:val="nil"/>
                  <w:left w:val="nil"/>
                  <w:bottom w:val="nil"/>
                  <w:right w:val="nil"/>
                </w:tcBorders>
                <w:shd w:val="clear" w:color="auto" w:fill="auto"/>
                <w:noWrap/>
                <w:vAlign w:val="bottom"/>
              </w:tcPr>
              <w:p w14:paraId="19337C25" w14:textId="209B66E6" w:rsidR="009C1CE2" w:rsidRPr="004779DC" w:rsidRDefault="002E0194" w:rsidP="009C1CE2">
                <w:pPr>
                  <w:spacing w:after="0" w:line="240" w:lineRule="auto"/>
                  <w:rPr>
                    <w:rFonts w:ascii="Times New Roman" w:eastAsia="Times New Roman" w:hAnsi="Times New Roman" w:cs="Times New Roman"/>
                    <w:sz w:val="20"/>
                    <w:szCs w:val="20"/>
                    <w:lang w:eastAsia="en-GB"/>
                  </w:rPr>
                </w:pPr>
                <w:r w:rsidRPr="004779DC">
                  <w:rPr>
                    <w:rFonts w:ascii="Times New Roman" w:eastAsia="Times New Roman" w:hAnsi="Times New Roman" w:cs="Times New Roman"/>
                    <w:sz w:val="20"/>
                    <w:szCs w:val="20"/>
                    <w:lang w:eastAsia="en-GB"/>
                  </w:rPr>
                  <w:t>-1.74</w:t>
                </w:r>
              </w:p>
            </w:tc>
          </w:tr>
          <w:tr w:rsidR="009C1CE2" w:rsidRPr="009C1CE2" w14:paraId="57B3C31D" w14:textId="77777777" w:rsidTr="002E0194">
            <w:trPr>
              <w:trHeight w:val="225"/>
            </w:trPr>
            <w:tc>
              <w:tcPr>
                <w:tcW w:w="3200" w:type="dxa"/>
                <w:tcBorders>
                  <w:top w:val="nil"/>
                  <w:left w:val="nil"/>
                  <w:bottom w:val="nil"/>
                  <w:right w:val="nil"/>
                </w:tcBorders>
                <w:shd w:val="clear" w:color="auto" w:fill="auto"/>
                <w:noWrap/>
                <w:vAlign w:val="bottom"/>
                <w:hideMark/>
              </w:tcPr>
              <w:p w14:paraId="7A32DA8B" w14:textId="77777777" w:rsidR="009C1CE2" w:rsidRPr="004779DC" w:rsidRDefault="009C1CE2" w:rsidP="009C1CE2">
                <w:pPr>
                  <w:spacing w:after="0" w:line="240" w:lineRule="auto"/>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Net income</w:t>
                </w:r>
              </w:p>
            </w:tc>
            <w:tc>
              <w:tcPr>
                <w:tcW w:w="1956" w:type="dxa"/>
                <w:tcBorders>
                  <w:top w:val="nil"/>
                  <w:left w:val="nil"/>
                  <w:bottom w:val="nil"/>
                  <w:right w:val="nil"/>
                </w:tcBorders>
                <w:shd w:val="clear" w:color="auto" w:fill="auto"/>
                <w:noWrap/>
                <w:vAlign w:val="bottom"/>
                <w:hideMark/>
              </w:tcPr>
              <w:p w14:paraId="0BF6FB63"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-715,000</w:t>
                </w:r>
              </w:p>
            </w:tc>
            <w:tc>
              <w:tcPr>
                <w:tcW w:w="1956" w:type="dxa"/>
                <w:tcBorders>
                  <w:top w:val="nil"/>
                  <w:left w:val="nil"/>
                  <w:bottom w:val="nil"/>
                  <w:right w:val="nil"/>
                </w:tcBorders>
                <w:shd w:val="clear" w:color="auto" w:fill="auto"/>
                <w:noWrap/>
                <w:vAlign w:val="bottom"/>
                <w:hideMark/>
              </w:tcPr>
              <w:p w14:paraId="1D16C63B" w14:textId="77777777" w:rsidR="009C1CE2" w:rsidRPr="004779DC" w:rsidRDefault="009C1CE2"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881,000</w:t>
                </w:r>
              </w:p>
            </w:tc>
            <w:tc>
              <w:tcPr>
                <w:tcW w:w="1248" w:type="dxa"/>
                <w:tcBorders>
                  <w:top w:val="nil"/>
                  <w:left w:val="nil"/>
                  <w:bottom w:val="nil"/>
                  <w:right w:val="nil"/>
                </w:tcBorders>
                <w:shd w:val="clear" w:color="auto" w:fill="auto"/>
                <w:noWrap/>
                <w:vAlign w:val="bottom"/>
                <w:hideMark/>
              </w:tcPr>
              <w:p w14:paraId="0DBF80EE" w14:textId="1635F4B8" w:rsidR="009C1CE2" w:rsidRPr="004779DC" w:rsidRDefault="00AF494D" w:rsidP="009C1CE2">
                <w:pPr>
                  <w:spacing w:after="0" w:line="240" w:lineRule="auto"/>
                  <w:jc w:val="right"/>
                  <w:rPr>
                    <w:rFonts w:ascii="Times New Roman" w:eastAsia="Times New Roman" w:hAnsi="Times New Roman" w:cs="Times New Roman"/>
                    <w:color w:val="000000"/>
                    <w:lang w:eastAsia="en-GB"/>
                  </w:rPr>
                </w:pPr>
                <w:r w:rsidRPr="004779DC">
                  <w:rPr>
                    <w:rFonts w:ascii="Times New Roman" w:eastAsia="Times New Roman" w:hAnsi="Times New Roman" w:cs="Times New Roman"/>
                    <w:color w:val="000000"/>
                    <w:lang w:eastAsia="en-GB"/>
                  </w:rPr>
                  <w:t>-1,596,000</w:t>
                </w:r>
              </w:p>
            </w:tc>
            <w:tc>
              <w:tcPr>
                <w:tcW w:w="1460" w:type="dxa"/>
                <w:tcBorders>
                  <w:top w:val="nil"/>
                  <w:left w:val="nil"/>
                  <w:bottom w:val="nil"/>
                  <w:right w:val="nil"/>
                </w:tcBorders>
                <w:shd w:val="clear" w:color="auto" w:fill="auto"/>
                <w:noWrap/>
                <w:vAlign w:val="bottom"/>
              </w:tcPr>
              <w:p w14:paraId="06C1E67B" w14:textId="005753FD" w:rsidR="009C1CE2" w:rsidRPr="004779DC" w:rsidRDefault="002E0194" w:rsidP="009C1CE2">
                <w:pPr>
                  <w:spacing w:after="0" w:line="240" w:lineRule="auto"/>
                  <w:rPr>
                    <w:rFonts w:ascii="Times New Roman" w:eastAsia="Times New Roman" w:hAnsi="Times New Roman" w:cs="Times New Roman"/>
                    <w:sz w:val="20"/>
                    <w:szCs w:val="20"/>
                    <w:lang w:eastAsia="en-GB"/>
                  </w:rPr>
                </w:pPr>
                <w:r w:rsidRPr="004779DC">
                  <w:rPr>
                    <w:rFonts w:ascii="Times New Roman" w:eastAsia="Times New Roman" w:hAnsi="Times New Roman" w:cs="Times New Roman"/>
                    <w:sz w:val="20"/>
                    <w:szCs w:val="20"/>
                    <w:lang w:eastAsia="en-GB"/>
                  </w:rPr>
                  <w:t>-1.81</w:t>
                </w:r>
              </w:p>
            </w:tc>
          </w:tr>
          <w:tr w:rsidR="009C1CE2" w:rsidRPr="009C1CE2" w14:paraId="104F7355" w14:textId="77777777" w:rsidTr="009C1CE2">
            <w:trPr>
              <w:trHeight w:val="288"/>
            </w:trPr>
            <w:tc>
              <w:tcPr>
                <w:tcW w:w="3200" w:type="dxa"/>
                <w:tcBorders>
                  <w:top w:val="nil"/>
                  <w:left w:val="nil"/>
                  <w:bottom w:val="nil"/>
                  <w:right w:val="nil"/>
                </w:tcBorders>
                <w:shd w:val="clear" w:color="auto" w:fill="auto"/>
                <w:noWrap/>
                <w:vAlign w:val="bottom"/>
                <w:hideMark/>
              </w:tcPr>
              <w:p w14:paraId="265125D9"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1225C868"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4E85F7B3"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c>
              <w:tcPr>
                <w:tcW w:w="1248" w:type="dxa"/>
                <w:tcBorders>
                  <w:top w:val="nil"/>
                  <w:left w:val="nil"/>
                  <w:bottom w:val="nil"/>
                  <w:right w:val="nil"/>
                </w:tcBorders>
                <w:shd w:val="clear" w:color="auto" w:fill="auto"/>
                <w:noWrap/>
                <w:vAlign w:val="bottom"/>
                <w:hideMark/>
              </w:tcPr>
              <w:p w14:paraId="047C7788"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3602464B"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r>
          <w:tr w:rsidR="009C1CE2" w:rsidRPr="009C1CE2" w14:paraId="083A4C8E" w14:textId="77777777" w:rsidTr="009C1CE2">
            <w:trPr>
              <w:trHeight w:val="288"/>
            </w:trPr>
            <w:tc>
              <w:tcPr>
                <w:tcW w:w="3200" w:type="dxa"/>
                <w:tcBorders>
                  <w:top w:val="nil"/>
                  <w:left w:val="nil"/>
                  <w:bottom w:val="nil"/>
                  <w:right w:val="nil"/>
                </w:tcBorders>
                <w:shd w:val="clear" w:color="auto" w:fill="auto"/>
                <w:noWrap/>
                <w:vAlign w:val="bottom"/>
                <w:hideMark/>
              </w:tcPr>
              <w:p w14:paraId="53082D50"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7BBF410F"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732FC4F9"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c>
              <w:tcPr>
                <w:tcW w:w="1248" w:type="dxa"/>
                <w:tcBorders>
                  <w:top w:val="nil"/>
                  <w:left w:val="nil"/>
                  <w:bottom w:val="nil"/>
                  <w:right w:val="nil"/>
                </w:tcBorders>
                <w:shd w:val="clear" w:color="auto" w:fill="auto"/>
                <w:noWrap/>
                <w:vAlign w:val="bottom"/>
                <w:hideMark/>
              </w:tcPr>
              <w:p w14:paraId="0AA46D49"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6101417D"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r>
          <w:tr w:rsidR="009C1CE2" w:rsidRPr="009C1CE2" w14:paraId="1F0966B6" w14:textId="77777777" w:rsidTr="009C1CE2">
            <w:trPr>
              <w:trHeight w:val="288"/>
            </w:trPr>
            <w:tc>
              <w:tcPr>
                <w:tcW w:w="3200" w:type="dxa"/>
                <w:tcBorders>
                  <w:top w:val="nil"/>
                  <w:left w:val="nil"/>
                  <w:bottom w:val="nil"/>
                  <w:right w:val="nil"/>
                </w:tcBorders>
                <w:shd w:val="clear" w:color="auto" w:fill="auto"/>
                <w:noWrap/>
                <w:vAlign w:val="bottom"/>
                <w:hideMark/>
              </w:tcPr>
              <w:p w14:paraId="3F978587"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32EA70BF"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c>
              <w:tcPr>
                <w:tcW w:w="1956" w:type="dxa"/>
                <w:tcBorders>
                  <w:top w:val="nil"/>
                  <w:left w:val="nil"/>
                  <w:bottom w:val="nil"/>
                  <w:right w:val="nil"/>
                </w:tcBorders>
                <w:shd w:val="clear" w:color="auto" w:fill="auto"/>
                <w:noWrap/>
                <w:vAlign w:val="bottom"/>
                <w:hideMark/>
              </w:tcPr>
              <w:p w14:paraId="66F42E05"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c>
              <w:tcPr>
                <w:tcW w:w="1248" w:type="dxa"/>
                <w:tcBorders>
                  <w:top w:val="nil"/>
                  <w:left w:val="nil"/>
                  <w:bottom w:val="nil"/>
                  <w:right w:val="nil"/>
                </w:tcBorders>
                <w:shd w:val="clear" w:color="auto" w:fill="auto"/>
                <w:noWrap/>
                <w:vAlign w:val="bottom"/>
                <w:hideMark/>
              </w:tcPr>
              <w:p w14:paraId="40965F77"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63D9366A" w14:textId="77777777" w:rsidR="009C1CE2" w:rsidRPr="004779DC" w:rsidRDefault="009C1CE2" w:rsidP="009C1CE2">
                <w:pPr>
                  <w:spacing w:after="0" w:line="240" w:lineRule="auto"/>
                  <w:rPr>
                    <w:rFonts w:ascii="Times New Roman" w:eastAsia="Times New Roman" w:hAnsi="Times New Roman" w:cs="Times New Roman"/>
                    <w:sz w:val="20"/>
                    <w:szCs w:val="20"/>
                    <w:lang w:eastAsia="en-GB"/>
                  </w:rPr>
                </w:pPr>
              </w:p>
            </w:tc>
          </w:tr>
        </w:tbl>
        <w:p w14:paraId="54A971B6" w14:textId="437E923B" w:rsidR="009C1CE2" w:rsidRDefault="009C1CE2" w:rsidP="007D1947"/>
        <w:p w14:paraId="69BCC742" w14:textId="0A35296A" w:rsidR="00D57EDA" w:rsidRDefault="00D57EDA" w:rsidP="007D1947"/>
        <w:p w14:paraId="34827358" w14:textId="0B8FB46A" w:rsidR="00D57EDA" w:rsidRDefault="00D57EDA" w:rsidP="007D1947"/>
        <w:p w14:paraId="2308F7E3" w14:textId="2A1A8DD7" w:rsidR="00D57EDA" w:rsidRDefault="00D57EDA" w:rsidP="007D1947"/>
        <w:p w14:paraId="7B253B19" w14:textId="7F58CFE3" w:rsidR="00D57EDA" w:rsidRDefault="00D57EDA" w:rsidP="007D1947"/>
        <w:p w14:paraId="1C772DAF" w14:textId="77777777" w:rsidR="00D57EDA" w:rsidRDefault="00D57EDA" w:rsidP="007D1947"/>
        <w:tbl>
          <w:tblPr>
            <w:tblW w:w="8192" w:type="dxa"/>
            <w:tblLook w:val="04A0" w:firstRow="1" w:lastRow="0" w:firstColumn="1" w:lastColumn="0" w:noHBand="0" w:noVBand="1"/>
          </w:tblPr>
          <w:tblGrid>
            <w:gridCol w:w="2872"/>
            <w:gridCol w:w="1600"/>
            <w:gridCol w:w="1540"/>
            <w:gridCol w:w="1220"/>
            <w:gridCol w:w="960"/>
          </w:tblGrid>
          <w:tr w:rsidR="00DB6A70" w:rsidRPr="00DB6A70" w14:paraId="3AF8CB1D" w14:textId="77777777" w:rsidTr="00DB6A70">
            <w:trPr>
              <w:trHeight w:val="288"/>
            </w:trPr>
            <w:tc>
              <w:tcPr>
                <w:tcW w:w="2872" w:type="dxa"/>
                <w:tcBorders>
                  <w:top w:val="nil"/>
                  <w:left w:val="nil"/>
                  <w:bottom w:val="nil"/>
                  <w:right w:val="nil"/>
                </w:tcBorders>
                <w:shd w:val="clear" w:color="auto" w:fill="auto"/>
                <w:noWrap/>
                <w:vAlign w:val="bottom"/>
                <w:hideMark/>
              </w:tcPr>
              <w:p w14:paraId="037C38CD" w14:textId="77777777" w:rsidR="00DB6A70" w:rsidRPr="00DB6A70" w:rsidRDefault="00DB6A70" w:rsidP="00DB6A70">
                <w:pPr>
                  <w:spacing w:after="0" w:line="240" w:lineRule="auto"/>
                  <w:rPr>
                    <w:rFonts w:ascii="Times New Roman" w:eastAsia="Times New Roman" w:hAnsi="Times New Roman" w:cs="Times New Roman"/>
                    <w:sz w:val="24"/>
                    <w:szCs w:val="24"/>
                    <w:lang w:eastAsia="en-GB"/>
                  </w:rPr>
                </w:pPr>
              </w:p>
            </w:tc>
            <w:tc>
              <w:tcPr>
                <w:tcW w:w="1600" w:type="dxa"/>
                <w:tcBorders>
                  <w:top w:val="nil"/>
                  <w:left w:val="nil"/>
                  <w:bottom w:val="nil"/>
                  <w:right w:val="nil"/>
                </w:tcBorders>
                <w:shd w:val="clear" w:color="auto" w:fill="auto"/>
                <w:noWrap/>
                <w:vAlign w:val="bottom"/>
                <w:hideMark/>
              </w:tcPr>
              <w:p w14:paraId="4F9BB03E"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2020</w:t>
                </w:r>
              </w:p>
            </w:tc>
            <w:tc>
              <w:tcPr>
                <w:tcW w:w="1540" w:type="dxa"/>
                <w:tcBorders>
                  <w:top w:val="nil"/>
                  <w:left w:val="nil"/>
                  <w:bottom w:val="nil"/>
                  <w:right w:val="nil"/>
                </w:tcBorders>
                <w:shd w:val="clear" w:color="auto" w:fill="auto"/>
                <w:noWrap/>
                <w:vAlign w:val="bottom"/>
                <w:hideMark/>
              </w:tcPr>
              <w:p w14:paraId="22C514F7"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2019</w:t>
                </w:r>
              </w:p>
            </w:tc>
            <w:tc>
              <w:tcPr>
                <w:tcW w:w="1220" w:type="dxa"/>
                <w:tcBorders>
                  <w:top w:val="nil"/>
                  <w:left w:val="nil"/>
                  <w:bottom w:val="nil"/>
                  <w:right w:val="nil"/>
                </w:tcBorders>
                <w:shd w:val="clear" w:color="auto" w:fill="auto"/>
                <w:noWrap/>
                <w:vAlign w:val="bottom"/>
                <w:hideMark/>
              </w:tcPr>
              <w:p w14:paraId="7DC2046B"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Change</w:t>
                </w:r>
              </w:p>
            </w:tc>
            <w:tc>
              <w:tcPr>
                <w:tcW w:w="960" w:type="dxa"/>
                <w:tcBorders>
                  <w:top w:val="nil"/>
                  <w:left w:val="nil"/>
                  <w:bottom w:val="nil"/>
                  <w:right w:val="nil"/>
                </w:tcBorders>
                <w:shd w:val="clear" w:color="auto" w:fill="auto"/>
                <w:noWrap/>
                <w:vAlign w:val="bottom"/>
                <w:hideMark/>
              </w:tcPr>
              <w:p w14:paraId="17308206"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 Change</w:t>
                </w:r>
              </w:p>
            </w:tc>
          </w:tr>
          <w:tr w:rsidR="00DB6A70" w:rsidRPr="00DB6A70" w14:paraId="12B55C4A" w14:textId="77777777" w:rsidTr="002E0194">
            <w:trPr>
              <w:trHeight w:val="288"/>
            </w:trPr>
            <w:tc>
              <w:tcPr>
                <w:tcW w:w="2872" w:type="dxa"/>
                <w:tcBorders>
                  <w:top w:val="nil"/>
                  <w:left w:val="nil"/>
                  <w:bottom w:val="nil"/>
                  <w:right w:val="nil"/>
                </w:tcBorders>
                <w:shd w:val="clear" w:color="auto" w:fill="auto"/>
                <w:noWrap/>
                <w:vAlign w:val="bottom"/>
                <w:hideMark/>
              </w:tcPr>
              <w:p w14:paraId="7594F471"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Current Asset</w:t>
                </w:r>
              </w:p>
            </w:tc>
            <w:tc>
              <w:tcPr>
                <w:tcW w:w="1600" w:type="dxa"/>
                <w:tcBorders>
                  <w:top w:val="nil"/>
                  <w:left w:val="nil"/>
                  <w:bottom w:val="nil"/>
                  <w:right w:val="nil"/>
                </w:tcBorders>
                <w:shd w:val="clear" w:color="auto" w:fill="auto"/>
                <w:noWrap/>
                <w:vAlign w:val="bottom"/>
                <w:hideMark/>
              </w:tcPr>
              <w:p w14:paraId="6E729C3E"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4,202,000</w:t>
                </w:r>
              </w:p>
            </w:tc>
            <w:tc>
              <w:tcPr>
                <w:tcW w:w="1540" w:type="dxa"/>
                <w:tcBorders>
                  <w:top w:val="nil"/>
                  <w:left w:val="nil"/>
                  <w:bottom w:val="nil"/>
                  <w:right w:val="nil"/>
                </w:tcBorders>
                <w:shd w:val="clear" w:color="auto" w:fill="auto"/>
                <w:noWrap/>
                <w:vAlign w:val="bottom"/>
                <w:hideMark/>
              </w:tcPr>
              <w:p w14:paraId="3DE0E6D7"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2,093,000</w:t>
                </w:r>
              </w:p>
            </w:tc>
            <w:tc>
              <w:tcPr>
                <w:tcW w:w="1220" w:type="dxa"/>
                <w:tcBorders>
                  <w:top w:val="nil"/>
                  <w:left w:val="nil"/>
                  <w:bottom w:val="nil"/>
                  <w:right w:val="nil"/>
                </w:tcBorders>
                <w:shd w:val="clear" w:color="auto" w:fill="auto"/>
                <w:noWrap/>
                <w:vAlign w:val="bottom"/>
                <w:hideMark/>
              </w:tcPr>
              <w:p w14:paraId="7804AABB" w14:textId="09317FC1" w:rsidR="00DB6A70" w:rsidRPr="00DB6A70" w:rsidRDefault="00721719"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2,109,000</w:t>
                </w:r>
              </w:p>
            </w:tc>
            <w:tc>
              <w:tcPr>
                <w:tcW w:w="960" w:type="dxa"/>
                <w:tcBorders>
                  <w:top w:val="nil"/>
                  <w:left w:val="nil"/>
                  <w:bottom w:val="nil"/>
                  <w:right w:val="nil"/>
                </w:tcBorders>
                <w:shd w:val="clear" w:color="auto" w:fill="auto"/>
                <w:noWrap/>
                <w:vAlign w:val="bottom"/>
              </w:tcPr>
              <w:p w14:paraId="6616C5F6" w14:textId="62B1CB0A" w:rsidR="00DB6A70" w:rsidRPr="00DB6A70" w:rsidRDefault="002E62F2" w:rsidP="00DB6A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1.01</w:t>
                </w:r>
              </w:p>
            </w:tc>
          </w:tr>
          <w:tr w:rsidR="00DB6A70" w:rsidRPr="00DB6A70" w14:paraId="63744ED0" w14:textId="77777777" w:rsidTr="002E0194">
            <w:trPr>
              <w:trHeight w:val="288"/>
            </w:trPr>
            <w:tc>
              <w:tcPr>
                <w:tcW w:w="2872" w:type="dxa"/>
                <w:tcBorders>
                  <w:top w:val="nil"/>
                  <w:left w:val="nil"/>
                  <w:bottom w:val="nil"/>
                  <w:right w:val="nil"/>
                </w:tcBorders>
                <w:shd w:val="clear" w:color="auto" w:fill="auto"/>
                <w:noWrap/>
                <w:vAlign w:val="bottom"/>
                <w:hideMark/>
              </w:tcPr>
              <w:p w14:paraId="52A24844"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Non Current Asset</w:t>
                </w:r>
              </w:p>
            </w:tc>
            <w:tc>
              <w:tcPr>
                <w:tcW w:w="1600" w:type="dxa"/>
                <w:tcBorders>
                  <w:top w:val="nil"/>
                  <w:left w:val="nil"/>
                  <w:bottom w:val="nil"/>
                  <w:right w:val="nil"/>
                </w:tcBorders>
                <w:shd w:val="clear" w:color="auto" w:fill="auto"/>
                <w:noWrap/>
                <w:vAlign w:val="bottom"/>
                <w:hideMark/>
              </w:tcPr>
              <w:p w14:paraId="36BB3A30"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15,810,000</w:t>
                </w:r>
              </w:p>
            </w:tc>
            <w:tc>
              <w:tcPr>
                <w:tcW w:w="1540" w:type="dxa"/>
                <w:tcBorders>
                  <w:top w:val="nil"/>
                  <w:left w:val="nil"/>
                  <w:bottom w:val="nil"/>
                  <w:right w:val="nil"/>
                </w:tcBorders>
                <w:shd w:val="clear" w:color="auto" w:fill="auto"/>
                <w:noWrap/>
                <w:vAlign w:val="bottom"/>
                <w:hideMark/>
              </w:tcPr>
              <w:p w14:paraId="47B402FA"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12,558,000</w:t>
                </w:r>
              </w:p>
            </w:tc>
            <w:tc>
              <w:tcPr>
                <w:tcW w:w="1220" w:type="dxa"/>
                <w:tcBorders>
                  <w:top w:val="nil"/>
                  <w:left w:val="nil"/>
                  <w:bottom w:val="nil"/>
                  <w:right w:val="nil"/>
                </w:tcBorders>
                <w:shd w:val="clear" w:color="auto" w:fill="auto"/>
                <w:noWrap/>
                <w:vAlign w:val="bottom"/>
                <w:hideMark/>
              </w:tcPr>
              <w:p w14:paraId="5FE30BDB" w14:textId="3E1DA601" w:rsidR="00DB6A70" w:rsidRPr="00DB6A70" w:rsidRDefault="00721719"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3,252,000</w:t>
                </w:r>
              </w:p>
            </w:tc>
            <w:tc>
              <w:tcPr>
                <w:tcW w:w="960" w:type="dxa"/>
                <w:tcBorders>
                  <w:top w:val="nil"/>
                  <w:left w:val="nil"/>
                  <w:bottom w:val="nil"/>
                  <w:right w:val="nil"/>
                </w:tcBorders>
                <w:shd w:val="clear" w:color="auto" w:fill="auto"/>
                <w:noWrap/>
                <w:vAlign w:val="bottom"/>
              </w:tcPr>
              <w:p w14:paraId="244AC500" w14:textId="2CAFD22D" w:rsidR="00DB6A70" w:rsidRPr="00DB6A70" w:rsidRDefault="002E62F2" w:rsidP="00DB6A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0.26</w:t>
                </w:r>
              </w:p>
            </w:tc>
          </w:tr>
          <w:tr w:rsidR="00DB6A70" w:rsidRPr="00DB6A70" w14:paraId="40FE895B" w14:textId="77777777" w:rsidTr="002E0194">
            <w:trPr>
              <w:trHeight w:val="288"/>
            </w:trPr>
            <w:tc>
              <w:tcPr>
                <w:tcW w:w="2872" w:type="dxa"/>
                <w:tcBorders>
                  <w:top w:val="nil"/>
                  <w:left w:val="nil"/>
                  <w:bottom w:val="nil"/>
                  <w:right w:val="nil"/>
                </w:tcBorders>
                <w:shd w:val="clear" w:color="auto" w:fill="auto"/>
                <w:noWrap/>
                <w:vAlign w:val="bottom"/>
                <w:hideMark/>
              </w:tcPr>
              <w:p w14:paraId="00007C26"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Total Asset</w:t>
                </w:r>
              </w:p>
            </w:tc>
            <w:tc>
              <w:tcPr>
                <w:tcW w:w="1600" w:type="dxa"/>
                <w:tcBorders>
                  <w:top w:val="nil"/>
                  <w:left w:val="nil"/>
                  <w:bottom w:val="nil"/>
                  <w:right w:val="nil"/>
                </w:tcBorders>
                <w:shd w:val="clear" w:color="auto" w:fill="auto"/>
                <w:noWrap/>
                <w:vAlign w:val="bottom"/>
                <w:hideMark/>
              </w:tcPr>
              <w:p w14:paraId="2DA77793"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16,755,000</w:t>
                </w:r>
              </w:p>
            </w:tc>
            <w:tc>
              <w:tcPr>
                <w:tcW w:w="1540" w:type="dxa"/>
                <w:tcBorders>
                  <w:top w:val="nil"/>
                  <w:left w:val="nil"/>
                  <w:bottom w:val="nil"/>
                  <w:right w:val="nil"/>
                </w:tcBorders>
                <w:shd w:val="clear" w:color="auto" w:fill="auto"/>
                <w:noWrap/>
                <w:vAlign w:val="bottom"/>
                <w:hideMark/>
              </w:tcPr>
              <w:p w14:paraId="0CA31DF8"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14,957,000</w:t>
                </w:r>
              </w:p>
            </w:tc>
            <w:tc>
              <w:tcPr>
                <w:tcW w:w="1220" w:type="dxa"/>
                <w:tcBorders>
                  <w:top w:val="nil"/>
                  <w:left w:val="nil"/>
                  <w:bottom w:val="nil"/>
                  <w:right w:val="nil"/>
                </w:tcBorders>
                <w:shd w:val="clear" w:color="auto" w:fill="auto"/>
                <w:noWrap/>
                <w:vAlign w:val="bottom"/>
                <w:hideMark/>
              </w:tcPr>
              <w:p w14:paraId="68C17301" w14:textId="38A34CD7" w:rsidR="00DB6A70" w:rsidRPr="00DB6A70" w:rsidRDefault="00721719"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1,798,000</w:t>
                </w:r>
              </w:p>
            </w:tc>
            <w:tc>
              <w:tcPr>
                <w:tcW w:w="960" w:type="dxa"/>
                <w:tcBorders>
                  <w:top w:val="nil"/>
                  <w:left w:val="nil"/>
                  <w:bottom w:val="nil"/>
                  <w:right w:val="nil"/>
                </w:tcBorders>
                <w:shd w:val="clear" w:color="auto" w:fill="auto"/>
                <w:noWrap/>
                <w:vAlign w:val="bottom"/>
              </w:tcPr>
              <w:p w14:paraId="6065EB3E" w14:textId="74A9FAD5" w:rsidR="00DB6A70" w:rsidRPr="00DB6A70" w:rsidRDefault="002E62F2" w:rsidP="00DB6A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0.12</w:t>
                </w:r>
              </w:p>
            </w:tc>
          </w:tr>
          <w:tr w:rsidR="00DB6A70" w:rsidRPr="00DB6A70" w14:paraId="2482C8F7" w14:textId="77777777" w:rsidTr="002E0194">
            <w:trPr>
              <w:trHeight w:val="288"/>
            </w:trPr>
            <w:tc>
              <w:tcPr>
                <w:tcW w:w="2872" w:type="dxa"/>
                <w:tcBorders>
                  <w:top w:val="nil"/>
                  <w:left w:val="nil"/>
                  <w:bottom w:val="nil"/>
                  <w:right w:val="nil"/>
                </w:tcBorders>
                <w:shd w:val="clear" w:color="auto" w:fill="auto"/>
                <w:noWrap/>
                <w:vAlign w:val="bottom"/>
                <w:hideMark/>
              </w:tcPr>
              <w:p w14:paraId="7FE84E1B"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Current Liabilities</w:t>
                </w:r>
              </w:p>
            </w:tc>
            <w:tc>
              <w:tcPr>
                <w:tcW w:w="1600" w:type="dxa"/>
                <w:tcBorders>
                  <w:top w:val="nil"/>
                  <w:left w:val="nil"/>
                  <w:bottom w:val="nil"/>
                  <w:right w:val="nil"/>
                </w:tcBorders>
                <w:shd w:val="clear" w:color="auto" w:fill="auto"/>
                <w:noWrap/>
                <w:vAlign w:val="bottom"/>
                <w:hideMark/>
              </w:tcPr>
              <w:p w14:paraId="0E097126"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2,431,000</w:t>
                </w:r>
              </w:p>
            </w:tc>
            <w:tc>
              <w:tcPr>
                <w:tcW w:w="1540" w:type="dxa"/>
                <w:tcBorders>
                  <w:top w:val="nil"/>
                  <w:left w:val="nil"/>
                  <w:bottom w:val="nil"/>
                  <w:right w:val="nil"/>
                </w:tcBorders>
                <w:shd w:val="clear" w:color="auto" w:fill="auto"/>
                <w:noWrap/>
                <w:vAlign w:val="bottom"/>
                <w:hideMark/>
              </w:tcPr>
              <w:p w14:paraId="1B4684B7"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2,871,000</w:t>
                </w:r>
              </w:p>
            </w:tc>
            <w:tc>
              <w:tcPr>
                <w:tcW w:w="1220" w:type="dxa"/>
                <w:tcBorders>
                  <w:top w:val="nil"/>
                  <w:left w:val="nil"/>
                  <w:bottom w:val="nil"/>
                  <w:right w:val="nil"/>
                </w:tcBorders>
                <w:shd w:val="clear" w:color="auto" w:fill="auto"/>
                <w:noWrap/>
                <w:vAlign w:val="bottom"/>
                <w:hideMark/>
              </w:tcPr>
              <w:p w14:paraId="7B5E2603" w14:textId="106FEB0A" w:rsidR="00DB6A70" w:rsidRPr="00DB6A70" w:rsidRDefault="00721719"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-440,000</w:t>
                </w:r>
              </w:p>
            </w:tc>
            <w:tc>
              <w:tcPr>
                <w:tcW w:w="960" w:type="dxa"/>
                <w:tcBorders>
                  <w:top w:val="nil"/>
                  <w:left w:val="nil"/>
                  <w:bottom w:val="nil"/>
                  <w:right w:val="nil"/>
                </w:tcBorders>
                <w:shd w:val="clear" w:color="auto" w:fill="auto"/>
                <w:noWrap/>
                <w:vAlign w:val="bottom"/>
              </w:tcPr>
              <w:p w14:paraId="65E53082" w14:textId="4790A269" w:rsidR="00DB6A70" w:rsidRPr="00DB6A70" w:rsidRDefault="002E62F2" w:rsidP="00DB6A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-0.15</w:t>
                </w:r>
              </w:p>
            </w:tc>
          </w:tr>
          <w:tr w:rsidR="00DB6A70" w:rsidRPr="00DB6A70" w14:paraId="6AC21EEF" w14:textId="77777777" w:rsidTr="002E0194">
            <w:trPr>
              <w:trHeight w:val="288"/>
            </w:trPr>
            <w:tc>
              <w:tcPr>
                <w:tcW w:w="2872" w:type="dxa"/>
                <w:tcBorders>
                  <w:top w:val="nil"/>
                  <w:left w:val="nil"/>
                  <w:bottom w:val="nil"/>
                  <w:right w:val="nil"/>
                </w:tcBorders>
                <w:shd w:val="clear" w:color="auto" w:fill="auto"/>
                <w:noWrap/>
                <w:vAlign w:val="bottom"/>
                <w:hideMark/>
              </w:tcPr>
              <w:p w14:paraId="4864681F"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Non current Liabilities</w:t>
                </w:r>
              </w:p>
            </w:tc>
            <w:tc>
              <w:tcPr>
                <w:tcW w:w="1600" w:type="dxa"/>
                <w:tcBorders>
                  <w:top w:val="nil"/>
                  <w:left w:val="nil"/>
                  <w:bottom w:val="nil"/>
                  <w:right w:val="nil"/>
                </w:tcBorders>
                <w:shd w:val="clear" w:color="auto" w:fill="auto"/>
                <w:noWrap/>
                <w:vAlign w:val="bottom"/>
                <w:hideMark/>
              </w:tcPr>
              <w:p w14:paraId="4EFB5689"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15,810,000</w:t>
                </w:r>
              </w:p>
            </w:tc>
            <w:tc>
              <w:tcPr>
                <w:tcW w:w="1540" w:type="dxa"/>
                <w:tcBorders>
                  <w:top w:val="nil"/>
                  <w:left w:val="nil"/>
                  <w:bottom w:val="nil"/>
                  <w:right w:val="nil"/>
                </w:tcBorders>
                <w:shd w:val="clear" w:color="auto" w:fill="auto"/>
                <w:noWrap/>
                <w:vAlign w:val="bottom"/>
                <w:hideMark/>
              </w:tcPr>
              <w:p w14:paraId="1B33A77B"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12,558,000</w:t>
                </w:r>
              </w:p>
            </w:tc>
            <w:tc>
              <w:tcPr>
                <w:tcW w:w="1220" w:type="dxa"/>
                <w:tcBorders>
                  <w:top w:val="nil"/>
                  <w:left w:val="nil"/>
                  <w:bottom w:val="nil"/>
                  <w:right w:val="nil"/>
                </w:tcBorders>
                <w:shd w:val="clear" w:color="auto" w:fill="auto"/>
                <w:noWrap/>
                <w:vAlign w:val="bottom"/>
                <w:hideMark/>
              </w:tcPr>
              <w:p w14:paraId="27ACC7C4" w14:textId="561578A0" w:rsidR="00DB6A70" w:rsidRPr="00DB6A70" w:rsidRDefault="00721719"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3,252,000</w:t>
                </w:r>
              </w:p>
            </w:tc>
            <w:tc>
              <w:tcPr>
                <w:tcW w:w="960" w:type="dxa"/>
                <w:tcBorders>
                  <w:top w:val="nil"/>
                  <w:left w:val="nil"/>
                  <w:bottom w:val="nil"/>
                  <w:right w:val="nil"/>
                </w:tcBorders>
                <w:shd w:val="clear" w:color="auto" w:fill="auto"/>
                <w:noWrap/>
                <w:vAlign w:val="bottom"/>
              </w:tcPr>
              <w:p w14:paraId="2A7878E1" w14:textId="7929C930" w:rsidR="00DB6A70" w:rsidRPr="00DB6A70" w:rsidRDefault="002E62F2" w:rsidP="00DB6A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0.26</w:t>
                </w:r>
              </w:p>
            </w:tc>
          </w:tr>
          <w:tr w:rsidR="00DB6A70" w:rsidRPr="00DB6A70" w14:paraId="1EF5A1A4" w14:textId="77777777" w:rsidTr="002E0194">
            <w:trPr>
              <w:trHeight w:val="288"/>
            </w:trPr>
            <w:tc>
              <w:tcPr>
                <w:tcW w:w="2872" w:type="dxa"/>
                <w:tcBorders>
                  <w:top w:val="nil"/>
                  <w:left w:val="nil"/>
                  <w:bottom w:val="nil"/>
                  <w:right w:val="nil"/>
                </w:tcBorders>
                <w:shd w:val="clear" w:color="auto" w:fill="auto"/>
                <w:noWrap/>
                <w:vAlign w:val="bottom"/>
                <w:hideMark/>
              </w:tcPr>
              <w:p w14:paraId="3429B6CE"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Total Liabilities</w:t>
                </w:r>
              </w:p>
            </w:tc>
            <w:tc>
              <w:tcPr>
                <w:tcW w:w="1600" w:type="dxa"/>
                <w:tcBorders>
                  <w:top w:val="nil"/>
                  <w:left w:val="nil"/>
                  <w:bottom w:val="nil"/>
                  <w:right w:val="nil"/>
                </w:tcBorders>
                <w:shd w:val="clear" w:color="auto" w:fill="auto"/>
                <w:noWrap/>
                <w:vAlign w:val="bottom"/>
                <w:hideMark/>
              </w:tcPr>
              <w:p w14:paraId="3F56B99A"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18,241,000</w:t>
                </w:r>
              </w:p>
            </w:tc>
            <w:tc>
              <w:tcPr>
                <w:tcW w:w="1540" w:type="dxa"/>
                <w:tcBorders>
                  <w:top w:val="nil"/>
                  <w:left w:val="nil"/>
                  <w:bottom w:val="nil"/>
                  <w:right w:val="nil"/>
                </w:tcBorders>
                <w:shd w:val="clear" w:color="auto" w:fill="auto"/>
                <w:noWrap/>
                <w:vAlign w:val="bottom"/>
                <w:hideMark/>
              </w:tcPr>
              <w:p w14:paraId="7D1B2EB2"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15,429,000</w:t>
                </w:r>
              </w:p>
            </w:tc>
            <w:tc>
              <w:tcPr>
                <w:tcW w:w="1220" w:type="dxa"/>
                <w:tcBorders>
                  <w:top w:val="nil"/>
                  <w:left w:val="nil"/>
                  <w:bottom w:val="nil"/>
                  <w:right w:val="nil"/>
                </w:tcBorders>
                <w:shd w:val="clear" w:color="auto" w:fill="auto"/>
                <w:noWrap/>
                <w:vAlign w:val="bottom"/>
                <w:hideMark/>
              </w:tcPr>
              <w:p w14:paraId="16DB5622" w14:textId="13CF8F93" w:rsidR="00DB6A70" w:rsidRPr="00DB6A70" w:rsidRDefault="00721719"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2,812,000</w:t>
                </w:r>
              </w:p>
            </w:tc>
            <w:tc>
              <w:tcPr>
                <w:tcW w:w="960" w:type="dxa"/>
                <w:tcBorders>
                  <w:top w:val="nil"/>
                  <w:left w:val="nil"/>
                  <w:bottom w:val="nil"/>
                  <w:right w:val="nil"/>
                </w:tcBorders>
                <w:shd w:val="clear" w:color="auto" w:fill="auto"/>
                <w:noWrap/>
                <w:vAlign w:val="bottom"/>
              </w:tcPr>
              <w:p w14:paraId="77840661" w14:textId="230CE624" w:rsidR="00DB6A70" w:rsidRPr="00DB6A70" w:rsidRDefault="002E62F2" w:rsidP="00DB6A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0.18</w:t>
                </w:r>
              </w:p>
            </w:tc>
          </w:tr>
          <w:tr w:rsidR="00DB6A70" w:rsidRPr="00DB6A70" w14:paraId="47FC5569" w14:textId="77777777" w:rsidTr="002E0194">
            <w:trPr>
              <w:trHeight w:val="288"/>
            </w:trPr>
            <w:tc>
              <w:tcPr>
                <w:tcW w:w="2872" w:type="dxa"/>
                <w:tcBorders>
                  <w:top w:val="nil"/>
                  <w:left w:val="nil"/>
                  <w:bottom w:val="nil"/>
                  <w:right w:val="nil"/>
                </w:tcBorders>
                <w:shd w:val="clear" w:color="auto" w:fill="auto"/>
                <w:noWrap/>
                <w:vAlign w:val="bottom"/>
                <w:hideMark/>
              </w:tcPr>
              <w:p w14:paraId="5046C15B"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Common Stock</w:t>
                </w:r>
              </w:p>
            </w:tc>
            <w:tc>
              <w:tcPr>
                <w:tcW w:w="1600" w:type="dxa"/>
                <w:tcBorders>
                  <w:top w:val="nil"/>
                  <w:left w:val="nil"/>
                  <w:bottom w:val="nil"/>
                  <w:right w:val="nil"/>
                </w:tcBorders>
                <w:shd w:val="clear" w:color="auto" w:fill="auto"/>
                <w:noWrap/>
                <w:vAlign w:val="bottom"/>
                <w:hideMark/>
              </w:tcPr>
              <w:p w14:paraId="4574A36A"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3,000</w:t>
                </w:r>
              </w:p>
            </w:tc>
            <w:tc>
              <w:tcPr>
                <w:tcW w:w="1540" w:type="dxa"/>
                <w:tcBorders>
                  <w:top w:val="nil"/>
                  <w:left w:val="nil"/>
                  <w:bottom w:val="nil"/>
                  <w:right w:val="nil"/>
                </w:tcBorders>
                <w:shd w:val="clear" w:color="auto" w:fill="auto"/>
                <w:noWrap/>
                <w:vAlign w:val="bottom"/>
                <w:hideMark/>
              </w:tcPr>
              <w:p w14:paraId="26ADEDCE"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3,000</w:t>
                </w:r>
              </w:p>
            </w:tc>
            <w:tc>
              <w:tcPr>
                <w:tcW w:w="1220" w:type="dxa"/>
                <w:tcBorders>
                  <w:top w:val="nil"/>
                  <w:left w:val="nil"/>
                  <w:bottom w:val="nil"/>
                  <w:right w:val="nil"/>
                </w:tcBorders>
                <w:shd w:val="clear" w:color="auto" w:fill="auto"/>
                <w:noWrap/>
                <w:vAlign w:val="bottom"/>
                <w:hideMark/>
              </w:tcPr>
              <w:p w14:paraId="7988B892" w14:textId="1CC3C8A1" w:rsidR="00DB6A70" w:rsidRPr="00DB6A70" w:rsidRDefault="00721719"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0</w:t>
                </w:r>
              </w:p>
            </w:tc>
            <w:tc>
              <w:tcPr>
                <w:tcW w:w="960" w:type="dxa"/>
                <w:tcBorders>
                  <w:top w:val="nil"/>
                  <w:left w:val="nil"/>
                  <w:bottom w:val="nil"/>
                  <w:right w:val="nil"/>
                </w:tcBorders>
                <w:shd w:val="clear" w:color="auto" w:fill="auto"/>
                <w:noWrap/>
                <w:vAlign w:val="bottom"/>
              </w:tcPr>
              <w:p w14:paraId="0D1DB6D9" w14:textId="1C9CD7FA" w:rsidR="00DB6A70" w:rsidRPr="00DB6A70" w:rsidRDefault="002E62F2" w:rsidP="00DB6A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0.00</w:t>
                </w:r>
              </w:p>
            </w:tc>
          </w:tr>
          <w:tr w:rsidR="00DB6A70" w:rsidRPr="00DB6A70" w14:paraId="3FA9A442" w14:textId="77777777" w:rsidTr="002E0194">
            <w:trPr>
              <w:trHeight w:val="288"/>
            </w:trPr>
            <w:tc>
              <w:tcPr>
                <w:tcW w:w="2872" w:type="dxa"/>
                <w:tcBorders>
                  <w:top w:val="nil"/>
                  <w:left w:val="nil"/>
                  <w:bottom w:val="nil"/>
                  <w:right w:val="nil"/>
                </w:tcBorders>
                <w:shd w:val="clear" w:color="auto" w:fill="auto"/>
                <w:noWrap/>
                <w:vAlign w:val="bottom"/>
                <w:hideMark/>
              </w:tcPr>
              <w:p w14:paraId="366567ED"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Retained Earnings</w:t>
                </w:r>
              </w:p>
            </w:tc>
            <w:tc>
              <w:tcPr>
                <w:tcW w:w="1600" w:type="dxa"/>
                <w:tcBorders>
                  <w:top w:val="nil"/>
                  <w:left w:val="nil"/>
                  <w:bottom w:val="nil"/>
                  <w:right w:val="nil"/>
                </w:tcBorders>
                <w:shd w:val="clear" w:color="auto" w:fill="auto"/>
                <w:noWrap/>
                <w:vAlign w:val="bottom"/>
                <w:hideMark/>
              </w:tcPr>
              <w:p w14:paraId="6B50AD36"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-6,732,000</w:t>
                </w:r>
              </w:p>
            </w:tc>
            <w:tc>
              <w:tcPr>
                <w:tcW w:w="1540" w:type="dxa"/>
                <w:tcBorders>
                  <w:top w:val="nil"/>
                  <w:left w:val="nil"/>
                  <w:bottom w:val="nil"/>
                  <w:right w:val="nil"/>
                </w:tcBorders>
                <w:shd w:val="clear" w:color="auto" w:fill="auto"/>
                <w:noWrap/>
                <w:vAlign w:val="bottom"/>
                <w:hideMark/>
              </w:tcPr>
              <w:p w14:paraId="1111E0B7"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-5,965,000</w:t>
                </w:r>
              </w:p>
            </w:tc>
            <w:tc>
              <w:tcPr>
                <w:tcW w:w="1220" w:type="dxa"/>
                <w:tcBorders>
                  <w:top w:val="nil"/>
                  <w:left w:val="nil"/>
                  <w:bottom w:val="nil"/>
                  <w:right w:val="nil"/>
                </w:tcBorders>
                <w:shd w:val="clear" w:color="auto" w:fill="auto"/>
                <w:noWrap/>
                <w:vAlign w:val="bottom"/>
                <w:hideMark/>
              </w:tcPr>
              <w:p w14:paraId="75E675C3" w14:textId="2CBDEEB9" w:rsidR="00DB6A70" w:rsidRPr="00DB6A70" w:rsidRDefault="00721719"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-767,000</w:t>
                </w:r>
              </w:p>
            </w:tc>
            <w:tc>
              <w:tcPr>
                <w:tcW w:w="960" w:type="dxa"/>
                <w:tcBorders>
                  <w:top w:val="nil"/>
                  <w:left w:val="nil"/>
                  <w:bottom w:val="nil"/>
                  <w:right w:val="nil"/>
                </w:tcBorders>
                <w:shd w:val="clear" w:color="auto" w:fill="auto"/>
                <w:noWrap/>
                <w:vAlign w:val="bottom"/>
              </w:tcPr>
              <w:p w14:paraId="2540BD44" w14:textId="527DACD4" w:rsidR="00DB6A70" w:rsidRPr="00DB6A70" w:rsidRDefault="002E62F2" w:rsidP="00DB6A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0.13</w:t>
                </w:r>
              </w:p>
            </w:tc>
          </w:tr>
          <w:tr w:rsidR="00DB6A70" w:rsidRPr="00DB6A70" w14:paraId="3BF46150" w14:textId="77777777" w:rsidTr="002E0194">
            <w:trPr>
              <w:trHeight w:val="288"/>
            </w:trPr>
            <w:tc>
              <w:tcPr>
                <w:tcW w:w="2872" w:type="dxa"/>
                <w:tcBorders>
                  <w:top w:val="nil"/>
                  <w:left w:val="nil"/>
                  <w:bottom w:val="nil"/>
                  <w:right w:val="nil"/>
                </w:tcBorders>
                <w:shd w:val="clear" w:color="auto" w:fill="auto"/>
                <w:noWrap/>
                <w:vAlign w:val="bottom"/>
                <w:hideMark/>
              </w:tcPr>
              <w:p w14:paraId="6A0F478C"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Total Stockholders' Equity</w:t>
                </w:r>
              </w:p>
            </w:tc>
            <w:tc>
              <w:tcPr>
                <w:tcW w:w="1600" w:type="dxa"/>
                <w:tcBorders>
                  <w:top w:val="nil"/>
                  <w:left w:val="nil"/>
                  <w:bottom w:val="nil"/>
                  <w:right w:val="nil"/>
                </w:tcBorders>
                <w:shd w:val="clear" w:color="auto" w:fill="auto"/>
                <w:noWrap/>
                <w:vAlign w:val="bottom"/>
                <w:hideMark/>
              </w:tcPr>
              <w:p w14:paraId="6738C250"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-1,490,000</w:t>
                </w:r>
              </w:p>
            </w:tc>
            <w:tc>
              <w:tcPr>
                <w:tcW w:w="1540" w:type="dxa"/>
                <w:tcBorders>
                  <w:top w:val="nil"/>
                  <w:left w:val="nil"/>
                  <w:bottom w:val="nil"/>
                  <w:right w:val="nil"/>
                </w:tcBorders>
                <w:shd w:val="clear" w:color="auto" w:fill="auto"/>
                <w:noWrap/>
                <w:vAlign w:val="bottom"/>
                <w:hideMark/>
              </w:tcPr>
              <w:p w14:paraId="07836BF4"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-482,000</w:t>
                </w:r>
              </w:p>
            </w:tc>
            <w:tc>
              <w:tcPr>
                <w:tcW w:w="1220" w:type="dxa"/>
                <w:tcBorders>
                  <w:top w:val="nil"/>
                  <w:left w:val="nil"/>
                  <w:bottom w:val="nil"/>
                  <w:right w:val="nil"/>
                </w:tcBorders>
                <w:shd w:val="clear" w:color="auto" w:fill="auto"/>
                <w:noWrap/>
                <w:vAlign w:val="bottom"/>
                <w:hideMark/>
              </w:tcPr>
              <w:p w14:paraId="57D130E7" w14:textId="16BD8CDC" w:rsidR="00DB6A70" w:rsidRPr="00DB6A70" w:rsidRDefault="00721719"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-1,008,000</w:t>
                </w:r>
              </w:p>
            </w:tc>
            <w:tc>
              <w:tcPr>
                <w:tcW w:w="960" w:type="dxa"/>
                <w:tcBorders>
                  <w:top w:val="nil"/>
                  <w:left w:val="nil"/>
                  <w:bottom w:val="nil"/>
                  <w:right w:val="nil"/>
                </w:tcBorders>
                <w:shd w:val="clear" w:color="auto" w:fill="auto"/>
                <w:noWrap/>
                <w:vAlign w:val="bottom"/>
              </w:tcPr>
              <w:p w14:paraId="0F4DEFC7" w14:textId="3D6EAF8A" w:rsidR="00DB6A70" w:rsidRPr="00DB6A70" w:rsidRDefault="002E62F2" w:rsidP="00DB6A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2.09</w:t>
                </w:r>
              </w:p>
            </w:tc>
          </w:tr>
          <w:tr w:rsidR="00DB6A70" w:rsidRPr="00DB6A70" w14:paraId="54F328DF" w14:textId="77777777" w:rsidTr="002E0194">
            <w:trPr>
              <w:trHeight w:val="288"/>
            </w:trPr>
            <w:tc>
              <w:tcPr>
                <w:tcW w:w="2872" w:type="dxa"/>
                <w:tcBorders>
                  <w:top w:val="nil"/>
                  <w:left w:val="nil"/>
                  <w:bottom w:val="nil"/>
                  <w:right w:val="nil"/>
                </w:tcBorders>
                <w:shd w:val="clear" w:color="auto" w:fill="auto"/>
                <w:noWrap/>
                <w:vAlign w:val="bottom"/>
                <w:hideMark/>
              </w:tcPr>
              <w:p w14:paraId="2946007F" w14:textId="77777777" w:rsidR="00DB6A70" w:rsidRPr="00DB6A70" w:rsidRDefault="00DB6A70" w:rsidP="00DB6A70">
                <w:pPr>
                  <w:spacing w:after="0" w:line="240" w:lineRule="auto"/>
                  <w:rPr>
                    <w:rFonts w:ascii="Calibri" w:eastAsia="Times New Roman" w:hAnsi="Calibri" w:cs="Calibri"/>
                    <w:color w:val="000000"/>
                    <w:lang w:eastAsia="en-GB"/>
                  </w:rPr>
                </w:pPr>
                <w:r w:rsidRPr="00DB6A70">
                  <w:rPr>
                    <w:rFonts w:ascii="Calibri" w:eastAsia="Times New Roman" w:hAnsi="Calibri" w:cs="Calibri"/>
                    <w:color w:val="000000"/>
                    <w:lang w:eastAsia="en-GB"/>
                  </w:rPr>
                  <w:t>Total Liabilities and Stockholder</w:t>
                </w:r>
              </w:p>
            </w:tc>
            <w:tc>
              <w:tcPr>
                <w:tcW w:w="1600" w:type="dxa"/>
                <w:tcBorders>
                  <w:top w:val="nil"/>
                  <w:left w:val="nil"/>
                  <w:bottom w:val="nil"/>
                  <w:right w:val="nil"/>
                </w:tcBorders>
                <w:shd w:val="clear" w:color="auto" w:fill="auto"/>
                <w:noWrap/>
                <w:vAlign w:val="bottom"/>
                <w:hideMark/>
              </w:tcPr>
              <w:p w14:paraId="7D8DD815"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16,755,000</w:t>
                </w:r>
              </w:p>
            </w:tc>
            <w:tc>
              <w:tcPr>
                <w:tcW w:w="1540" w:type="dxa"/>
                <w:tcBorders>
                  <w:top w:val="nil"/>
                  <w:left w:val="nil"/>
                  <w:bottom w:val="nil"/>
                  <w:right w:val="nil"/>
                </w:tcBorders>
                <w:shd w:val="clear" w:color="auto" w:fill="auto"/>
                <w:noWrap/>
                <w:vAlign w:val="bottom"/>
                <w:hideMark/>
              </w:tcPr>
              <w:p w14:paraId="45A79690" w14:textId="77777777" w:rsidR="00DB6A70" w:rsidRPr="00DB6A70" w:rsidRDefault="00DB6A70" w:rsidP="00DB6A70">
                <w:pPr>
                  <w:spacing w:after="0" w:line="240" w:lineRule="auto"/>
                  <w:jc w:val="right"/>
                  <w:rPr>
                    <w:rFonts w:ascii="Calibri" w:eastAsia="Times New Roman" w:hAnsi="Calibri" w:cs="Calibri"/>
                    <w:color w:val="000000"/>
                    <w:lang w:eastAsia="en-GB"/>
                  </w:rPr>
                </w:pPr>
                <w:r w:rsidRPr="00DB6A70">
                  <w:rPr>
                    <w:rFonts w:ascii="Calibri" w:eastAsia="Times New Roman" w:hAnsi="Calibri" w:cs="Calibri"/>
                    <w:color w:val="000000"/>
                    <w:lang w:eastAsia="en-GB"/>
                  </w:rPr>
                  <w:t>14,957,000</w:t>
                </w:r>
              </w:p>
            </w:tc>
            <w:tc>
              <w:tcPr>
                <w:tcW w:w="1220" w:type="dxa"/>
                <w:tcBorders>
                  <w:top w:val="nil"/>
                  <w:left w:val="nil"/>
                  <w:bottom w:val="nil"/>
                  <w:right w:val="nil"/>
                </w:tcBorders>
                <w:shd w:val="clear" w:color="auto" w:fill="auto"/>
                <w:noWrap/>
                <w:vAlign w:val="bottom"/>
                <w:hideMark/>
              </w:tcPr>
              <w:p w14:paraId="4947F2BF" w14:textId="5BB7916E" w:rsidR="00DB6A70" w:rsidRPr="00DB6A70" w:rsidRDefault="00721719" w:rsidP="00DB6A70">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1,798,000</w:t>
                </w:r>
              </w:p>
            </w:tc>
            <w:tc>
              <w:tcPr>
                <w:tcW w:w="960" w:type="dxa"/>
                <w:tcBorders>
                  <w:top w:val="nil"/>
                  <w:left w:val="nil"/>
                  <w:bottom w:val="nil"/>
                  <w:right w:val="nil"/>
                </w:tcBorders>
                <w:shd w:val="clear" w:color="auto" w:fill="auto"/>
                <w:noWrap/>
                <w:vAlign w:val="bottom"/>
              </w:tcPr>
              <w:p w14:paraId="68385A75" w14:textId="1F50912B" w:rsidR="00DB6A70" w:rsidRPr="00DB6A70" w:rsidRDefault="002E62F2" w:rsidP="00DB6A70">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0.12</w:t>
                </w:r>
              </w:p>
            </w:tc>
          </w:tr>
        </w:tbl>
        <w:p w14:paraId="0F73E235" w14:textId="77777777" w:rsidR="009C1CE2" w:rsidRDefault="009C1CE2" w:rsidP="007D1947"/>
        <w:p w14:paraId="6BB9D402" w14:textId="77777777" w:rsidR="009C1CE2" w:rsidRDefault="009C1CE2" w:rsidP="007D1947"/>
        <w:p w14:paraId="30745950" w14:textId="79B7CC1B" w:rsidR="008F1FA3" w:rsidRPr="008F1FA3" w:rsidRDefault="004D519C" w:rsidP="008F1FA3">
          <w:pPr>
            <w:pStyle w:val="Heading1"/>
          </w:pPr>
          <w:bookmarkStart w:id="3" w:name="_Toc104552231"/>
          <w:r>
            <w:t>Financial Analysis Trends</w:t>
          </w:r>
          <w:bookmarkEnd w:id="3"/>
        </w:p>
        <w:p w14:paraId="6BB03257" w14:textId="373138B0" w:rsidR="008F1FA3" w:rsidRPr="00F0319B" w:rsidRDefault="008F1FA3" w:rsidP="00F0319B">
          <w:pPr>
            <w:autoSpaceDE w:val="0"/>
            <w:autoSpaceDN w:val="0"/>
            <w:adjustRightInd w:val="0"/>
            <w:rPr>
              <w:sz w:val="24"/>
              <w:szCs w:val="24"/>
            </w:rPr>
          </w:pPr>
        </w:p>
        <w:p w14:paraId="2443D054" w14:textId="17296FCD" w:rsidR="00351685" w:rsidRPr="004779DC" w:rsidRDefault="00C62324" w:rsidP="003D0DA2">
          <w:pPr>
            <w:autoSpaceDE w:val="0"/>
            <w:autoSpaceDN w:val="0"/>
            <w:adjustRightInd w:val="0"/>
            <w:jc w:val="both"/>
            <w:rPr>
              <w:rFonts w:ascii="Times New Roman" w:hAnsi="Times New Roman" w:cs="Times New Roman"/>
              <w:sz w:val="24"/>
              <w:szCs w:val="24"/>
            </w:rPr>
          </w:pPr>
          <w:r w:rsidRPr="004779DC">
            <w:rPr>
              <w:rFonts w:ascii="Times New Roman" w:hAnsi="Times New Roman" w:cs="Times New Roman"/>
              <w:sz w:val="24"/>
              <w:szCs w:val="24"/>
            </w:rPr>
            <w:t>Horizontal analysis examines changes in financial statement line items over time.</w:t>
          </w:r>
          <w:r w:rsidR="00966FC2" w:rsidRPr="004779DC">
            <w:rPr>
              <w:rFonts w:ascii="Times New Roman" w:hAnsi="Times New Roman" w:cs="Times New Roman"/>
              <w:sz w:val="24"/>
              <w:szCs w:val="24"/>
            </w:rPr>
            <w:t xml:space="preserve"> According to the researcher, “</w:t>
          </w:r>
          <w:r w:rsidR="0012252E" w:rsidRPr="0012252E">
            <w:rPr>
              <w:rFonts w:ascii="Times New Roman" w:hAnsi="Times New Roman" w:cs="Times New Roman"/>
              <w:sz w:val="24"/>
              <w:szCs w:val="24"/>
            </w:rPr>
            <w:t>Horizontal analysis is used by investors and analysts to determine what factors have influenced a company's financial performance over time, as well as to discover trends and growth patterns such as seasonality.</w:t>
          </w:r>
          <w:r w:rsidR="00966FC2" w:rsidRPr="004779DC">
            <w:rPr>
              <w:rFonts w:ascii="Times New Roman" w:hAnsi="Times New Roman" w:cs="Times New Roman"/>
              <w:sz w:val="24"/>
              <w:szCs w:val="24"/>
            </w:rPr>
            <w:t>”</w:t>
          </w:r>
          <w:sdt>
            <w:sdtPr>
              <w:rPr>
                <w:rFonts w:ascii="Times New Roman" w:hAnsi="Times New Roman" w:cs="Times New Roman"/>
                <w:sz w:val="24"/>
                <w:szCs w:val="24"/>
              </w:rPr>
              <w:id w:val="-635110739"/>
              <w:citation/>
            </w:sdtPr>
            <w:sdtEndPr/>
            <w:sdtContent>
              <w:r w:rsidR="00966FC2" w:rsidRPr="004779DC">
                <w:rPr>
                  <w:rFonts w:ascii="Times New Roman" w:hAnsi="Times New Roman" w:cs="Times New Roman"/>
                  <w:sz w:val="24"/>
                  <w:szCs w:val="24"/>
                </w:rPr>
                <w:fldChar w:fldCharType="begin"/>
              </w:r>
              <w:r w:rsidR="00966FC2" w:rsidRPr="004779DC">
                <w:rPr>
                  <w:rFonts w:ascii="Times New Roman" w:hAnsi="Times New Roman" w:cs="Times New Roman"/>
                  <w:sz w:val="24"/>
                  <w:szCs w:val="24"/>
                  <w:lang w:val="en-US"/>
                </w:rPr>
                <w:instrText xml:space="preserve"> CITATION DrA21 \l 1033 </w:instrText>
              </w:r>
              <w:r w:rsidR="00966FC2" w:rsidRPr="004779DC">
                <w:rPr>
                  <w:rFonts w:ascii="Times New Roman" w:hAnsi="Times New Roman" w:cs="Times New Roman"/>
                  <w:sz w:val="24"/>
                  <w:szCs w:val="24"/>
                </w:rPr>
                <w:fldChar w:fldCharType="separate"/>
              </w:r>
              <w:r w:rsidR="00966FC2" w:rsidRPr="004779DC">
                <w:rPr>
                  <w:rFonts w:ascii="Times New Roman" w:hAnsi="Times New Roman" w:cs="Times New Roman"/>
                  <w:noProof/>
                  <w:sz w:val="24"/>
                  <w:szCs w:val="24"/>
                  <w:lang w:val="en-US"/>
                </w:rPr>
                <w:t xml:space="preserve"> (Ibrahim, 2021)</w:t>
              </w:r>
              <w:r w:rsidR="00966FC2" w:rsidRPr="004779DC">
                <w:rPr>
                  <w:rFonts w:ascii="Times New Roman" w:hAnsi="Times New Roman" w:cs="Times New Roman"/>
                  <w:sz w:val="24"/>
                  <w:szCs w:val="24"/>
                </w:rPr>
                <w:fldChar w:fldCharType="end"/>
              </w:r>
            </w:sdtContent>
          </w:sdt>
          <w:r w:rsidRPr="004779DC">
            <w:rPr>
              <w:rFonts w:ascii="Times New Roman" w:hAnsi="Times New Roman" w:cs="Times New Roman"/>
              <w:sz w:val="24"/>
              <w:szCs w:val="24"/>
            </w:rPr>
            <w:t xml:space="preserve"> </w:t>
          </w:r>
          <w:r w:rsidR="00966FC2" w:rsidRPr="004779DC">
            <w:rPr>
              <w:rFonts w:ascii="Times New Roman" w:hAnsi="Times New Roman" w:cs="Times New Roman"/>
              <w:sz w:val="24"/>
              <w:szCs w:val="24"/>
            </w:rPr>
            <w:t xml:space="preserve">. It is considered a significant analysis in this sense. </w:t>
          </w:r>
          <w:r w:rsidR="009951C9" w:rsidRPr="004779DC">
            <w:rPr>
              <w:rFonts w:ascii="Times New Roman" w:hAnsi="Times New Roman" w:cs="Times New Roman"/>
              <w:sz w:val="24"/>
              <w:szCs w:val="24"/>
            </w:rPr>
            <w:t xml:space="preserve">Hilton Worldwide Holdings Inc. (HLT) the base year are taken as 2019 and the current year are 2020. The direction of change over time in financial analysis is crucial, and trend analysis illustrates such changes. Trend analysis calculates trend percentages for each item of the financial statements that relates to the same item in the base year. </w:t>
          </w:r>
          <w:r w:rsidR="000E6EC7" w:rsidRPr="004779DC">
            <w:rPr>
              <w:rFonts w:ascii="Times New Roman" w:hAnsi="Times New Roman" w:cs="Times New Roman"/>
              <w:sz w:val="24"/>
              <w:szCs w:val="24"/>
            </w:rPr>
            <w:t>According to the researcher, “</w:t>
          </w:r>
          <w:r w:rsidR="009951C9" w:rsidRPr="004779DC">
            <w:rPr>
              <w:rFonts w:ascii="Times New Roman" w:hAnsi="Times New Roman" w:cs="Times New Roman"/>
              <w:sz w:val="24"/>
              <w:szCs w:val="24"/>
            </w:rPr>
            <w:t>Trend percentages indicate changes in financial and operating data over time, allowing analysts to determine whether the data reflects favourable or negative trends.</w:t>
          </w:r>
          <w:r w:rsidR="000E6EC7" w:rsidRPr="004779DC">
            <w:rPr>
              <w:rFonts w:ascii="Times New Roman" w:hAnsi="Times New Roman" w:cs="Times New Roman"/>
              <w:sz w:val="24"/>
              <w:szCs w:val="24"/>
            </w:rPr>
            <w:t>”</w:t>
          </w:r>
          <w:sdt>
            <w:sdtPr>
              <w:rPr>
                <w:rFonts w:ascii="Times New Roman" w:hAnsi="Times New Roman" w:cs="Times New Roman"/>
                <w:sz w:val="24"/>
                <w:szCs w:val="24"/>
              </w:rPr>
              <w:id w:val="-1232847741"/>
              <w:citation/>
            </w:sdtPr>
            <w:sdtEndPr/>
            <w:sdtContent>
              <w:r w:rsidR="000E6EC7" w:rsidRPr="004779DC">
                <w:rPr>
                  <w:rFonts w:ascii="Times New Roman" w:hAnsi="Times New Roman" w:cs="Times New Roman"/>
                  <w:sz w:val="24"/>
                  <w:szCs w:val="24"/>
                </w:rPr>
                <w:fldChar w:fldCharType="begin"/>
              </w:r>
              <w:r w:rsidR="000E6EC7" w:rsidRPr="004779DC">
                <w:rPr>
                  <w:rFonts w:ascii="Times New Roman" w:hAnsi="Times New Roman" w:cs="Times New Roman"/>
                  <w:sz w:val="24"/>
                  <w:szCs w:val="24"/>
                  <w:lang w:val="en-US"/>
                </w:rPr>
                <w:instrText xml:space="preserve"> CITATION MSa11 \l 1033 </w:instrText>
              </w:r>
              <w:r w:rsidR="000E6EC7" w:rsidRPr="004779DC">
                <w:rPr>
                  <w:rFonts w:ascii="Times New Roman" w:hAnsi="Times New Roman" w:cs="Times New Roman"/>
                  <w:sz w:val="24"/>
                  <w:szCs w:val="24"/>
                </w:rPr>
                <w:fldChar w:fldCharType="separate"/>
              </w:r>
              <w:r w:rsidR="000E6EC7" w:rsidRPr="004779DC">
                <w:rPr>
                  <w:rFonts w:ascii="Times New Roman" w:hAnsi="Times New Roman" w:cs="Times New Roman"/>
                  <w:noProof/>
                  <w:sz w:val="24"/>
                  <w:szCs w:val="24"/>
                  <w:lang w:val="en-US"/>
                </w:rPr>
                <w:t xml:space="preserve"> (M. Sarngadharan, 2011)</w:t>
              </w:r>
              <w:r w:rsidR="000E6EC7" w:rsidRPr="004779DC">
                <w:rPr>
                  <w:rFonts w:ascii="Times New Roman" w:hAnsi="Times New Roman" w:cs="Times New Roman"/>
                  <w:sz w:val="24"/>
                  <w:szCs w:val="24"/>
                </w:rPr>
                <w:fldChar w:fldCharType="end"/>
              </w:r>
            </w:sdtContent>
          </w:sdt>
          <w:r w:rsidR="000E6EC7" w:rsidRPr="004779DC">
            <w:rPr>
              <w:rFonts w:ascii="Times New Roman" w:hAnsi="Times New Roman" w:cs="Times New Roman"/>
              <w:sz w:val="24"/>
              <w:szCs w:val="24"/>
            </w:rPr>
            <w:t xml:space="preserve">. </w:t>
          </w:r>
          <w:r w:rsidR="003D0DA2" w:rsidRPr="004779DC">
            <w:rPr>
              <w:rFonts w:ascii="Times New Roman" w:hAnsi="Times New Roman" w:cs="Times New Roman"/>
              <w:sz w:val="24"/>
              <w:szCs w:val="24"/>
            </w:rPr>
            <w:t>From above</w:t>
          </w:r>
          <w:r w:rsidR="00783D91" w:rsidRPr="004779DC">
            <w:rPr>
              <w:rFonts w:ascii="Times New Roman" w:hAnsi="Times New Roman" w:cs="Times New Roman"/>
              <w:sz w:val="24"/>
              <w:szCs w:val="24"/>
            </w:rPr>
            <w:t xml:space="preserve"> Hilton Worldwide Holdings Inc. (HLT)</w:t>
          </w:r>
          <w:r w:rsidR="003D0DA2" w:rsidRPr="004779DC">
            <w:rPr>
              <w:rFonts w:ascii="Times New Roman" w:hAnsi="Times New Roman" w:cs="Times New Roman"/>
              <w:sz w:val="24"/>
              <w:szCs w:val="24"/>
            </w:rPr>
            <w:t xml:space="preserve"> the financial analysis the changes of sales between two years are significantly, in 2020 year the changes negative value 5,145,000 and -54 percentage changes. And there only one positive changes arise which is interest expense 15,000 and 4% from the 2019 year. </w:t>
          </w:r>
          <w:r w:rsidR="00351685" w:rsidRPr="004779DC">
            <w:rPr>
              <w:rFonts w:ascii="Times New Roman" w:hAnsi="Times New Roman" w:cs="Times New Roman"/>
              <w:sz w:val="24"/>
              <w:szCs w:val="24"/>
            </w:rPr>
            <w:t>From the table the gross profit percentage change is -76% which is lower than sales percentage which is -54% due to the lower in the cost of goods sold. Further operating income which is -108% and net income are -181% have also witnessed lower growth due to increase in operating expense which is -18%.</w:t>
          </w:r>
        </w:p>
        <w:p w14:paraId="0A7A13D7" w14:textId="60287F78" w:rsidR="00C57FE7" w:rsidRPr="004779DC" w:rsidRDefault="00C828D6" w:rsidP="003D0DA2">
          <w:pPr>
            <w:autoSpaceDE w:val="0"/>
            <w:autoSpaceDN w:val="0"/>
            <w:adjustRightInd w:val="0"/>
            <w:jc w:val="both"/>
            <w:rPr>
              <w:rFonts w:ascii="Times New Roman" w:hAnsi="Times New Roman" w:cs="Times New Roman"/>
              <w:sz w:val="24"/>
              <w:szCs w:val="24"/>
            </w:rPr>
          </w:pPr>
          <w:r w:rsidRPr="004779DC">
            <w:rPr>
              <w:rFonts w:ascii="Times New Roman" w:hAnsi="Times New Roman" w:cs="Times New Roman"/>
              <w:sz w:val="24"/>
              <w:szCs w:val="24"/>
            </w:rPr>
            <w:t xml:space="preserve">Reliant on their expectation, Hilton Worldwide Holdings Inc. (HLT) could make decision to alter operations to produce expected consequence. For instance, the table shows that current assets increase from the prior year which is 4,202,000 from current year in 2020 and the previous year are lower which is 2,093,000 and the percentage change are extremely high which is 101% from the base year. </w:t>
          </w:r>
          <w:r w:rsidR="00783D91" w:rsidRPr="004779DC">
            <w:rPr>
              <w:rFonts w:ascii="Times New Roman" w:hAnsi="Times New Roman" w:cs="Times New Roman"/>
              <w:sz w:val="24"/>
              <w:szCs w:val="24"/>
            </w:rPr>
            <w:t>The trending of items on these financial accounts may provide important insight into a company's overall performance as well as particular areas for development. Horizontal examination of data over various periods is particularly useful for determining how change occurs for each line item.</w:t>
          </w:r>
        </w:p>
        <w:p w14:paraId="04B60201" w14:textId="0CAEF85C" w:rsidR="00C828D6" w:rsidRPr="004779DC" w:rsidRDefault="00C828D6" w:rsidP="003D0DA2">
          <w:pPr>
            <w:autoSpaceDE w:val="0"/>
            <w:autoSpaceDN w:val="0"/>
            <w:adjustRightInd w:val="0"/>
            <w:jc w:val="both"/>
            <w:rPr>
              <w:rFonts w:ascii="Times New Roman" w:hAnsi="Times New Roman" w:cs="Times New Roman"/>
              <w:sz w:val="24"/>
              <w:szCs w:val="24"/>
            </w:rPr>
          </w:pPr>
          <w:r w:rsidRPr="004779DC">
            <w:rPr>
              <w:rFonts w:ascii="Times New Roman" w:hAnsi="Times New Roman" w:cs="Times New Roman"/>
              <w:sz w:val="24"/>
              <w:szCs w:val="24"/>
            </w:rPr>
            <w:lastRenderedPageBreak/>
            <w:t>Ratio analysis could be used to assess performance patterns, define success standards, set budget objectives, and compare company's competitive using the data obtained.</w:t>
          </w:r>
        </w:p>
        <w:p w14:paraId="389668A4" w14:textId="1A6DE34F" w:rsidR="007572AF" w:rsidRPr="004779DC" w:rsidRDefault="007572AF" w:rsidP="003D0DA2">
          <w:pPr>
            <w:autoSpaceDE w:val="0"/>
            <w:autoSpaceDN w:val="0"/>
            <w:adjustRightInd w:val="0"/>
            <w:jc w:val="both"/>
            <w:rPr>
              <w:rFonts w:ascii="Times New Roman" w:hAnsi="Times New Roman" w:cs="Times New Roman"/>
              <w:sz w:val="24"/>
              <w:szCs w:val="24"/>
            </w:rPr>
          </w:pPr>
          <w:r w:rsidRPr="004779DC">
            <w:rPr>
              <w:rFonts w:ascii="Times New Roman" w:hAnsi="Times New Roman" w:cs="Times New Roman"/>
              <w:sz w:val="24"/>
              <w:szCs w:val="24"/>
            </w:rPr>
            <w:t xml:space="preserve">Types of ratios; </w:t>
          </w:r>
        </w:p>
        <w:p w14:paraId="7016EE37" w14:textId="2F7AAC20" w:rsidR="007572AF" w:rsidRPr="004779DC" w:rsidRDefault="007572AF" w:rsidP="00D26C69">
          <w:pPr>
            <w:pStyle w:val="ListParagraph"/>
            <w:numPr>
              <w:ilvl w:val="0"/>
              <w:numId w:val="2"/>
            </w:numPr>
            <w:autoSpaceDE w:val="0"/>
            <w:autoSpaceDN w:val="0"/>
            <w:adjustRightInd w:val="0"/>
            <w:jc w:val="both"/>
            <w:rPr>
              <w:sz w:val="24"/>
              <w:szCs w:val="24"/>
            </w:rPr>
          </w:pPr>
          <w:r w:rsidRPr="004779DC">
            <w:rPr>
              <w:sz w:val="24"/>
              <w:szCs w:val="24"/>
            </w:rPr>
            <w:t>Liquidity Ratios- it measures the company's capacity to fulfil its maturing commitments a</w:t>
          </w:r>
          <w:r w:rsidR="00D26C69" w:rsidRPr="004779DC">
            <w:rPr>
              <w:sz w:val="24"/>
              <w:szCs w:val="24"/>
            </w:rPr>
            <w:t>nd meet unforeseen cash demands, the ability of a company to satisfy short-term obligations is measured by ratios.</w:t>
          </w:r>
          <w:sdt>
            <w:sdtPr>
              <w:rPr>
                <w:sz w:val="24"/>
                <w:szCs w:val="24"/>
              </w:rPr>
              <w:id w:val="-630792009"/>
              <w:citation/>
            </w:sdtPr>
            <w:sdtEndPr/>
            <w:sdtContent>
              <w:r w:rsidR="00D26C69" w:rsidRPr="004779DC">
                <w:rPr>
                  <w:sz w:val="24"/>
                  <w:szCs w:val="24"/>
                </w:rPr>
                <w:fldChar w:fldCharType="begin"/>
              </w:r>
              <w:r w:rsidR="00D26C69" w:rsidRPr="004779DC">
                <w:rPr>
                  <w:sz w:val="24"/>
                  <w:szCs w:val="24"/>
                  <w:lang w:val="en-US"/>
                </w:rPr>
                <w:instrText xml:space="preserve"> CITATION Jam08 \l 1033 </w:instrText>
              </w:r>
              <w:r w:rsidR="00D26C69" w:rsidRPr="004779DC">
                <w:rPr>
                  <w:sz w:val="24"/>
                  <w:szCs w:val="24"/>
                </w:rPr>
                <w:fldChar w:fldCharType="separate"/>
              </w:r>
              <w:r w:rsidR="00D26C69" w:rsidRPr="004779DC">
                <w:rPr>
                  <w:noProof/>
                  <w:sz w:val="24"/>
                  <w:szCs w:val="24"/>
                  <w:lang w:val="en-US"/>
                </w:rPr>
                <w:t xml:space="preserve"> (James C. Van Horne, 2008)</w:t>
              </w:r>
              <w:r w:rsidR="00D26C69" w:rsidRPr="004779DC">
                <w:rPr>
                  <w:sz w:val="24"/>
                  <w:szCs w:val="24"/>
                </w:rPr>
                <w:fldChar w:fldCharType="end"/>
              </w:r>
            </w:sdtContent>
          </w:sdt>
          <w:r w:rsidR="00D26C69" w:rsidRPr="004779DC">
            <w:rPr>
              <w:sz w:val="24"/>
              <w:szCs w:val="24"/>
            </w:rPr>
            <w:t xml:space="preserve"> Working capital, current ratio, and quick ratio are three most popular liquidity ratios.</w:t>
          </w:r>
        </w:p>
        <w:p w14:paraId="557E02A8" w14:textId="77777777" w:rsidR="00C50999" w:rsidRPr="004779DC" w:rsidRDefault="00C50999" w:rsidP="00D26C69">
          <w:pPr>
            <w:pStyle w:val="ListParagraph"/>
            <w:autoSpaceDE w:val="0"/>
            <w:autoSpaceDN w:val="0"/>
            <w:adjustRightInd w:val="0"/>
            <w:jc w:val="both"/>
            <w:rPr>
              <w:sz w:val="24"/>
              <w:szCs w:val="24"/>
            </w:rPr>
          </w:pPr>
        </w:p>
        <w:p w14:paraId="434EB10B" w14:textId="77777777" w:rsidR="00C50999" w:rsidRPr="004779DC" w:rsidRDefault="00C50999" w:rsidP="00D26C69">
          <w:pPr>
            <w:pStyle w:val="ListParagraph"/>
            <w:autoSpaceDE w:val="0"/>
            <w:autoSpaceDN w:val="0"/>
            <w:adjustRightInd w:val="0"/>
            <w:jc w:val="both"/>
            <w:rPr>
              <w:sz w:val="24"/>
              <w:szCs w:val="24"/>
            </w:rPr>
          </w:pPr>
        </w:p>
        <w:p w14:paraId="102A2524" w14:textId="5E38C79D" w:rsidR="00D26C69" w:rsidRPr="004779DC" w:rsidRDefault="00D26C69" w:rsidP="00D26C69">
          <w:pPr>
            <w:pStyle w:val="ListParagraph"/>
            <w:autoSpaceDE w:val="0"/>
            <w:autoSpaceDN w:val="0"/>
            <w:adjustRightInd w:val="0"/>
            <w:jc w:val="both"/>
            <w:rPr>
              <w:sz w:val="24"/>
              <w:szCs w:val="24"/>
            </w:rPr>
          </w:pPr>
          <w:r w:rsidRPr="004779DC">
            <w:rPr>
              <w:sz w:val="24"/>
              <w:szCs w:val="24"/>
            </w:rPr>
            <w:t>Working capital = Current Assets-Current liabilities</w:t>
          </w:r>
        </w:p>
        <w:p w14:paraId="3F9D0F7A" w14:textId="039E7D66" w:rsidR="00D26C69" w:rsidRPr="004779DC" w:rsidRDefault="00D26C69" w:rsidP="00D26C69">
          <w:pPr>
            <w:pStyle w:val="ListParagraph"/>
            <w:autoSpaceDE w:val="0"/>
            <w:autoSpaceDN w:val="0"/>
            <w:adjustRightInd w:val="0"/>
            <w:jc w:val="both"/>
            <w:rPr>
              <w:sz w:val="24"/>
              <w:szCs w:val="24"/>
            </w:rPr>
          </w:pPr>
          <w:r w:rsidRPr="004779DC">
            <w:rPr>
              <w:sz w:val="24"/>
              <w:szCs w:val="24"/>
            </w:rPr>
            <w:tab/>
            <w:t xml:space="preserve">2020       = 4,202,000-2,431,000  </w:t>
          </w:r>
        </w:p>
        <w:p w14:paraId="18F3C53D" w14:textId="77777777" w:rsidR="00CD5134" w:rsidRPr="004779DC" w:rsidRDefault="00D26C69" w:rsidP="009E4E31">
          <w:pPr>
            <w:pStyle w:val="ListParagraph"/>
            <w:autoSpaceDE w:val="0"/>
            <w:autoSpaceDN w:val="0"/>
            <w:adjustRightInd w:val="0"/>
            <w:jc w:val="both"/>
            <w:rPr>
              <w:sz w:val="24"/>
              <w:szCs w:val="24"/>
            </w:rPr>
          </w:pPr>
          <w:r w:rsidRPr="004779DC">
            <w:rPr>
              <w:sz w:val="24"/>
              <w:szCs w:val="24"/>
            </w:rPr>
            <w:tab/>
          </w:r>
          <w:r w:rsidRPr="004779DC">
            <w:rPr>
              <w:sz w:val="24"/>
              <w:szCs w:val="24"/>
            </w:rPr>
            <w:tab/>
            <w:t xml:space="preserve">   =1,771,000</w:t>
          </w:r>
          <w:r w:rsidRPr="004779DC">
            <w:rPr>
              <w:sz w:val="24"/>
              <w:szCs w:val="24"/>
            </w:rPr>
            <w:tab/>
          </w:r>
        </w:p>
        <w:p w14:paraId="67E9BE21" w14:textId="200C526C" w:rsidR="00D26C69" w:rsidRPr="004779DC" w:rsidRDefault="00CD5134" w:rsidP="009E4E31">
          <w:pPr>
            <w:pStyle w:val="ListParagraph"/>
            <w:autoSpaceDE w:val="0"/>
            <w:autoSpaceDN w:val="0"/>
            <w:adjustRightInd w:val="0"/>
            <w:jc w:val="both"/>
            <w:rPr>
              <w:sz w:val="24"/>
              <w:szCs w:val="24"/>
            </w:rPr>
          </w:pPr>
          <w:r w:rsidRPr="004779DC">
            <w:rPr>
              <w:sz w:val="24"/>
              <w:szCs w:val="24"/>
            </w:rPr>
            <w:tab/>
            <w:t xml:space="preserve">2019 </w:t>
          </w:r>
          <w:r w:rsidRPr="004779DC">
            <w:rPr>
              <w:sz w:val="24"/>
              <w:szCs w:val="24"/>
            </w:rPr>
            <w:tab/>
            <w:t xml:space="preserve">   =</w:t>
          </w:r>
          <w:r w:rsidR="004C3370" w:rsidRPr="004779DC">
            <w:rPr>
              <w:sz w:val="24"/>
              <w:szCs w:val="24"/>
            </w:rPr>
            <w:t xml:space="preserve"> 2,093,000-2,871,000</w:t>
          </w:r>
        </w:p>
        <w:p w14:paraId="13C2BACD" w14:textId="3CEAD920" w:rsidR="004C3370" w:rsidRPr="004779DC" w:rsidRDefault="004C3370" w:rsidP="009E4E31">
          <w:pPr>
            <w:pStyle w:val="ListParagraph"/>
            <w:autoSpaceDE w:val="0"/>
            <w:autoSpaceDN w:val="0"/>
            <w:adjustRightInd w:val="0"/>
            <w:jc w:val="both"/>
            <w:rPr>
              <w:sz w:val="24"/>
              <w:szCs w:val="24"/>
            </w:rPr>
          </w:pPr>
          <w:r w:rsidRPr="004779DC">
            <w:rPr>
              <w:sz w:val="24"/>
              <w:szCs w:val="24"/>
            </w:rPr>
            <w:tab/>
          </w:r>
          <w:r w:rsidRPr="004779DC">
            <w:rPr>
              <w:sz w:val="24"/>
              <w:szCs w:val="24"/>
            </w:rPr>
            <w:tab/>
            <w:t xml:space="preserve">   = -778,000</w:t>
          </w:r>
        </w:p>
        <w:p w14:paraId="18986A35" w14:textId="400D0FB2" w:rsidR="00C50999" w:rsidRPr="004779DC" w:rsidRDefault="00C50999" w:rsidP="009E4E31">
          <w:pPr>
            <w:pStyle w:val="ListParagraph"/>
            <w:autoSpaceDE w:val="0"/>
            <w:autoSpaceDN w:val="0"/>
            <w:adjustRightInd w:val="0"/>
            <w:jc w:val="both"/>
            <w:rPr>
              <w:sz w:val="24"/>
              <w:szCs w:val="24"/>
            </w:rPr>
          </w:pPr>
          <w:r w:rsidRPr="004779DC">
            <w:rPr>
              <w:sz w:val="24"/>
              <w:szCs w:val="24"/>
            </w:rPr>
            <w:t xml:space="preserve">A company's current assets must be sufficient to meet its existing liabilities; otherwise, it may be unable to continue operations in the future. Before extending loans, a lender will examine the company's operating capital to see if it can meet its obligations. Hilton Worldwide Holdings Inc. (HLT) has increasing their working capital which is 1.77 million where their past year working capital was -778,000. </w:t>
          </w:r>
        </w:p>
        <w:p w14:paraId="19BFAE0F" w14:textId="77777777" w:rsidR="00C50999" w:rsidRPr="004779DC" w:rsidRDefault="00C50999" w:rsidP="009E4E31">
          <w:pPr>
            <w:pStyle w:val="ListParagraph"/>
            <w:autoSpaceDE w:val="0"/>
            <w:autoSpaceDN w:val="0"/>
            <w:adjustRightInd w:val="0"/>
            <w:jc w:val="both"/>
            <w:rPr>
              <w:sz w:val="24"/>
              <w:szCs w:val="24"/>
            </w:rPr>
          </w:pPr>
        </w:p>
        <w:p w14:paraId="0271B27F" w14:textId="3077DCC7" w:rsidR="009E4E31" w:rsidRPr="004779DC" w:rsidRDefault="009E4E31" w:rsidP="00986229">
          <w:pPr>
            <w:autoSpaceDE w:val="0"/>
            <w:autoSpaceDN w:val="0"/>
            <w:adjustRightInd w:val="0"/>
            <w:spacing w:after="0"/>
            <w:ind w:left="360" w:firstLine="360"/>
            <w:jc w:val="both"/>
            <w:rPr>
              <w:rFonts w:ascii="Times New Roman" w:hAnsi="Times New Roman" w:cs="Times New Roman"/>
              <w:sz w:val="24"/>
              <w:szCs w:val="24"/>
            </w:rPr>
          </w:pPr>
          <w:r w:rsidRPr="004779DC">
            <w:rPr>
              <w:rFonts w:ascii="Times New Roman" w:hAnsi="Times New Roman" w:cs="Times New Roman"/>
              <w:sz w:val="24"/>
              <w:szCs w:val="24"/>
            </w:rPr>
            <w:t xml:space="preserve"> Current Ratio = Current Assets / Current liabilities</w:t>
          </w:r>
        </w:p>
        <w:p w14:paraId="015D9925" w14:textId="755856BE" w:rsidR="009E4E31" w:rsidRPr="004779DC" w:rsidRDefault="009E4E31" w:rsidP="00986229">
          <w:pPr>
            <w:autoSpaceDE w:val="0"/>
            <w:autoSpaceDN w:val="0"/>
            <w:adjustRightInd w:val="0"/>
            <w:spacing w:after="0"/>
            <w:ind w:left="1080" w:firstLine="360"/>
            <w:jc w:val="both"/>
            <w:rPr>
              <w:rFonts w:ascii="Times New Roman" w:hAnsi="Times New Roman" w:cs="Times New Roman"/>
              <w:sz w:val="24"/>
              <w:szCs w:val="24"/>
            </w:rPr>
          </w:pPr>
          <w:r w:rsidRPr="004779DC">
            <w:rPr>
              <w:rFonts w:ascii="Times New Roman" w:hAnsi="Times New Roman" w:cs="Times New Roman"/>
              <w:sz w:val="24"/>
              <w:szCs w:val="24"/>
            </w:rPr>
            <w:t xml:space="preserve">2020       = 4,202,000/2,431,000  </w:t>
          </w:r>
        </w:p>
        <w:p w14:paraId="70BBC5C2" w14:textId="749CC814" w:rsidR="004C3370" w:rsidRPr="004779DC" w:rsidRDefault="009E4E31" w:rsidP="00C50999">
          <w:pPr>
            <w:autoSpaceDE w:val="0"/>
            <w:autoSpaceDN w:val="0"/>
            <w:adjustRightInd w:val="0"/>
            <w:spacing w:after="0"/>
            <w:ind w:left="1080" w:firstLine="360"/>
            <w:jc w:val="both"/>
            <w:rPr>
              <w:rFonts w:ascii="Times New Roman" w:hAnsi="Times New Roman" w:cs="Times New Roman"/>
              <w:sz w:val="24"/>
              <w:szCs w:val="24"/>
            </w:rPr>
          </w:pPr>
          <w:r w:rsidRPr="004779DC">
            <w:rPr>
              <w:rFonts w:ascii="Times New Roman" w:hAnsi="Times New Roman" w:cs="Times New Roman"/>
              <w:sz w:val="24"/>
              <w:szCs w:val="24"/>
            </w:rPr>
            <w:tab/>
            <w:t xml:space="preserve">  = 1.72:1</w:t>
          </w:r>
        </w:p>
        <w:p w14:paraId="0F3658FE" w14:textId="6E9E8841" w:rsidR="004C3370" w:rsidRPr="004779DC" w:rsidRDefault="004C3370" w:rsidP="00986229">
          <w:pPr>
            <w:autoSpaceDE w:val="0"/>
            <w:autoSpaceDN w:val="0"/>
            <w:adjustRightInd w:val="0"/>
            <w:spacing w:after="0"/>
            <w:ind w:left="1080" w:firstLine="360"/>
            <w:jc w:val="both"/>
            <w:rPr>
              <w:rFonts w:ascii="Times New Roman" w:hAnsi="Times New Roman" w:cs="Times New Roman"/>
              <w:sz w:val="24"/>
              <w:szCs w:val="24"/>
            </w:rPr>
          </w:pPr>
          <w:r w:rsidRPr="004779DC">
            <w:rPr>
              <w:rFonts w:ascii="Times New Roman" w:hAnsi="Times New Roman" w:cs="Times New Roman"/>
              <w:sz w:val="24"/>
              <w:szCs w:val="24"/>
            </w:rPr>
            <w:t>2019= 2,093,000 /2,871,000</w:t>
          </w:r>
        </w:p>
        <w:p w14:paraId="69580160" w14:textId="3DB490C4" w:rsidR="004C3370" w:rsidRPr="004779DC" w:rsidRDefault="004C3370" w:rsidP="00C50999">
          <w:pPr>
            <w:autoSpaceDE w:val="0"/>
            <w:autoSpaceDN w:val="0"/>
            <w:adjustRightInd w:val="0"/>
            <w:spacing w:after="0"/>
            <w:ind w:left="1080" w:firstLine="360"/>
            <w:jc w:val="both"/>
            <w:rPr>
              <w:rFonts w:ascii="Times New Roman" w:hAnsi="Times New Roman" w:cs="Times New Roman"/>
              <w:sz w:val="24"/>
              <w:szCs w:val="24"/>
            </w:rPr>
          </w:pPr>
          <w:r w:rsidRPr="004779DC">
            <w:rPr>
              <w:rFonts w:ascii="Times New Roman" w:hAnsi="Times New Roman" w:cs="Times New Roman"/>
              <w:sz w:val="24"/>
              <w:szCs w:val="24"/>
            </w:rPr>
            <w:tab/>
            <w:t>=</w:t>
          </w:r>
          <w:r w:rsidR="00986229" w:rsidRPr="004779DC">
            <w:rPr>
              <w:rFonts w:ascii="Times New Roman" w:hAnsi="Times New Roman" w:cs="Times New Roman"/>
              <w:sz w:val="24"/>
              <w:szCs w:val="24"/>
            </w:rPr>
            <w:t>0.72:1</w:t>
          </w:r>
        </w:p>
        <w:p w14:paraId="53227F73" w14:textId="3CF5F2BD" w:rsidR="00C50999" w:rsidRPr="004779DC" w:rsidRDefault="00C50999" w:rsidP="00C50999">
          <w:pPr>
            <w:autoSpaceDE w:val="0"/>
            <w:autoSpaceDN w:val="0"/>
            <w:adjustRightInd w:val="0"/>
            <w:spacing w:after="0"/>
            <w:ind w:left="720"/>
            <w:jc w:val="both"/>
            <w:rPr>
              <w:rFonts w:ascii="Times New Roman" w:hAnsi="Times New Roman" w:cs="Times New Roman"/>
              <w:sz w:val="24"/>
              <w:szCs w:val="24"/>
            </w:rPr>
          </w:pPr>
          <w:r w:rsidRPr="004779DC">
            <w:rPr>
              <w:rFonts w:ascii="Times New Roman" w:hAnsi="Times New Roman" w:cs="Times New Roman"/>
              <w:sz w:val="24"/>
              <w:szCs w:val="24"/>
            </w:rPr>
            <w:t xml:space="preserve">The current ratio takes into account the amount of current assets that may be used to meet current liabilities. </w:t>
          </w:r>
          <w:sdt>
            <w:sdtPr>
              <w:rPr>
                <w:rFonts w:ascii="Times New Roman" w:hAnsi="Times New Roman" w:cs="Times New Roman"/>
                <w:sz w:val="24"/>
                <w:szCs w:val="24"/>
              </w:rPr>
              <w:id w:val="710160564"/>
              <w:citation/>
            </w:sdtPr>
            <w:sdtEndPr/>
            <w:sdtContent>
              <w:r w:rsidR="00525B59" w:rsidRPr="004779DC">
                <w:rPr>
                  <w:rFonts w:ascii="Times New Roman" w:hAnsi="Times New Roman" w:cs="Times New Roman"/>
                  <w:sz w:val="24"/>
                  <w:szCs w:val="24"/>
                </w:rPr>
                <w:fldChar w:fldCharType="begin"/>
              </w:r>
              <w:r w:rsidR="00525B59" w:rsidRPr="004779DC">
                <w:rPr>
                  <w:rFonts w:ascii="Times New Roman" w:hAnsi="Times New Roman" w:cs="Times New Roman"/>
                  <w:sz w:val="24"/>
                  <w:szCs w:val="24"/>
                  <w:lang w:val="en-US"/>
                </w:rPr>
                <w:instrText xml:space="preserve"> CITATION JAS21 \l 1033 </w:instrText>
              </w:r>
              <w:r w:rsidR="00525B59" w:rsidRPr="004779DC">
                <w:rPr>
                  <w:rFonts w:ascii="Times New Roman" w:hAnsi="Times New Roman" w:cs="Times New Roman"/>
                  <w:sz w:val="24"/>
                  <w:szCs w:val="24"/>
                </w:rPr>
                <w:fldChar w:fldCharType="separate"/>
              </w:r>
              <w:r w:rsidR="00525B59" w:rsidRPr="004779DC">
                <w:rPr>
                  <w:rFonts w:ascii="Times New Roman" w:hAnsi="Times New Roman" w:cs="Times New Roman"/>
                  <w:noProof/>
                  <w:sz w:val="24"/>
                  <w:szCs w:val="24"/>
                  <w:lang w:val="en-US"/>
                </w:rPr>
                <w:t>(FERNANDO, 2021)</w:t>
              </w:r>
              <w:r w:rsidR="00525B59" w:rsidRPr="004779DC">
                <w:rPr>
                  <w:rFonts w:ascii="Times New Roman" w:hAnsi="Times New Roman" w:cs="Times New Roman"/>
                  <w:sz w:val="24"/>
                  <w:szCs w:val="24"/>
                </w:rPr>
                <w:fldChar w:fldCharType="end"/>
              </w:r>
            </w:sdtContent>
          </w:sdt>
          <w:r w:rsidR="00525B59" w:rsidRPr="004779DC">
            <w:rPr>
              <w:rFonts w:ascii="Times New Roman" w:hAnsi="Times New Roman" w:cs="Times New Roman"/>
              <w:sz w:val="24"/>
              <w:szCs w:val="24"/>
            </w:rPr>
            <w:t xml:space="preserve">. </w:t>
          </w:r>
          <w:r w:rsidR="00E80D7A" w:rsidRPr="004779DC">
            <w:rPr>
              <w:rFonts w:ascii="Times New Roman" w:hAnsi="Times New Roman" w:cs="Times New Roman"/>
              <w:sz w:val="24"/>
              <w:szCs w:val="24"/>
            </w:rPr>
            <w:t>It indicates how many times current assets may be transformed into cash in order to fulfil current liabilities. There</w:t>
          </w:r>
          <w:r w:rsidRPr="004779DC">
            <w:rPr>
              <w:rFonts w:ascii="Times New Roman" w:hAnsi="Times New Roman" w:cs="Times New Roman"/>
              <w:sz w:val="24"/>
              <w:szCs w:val="24"/>
            </w:rPr>
            <w:t xml:space="preserve"> current ratio also increasing in 2020 in compare to the 2019. </w:t>
          </w:r>
          <w:r w:rsidR="00525B59" w:rsidRPr="004779DC">
            <w:rPr>
              <w:rFonts w:ascii="Times New Roman" w:hAnsi="Times New Roman" w:cs="Times New Roman"/>
              <w:sz w:val="24"/>
              <w:szCs w:val="24"/>
            </w:rPr>
            <w:t xml:space="preserve">A current ratio 1.72:1 would indicate that the company has $ 1.72 of current asset for every $1 of current liabilities. </w:t>
          </w:r>
        </w:p>
        <w:p w14:paraId="67C971E4" w14:textId="77777777" w:rsidR="00C57FE7" w:rsidRPr="004779DC" w:rsidRDefault="00C57FE7" w:rsidP="00C57FE7">
          <w:pPr>
            <w:pStyle w:val="ListParagraph"/>
            <w:autoSpaceDE w:val="0"/>
            <w:autoSpaceDN w:val="0"/>
            <w:adjustRightInd w:val="0"/>
            <w:jc w:val="both"/>
            <w:rPr>
              <w:sz w:val="24"/>
              <w:szCs w:val="24"/>
            </w:rPr>
          </w:pPr>
        </w:p>
        <w:p w14:paraId="53E965EC" w14:textId="5BB608E6" w:rsidR="007572AF" w:rsidRPr="004779DC" w:rsidRDefault="007572AF" w:rsidP="007572AF">
          <w:pPr>
            <w:pStyle w:val="ListParagraph"/>
            <w:numPr>
              <w:ilvl w:val="0"/>
              <w:numId w:val="2"/>
            </w:numPr>
            <w:autoSpaceDE w:val="0"/>
            <w:autoSpaceDN w:val="0"/>
            <w:adjustRightInd w:val="0"/>
            <w:jc w:val="both"/>
            <w:rPr>
              <w:sz w:val="24"/>
              <w:szCs w:val="24"/>
            </w:rPr>
          </w:pPr>
          <w:r w:rsidRPr="004779DC">
            <w:rPr>
              <w:sz w:val="24"/>
              <w:szCs w:val="24"/>
            </w:rPr>
            <w:t xml:space="preserve">Profitability Ratios- It measures </w:t>
          </w:r>
          <w:r w:rsidR="00246F95" w:rsidRPr="004779DC">
            <w:rPr>
              <w:sz w:val="24"/>
              <w:szCs w:val="24"/>
            </w:rPr>
            <w:t xml:space="preserve">the </w:t>
          </w:r>
          <w:r w:rsidRPr="004779DC">
            <w:rPr>
              <w:sz w:val="24"/>
              <w:szCs w:val="24"/>
            </w:rPr>
            <w:t xml:space="preserve">operating success of a company for a given period of time.  </w:t>
          </w:r>
        </w:p>
        <w:p w14:paraId="5899AEB5" w14:textId="77777777" w:rsidR="00D73679" w:rsidRPr="004779DC" w:rsidRDefault="00D73679" w:rsidP="00D56D68">
          <w:pPr>
            <w:pStyle w:val="ListParagraph"/>
            <w:autoSpaceDE w:val="0"/>
            <w:autoSpaceDN w:val="0"/>
            <w:adjustRightInd w:val="0"/>
            <w:jc w:val="both"/>
            <w:rPr>
              <w:sz w:val="24"/>
              <w:szCs w:val="24"/>
            </w:rPr>
          </w:pPr>
        </w:p>
        <w:p w14:paraId="497E721C" w14:textId="77777777" w:rsidR="00CD5134" w:rsidRPr="004779DC" w:rsidRDefault="00CD5134" w:rsidP="00CD5134">
          <w:pPr>
            <w:pStyle w:val="ListParagraph"/>
            <w:autoSpaceDE w:val="0"/>
            <w:autoSpaceDN w:val="0"/>
            <w:adjustRightInd w:val="0"/>
            <w:jc w:val="both"/>
            <w:rPr>
              <w:sz w:val="24"/>
              <w:szCs w:val="24"/>
            </w:rPr>
          </w:pPr>
          <w:r w:rsidRPr="004779DC">
            <w:rPr>
              <w:sz w:val="24"/>
              <w:szCs w:val="24"/>
            </w:rPr>
            <w:t>Gross Profit Margin = (Gross Profit / Sales) *100</w:t>
          </w:r>
        </w:p>
        <w:p w14:paraId="12EC6E5F" w14:textId="77777777" w:rsidR="00CD5134" w:rsidRPr="004779DC" w:rsidRDefault="00CD5134" w:rsidP="00CD5134">
          <w:pPr>
            <w:pStyle w:val="ListParagraph"/>
            <w:autoSpaceDE w:val="0"/>
            <w:autoSpaceDN w:val="0"/>
            <w:adjustRightInd w:val="0"/>
            <w:jc w:val="both"/>
            <w:rPr>
              <w:sz w:val="24"/>
              <w:szCs w:val="24"/>
            </w:rPr>
          </w:pPr>
          <w:r w:rsidRPr="004779DC">
            <w:rPr>
              <w:sz w:val="24"/>
              <w:szCs w:val="24"/>
            </w:rPr>
            <w:tab/>
            <w:t>2020= (583,000/4,307,000) *100 = 13.53%</w:t>
          </w:r>
        </w:p>
        <w:p w14:paraId="1352EFF5" w14:textId="77777777" w:rsidR="00CD5134" w:rsidRPr="004779DC" w:rsidRDefault="00CD5134" w:rsidP="00CD5134">
          <w:pPr>
            <w:pStyle w:val="ListParagraph"/>
            <w:autoSpaceDE w:val="0"/>
            <w:autoSpaceDN w:val="0"/>
            <w:adjustRightInd w:val="0"/>
            <w:jc w:val="both"/>
            <w:rPr>
              <w:sz w:val="24"/>
              <w:szCs w:val="24"/>
            </w:rPr>
          </w:pPr>
          <w:r w:rsidRPr="004779DC">
            <w:rPr>
              <w:sz w:val="24"/>
              <w:szCs w:val="24"/>
            </w:rPr>
            <w:tab/>
            <w:t>2019= (7,017,000 /9,452,000) *100 =74.23%</w:t>
          </w:r>
        </w:p>
        <w:p w14:paraId="6FCC3B61" w14:textId="2CB230B6" w:rsidR="00CD5134" w:rsidRPr="004779DC" w:rsidRDefault="00CD5134" w:rsidP="00D932D4">
          <w:pPr>
            <w:pStyle w:val="ListParagraph"/>
            <w:autoSpaceDE w:val="0"/>
            <w:autoSpaceDN w:val="0"/>
            <w:adjustRightInd w:val="0"/>
            <w:jc w:val="both"/>
            <w:rPr>
              <w:sz w:val="24"/>
              <w:szCs w:val="24"/>
            </w:rPr>
          </w:pPr>
        </w:p>
        <w:p w14:paraId="090EECFB" w14:textId="77777777" w:rsidR="00CD5134" w:rsidRPr="004779DC" w:rsidRDefault="00CD5134" w:rsidP="00CD5134">
          <w:pPr>
            <w:pStyle w:val="ListParagraph"/>
            <w:autoSpaceDE w:val="0"/>
            <w:autoSpaceDN w:val="0"/>
            <w:adjustRightInd w:val="0"/>
            <w:jc w:val="both"/>
            <w:rPr>
              <w:sz w:val="24"/>
              <w:szCs w:val="24"/>
            </w:rPr>
          </w:pPr>
        </w:p>
        <w:p w14:paraId="1CA60CA9" w14:textId="77777777" w:rsidR="00CD5134" w:rsidRPr="004779DC" w:rsidRDefault="00CD5134" w:rsidP="00CD5134">
          <w:pPr>
            <w:pStyle w:val="ListParagraph"/>
            <w:autoSpaceDE w:val="0"/>
            <w:autoSpaceDN w:val="0"/>
            <w:adjustRightInd w:val="0"/>
            <w:jc w:val="both"/>
            <w:rPr>
              <w:sz w:val="24"/>
              <w:szCs w:val="24"/>
            </w:rPr>
          </w:pPr>
          <w:r w:rsidRPr="004779DC">
            <w:rPr>
              <w:sz w:val="24"/>
              <w:szCs w:val="24"/>
            </w:rPr>
            <w:t>Net profit Margin= (Net income / Sales) *100</w:t>
          </w:r>
        </w:p>
        <w:p w14:paraId="29408111" w14:textId="77777777" w:rsidR="00CD5134" w:rsidRPr="004779DC" w:rsidRDefault="00CD5134" w:rsidP="00CD5134">
          <w:pPr>
            <w:pStyle w:val="ListParagraph"/>
            <w:autoSpaceDE w:val="0"/>
            <w:autoSpaceDN w:val="0"/>
            <w:adjustRightInd w:val="0"/>
            <w:jc w:val="both"/>
            <w:rPr>
              <w:sz w:val="24"/>
              <w:szCs w:val="24"/>
            </w:rPr>
          </w:pPr>
          <w:r w:rsidRPr="004779DC">
            <w:rPr>
              <w:sz w:val="24"/>
              <w:szCs w:val="24"/>
            </w:rPr>
            <w:tab/>
            <w:t>2020 = (-715,000/ 4,307,000) *100 = -16.60</w:t>
          </w:r>
        </w:p>
        <w:p w14:paraId="2AA44291" w14:textId="77777777" w:rsidR="00CD5134" w:rsidRPr="004779DC" w:rsidRDefault="00CD5134" w:rsidP="00CD5134">
          <w:pPr>
            <w:pStyle w:val="ListParagraph"/>
            <w:autoSpaceDE w:val="0"/>
            <w:autoSpaceDN w:val="0"/>
            <w:adjustRightInd w:val="0"/>
            <w:jc w:val="both"/>
            <w:rPr>
              <w:sz w:val="24"/>
              <w:szCs w:val="24"/>
            </w:rPr>
          </w:pPr>
          <w:r w:rsidRPr="004779DC">
            <w:rPr>
              <w:sz w:val="24"/>
              <w:szCs w:val="24"/>
            </w:rPr>
            <w:tab/>
            <w:t>2019 = (881,000 /9,452,000) *100 = 9.32%</w:t>
          </w:r>
        </w:p>
        <w:p w14:paraId="7A9A82E6" w14:textId="77777777" w:rsidR="00CD5134" w:rsidRPr="004779DC" w:rsidRDefault="00CD5134" w:rsidP="00CD5134">
          <w:pPr>
            <w:pStyle w:val="ListParagraph"/>
            <w:autoSpaceDE w:val="0"/>
            <w:autoSpaceDN w:val="0"/>
            <w:adjustRightInd w:val="0"/>
            <w:jc w:val="both"/>
            <w:rPr>
              <w:sz w:val="24"/>
              <w:szCs w:val="24"/>
            </w:rPr>
          </w:pPr>
        </w:p>
        <w:p w14:paraId="149CA3AC" w14:textId="77777777" w:rsidR="00CD5134" w:rsidRPr="004779DC" w:rsidRDefault="00CD5134" w:rsidP="00CD5134">
          <w:pPr>
            <w:pStyle w:val="ListParagraph"/>
            <w:autoSpaceDE w:val="0"/>
            <w:autoSpaceDN w:val="0"/>
            <w:adjustRightInd w:val="0"/>
            <w:jc w:val="both"/>
            <w:rPr>
              <w:sz w:val="24"/>
              <w:szCs w:val="24"/>
            </w:rPr>
          </w:pPr>
        </w:p>
        <w:p w14:paraId="583FC989" w14:textId="5AF16CFC" w:rsidR="00CD5134" w:rsidRPr="004779DC" w:rsidRDefault="00CD5134" w:rsidP="00CD5134">
          <w:pPr>
            <w:pStyle w:val="ListParagraph"/>
            <w:autoSpaceDE w:val="0"/>
            <w:autoSpaceDN w:val="0"/>
            <w:adjustRightInd w:val="0"/>
            <w:jc w:val="both"/>
            <w:rPr>
              <w:sz w:val="24"/>
              <w:szCs w:val="24"/>
            </w:rPr>
          </w:pPr>
          <w:r w:rsidRPr="004779DC">
            <w:rPr>
              <w:sz w:val="24"/>
              <w:szCs w:val="24"/>
            </w:rPr>
            <w:t xml:space="preserve">Operating Profit </w:t>
          </w:r>
          <w:r w:rsidR="00184177">
            <w:rPr>
              <w:sz w:val="24"/>
              <w:szCs w:val="24"/>
            </w:rPr>
            <w:t>margin = (Operating Profit / Sales) *</w:t>
          </w:r>
          <w:r w:rsidRPr="004779DC">
            <w:rPr>
              <w:sz w:val="24"/>
              <w:szCs w:val="24"/>
            </w:rPr>
            <w:t>100</w:t>
          </w:r>
        </w:p>
        <w:p w14:paraId="2223749F" w14:textId="77777777" w:rsidR="00CD5134" w:rsidRPr="004779DC" w:rsidRDefault="00CD5134" w:rsidP="00CD5134">
          <w:pPr>
            <w:pStyle w:val="ListParagraph"/>
            <w:autoSpaceDE w:val="0"/>
            <w:autoSpaceDN w:val="0"/>
            <w:adjustRightInd w:val="0"/>
            <w:jc w:val="both"/>
            <w:rPr>
              <w:sz w:val="24"/>
              <w:szCs w:val="24"/>
            </w:rPr>
          </w:pPr>
          <w:r w:rsidRPr="004779DC">
            <w:rPr>
              <w:sz w:val="24"/>
              <w:szCs w:val="24"/>
            </w:rPr>
            <w:tab/>
            <w:t xml:space="preserve">          </w:t>
          </w:r>
          <w:r w:rsidRPr="004779DC">
            <w:rPr>
              <w:sz w:val="24"/>
              <w:szCs w:val="24"/>
            </w:rPr>
            <w:tab/>
            <w:t>2020 = (-119,000 / 4,307,000) *100 = -2.76%</w:t>
          </w:r>
        </w:p>
        <w:p w14:paraId="453DC829" w14:textId="77777777" w:rsidR="00CD5134" w:rsidRPr="004779DC" w:rsidRDefault="00CD5134" w:rsidP="00CD5134">
          <w:pPr>
            <w:pStyle w:val="ListParagraph"/>
            <w:autoSpaceDE w:val="0"/>
            <w:autoSpaceDN w:val="0"/>
            <w:adjustRightInd w:val="0"/>
            <w:jc w:val="both"/>
            <w:rPr>
              <w:sz w:val="24"/>
              <w:szCs w:val="24"/>
            </w:rPr>
          </w:pPr>
          <w:r w:rsidRPr="004779DC">
            <w:rPr>
              <w:sz w:val="24"/>
              <w:szCs w:val="24"/>
            </w:rPr>
            <w:tab/>
          </w:r>
          <w:r w:rsidRPr="004779DC">
            <w:rPr>
              <w:sz w:val="24"/>
              <w:szCs w:val="24"/>
            </w:rPr>
            <w:tab/>
            <w:t>2019= (1,576,000/</w:t>
          </w:r>
          <w:r w:rsidRPr="004779DC">
            <w:rPr>
              <w:color w:val="000000"/>
              <w:sz w:val="24"/>
              <w:szCs w:val="24"/>
            </w:rPr>
            <w:t>9,452,000) *100 = 16.67%</w:t>
          </w:r>
        </w:p>
        <w:p w14:paraId="6E34A2E9" w14:textId="77777777" w:rsidR="00CD5134" w:rsidRPr="004779DC" w:rsidRDefault="00CD5134" w:rsidP="00CD5134">
          <w:pPr>
            <w:pStyle w:val="ListParagraph"/>
            <w:autoSpaceDE w:val="0"/>
            <w:autoSpaceDN w:val="0"/>
            <w:adjustRightInd w:val="0"/>
            <w:jc w:val="both"/>
            <w:rPr>
              <w:sz w:val="24"/>
              <w:szCs w:val="24"/>
            </w:rPr>
          </w:pPr>
        </w:p>
        <w:p w14:paraId="745AB290" w14:textId="77777777" w:rsidR="00CD5134" w:rsidRPr="004779DC" w:rsidRDefault="00CD5134" w:rsidP="00CD5134">
          <w:pPr>
            <w:pStyle w:val="ListParagraph"/>
            <w:autoSpaceDE w:val="0"/>
            <w:autoSpaceDN w:val="0"/>
            <w:adjustRightInd w:val="0"/>
            <w:jc w:val="both"/>
            <w:rPr>
              <w:sz w:val="24"/>
              <w:szCs w:val="24"/>
            </w:rPr>
          </w:pPr>
          <w:r w:rsidRPr="004779DC">
            <w:rPr>
              <w:sz w:val="24"/>
              <w:szCs w:val="24"/>
            </w:rPr>
            <w:lastRenderedPageBreak/>
            <w:t>Return on Assets = (Net income /Assets) *100</w:t>
          </w:r>
        </w:p>
        <w:p w14:paraId="56812A22" w14:textId="77777777" w:rsidR="00CD5134" w:rsidRPr="004779DC" w:rsidRDefault="00CD5134" w:rsidP="00CD5134">
          <w:pPr>
            <w:pStyle w:val="ListParagraph"/>
            <w:autoSpaceDE w:val="0"/>
            <w:autoSpaceDN w:val="0"/>
            <w:adjustRightInd w:val="0"/>
            <w:jc w:val="both"/>
            <w:rPr>
              <w:sz w:val="24"/>
              <w:szCs w:val="24"/>
            </w:rPr>
          </w:pPr>
          <w:r w:rsidRPr="004779DC">
            <w:rPr>
              <w:sz w:val="24"/>
              <w:szCs w:val="24"/>
            </w:rPr>
            <w:tab/>
            <w:t>2020= (-715,000 / 16,755,000) *100 = -4.27%</w:t>
          </w:r>
        </w:p>
        <w:p w14:paraId="343A42E1" w14:textId="77777777" w:rsidR="00CD5134" w:rsidRPr="004779DC" w:rsidRDefault="00CD5134" w:rsidP="00CD5134">
          <w:pPr>
            <w:pStyle w:val="ListParagraph"/>
            <w:autoSpaceDE w:val="0"/>
            <w:autoSpaceDN w:val="0"/>
            <w:adjustRightInd w:val="0"/>
            <w:jc w:val="both"/>
            <w:rPr>
              <w:sz w:val="24"/>
              <w:szCs w:val="24"/>
            </w:rPr>
          </w:pPr>
          <w:r w:rsidRPr="004779DC">
            <w:rPr>
              <w:sz w:val="24"/>
              <w:szCs w:val="24"/>
            </w:rPr>
            <w:tab/>
            <w:t>2019= (881,000 / 14,957,000) *100 =5.89%</w:t>
          </w:r>
        </w:p>
        <w:p w14:paraId="3A247420" w14:textId="77777777" w:rsidR="00CD5134" w:rsidRPr="004779DC" w:rsidRDefault="00CD5134" w:rsidP="00CD5134">
          <w:pPr>
            <w:pStyle w:val="ListParagraph"/>
            <w:autoSpaceDE w:val="0"/>
            <w:autoSpaceDN w:val="0"/>
            <w:adjustRightInd w:val="0"/>
            <w:jc w:val="both"/>
            <w:rPr>
              <w:sz w:val="24"/>
              <w:szCs w:val="24"/>
            </w:rPr>
          </w:pPr>
        </w:p>
        <w:p w14:paraId="2387C6EB" w14:textId="77777777" w:rsidR="00CD5134" w:rsidRPr="004779DC" w:rsidRDefault="00CD5134" w:rsidP="00CD5134">
          <w:pPr>
            <w:pStyle w:val="ListParagraph"/>
            <w:autoSpaceDE w:val="0"/>
            <w:autoSpaceDN w:val="0"/>
            <w:adjustRightInd w:val="0"/>
            <w:jc w:val="both"/>
            <w:rPr>
              <w:sz w:val="24"/>
              <w:szCs w:val="24"/>
            </w:rPr>
          </w:pPr>
          <w:r w:rsidRPr="004779DC">
            <w:rPr>
              <w:sz w:val="24"/>
              <w:szCs w:val="24"/>
            </w:rPr>
            <w:t>Return on Equity = (Net income/ Shareholder’s equity)</w:t>
          </w:r>
        </w:p>
        <w:p w14:paraId="2AE6F04D" w14:textId="77777777" w:rsidR="00CD5134" w:rsidRPr="004779DC" w:rsidRDefault="00CD5134" w:rsidP="00CD5134">
          <w:pPr>
            <w:spacing w:after="0" w:line="240" w:lineRule="auto"/>
            <w:rPr>
              <w:rFonts w:ascii="Times New Roman" w:eastAsia="Times New Roman" w:hAnsi="Times New Roman" w:cs="Times New Roman"/>
              <w:color w:val="000000"/>
              <w:sz w:val="24"/>
              <w:szCs w:val="24"/>
              <w:lang w:eastAsia="en-GB"/>
            </w:rPr>
          </w:pPr>
          <w:r w:rsidRPr="004779DC">
            <w:rPr>
              <w:rFonts w:ascii="Times New Roman" w:hAnsi="Times New Roman" w:cs="Times New Roman"/>
              <w:sz w:val="24"/>
              <w:szCs w:val="24"/>
            </w:rPr>
            <w:tab/>
          </w:r>
          <w:r w:rsidRPr="004779DC">
            <w:rPr>
              <w:rFonts w:ascii="Times New Roman" w:hAnsi="Times New Roman" w:cs="Times New Roman"/>
              <w:sz w:val="24"/>
              <w:szCs w:val="24"/>
            </w:rPr>
            <w:tab/>
            <w:t xml:space="preserve">2020 = (-715,000 / </w:t>
          </w:r>
          <w:r w:rsidRPr="004779DC">
            <w:rPr>
              <w:rFonts w:ascii="Times New Roman" w:eastAsia="Times New Roman" w:hAnsi="Times New Roman" w:cs="Times New Roman"/>
              <w:color w:val="000000"/>
              <w:sz w:val="24"/>
              <w:szCs w:val="24"/>
              <w:lang w:eastAsia="en-GB"/>
            </w:rPr>
            <w:t>-1,490,000) = 0.47</w:t>
          </w:r>
        </w:p>
        <w:p w14:paraId="789D8606" w14:textId="135246D1" w:rsidR="00CD5134" w:rsidRPr="004779DC" w:rsidRDefault="00CD5134" w:rsidP="00CD5134">
          <w:pPr>
            <w:spacing w:after="0" w:line="240" w:lineRule="auto"/>
            <w:rPr>
              <w:rFonts w:ascii="Times New Roman" w:eastAsia="Times New Roman" w:hAnsi="Times New Roman" w:cs="Times New Roman"/>
              <w:color w:val="000000"/>
              <w:sz w:val="24"/>
              <w:szCs w:val="24"/>
              <w:lang w:eastAsia="en-GB"/>
            </w:rPr>
          </w:pPr>
          <w:r w:rsidRPr="004779DC">
            <w:rPr>
              <w:rFonts w:ascii="Times New Roman" w:eastAsia="Times New Roman" w:hAnsi="Times New Roman" w:cs="Times New Roman"/>
              <w:color w:val="000000"/>
              <w:sz w:val="24"/>
              <w:szCs w:val="24"/>
              <w:lang w:eastAsia="en-GB"/>
            </w:rPr>
            <w:tab/>
          </w:r>
          <w:r w:rsidRPr="004779DC">
            <w:rPr>
              <w:rFonts w:ascii="Times New Roman" w:eastAsia="Times New Roman" w:hAnsi="Times New Roman" w:cs="Times New Roman"/>
              <w:color w:val="000000"/>
              <w:sz w:val="24"/>
              <w:szCs w:val="24"/>
              <w:lang w:eastAsia="en-GB"/>
            </w:rPr>
            <w:tab/>
            <w:t>2019 = (881,000 /-482,000) = -1.82</w:t>
          </w:r>
        </w:p>
        <w:p w14:paraId="6276C4B4" w14:textId="01BB54FF" w:rsidR="00A43654" w:rsidRPr="004779DC" w:rsidRDefault="00631120" w:rsidP="00E20DF8">
          <w:pPr>
            <w:autoSpaceDE w:val="0"/>
            <w:autoSpaceDN w:val="0"/>
            <w:adjustRightInd w:val="0"/>
            <w:ind w:left="720"/>
            <w:jc w:val="both"/>
            <w:rPr>
              <w:rFonts w:ascii="Times New Roman" w:hAnsi="Times New Roman" w:cs="Times New Roman"/>
              <w:sz w:val="24"/>
              <w:szCs w:val="24"/>
            </w:rPr>
          </w:pPr>
          <w:r w:rsidRPr="004779DC">
            <w:rPr>
              <w:rFonts w:ascii="Times New Roman" w:hAnsi="Times New Roman" w:cs="Times New Roman"/>
              <w:sz w:val="24"/>
              <w:szCs w:val="24"/>
            </w:rPr>
            <w:t xml:space="preserve">According to the researcher, “Profitability ratios show how well a business creates profit and value for its owners.”. </w:t>
          </w:r>
          <w:sdt>
            <w:sdtPr>
              <w:rPr>
                <w:rFonts w:ascii="Times New Roman" w:hAnsi="Times New Roman" w:cs="Times New Roman"/>
                <w:sz w:val="24"/>
                <w:szCs w:val="24"/>
              </w:rPr>
              <w:id w:val="1300270401"/>
              <w:citation/>
            </w:sdtPr>
            <w:sdtEndPr/>
            <w:sdtContent>
              <w:r w:rsidRPr="004779DC">
                <w:rPr>
                  <w:rFonts w:ascii="Times New Roman" w:hAnsi="Times New Roman" w:cs="Times New Roman"/>
                  <w:sz w:val="24"/>
                  <w:szCs w:val="24"/>
                </w:rPr>
                <w:fldChar w:fldCharType="begin"/>
              </w:r>
              <w:r w:rsidRPr="004779DC">
                <w:rPr>
                  <w:rFonts w:ascii="Times New Roman" w:hAnsi="Times New Roman" w:cs="Times New Roman"/>
                  <w:sz w:val="24"/>
                  <w:szCs w:val="24"/>
                  <w:lang w:val="en-US"/>
                </w:rPr>
                <w:instrText xml:space="preserve"> CITATION HAY21 \l 1033 </w:instrText>
              </w:r>
              <w:r w:rsidRPr="004779DC">
                <w:rPr>
                  <w:rFonts w:ascii="Times New Roman" w:hAnsi="Times New Roman" w:cs="Times New Roman"/>
                  <w:sz w:val="24"/>
                  <w:szCs w:val="24"/>
                </w:rPr>
                <w:fldChar w:fldCharType="separate"/>
              </w:r>
              <w:r w:rsidRPr="004779DC">
                <w:rPr>
                  <w:rFonts w:ascii="Times New Roman" w:hAnsi="Times New Roman" w:cs="Times New Roman"/>
                  <w:noProof/>
                  <w:sz w:val="24"/>
                  <w:szCs w:val="24"/>
                  <w:lang w:val="en-US"/>
                </w:rPr>
                <w:t>(HAYES, 2021)</w:t>
              </w:r>
              <w:r w:rsidRPr="004779DC">
                <w:rPr>
                  <w:rFonts w:ascii="Times New Roman" w:hAnsi="Times New Roman" w:cs="Times New Roman"/>
                  <w:sz w:val="24"/>
                  <w:szCs w:val="24"/>
                </w:rPr>
                <w:fldChar w:fldCharType="end"/>
              </w:r>
            </w:sdtContent>
          </w:sdt>
          <w:r w:rsidRPr="004779DC">
            <w:rPr>
              <w:rFonts w:ascii="Times New Roman" w:hAnsi="Times New Roman" w:cs="Times New Roman"/>
              <w:sz w:val="24"/>
              <w:szCs w:val="24"/>
            </w:rPr>
            <w:t>. As per the researcher, “The profit margin indicates how much of the sales revenue has been converted into profit”</w:t>
          </w:r>
          <w:sdt>
            <w:sdtPr>
              <w:rPr>
                <w:rFonts w:ascii="Times New Roman" w:hAnsi="Times New Roman" w:cs="Times New Roman"/>
                <w:sz w:val="24"/>
                <w:szCs w:val="24"/>
              </w:rPr>
              <w:id w:val="-1999488775"/>
              <w:citation/>
            </w:sdtPr>
            <w:sdtEndPr/>
            <w:sdtContent>
              <w:r w:rsidRPr="004779DC">
                <w:rPr>
                  <w:rFonts w:ascii="Times New Roman" w:hAnsi="Times New Roman" w:cs="Times New Roman"/>
                  <w:sz w:val="24"/>
                  <w:szCs w:val="24"/>
                </w:rPr>
                <w:fldChar w:fldCharType="begin"/>
              </w:r>
              <w:r w:rsidRPr="004779DC">
                <w:rPr>
                  <w:rFonts w:ascii="Times New Roman" w:hAnsi="Times New Roman" w:cs="Times New Roman"/>
                  <w:sz w:val="24"/>
                  <w:szCs w:val="24"/>
                  <w:lang w:val="en-US"/>
                </w:rPr>
                <w:instrText xml:space="preserve"> CITATION Mit19 \l 1033 </w:instrText>
              </w:r>
              <w:r w:rsidRPr="004779DC">
                <w:rPr>
                  <w:rFonts w:ascii="Times New Roman" w:hAnsi="Times New Roman" w:cs="Times New Roman"/>
                  <w:sz w:val="24"/>
                  <w:szCs w:val="24"/>
                </w:rPr>
                <w:fldChar w:fldCharType="separate"/>
              </w:r>
              <w:r w:rsidRPr="004779DC">
                <w:rPr>
                  <w:rFonts w:ascii="Times New Roman" w:hAnsi="Times New Roman" w:cs="Times New Roman"/>
                  <w:noProof/>
                  <w:sz w:val="24"/>
                  <w:szCs w:val="24"/>
                  <w:lang w:val="en-US"/>
                </w:rPr>
                <w:t xml:space="preserve"> (Mitchell Franklin, 2019)</w:t>
              </w:r>
              <w:r w:rsidRPr="004779DC">
                <w:rPr>
                  <w:rFonts w:ascii="Times New Roman" w:hAnsi="Times New Roman" w:cs="Times New Roman"/>
                  <w:sz w:val="24"/>
                  <w:szCs w:val="24"/>
                </w:rPr>
                <w:fldChar w:fldCharType="end"/>
              </w:r>
            </w:sdtContent>
          </w:sdt>
          <w:r w:rsidRPr="004779DC">
            <w:rPr>
              <w:rFonts w:ascii="Times New Roman" w:hAnsi="Times New Roman" w:cs="Times New Roman"/>
              <w:sz w:val="24"/>
              <w:szCs w:val="24"/>
            </w:rPr>
            <w:t>, Here the gross profit margin is higher than the next year which is 74.23% in the base year 2019 than 2020. That’s means every 100$ sales their profit is 74.23% in 2019 and every 100$ sales in 2020 are 13.53% percent profit are visible to the statements.  Last but not least, return</w:t>
          </w:r>
          <w:r w:rsidR="00A43654" w:rsidRPr="004779DC">
            <w:rPr>
              <w:rFonts w:ascii="Times New Roman" w:hAnsi="Times New Roman" w:cs="Times New Roman"/>
              <w:sz w:val="24"/>
              <w:szCs w:val="24"/>
            </w:rPr>
            <w:t xml:space="preserve"> on assets indicate that the higher the number, the better the firm is at profiting from its assets, here return on assets are negative in the current year 2020 which is -4.27% and the other on are found positive which is 5.89% in </w:t>
          </w:r>
          <w:r w:rsidR="00D932D4" w:rsidRPr="004779DC">
            <w:rPr>
              <w:rFonts w:ascii="Times New Roman" w:hAnsi="Times New Roman" w:cs="Times New Roman"/>
              <w:sz w:val="24"/>
              <w:szCs w:val="24"/>
            </w:rPr>
            <w:t>2019.</w:t>
          </w:r>
          <w:r w:rsidR="00E20DF8" w:rsidRPr="004779DC">
            <w:rPr>
              <w:rFonts w:ascii="Times New Roman" w:hAnsi="Times New Roman" w:cs="Times New Roman"/>
              <w:sz w:val="24"/>
              <w:szCs w:val="24"/>
            </w:rPr>
            <w:t xml:space="preserve"> Lastly, another significant ratio is return on equity, the ability of a corporation to earn money from its invested capital is measured by its Return on equity. In comparison their higher return on 2020 which is 0.47 that’s means the higher return the better the company is doing at using investments to yield an income. The ability of a corporation to earn money from its invested capital is measured by its return on equity.</w:t>
          </w:r>
          <w:r w:rsidR="00A43654" w:rsidRPr="004779DC">
            <w:rPr>
              <w:rFonts w:ascii="Times New Roman" w:hAnsi="Times New Roman" w:cs="Times New Roman"/>
              <w:sz w:val="24"/>
              <w:szCs w:val="24"/>
            </w:rPr>
            <w:t xml:space="preserve"> </w:t>
          </w:r>
        </w:p>
        <w:p w14:paraId="3ACD1100" w14:textId="6AEC87B0" w:rsidR="007572AF" w:rsidRPr="004779DC" w:rsidRDefault="007572AF" w:rsidP="00246F95">
          <w:pPr>
            <w:pStyle w:val="ListParagraph"/>
            <w:numPr>
              <w:ilvl w:val="0"/>
              <w:numId w:val="2"/>
            </w:numPr>
            <w:autoSpaceDE w:val="0"/>
            <w:autoSpaceDN w:val="0"/>
            <w:adjustRightInd w:val="0"/>
            <w:jc w:val="both"/>
            <w:rPr>
              <w:sz w:val="24"/>
              <w:szCs w:val="24"/>
            </w:rPr>
          </w:pPr>
          <w:r w:rsidRPr="004779DC">
            <w:rPr>
              <w:sz w:val="24"/>
              <w:szCs w:val="24"/>
            </w:rPr>
            <w:t xml:space="preserve">Solvency Ratios- </w:t>
          </w:r>
          <w:r w:rsidR="00246F95" w:rsidRPr="004779DC">
            <w:rPr>
              <w:sz w:val="24"/>
              <w:szCs w:val="24"/>
            </w:rPr>
            <w:t>It assesses a company's potential to thrive over a lengthy period of time.</w:t>
          </w:r>
        </w:p>
        <w:p w14:paraId="0F1E6CDE" w14:textId="5AED70DE" w:rsidR="009E4E31" w:rsidRPr="004779DC" w:rsidRDefault="009E4E31" w:rsidP="009E4E31">
          <w:pPr>
            <w:pStyle w:val="ListParagraph"/>
            <w:autoSpaceDE w:val="0"/>
            <w:autoSpaceDN w:val="0"/>
            <w:adjustRightInd w:val="0"/>
            <w:jc w:val="both"/>
            <w:rPr>
              <w:sz w:val="24"/>
              <w:szCs w:val="24"/>
            </w:rPr>
          </w:pPr>
          <w:r w:rsidRPr="004779DC">
            <w:rPr>
              <w:sz w:val="24"/>
              <w:szCs w:val="24"/>
            </w:rPr>
            <w:t xml:space="preserve">Debt to equity Ratio= </w:t>
          </w:r>
          <w:r w:rsidR="00D56D68" w:rsidRPr="004779DC">
            <w:rPr>
              <w:sz w:val="24"/>
              <w:szCs w:val="24"/>
            </w:rPr>
            <w:t>(Total Liabilities / Total Stockholder Equity)</w:t>
          </w:r>
        </w:p>
        <w:p w14:paraId="620FDAB3" w14:textId="0D3FF483" w:rsidR="00D56D68" w:rsidRPr="004779DC" w:rsidRDefault="00D56D68" w:rsidP="009E4E31">
          <w:pPr>
            <w:pStyle w:val="ListParagraph"/>
            <w:autoSpaceDE w:val="0"/>
            <w:autoSpaceDN w:val="0"/>
            <w:adjustRightInd w:val="0"/>
            <w:jc w:val="both"/>
            <w:rPr>
              <w:sz w:val="24"/>
              <w:szCs w:val="24"/>
            </w:rPr>
          </w:pPr>
          <w:r w:rsidRPr="004779DC">
            <w:rPr>
              <w:sz w:val="24"/>
              <w:szCs w:val="24"/>
            </w:rPr>
            <w:tab/>
          </w:r>
          <w:r w:rsidRPr="004779DC">
            <w:rPr>
              <w:sz w:val="24"/>
              <w:szCs w:val="24"/>
            </w:rPr>
            <w:tab/>
            <w:t>2020= (16,755,000 / -1,490,000)</w:t>
          </w:r>
        </w:p>
        <w:p w14:paraId="69940A72" w14:textId="356CBA7E" w:rsidR="00D56D68" w:rsidRPr="004779DC" w:rsidRDefault="00D56D68" w:rsidP="009E4E31">
          <w:pPr>
            <w:pStyle w:val="ListParagraph"/>
            <w:autoSpaceDE w:val="0"/>
            <w:autoSpaceDN w:val="0"/>
            <w:adjustRightInd w:val="0"/>
            <w:jc w:val="both"/>
            <w:rPr>
              <w:sz w:val="24"/>
              <w:szCs w:val="24"/>
            </w:rPr>
          </w:pPr>
          <w:r w:rsidRPr="004779DC">
            <w:rPr>
              <w:sz w:val="24"/>
              <w:szCs w:val="24"/>
            </w:rPr>
            <w:tab/>
          </w:r>
          <w:r w:rsidRPr="004779DC">
            <w:rPr>
              <w:sz w:val="24"/>
              <w:szCs w:val="24"/>
            </w:rPr>
            <w:tab/>
            <w:t xml:space="preserve">        = -11.24</w:t>
          </w:r>
        </w:p>
        <w:p w14:paraId="273B53FC" w14:textId="039E5974" w:rsidR="00D56D68" w:rsidRPr="004779DC" w:rsidRDefault="00D56D68" w:rsidP="009E4E31">
          <w:pPr>
            <w:pStyle w:val="ListParagraph"/>
            <w:autoSpaceDE w:val="0"/>
            <w:autoSpaceDN w:val="0"/>
            <w:adjustRightInd w:val="0"/>
            <w:jc w:val="both"/>
            <w:rPr>
              <w:sz w:val="24"/>
              <w:szCs w:val="24"/>
            </w:rPr>
          </w:pPr>
          <w:r w:rsidRPr="004779DC">
            <w:rPr>
              <w:sz w:val="24"/>
              <w:szCs w:val="24"/>
            </w:rPr>
            <w:tab/>
          </w:r>
          <w:r w:rsidRPr="004779DC">
            <w:rPr>
              <w:sz w:val="24"/>
              <w:szCs w:val="24"/>
            </w:rPr>
            <w:tab/>
          </w:r>
          <w:r w:rsidR="004C3370" w:rsidRPr="004779DC">
            <w:rPr>
              <w:sz w:val="24"/>
              <w:szCs w:val="24"/>
            </w:rPr>
            <w:t>2019 = (15,429,000/ -482,000)</w:t>
          </w:r>
        </w:p>
        <w:p w14:paraId="07F3CBF2" w14:textId="46D953DC" w:rsidR="004C3370" w:rsidRPr="004779DC" w:rsidRDefault="004C3370" w:rsidP="009E4E31">
          <w:pPr>
            <w:pStyle w:val="ListParagraph"/>
            <w:autoSpaceDE w:val="0"/>
            <w:autoSpaceDN w:val="0"/>
            <w:adjustRightInd w:val="0"/>
            <w:jc w:val="both"/>
            <w:rPr>
              <w:sz w:val="24"/>
              <w:szCs w:val="24"/>
            </w:rPr>
          </w:pPr>
          <w:r w:rsidRPr="004779DC">
            <w:rPr>
              <w:sz w:val="24"/>
              <w:szCs w:val="24"/>
            </w:rPr>
            <w:tab/>
          </w:r>
          <w:r w:rsidRPr="004779DC">
            <w:rPr>
              <w:sz w:val="24"/>
              <w:szCs w:val="24"/>
            </w:rPr>
            <w:tab/>
            <w:t xml:space="preserve">         = -32.01</w:t>
          </w:r>
        </w:p>
        <w:p w14:paraId="1682484C" w14:textId="7855546D" w:rsidR="00246F95" w:rsidRPr="004779DC" w:rsidRDefault="00E20DF8" w:rsidP="00E20DF8">
          <w:pPr>
            <w:pStyle w:val="ListParagraph"/>
            <w:autoSpaceDE w:val="0"/>
            <w:autoSpaceDN w:val="0"/>
            <w:adjustRightInd w:val="0"/>
            <w:jc w:val="both"/>
            <w:rPr>
              <w:sz w:val="24"/>
              <w:szCs w:val="24"/>
            </w:rPr>
          </w:pPr>
          <w:r w:rsidRPr="004779DC">
            <w:rPr>
              <w:sz w:val="24"/>
              <w:szCs w:val="24"/>
            </w:rPr>
            <w:t>Here, in 2020 the Debt to equity ratio are negative value which is -11.24 and in 2019 there also negative outcome which is -32.01. Solvency means to a company's ability to satisfy long-term obligations and its likelihood of being in operation in the future. In order to continue in business in the long run, the corporation must earn more income than debt.</w:t>
          </w:r>
        </w:p>
        <w:p w14:paraId="4F5C731C" w14:textId="51E9042D" w:rsidR="009C1CE2" w:rsidRPr="004779DC" w:rsidRDefault="009C1CE2" w:rsidP="009C1CE2">
          <w:pPr>
            <w:pStyle w:val="ListParagraph"/>
            <w:autoSpaceDE w:val="0"/>
            <w:autoSpaceDN w:val="0"/>
            <w:adjustRightInd w:val="0"/>
            <w:rPr>
              <w:sz w:val="24"/>
              <w:szCs w:val="24"/>
            </w:rPr>
          </w:pPr>
        </w:p>
        <w:p w14:paraId="73520A89" w14:textId="334E1414" w:rsidR="00BA7FBD" w:rsidRPr="004779DC" w:rsidRDefault="00BA7FBD" w:rsidP="009C1CE2">
          <w:pPr>
            <w:pStyle w:val="ListParagraph"/>
            <w:autoSpaceDE w:val="0"/>
            <w:autoSpaceDN w:val="0"/>
            <w:adjustRightInd w:val="0"/>
            <w:rPr>
              <w:sz w:val="24"/>
              <w:szCs w:val="24"/>
            </w:rPr>
          </w:pPr>
        </w:p>
        <w:p w14:paraId="55650FC5" w14:textId="211AD481" w:rsidR="00BA7FBD" w:rsidRPr="004779DC" w:rsidRDefault="00BA7FBD" w:rsidP="009C1CE2">
          <w:pPr>
            <w:pStyle w:val="ListParagraph"/>
            <w:autoSpaceDE w:val="0"/>
            <w:autoSpaceDN w:val="0"/>
            <w:adjustRightInd w:val="0"/>
            <w:rPr>
              <w:sz w:val="24"/>
              <w:szCs w:val="24"/>
            </w:rPr>
          </w:pPr>
        </w:p>
        <w:p w14:paraId="1D572DD6" w14:textId="4E9AC9DB" w:rsidR="00BA7FBD" w:rsidRDefault="00BA7FBD" w:rsidP="009C1CE2">
          <w:pPr>
            <w:pStyle w:val="ListParagraph"/>
            <w:autoSpaceDE w:val="0"/>
            <w:autoSpaceDN w:val="0"/>
            <w:adjustRightInd w:val="0"/>
            <w:rPr>
              <w:sz w:val="24"/>
              <w:szCs w:val="24"/>
            </w:rPr>
          </w:pPr>
        </w:p>
        <w:p w14:paraId="233EC5D4" w14:textId="062B1EF6" w:rsidR="004779DC" w:rsidRDefault="004779DC" w:rsidP="009C1CE2">
          <w:pPr>
            <w:pStyle w:val="ListParagraph"/>
            <w:autoSpaceDE w:val="0"/>
            <w:autoSpaceDN w:val="0"/>
            <w:adjustRightInd w:val="0"/>
            <w:rPr>
              <w:sz w:val="24"/>
              <w:szCs w:val="24"/>
            </w:rPr>
          </w:pPr>
        </w:p>
        <w:p w14:paraId="3F4F65AF" w14:textId="039341CA" w:rsidR="004779DC" w:rsidRDefault="004779DC" w:rsidP="009C1CE2">
          <w:pPr>
            <w:pStyle w:val="ListParagraph"/>
            <w:autoSpaceDE w:val="0"/>
            <w:autoSpaceDN w:val="0"/>
            <w:adjustRightInd w:val="0"/>
            <w:rPr>
              <w:sz w:val="24"/>
              <w:szCs w:val="24"/>
            </w:rPr>
          </w:pPr>
        </w:p>
        <w:p w14:paraId="434F9DBA" w14:textId="625C62C3" w:rsidR="004779DC" w:rsidRDefault="004779DC" w:rsidP="009C1CE2">
          <w:pPr>
            <w:pStyle w:val="ListParagraph"/>
            <w:autoSpaceDE w:val="0"/>
            <w:autoSpaceDN w:val="0"/>
            <w:adjustRightInd w:val="0"/>
            <w:rPr>
              <w:sz w:val="24"/>
              <w:szCs w:val="24"/>
            </w:rPr>
          </w:pPr>
        </w:p>
        <w:p w14:paraId="0D45D0B9" w14:textId="77777777" w:rsidR="004779DC" w:rsidRPr="004779DC" w:rsidRDefault="004779DC" w:rsidP="009C1CE2">
          <w:pPr>
            <w:pStyle w:val="ListParagraph"/>
            <w:autoSpaceDE w:val="0"/>
            <w:autoSpaceDN w:val="0"/>
            <w:adjustRightInd w:val="0"/>
            <w:rPr>
              <w:sz w:val="24"/>
              <w:szCs w:val="24"/>
            </w:rPr>
          </w:pPr>
        </w:p>
        <w:p w14:paraId="18255D50" w14:textId="11121B57" w:rsidR="00BA7FBD" w:rsidRDefault="00BA7FBD" w:rsidP="009C1CE2">
          <w:pPr>
            <w:pStyle w:val="ListParagraph"/>
            <w:autoSpaceDE w:val="0"/>
            <w:autoSpaceDN w:val="0"/>
            <w:adjustRightInd w:val="0"/>
            <w:rPr>
              <w:sz w:val="24"/>
              <w:szCs w:val="24"/>
            </w:rPr>
          </w:pPr>
        </w:p>
        <w:p w14:paraId="7EAF93F2" w14:textId="77777777" w:rsidR="00294E05" w:rsidRPr="004779DC" w:rsidRDefault="00294E05" w:rsidP="009C1CE2">
          <w:pPr>
            <w:pStyle w:val="ListParagraph"/>
            <w:autoSpaceDE w:val="0"/>
            <w:autoSpaceDN w:val="0"/>
            <w:adjustRightInd w:val="0"/>
            <w:rPr>
              <w:sz w:val="24"/>
              <w:szCs w:val="24"/>
            </w:rPr>
          </w:pPr>
        </w:p>
        <w:p w14:paraId="0B9470AB" w14:textId="77777777" w:rsidR="00BA7FBD" w:rsidRPr="004779DC" w:rsidRDefault="00BA7FBD" w:rsidP="009C1CE2">
          <w:pPr>
            <w:pStyle w:val="ListParagraph"/>
            <w:autoSpaceDE w:val="0"/>
            <w:autoSpaceDN w:val="0"/>
            <w:adjustRightInd w:val="0"/>
            <w:rPr>
              <w:sz w:val="24"/>
              <w:szCs w:val="24"/>
            </w:rPr>
          </w:pPr>
        </w:p>
        <w:p w14:paraId="3E9518BD" w14:textId="6E873CC6" w:rsidR="009C1CE2" w:rsidRPr="00F0319B" w:rsidRDefault="009C1CE2" w:rsidP="00F0319B">
          <w:pPr>
            <w:autoSpaceDE w:val="0"/>
            <w:autoSpaceDN w:val="0"/>
            <w:adjustRightInd w:val="0"/>
            <w:rPr>
              <w:sz w:val="24"/>
              <w:szCs w:val="24"/>
            </w:rPr>
          </w:pPr>
        </w:p>
        <w:p w14:paraId="163A5362" w14:textId="1E4232C3" w:rsidR="00E20DF8" w:rsidRPr="004779DC" w:rsidRDefault="00E20DF8" w:rsidP="00B954ED">
          <w:pPr>
            <w:autoSpaceDE w:val="0"/>
            <w:autoSpaceDN w:val="0"/>
            <w:adjustRightInd w:val="0"/>
            <w:jc w:val="both"/>
            <w:rPr>
              <w:rFonts w:ascii="Times New Roman" w:eastAsia="Times New Roman" w:hAnsi="Times New Roman" w:cs="Times New Roman"/>
              <w:sz w:val="24"/>
              <w:szCs w:val="24"/>
              <w:lang w:eastAsia="en-GB"/>
            </w:rPr>
          </w:pPr>
          <w:r w:rsidRPr="004779DC">
            <w:rPr>
              <w:rFonts w:ascii="Times New Roman" w:eastAsia="Times New Roman" w:hAnsi="Times New Roman" w:cs="Times New Roman"/>
              <w:sz w:val="24"/>
              <w:szCs w:val="24"/>
              <w:lang w:eastAsia="en-GB"/>
            </w:rPr>
            <w:lastRenderedPageBreak/>
            <w:t xml:space="preserve">Ratio analysis is a technique for determining a company's liquidity situation, operational efficiency, profitability position, and solvency. It's a quantitative method that makes use of a company's financial information. As per the researcher, “Ratios are a technique to summarize a company's financial status. The consumers of these reports do not need to go over the detailed financial accounts over and again. They are capable of calculating the ratios, analysing them, and taking the necessary actions.” </w:t>
          </w:r>
          <w:sdt>
            <w:sdtPr>
              <w:rPr>
                <w:rFonts w:ascii="Times New Roman" w:eastAsia="Times New Roman" w:hAnsi="Times New Roman" w:cs="Times New Roman"/>
                <w:sz w:val="24"/>
                <w:szCs w:val="24"/>
                <w:lang w:eastAsia="en-GB"/>
              </w:rPr>
              <w:id w:val="-615909926"/>
              <w:citation/>
            </w:sdtPr>
            <w:sdtEndPr/>
            <w:sdtContent>
              <w:r w:rsidR="003F16AE" w:rsidRPr="004779DC">
                <w:rPr>
                  <w:rFonts w:ascii="Times New Roman" w:eastAsia="Times New Roman" w:hAnsi="Times New Roman" w:cs="Times New Roman"/>
                  <w:sz w:val="24"/>
                  <w:szCs w:val="24"/>
                  <w:lang w:eastAsia="en-GB"/>
                </w:rPr>
                <w:fldChar w:fldCharType="begin"/>
              </w:r>
              <w:r w:rsidR="003F16AE" w:rsidRPr="004779DC">
                <w:rPr>
                  <w:rFonts w:ascii="Times New Roman" w:eastAsia="Times New Roman" w:hAnsi="Times New Roman" w:cs="Times New Roman"/>
                  <w:sz w:val="24"/>
                  <w:szCs w:val="24"/>
                  <w:lang w:val="en-US" w:eastAsia="en-GB"/>
                </w:rPr>
                <w:instrText xml:space="preserve"> CITATION Bor22 \l 1033 </w:instrText>
              </w:r>
              <w:r w:rsidR="003F16AE" w:rsidRPr="004779DC">
                <w:rPr>
                  <w:rFonts w:ascii="Times New Roman" w:eastAsia="Times New Roman" w:hAnsi="Times New Roman" w:cs="Times New Roman"/>
                  <w:sz w:val="24"/>
                  <w:szCs w:val="24"/>
                  <w:lang w:eastAsia="en-GB"/>
                </w:rPr>
                <w:fldChar w:fldCharType="separate"/>
              </w:r>
              <w:r w:rsidR="003F16AE" w:rsidRPr="004779DC">
                <w:rPr>
                  <w:rFonts w:ascii="Times New Roman" w:eastAsia="Times New Roman" w:hAnsi="Times New Roman" w:cs="Times New Roman"/>
                  <w:noProof/>
                  <w:sz w:val="24"/>
                  <w:szCs w:val="24"/>
                  <w:lang w:val="en-US" w:eastAsia="en-GB"/>
                </w:rPr>
                <w:t>(Borad, 2022)</w:t>
              </w:r>
              <w:r w:rsidR="003F16AE" w:rsidRPr="004779DC">
                <w:rPr>
                  <w:rFonts w:ascii="Times New Roman" w:eastAsia="Times New Roman" w:hAnsi="Times New Roman" w:cs="Times New Roman"/>
                  <w:sz w:val="24"/>
                  <w:szCs w:val="24"/>
                  <w:lang w:eastAsia="en-GB"/>
                </w:rPr>
                <w:fldChar w:fldCharType="end"/>
              </w:r>
            </w:sdtContent>
          </w:sdt>
          <w:r w:rsidR="003F16AE" w:rsidRPr="004779DC">
            <w:rPr>
              <w:rFonts w:ascii="Times New Roman" w:eastAsia="Times New Roman" w:hAnsi="Times New Roman" w:cs="Times New Roman"/>
              <w:sz w:val="24"/>
              <w:szCs w:val="24"/>
              <w:lang w:eastAsia="en-GB"/>
            </w:rPr>
            <w:t>. So, the ratios analysis represents a summary of overall efficiency and it improves planning and co-ordination as well as it identifies the potential losses that might be happen to the company</w:t>
          </w:r>
          <w:r w:rsidR="001D5E2E" w:rsidRPr="004779DC">
            <w:rPr>
              <w:rFonts w:ascii="Times New Roman" w:eastAsia="Times New Roman" w:hAnsi="Times New Roman" w:cs="Times New Roman"/>
              <w:sz w:val="24"/>
              <w:szCs w:val="24"/>
              <w:lang w:eastAsia="en-GB"/>
            </w:rPr>
            <w:t>. According to the researcher, “Financial ratios must be used corr</w:t>
          </w:r>
          <w:r w:rsidR="001654AF" w:rsidRPr="004779DC">
            <w:rPr>
              <w:rFonts w:ascii="Times New Roman" w:eastAsia="Times New Roman" w:hAnsi="Times New Roman" w:cs="Times New Roman"/>
              <w:sz w:val="24"/>
              <w:szCs w:val="24"/>
              <w:lang w:eastAsia="en-GB"/>
            </w:rPr>
            <w:t>ectly in order to be effective in</w:t>
          </w:r>
          <w:r w:rsidR="001D5E2E" w:rsidRPr="004779DC">
            <w:rPr>
              <w:rFonts w:ascii="Times New Roman" w:eastAsia="Times New Roman" w:hAnsi="Times New Roman" w:cs="Times New Roman"/>
              <w:sz w:val="24"/>
              <w:szCs w:val="24"/>
              <w:lang w:eastAsia="en-GB"/>
            </w:rPr>
            <w:t xml:space="preserve"> order to make managerial decisions, it is required to </w:t>
          </w:r>
          <w:r w:rsidR="001654AF" w:rsidRPr="004779DC">
            <w:rPr>
              <w:rFonts w:ascii="Times New Roman" w:eastAsia="Times New Roman" w:hAnsi="Times New Roman" w:cs="Times New Roman"/>
              <w:sz w:val="24"/>
              <w:szCs w:val="24"/>
              <w:lang w:eastAsia="en-GB"/>
            </w:rPr>
            <w:t>understanding</w:t>
          </w:r>
          <w:r w:rsidR="001D5E2E" w:rsidRPr="004779DC">
            <w:rPr>
              <w:rFonts w:ascii="Times New Roman" w:eastAsia="Times New Roman" w:hAnsi="Times New Roman" w:cs="Times New Roman"/>
              <w:sz w:val="24"/>
              <w:szCs w:val="24"/>
              <w:lang w:eastAsia="en-GB"/>
            </w:rPr>
            <w:t xml:space="preserve"> how the company operat</w:t>
          </w:r>
          <w:r w:rsidR="006C2AEA" w:rsidRPr="004779DC">
            <w:rPr>
              <w:rFonts w:ascii="Times New Roman" w:eastAsia="Times New Roman" w:hAnsi="Times New Roman" w:cs="Times New Roman"/>
              <w:sz w:val="24"/>
              <w:szCs w:val="24"/>
              <w:lang w:eastAsia="en-GB"/>
            </w:rPr>
            <w:t>es from a financial standpoint t</w:t>
          </w:r>
          <w:r w:rsidR="001D5E2E" w:rsidRPr="004779DC">
            <w:rPr>
              <w:rFonts w:ascii="Times New Roman" w:eastAsia="Times New Roman" w:hAnsi="Times New Roman" w:cs="Times New Roman"/>
              <w:sz w:val="24"/>
              <w:szCs w:val="24"/>
              <w:lang w:eastAsia="en-GB"/>
            </w:rPr>
            <w:t>he ratios should be used as a symptom identification system and should be</w:t>
          </w:r>
          <w:r w:rsidR="006C2AEA" w:rsidRPr="004779DC">
            <w:rPr>
              <w:rFonts w:ascii="Times New Roman" w:eastAsia="Times New Roman" w:hAnsi="Times New Roman" w:cs="Times New Roman"/>
              <w:sz w:val="24"/>
              <w:szCs w:val="24"/>
              <w:lang w:eastAsia="en-GB"/>
            </w:rPr>
            <w:t xml:space="preserve"> applied consistently,</w:t>
          </w:r>
          <w:r w:rsidR="001D5E2E" w:rsidRPr="004779DC">
            <w:rPr>
              <w:rFonts w:ascii="Times New Roman" w:eastAsia="Times New Roman" w:hAnsi="Times New Roman" w:cs="Times New Roman"/>
              <w:sz w:val="24"/>
              <w:szCs w:val="24"/>
              <w:lang w:eastAsia="en-GB"/>
            </w:rPr>
            <w:t xml:space="preserve"> rather than looking at a single point in time figure.</w:t>
          </w:r>
          <w:r w:rsidR="001654AF" w:rsidRPr="004779DC">
            <w:rPr>
              <w:rFonts w:ascii="Times New Roman" w:eastAsia="Times New Roman" w:hAnsi="Times New Roman" w:cs="Times New Roman"/>
              <w:sz w:val="24"/>
              <w:szCs w:val="24"/>
              <w:lang w:eastAsia="en-GB"/>
            </w:rPr>
            <w:t>”</w:t>
          </w:r>
          <w:sdt>
            <w:sdtPr>
              <w:rPr>
                <w:rFonts w:ascii="Times New Roman" w:eastAsia="Times New Roman" w:hAnsi="Times New Roman" w:cs="Times New Roman"/>
                <w:sz w:val="24"/>
                <w:szCs w:val="24"/>
                <w:lang w:eastAsia="en-GB"/>
              </w:rPr>
              <w:id w:val="858701959"/>
              <w:citation/>
            </w:sdtPr>
            <w:sdtEndPr/>
            <w:sdtContent>
              <w:r w:rsidR="001654AF" w:rsidRPr="004779DC">
                <w:rPr>
                  <w:rFonts w:ascii="Times New Roman" w:eastAsia="Times New Roman" w:hAnsi="Times New Roman" w:cs="Times New Roman"/>
                  <w:sz w:val="24"/>
                  <w:szCs w:val="24"/>
                  <w:lang w:eastAsia="en-GB"/>
                </w:rPr>
                <w:fldChar w:fldCharType="begin"/>
              </w:r>
              <w:r w:rsidR="001654AF" w:rsidRPr="004779DC">
                <w:rPr>
                  <w:rFonts w:ascii="Times New Roman" w:eastAsia="Times New Roman" w:hAnsi="Times New Roman" w:cs="Times New Roman"/>
                  <w:sz w:val="24"/>
                  <w:szCs w:val="24"/>
                  <w:lang w:val="en-US" w:eastAsia="en-GB"/>
                </w:rPr>
                <w:instrText xml:space="preserve"> CITATION WRL82 \l 1033 </w:instrText>
              </w:r>
              <w:r w:rsidR="001654AF" w:rsidRPr="004779DC">
                <w:rPr>
                  <w:rFonts w:ascii="Times New Roman" w:eastAsia="Times New Roman" w:hAnsi="Times New Roman" w:cs="Times New Roman"/>
                  <w:sz w:val="24"/>
                  <w:szCs w:val="24"/>
                  <w:lang w:eastAsia="en-GB"/>
                </w:rPr>
                <w:fldChar w:fldCharType="separate"/>
              </w:r>
              <w:r w:rsidR="001654AF" w:rsidRPr="004779DC">
                <w:rPr>
                  <w:rFonts w:ascii="Times New Roman" w:eastAsia="Times New Roman" w:hAnsi="Times New Roman" w:cs="Times New Roman"/>
                  <w:noProof/>
                  <w:sz w:val="24"/>
                  <w:szCs w:val="24"/>
                  <w:lang w:val="en-US" w:eastAsia="en-GB"/>
                </w:rPr>
                <w:t xml:space="preserve"> (Luckham, 1982)</w:t>
              </w:r>
              <w:r w:rsidR="001654AF" w:rsidRPr="004779DC">
                <w:rPr>
                  <w:rFonts w:ascii="Times New Roman" w:eastAsia="Times New Roman" w:hAnsi="Times New Roman" w:cs="Times New Roman"/>
                  <w:sz w:val="24"/>
                  <w:szCs w:val="24"/>
                  <w:lang w:eastAsia="en-GB"/>
                </w:rPr>
                <w:fldChar w:fldCharType="end"/>
              </w:r>
            </w:sdtContent>
          </w:sdt>
          <w:r w:rsidR="001654AF" w:rsidRPr="004779DC">
            <w:rPr>
              <w:rFonts w:ascii="Times New Roman" w:eastAsia="Times New Roman" w:hAnsi="Times New Roman" w:cs="Times New Roman"/>
              <w:sz w:val="24"/>
              <w:szCs w:val="24"/>
              <w:lang w:eastAsia="en-GB"/>
            </w:rPr>
            <w:t xml:space="preserve">. </w:t>
          </w:r>
        </w:p>
        <w:p w14:paraId="6CA235EF" w14:textId="0A29F643" w:rsidR="00807895" w:rsidRPr="004779DC" w:rsidRDefault="006159BF" w:rsidP="00B954ED">
          <w:pPr>
            <w:autoSpaceDE w:val="0"/>
            <w:autoSpaceDN w:val="0"/>
            <w:adjustRightInd w:val="0"/>
            <w:jc w:val="both"/>
            <w:rPr>
              <w:rFonts w:ascii="Times New Roman" w:eastAsia="Times New Roman" w:hAnsi="Times New Roman" w:cs="Times New Roman"/>
              <w:sz w:val="24"/>
              <w:szCs w:val="24"/>
              <w:lang w:eastAsia="en-GB"/>
            </w:rPr>
          </w:pPr>
          <w:r w:rsidRPr="004779DC">
            <w:rPr>
              <w:rFonts w:ascii="Times New Roman" w:eastAsia="Times New Roman" w:hAnsi="Times New Roman" w:cs="Times New Roman"/>
              <w:sz w:val="24"/>
              <w:szCs w:val="24"/>
              <w:lang w:eastAsia="en-GB"/>
            </w:rPr>
            <w:t>By doing ratio</w:t>
          </w:r>
          <w:r w:rsidR="00807895" w:rsidRPr="004779DC">
            <w:rPr>
              <w:rFonts w:ascii="Times New Roman" w:eastAsia="Times New Roman" w:hAnsi="Times New Roman" w:cs="Times New Roman"/>
              <w:sz w:val="24"/>
              <w:szCs w:val="24"/>
              <w:lang w:eastAsia="en-GB"/>
            </w:rPr>
            <w:t xml:space="preserve"> analysis, it</w:t>
          </w:r>
          <w:r w:rsidRPr="004779DC">
            <w:rPr>
              <w:rFonts w:ascii="Times New Roman" w:eastAsia="Times New Roman" w:hAnsi="Times New Roman" w:cs="Times New Roman"/>
              <w:sz w:val="24"/>
              <w:szCs w:val="24"/>
              <w:lang w:eastAsia="en-GB"/>
            </w:rPr>
            <w:t xml:space="preserve"> helps planning and forecasting, according to the researcher, “Financial ratio analysis is useful for identifying the firm's strengths and weaknesses by forming a relationship between balance sheet and profit and loss account items. Through compensate for the fast changes in the financial effective' requirements, it is essential to analyse the organization's financial performance.”</w:t>
          </w:r>
          <w:sdt>
            <w:sdtPr>
              <w:rPr>
                <w:rFonts w:ascii="Times New Roman" w:eastAsia="Times New Roman" w:hAnsi="Times New Roman" w:cs="Times New Roman"/>
                <w:sz w:val="24"/>
                <w:szCs w:val="24"/>
                <w:lang w:eastAsia="en-GB"/>
              </w:rPr>
              <w:id w:val="678540188"/>
              <w:citation/>
            </w:sdtPr>
            <w:sdtEndPr/>
            <w:sdtContent>
              <w:r w:rsidRPr="004779DC">
                <w:rPr>
                  <w:rFonts w:ascii="Times New Roman" w:eastAsia="Times New Roman" w:hAnsi="Times New Roman" w:cs="Times New Roman"/>
                  <w:sz w:val="24"/>
                  <w:szCs w:val="24"/>
                  <w:lang w:eastAsia="en-GB"/>
                </w:rPr>
                <w:fldChar w:fldCharType="begin"/>
              </w:r>
              <w:r w:rsidRPr="004779DC">
                <w:rPr>
                  <w:rFonts w:ascii="Times New Roman" w:eastAsia="Times New Roman" w:hAnsi="Times New Roman" w:cs="Times New Roman"/>
                  <w:sz w:val="24"/>
                  <w:szCs w:val="24"/>
                  <w:lang w:val="en-US" w:eastAsia="en-GB"/>
                </w:rPr>
                <w:instrText xml:space="preserve"> CITATION Sai16 \l 1033 </w:instrText>
              </w:r>
              <w:r w:rsidRPr="004779DC">
                <w:rPr>
                  <w:rFonts w:ascii="Times New Roman" w:eastAsia="Times New Roman" w:hAnsi="Times New Roman" w:cs="Times New Roman"/>
                  <w:sz w:val="24"/>
                  <w:szCs w:val="24"/>
                  <w:lang w:eastAsia="en-GB"/>
                </w:rPr>
                <w:fldChar w:fldCharType="separate"/>
              </w:r>
              <w:r w:rsidRPr="004779DC">
                <w:rPr>
                  <w:rFonts w:ascii="Times New Roman" w:eastAsia="Times New Roman" w:hAnsi="Times New Roman" w:cs="Times New Roman"/>
                  <w:noProof/>
                  <w:sz w:val="24"/>
                  <w:szCs w:val="24"/>
                  <w:lang w:val="en-US" w:eastAsia="en-GB"/>
                </w:rPr>
                <w:t xml:space="preserve"> (Sai Jyothi, 2016)</w:t>
              </w:r>
              <w:r w:rsidRPr="004779DC">
                <w:rPr>
                  <w:rFonts w:ascii="Times New Roman" w:eastAsia="Times New Roman" w:hAnsi="Times New Roman" w:cs="Times New Roman"/>
                  <w:sz w:val="24"/>
                  <w:szCs w:val="24"/>
                  <w:lang w:eastAsia="en-GB"/>
                </w:rPr>
                <w:fldChar w:fldCharType="end"/>
              </w:r>
            </w:sdtContent>
          </w:sdt>
          <w:r w:rsidRPr="004779DC">
            <w:rPr>
              <w:rFonts w:ascii="Times New Roman" w:eastAsia="Times New Roman" w:hAnsi="Times New Roman" w:cs="Times New Roman"/>
              <w:sz w:val="24"/>
              <w:szCs w:val="24"/>
              <w:lang w:eastAsia="en-GB"/>
            </w:rPr>
            <w:t xml:space="preserve">. Also, in profitability ratio it helps to identifying pricing and cost control along with forecasting of future profits. </w:t>
          </w:r>
          <w:r w:rsidR="00184177">
            <w:rPr>
              <w:rFonts w:ascii="Times New Roman" w:eastAsia="Times New Roman" w:hAnsi="Times New Roman" w:cs="Times New Roman"/>
              <w:sz w:val="24"/>
              <w:szCs w:val="24"/>
              <w:lang w:eastAsia="en-GB"/>
            </w:rPr>
            <w:t>According to</w:t>
          </w:r>
          <w:r w:rsidR="006A042A" w:rsidRPr="004779DC">
            <w:rPr>
              <w:rFonts w:ascii="Times New Roman" w:eastAsia="Times New Roman" w:hAnsi="Times New Roman" w:cs="Times New Roman"/>
              <w:sz w:val="24"/>
              <w:szCs w:val="24"/>
              <w:lang w:eastAsia="en-GB"/>
            </w:rPr>
            <w:t xml:space="preserve"> the researcher, “</w:t>
          </w:r>
          <w:r w:rsidR="00184177" w:rsidRPr="00184177">
            <w:rPr>
              <w:rFonts w:ascii="Times New Roman" w:eastAsia="Times New Roman" w:hAnsi="Times New Roman" w:cs="Times New Roman"/>
              <w:sz w:val="24"/>
              <w:szCs w:val="24"/>
              <w:lang w:eastAsia="en-GB"/>
            </w:rPr>
            <w:t>Financial ratios set a boundary, allowing companies to assess if their firm's ratios are within the defined ranges and, as a consequence, keep a close check on any undesirable or dangerous initiatives.</w:t>
          </w:r>
          <w:r w:rsidR="006A042A" w:rsidRPr="004779DC">
            <w:rPr>
              <w:rFonts w:ascii="Times New Roman" w:eastAsia="Times New Roman" w:hAnsi="Times New Roman" w:cs="Times New Roman"/>
              <w:sz w:val="24"/>
              <w:szCs w:val="24"/>
              <w:lang w:eastAsia="en-GB"/>
            </w:rPr>
            <w:t>”</w:t>
          </w:r>
          <w:sdt>
            <w:sdtPr>
              <w:rPr>
                <w:rFonts w:ascii="Times New Roman" w:eastAsia="Times New Roman" w:hAnsi="Times New Roman" w:cs="Times New Roman"/>
                <w:sz w:val="24"/>
                <w:szCs w:val="24"/>
                <w:lang w:eastAsia="en-GB"/>
              </w:rPr>
              <w:id w:val="34093515"/>
              <w:citation/>
            </w:sdtPr>
            <w:sdtEndPr/>
            <w:sdtContent>
              <w:r w:rsidR="006A042A" w:rsidRPr="004779DC">
                <w:rPr>
                  <w:rFonts w:ascii="Times New Roman" w:eastAsia="Times New Roman" w:hAnsi="Times New Roman" w:cs="Times New Roman"/>
                  <w:sz w:val="24"/>
                  <w:szCs w:val="24"/>
                  <w:lang w:eastAsia="en-GB"/>
                </w:rPr>
                <w:fldChar w:fldCharType="begin"/>
              </w:r>
              <w:r w:rsidR="006A042A" w:rsidRPr="004779DC">
                <w:rPr>
                  <w:rFonts w:ascii="Times New Roman" w:eastAsia="Times New Roman" w:hAnsi="Times New Roman" w:cs="Times New Roman"/>
                  <w:sz w:val="24"/>
                  <w:szCs w:val="24"/>
                  <w:lang w:val="en-US" w:eastAsia="en-GB"/>
                </w:rPr>
                <w:instrText xml:space="preserve"> CITATION Sur22 \l 1033 </w:instrText>
              </w:r>
              <w:r w:rsidR="006A042A" w:rsidRPr="004779DC">
                <w:rPr>
                  <w:rFonts w:ascii="Times New Roman" w:eastAsia="Times New Roman" w:hAnsi="Times New Roman" w:cs="Times New Roman"/>
                  <w:sz w:val="24"/>
                  <w:szCs w:val="24"/>
                  <w:lang w:eastAsia="en-GB"/>
                </w:rPr>
                <w:fldChar w:fldCharType="separate"/>
              </w:r>
              <w:r w:rsidR="006A042A" w:rsidRPr="004779DC">
                <w:rPr>
                  <w:rFonts w:ascii="Times New Roman" w:eastAsia="Times New Roman" w:hAnsi="Times New Roman" w:cs="Times New Roman"/>
                  <w:noProof/>
                  <w:sz w:val="24"/>
                  <w:szCs w:val="24"/>
                  <w:lang w:val="en-US" w:eastAsia="en-GB"/>
                </w:rPr>
                <w:t xml:space="preserve"> (Sureka, 2022)</w:t>
              </w:r>
              <w:r w:rsidR="006A042A" w:rsidRPr="004779DC">
                <w:rPr>
                  <w:rFonts w:ascii="Times New Roman" w:eastAsia="Times New Roman" w:hAnsi="Times New Roman" w:cs="Times New Roman"/>
                  <w:sz w:val="24"/>
                  <w:szCs w:val="24"/>
                  <w:lang w:eastAsia="en-GB"/>
                </w:rPr>
                <w:fldChar w:fldCharType="end"/>
              </w:r>
            </w:sdtContent>
          </w:sdt>
          <w:r w:rsidR="006A042A" w:rsidRPr="004779DC">
            <w:rPr>
              <w:rFonts w:ascii="Times New Roman" w:eastAsia="Times New Roman" w:hAnsi="Times New Roman" w:cs="Times New Roman"/>
              <w:sz w:val="24"/>
              <w:szCs w:val="24"/>
              <w:lang w:eastAsia="en-GB"/>
            </w:rPr>
            <w:t>. In particularly, in</w:t>
          </w:r>
          <w:r w:rsidR="001F54A6" w:rsidRPr="004779DC">
            <w:rPr>
              <w:rFonts w:ascii="Times New Roman" w:eastAsia="Times New Roman" w:hAnsi="Times New Roman" w:cs="Times New Roman"/>
              <w:sz w:val="24"/>
              <w:szCs w:val="24"/>
              <w:lang w:eastAsia="en-GB"/>
            </w:rPr>
            <w:t xml:space="preserve"> solvency ratio if a company's debt ratio rises over time, it could be a sign that it needs to decrease debt or seek alternative sources of funding since its assets are insufficient to pay off the debtor now and in the future. As a result, ratios serve as a curb on overspending and debt growth. Besides, financial ratios are helps to identify the areas of improvement that’s company looked at the financial statements then take as appropriate initiative. </w:t>
          </w:r>
        </w:p>
        <w:p w14:paraId="56B85B6C" w14:textId="799831B2" w:rsidR="00807895" w:rsidRPr="004779DC" w:rsidRDefault="00807895" w:rsidP="00B954ED">
          <w:pPr>
            <w:autoSpaceDE w:val="0"/>
            <w:autoSpaceDN w:val="0"/>
            <w:adjustRightInd w:val="0"/>
            <w:jc w:val="both"/>
            <w:rPr>
              <w:rFonts w:ascii="Times New Roman" w:eastAsia="Times New Roman" w:hAnsi="Times New Roman" w:cs="Times New Roman"/>
              <w:sz w:val="24"/>
              <w:szCs w:val="24"/>
              <w:lang w:eastAsia="en-GB"/>
            </w:rPr>
          </w:pPr>
        </w:p>
        <w:p w14:paraId="2C90B152" w14:textId="333B6D43" w:rsidR="00807895" w:rsidRPr="004779DC" w:rsidRDefault="00807895" w:rsidP="00B954ED">
          <w:pPr>
            <w:autoSpaceDE w:val="0"/>
            <w:autoSpaceDN w:val="0"/>
            <w:adjustRightInd w:val="0"/>
            <w:jc w:val="both"/>
            <w:rPr>
              <w:rFonts w:ascii="Times New Roman" w:eastAsia="Times New Roman" w:hAnsi="Times New Roman" w:cs="Times New Roman"/>
              <w:sz w:val="24"/>
              <w:szCs w:val="24"/>
              <w:lang w:eastAsia="en-GB"/>
            </w:rPr>
          </w:pPr>
        </w:p>
        <w:p w14:paraId="336EB722" w14:textId="397474E9" w:rsidR="00973BF7" w:rsidRPr="004779DC" w:rsidRDefault="00973BF7" w:rsidP="00B954ED">
          <w:pPr>
            <w:autoSpaceDE w:val="0"/>
            <w:autoSpaceDN w:val="0"/>
            <w:adjustRightInd w:val="0"/>
            <w:jc w:val="both"/>
            <w:rPr>
              <w:rFonts w:ascii="Times New Roman" w:eastAsia="Times New Roman" w:hAnsi="Times New Roman" w:cs="Times New Roman"/>
              <w:sz w:val="24"/>
              <w:szCs w:val="24"/>
              <w:lang w:eastAsia="en-GB"/>
            </w:rPr>
          </w:pPr>
        </w:p>
        <w:p w14:paraId="78E2E013" w14:textId="324A2811" w:rsidR="009C1CE2" w:rsidRPr="00F0319B" w:rsidRDefault="009C1CE2" w:rsidP="00F0319B">
          <w:pPr>
            <w:autoSpaceDE w:val="0"/>
            <w:autoSpaceDN w:val="0"/>
            <w:adjustRightInd w:val="0"/>
            <w:rPr>
              <w:sz w:val="24"/>
              <w:szCs w:val="24"/>
            </w:rPr>
          </w:pPr>
        </w:p>
        <w:p w14:paraId="703D8996" w14:textId="1BA39DCA" w:rsidR="007B754B" w:rsidRPr="004779DC" w:rsidRDefault="00D61C02" w:rsidP="00F0319B">
          <w:pPr>
            <w:rPr>
              <w:rFonts w:ascii="Times New Roman" w:hAnsi="Times New Roman" w:cs="Times New Roman"/>
              <w:sz w:val="24"/>
              <w:szCs w:val="24"/>
            </w:rPr>
          </w:pPr>
          <w:r w:rsidRPr="004779DC">
            <w:rPr>
              <w:rFonts w:ascii="Times New Roman" w:hAnsi="Times New Roman" w:cs="Times New Roman"/>
              <w:sz w:val="24"/>
              <w:szCs w:val="24"/>
            </w:rPr>
            <w:t xml:space="preserve"> According to the researcher, “There are some limitations to ratio analysis, such as the fact that it only recognizes quantitative aspects and completely ignores qualitative aspects, that it does not consider the reasons for fluctuation of amounts, that could lead to inaccurate results, and that it only shows the comparison or trend, and that management must make decisions based on t</w:t>
          </w:r>
          <w:r w:rsidR="000C0F2C" w:rsidRPr="004779DC">
            <w:rPr>
              <w:rFonts w:ascii="Times New Roman" w:hAnsi="Times New Roman" w:cs="Times New Roman"/>
              <w:sz w:val="24"/>
              <w:szCs w:val="24"/>
            </w:rPr>
            <w:t>he analysis of ratios afterward</w:t>
          </w:r>
          <w:r w:rsidRPr="004779DC">
            <w:rPr>
              <w:rFonts w:ascii="Times New Roman" w:hAnsi="Times New Roman" w:cs="Times New Roman"/>
              <w:sz w:val="24"/>
              <w:szCs w:val="24"/>
            </w:rPr>
            <w:t>”</w:t>
          </w:r>
          <w:sdt>
            <w:sdtPr>
              <w:rPr>
                <w:rFonts w:ascii="Times New Roman" w:hAnsi="Times New Roman" w:cs="Times New Roman"/>
                <w:sz w:val="24"/>
                <w:szCs w:val="24"/>
              </w:rPr>
              <w:id w:val="-1079289714"/>
              <w:citation/>
            </w:sdtPr>
            <w:sdtEndPr/>
            <w:sdtContent>
              <w:r w:rsidRPr="004779DC">
                <w:rPr>
                  <w:rFonts w:ascii="Times New Roman" w:hAnsi="Times New Roman" w:cs="Times New Roman"/>
                  <w:sz w:val="24"/>
                  <w:szCs w:val="24"/>
                </w:rPr>
                <w:fldChar w:fldCharType="begin"/>
              </w:r>
              <w:r w:rsidRPr="004779DC">
                <w:rPr>
                  <w:rFonts w:ascii="Times New Roman" w:hAnsi="Times New Roman" w:cs="Times New Roman"/>
                  <w:sz w:val="24"/>
                  <w:szCs w:val="24"/>
                  <w:lang w:val="en-US"/>
                </w:rPr>
                <w:instrText xml:space="preserve"> CITATION Dhe22 \l 1033 </w:instrText>
              </w:r>
              <w:r w:rsidRPr="004779DC">
                <w:rPr>
                  <w:rFonts w:ascii="Times New Roman" w:hAnsi="Times New Roman" w:cs="Times New Roman"/>
                  <w:sz w:val="24"/>
                  <w:szCs w:val="24"/>
                </w:rPr>
                <w:fldChar w:fldCharType="separate"/>
              </w:r>
              <w:r w:rsidRPr="004779DC">
                <w:rPr>
                  <w:rFonts w:ascii="Times New Roman" w:hAnsi="Times New Roman" w:cs="Times New Roman"/>
                  <w:noProof/>
                  <w:sz w:val="24"/>
                  <w:szCs w:val="24"/>
                  <w:lang w:val="en-US"/>
                </w:rPr>
                <w:t xml:space="preserve"> (Dheeraj Vaidya, 2022)</w:t>
              </w:r>
              <w:r w:rsidRPr="004779DC">
                <w:rPr>
                  <w:rFonts w:ascii="Times New Roman" w:hAnsi="Times New Roman" w:cs="Times New Roman"/>
                  <w:sz w:val="24"/>
                  <w:szCs w:val="24"/>
                </w:rPr>
                <w:fldChar w:fldCharType="end"/>
              </w:r>
            </w:sdtContent>
          </w:sdt>
          <w:r w:rsidRPr="004779DC">
            <w:rPr>
              <w:rFonts w:ascii="Times New Roman" w:hAnsi="Times New Roman" w:cs="Times New Roman"/>
              <w:sz w:val="24"/>
              <w:szCs w:val="24"/>
            </w:rPr>
            <w:t>.</w:t>
          </w:r>
          <w:r w:rsidR="007B754B" w:rsidRPr="004779DC">
            <w:rPr>
              <w:rFonts w:ascii="Times New Roman" w:hAnsi="Times New Roman" w:cs="Times New Roman"/>
              <w:sz w:val="24"/>
              <w:szCs w:val="24"/>
            </w:rPr>
            <w:t xml:space="preserve"> </w:t>
          </w:r>
          <w:r w:rsidR="00FD062D" w:rsidRPr="004779DC">
            <w:rPr>
              <w:rFonts w:ascii="Times New Roman" w:hAnsi="Times New Roman" w:cs="Times New Roman"/>
              <w:sz w:val="24"/>
              <w:szCs w:val="24"/>
            </w:rPr>
            <w:t>One of the limitation are use of historical data using when calculate the financial ratios, these figures are based on historical data and are unlikely to remain constant in the future as business performance shifts over time. Also, as per the researcher, “ratio analysis also ignorance of the qualitative perspective and be disposed to include only the monetary aspect.”</w:t>
          </w:r>
          <w:sdt>
            <w:sdtPr>
              <w:rPr>
                <w:rFonts w:ascii="Times New Roman" w:hAnsi="Times New Roman" w:cs="Times New Roman"/>
                <w:sz w:val="24"/>
                <w:szCs w:val="24"/>
              </w:rPr>
              <w:id w:val="774060799"/>
              <w:citation/>
            </w:sdtPr>
            <w:sdtEndPr/>
            <w:sdtContent>
              <w:r w:rsidR="00FD062D" w:rsidRPr="004779DC">
                <w:rPr>
                  <w:rFonts w:ascii="Times New Roman" w:hAnsi="Times New Roman" w:cs="Times New Roman"/>
                  <w:sz w:val="24"/>
                  <w:szCs w:val="24"/>
                </w:rPr>
                <w:fldChar w:fldCharType="begin"/>
              </w:r>
              <w:r w:rsidR="00FD062D" w:rsidRPr="004779DC">
                <w:rPr>
                  <w:rFonts w:ascii="Times New Roman" w:hAnsi="Times New Roman" w:cs="Times New Roman"/>
                  <w:sz w:val="24"/>
                  <w:szCs w:val="24"/>
                  <w:lang w:val="en-US"/>
                </w:rPr>
                <w:instrText xml:space="preserve"> CITATION Tha22 \l 1033 </w:instrText>
              </w:r>
              <w:r w:rsidR="00FD062D" w:rsidRPr="004779DC">
                <w:rPr>
                  <w:rFonts w:ascii="Times New Roman" w:hAnsi="Times New Roman" w:cs="Times New Roman"/>
                  <w:sz w:val="24"/>
                  <w:szCs w:val="24"/>
                </w:rPr>
                <w:fldChar w:fldCharType="separate"/>
              </w:r>
              <w:r w:rsidR="00FD062D" w:rsidRPr="004779DC">
                <w:rPr>
                  <w:rFonts w:ascii="Times New Roman" w:hAnsi="Times New Roman" w:cs="Times New Roman"/>
                  <w:noProof/>
                  <w:sz w:val="24"/>
                  <w:szCs w:val="24"/>
                  <w:lang w:val="en-US"/>
                </w:rPr>
                <w:t xml:space="preserve"> (Thakur, 2022)</w:t>
              </w:r>
              <w:r w:rsidR="00FD062D" w:rsidRPr="004779DC">
                <w:rPr>
                  <w:rFonts w:ascii="Times New Roman" w:hAnsi="Times New Roman" w:cs="Times New Roman"/>
                  <w:sz w:val="24"/>
                  <w:szCs w:val="24"/>
                </w:rPr>
                <w:fldChar w:fldCharType="end"/>
              </w:r>
            </w:sdtContent>
          </w:sdt>
          <w:r w:rsidR="00FD062D" w:rsidRPr="004779DC">
            <w:rPr>
              <w:rFonts w:ascii="Times New Roman" w:hAnsi="Times New Roman" w:cs="Times New Roman"/>
              <w:sz w:val="24"/>
              <w:szCs w:val="24"/>
            </w:rPr>
            <w:t xml:space="preserve">. </w:t>
          </w:r>
          <w:r w:rsidR="00B954ED" w:rsidRPr="004779DC">
            <w:rPr>
              <w:rFonts w:ascii="Times New Roman" w:hAnsi="Times New Roman" w:cs="Times New Roman"/>
              <w:sz w:val="24"/>
              <w:szCs w:val="24"/>
            </w:rPr>
            <w:t xml:space="preserve">Here, the historical and ignorance of the qualitative perspective are eye-catching in tend analysis. </w:t>
          </w:r>
        </w:p>
        <w:p w14:paraId="1CA4C677" w14:textId="0912FA80" w:rsidR="00EF393A" w:rsidRPr="004779DC" w:rsidRDefault="00752AAF" w:rsidP="00A1253D">
          <w:pPr>
            <w:jc w:val="both"/>
            <w:rPr>
              <w:rFonts w:ascii="Times New Roman" w:hAnsi="Times New Roman" w:cs="Times New Roman"/>
              <w:sz w:val="24"/>
              <w:szCs w:val="24"/>
            </w:rPr>
          </w:pPr>
          <w:r w:rsidRPr="004779DC">
            <w:rPr>
              <w:rFonts w:ascii="Times New Roman" w:hAnsi="Times New Roman" w:cs="Times New Roman"/>
              <w:sz w:val="24"/>
              <w:szCs w:val="24"/>
            </w:rPr>
            <w:t xml:space="preserve">Companies in the hotel management business have several current liabilities, such as salary and wages, and other short-term obligations. </w:t>
          </w:r>
          <w:r w:rsidR="00184177" w:rsidRPr="00184177">
            <w:rPr>
              <w:rFonts w:ascii="Times New Roman" w:hAnsi="Times New Roman" w:cs="Times New Roman"/>
              <w:sz w:val="24"/>
              <w:szCs w:val="24"/>
            </w:rPr>
            <w:t xml:space="preserve">Furthermore, because this is a cyclical industry, it is vital that businesses have enough current assets to cover current liabilities, even during a </w:t>
          </w:r>
          <w:r w:rsidR="00184177" w:rsidRPr="00184177">
            <w:rPr>
              <w:rFonts w:ascii="Times New Roman" w:hAnsi="Times New Roman" w:cs="Times New Roman"/>
              <w:sz w:val="24"/>
              <w:szCs w:val="24"/>
            </w:rPr>
            <w:lastRenderedPageBreak/>
            <w:t>downturn.</w:t>
          </w:r>
          <w:r w:rsidR="00184177" w:rsidRPr="004779DC">
            <w:rPr>
              <w:rFonts w:ascii="Times New Roman" w:hAnsi="Times New Roman" w:cs="Times New Roman"/>
              <w:sz w:val="24"/>
              <w:szCs w:val="24"/>
            </w:rPr>
            <w:t xml:space="preserve"> Stakeholders</w:t>
          </w:r>
          <w:r w:rsidRPr="004779DC">
            <w:rPr>
              <w:rFonts w:ascii="Times New Roman" w:hAnsi="Times New Roman" w:cs="Times New Roman"/>
              <w:sz w:val="24"/>
              <w:szCs w:val="24"/>
            </w:rPr>
            <w:t xml:space="preserve"> look for a current ratio of more than one to establish whether a firm is strong in the hospitality sector.</w:t>
          </w:r>
          <w:r w:rsidR="002C7E76" w:rsidRPr="004779DC">
            <w:rPr>
              <w:rFonts w:ascii="Times New Roman" w:hAnsi="Times New Roman" w:cs="Times New Roman"/>
              <w:sz w:val="24"/>
              <w:szCs w:val="24"/>
            </w:rPr>
            <w:t xml:space="preserve"> Because the hotel business has become so dependent on fixed and physical assets, it necessitates a highly specialized set of financial ratios in order to effectively assess the industry and individual company performance.</w:t>
          </w:r>
          <w:r w:rsidRPr="004779DC">
            <w:rPr>
              <w:rFonts w:ascii="Times New Roman" w:hAnsi="Times New Roman" w:cs="Times New Roman"/>
              <w:sz w:val="24"/>
              <w:szCs w:val="24"/>
            </w:rPr>
            <w:t xml:space="preserve"> According to the researcher, “Financial leverage ratios provide stakeholders with information about a company's long-term solvency in the hospitality business. The capacity of a corporation to fulfil its long-term debt commitments is measured by these measures.”</w:t>
          </w:r>
          <w:sdt>
            <w:sdtPr>
              <w:rPr>
                <w:rFonts w:ascii="Times New Roman" w:hAnsi="Times New Roman" w:cs="Times New Roman"/>
                <w:sz w:val="24"/>
                <w:szCs w:val="24"/>
              </w:rPr>
              <w:id w:val="47659452"/>
              <w:citation/>
            </w:sdtPr>
            <w:sdtEndPr/>
            <w:sdtContent>
              <w:r w:rsidRPr="004779DC">
                <w:rPr>
                  <w:rFonts w:ascii="Times New Roman" w:hAnsi="Times New Roman" w:cs="Times New Roman"/>
                  <w:sz w:val="24"/>
                  <w:szCs w:val="24"/>
                </w:rPr>
                <w:fldChar w:fldCharType="begin"/>
              </w:r>
              <w:r w:rsidRPr="004779DC">
                <w:rPr>
                  <w:rFonts w:ascii="Times New Roman" w:hAnsi="Times New Roman" w:cs="Times New Roman"/>
                  <w:sz w:val="24"/>
                  <w:szCs w:val="24"/>
                  <w:lang w:val="en-US"/>
                </w:rPr>
                <w:instrText xml:space="preserve"> CITATION TAR21 \l 1033 </w:instrText>
              </w:r>
              <w:r w:rsidRPr="004779DC">
                <w:rPr>
                  <w:rFonts w:ascii="Times New Roman" w:hAnsi="Times New Roman" w:cs="Times New Roman"/>
                  <w:sz w:val="24"/>
                  <w:szCs w:val="24"/>
                </w:rPr>
                <w:fldChar w:fldCharType="separate"/>
              </w:r>
              <w:r w:rsidRPr="004779DC">
                <w:rPr>
                  <w:rFonts w:ascii="Times New Roman" w:hAnsi="Times New Roman" w:cs="Times New Roman"/>
                  <w:noProof/>
                  <w:sz w:val="24"/>
                  <w:szCs w:val="24"/>
                  <w:lang w:val="en-US"/>
                </w:rPr>
                <w:t xml:space="preserve"> (TARVER, 2021)</w:t>
              </w:r>
              <w:r w:rsidRPr="004779DC">
                <w:rPr>
                  <w:rFonts w:ascii="Times New Roman" w:hAnsi="Times New Roman" w:cs="Times New Roman"/>
                  <w:sz w:val="24"/>
                  <w:szCs w:val="24"/>
                </w:rPr>
                <w:fldChar w:fldCharType="end"/>
              </w:r>
            </w:sdtContent>
          </w:sdt>
          <w:r w:rsidRPr="004779DC">
            <w:rPr>
              <w:rFonts w:ascii="Times New Roman" w:hAnsi="Times New Roman" w:cs="Times New Roman"/>
              <w:sz w:val="24"/>
              <w:szCs w:val="24"/>
            </w:rPr>
            <w:t xml:space="preserve">. </w:t>
          </w:r>
          <w:r w:rsidR="006A042A" w:rsidRPr="004779DC">
            <w:rPr>
              <w:rFonts w:ascii="Times New Roman" w:hAnsi="Times New Roman" w:cs="Times New Roman"/>
              <w:sz w:val="24"/>
              <w:szCs w:val="24"/>
            </w:rPr>
            <w:t xml:space="preserve">Profitability ratios are used to assess a company's profitability on three levels: gross profit, operational profit, and net profit, for hotel management billions of dollars are made, and many businesses are well-established, substantial profit margins should be made at all levels. Along with net profit margin it identifies Profits in the hotel sector aren't particularly high because of the high related operating costs of running a business in this area. </w:t>
          </w:r>
          <w:r w:rsidR="00033335" w:rsidRPr="004779DC">
            <w:rPr>
              <w:rFonts w:ascii="Times New Roman" w:hAnsi="Times New Roman" w:cs="Times New Roman"/>
              <w:sz w:val="24"/>
              <w:szCs w:val="24"/>
            </w:rPr>
            <w:t>An</w:t>
          </w:r>
          <w:r w:rsidR="006A042A" w:rsidRPr="004779DC">
            <w:rPr>
              <w:rFonts w:ascii="Times New Roman" w:hAnsi="Times New Roman" w:cs="Times New Roman"/>
              <w:sz w:val="24"/>
              <w:szCs w:val="24"/>
            </w:rPr>
            <w:t xml:space="preserve"> investor should, however, always evaluate a business's net profit margin to industry averages to verify it meets or surpasses the benchmark.</w:t>
          </w:r>
          <w:r w:rsidR="00A1253D" w:rsidRPr="004779DC">
            <w:rPr>
              <w:rFonts w:ascii="Times New Roman" w:eastAsia="Times New Roman" w:hAnsi="Times New Roman" w:cs="Times New Roman"/>
              <w:sz w:val="24"/>
              <w:szCs w:val="24"/>
              <w:lang w:eastAsia="en-GB"/>
            </w:rPr>
            <w:t xml:space="preserve"> As shown the financial statement limitation, their significant changes occur for instance, Gross profit and net profit both are dramatically changes in 2020 in compare to the year 2019.</w:t>
          </w:r>
        </w:p>
        <w:p w14:paraId="32C52C9D" w14:textId="22AD6A5D" w:rsidR="00642ECE" w:rsidRDefault="00642ECE" w:rsidP="000C0F2C">
          <w:pPr>
            <w:jc w:val="both"/>
          </w:pPr>
        </w:p>
        <w:p w14:paraId="52FFD408" w14:textId="53F22C82" w:rsidR="00AA2A91" w:rsidRDefault="00AA2A91" w:rsidP="004D519C"/>
        <w:p w14:paraId="3B761FE2" w14:textId="4BF8FACE" w:rsidR="00AA2A91" w:rsidRDefault="00AA2A91" w:rsidP="00AA2A91">
          <w:pPr>
            <w:pStyle w:val="Heading1"/>
          </w:pPr>
          <w:bookmarkStart w:id="4" w:name="_Toc104552232"/>
          <w:r>
            <w:t>Conclusion</w:t>
          </w:r>
          <w:bookmarkEnd w:id="4"/>
          <w:r w:rsidR="00D854A5">
            <w:t xml:space="preserve"> </w:t>
          </w:r>
        </w:p>
        <w:p w14:paraId="2A964EEA" w14:textId="4E56B7D6" w:rsidR="00C6661D" w:rsidRPr="004779DC" w:rsidRDefault="000744DE" w:rsidP="003765F8">
          <w:pPr>
            <w:jc w:val="both"/>
            <w:rPr>
              <w:rFonts w:ascii="Times New Roman" w:hAnsi="Times New Roman" w:cs="Times New Roman"/>
              <w:sz w:val="24"/>
              <w:szCs w:val="24"/>
            </w:rPr>
          </w:pPr>
          <w:r w:rsidRPr="004779DC">
            <w:rPr>
              <w:rFonts w:ascii="Times New Roman" w:hAnsi="Times New Roman" w:cs="Times New Roman"/>
              <w:sz w:val="24"/>
              <w:szCs w:val="24"/>
            </w:rPr>
            <w:t xml:space="preserve">Ultimately, the </w:t>
          </w:r>
          <w:r w:rsidR="003765F8" w:rsidRPr="004779DC">
            <w:rPr>
              <w:rFonts w:ascii="Times New Roman" w:hAnsi="Times New Roman" w:cs="Times New Roman"/>
              <w:sz w:val="24"/>
              <w:szCs w:val="24"/>
            </w:rPr>
            <w:t xml:space="preserve">financial </w:t>
          </w:r>
          <w:r w:rsidRPr="004779DC">
            <w:rPr>
              <w:rFonts w:ascii="Times New Roman" w:hAnsi="Times New Roman" w:cs="Times New Roman"/>
              <w:sz w:val="24"/>
              <w:szCs w:val="24"/>
            </w:rPr>
            <w:t>ratios assist internal and external consumers of financial statements in drawing conclusions about the company's financial status, but they can be difficult to compute due to differences in their definition and calculation methods.</w:t>
          </w:r>
          <w:r w:rsidR="003F696B" w:rsidRPr="004779DC">
            <w:rPr>
              <w:rFonts w:ascii="Times New Roman" w:hAnsi="Times New Roman" w:cs="Times New Roman"/>
              <w:sz w:val="24"/>
              <w:szCs w:val="24"/>
            </w:rPr>
            <w:t xml:space="preserve"> </w:t>
          </w:r>
          <w:r w:rsidR="00BA2365" w:rsidRPr="004779DC">
            <w:rPr>
              <w:rFonts w:ascii="Times New Roman" w:hAnsi="Times New Roman" w:cs="Times New Roman"/>
              <w:sz w:val="24"/>
              <w:szCs w:val="24"/>
            </w:rPr>
            <w:t>According to the researcher, “</w:t>
          </w:r>
          <w:r w:rsidR="00184177" w:rsidRPr="00184177">
            <w:rPr>
              <w:rFonts w:ascii="Times New Roman" w:hAnsi="Times New Roman" w:cs="Times New Roman"/>
              <w:sz w:val="24"/>
              <w:szCs w:val="24"/>
            </w:rPr>
            <w:t>Understanding financial ratios is necessary for identifying movements and changes in financial statements, as well as analysing the financial health of the organization as a whole, with an emphasis on identifying positive and negative financial trends.</w:t>
          </w:r>
          <w:r w:rsidR="00BA2365" w:rsidRPr="004779DC">
            <w:rPr>
              <w:rFonts w:ascii="Times New Roman" w:hAnsi="Times New Roman" w:cs="Times New Roman"/>
              <w:sz w:val="24"/>
              <w:szCs w:val="24"/>
            </w:rPr>
            <w:t>.”</w:t>
          </w:r>
          <w:sdt>
            <w:sdtPr>
              <w:rPr>
                <w:rFonts w:ascii="Times New Roman" w:hAnsi="Times New Roman" w:cs="Times New Roman"/>
                <w:sz w:val="24"/>
                <w:szCs w:val="24"/>
              </w:rPr>
              <w:id w:val="1381061936"/>
              <w:citation/>
            </w:sdtPr>
            <w:sdtEndPr/>
            <w:sdtContent>
              <w:r w:rsidR="00BA2365" w:rsidRPr="004779DC">
                <w:rPr>
                  <w:rFonts w:ascii="Times New Roman" w:hAnsi="Times New Roman" w:cs="Times New Roman"/>
                  <w:sz w:val="24"/>
                  <w:szCs w:val="24"/>
                </w:rPr>
                <w:fldChar w:fldCharType="begin"/>
              </w:r>
              <w:r w:rsidR="00BA2365" w:rsidRPr="004779DC">
                <w:rPr>
                  <w:rFonts w:ascii="Times New Roman" w:hAnsi="Times New Roman" w:cs="Times New Roman"/>
                  <w:sz w:val="24"/>
                  <w:szCs w:val="24"/>
                  <w:lang w:val="en-US"/>
                </w:rPr>
                <w:instrText xml:space="preserve"> CITATION Ras18 \l 1033 </w:instrText>
              </w:r>
              <w:r w:rsidR="00BA2365" w:rsidRPr="004779DC">
                <w:rPr>
                  <w:rFonts w:ascii="Times New Roman" w:hAnsi="Times New Roman" w:cs="Times New Roman"/>
                  <w:sz w:val="24"/>
                  <w:szCs w:val="24"/>
                </w:rPr>
                <w:fldChar w:fldCharType="separate"/>
              </w:r>
              <w:r w:rsidR="00BA2365" w:rsidRPr="004779DC">
                <w:rPr>
                  <w:rFonts w:ascii="Times New Roman" w:hAnsi="Times New Roman" w:cs="Times New Roman"/>
                  <w:noProof/>
                  <w:sz w:val="24"/>
                  <w:szCs w:val="24"/>
                  <w:lang w:val="en-US"/>
                </w:rPr>
                <w:t xml:space="preserve"> (Rashi, 2018)</w:t>
              </w:r>
              <w:r w:rsidR="00BA2365" w:rsidRPr="004779DC">
                <w:rPr>
                  <w:rFonts w:ascii="Times New Roman" w:hAnsi="Times New Roman" w:cs="Times New Roman"/>
                  <w:sz w:val="24"/>
                  <w:szCs w:val="24"/>
                </w:rPr>
                <w:fldChar w:fldCharType="end"/>
              </w:r>
            </w:sdtContent>
          </w:sdt>
          <w:r w:rsidR="00BA2365" w:rsidRPr="004779DC">
            <w:rPr>
              <w:rFonts w:ascii="Times New Roman" w:hAnsi="Times New Roman" w:cs="Times New Roman"/>
              <w:sz w:val="24"/>
              <w:szCs w:val="24"/>
            </w:rPr>
            <w:t>.</w:t>
          </w:r>
        </w:p>
        <w:p w14:paraId="6980888E" w14:textId="7867362D" w:rsidR="003F696B" w:rsidRPr="004779DC" w:rsidRDefault="003F696B" w:rsidP="003765F8">
          <w:pPr>
            <w:jc w:val="both"/>
            <w:rPr>
              <w:rFonts w:ascii="Times New Roman" w:hAnsi="Times New Roman" w:cs="Times New Roman"/>
              <w:sz w:val="24"/>
              <w:szCs w:val="24"/>
            </w:rPr>
          </w:pPr>
          <w:r w:rsidRPr="004779DC">
            <w:rPr>
              <w:rFonts w:ascii="Times New Roman" w:hAnsi="Times New Roman" w:cs="Times New Roman"/>
              <w:sz w:val="24"/>
              <w:szCs w:val="24"/>
            </w:rPr>
            <w:t>The use of ratios to measure the success of financial situation has become widespread. Financial ratios evaluate a company's financial situation in comparison to its industry or peers. Because ratios are essentially a comparison of two or more elements, this is the case. Despite the fact that the calculating procedure is basic, there are so many of them that they can occasionally cause difficulty in their actual use. This historical report is always running in the work of financial analysts, who input financial data into materials analysis extensively. Many financial databases, in fact, are statistical data collections in which the structure of accounting data is obscured. The way these data are organized favours statistical criteria relevant to the portfolio management strategy. Financial ratios are essential tools for assessing a company's financial situation. Furthermore, the interpretation of the derived ratios is critical in establishing the strength of the business's performance analysis.</w:t>
          </w:r>
        </w:p>
        <w:p w14:paraId="44550D7A" w14:textId="52C9C162" w:rsidR="000D3B36" w:rsidRDefault="000D3B36" w:rsidP="000D3B36">
          <w:bookmarkStart w:id="5" w:name="_Toc104552233"/>
        </w:p>
        <w:p w14:paraId="210C9BA7" w14:textId="072C49EB" w:rsidR="004779DC" w:rsidRDefault="004779DC" w:rsidP="000D3B36"/>
        <w:p w14:paraId="491C7FF5" w14:textId="77777777" w:rsidR="004779DC" w:rsidRPr="000D3B36" w:rsidRDefault="004779DC" w:rsidP="000D3B36"/>
        <w:p w14:paraId="58C49762" w14:textId="5E122414" w:rsidR="00AA2A91" w:rsidRPr="00AA2A91" w:rsidRDefault="00AA2A91" w:rsidP="00AA2A91">
          <w:pPr>
            <w:pStyle w:val="Heading1"/>
          </w:pPr>
          <w:r>
            <w:t>Bibliography</w:t>
          </w:r>
          <w:bookmarkEnd w:id="5"/>
        </w:p>
        <w:p w14:paraId="0B60BCAC" w14:textId="3148F84E" w:rsidR="00CA09F3" w:rsidRDefault="001324B1"/>
      </w:sdtContent>
    </w:sdt>
    <w:sdt>
      <w:sdtPr>
        <w:rPr>
          <w:rFonts w:asciiTheme="minorHAnsi" w:eastAsiaTheme="minorHAnsi" w:hAnsiTheme="minorHAnsi" w:cstheme="minorBidi"/>
          <w:color w:val="auto"/>
          <w:sz w:val="22"/>
          <w:szCs w:val="22"/>
        </w:rPr>
        <w:id w:val="-1196683315"/>
        <w:docPartObj>
          <w:docPartGallery w:val="Bibliographies"/>
          <w:docPartUnique/>
        </w:docPartObj>
      </w:sdtPr>
      <w:sdtEndPr/>
      <w:sdtContent>
        <w:p w14:paraId="51B13CCB" w14:textId="3A5CC077" w:rsidR="000D3B36" w:rsidRDefault="000D3B36">
          <w:pPr>
            <w:pStyle w:val="Heading1"/>
          </w:pPr>
          <w:r>
            <w:t>References</w:t>
          </w:r>
        </w:p>
        <w:sdt>
          <w:sdtPr>
            <w:id w:val="-573587230"/>
            <w:bibliography/>
          </w:sdtPr>
          <w:sdtEndPr/>
          <w:sdtContent>
            <w:p w14:paraId="59AA17CE" w14:textId="77777777" w:rsidR="000D3B36" w:rsidRDefault="000D3B36" w:rsidP="000D3B36">
              <w:pPr>
                <w:pStyle w:val="Bibliography"/>
                <w:numPr>
                  <w:ilvl w:val="0"/>
                  <w:numId w:val="3"/>
                </w:numPr>
                <w:rPr>
                  <w:noProof/>
                  <w:sz w:val="24"/>
                  <w:szCs w:val="24"/>
                </w:rPr>
              </w:pPr>
              <w:r>
                <w:fldChar w:fldCharType="begin"/>
              </w:r>
              <w:r>
                <w:instrText xml:space="preserve"> BIBLIOGRAPHY </w:instrText>
              </w:r>
              <w:r>
                <w:fldChar w:fldCharType="separate"/>
              </w:r>
              <w:r>
                <w:rPr>
                  <w:noProof/>
                </w:rPr>
                <w:t xml:space="preserve">Borad, S. B., 2022. </w:t>
              </w:r>
              <w:r>
                <w:rPr>
                  <w:i/>
                  <w:iCs/>
                  <w:noProof/>
                </w:rPr>
                <w:t xml:space="preserve">Importance of Ratio Analysis. </w:t>
              </w:r>
              <w:r>
                <w:rPr>
                  <w:noProof/>
                </w:rPr>
                <w:t xml:space="preserve">[Online] </w:t>
              </w:r>
              <w:r>
                <w:rPr>
                  <w:noProof/>
                </w:rPr>
                <w:br/>
                <w:t xml:space="preserve">Available at: </w:t>
              </w:r>
              <w:r>
                <w:rPr>
                  <w:noProof/>
                  <w:u w:val="single"/>
                </w:rPr>
                <w:t>https://efinancemanagement.com/financial-analysis/importance-of-ratio</w:t>
              </w:r>
              <w:r>
                <w:rPr>
                  <w:noProof/>
                </w:rPr>
                <w:br/>
                <w:t>[Accessed 26 May 2022].</w:t>
              </w:r>
            </w:p>
            <w:p w14:paraId="6D60250E" w14:textId="77777777" w:rsidR="000D3B36" w:rsidRDefault="000D3B36" w:rsidP="000D3B36">
              <w:pPr>
                <w:pStyle w:val="Bibliography"/>
                <w:numPr>
                  <w:ilvl w:val="0"/>
                  <w:numId w:val="3"/>
                </w:numPr>
                <w:rPr>
                  <w:noProof/>
                </w:rPr>
              </w:pPr>
              <w:r>
                <w:rPr>
                  <w:noProof/>
                </w:rPr>
                <w:t xml:space="preserve">Dheeraj Vaidya, C., 2022. </w:t>
              </w:r>
              <w:r>
                <w:rPr>
                  <w:i/>
                  <w:iCs/>
                  <w:noProof/>
                </w:rPr>
                <w:t xml:space="preserve">Ratio Analysis Limitations. </w:t>
              </w:r>
              <w:r>
                <w:rPr>
                  <w:noProof/>
                </w:rPr>
                <w:t xml:space="preserve">[Online] </w:t>
              </w:r>
              <w:r>
                <w:rPr>
                  <w:noProof/>
                </w:rPr>
                <w:br/>
                <w:t xml:space="preserve">Available at: </w:t>
              </w:r>
              <w:r>
                <w:rPr>
                  <w:noProof/>
                  <w:u w:val="single"/>
                </w:rPr>
                <w:t>https://www.wallstreetmojo.com/ratio-analysis-limitations/</w:t>
              </w:r>
              <w:r>
                <w:rPr>
                  <w:noProof/>
                </w:rPr>
                <w:br/>
                <w:t>[Accessed 26 May 2022].</w:t>
              </w:r>
            </w:p>
            <w:p w14:paraId="1C7A8785" w14:textId="77777777" w:rsidR="000D3B36" w:rsidRDefault="000D3B36" w:rsidP="000D3B36">
              <w:pPr>
                <w:pStyle w:val="Bibliography"/>
                <w:numPr>
                  <w:ilvl w:val="0"/>
                  <w:numId w:val="3"/>
                </w:numPr>
                <w:rPr>
                  <w:noProof/>
                </w:rPr>
              </w:pPr>
              <w:r>
                <w:rPr>
                  <w:noProof/>
                </w:rPr>
                <w:t xml:space="preserve">FERNANDO, J., 2021. </w:t>
              </w:r>
              <w:r>
                <w:rPr>
                  <w:i/>
                  <w:iCs/>
                  <w:noProof/>
                </w:rPr>
                <w:t xml:space="preserve">Investopedia. </w:t>
              </w:r>
              <w:r>
                <w:rPr>
                  <w:noProof/>
                </w:rPr>
                <w:t xml:space="preserve">[Online] </w:t>
              </w:r>
              <w:r>
                <w:rPr>
                  <w:noProof/>
                </w:rPr>
                <w:br/>
                <w:t xml:space="preserve">Available at: </w:t>
              </w:r>
              <w:r>
                <w:rPr>
                  <w:noProof/>
                  <w:u w:val="single"/>
                </w:rPr>
                <w:t>https://www.investopedia.com/terms/c/currentratio.asp#:~:text=headed%20for%20default.-,Interpreting%20the%20Current%20Ratio,within%20a%20year%20or%20less.</w:t>
              </w:r>
              <w:r>
                <w:rPr>
                  <w:noProof/>
                </w:rPr>
                <w:br/>
                <w:t>[Accessed 26 May 2022].</w:t>
              </w:r>
            </w:p>
            <w:p w14:paraId="23ADAF7E" w14:textId="77777777" w:rsidR="000D3B36" w:rsidRDefault="000D3B36" w:rsidP="000D3B36">
              <w:pPr>
                <w:pStyle w:val="Bibliography"/>
                <w:numPr>
                  <w:ilvl w:val="0"/>
                  <w:numId w:val="3"/>
                </w:numPr>
                <w:rPr>
                  <w:noProof/>
                </w:rPr>
              </w:pPr>
              <w:r>
                <w:rPr>
                  <w:noProof/>
                </w:rPr>
                <w:t xml:space="preserve">HAYES, A., 2021. </w:t>
              </w:r>
              <w:r>
                <w:rPr>
                  <w:i/>
                  <w:iCs/>
                  <w:noProof/>
                </w:rPr>
                <w:t xml:space="preserve">Guide to Financail Ratios.. </w:t>
              </w:r>
              <w:r>
                <w:rPr>
                  <w:noProof/>
                </w:rPr>
                <w:t xml:space="preserve">[Online] </w:t>
              </w:r>
              <w:r>
                <w:rPr>
                  <w:noProof/>
                </w:rPr>
                <w:br/>
                <w:t xml:space="preserve">Available at: </w:t>
              </w:r>
              <w:r>
                <w:rPr>
                  <w:noProof/>
                  <w:u w:val="single"/>
                </w:rPr>
                <w:t>https://www.investopedia.com/terms/p/profitabilityratios.asp</w:t>
              </w:r>
              <w:r>
                <w:rPr>
                  <w:noProof/>
                </w:rPr>
                <w:br/>
                <w:t>[Accessed 26 May 2022].</w:t>
              </w:r>
            </w:p>
            <w:p w14:paraId="593234C3" w14:textId="77777777" w:rsidR="000D3B36" w:rsidRDefault="000D3B36" w:rsidP="000D3B36">
              <w:pPr>
                <w:pStyle w:val="Bibliography"/>
                <w:numPr>
                  <w:ilvl w:val="0"/>
                  <w:numId w:val="3"/>
                </w:numPr>
                <w:rPr>
                  <w:noProof/>
                </w:rPr>
              </w:pPr>
              <w:r>
                <w:rPr>
                  <w:noProof/>
                </w:rPr>
                <w:t xml:space="preserve">Ibrahim, D. A. K., 2021. </w:t>
              </w:r>
              <w:r>
                <w:rPr>
                  <w:i/>
                  <w:iCs/>
                  <w:noProof/>
                </w:rPr>
                <w:t xml:space="preserve">Financial Analysis. </w:t>
              </w:r>
              <w:r>
                <w:rPr>
                  <w:noProof/>
                </w:rPr>
                <w:t>Syrian Arab Republic: Creative Commons Attributes-NoDerivatives 4.0 .</w:t>
              </w:r>
            </w:p>
            <w:p w14:paraId="761EFB52" w14:textId="77777777" w:rsidR="000D3B36" w:rsidRDefault="000D3B36" w:rsidP="000D3B36">
              <w:pPr>
                <w:pStyle w:val="Bibliography"/>
                <w:numPr>
                  <w:ilvl w:val="0"/>
                  <w:numId w:val="3"/>
                </w:numPr>
                <w:rPr>
                  <w:noProof/>
                </w:rPr>
              </w:pPr>
              <w:r>
                <w:rPr>
                  <w:noProof/>
                </w:rPr>
                <w:t xml:space="preserve">James C. Van Horne, J. M. W. J., 2008. </w:t>
              </w:r>
              <w:r>
                <w:rPr>
                  <w:i/>
                  <w:iCs/>
                  <w:noProof/>
                </w:rPr>
                <w:t xml:space="preserve">Fundamentals of Financial management. </w:t>
              </w:r>
              <w:r>
                <w:rPr>
                  <w:noProof/>
                </w:rPr>
                <w:t>13th ed. England: Pearson Education Limited.</w:t>
              </w:r>
            </w:p>
            <w:p w14:paraId="1D9C7ADE" w14:textId="77777777" w:rsidR="000D3B36" w:rsidRDefault="000D3B36" w:rsidP="000D3B36">
              <w:pPr>
                <w:pStyle w:val="Bibliography"/>
                <w:numPr>
                  <w:ilvl w:val="0"/>
                  <w:numId w:val="3"/>
                </w:numPr>
                <w:rPr>
                  <w:noProof/>
                </w:rPr>
              </w:pPr>
              <w:r>
                <w:rPr>
                  <w:noProof/>
                </w:rPr>
                <w:t xml:space="preserve">Luckham, W., 1982. FINANCIAL RATIO ANALYSIS FOR DECISION-MAKING. </w:t>
              </w:r>
              <w:r>
                <w:rPr>
                  <w:i/>
                  <w:iCs/>
                  <w:noProof/>
                </w:rPr>
                <w:t xml:space="preserve">Journal of Arboriculture, </w:t>
              </w:r>
              <w:r>
                <w:rPr>
                  <w:noProof/>
                </w:rPr>
                <w:t>11(8), pp. 296-301.</w:t>
              </w:r>
            </w:p>
            <w:p w14:paraId="172256B7" w14:textId="77777777" w:rsidR="000D3B36" w:rsidRDefault="000D3B36" w:rsidP="000D3B36">
              <w:pPr>
                <w:pStyle w:val="Bibliography"/>
                <w:numPr>
                  <w:ilvl w:val="0"/>
                  <w:numId w:val="3"/>
                </w:numPr>
                <w:rPr>
                  <w:noProof/>
                </w:rPr>
              </w:pPr>
              <w:r>
                <w:rPr>
                  <w:noProof/>
                </w:rPr>
                <w:t xml:space="preserve">M. Sarngadharan, S. R. K., 2011. </w:t>
              </w:r>
              <w:r>
                <w:rPr>
                  <w:i/>
                  <w:iCs/>
                  <w:noProof/>
                </w:rPr>
                <w:t xml:space="preserve">Financial Analysis for Management Decisions. </w:t>
              </w:r>
              <w:r>
                <w:rPr>
                  <w:noProof/>
                </w:rPr>
                <w:t>Eastern Economy Edition ed. Thiruvananthapuram, Kerala.: PHI Learning Pvt. Ltd..</w:t>
              </w:r>
            </w:p>
            <w:p w14:paraId="1B656993" w14:textId="77777777" w:rsidR="000D3B36" w:rsidRDefault="000D3B36" w:rsidP="000D3B36">
              <w:pPr>
                <w:pStyle w:val="Bibliography"/>
                <w:numPr>
                  <w:ilvl w:val="0"/>
                  <w:numId w:val="3"/>
                </w:numPr>
                <w:rPr>
                  <w:noProof/>
                </w:rPr>
              </w:pPr>
              <w:r>
                <w:rPr>
                  <w:noProof/>
                </w:rPr>
                <w:t xml:space="preserve">Mitchell Franklin, P. G. D. C., 2019. </w:t>
              </w:r>
              <w:r>
                <w:rPr>
                  <w:i/>
                  <w:iCs/>
                  <w:noProof/>
                </w:rPr>
                <w:t xml:space="preserve">Principles of Accounting, Volume 1: Financial Accounting. </w:t>
              </w:r>
              <w:r>
                <w:rPr>
                  <w:noProof/>
                </w:rPr>
                <w:t>Houston, Texas: OpenStax.</w:t>
              </w:r>
            </w:p>
            <w:p w14:paraId="1C8FDDA2" w14:textId="77777777" w:rsidR="000D3B36" w:rsidRDefault="000D3B36" w:rsidP="000D3B36">
              <w:pPr>
                <w:pStyle w:val="Bibliography"/>
                <w:numPr>
                  <w:ilvl w:val="0"/>
                  <w:numId w:val="3"/>
                </w:numPr>
                <w:rPr>
                  <w:noProof/>
                </w:rPr>
              </w:pPr>
              <w:r>
                <w:rPr>
                  <w:noProof/>
                </w:rPr>
                <w:t xml:space="preserve">Rashi, C. A., 2018. Efficiency of Financial Ratios Analysis for Evaluating Companies Liquidity. </w:t>
              </w:r>
              <w:r>
                <w:rPr>
                  <w:i/>
                  <w:iCs/>
                  <w:noProof/>
                </w:rPr>
                <w:t xml:space="preserve">International Journal of Social Sciences &amp; Educational Studies , </w:t>
              </w:r>
              <w:r>
                <w:rPr>
                  <w:noProof/>
                </w:rPr>
                <w:t>4(4), pp. 110-123.</w:t>
              </w:r>
            </w:p>
            <w:p w14:paraId="5636504A" w14:textId="77777777" w:rsidR="000D3B36" w:rsidRDefault="000D3B36" w:rsidP="000D3B36">
              <w:pPr>
                <w:pStyle w:val="Bibliography"/>
                <w:numPr>
                  <w:ilvl w:val="0"/>
                  <w:numId w:val="3"/>
                </w:numPr>
                <w:rPr>
                  <w:noProof/>
                </w:rPr>
              </w:pPr>
              <w:r>
                <w:rPr>
                  <w:noProof/>
                </w:rPr>
                <w:t xml:space="preserve">Sai Jyothi, B., 2016. </w:t>
              </w:r>
              <w:r>
                <w:rPr>
                  <w:i/>
                  <w:iCs/>
                  <w:noProof/>
                </w:rPr>
                <w:t xml:space="preserve">A Study on Ratio Analysis With Reference to Town Co-Operative Bank, Hosakote, </w:t>
              </w:r>
              <w:r>
                <w:rPr>
                  <w:noProof/>
                </w:rPr>
                <w:t>Bangalore: New Horizon College of Engineering Marathalli, Bangalore.</w:t>
              </w:r>
            </w:p>
            <w:p w14:paraId="7CB308D0" w14:textId="77777777" w:rsidR="000D3B36" w:rsidRDefault="000D3B36" w:rsidP="000D3B36">
              <w:pPr>
                <w:pStyle w:val="Bibliography"/>
                <w:numPr>
                  <w:ilvl w:val="0"/>
                  <w:numId w:val="3"/>
                </w:numPr>
                <w:rPr>
                  <w:noProof/>
                </w:rPr>
              </w:pPr>
              <w:r>
                <w:rPr>
                  <w:noProof/>
                </w:rPr>
                <w:t xml:space="preserve">Sureka, S., 2022. </w:t>
              </w:r>
              <w:r>
                <w:rPr>
                  <w:i/>
                  <w:iCs/>
                  <w:noProof/>
                </w:rPr>
                <w:t xml:space="preserve">List of Financial Ratios. </w:t>
              </w:r>
              <w:r>
                <w:rPr>
                  <w:noProof/>
                </w:rPr>
                <w:t xml:space="preserve">[Online] </w:t>
              </w:r>
              <w:r>
                <w:rPr>
                  <w:noProof/>
                </w:rPr>
                <w:br/>
                <w:t xml:space="preserve">Available at: </w:t>
              </w:r>
              <w:r>
                <w:rPr>
                  <w:noProof/>
                  <w:u w:val="single"/>
                </w:rPr>
                <w:t>https://www.educba.com/list-of-financial-ratios/</w:t>
              </w:r>
              <w:r>
                <w:rPr>
                  <w:noProof/>
                </w:rPr>
                <w:br/>
                <w:t>[Accessed 27 May 2022].</w:t>
              </w:r>
            </w:p>
            <w:p w14:paraId="7B65FCE9" w14:textId="77777777" w:rsidR="000D3B36" w:rsidRDefault="000D3B36" w:rsidP="000D3B36">
              <w:pPr>
                <w:pStyle w:val="Bibliography"/>
                <w:numPr>
                  <w:ilvl w:val="0"/>
                  <w:numId w:val="3"/>
                </w:numPr>
                <w:rPr>
                  <w:noProof/>
                </w:rPr>
              </w:pPr>
              <w:r>
                <w:rPr>
                  <w:noProof/>
                </w:rPr>
                <w:t xml:space="preserve">TARVER, E., 2021. </w:t>
              </w:r>
              <w:r>
                <w:rPr>
                  <w:i/>
                  <w:iCs/>
                  <w:noProof/>
                </w:rPr>
                <w:t xml:space="preserve">Key Financial Ratios to Analyze the Hospitality Industry. </w:t>
              </w:r>
              <w:r>
                <w:rPr>
                  <w:noProof/>
                </w:rPr>
                <w:t xml:space="preserve">[Online] </w:t>
              </w:r>
              <w:r>
                <w:rPr>
                  <w:noProof/>
                </w:rPr>
                <w:br/>
                <w:t xml:space="preserve">Available at: </w:t>
              </w:r>
              <w:r>
                <w:rPr>
                  <w:noProof/>
                  <w:u w:val="single"/>
                </w:rPr>
                <w:t>https://www.investopedia.com/articles/active-trading/082615/key-financial-ratios-analyze-hospitality-industry.asp#:~:text=Financial%20leverage%20ratios%20give%20stakeholders,its%20long%2Dterm%20debt%20obligations.</w:t>
              </w:r>
              <w:r>
                <w:rPr>
                  <w:noProof/>
                </w:rPr>
                <w:br/>
                <w:t>[Accessed 27 May 2022].</w:t>
              </w:r>
            </w:p>
            <w:p w14:paraId="12A45F79" w14:textId="77777777" w:rsidR="000D3B36" w:rsidRDefault="000D3B36" w:rsidP="000D3B36">
              <w:pPr>
                <w:pStyle w:val="Bibliography"/>
                <w:numPr>
                  <w:ilvl w:val="0"/>
                  <w:numId w:val="3"/>
                </w:numPr>
                <w:rPr>
                  <w:noProof/>
                </w:rPr>
              </w:pPr>
              <w:r>
                <w:rPr>
                  <w:noProof/>
                </w:rPr>
                <w:lastRenderedPageBreak/>
                <w:t xml:space="preserve">Thakur, M., 2022. </w:t>
              </w:r>
              <w:r>
                <w:rPr>
                  <w:i/>
                  <w:iCs/>
                  <w:noProof/>
                </w:rPr>
                <w:t xml:space="preserve">Limitations of Ratio Analysis. </w:t>
              </w:r>
              <w:r>
                <w:rPr>
                  <w:noProof/>
                </w:rPr>
                <w:t xml:space="preserve">[Online] </w:t>
              </w:r>
              <w:r>
                <w:rPr>
                  <w:noProof/>
                </w:rPr>
                <w:br/>
                <w:t xml:space="preserve">Available at: </w:t>
              </w:r>
              <w:r>
                <w:rPr>
                  <w:noProof/>
                  <w:u w:val="single"/>
                </w:rPr>
                <w:t>https://www.educba.com/limitations-of-ratio-analysis/</w:t>
              </w:r>
              <w:r>
                <w:rPr>
                  <w:noProof/>
                </w:rPr>
                <w:br/>
                <w:t>[Accessed 27 May 2022].</w:t>
              </w:r>
            </w:p>
            <w:p w14:paraId="17761915" w14:textId="67CCE43C" w:rsidR="000D3B36" w:rsidRDefault="000D3B36" w:rsidP="000D3B36">
              <w:r>
                <w:rPr>
                  <w:b/>
                  <w:bCs/>
                  <w:noProof/>
                </w:rPr>
                <w:fldChar w:fldCharType="end"/>
              </w:r>
            </w:p>
          </w:sdtContent>
        </w:sdt>
      </w:sdtContent>
    </w:sdt>
    <w:p w14:paraId="576A99DB" w14:textId="77777777" w:rsidR="000D3B36" w:rsidRDefault="000D3B36"/>
    <w:sectPr w:rsidR="000D3B36" w:rsidSect="00D23832">
      <w:headerReference w:type="default" r:id="rId14"/>
      <w:pgSz w:w="11906" w:h="16838"/>
      <w:pgMar w:top="1440" w:right="1440" w:bottom="1440" w:left="1440" w:header="576"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4D3EC" w14:textId="77777777" w:rsidR="001324B1" w:rsidRDefault="001324B1" w:rsidP="00BA7FBD">
      <w:pPr>
        <w:spacing w:after="0" w:line="240" w:lineRule="auto"/>
      </w:pPr>
      <w:r>
        <w:separator/>
      </w:r>
    </w:p>
  </w:endnote>
  <w:endnote w:type="continuationSeparator" w:id="0">
    <w:p w14:paraId="44580DF7" w14:textId="77777777" w:rsidR="001324B1" w:rsidRDefault="001324B1" w:rsidP="00BA7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44804" w14:textId="77777777" w:rsidR="001324B1" w:rsidRDefault="001324B1" w:rsidP="00BA7FBD">
      <w:pPr>
        <w:spacing w:after="0" w:line="240" w:lineRule="auto"/>
      </w:pPr>
      <w:r>
        <w:separator/>
      </w:r>
    </w:p>
  </w:footnote>
  <w:footnote w:type="continuationSeparator" w:id="0">
    <w:p w14:paraId="62683786" w14:textId="77777777" w:rsidR="001324B1" w:rsidRDefault="001324B1" w:rsidP="00BA7F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252765A2" w14:textId="16054119" w:rsidR="00BA7FBD" w:rsidRDefault="00BA7FBD">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184177">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84177">
          <w:rPr>
            <w:b/>
            <w:bCs/>
            <w:noProof/>
          </w:rPr>
          <w:t>10</w:t>
        </w:r>
        <w:r>
          <w:rPr>
            <w:b/>
            <w:bCs/>
            <w:sz w:val="24"/>
            <w:szCs w:val="24"/>
          </w:rPr>
          <w:fldChar w:fldCharType="end"/>
        </w:r>
      </w:p>
    </w:sdtContent>
  </w:sdt>
  <w:p w14:paraId="3DDDF90B" w14:textId="77777777" w:rsidR="00BA7FBD" w:rsidRDefault="00BA7F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BE6EE1"/>
    <w:multiLevelType w:val="hybridMultilevel"/>
    <w:tmpl w:val="E8BAC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8D31EA"/>
    <w:multiLevelType w:val="hybridMultilevel"/>
    <w:tmpl w:val="3F0AC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5F5810"/>
    <w:multiLevelType w:val="hybridMultilevel"/>
    <w:tmpl w:val="1140415A"/>
    <w:lvl w:ilvl="0" w:tplc="08090017">
      <w:start w:val="1"/>
      <w:numFmt w:val="lowerLetter"/>
      <w:lvlText w:val="%1)"/>
      <w:lvlJc w:val="left"/>
      <w:pPr>
        <w:ind w:left="45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9638532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2869739">
    <w:abstractNumId w:val="0"/>
  </w:num>
  <w:num w:numId="3" w16cid:durableId="1872448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3335"/>
    <w:rsid w:val="00046E82"/>
    <w:rsid w:val="000744DE"/>
    <w:rsid w:val="000C0F2C"/>
    <w:rsid w:val="000D3B36"/>
    <w:rsid w:val="000E6EC7"/>
    <w:rsid w:val="00115B96"/>
    <w:rsid w:val="0012252E"/>
    <w:rsid w:val="0013111D"/>
    <w:rsid w:val="001324B1"/>
    <w:rsid w:val="001533C9"/>
    <w:rsid w:val="001654AF"/>
    <w:rsid w:val="00184177"/>
    <w:rsid w:val="001D5E2E"/>
    <w:rsid w:val="001F54A6"/>
    <w:rsid w:val="00203775"/>
    <w:rsid w:val="00226BFE"/>
    <w:rsid w:val="00246F95"/>
    <w:rsid w:val="00294E05"/>
    <w:rsid w:val="002C7E76"/>
    <w:rsid w:val="002D5D22"/>
    <w:rsid w:val="002E0194"/>
    <w:rsid w:val="002E62F2"/>
    <w:rsid w:val="00324CCD"/>
    <w:rsid w:val="00351685"/>
    <w:rsid w:val="003765F8"/>
    <w:rsid w:val="003D0DA2"/>
    <w:rsid w:val="003F16AE"/>
    <w:rsid w:val="003F696B"/>
    <w:rsid w:val="00475F93"/>
    <w:rsid w:val="004779DC"/>
    <w:rsid w:val="004A11F6"/>
    <w:rsid w:val="004C3370"/>
    <w:rsid w:val="004D519C"/>
    <w:rsid w:val="00522D23"/>
    <w:rsid w:val="00525B59"/>
    <w:rsid w:val="005404EE"/>
    <w:rsid w:val="006159BF"/>
    <w:rsid w:val="00631120"/>
    <w:rsid w:val="00642ECE"/>
    <w:rsid w:val="0067588E"/>
    <w:rsid w:val="006901F6"/>
    <w:rsid w:val="006A042A"/>
    <w:rsid w:val="006C2AEA"/>
    <w:rsid w:val="00721719"/>
    <w:rsid w:val="007371CC"/>
    <w:rsid w:val="00752AAF"/>
    <w:rsid w:val="007572AF"/>
    <w:rsid w:val="00783D91"/>
    <w:rsid w:val="00783E72"/>
    <w:rsid w:val="007B754B"/>
    <w:rsid w:val="007D1947"/>
    <w:rsid w:val="007F4D76"/>
    <w:rsid w:val="00807895"/>
    <w:rsid w:val="00823EBC"/>
    <w:rsid w:val="008358D8"/>
    <w:rsid w:val="00857969"/>
    <w:rsid w:val="0087550C"/>
    <w:rsid w:val="008F1FA3"/>
    <w:rsid w:val="00922B3C"/>
    <w:rsid w:val="00966FC2"/>
    <w:rsid w:val="00973BF7"/>
    <w:rsid w:val="00981739"/>
    <w:rsid w:val="00986229"/>
    <w:rsid w:val="009951C9"/>
    <w:rsid w:val="009C1CE2"/>
    <w:rsid w:val="009D7859"/>
    <w:rsid w:val="009E4E31"/>
    <w:rsid w:val="009F79EB"/>
    <w:rsid w:val="00A1253D"/>
    <w:rsid w:val="00A3523E"/>
    <w:rsid w:val="00A43654"/>
    <w:rsid w:val="00AA2A91"/>
    <w:rsid w:val="00AF494D"/>
    <w:rsid w:val="00B954ED"/>
    <w:rsid w:val="00BA2365"/>
    <w:rsid w:val="00BA7FBD"/>
    <w:rsid w:val="00C50999"/>
    <w:rsid w:val="00C57FE7"/>
    <w:rsid w:val="00C62324"/>
    <w:rsid w:val="00C6661D"/>
    <w:rsid w:val="00C71FB5"/>
    <w:rsid w:val="00C828D6"/>
    <w:rsid w:val="00CA09F3"/>
    <w:rsid w:val="00CD5134"/>
    <w:rsid w:val="00D23832"/>
    <w:rsid w:val="00D26C69"/>
    <w:rsid w:val="00D56D68"/>
    <w:rsid w:val="00D57EDA"/>
    <w:rsid w:val="00D61C02"/>
    <w:rsid w:val="00D73679"/>
    <w:rsid w:val="00D854A5"/>
    <w:rsid w:val="00D932D4"/>
    <w:rsid w:val="00DB6A70"/>
    <w:rsid w:val="00DE04B1"/>
    <w:rsid w:val="00E20DF8"/>
    <w:rsid w:val="00E80D7A"/>
    <w:rsid w:val="00E90240"/>
    <w:rsid w:val="00EA4414"/>
    <w:rsid w:val="00EC2E5E"/>
    <w:rsid w:val="00EE520D"/>
    <w:rsid w:val="00EF393A"/>
    <w:rsid w:val="00F01ABF"/>
    <w:rsid w:val="00F0319B"/>
    <w:rsid w:val="00FD0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A225"/>
  <w15:chartTrackingRefBased/>
  <w15:docId w15:val="{0FCF9AF9-FC69-4105-B0FB-3D207A80F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0D3B36"/>
  </w:style>
  <w:style w:type="paragraph" w:styleId="Header">
    <w:name w:val="header"/>
    <w:basedOn w:val="Normal"/>
    <w:link w:val="HeaderChar"/>
    <w:uiPriority w:val="99"/>
    <w:unhideWhenUsed/>
    <w:rsid w:val="00BA7F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7FBD"/>
  </w:style>
  <w:style w:type="paragraph" w:styleId="Footer">
    <w:name w:val="footer"/>
    <w:basedOn w:val="Normal"/>
    <w:link w:val="FooterChar"/>
    <w:uiPriority w:val="99"/>
    <w:unhideWhenUsed/>
    <w:rsid w:val="00BA7F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7F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47971">
      <w:bodyDiv w:val="1"/>
      <w:marLeft w:val="0"/>
      <w:marRight w:val="0"/>
      <w:marTop w:val="0"/>
      <w:marBottom w:val="0"/>
      <w:divBdr>
        <w:top w:val="none" w:sz="0" w:space="0" w:color="auto"/>
        <w:left w:val="none" w:sz="0" w:space="0" w:color="auto"/>
        <w:bottom w:val="none" w:sz="0" w:space="0" w:color="auto"/>
        <w:right w:val="none" w:sz="0" w:space="0" w:color="auto"/>
      </w:divBdr>
    </w:div>
    <w:div w:id="239993327">
      <w:bodyDiv w:val="1"/>
      <w:marLeft w:val="0"/>
      <w:marRight w:val="0"/>
      <w:marTop w:val="0"/>
      <w:marBottom w:val="0"/>
      <w:divBdr>
        <w:top w:val="none" w:sz="0" w:space="0" w:color="auto"/>
        <w:left w:val="none" w:sz="0" w:space="0" w:color="auto"/>
        <w:bottom w:val="none" w:sz="0" w:space="0" w:color="auto"/>
        <w:right w:val="none" w:sz="0" w:space="0" w:color="auto"/>
      </w:divBdr>
    </w:div>
    <w:div w:id="574704985">
      <w:bodyDiv w:val="1"/>
      <w:marLeft w:val="0"/>
      <w:marRight w:val="0"/>
      <w:marTop w:val="0"/>
      <w:marBottom w:val="0"/>
      <w:divBdr>
        <w:top w:val="none" w:sz="0" w:space="0" w:color="auto"/>
        <w:left w:val="none" w:sz="0" w:space="0" w:color="auto"/>
        <w:bottom w:val="none" w:sz="0" w:space="0" w:color="auto"/>
        <w:right w:val="none" w:sz="0" w:space="0" w:color="auto"/>
      </w:divBdr>
    </w:div>
    <w:div w:id="682364144">
      <w:bodyDiv w:val="1"/>
      <w:marLeft w:val="0"/>
      <w:marRight w:val="0"/>
      <w:marTop w:val="0"/>
      <w:marBottom w:val="0"/>
      <w:divBdr>
        <w:top w:val="none" w:sz="0" w:space="0" w:color="auto"/>
        <w:left w:val="none" w:sz="0" w:space="0" w:color="auto"/>
        <w:bottom w:val="none" w:sz="0" w:space="0" w:color="auto"/>
        <w:right w:val="none" w:sz="0" w:space="0" w:color="auto"/>
      </w:divBdr>
    </w:div>
    <w:div w:id="809828933">
      <w:bodyDiv w:val="1"/>
      <w:marLeft w:val="0"/>
      <w:marRight w:val="0"/>
      <w:marTop w:val="0"/>
      <w:marBottom w:val="0"/>
      <w:divBdr>
        <w:top w:val="none" w:sz="0" w:space="0" w:color="auto"/>
        <w:left w:val="none" w:sz="0" w:space="0" w:color="auto"/>
        <w:bottom w:val="none" w:sz="0" w:space="0" w:color="auto"/>
        <w:right w:val="none" w:sz="0" w:space="0" w:color="auto"/>
      </w:divBdr>
    </w:div>
    <w:div w:id="821778570">
      <w:bodyDiv w:val="1"/>
      <w:marLeft w:val="0"/>
      <w:marRight w:val="0"/>
      <w:marTop w:val="0"/>
      <w:marBottom w:val="0"/>
      <w:divBdr>
        <w:top w:val="none" w:sz="0" w:space="0" w:color="auto"/>
        <w:left w:val="none" w:sz="0" w:space="0" w:color="auto"/>
        <w:bottom w:val="none" w:sz="0" w:space="0" w:color="auto"/>
        <w:right w:val="none" w:sz="0" w:space="0" w:color="auto"/>
      </w:divBdr>
      <w:divsChild>
        <w:div w:id="437877246">
          <w:marLeft w:val="0"/>
          <w:marRight w:val="0"/>
          <w:marTop w:val="0"/>
          <w:marBottom w:val="0"/>
          <w:divBdr>
            <w:top w:val="none" w:sz="0" w:space="0" w:color="auto"/>
            <w:left w:val="none" w:sz="0" w:space="0" w:color="auto"/>
            <w:bottom w:val="none" w:sz="0" w:space="0" w:color="auto"/>
            <w:right w:val="none" w:sz="0" w:space="0" w:color="auto"/>
          </w:divBdr>
        </w:div>
        <w:div w:id="1093555294">
          <w:marLeft w:val="0"/>
          <w:marRight w:val="0"/>
          <w:marTop w:val="0"/>
          <w:marBottom w:val="0"/>
          <w:divBdr>
            <w:top w:val="none" w:sz="0" w:space="0" w:color="auto"/>
            <w:left w:val="none" w:sz="0" w:space="0" w:color="auto"/>
            <w:bottom w:val="none" w:sz="0" w:space="0" w:color="auto"/>
            <w:right w:val="none" w:sz="0" w:space="0" w:color="auto"/>
          </w:divBdr>
        </w:div>
      </w:divsChild>
    </w:div>
    <w:div w:id="843665448">
      <w:bodyDiv w:val="1"/>
      <w:marLeft w:val="0"/>
      <w:marRight w:val="0"/>
      <w:marTop w:val="0"/>
      <w:marBottom w:val="0"/>
      <w:divBdr>
        <w:top w:val="none" w:sz="0" w:space="0" w:color="auto"/>
        <w:left w:val="none" w:sz="0" w:space="0" w:color="auto"/>
        <w:bottom w:val="none" w:sz="0" w:space="0" w:color="auto"/>
        <w:right w:val="none" w:sz="0" w:space="0" w:color="auto"/>
      </w:divBdr>
    </w:div>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991562626">
      <w:bodyDiv w:val="1"/>
      <w:marLeft w:val="0"/>
      <w:marRight w:val="0"/>
      <w:marTop w:val="0"/>
      <w:marBottom w:val="0"/>
      <w:divBdr>
        <w:top w:val="none" w:sz="0" w:space="0" w:color="auto"/>
        <w:left w:val="none" w:sz="0" w:space="0" w:color="auto"/>
        <w:bottom w:val="none" w:sz="0" w:space="0" w:color="auto"/>
        <w:right w:val="none" w:sz="0" w:space="0" w:color="auto"/>
      </w:divBdr>
    </w:div>
    <w:div w:id="1004044050">
      <w:bodyDiv w:val="1"/>
      <w:marLeft w:val="0"/>
      <w:marRight w:val="0"/>
      <w:marTop w:val="0"/>
      <w:marBottom w:val="0"/>
      <w:divBdr>
        <w:top w:val="none" w:sz="0" w:space="0" w:color="auto"/>
        <w:left w:val="none" w:sz="0" w:space="0" w:color="auto"/>
        <w:bottom w:val="none" w:sz="0" w:space="0" w:color="auto"/>
        <w:right w:val="none" w:sz="0" w:space="0" w:color="auto"/>
      </w:divBdr>
    </w:div>
    <w:div w:id="1027945046">
      <w:bodyDiv w:val="1"/>
      <w:marLeft w:val="0"/>
      <w:marRight w:val="0"/>
      <w:marTop w:val="0"/>
      <w:marBottom w:val="0"/>
      <w:divBdr>
        <w:top w:val="none" w:sz="0" w:space="0" w:color="auto"/>
        <w:left w:val="none" w:sz="0" w:space="0" w:color="auto"/>
        <w:bottom w:val="none" w:sz="0" w:space="0" w:color="auto"/>
        <w:right w:val="none" w:sz="0" w:space="0" w:color="auto"/>
      </w:divBdr>
      <w:divsChild>
        <w:div w:id="694692682">
          <w:marLeft w:val="0"/>
          <w:marRight w:val="0"/>
          <w:marTop w:val="0"/>
          <w:marBottom w:val="0"/>
          <w:divBdr>
            <w:top w:val="none" w:sz="0" w:space="0" w:color="auto"/>
            <w:left w:val="none" w:sz="0" w:space="0" w:color="auto"/>
            <w:bottom w:val="none" w:sz="0" w:space="0" w:color="auto"/>
            <w:right w:val="none" w:sz="0" w:space="0" w:color="auto"/>
          </w:divBdr>
        </w:div>
        <w:div w:id="1387953912">
          <w:marLeft w:val="0"/>
          <w:marRight w:val="0"/>
          <w:marTop w:val="0"/>
          <w:marBottom w:val="0"/>
          <w:divBdr>
            <w:top w:val="none" w:sz="0" w:space="0" w:color="auto"/>
            <w:left w:val="none" w:sz="0" w:space="0" w:color="auto"/>
            <w:bottom w:val="none" w:sz="0" w:space="0" w:color="auto"/>
            <w:right w:val="none" w:sz="0" w:space="0" w:color="auto"/>
          </w:divBdr>
        </w:div>
      </w:divsChild>
    </w:div>
    <w:div w:id="1249655631">
      <w:bodyDiv w:val="1"/>
      <w:marLeft w:val="0"/>
      <w:marRight w:val="0"/>
      <w:marTop w:val="0"/>
      <w:marBottom w:val="0"/>
      <w:divBdr>
        <w:top w:val="none" w:sz="0" w:space="0" w:color="auto"/>
        <w:left w:val="none" w:sz="0" w:space="0" w:color="auto"/>
        <w:bottom w:val="none" w:sz="0" w:space="0" w:color="auto"/>
        <w:right w:val="none" w:sz="0" w:space="0" w:color="auto"/>
      </w:divBdr>
    </w:div>
    <w:div w:id="1267615814">
      <w:bodyDiv w:val="1"/>
      <w:marLeft w:val="0"/>
      <w:marRight w:val="0"/>
      <w:marTop w:val="0"/>
      <w:marBottom w:val="0"/>
      <w:divBdr>
        <w:top w:val="none" w:sz="0" w:space="0" w:color="auto"/>
        <w:left w:val="none" w:sz="0" w:space="0" w:color="auto"/>
        <w:bottom w:val="none" w:sz="0" w:space="0" w:color="auto"/>
        <w:right w:val="none" w:sz="0" w:space="0" w:color="auto"/>
      </w:divBdr>
    </w:div>
    <w:div w:id="1419131998">
      <w:bodyDiv w:val="1"/>
      <w:marLeft w:val="0"/>
      <w:marRight w:val="0"/>
      <w:marTop w:val="0"/>
      <w:marBottom w:val="0"/>
      <w:divBdr>
        <w:top w:val="none" w:sz="0" w:space="0" w:color="auto"/>
        <w:left w:val="none" w:sz="0" w:space="0" w:color="auto"/>
        <w:bottom w:val="none" w:sz="0" w:space="0" w:color="auto"/>
        <w:right w:val="none" w:sz="0" w:space="0" w:color="auto"/>
      </w:divBdr>
      <w:divsChild>
        <w:div w:id="149562172">
          <w:marLeft w:val="0"/>
          <w:marRight w:val="0"/>
          <w:marTop w:val="0"/>
          <w:marBottom w:val="0"/>
          <w:divBdr>
            <w:top w:val="none" w:sz="0" w:space="0" w:color="auto"/>
            <w:left w:val="none" w:sz="0" w:space="0" w:color="auto"/>
            <w:bottom w:val="none" w:sz="0" w:space="0" w:color="auto"/>
            <w:right w:val="none" w:sz="0" w:space="0" w:color="auto"/>
          </w:divBdr>
        </w:div>
        <w:div w:id="621957962">
          <w:marLeft w:val="0"/>
          <w:marRight w:val="0"/>
          <w:marTop w:val="0"/>
          <w:marBottom w:val="0"/>
          <w:divBdr>
            <w:top w:val="none" w:sz="0" w:space="0" w:color="auto"/>
            <w:left w:val="none" w:sz="0" w:space="0" w:color="auto"/>
            <w:bottom w:val="none" w:sz="0" w:space="0" w:color="auto"/>
            <w:right w:val="none" w:sz="0" w:space="0" w:color="auto"/>
          </w:divBdr>
        </w:div>
        <w:div w:id="1360352743">
          <w:marLeft w:val="0"/>
          <w:marRight w:val="0"/>
          <w:marTop w:val="0"/>
          <w:marBottom w:val="0"/>
          <w:divBdr>
            <w:top w:val="none" w:sz="0" w:space="0" w:color="auto"/>
            <w:left w:val="none" w:sz="0" w:space="0" w:color="auto"/>
            <w:bottom w:val="none" w:sz="0" w:space="0" w:color="auto"/>
            <w:right w:val="none" w:sz="0" w:space="0" w:color="auto"/>
          </w:divBdr>
        </w:div>
        <w:div w:id="1509981593">
          <w:marLeft w:val="0"/>
          <w:marRight w:val="0"/>
          <w:marTop w:val="0"/>
          <w:marBottom w:val="0"/>
          <w:divBdr>
            <w:top w:val="none" w:sz="0" w:space="0" w:color="auto"/>
            <w:left w:val="none" w:sz="0" w:space="0" w:color="auto"/>
            <w:bottom w:val="none" w:sz="0" w:space="0" w:color="auto"/>
            <w:right w:val="none" w:sz="0" w:space="0" w:color="auto"/>
          </w:divBdr>
        </w:div>
        <w:div w:id="1678340429">
          <w:marLeft w:val="0"/>
          <w:marRight w:val="0"/>
          <w:marTop w:val="0"/>
          <w:marBottom w:val="0"/>
          <w:divBdr>
            <w:top w:val="none" w:sz="0" w:space="0" w:color="auto"/>
            <w:left w:val="none" w:sz="0" w:space="0" w:color="auto"/>
            <w:bottom w:val="none" w:sz="0" w:space="0" w:color="auto"/>
            <w:right w:val="none" w:sz="0" w:space="0" w:color="auto"/>
          </w:divBdr>
        </w:div>
        <w:div w:id="1752042916">
          <w:marLeft w:val="0"/>
          <w:marRight w:val="0"/>
          <w:marTop w:val="0"/>
          <w:marBottom w:val="0"/>
          <w:divBdr>
            <w:top w:val="none" w:sz="0" w:space="0" w:color="auto"/>
            <w:left w:val="none" w:sz="0" w:space="0" w:color="auto"/>
            <w:bottom w:val="none" w:sz="0" w:space="0" w:color="auto"/>
            <w:right w:val="none" w:sz="0" w:space="0" w:color="auto"/>
          </w:divBdr>
        </w:div>
      </w:divsChild>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 w:id="1474519290">
      <w:bodyDiv w:val="1"/>
      <w:marLeft w:val="0"/>
      <w:marRight w:val="0"/>
      <w:marTop w:val="0"/>
      <w:marBottom w:val="0"/>
      <w:divBdr>
        <w:top w:val="none" w:sz="0" w:space="0" w:color="auto"/>
        <w:left w:val="none" w:sz="0" w:space="0" w:color="auto"/>
        <w:bottom w:val="none" w:sz="0" w:space="0" w:color="auto"/>
        <w:right w:val="none" w:sz="0" w:space="0" w:color="auto"/>
      </w:divBdr>
    </w:div>
    <w:div w:id="1576429636">
      <w:bodyDiv w:val="1"/>
      <w:marLeft w:val="0"/>
      <w:marRight w:val="0"/>
      <w:marTop w:val="0"/>
      <w:marBottom w:val="0"/>
      <w:divBdr>
        <w:top w:val="none" w:sz="0" w:space="0" w:color="auto"/>
        <w:left w:val="none" w:sz="0" w:space="0" w:color="auto"/>
        <w:bottom w:val="none" w:sz="0" w:space="0" w:color="auto"/>
        <w:right w:val="none" w:sz="0" w:space="0" w:color="auto"/>
      </w:divBdr>
    </w:div>
    <w:div w:id="1591280093">
      <w:bodyDiv w:val="1"/>
      <w:marLeft w:val="0"/>
      <w:marRight w:val="0"/>
      <w:marTop w:val="0"/>
      <w:marBottom w:val="0"/>
      <w:divBdr>
        <w:top w:val="none" w:sz="0" w:space="0" w:color="auto"/>
        <w:left w:val="none" w:sz="0" w:space="0" w:color="auto"/>
        <w:bottom w:val="none" w:sz="0" w:space="0" w:color="auto"/>
        <w:right w:val="none" w:sz="0" w:space="0" w:color="auto"/>
      </w:divBdr>
    </w:div>
    <w:div w:id="1631860382">
      <w:bodyDiv w:val="1"/>
      <w:marLeft w:val="0"/>
      <w:marRight w:val="0"/>
      <w:marTop w:val="0"/>
      <w:marBottom w:val="0"/>
      <w:divBdr>
        <w:top w:val="none" w:sz="0" w:space="0" w:color="auto"/>
        <w:left w:val="none" w:sz="0" w:space="0" w:color="auto"/>
        <w:bottom w:val="none" w:sz="0" w:space="0" w:color="auto"/>
        <w:right w:val="none" w:sz="0" w:space="0" w:color="auto"/>
      </w:divBdr>
    </w:div>
    <w:div w:id="1664814318">
      <w:bodyDiv w:val="1"/>
      <w:marLeft w:val="0"/>
      <w:marRight w:val="0"/>
      <w:marTop w:val="0"/>
      <w:marBottom w:val="0"/>
      <w:divBdr>
        <w:top w:val="none" w:sz="0" w:space="0" w:color="auto"/>
        <w:left w:val="none" w:sz="0" w:space="0" w:color="auto"/>
        <w:bottom w:val="none" w:sz="0" w:space="0" w:color="auto"/>
        <w:right w:val="none" w:sz="0" w:space="0" w:color="auto"/>
      </w:divBdr>
    </w:div>
    <w:div w:id="1674138812">
      <w:bodyDiv w:val="1"/>
      <w:marLeft w:val="0"/>
      <w:marRight w:val="0"/>
      <w:marTop w:val="0"/>
      <w:marBottom w:val="0"/>
      <w:divBdr>
        <w:top w:val="none" w:sz="0" w:space="0" w:color="auto"/>
        <w:left w:val="none" w:sz="0" w:space="0" w:color="auto"/>
        <w:bottom w:val="none" w:sz="0" w:space="0" w:color="auto"/>
        <w:right w:val="none" w:sz="0" w:space="0" w:color="auto"/>
      </w:divBdr>
    </w:div>
    <w:div w:id="1737707096">
      <w:bodyDiv w:val="1"/>
      <w:marLeft w:val="0"/>
      <w:marRight w:val="0"/>
      <w:marTop w:val="0"/>
      <w:marBottom w:val="0"/>
      <w:divBdr>
        <w:top w:val="none" w:sz="0" w:space="0" w:color="auto"/>
        <w:left w:val="none" w:sz="0" w:space="0" w:color="auto"/>
        <w:bottom w:val="none" w:sz="0" w:space="0" w:color="auto"/>
        <w:right w:val="none" w:sz="0" w:space="0" w:color="auto"/>
      </w:divBdr>
    </w:div>
    <w:div w:id="1794860048">
      <w:bodyDiv w:val="1"/>
      <w:marLeft w:val="0"/>
      <w:marRight w:val="0"/>
      <w:marTop w:val="0"/>
      <w:marBottom w:val="0"/>
      <w:divBdr>
        <w:top w:val="none" w:sz="0" w:space="0" w:color="auto"/>
        <w:left w:val="none" w:sz="0" w:space="0" w:color="auto"/>
        <w:bottom w:val="none" w:sz="0" w:space="0" w:color="auto"/>
        <w:right w:val="none" w:sz="0" w:space="0" w:color="auto"/>
      </w:divBdr>
    </w:div>
    <w:div w:id="1916935075">
      <w:bodyDiv w:val="1"/>
      <w:marLeft w:val="0"/>
      <w:marRight w:val="0"/>
      <w:marTop w:val="0"/>
      <w:marBottom w:val="0"/>
      <w:divBdr>
        <w:top w:val="none" w:sz="0" w:space="0" w:color="auto"/>
        <w:left w:val="none" w:sz="0" w:space="0" w:color="auto"/>
        <w:bottom w:val="none" w:sz="0" w:space="0" w:color="auto"/>
        <w:right w:val="none" w:sz="0" w:space="0" w:color="auto"/>
      </w:divBdr>
    </w:div>
    <w:div w:id="1917398473">
      <w:bodyDiv w:val="1"/>
      <w:marLeft w:val="0"/>
      <w:marRight w:val="0"/>
      <w:marTop w:val="0"/>
      <w:marBottom w:val="0"/>
      <w:divBdr>
        <w:top w:val="none" w:sz="0" w:space="0" w:color="auto"/>
        <w:left w:val="none" w:sz="0" w:space="0" w:color="auto"/>
        <w:bottom w:val="none" w:sz="0" w:space="0" w:color="auto"/>
        <w:right w:val="none" w:sz="0" w:space="0" w:color="auto"/>
      </w:divBdr>
    </w:div>
    <w:div w:id="1980182320">
      <w:bodyDiv w:val="1"/>
      <w:marLeft w:val="0"/>
      <w:marRight w:val="0"/>
      <w:marTop w:val="0"/>
      <w:marBottom w:val="0"/>
      <w:divBdr>
        <w:top w:val="none" w:sz="0" w:space="0" w:color="auto"/>
        <w:left w:val="none" w:sz="0" w:space="0" w:color="auto"/>
        <w:bottom w:val="none" w:sz="0" w:space="0" w:color="auto"/>
        <w:right w:val="none" w:sz="0" w:space="0" w:color="auto"/>
      </w:divBdr>
    </w:div>
    <w:div w:id="205333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FA5"/>
    <w:rsid w:val="0024311C"/>
    <w:rsid w:val="002A471B"/>
    <w:rsid w:val="00467943"/>
    <w:rsid w:val="00563A74"/>
    <w:rsid w:val="005941BC"/>
    <w:rsid w:val="005A5AC7"/>
    <w:rsid w:val="005D3DE9"/>
    <w:rsid w:val="0065625A"/>
    <w:rsid w:val="0083132B"/>
    <w:rsid w:val="00934FC5"/>
    <w:rsid w:val="00A34C42"/>
    <w:rsid w:val="00AA2940"/>
    <w:rsid w:val="00BC1251"/>
    <w:rsid w:val="00C67429"/>
    <w:rsid w:val="00FF2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MSa11</b:Tag>
    <b:SourceType>Book</b:SourceType>
    <b:Guid>{4218BB3F-9624-458E-B22D-8B5B27DCEA78}</b:Guid>
    <b:Author>
      <b:Author>
        <b:NameList>
          <b:Person>
            <b:Last>M. Sarngadharan</b:Last>
            <b:First>S.</b:First>
            <b:Middle>Rajitha Kumar</b:Middle>
          </b:Person>
        </b:NameList>
      </b:Author>
    </b:Author>
    <b:Title>Financial Analysis for Management Decisions </b:Title>
    <b:Year>2011</b:Year>
    <b:City>Thiruvananthapuram, Kerala.</b:City>
    <b:Publisher>PHI Learning Pvt. Ltd.</b:Publisher>
    <b:Edition>Eastern Economy Edition</b:Edition>
    <b:RefOrder>2</b:RefOrder>
  </b:Source>
  <b:Source>
    <b:Tag>Jam08</b:Tag>
    <b:SourceType>Book</b:SourceType>
    <b:Guid>{B683D0DC-388E-4D6C-95FB-4277E572732F}</b:Guid>
    <b:Author>
      <b:Author>
        <b:NameList>
          <b:Person>
            <b:Last>James C. Van Horne</b:Last>
            <b:First>John</b:First>
            <b:Middle>M. Wachowicz, Jr.</b:Middle>
          </b:Person>
        </b:NameList>
      </b:Author>
    </b:Author>
    <b:Title>Fundamentals of Financial management</b:Title>
    <b:Year>2008</b:Year>
    <b:City>England</b:City>
    <b:Publisher>Pearson Education Limited</b:Publisher>
    <b:Edition>13th </b:Edition>
    <b:RefOrder>3</b:RefOrder>
  </b:Source>
  <b:Source>
    <b:Tag>JAS21</b:Tag>
    <b:SourceType>InternetSite</b:SourceType>
    <b:Guid>{3F253450-A7F3-4663-A123-775805FD8E8F}</b:Guid>
    <b:Title>Investopedia</b:Title>
    <b:Year>2021</b:Year>
    <b:Author>
      <b:Author>
        <b:NameList>
          <b:Person>
            <b:Last>FERNANDO</b:Last>
            <b:First>JASON</b:First>
          </b:Person>
        </b:NameList>
      </b:Author>
    </b:Author>
    <b:YearAccessed>2022</b:YearAccessed>
    <b:MonthAccessed>May</b:MonthAccessed>
    <b:DayAccessed>26</b:DayAccessed>
    <b:URL>https://www.investopedia.com/terms/c/currentratio.asp#:~:text=headed%20for%20default.-,Interpreting%20the%20Current%20Ratio,within%20a%20year%20or%20less.</b:URL>
    <b:RefOrder>4</b:RefOrder>
  </b:Source>
  <b:Source>
    <b:Tag>HAY21</b:Tag>
    <b:SourceType>InternetSite</b:SourceType>
    <b:Guid>{EE5A611C-9997-4920-92BC-D7AD4234AFBE}</b:Guid>
    <b:Author>
      <b:Author>
        <b:NameList>
          <b:Person>
            <b:Last>HAYES</b:Last>
            <b:First>ADAM</b:First>
          </b:Person>
        </b:NameList>
      </b:Author>
      <b:Editor>
        <b:NameList>
          <b:Person>
            <b:Last>BOYLE</b:Last>
            <b:First>MICHAEL</b:First>
            <b:Middle>J</b:Middle>
          </b:Person>
        </b:NameList>
      </b:Editor>
    </b:Author>
    <b:Title>Guide to Financail Ratios.</b:Title>
    <b:Year>2021</b:Year>
    <b:YearAccessed>2022</b:YearAccessed>
    <b:MonthAccessed>May</b:MonthAccessed>
    <b:DayAccessed>26</b:DayAccessed>
    <b:URL>https://www.investopedia.com/terms/p/profitabilityratios.asp</b:URL>
    <b:InternetSiteTitle>Investopedia</b:InternetSiteTitle>
    <b:Month>April </b:Month>
    <b:Day>9</b:Day>
    <b:RefOrder>5</b:RefOrder>
  </b:Source>
  <b:Source>
    <b:Tag>Mit19</b:Tag>
    <b:SourceType>Book</b:SourceType>
    <b:Guid>{CC9738CB-24DA-4D56-846D-AAB547E206DB}</b:Guid>
    <b:Title> Principles of Accounting, Volume 1: Financial Accounting</b:Title>
    <b:Year>2019</b:Year>
    <b:Author>
      <b:Author>
        <b:NameList>
          <b:Person>
            <b:Last>Mitchell Franklin</b:Last>
            <b:First>Patty</b:First>
            <b:Middle>Graybeal, Dixon Cooper</b:Middle>
          </b:Person>
        </b:NameList>
      </b:Author>
    </b:Author>
    <b:City> Houston, Texas</b:City>
    <b:Publisher>OpenStax</b:Publisher>
    <b:RefOrder>6</b:RefOrder>
  </b:Source>
  <b:Source>
    <b:Tag>Bor22</b:Tag>
    <b:SourceType>InternetSite</b:SourceType>
    <b:Guid>{C21CC603-13B4-452F-9BBE-81A26918A81D}</b:Guid>
    <b:Author>
      <b:Author>
        <b:NameList>
          <b:Person>
            <b:Last>Borad</b:Last>
            <b:First>Sanjay</b:First>
            <b:Middle>Bulaki</b:Middle>
          </b:Person>
        </b:NameList>
      </b:Author>
    </b:Author>
    <b:Title>Importance of Ratio Analysis</b:Title>
    <b:Year>2022</b:Year>
    <b:YearAccessed>2022</b:YearAccessed>
    <b:MonthAccessed>May</b:MonthAccessed>
    <b:DayAccessed>26</b:DayAccessed>
    <b:URL>https://efinancemanagement.com/financial-analysis/importance-of-ratio</b:URL>
    <b:InternetSiteTitle>Finance Management</b:InternetSiteTitle>
    <b:Month>April</b:Month>
    <b:Day>21</b:Day>
    <b:RefOrder>7</b:RefOrder>
  </b:Source>
  <b:Source>
    <b:Tag>WRL82</b:Tag>
    <b:SourceType>JournalArticle</b:SourceType>
    <b:Guid>{D8BBF313-9C76-4536-9EA1-6830DC0F45AC}</b:Guid>
    <b:Title>FINANCIAL RATIO ANALYSIS FOR DECISION-MAKING</b:Title>
    <b:Year>1982</b:Year>
    <b:Author>
      <b:Author>
        <b:NameList>
          <b:Person>
            <b:Last>Luckham</b:Last>
            <b:First>W.R.</b:First>
          </b:Person>
        </b:NameList>
      </b:Author>
    </b:Author>
    <b:JournalName>Journal of Arboriculture</b:JournalName>
    <b:Pages>296-301</b:Pages>
    <b:Volume>11</b:Volume>
    <b:Issue>8</b:Issue>
    <b:RefOrder>8</b:RefOrder>
  </b:Source>
  <b:Source>
    <b:Tag>Dhe22</b:Tag>
    <b:SourceType>InternetSite</b:SourceType>
    <b:Guid>{58CDE9A2-5E4F-4EC6-B3E9-8056595F33A8}</b:Guid>
    <b:Title>Ratio Analysis Limitations</b:Title>
    <b:Year>2022</b:Year>
    <b:Author>
      <b:Author>
        <b:NameList>
          <b:Person>
            <b:Last>Dheeraj Vaidya</b:Last>
            <b:First>CFA</b:First>
          </b:Person>
        </b:NameList>
      </b:Author>
    </b:Author>
    <b:YearAccessed>2022</b:YearAccessed>
    <b:MonthAccessed>May</b:MonthAccessed>
    <b:DayAccessed>26</b:DayAccessed>
    <b:URL>https://www.wallstreetmojo.com/ratio-analysis-limitations/</b:URL>
    <b:RefOrder>11</b:RefOrder>
  </b:Source>
  <b:Source>
    <b:Tag>TAR21</b:Tag>
    <b:SourceType>InternetSite</b:SourceType>
    <b:Guid>{A7F2B112-816A-4549-9BBE-24BC521D62FA}</b:Guid>
    <b:Author>
      <b:Author>
        <b:NameList>
          <b:Person>
            <b:Last>TARVER</b:Last>
            <b:First>EVAN</b:First>
          </b:Person>
        </b:NameList>
      </b:Author>
      <b:Editor>
        <b:NameList>
          <b:Person>
            <b:Last>KINDNESS</b:Last>
            <b:First>DAVID</b:First>
          </b:Person>
        </b:NameList>
      </b:Editor>
    </b:Author>
    <b:Title>Key Financial Ratios to Analyze the Hospitality Industry</b:Title>
    <b:Year>2021</b:Year>
    <b:YearAccessed>2022</b:YearAccessed>
    <b:MonthAccessed>May</b:MonthAccessed>
    <b:DayAccessed>27</b:DayAccessed>
    <b:URL>https://www.investopedia.com/articles/active-trading/082615/key-financial-ratios-analyze-hospitality-industry.asp#:~:text=Financial%20leverage%20ratios%20give%20stakeholders,its%20long%2Dterm%20debt%20obligations.</b:URL>
    <b:InternetSiteTitle>Investopedia</b:InternetSiteTitle>
    <b:Month>May</b:Month>
    <b:Day>27</b:Day>
    <b:RefOrder>13</b:RefOrder>
  </b:Source>
  <b:Source>
    <b:Tag>Tha22</b:Tag>
    <b:SourceType>InternetSite</b:SourceType>
    <b:Guid>{A71A597E-8445-432B-9B30-5B58B32B0C13}</b:Guid>
    <b:Author>
      <b:Author>
        <b:NameList>
          <b:Person>
            <b:Last>Thakur</b:Last>
            <b:First>Madhuri</b:First>
          </b:Person>
        </b:NameList>
      </b:Author>
    </b:Author>
    <b:Title>Limitations of Ratio Analysis</b:Title>
    <b:Year>2022</b:Year>
    <b:YearAccessed>2022</b:YearAccessed>
    <b:MonthAccessed>May</b:MonthAccessed>
    <b:DayAccessed>27</b:DayAccessed>
    <b:URL>https://www.educba.com/limitations-of-ratio-analysis/</b:URL>
    <b:InternetSiteTitle>EDUCBA</b:InternetSiteTitle>
    <b:RefOrder>12</b:RefOrder>
  </b:Source>
  <b:Source>
    <b:Tag>Sai16</b:Tag>
    <b:SourceType>Report</b:SourceType>
    <b:Guid>{AB49D82D-13B0-4AD4-B7AF-20AAD25B64A1}</b:Guid>
    <b:Author>
      <b:Author>
        <b:NameList>
          <b:Person>
            <b:Last>Sai Jyothi</b:Last>
            <b:First>Bai</b:First>
          </b:Person>
        </b:NameList>
      </b:Author>
    </b:Author>
    <b:Title>A Study on Ratio Analysis With Reference to Town Co-Operative Bank, Hosakote</b:Title>
    <b:Year>2016</b:Year>
    <b:Publisher>New Horizon College of Engineering Marathalli, Bangalore</b:Publisher>
    <b:City>Bangalore</b:City>
    <b:RefOrder>9</b:RefOrder>
  </b:Source>
  <b:Source>
    <b:Tag>DrA21</b:Tag>
    <b:SourceType>Book</b:SourceType>
    <b:Guid>{B79D5B73-D4DC-4258-B56E-9925913819BE}</b:Guid>
    <b:Title>Financial Analysis</b:Title>
    <b:Year>2021</b:Year>
    <b:Publisher>Creative Commons Attributes-NoDerivatives 4.0 </b:Publisher>
    <b:City>Syrian Arab Republic</b:City>
    <b:Author>
      <b:Author>
        <b:NameList>
          <b:Person>
            <b:Last>Ibrahim</b:Last>
            <b:First>Dr.</b:First>
            <b:Middle>Ali Kamel</b:Middle>
          </b:Person>
        </b:NameList>
      </b:Author>
    </b:Author>
    <b:RefOrder>1</b:RefOrder>
  </b:Source>
  <b:Source>
    <b:Tag>Sur22</b:Tag>
    <b:SourceType>InternetSite</b:SourceType>
    <b:Guid>{D2C303BD-8DEF-44CE-9E53-E5AE3F74A6DA}</b:Guid>
    <b:Author>
      <b:Author>
        <b:NameList>
          <b:Person>
            <b:Last>Sureka</b:Last>
            <b:First>Shraddha</b:First>
          </b:Person>
        </b:NameList>
      </b:Author>
    </b:Author>
    <b:Title>List of Financial Ratios</b:Title>
    <b:Year>2022</b:Year>
    <b:YearAccessed>2022</b:YearAccessed>
    <b:MonthAccessed>May</b:MonthAccessed>
    <b:DayAccessed>27</b:DayAccessed>
    <b:URL>https://www.educba.com/list-of-financial-ratios/</b:URL>
    <b:InternetSiteTitle>EDUCBA</b:InternetSiteTitle>
    <b:RefOrder>10</b:RefOrder>
  </b:Source>
  <b:Source>
    <b:Tag>Ras18</b:Tag>
    <b:SourceType>JournalArticle</b:SourceType>
    <b:Guid>{B4A9AC2F-7722-4062-8022-3FF87CA5CC7F}</b:Guid>
    <b:Author>
      <b:Author>
        <b:NameList>
          <b:Person>
            <b:Last>Rashi</b:Last>
            <b:First>Chnar</b:First>
            <b:Middle>Abdullah</b:Middle>
          </b:Person>
        </b:NameList>
      </b:Author>
    </b:Author>
    <b:Title>Efficiency of Financial Ratios Analysis for Evaluating Companies Liquidity</b:Title>
    <b:Year>2018</b:Year>
    <b:Pages>110-123</b:Pages>
    <b:JournalName>International Journal of Social Sciences &amp; Educational Studies </b:JournalName>
    <b:Volume>4</b:Volume>
    <b:Issue>4</b:Issue>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601369-8EFB-4313-B8B6-887C00BFFF9C}">
  <ds:schemaRefs>
    <ds:schemaRef ds:uri="http://schemas.microsoft.com/sharepoint/v3/contenttype/forms"/>
  </ds:schemaRefs>
</ds:datastoreItem>
</file>

<file path=customXml/itemProps5.xml><?xml version="1.0" encoding="utf-8"?>
<ds:datastoreItem xmlns:ds="http://schemas.openxmlformats.org/officeDocument/2006/customXml" ds:itemID="{E8F4CA4F-09F4-4A0E-BAC5-84230C49F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3113</Words>
  <Characters>17747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Assignment 1: Hilton Hotel</vt:lpstr>
    </vt:vector>
  </TitlesOfParts>
  <Company/>
  <LinksUpToDate>false</LinksUpToDate>
  <CharactersWithSpaces>20819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Hilton Hotel</dc:title>
  <dc:subject>Financial Management for the Hotel Industry</dc:subject>
  <dc:creator>Marie Pitson</dc:creator>
  <cp:keywords/>
  <dc:description/>
  <cp:lastModifiedBy>Mahir Rahman (40161816)</cp:lastModifiedBy>
  <cp:revision>2</cp:revision>
  <dcterms:created xsi:type="dcterms:W3CDTF">2022-06-01T01:29:00Z</dcterms:created>
  <dcterms:modified xsi:type="dcterms:W3CDTF">2022-06-01T01:29:00Z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