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F11E7" w14:textId="77777777" w:rsidR="00C1532E" w:rsidRDefault="00873071" w:rsidP="00873071">
      <w:pPr>
        <w:pStyle w:val="Heading1"/>
        <w:jc w:val="center"/>
        <w:rPr>
          <w:b/>
          <w:bCs/>
          <w:u w:val="single"/>
        </w:rPr>
      </w:pPr>
      <w:r>
        <w:rPr>
          <w:b/>
          <w:bCs/>
          <w:u w:val="single"/>
        </w:rPr>
        <w:t xml:space="preserve">Critically evaluate the idea that women face issues of double deviance 2000-word </w:t>
      </w:r>
      <w:r w:rsidR="00EB6702">
        <w:rPr>
          <w:b/>
          <w:bCs/>
          <w:u w:val="single"/>
        </w:rPr>
        <w:t>essay.</w:t>
      </w:r>
      <w:r>
        <w:rPr>
          <w:b/>
          <w:bCs/>
          <w:u w:val="single"/>
        </w:rPr>
        <w:t xml:space="preserve"> </w:t>
      </w:r>
    </w:p>
    <w:p w14:paraId="6B3D314E" w14:textId="0370FEB5" w:rsidR="009F0BD4" w:rsidRPr="002E1568" w:rsidRDefault="009F0BD4" w:rsidP="009F0BD4">
      <w:pPr>
        <w:spacing w:line="480" w:lineRule="auto"/>
        <w:rPr>
          <w:rFonts w:ascii="Arial" w:hAnsi="Arial" w:cs="Arial"/>
          <w:sz w:val="24"/>
          <w:szCs w:val="24"/>
        </w:rPr>
      </w:pPr>
      <w:r w:rsidRPr="002E1568">
        <w:rPr>
          <w:rFonts w:ascii="Arial" w:hAnsi="Arial" w:cs="Arial"/>
          <w:sz w:val="24"/>
          <w:szCs w:val="24"/>
        </w:rPr>
        <w:t xml:space="preserve">The main objective of this essay is to critically evaluate whether women face double deviance and determine whether women face harsher treatment than men in the criminal justice system. </w:t>
      </w:r>
      <w:r>
        <w:rPr>
          <w:rFonts w:ascii="Arial" w:hAnsi="Arial" w:cs="Arial"/>
          <w:sz w:val="24"/>
          <w:szCs w:val="24"/>
        </w:rPr>
        <w:t>Firstly, this essay will outline what the term double deviance means and what must the women do to achieve double deviance. Secondly, t</w:t>
      </w:r>
      <w:r w:rsidRPr="002E1568">
        <w:rPr>
          <w:rFonts w:ascii="Arial" w:hAnsi="Arial" w:cs="Arial"/>
          <w:sz w:val="24"/>
          <w:szCs w:val="24"/>
        </w:rPr>
        <w:t>his essay will outline and compare the difference between gendered dichotomies and traditional norms of gender identity.</w:t>
      </w:r>
      <w:r>
        <w:rPr>
          <w:rFonts w:ascii="Arial" w:hAnsi="Arial" w:cs="Arial"/>
          <w:sz w:val="24"/>
          <w:szCs w:val="24"/>
        </w:rPr>
        <w:t xml:space="preserve"> Also, t</w:t>
      </w:r>
      <w:r w:rsidRPr="002E1568">
        <w:rPr>
          <w:rFonts w:ascii="Arial" w:hAnsi="Arial" w:cs="Arial"/>
          <w:sz w:val="24"/>
          <w:szCs w:val="24"/>
        </w:rPr>
        <w:t>his essay will evaluate the up-to-date statistics on gender and crime and compare both genders to see if there are links between them.</w:t>
      </w:r>
      <w:r>
        <w:rPr>
          <w:rFonts w:ascii="Arial" w:hAnsi="Arial" w:cs="Arial"/>
          <w:sz w:val="24"/>
          <w:szCs w:val="24"/>
        </w:rPr>
        <w:t xml:space="preserve"> Lastly this essay will cover the views of theories or theorists from some in the Victorian and Edwardian era such as Godfrey et al (2005), Pollack (1961) to some modern theories such as Heidensohn (2010) and </w:t>
      </w:r>
      <w:proofErr w:type="spellStart"/>
      <w:r>
        <w:rPr>
          <w:rFonts w:ascii="Arial" w:hAnsi="Arial" w:cs="Arial"/>
          <w:sz w:val="24"/>
          <w:szCs w:val="24"/>
        </w:rPr>
        <w:t>Lightowlers</w:t>
      </w:r>
      <w:proofErr w:type="spellEnd"/>
      <w:r>
        <w:rPr>
          <w:rFonts w:ascii="Arial" w:hAnsi="Arial" w:cs="Arial"/>
          <w:sz w:val="24"/>
          <w:szCs w:val="24"/>
        </w:rPr>
        <w:t xml:space="preserve"> (2018), for the argument of whether women face double deviance when it comes to the criminal justice system</w:t>
      </w:r>
      <w:r w:rsidR="00C03BDD">
        <w:rPr>
          <w:rFonts w:ascii="Arial" w:hAnsi="Arial" w:cs="Arial"/>
          <w:sz w:val="24"/>
          <w:szCs w:val="24"/>
        </w:rPr>
        <w:t>.</w:t>
      </w:r>
    </w:p>
    <w:p w14:paraId="341FE452" w14:textId="3D536DCE" w:rsidR="00FB378F" w:rsidRPr="001D5E0D" w:rsidRDefault="2AF268FC" w:rsidP="1F5E9562">
      <w:pPr>
        <w:spacing w:line="480" w:lineRule="auto"/>
        <w:rPr>
          <w:rFonts w:ascii="Arial" w:eastAsia="Arial" w:hAnsi="Arial" w:cs="Arial"/>
          <w:color w:val="000000" w:themeColor="text1"/>
          <w:sz w:val="24"/>
          <w:szCs w:val="24"/>
        </w:rPr>
      </w:pPr>
      <w:r w:rsidRPr="00A10794">
        <w:rPr>
          <w:rFonts w:ascii="Arial" w:hAnsi="Arial" w:cs="Arial"/>
          <w:sz w:val="24"/>
          <w:szCs w:val="24"/>
        </w:rPr>
        <w:t xml:space="preserve">The idea of double deviance refers to women who are treated more harshly than men for committing </w:t>
      </w:r>
      <w:r w:rsidR="04596F0C" w:rsidRPr="00A10794">
        <w:rPr>
          <w:rFonts w:ascii="Arial" w:hAnsi="Arial" w:cs="Arial"/>
          <w:sz w:val="24"/>
          <w:szCs w:val="24"/>
        </w:rPr>
        <w:t xml:space="preserve">similar </w:t>
      </w:r>
      <w:r w:rsidRPr="00A10794">
        <w:rPr>
          <w:rFonts w:ascii="Arial" w:hAnsi="Arial" w:cs="Arial"/>
          <w:sz w:val="24"/>
          <w:szCs w:val="24"/>
        </w:rPr>
        <w:t>crimes</w:t>
      </w:r>
      <w:sdt>
        <w:sdtPr>
          <w:rPr>
            <w:rFonts w:ascii="Arial" w:hAnsi="Arial" w:cs="Arial"/>
            <w:sz w:val="24"/>
            <w:szCs w:val="24"/>
          </w:rPr>
          <w:id w:val="645937279"/>
          <w:citation/>
        </w:sdtPr>
        <w:sdtEndPr/>
        <w:sdtContent>
          <w:r w:rsidR="001B4CC6">
            <w:rPr>
              <w:rFonts w:ascii="Arial" w:hAnsi="Arial" w:cs="Arial"/>
              <w:sz w:val="24"/>
              <w:szCs w:val="24"/>
            </w:rPr>
            <w:fldChar w:fldCharType="begin"/>
          </w:r>
          <w:r w:rsidR="001B4CC6">
            <w:rPr>
              <w:rFonts w:ascii="Arial" w:hAnsi="Arial" w:cs="Arial"/>
              <w:sz w:val="24"/>
              <w:szCs w:val="24"/>
            </w:rPr>
            <w:instrText xml:space="preserve"> CITATION Sea22 \l 2057 </w:instrText>
          </w:r>
          <w:r w:rsidR="001B4CC6">
            <w:rPr>
              <w:rFonts w:ascii="Arial" w:hAnsi="Arial" w:cs="Arial"/>
              <w:sz w:val="24"/>
              <w:szCs w:val="24"/>
            </w:rPr>
            <w:fldChar w:fldCharType="separate"/>
          </w:r>
          <w:r w:rsidR="221698CB">
            <w:rPr>
              <w:rFonts w:ascii="Arial" w:hAnsi="Arial" w:cs="Arial"/>
              <w:noProof/>
              <w:sz w:val="24"/>
              <w:szCs w:val="24"/>
            </w:rPr>
            <w:t xml:space="preserve"> </w:t>
          </w:r>
          <w:r w:rsidR="221698CB" w:rsidRPr="001B4CC6">
            <w:rPr>
              <w:rFonts w:ascii="Arial" w:hAnsi="Arial" w:cs="Arial"/>
              <w:noProof/>
              <w:sz w:val="24"/>
              <w:szCs w:val="24"/>
            </w:rPr>
            <w:t>(Seaman &amp; Lynch, 2022)</w:t>
          </w:r>
          <w:r w:rsidR="001B4CC6">
            <w:rPr>
              <w:rFonts w:ascii="Arial" w:hAnsi="Arial" w:cs="Arial"/>
              <w:sz w:val="24"/>
              <w:szCs w:val="24"/>
            </w:rPr>
            <w:fldChar w:fldCharType="end"/>
          </w:r>
        </w:sdtContent>
      </w:sdt>
      <w:r w:rsidR="73848566" w:rsidRPr="1F5E9562">
        <w:rPr>
          <w:rFonts w:ascii="Arial" w:hAnsi="Arial" w:cs="Arial"/>
          <w:sz w:val="24"/>
          <w:szCs w:val="24"/>
        </w:rPr>
        <w:t>.</w:t>
      </w:r>
      <w:r w:rsidR="028F7642" w:rsidRPr="1F5E9562">
        <w:rPr>
          <w:rFonts w:ascii="Arial" w:eastAsia="Arial" w:hAnsi="Arial" w:cs="Arial"/>
          <w:color w:val="000000" w:themeColor="text1"/>
          <w:sz w:val="24"/>
          <w:szCs w:val="24"/>
        </w:rPr>
        <w:t xml:space="preserve"> For women to be able to face double deviance they need to have broken rules in two key areas. Firstly, a woman who is breaking their femininity social norms and breaking the expectation of how women should behave. Secondly, breaking the law.</w:t>
      </w:r>
      <w:r w:rsidR="00FB378F">
        <w:rPr>
          <w:rFonts w:ascii="Arial" w:eastAsia="Arial" w:hAnsi="Arial" w:cs="Arial"/>
          <w:color w:val="000000" w:themeColor="text1"/>
          <w:sz w:val="24"/>
          <w:szCs w:val="24"/>
        </w:rPr>
        <w:t xml:space="preserve"> </w:t>
      </w:r>
      <w:r w:rsidR="001D5E0D">
        <w:rPr>
          <w:rFonts w:ascii="Arial" w:eastAsia="Arial" w:hAnsi="Arial" w:cs="Arial"/>
          <w:color w:val="000000" w:themeColor="text1"/>
          <w:sz w:val="24"/>
          <w:szCs w:val="24"/>
        </w:rPr>
        <w:t xml:space="preserve">According to the </w:t>
      </w:r>
      <w:r w:rsidR="00F9473E">
        <w:rPr>
          <w:rFonts w:ascii="Arial" w:eastAsia="Arial" w:hAnsi="Arial" w:cs="Arial"/>
          <w:color w:val="000000" w:themeColor="text1"/>
          <w:sz w:val="24"/>
          <w:szCs w:val="24"/>
        </w:rPr>
        <w:t>European Institute for Gender Equality (2023), gender norms are “ideas about how women and men should be and act</w:t>
      </w:r>
      <w:r w:rsidR="00F02957">
        <w:rPr>
          <w:rFonts w:ascii="Arial" w:eastAsia="Arial" w:hAnsi="Arial" w:cs="Arial"/>
          <w:color w:val="000000" w:themeColor="text1"/>
          <w:sz w:val="24"/>
          <w:szCs w:val="24"/>
        </w:rPr>
        <w:t>”.</w:t>
      </w:r>
    </w:p>
    <w:p w14:paraId="58291413" w14:textId="629F7067" w:rsidR="0089120B" w:rsidRDefault="005C5FD3" w:rsidP="1F5E9562">
      <w:pPr>
        <w:spacing w:line="480" w:lineRule="auto"/>
        <w:rPr>
          <w:rFonts w:ascii="Arial" w:hAnsi="Arial" w:cs="Arial"/>
          <w:sz w:val="24"/>
          <w:szCs w:val="24"/>
        </w:rPr>
      </w:pPr>
      <w:r>
        <w:rPr>
          <w:rFonts w:ascii="Arial" w:hAnsi="Arial" w:cs="Arial"/>
          <w:sz w:val="24"/>
          <w:szCs w:val="24"/>
        </w:rPr>
        <w:t>Davis (2010, p.11) suggests that there are common gendered dichotomies</w:t>
      </w:r>
      <w:r w:rsidRPr="002E3E0A">
        <w:t xml:space="preserve"> </w:t>
      </w:r>
      <w:r w:rsidRPr="002E3E0A">
        <w:rPr>
          <w:rFonts w:ascii="Arial" w:hAnsi="Arial" w:cs="Arial"/>
          <w:sz w:val="24"/>
          <w:szCs w:val="24"/>
        </w:rPr>
        <w:t>associated with both women and men</w:t>
      </w:r>
      <w:r>
        <w:rPr>
          <w:rFonts w:ascii="Arial" w:hAnsi="Arial" w:cs="Arial"/>
          <w:sz w:val="24"/>
          <w:szCs w:val="24"/>
        </w:rPr>
        <w:t>. Gender dichotomy, according to</w:t>
      </w:r>
      <w:r w:rsidRPr="00CE71FC">
        <w:t xml:space="preserve"> </w:t>
      </w:r>
      <w:proofErr w:type="spellStart"/>
      <w:r w:rsidRPr="00CE71FC">
        <w:rPr>
          <w:rFonts w:ascii="Arial" w:hAnsi="Arial" w:cs="Arial"/>
          <w:sz w:val="24"/>
          <w:szCs w:val="24"/>
        </w:rPr>
        <w:t>Vantieghem</w:t>
      </w:r>
      <w:proofErr w:type="spellEnd"/>
      <w:r>
        <w:rPr>
          <w:rFonts w:ascii="Arial" w:hAnsi="Arial" w:cs="Arial"/>
          <w:sz w:val="24"/>
          <w:szCs w:val="24"/>
        </w:rPr>
        <w:t xml:space="preserve"> et al </w:t>
      </w:r>
      <w:sdt>
        <w:sdtPr>
          <w:rPr>
            <w:rFonts w:ascii="Arial" w:hAnsi="Arial" w:cs="Arial"/>
            <w:sz w:val="24"/>
            <w:szCs w:val="24"/>
          </w:rPr>
          <w:id w:val="-1360263131"/>
          <w:citation/>
        </w:sdtPr>
        <w:sdtEndPr/>
        <w:sdtContent>
          <w:r>
            <w:rPr>
              <w:rFonts w:ascii="Arial" w:hAnsi="Arial" w:cs="Arial"/>
              <w:sz w:val="24"/>
              <w:szCs w:val="24"/>
            </w:rPr>
            <w:fldChar w:fldCharType="begin"/>
          </w:r>
          <w:r>
            <w:rPr>
              <w:rFonts w:ascii="Arial" w:hAnsi="Arial" w:cs="Arial"/>
              <w:sz w:val="24"/>
              <w:szCs w:val="24"/>
            </w:rPr>
            <w:instrText xml:space="preserve">CITATION Van14 \n  \l 2057 </w:instrText>
          </w:r>
          <w:r>
            <w:rPr>
              <w:rFonts w:ascii="Arial" w:hAnsi="Arial" w:cs="Arial"/>
              <w:sz w:val="24"/>
              <w:szCs w:val="24"/>
            </w:rPr>
            <w:fldChar w:fldCharType="separate"/>
          </w:r>
          <w:r w:rsidRPr="00212EFC">
            <w:rPr>
              <w:rFonts w:ascii="Arial" w:hAnsi="Arial" w:cs="Arial"/>
              <w:noProof/>
              <w:sz w:val="24"/>
              <w:szCs w:val="24"/>
            </w:rPr>
            <w:t>(2014)</w:t>
          </w:r>
          <w:r>
            <w:rPr>
              <w:rFonts w:ascii="Arial" w:hAnsi="Arial" w:cs="Arial"/>
              <w:sz w:val="24"/>
              <w:szCs w:val="24"/>
            </w:rPr>
            <w:fldChar w:fldCharType="end"/>
          </w:r>
        </w:sdtContent>
      </w:sdt>
      <w:r>
        <w:rPr>
          <w:rFonts w:ascii="Arial" w:hAnsi="Arial" w:cs="Arial"/>
          <w:sz w:val="24"/>
          <w:szCs w:val="24"/>
        </w:rPr>
        <w:t xml:space="preserve"> is the “intrasexual differences” between male and female. Davis compares both the female and male dichotomies and suggests that there are </w:t>
      </w:r>
      <w:proofErr w:type="gramStart"/>
      <w:r>
        <w:rPr>
          <w:rFonts w:ascii="Arial" w:hAnsi="Arial" w:cs="Arial"/>
          <w:sz w:val="24"/>
          <w:szCs w:val="24"/>
        </w:rPr>
        <w:t xml:space="preserve">polar </w:t>
      </w:r>
      <w:r>
        <w:rPr>
          <w:rFonts w:ascii="Arial" w:hAnsi="Arial" w:cs="Arial"/>
          <w:sz w:val="24"/>
          <w:szCs w:val="24"/>
        </w:rPr>
        <w:lastRenderedPageBreak/>
        <w:t>opposites</w:t>
      </w:r>
      <w:proofErr w:type="gramEnd"/>
      <w:r>
        <w:rPr>
          <w:rFonts w:ascii="Arial" w:hAnsi="Arial" w:cs="Arial"/>
          <w:sz w:val="24"/>
          <w:szCs w:val="24"/>
        </w:rPr>
        <w:t xml:space="preserve"> with female dichotomies and male dichotomies. Firstly, Davis outlines that society expects females to spend more time being at home, looking after the family, being a carer or a nurturer, whilst the male will most likely spend his time on business and rather than spending most of his time at the house, he is most likely to be at the workplace. Davis also suggests that women are seen as having an ethic of care, whilst the men have an ethic of justice.</w:t>
      </w:r>
      <w:r w:rsidRPr="002F50DB">
        <w:t xml:space="preserve"> </w:t>
      </w:r>
      <w:proofErr w:type="spellStart"/>
      <w:r w:rsidRPr="002F50DB">
        <w:rPr>
          <w:rFonts w:ascii="Arial" w:hAnsi="Arial" w:cs="Arial"/>
          <w:sz w:val="24"/>
          <w:szCs w:val="24"/>
        </w:rPr>
        <w:t>Juujärv</w:t>
      </w:r>
      <w:r>
        <w:rPr>
          <w:rFonts w:ascii="Arial" w:hAnsi="Arial" w:cs="Arial"/>
          <w:sz w:val="24"/>
          <w:szCs w:val="24"/>
        </w:rPr>
        <w:t>i</w:t>
      </w:r>
      <w:proofErr w:type="spellEnd"/>
      <w:r>
        <w:rPr>
          <w:rFonts w:ascii="Arial" w:hAnsi="Arial" w:cs="Arial"/>
          <w:sz w:val="24"/>
          <w:szCs w:val="24"/>
        </w:rPr>
        <w:t xml:space="preserve"> et al (2019) explain that the ethic of justice is “</w:t>
      </w:r>
      <w:proofErr w:type="spellStart"/>
      <w:r>
        <w:rPr>
          <w:rFonts w:ascii="Arial" w:hAnsi="Arial" w:cs="Arial"/>
          <w:sz w:val="24"/>
          <w:szCs w:val="24"/>
        </w:rPr>
        <w:t>centered</w:t>
      </w:r>
      <w:proofErr w:type="spellEnd"/>
      <w:r>
        <w:rPr>
          <w:rFonts w:ascii="Arial" w:hAnsi="Arial" w:cs="Arial"/>
          <w:sz w:val="24"/>
          <w:szCs w:val="24"/>
        </w:rPr>
        <w:t xml:space="preserve"> on maintaining obligation, equity and fairness through the application of moral principles, rules and established standards” whilst the ethic of care focuses more on “maintaining relationships” by “responding to the needs of others and avoiding hurt”. </w:t>
      </w:r>
      <w:r w:rsidRPr="00C46AF9">
        <w:rPr>
          <w:rFonts w:ascii="Arial" w:hAnsi="Arial" w:cs="Arial"/>
          <w:sz w:val="24"/>
          <w:szCs w:val="24"/>
        </w:rPr>
        <w:t xml:space="preserve">Comparing both ethics, it is clearly shown that the people under ethic of care (woman) are presented as more caring and compassionate whilst the people under ethic of justice (man) are shown as less compassionate and are less bothered about hurting people’s feelings </w:t>
      </w:r>
      <w:proofErr w:type="gramStart"/>
      <w:r w:rsidRPr="00C46AF9">
        <w:rPr>
          <w:rFonts w:ascii="Arial" w:hAnsi="Arial" w:cs="Arial"/>
          <w:sz w:val="24"/>
          <w:szCs w:val="24"/>
        </w:rPr>
        <w:t>as long as</w:t>
      </w:r>
      <w:proofErr w:type="gramEnd"/>
      <w:r w:rsidRPr="00C46AF9">
        <w:rPr>
          <w:rFonts w:ascii="Arial" w:hAnsi="Arial" w:cs="Arial"/>
          <w:sz w:val="24"/>
          <w:szCs w:val="24"/>
        </w:rPr>
        <w:t xml:space="preserve"> the decision they have made is done properly.</w:t>
      </w:r>
      <w:r>
        <w:rPr>
          <w:rFonts w:ascii="Arial" w:hAnsi="Arial" w:cs="Arial"/>
          <w:sz w:val="24"/>
          <w:szCs w:val="24"/>
        </w:rPr>
        <w:t xml:space="preserve"> The reason gender dichotomies </w:t>
      </w:r>
      <w:proofErr w:type="gramStart"/>
      <w:r>
        <w:rPr>
          <w:rFonts w:ascii="Arial" w:hAnsi="Arial" w:cs="Arial"/>
          <w:sz w:val="24"/>
          <w:szCs w:val="24"/>
        </w:rPr>
        <w:t>is</w:t>
      </w:r>
      <w:proofErr w:type="gramEnd"/>
      <w:r>
        <w:rPr>
          <w:rFonts w:ascii="Arial" w:hAnsi="Arial" w:cs="Arial"/>
          <w:sz w:val="24"/>
          <w:szCs w:val="24"/>
        </w:rPr>
        <w:t xml:space="preserve"> important, especially for identifying the suggested role for the female, is to work out if a women can be classed as a ‘double deviant’, if she breaks the law and breaks her femininity social norms.</w:t>
      </w:r>
    </w:p>
    <w:p w14:paraId="4E03B5CC" w14:textId="6E363FF3" w:rsidR="00E42F25" w:rsidRPr="002B6C7C" w:rsidRDefault="00E42F25" w:rsidP="1F5E9562">
      <w:pPr>
        <w:spacing w:line="480" w:lineRule="auto"/>
        <w:rPr>
          <w:rFonts w:ascii="Arial" w:hAnsi="Arial" w:cs="Arial"/>
          <w:sz w:val="24"/>
          <w:szCs w:val="24"/>
        </w:rPr>
      </w:pPr>
      <w:r w:rsidRPr="00E42F25">
        <w:rPr>
          <w:rFonts w:ascii="Arial" w:hAnsi="Arial" w:cs="Arial"/>
          <w:sz w:val="24"/>
          <w:szCs w:val="24"/>
        </w:rPr>
        <w:t xml:space="preserve">The Ministry of Justice (2022) released the National Statistics on ‘Women and the Criminal Justice System 2021’. </w:t>
      </w:r>
      <w:r w:rsidR="00FD5514" w:rsidRPr="00E42F25">
        <w:rPr>
          <w:rFonts w:ascii="Arial" w:hAnsi="Arial" w:cs="Arial"/>
          <w:sz w:val="24"/>
          <w:szCs w:val="24"/>
        </w:rPr>
        <w:t>The ministry of Justice</w:t>
      </w:r>
      <w:r w:rsidRPr="00E42F25">
        <w:rPr>
          <w:rFonts w:ascii="Arial" w:hAnsi="Arial" w:cs="Arial"/>
          <w:sz w:val="24"/>
          <w:szCs w:val="24"/>
        </w:rPr>
        <w:t xml:space="preserve"> first looked at the broad areas of the topics within England and Wales, where they showed the overall percentage of male and females within England and Wales, stating that there are 51% of females and 49% of males. The Ministry of Justice (2022) also stated that when it comes to ‘Arrests’ in England and Wales, the majority of the percentage is males with 85% against the females with 15%, which suggests why the prison population in England and Wales is predominantly male with a percentage of 96%</w:t>
      </w:r>
      <w:r w:rsidR="00760AA7">
        <w:rPr>
          <w:rFonts w:ascii="Arial" w:hAnsi="Arial" w:cs="Arial"/>
          <w:sz w:val="24"/>
          <w:szCs w:val="24"/>
        </w:rPr>
        <w:t xml:space="preserve">, comparing these figures </w:t>
      </w:r>
      <w:r w:rsidR="00760AA7">
        <w:rPr>
          <w:rFonts w:ascii="Arial" w:hAnsi="Arial" w:cs="Arial"/>
          <w:sz w:val="24"/>
          <w:szCs w:val="24"/>
        </w:rPr>
        <w:lastRenderedPageBreak/>
        <w:t xml:space="preserve">to statistics </w:t>
      </w:r>
      <w:r w:rsidR="009C4AE0">
        <w:rPr>
          <w:rFonts w:ascii="Arial" w:hAnsi="Arial" w:cs="Arial"/>
          <w:sz w:val="24"/>
          <w:szCs w:val="24"/>
        </w:rPr>
        <w:t>in 2019</w:t>
      </w:r>
      <w:r w:rsidR="00AD7380">
        <w:rPr>
          <w:rFonts w:ascii="Arial" w:hAnsi="Arial" w:cs="Arial"/>
          <w:sz w:val="24"/>
          <w:szCs w:val="24"/>
        </w:rPr>
        <w:t xml:space="preserve"> (p.4)</w:t>
      </w:r>
      <w:r w:rsidR="009C4AE0">
        <w:rPr>
          <w:rFonts w:ascii="Arial" w:hAnsi="Arial" w:cs="Arial"/>
          <w:sz w:val="24"/>
          <w:szCs w:val="24"/>
        </w:rPr>
        <w:t xml:space="preserve">, </w:t>
      </w:r>
      <w:r w:rsidR="00EF568B">
        <w:rPr>
          <w:rFonts w:ascii="Arial" w:hAnsi="Arial" w:cs="Arial"/>
          <w:sz w:val="24"/>
          <w:szCs w:val="24"/>
        </w:rPr>
        <w:t xml:space="preserve">arrests where still the same percentage with </w:t>
      </w:r>
      <w:r w:rsidR="005A06F0">
        <w:rPr>
          <w:rFonts w:ascii="Arial" w:hAnsi="Arial" w:cs="Arial"/>
          <w:sz w:val="24"/>
          <w:szCs w:val="24"/>
        </w:rPr>
        <w:t>85% and 15% female</w:t>
      </w:r>
      <w:r w:rsidR="008743D5">
        <w:rPr>
          <w:rFonts w:ascii="Arial" w:hAnsi="Arial" w:cs="Arial"/>
          <w:sz w:val="24"/>
          <w:szCs w:val="24"/>
        </w:rPr>
        <w:t xml:space="preserve">, however a 1% increase on female </w:t>
      </w:r>
      <w:r w:rsidR="0077702A">
        <w:rPr>
          <w:rFonts w:ascii="Arial" w:hAnsi="Arial" w:cs="Arial"/>
          <w:sz w:val="24"/>
          <w:szCs w:val="24"/>
        </w:rPr>
        <w:t>prison population</w:t>
      </w:r>
      <w:r w:rsidRPr="00E42F25">
        <w:rPr>
          <w:rFonts w:ascii="Arial" w:hAnsi="Arial" w:cs="Arial"/>
          <w:sz w:val="24"/>
          <w:szCs w:val="24"/>
        </w:rPr>
        <w:t xml:space="preserve">. Figure 4.02 from the ministry of justice looks closer and examines the common arrests of females and males in England and Wales and they showed that with more than half of the arrests to ‘violence against the person’, females have a percentage of 55% as well as the same percentage to males to ‘public order offences. Public order offences according to the Public Order Act 1986 is when an individual is involved with Rioting, the use of threatening behaviour and intentional harassment. </w:t>
      </w:r>
      <w:r w:rsidR="002A3DD3">
        <w:rPr>
          <w:rFonts w:ascii="Arial" w:hAnsi="Arial" w:cs="Arial"/>
          <w:sz w:val="24"/>
          <w:szCs w:val="24"/>
        </w:rPr>
        <w:t xml:space="preserve">Comparing the statistics from </w:t>
      </w:r>
      <w:r w:rsidR="00C42518">
        <w:rPr>
          <w:rFonts w:ascii="Arial" w:hAnsi="Arial" w:cs="Arial"/>
          <w:sz w:val="24"/>
          <w:szCs w:val="24"/>
        </w:rPr>
        <w:t xml:space="preserve">2020-21 to </w:t>
      </w:r>
      <w:r w:rsidR="00EA201B">
        <w:rPr>
          <w:rFonts w:ascii="Arial" w:hAnsi="Arial" w:cs="Arial"/>
          <w:sz w:val="24"/>
          <w:szCs w:val="24"/>
        </w:rPr>
        <w:t xml:space="preserve">2019-20, </w:t>
      </w:r>
      <w:r w:rsidR="005963D5">
        <w:rPr>
          <w:rFonts w:ascii="Arial" w:hAnsi="Arial" w:cs="Arial"/>
          <w:sz w:val="24"/>
          <w:szCs w:val="24"/>
        </w:rPr>
        <w:t>women’s violence against the person was a</w:t>
      </w:r>
      <w:r w:rsidR="00281E20">
        <w:rPr>
          <w:rFonts w:ascii="Arial" w:hAnsi="Arial" w:cs="Arial"/>
          <w:sz w:val="24"/>
          <w:szCs w:val="24"/>
        </w:rPr>
        <w:t xml:space="preserve"> decrease at</w:t>
      </w:r>
      <w:r w:rsidR="005963D5">
        <w:rPr>
          <w:rFonts w:ascii="Arial" w:hAnsi="Arial" w:cs="Arial"/>
          <w:sz w:val="24"/>
          <w:szCs w:val="24"/>
        </w:rPr>
        <w:t xml:space="preserve"> 46%</w:t>
      </w:r>
      <w:r w:rsidR="00CD70A9">
        <w:rPr>
          <w:rFonts w:ascii="Arial" w:hAnsi="Arial" w:cs="Arial"/>
          <w:sz w:val="24"/>
          <w:szCs w:val="24"/>
        </w:rPr>
        <w:t xml:space="preserve"> </w:t>
      </w:r>
      <w:r w:rsidR="00007B95">
        <w:rPr>
          <w:rFonts w:ascii="Arial" w:hAnsi="Arial" w:cs="Arial"/>
          <w:sz w:val="24"/>
          <w:szCs w:val="24"/>
        </w:rPr>
        <w:t xml:space="preserve">and again having the same percentage of public order offences. </w:t>
      </w:r>
      <w:r w:rsidR="007F50E7">
        <w:rPr>
          <w:rFonts w:ascii="Arial" w:hAnsi="Arial" w:cs="Arial"/>
          <w:sz w:val="24"/>
          <w:szCs w:val="24"/>
        </w:rPr>
        <w:t>‘</w:t>
      </w:r>
      <w:r w:rsidRPr="00E42F25">
        <w:rPr>
          <w:rFonts w:ascii="Arial" w:hAnsi="Arial" w:cs="Arial"/>
          <w:sz w:val="24"/>
          <w:szCs w:val="24"/>
        </w:rPr>
        <w:t>Theft offences’ is also a shared percentage with males and females with 12%. From the</w:t>
      </w:r>
      <w:r w:rsidR="00CB0D97">
        <w:rPr>
          <w:rFonts w:ascii="Arial" w:hAnsi="Arial" w:cs="Arial"/>
          <w:sz w:val="24"/>
          <w:szCs w:val="24"/>
        </w:rPr>
        <w:t xml:space="preserve"> data being presented, comparing </w:t>
      </w:r>
      <w:r w:rsidR="00874A51">
        <w:rPr>
          <w:rFonts w:ascii="Arial" w:hAnsi="Arial" w:cs="Arial"/>
          <w:sz w:val="24"/>
          <w:szCs w:val="24"/>
        </w:rPr>
        <w:t>both statistics from 2020-21 and 2019-2020, there are some</w:t>
      </w:r>
      <w:r w:rsidR="007A7F6A">
        <w:rPr>
          <w:rFonts w:ascii="Arial" w:hAnsi="Arial" w:cs="Arial"/>
          <w:sz w:val="24"/>
          <w:szCs w:val="24"/>
        </w:rPr>
        <w:t xml:space="preserve"> differences in a space of a year</w:t>
      </w:r>
      <w:r w:rsidR="00ED3379">
        <w:rPr>
          <w:rFonts w:ascii="Arial" w:hAnsi="Arial" w:cs="Arial"/>
          <w:sz w:val="24"/>
          <w:szCs w:val="24"/>
        </w:rPr>
        <w:t xml:space="preserve"> especially with violence from women</w:t>
      </w:r>
      <w:r w:rsidR="00FE19B5">
        <w:rPr>
          <w:rFonts w:ascii="Arial" w:hAnsi="Arial" w:cs="Arial"/>
          <w:sz w:val="24"/>
          <w:szCs w:val="24"/>
        </w:rPr>
        <w:t xml:space="preserve"> where </w:t>
      </w:r>
      <w:r w:rsidR="00D04D20">
        <w:rPr>
          <w:rFonts w:ascii="Arial" w:hAnsi="Arial" w:cs="Arial"/>
          <w:sz w:val="24"/>
          <w:szCs w:val="24"/>
        </w:rPr>
        <w:t>the most up to date statistics show that women’s violence had increased by</w:t>
      </w:r>
      <w:r w:rsidR="008C5824">
        <w:rPr>
          <w:rFonts w:ascii="Arial" w:hAnsi="Arial" w:cs="Arial"/>
          <w:sz w:val="24"/>
          <w:szCs w:val="24"/>
        </w:rPr>
        <w:t xml:space="preserve"> 9%</w:t>
      </w:r>
      <w:r w:rsidR="006801AF">
        <w:rPr>
          <w:rFonts w:ascii="Arial" w:hAnsi="Arial" w:cs="Arial"/>
          <w:sz w:val="24"/>
          <w:szCs w:val="24"/>
        </w:rPr>
        <w:t xml:space="preserve">. </w:t>
      </w:r>
      <w:r w:rsidR="002B6C7C">
        <w:rPr>
          <w:rFonts w:ascii="Arial" w:hAnsi="Arial" w:cs="Arial"/>
          <w:sz w:val="24"/>
          <w:szCs w:val="24"/>
        </w:rPr>
        <w:t>The statistics been presented here</w:t>
      </w:r>
      <w:r w:rsidR="00E6738F">
        <w:rPr>
          <w:rFonts w:ascii="Arial" w:hAnsi="Arial" w:cs="Arial"/>
          <w:sz w:val="24"/>
          <w:szCs w:val="24"/>
        </w:rPr>
        <w:t xml:space="preserve"> will help back up some </w:t>
      </w:r>
      <w:r w:rsidR="008C271B">
        <w:rPr>
          <w:rFonts w:ascii="Arial" w:hAnsi="Arial" w:cs="Arial"/>
          <w:sz w:val="24"/>
          <w:szCs w:val="24"/>
        </w:rPr>
        <w:t xml:space="preserve">arguments being made from the theorists or theories and see if the data matches what the </w:t>
      </w:r>
      <w:r w:rsidR="0077280F">
        <w:rPr>
          <w:rFonts w:ascii="Arial" w:hAnsi="Arial" w:cs="Arial"/>
          <w:sz w:val="24"/>
          <w:szCs w:val="24"/>
        </w:rPr>
        <w:t>argument is saying.</w:t>
      </w:r>
    </w:p>
    <w:p w14:paraId="0B982E05" w14:textId="1340AED7" w:rsidR="0089120B" w:rsidRPr="0066490A" w:rsidRDefault="00E30CAA" w:rsidP="7BC4013C">
      <w:pPr>
        <w:spacing w:line="480" w:lineRule="auto"/>
        <w:rPr>
          <w:rFonts w:ascii="Arial" w:hAnsi="Arial" w:cs="Arial"/>
          <w:sz w:val="24"/>
          <w:szCs w:val="24"/>
        </w:rPr>
      </w:pPr>
      <w:r>
        <w:rPr>
          <w:rFonts w:ascii="Arial" w:hAnsi="Arial" w:cs="Arial"/>
          <w:sz w:val="24"/>
          <w:szCs w:val="24"/>
        </w:rPr>
        <w:t xml:space="preserve">Frances Heidensohn </w:t>
      </w:r>
      <w:r w:rsidR="00AC1303">
        <w:rPr>
          <w:rFonts w:ascii="Arial" w:hAnsi="Arial" w:cs="Arial"/>
          <w:sz w:val="24"/>
          <w:szCs w:val="24"/>
        </w:rPr>
        <w:t>(</w:t>
      </w:r>
      <w:r w:rsidR="547B066B">
        <w:rPr>
          <w:rFonts w:ascii="Arial" w:hAnsi="Arial" w:cs="Arial"/>
          <w:sz w:val="24"/>
          <w:szCs w:val="24"/>
        </w:rPr>
        <w:t>1968,</w:t>
      </w:r>
      <w:r w:rsidR="00AC1303">
        <w:rPr>
          <w:rFonts w:ascii="Arial" w:hAnsi="Arial" w:cs="Arial"/>
          <w:sz w:val="24"/>
          <w:szCs w:val="24"/>
        </w:rPr>
        <w:t>)</w:t>
      </w:r>
      <w:r w:rsidR="00DC219C">
        <w:rPr>
          <w:rFonts w:ascii="Arial" w:hAnsi="Arial" w:cs="Arial"/>
          <w:sz w:val="24"/>
          <w:szCs w:val="24"/>
        </w:rPr>
        <w:t xml:space="preserve"> </w:t>
      </w:r>
      <w:r w:rsidR="00AC1303">
        <w:rPr>
          <w:rFonts w:ascii="Arial" w:hAnsi="Arial" w:cs="Arial"/>
          <w:sz w:val="24"/>
          <w:szCs w:val="24"/>
        </w:rPr>
        <w:t xml:space="preserve">was </w:t>
      </w:r>
      <w:r w:rsidR="00EE58DC">
        <w:rPr>
          <w:rFonts w:ascii="Arial" w:hAnsi="Arial" w:cs="Arial"/>
          <w:sz w:val="24"/>
          <w:szCs w:val="24"/>
        </w:rPr>
        <w:t>one of the early</w:t>
      </w:r>
      <w:r w:rsidR="00542187">
        <w:rPr>
          <w:rFonts w:ascii="Arial" w:hAnsi="Arial" w:cs="Arial"/>
          <w:sz w:val="24"/>
          <w:szCs w:val="24"/>
        </w:rPr>
        <w:t xml:space="preserve"> feminist</w:t>
      </w:r>
      <w:r w:rsidR="00EE58DC">
        <w:rPr>
          <w:rFonts w:ascii="Arial" w:hAnsi="Arial" w:cs="Arial"/>
          <w:sz w:val="24"/>
          <w:szCs w:val="24"/>
        </w:rPr>
        <w:t xml:space="preserve"> sociologist’s</w:t>
      </w:r>
      <w:r w:rsidR="00542187">
        <w:rPr>
          <w:rFonts w:ascii="Arial" w:hAnsi="Arial" w:cs="Arial"/>
          <w:sz w:val="24"/>
          <w:szCs w:val="24"/>
        </w:rPr>
        <w:t xml:space="preserve"> and criminologists</w:t>
      </w:r>
      <w:r w:rsidR="00EE58DC">
        <w:rPr>
          <w:rFonts w:ascii="Arial" w:hAnsi="Arial" w:cs="Arial"/>
          <w:sz w:val="24"/>
          <w:szCs w:val="24"/>
        </w:rPr>
        <w:t xml:space="preserve"> </w:t>
      </w:r>
      <w:r w:rsidR="537DE013">
        <w:rPr>
          <w:rFonts w:ascii="Arial" w:hAnsi="Arial" w:cs="Arial"/>
          <w:sz w:val="24"/>
          <w:szCs w:val="24"/>
        </w:rPr>
        <w:t xml:space="preserve">who </w:t>
      </w:r>
      <w:r w:rsidR="00EE58DC">
        <w:rPr>
          <w:rFonts w:ascii="Arial" w:hAnsi="Arial" w:cs="Arial"/>
          <w:sz w:val="24"/>
          <w:szCs w:val="24"/>
        </w:rPr>
        <w:t xml:space="preserve">on researching women’s deviance </w:t>
      </w:r>
      <w:r w:rsidR="250D97D1">
        <w:rPr>
          <w:rFonts w:ascii="Arial" w:hAnsi="Arial" w:cs="Arial"/>
          <w:sz w:val="24"/>
          <w:szCs w:val="24"/>
        </w:rPr>
        <w:t>came</w:t>
      </w:r>
      <w:r w:rsidR="00EE58DC">
        <w:rPr>
          <w:rFonts w:ascii="Arial" w:hAnsi="Arial" w:cs="Arial"/>
          <w:sz w:val="24"/>
          <w:szCs w:val="24"/>
        </w:rPr>
        <w:t xml:space="preserve"> up with the </w:t>
      </w:r>
      <w:r w:rsidR="00BA6E47">
        <w:rPr>
          <w:rFonts w:ascii="Arial" w:hAnsi="Arial" w:cs="Arial"/>
          <w:sz w:val="24"/>
          <w:szCs w:val="24"/>
        </w:rPr>
        <w:t>term ‘doubly deviant</w:t>
      </w:r>
      <w:r w:rsidR="00542187">
        <w:rPr>
          <w:rFonts w:ascii="Arial" w:hAnsi="Arial" w:cs="Arial"/>
          <w:sz w:val="24"/>
          <w:szCs w:val="24"/>
        </w:rPr>
        <w:t xml:space="preserve">’. </w:t>
      </w:r>
      <w:r w:rsidR="4F408F80" w:rsidRPr="00A10794">
        <w:rPr>
          <w:rFonts w:ascii="Arial" w:hAnsi="Arial" w:cs="Arial"/>
          <w:sz w:val="24"/>
          <w:szCs w:val="24"/>
        </w:rPr>
        <w:t>Frances Heid</w:t>
      </w:r>
      <w:r w:rsidR="1389C494" w:rsidRPr="00A10794">
        <w:rPr>
          <w:rFonts w:ascii="Arial" w:hAnsi="Arial" w:cs="Arial"/>
          <w:sz w:val="24"/>
          <w:szCs w:val="24"/>
        </w:rPr>
        <w:t>ensohn</w:t>
      </w:r>
      <w:r w:rsidR="20319F18" w:rsidRPr="00A10794">
        <w:rPr>
          <w:rFonts w:ascii="Arial" w:hAnsi="Arial" w:cs="Arial"/>
          <w:sz w:val="24"/>
          <w:szCs w:val="24"/>
        </w:rPr>
        <w:t xml:space="preserve"> (2010)</w:t>
      </w:r>
      <w:r w:rsidR="1389C494">
        <w:rPr>
          <w:rFonts w:ascii="Arial" w:hAnsi="Arial" w:cs="Arial"/>
          <w:sz w:val="24"/>
          <w:szCs w:val="24"/>
        </w:rPr>
        <w:t xml:space="preserve"> </w:t>
      </w:r>
      <w:r w:rsidR="34881B37">
        <w:rPr>
          <w:rFonts w:ascii="Arial" w:hAnsi="Arial" w:cs="Arial"/>
          <w:sz w:val="24"/>
          <w:szCs w:val="24"/>
        </w:rPr>
        <w:t xml:space="preserve">in her article, </w:t>
      </w:r>
      <w:r w:rsidR="05CCD0AB">
        <w:rPr>
          <w:rFonts w:ascii="Arial" w:hAnsi="Arial" w:cs="Arial"/>
          <w:sz w:val="24"/>
          <w:szCs w:val="24"/>
        </w:rPr>
        <w:t>‘T</w:t>
      </w:r>
      <w:r w:rsidR="34881B37">
        <w:rPr>
          <w:rFonts w:ascii="Arial" w:hAnsi="Arial" w:cs="Arial"/>
          <w:sz w:val="24"/>
          <w:szCs w:val="24"/>
        </w:rPr>
        <w:t>he deviance of women: a critique and an enquiry</w:t>
      </w:r>
      <w:r w:rsidR="01058444">
        <w:rPr>
          <w:rFonts w:ascii="Arial" w:hAnsi="Arial" w:cs="Arial"/>
          <w:sz w:val="24"/>
          <w:szCs w:val="24"/>
        </w:rPr>
        <w:t>’</w:t>
      </w:r>
      <w:r w:rsidR="70F105BB">
        <w:rPr>
          <w:rFonts w:ascii="Arial" w:hAnsi="Arial" w:cs="Arial"/>
          <w:sz w:val="24"/>
          <w:szCs w:val="24"/>
        </w:rPr>
        <w:t xml:space="preserve"> </w:t>
      </w:r>
      <w:r w:rsidR="5F759E5B">
        <w:rPr>
          <w:rFonts w:ascii="Arial" w:hAnsi="Arial" w:cs="Arial"/>
          <w:sz w:val="24"/>
          <w:szCs w:val="24"/>
        </w:rPr>
        <w:t xml:space="preserve">argued that </w:t>
      </w:r>
      <w:r w:rsidR="1EF95E6C">
        <w:rPr>
          <w:rFonts w:ascii="Arial" w:hAnsi="Arial" w:cs="Arial"/>
          <w:sz w:val="24"/>
          <w:szCs w:val="24"/>
        </w:rPr>
        <w:t xml:space="preserve">the study of </w:t>
      </w:r>
      <w:r w:rsidR="1EF95E6C" w:rsidRPr="00E31127">
        <w:rPr>
          <w:rFonts w:ascii="Arial" w:hAnsi="Arial" w:cs="Arial"/>
          <w:sz w:val="24"/>
          <w:szCs w:val="24"/>
        </w:rPr>
        <w:t>deviance</w:t>
      </w:r>
      <w:r w:rsidR="0C33670F" w:rsidRPr="00E31127">
        <w:rPr>
          <w:rFonts w:ascii="Arial" w:hAnsi="Arial" w:cs="Arial"/>
          <w:sz w:val="24"/>
          <w:szCs w:val="24"/>
        </w:rPr>
        <w:t xml:space="preserve"> of women</w:t>
      </w:r>
      <w:r w:rsidR="1EF95E6C">
        <w:rPr>
          <w:rFonts w:ascii="Arial" w:hAnsi="Arial" w:cs="Arial"/>
          <w:sz w:val="24"/>
          <w:szCs w:val="24"/>
        </w:rPr>
        <w:t xml:space="preserve"> itself </w:t>
      </w:r>
      <w:r w:rsidR="094B8DC9">
        <w:rPr>
          <w:rFonts w:ascii="Arial" w:hAnsi="Arial" w:cs="Arial"/>
          <w:sz w:val="24"/>
          <w:szCs w:val="24"/>
        </w:rPr>
        <w:t>is one of the areas of human behaviour</w:t>
      </w:r>
      <w:r w:rsidR="262492CC">
        <w:rPr>
          <w:rFonts w:ascii="Arial" w:hAnsi="Arial" w:cs="Arial"/>
          <w:sz w:val="24"/>
          <w:szCs w:val="24"/>
        </w:rPr>
        <w:t xml:space="preserve"> that</w:t>
      </w:r>
      <w:r w:rsidR="094B8DC9">
        <w:rPr>
          <w:rFonts w:ascii="Arial" w:hAnsi="Arial" w:cs="Arial"/>
          <w:sz w:val="24"/>
          <w:szCs w:val="24"/>
        </w:rPr>
        <w:t xml:space="preserve"> is most</w:t>
      </w:r>
      <w:r w:rsidR="7A585A4D">
        <w:rPr>
          <w:rFonts w:ascii="Arial" w:hAnsi="Arial" w:cs="Arial"/>
          <w:sz w:val="24"/>
          <w:szCs w:val="24"/>
        </w:rPr>
        <w:t xml:space="preserve"> notably ignored in sociological literature</w:t>
      </w:r>
      <w:r w:rsidR="1389C494" w:rsidRPr="00A10794">
        <w:rPr>
          <w:rFonts w:ascii="Arial" w:hAnsi="Arial" w:cs="Arial"/>
          <w:sz w:val="24"/>
          <w:szCs w:val="24"/>
        </w:rPr>
        <w:t>.</w:t>
      </w:r>
      <w:r w:rsidR="12A7A934">
        <w:rPr>
          <w:rFonts w:ascii="Arial" w:hAnsi="Arial" w:cs="Arial"/>
          <w:sz w:val="24"/>
          <w:szCs w:val="24"/>
        </w:rPr>
        <w:t xml:space="preserve"> </w:t>
      </w:r>
      <w:r w:rsidR="1389C494" w:rsidRPr="00A10794">
        <w:rPr>
          <w:rFonts w:ascii="Arial" w:hAnsi="Arial" w:cs="Arial"/>
          <w:sz w:val="24"/>
          <w:szCs w:val="24"/>
        </w:rPr>
        <w:t xml:space="preserve"> </w:t>
      </w:r>
      <w:r w:rsidR="12A7A934" w:rsidRPr="00B30FC8">
        <w:rPr>
          <w:rFonts w:ascii="Arial" w:hAnsi="Arial" w:cs="Arial"/>
          <w:sz w:val="24"/>
          <w:szCs w:val="24"/>
        </w:rPr>
        <w:t xml:space="preserve">Heidensohn (2010) </w:t>
      </w:r>
      <w:r w:rsidR="62ED3E4D">
        <w:rPr>
          <w:rFonts w:ascii="Arial" w:hAnsi="Arial" w:cs="Arial"/>
          <w:sz w:val="24"/>
          <w:szCs w:val="24"/>
        </w:rPr>
        <w:t>outlines</w:t>
      </w:r>
      <w:r w:rsidR="2AF63F89">
        <w:rPr>
          <w:rFonts w:ascii="Arial" w:hAnsi="Arial" w:cs="Arial"/>
          <w:sz w:val="24"/>
          <w:szCs w:val="24"/>
        </w:rPr>
        <w:t xml:space="preserve"> that </w:t>
      </w:r>
      <w:r w:rsidR="12A7A934" w:rsidRPr="00B30FC8">
        <w:rPr>
          <w:rFonts w:ascii="Arial" w:hAnsi="Arial" w:cs="Arial"/>
          <w:sz w:val="24"/>
          <w:szCs w:val="24"/>
        </w:rPr>
        <w:t>“not only do wom</w:t>
      </w:r>
      <w:r w:rsidR="6C341875" w:rsidRPr="00B30FC8">
        <w:rPr>
          <w:rFonts w:ascii="Arial" w:hAnsi="Arial" w:cs="Arial"/>
          <w:sz w:val="24"/>
          <w:szCs w:val="24"/>
        </w:rPr>
        <w:t>e</w:t>
      </w:r>
      <w:r w:rsidR="12A7A934" w:rsidRPr="00B30FC8">
        <w:rPr>
          <w:rFonts w:ascii="Arial" w:hAnsi="Arial" w:cs="Arial"/>
          <w:sz w:val="24"/>
          <w:szCs w:val="24"/>
        </w:rPr>
        <w:t>n appear to be remarkably conformist,</w:t>
      </w:r>
      <w:r w:rsidR="4B36E0C7" w:rsidRPr="00B30FC8">
        <w:rPr>
          <w:rFonts w:ascii="Arial" w:hAnsi="Arial" w:cs="Arial"/>
          <w:sz w:val="24"/>
          <w:szCs w:val="24"/>
        </w:rPr>
        <w:t xml:space="preserve"> </w:t>
      </w:r>
      <w:proofErr w:type="gramStart"/>
      <w:r w:rsidR="39121061">
        <w:rPr>
          <w:rFonts w:ascii="Arial" w:hAnsi="Arial" w:cs="Arial"/>
          <w:sz w:val="24"/>
          <w:szCs w:val="24"/>
        </w:rPr>
        <w:t>they</w:t>
      </w:r>
      <w:proofErr w:type="gramEnd"/>
      <w:r w:rsidR="39121061">
        <w:rPr>
          <w:rFonts w:ascii="Arial" w:hAnsi="Arial" w:cs="Arial"/>
          <w:sz w:val="24"/>
          <w:szCs w:val="24"/>
        </w:rPr>
        <w:t xml:space="preserve"> </w:t>
      </w:r>
      <w:r w:rsidR="12A7A934" w:rsidRPr="00B30FC8">
        <w:rPr>
          <w:rFonts w:ascii="Arial" w:hAnsi="Arial" w:cs="Arial"/>
          <w:sz w:val="24"/>
          <w:szCs w:val="24"/>
        </w:rPr>
        <w:t>seem to have consistently lower rates of deviance th</w:t>
      </w:r>
      <w:r w:rsidR="2D7813B2" w:rsidRPr="00B30FC8">
        <w:rPr>
          <w:rFonts w:ascii="Arial" w:hAnsi="Arial" w:cs="Arial"/>
          <w:sz w:val="24"/>
          <w:szCs w:val="24"/>
        </w:rPr>
        <w:t>a</w:t>
      </w:r>
      <w:r w:rsidR="12A7A934" w:rsidRPr="00B30FC8">
        <w:rPr>
          <w:rFonts w:ascii="Arial" w:hAnsi="Arial" w:cs="Arial"/>
          <w:sz w:val="24"/>
          <w:szCs w:val="24"/>
        </w:rPr>
        <w:t>n men</w:t>
      </w:r>
      <w:r w:rsidR="39121061">
        <w:rPr>
          <w:rFonts w:ascii="Arial" w:hAnsi="Arial" w:cs="Arial"/>
          <w:sz w:val="24"/>
          <w:szCs w:val="24"/>
        </w:rPr>
        <w:t xml:space="preserve">” </w:t>
      </w:r>
      <w:r w:rsidR="1284A8FF">
        <w:rPr>
          <w:rFonts w:ascii="Arial" w:hAnsi="Arial" w:cs="Arial"/>
          <w:sz w:val="24"/>
          <w:szCs w:val="24"/>
        </w:rPr>
        <w:t xml:space="preserve">which could suggest </w:t>
      </w:r>
      <w:r w:rsidR="4FF51542">
        <w:rPr>
          <w:rFonts w:ascii="Arial" w:hAnsi="Arial" w:cs="Arial"/>
          <w:sz w:val="24"/>
          <w:szCs w:val="24"/>
        </w:rPr>
        <w:t>that if</w:t>
      </w:r>
      <w:r w:rsidR="1284A8FF">
        <w:rPr>
          <w:rFonts w:ascii="Arial" w:hAnsi="Arial" w:cs="Arial"/>
          <w:sz w:val="24"/>
          <w:szCs w:val="24"/>
        </w:rPr>
        <w:t xml:space="preserve"> </w:t>
      </w:r>
      <w:r w:rsidR="4FF51542">
        <w:rPr>
          <w:rFonts w:ascii="Arial" w:hAnsi="Arial" w:cs="Arial"/>
          <w:sz w:val="24"/>
          <w:szCs w:val="24"/>
        </w:rPr>
        <w:t>a wom</w:t>
      </w:r>
      <w:r w:rsidR="05D9CA9F">
        <w:rPr>
          <w:rFonts w:ascii="Arial" w:hAnsi="Arial" w:cs="Arial"/>
          <w:sz w:val="24"/>
          <w:szCs w:val="24"/>
        </w:rPr>
        <w:t>a</w:t>
      </w:r>
      <w:r w:rsidR="4FF51542">
        <w:rPr>
          <w:rFonts w:ascii="Arial" w:hAnsi="Arial" w:cs="Arial"/>
          <w:sz w:val="24"/>
          <w:szCs w:val="24"/>
        </w:rPr>
        <w:t>n were to commit a crime they could be seen as dou</w:t>
      </w:r>
      <w:r w:rsidR="2AF63F89">
        <w:rPr>
          <w:rFonts w:ascii="Arial" w:hAnsi="Arial" w:cs="Arial"/>
          <w:sz w:val="24"/>
          <w:szCs w:val="24"/>
        </w:rPr>
        <w:t>ble deviant as they are both breaking the law and breaking their social norms</w:t>
      </w:r>
      <w:r w:rsidR="2C016140">
        <w:rPr>
          <w:rFonts w:ascii="Arial" w:hAnsi="Arial" w:cs="Arial"/>
          <w:sz w:val="24"/>
          <w:szCs w:val="24"/>
        </w:rPr>
        <w:t>.</w:t>
      </w:r>
      <w:r w:rsidR="7D0F7C48">
        <w:rPr>
          <w:rFonts w:ascii="Arial" w:hAnsi="Arial" w:cs="Arial"/>
          <w:sz w:val="24"/>
          <w:szCs w:val="24"/>
        </w:rPr>
        <w:t xml:space="preserve"> </w:t>
      </w:r>
      <w:r w:rsidR="7D0F7C48">
        <w:rPr>
          <w:rFonts w:ascii="Arial" w:hAnsi="Arial" w:cs="Arial"/>
          <w:sz w:val="24"/>
          <w:szCs w:val="24"/>
        </w:rPr>
        <w:lastRenderedPageBreak/>
        <w:t>Heidensohn</w:t>
      </w:r>
      <w:r w:rsidR="22391565">
        <w:rPr>
          <w:rFonts w:ascii="Arial" w:hAnsi="Arial" w:cs="Arial"/>
          <w:sz w:val="24"/>
          <w:szCs w:val="24"/>
        </w:rPr>
        <w:t xml:space="preserve"> </w:t>
      </w:r>
      <w:sdt>
        <w:sdtPr>
          <w:rPr>
            <w:rFonts w:ascii="Arial" w:hAnsi="Arial" w:cs="Arial"/>
            <w:sz w:val="24"/>
            <w:szCs w:val="24"/>
          </w:rPr>
          <w:id w:val="-314189150"/>
          <w:citation/>
        </w:sdtPr>
        <w:sdtEndPr/>
        <w:sdtContent>
          <w:r w:rsidR="000F59BD">
            <w:rPr>
              <w:rFonts w:ascii="Arial" w:hAnsi="Arial" w:cs="Arial"/>
              <w:sz w:val="24"/>
              <w:szCs w:val="24"/>
            </w:rPr>
            <w:fldChar w:fldCharType="begin"/>
          </w:r>
          <w:r w:rsidR="000F59BD">
            <w:rPr>
              <w:rFonts w:ascii="Arial" w:hAnsi="Arial" w:cs="Arial"/>
              <w:sz w:val="24"/>
              <w:szCs w:val="24"/>
            </w:rPr>
            <w:instrText xml:space="preserve">CITATION Hei10 \n  \l 2057 </w:instrText>
          </w:r>
          <w:r w:rsidR="000F59BD">
            <w:rPr>
              <w:rFonts w:ascii="Arial" w:hAnsi="Arial" w:cs="Arial"/>
              <w:sz w:val="24"/>
              <w:szCs w:val="24"/>
            </w:rPr>
            <w:fldChar w:fldCharType="separate"/>
          </w:r>
          <w:r w:rsidR="7D0F7C48" w:rsidRPr="000F59BD">
            <w:rPr>
              <w:rFonts w:ascii="Arial" w:hAnsi="Arial" w:cs="Arial"/>
              <w:noProof/>
              <w:sz w:val="24"/>
              <w:szCs w:val="24"/>
            </w:rPr>
            <w:t>(2010)</w:t>
          </w:r>
          <w:r w:rsidR="000F59BD">
            <w:rPr>
              <w:rFonts w:ascii="Arial" w:hAnsi="Arial" w:cs="Arial"/>
              <w:sz w:val="24"/>
              <w:szCs w:val="24"/>
            </w:rPr>
            <w:fldChar w:fldCharType="end"/>
          </w:r>
        </w:sdtContent>
      </w:sdt>
      <w:r w:rsidR="7D0F7C48">
        <w:rPr>
          <w:rFonts w:ascii="Arial" w:hAnsi="Arial" w:cs="Arial"/>
          <w:sz w:val="24"/>
          <w:szCs w:val="24"/>
        </w:rPr>
        <w:t xml:space="preserve"> also argues that </w:t>
      </w:r>
      <w:r w:rsidR="7CBCA49D">
        <w:rPr>
          <w:rFonts w:ascii="Arial" w:hAnsi="Arial" w:cs="Arial"/>
          <w:sz w:val="24"/>
          <w:szCs w:val="24"/>
        </w:rPr>
        <w:t>male delinquen</w:t>
      </w:r>
      <w:r w:rsidR="54247C98">
        <w:rPr>
          <w:rFonts w:ascii="Arial" w:hAnsi="Arial" w:cs="Arial"/>
          <w:sz w:val="24"/>
          <w:szCs w:val="24"/>
        </w:rPr>
        <w:t>cy</w:t>
      </w:r>
      <w:r w:rsidR="7CBCA49D">
        <w:rPr>
          <w:rFonts w:ascii="Arial" w:hAnsi="Arial" w:cs="Arial"/>
          <w:sz w:val="24"/>
          <w:szCs w:val="24"/>
        </w:rPr>
        <w:t xml:space="preserve"> </w:t>
      </w:r>
      <w:r w:rsidR="4AD84C40">
        <w:rPr>
          <w:rFonts w:ascii="Arial" w:hAnsi="Arial" w:cs="Arial"/>
          <w:sz w:val="24"/>
          <w:szCs w:val="24"/>
        </w:rPr>
        <w:t>is</w:t>
      </w:r>
      <w:r w:rsidR="7CBCA49D">
        <w:rPr>
          <w:rFonts w:ascii="Arial" w:hAnsi="Arial" w:cs="Arial"/>
          <w:sz w:val="24"/>
          <w:szCs w:val="24"/>
        </w:rPr>
        <w:t xml:space="preserve"> studied in preference to </w:t>
      </w:r>
      <w:r w:rsidR="56F25E0A">
        <w:rPr>
          <w:rFonts w:ascii="Arial" w:hAnsi="Arial" w:cs="Arial"/>
          <w:sz w:val="24"/>
          <w:szCs w:val="24"/>
        </w:rPr>
        <w:t>female</w:t>
      </w:r>
      <w:r w:rsidR="7CBCA49D">
        <w:rPr>
          <w:rFonts w:ascii="Arial" w:hAnsi="Arial" w:cs="Arial"/>
          <w:sz w:val="24"/>
          <w:szCs w:val="24"/>
        </w:rPr>
        <w:t xml:space="preserve"> delinquen</w:t>
      </w:r>
      <w:r w:rsidR="52163AE5">
        <w:rPr>
          <w:rFonts w:ascii="Arial" w:hAnsi="Arial" w:cs="Arial"/>
          <w:sz w:val="24"/>
          <w:szCs w:val="24"/>
        </w:rPr>
        <w:t>cy</w:t>
      </w:r>
      <w:r w:rsidR="7CBCA49D">
        <w:rPr>
          <w:rFonts w:ascii="Arial" w:hAnsi="Arial" w:cs="Arial"/>
          <w:sz w:val="24"/>
          <w:szCs w:val="24"/>
        </w:rPr>
        <w:t xml:space="preserve"> as</w:t>
      </w:r>
      <w:r w:rsidR="63313EE0">
        <w:rPr>
          <w:rFonts w:ascii="Arial" w:hAnsi="Arial" w:cs="Arial"/>
          <w:sz w:val="24"/>
          <w:szCs w:val="24"/>
        </w:rPr>
        <w:t xml:space="preserve"> </w:t>
      </w:r>
      <w:r w:rsidR="00064FD1">
        <w:rPr>
          <w:rFonts w:ascii="Arial" w:hAnsi="Arial" w:cs="Arial"/>
          <w:sz w:val="24"/>
          <w:szCs w:val="24"/>
        </w:rPr>
        <w:t>there are more male convicts</w:t>
      </w:r>
      <w:r w:rsidR="547DC209">
        <w:rPr>
          <w:rFonts w:ascii="Arial" w:hAnsi="Arial" w:cs="Arial"/>
          <w:sz w:val="24"/>
          <w:szCs w:val="24"/>
        </w:rPr>
        <w:t>,</w:t>
      </w:r>
      <w:r w:rsidR="00064FD1">
        <w:rPr>
          <w:rFonts w:ascii="Arial" w:hAnsi="Arial" w:cs="Arial"/>
          <w:sz w:val="24"/>
          <w:szCs w:val="24"/>
        </w:rPr>
        <w:t xml:space="preserve"> </w:t>
      </w:r>
      <w:r w:rsidR="009D497E">
        <w:rPr>
          <w:rFonts w:ascii="Arial" w:hAnsi="Arial" w:cs="Arial"/>
          <w:sz w:val="24"/>
          <w:szCs w:val="24"/>
        </w:rPr>
        <w:t>so as a result</w:t>
      </w:r>
      <w:r w:rsidR="7DFFE080">
        <w:rPr>
          <w:rFonts w:ascii="Arial" w:hAnsi="Arial" w:cs="Arial"/>
          <w:sz w:val="24"/>
          <w:szCs w:val="24"/>
        </w:rPr>
        <w:t>,</w:t>
      </w:r>
      <w:r w:rsidR="009D497E">
        <w:rPr>
          <w:rFonts w:ascii="Arial" w:hAnsi="Arial" w:cs="Arial"/>
          <w:sz w:val="24"/>
          <w:szCs w:val="24"/>
        </w:rPr>
        <w:t xml:space="preserve"> they have a “greater social visibility”</w:t>
      </w:r>
      <w:r w:rsidR="00F3744E">
        <w:rPr>
          <w:rFonts w:ascii="Arial" w:hAnsi="Arial" w:cs="Arial"/>
          <w:sz w:val="24"/>
          <w:szCs w:val="24"/>
        </w:rPr>
        <w:t xml:space="preserve"> thus being defined as a “pressing social problem”</w:t>
      </w:r>
      <w:r w:rsidR="0066490A">
        <w:rPr>
          <w:rFonts w:ascii="Arial" w:hAnsi="Arial" w:cs="Arial"/>
          <w:sz w:val="24"/>
          <w:szCs w:val="24"/>
        </w:rPr>
        <w:t xml:space="preserve">. Furthermore, </w:t>
      </w:r>
      <w:r w:rsidR="3AF3F058">
        <w:rPr>
          <w:rFonts w:ascii="Arial" w:hAnsi="Arial" w:cs="Arial"/>
          <w:sz w:val="24"/>
          <w:szCs w:val="24"/>
        </w:rPr>
        <w:t>Heidensohn</w:t>
      </w:r>
      <w:r w:rsidR="7E790A54">
        <w:rPr>
          <w:rFonts w:ascii="Arial" w:hAnsi="Arial" w:cs="Arial"/>
          <w:sz w:val="24"/>
          <w:szCs w:val="24"/>
        </w:rPr>
        <w:t xml:space="preserve"> suggests that </w:t>
      </w:r>
      <w:r w:rsidR="000573AE">
        <w:rPr>
          <w:rFonts w:ascii="Arial" w:hAnsi="Arial" w:cs="Arial"/>
          <w:sz w:val="24"/>
          <w:szCs w:val="24"/>
        </w:rPr>
        <w:t>women who had been labelled</w:t>
      </w:r>
      <w:r w:rsidR="00237D53">
        <w:rPr>
          <w:rFonts w:ascii="Arial" w:hAnsi="Arial" w:cs="Arial"/>
          <w:sz w:val="24"/>
          <w:szCs w:val="24"/>
        </w:rPr>
        <w:t xml:space="preserve"> a</w:t>
      </w:r>
      <w:r w:rsidR="000573AE">
        <w:rPr>
          <w:rFonts w:ascii="Arial" w:hAnsi="Arial" w:cs="Arial"/>
          <w:sz w:val="24"/>
          <w:szCs w:val="24"/>
        </w:rPr>
        <w:t xml:space="preserve"> ‘delinquent’</w:t>
      </w:r>
      <w:r w:rsidR="00237D53">
        <w:rPr>
          <w:rFonts w:ascii="Arial" w:hAnsi="Arial" w:cs="Arial"/>
          <w:sz w:val="24"/>
          <w:szCs w:val="24"/>
        </w:rPr>
        <w:t xml:space="preserve"> would be referred as </w:t>
      </w:r>
      <w:r w:rsidR="39C80942">
        <w:rPr>
          <w:rFonts w:ascii="Arial" w:hAnsi="Arial" w:cs="Arial"/>
          <w:sz w:val="24"/>
          <w:szCs w:val="24"/>
        </w:rPr>
        <w:t>mentally</w:t>
      </w:r>
      <w:r w:rsidR="00237D53">
        <w:rPr>
          <w:rFonts w:ascii="Arial" w:hAnsi="Arial" w:cs="Arial"/>
          <w:sz w:val="24"/>
          <w:szCs w:val="24"/>
        </w:rPr>
        <w:t xml:space="preserve"> </w:t>
      </w:r>
      <w:r w:rsidR="0C433489">
        <w:rPr>
          <w:rFonts w:ascii="Arial" w:hAnsi="Arial" w:cs="Arial"/>
          <w:sz w:val="24"/>
          <w:szCs w:val="24"/>
        </w:rPr>
        <w:t xml:space="preserve">ill </w:t>
      </w:r>
      <w:r w:rsidR="00237D53">
        <w:rPr>
          <w:rFonts w:ascii="Arial" w:hAnsi="Arial" w:cs="Arial"/>
          <w:sz w:val="24"/>
          <w:szCs w:val="24"/>
        </w:rPr>
        <w:t>instead.</w:t>
      </w:r>
      <w:r w:rsidR="4CB9D20B" w:rsidRPr="1F5E9562">
        <w:rPr>
          <w:rFonts w:ascii="Arial" w:hAnsi="Arial" w:cs="Arial"/>
          <w:sz w:val="24"/>
          <w:szCs w:val="24"/>
        </w:rPr>
        <w:t xml:space="preserve"> The argument Heidensohn is making</w:t>
      </w:r>
      <w:r w:rsidR="00244450">
        <w:rPr>
          <w:rFonts w:ascii="Arial" w:hAnsi="Arial" w:cs="Arial"/>
          <w:sz w:val="24"/>
          <w:szCs w:val="24"/>
        </w:rPr>
        <w:t xml:space="preserve"> </w:t>
      </w:r>
      <w:r w:rsidR="4CB9D20B" w:rsidRPr="1F5E9562">
        <w:rPr>
          <w:rFonts w:ascii="Arial" w:hAnsi="Arial" w:cs="Arial"/>
          <w:sz w:val="24"/>
          <w:szCs w:val="24"/>
        </w:rPr>
        <w:t>is</w:t>
      </w:r>
      <w:r w:rsidR="604EBCE5" w:rsidRPr="1F5E9562">
        <w:rPr>
          <w:rFonts w:ascii="Arial" w:hAnsi="Arial" w:cs="Arial"/>
          <w:sz w:val="24"/>
          <w:szCs w:val="24"/>
        </w:rPr>
        <w:t xml:space="preserve"> that</w:t>
      </w:r>
      <w:r w:rsidR="4CB9D20B" w:rsidRPr="1F5E9562">
        <w:rPr>
          <w:rFonts w:ascii="Arial" w:hAnsi="Arial" w:cs="Arial"/>
          <w:sz w:val="24"/>
          <w:szCs w:val="24"/>
        </w:rPr>
        <w:t xml:space="preserve"> woman </w:t>
      </w:r>
      <w:proofErr w:type="gramStart"/>
      <w:r w:rsidR="4CB9D20B" w:rsidRPr="1F5E9562">
        <w:rPr>
          <w:rFonts w:ascii="Arial" w:hAnsi="Arial" w:cs="Arial"/>
          <w:sz w:val="24"/>
          <w:szCs w:val="24"/>
        </w:rPr>
        <w:t>are</w:t>
      </w:r>
      <w:proofErr w:type="gramEnd"/>
      <w:r w:rsidR="4CB9D20B" w:rsidRPr="1F5E9562">
        <w:rPr>
          <w:rFonts w:ascii="Arial" w:hAnsi="Arial" w:cs="Arial"/>
          <w:sz w:val="24"/>
          <w:szCs w:val="24"/>
        </w:rPr>
        <w:t xml:space="preserve"> seen as the </w:t>
      </w:r>
      <w:r w:rsidR="00B5596E" w:rsidRPr="1F5E9562">
        <w:rPr>
          <w:rFonts w:ascii="Arial" w:hAnsi="Arial" w:cs="Arial"/>
          <w:sz w:val="24"/>
          <w:szCs w:val="24"/>
        </w:rPr>
        <w:t>nurturer</w:t>
      </w:r>
      <w:r w:rsidR="4CB9D20B" w:rsidRPr="1F5E9562">
        <w:rPr>
          <w:rFonts w:ascii="Arial" w:hAnsi="Arial" w:cs="Arial"/>
          <w:sz w:val="24"/>
          <w:szCs w:val="24"/>
        </w:rPr>
        <w:t xml:space="preserve"> and</w:t>
      </w:r>
      <w:r w:rsidR="2C0C44A4" w:rsidRPr="1F5E9562">
        <w:rPr>
          <w:rFonts w:ascii="Arial" w:hAnsi="Arial" w:cs="Arial"/>
          <w:sz w:val="24"/>
          <w:szCs w:val="24"/>
        </w:rPr>
        <w:t xml:space="preserve"> the </w:t>
      </w:r>
      <w:r w:rsidR="00B5596E" w:rsidRPr="1F5E9562">
        <w:rPr>
          <w:rFonts w:ascii="Arial" w:hAnsi="Arial" w:cs="Arial"/>
          <w:sz w:val="24"/>
          <w:szCs w:val="24"/>
        </w:rPr>
        <w:t>carer</w:t>
      </w:r>
      <w:r w:rsidR="2C0C44A4" w:rsidRPr="1F5E9562">
        <w:rPr>
          <w:rFonts w:ascii="Arial" w:hAnsi="Arial" w:cs="Arial"/>
          <w:sz w:val="24"/>
          <w:szCs w:val="24"/>
        </w:rPr>
        <w:t xml:space="preserve"> according to the female social norms</w:t>
      </w:r>
      <w:r w:rsidR="6AB129D5" w:rsidRPr="1F5E9562">
        <w:rPr>
          <w:rFonts w:ascii="Arial" w:hAnsi="Arial" w:cs="Arial"/>
          <w:sz w:val="24"/>
          <w:szCs w:val="24"/>
        </w:rPr>
        <w:t xml:space="preserve">, so women who do not meet the requirements according to their norms are viewed as </w:t>
      </w:r>
      <w:r w:rsidR="75F8F095" w:rsidRPr="1F5E9562">
        <w:rPr>
          <w:rFonts w:ascii="Arial" w:hAnsi="Arial" w:cs="Arial"/>
          <w:sz w:val="24"/>
          <w:szCs w:val="24"/>
        </w:rPr>
        <w:t>’sick’</w:t>
      </w:r>
      <w:r w:rsidR="007F010B">
        <w:rPr>
          <w:rFonts w:ascii="Arial" w:hAnsi="Arial" w:cs="Arial"/>
          <w:sz w:val="24"/>
          <w:szCs w:val="24"/>
        </w:rPr>
        <w:t xml:space="preserve">. </w:t>
      </w:r>
    </w:p>
    <w:p w14:paraId="793D1AA3" w14:textId="63518E66" w:rsidR="00516F5B" w:rsidRDefault="0095572A" w:rsidP="7BC4013C">
      <w:pPr>
        <w:spacing w:line="480" w:lineRule="auto"/>
        <w:rPr>
          <w:rFonts w:ascii="Arial" w:hAnsi="Arial" w:cs="Arial"/>
          <w:sz w:val="24"/>
          <w:szCs w:val="24"/>
        </w:rPr>
      </w:pPr>
      <w:r w:rsidRPr="0095572A">
        <w:rPr>
          <w:rFonts w:ascii="Arial" w:hAnsi="Arial" w:cs="Arial"/>
          <w:sz w:val="24"/>
          <w:szCs w:val="24"/>
        </w:rPr>
        <w:t>Pollack (1961</w:t>
      </w:r>
      <w:r w:rsidR="00116B9D">
        <w:rPr>
          <w:rFonts w:ascii="Arial" w:hAnsi="Arial" w:cs="Arial"/>
          <w:sz w:val="24"/>
          <w:szCs w:val="24"/>
        </w:rPr>
        <w:t xml:space="preserve"> cited in Newburn, 2017, p359</w:t>
      </w:r>
      <w:r w:rsidRPr="0095572A">
        <w:rPr>
          <w:rFonts w:ascii="Arial" w:hAnsi="Arial" w:cs="Arial"/>
          <w:sz w:val="24"/>
          <w:szCs w:val="24"/>
        </w:rPr>
        <w:t>),</w:t>
      </w:r>
      <w:r w:rsidR="005C6278">
        <w:rPr>
          <w:rFonts w:ascii="Arial" w:hAnsi="Arial" w:cs="Arial"/>
          <w:sz w:val="24"/>
          <w:szCs w:val="24"/>
        </w:rPr>
        <w:t xml:space="preserve"> on the other hand,</w:t>
      </w:r>
      <w:r w:rsidRPr="0095572A">
        <w:rPr>
          <w:rFonts w:ascii="Arial" w:hAnsi="Arial" w:cs="Arial"/>
          <w:sz w:val="24"/>
          <w:szCs w:val="24"/>
        </w:rPr>
        <w:t xml:space="preserve"> developed </w:t>
      </w:r>
      <w:r w:rsidR="005E68A7">
        <w:rPr>
          <w:rFonts w:ascii="Arial" w:hAnsi="Arial" w:cs="Arial"/>
          <w:sz w:val="24"/>
          <w:szCs w:val="24"/>
        </w:rPr>
        <w:t>a theory called the</w:t>
      </w:r>
      <w:r w:rsidR="009C3850">
        <w:rPr>
          <w:rFonts w:ascii="Arial" w:hAnsi="Arial" w:cs="Arial"/>
          <w:sz w:val="24"/>
          <w:szCs w:val="24"/>
        </w:rPr>
        <w:t xml:space="preserve"> </w:t>
      </w:r>
      <w:r w:rsidR="005E68A7">
        <w:rPr>
          <w:rFonts w:ascii="Arial" w:hAnsi="Arial" w:cs="Arial"/>
          <w:sz w:val="24"/>
          <w:szCs w:val="24"/>
        </w:rPr>
        <w:t>‘</w:t>
      </w:r>
      <w:r w:rsidR="009C3850">
        <w:rPr>
          <w:rFonts w:ascii="Arial" w:hAnsi="Arial" w:cs="Arial"/>
          <w:sz w:val="24"/>
          <w:szCs w:val="24"/>
        </w:rPr>
        <w:t xml:space="preserve">chivalry </w:t>
      </w:r>
      <w:r w:rsidR="000F4A75">
        <w:rPr>
          <w:rFonts w:ascii="Arial" w:hAnsi="Arial" w:cs="Arial"/>
          <w:sz w:val="24"/>
          <w:szCs w:val="24"/>
        </w:rPr>
        <w:t>theory</w:t>
      </w:r>
      <w:r w:rsidR="005E68A7">
        <w:rPr>
          <w:rFonts w:ascii="Arial" w:hAnsi="Arial" w:cs="Arial"/>
          <w:sz w:val="24"/>
          <w:szCs w:val="24"/>
        </w:rPr>
        <w:t>’</w:t>
      </w:r>
      <w:r w:rsidR="009C3850">
        <w:rPr>
          <w:rFonts w:ascii="Arial" w:hAnsi="Arial" w:cs="Arial"/>
          <w:sz w:val="24"/>
          <w:szCs w:val="24"/>
        </w:rPr>
        <w:t xml:space="preserve"> which suggest</w:t>
      </w:r>
      <w:r w:rsidR="00D64EDA">
        <w:rPr>
          <w:rFonts w:ascii="Arial" w:hAnsi="Arial" w:cs="Arial"/>
          <w:sz w:val="24"/>
          <w:szCs w:val="24"/>
        </w:rPr>
        <w:t>ed</w:t>
      </w:r>
      <w:r w:rsidR="007563AA">
        <w:rPr>
          <w:rFonts w:ascii="Arial" w:hAnsi="Arial" w:cs="Arial"/>
          <w:sz w:val="24"/>
          <w:szCs w:val="24"/>
        </w:rPr>
        <w:t xml:space="preserve"> </w:t>
      </w:r>
      <w:r w:rsidR="00074497">
        <w:rPr>
          <w:rFonts w:ascii="Arial" w:hAnsi="Arial" w:cs="Arial"/>
          <w:sz w:val="24"/>
          <w:szCs w:val="24"/>
        </w:rPr>
        <w:t>why</w:t>
      </w:r>
      <w:r w:rsidR="000F4A75">
        <w:rPr>
          <w:rFonts w:ascii="Arial" w:hAnsi="Arial" w:cs="Arial"/>
          <w:sz w:val="24"/>
          <w:szCs w:val="24"/>
        </w:rPr>
        <w:t xml:space="preserve"> female </w:t>
      </w:r>
      <w:r w:rsidR="0022592D">
        <w:rPr>
          <w:rFonts w:ascii="Arial" w:hAnsi="Arial" w:cs="Arial"/>
          <w:sz w:val="24"/>
          <w:szCs w:val="24"/>
        </w:rPr>
        <w:t>offending had much lower rates compared to male offending</w:t>
      </w:r>
      <w:r w:rsidR="00D64EDA">
        <w:rPr>
          <w:rFonts w:ascii="Arial" w:hAnsi="Arial" w:cs="Arial"/>
          <w:sz w:val="24"/>
          <w:szCs w:val="24"/>
        </w:rPr>
        <w:t xml:space="preserve"> in the early 20</w:t>
      </w:r>
      <w:r w:rsidR="00D64EDA" w:rsidRPr="00D64EDA">
        <w:rPr>
          <w:rFonts w:ascii="Arial" w:hAnsi="Arial" w:cs="Arial"/>
          <w:sz w:val="24"/>
          <w:szCs w:val="24"/>
          <w:vertAlign w:val="superscript"/>
        </w:rPr>
        <w:t>th</w:t>
      </w:r>
      <w:r w:rsidR="00D64EDA">
        <w:rPr>
          <w:rFonts w:ascii="Arial" w:hAnsi="Arial" w:cs="Arial"/>
          <w:sz w:val="24"/>
          <w:szCs w:val="24"/>
        </w:rPr>
        <w:t xml:space="preserve"> century</w:t>
      </w:r>
      <w:r w:rsidR="0022592D">
        <w:rPr>
          <w:rFonts w:ascii="Arial" w:hAnsi="Arial" w:cs="Arial"/>
          <w:sz w:val="24"/>
          <w:szCs w:val="24"/>
        </w:rPr>
        <w:t>, he</w:t>
      </w:r>
      <w:r w:rsidR="00074497">
        <w:rPr>
          <w:rFonts w:ascii="Arial" w:hAnsi="Arial" w:cs="Arial"/>
          <w:sz w:val="24"/>
          <w:szCs w:val="24"/>
        </w:rPr>
        <w:t xml:space="preserve"> </w:t>
      </w:r>
      <w:r w:rsidR="00F6773E">
        <w:rPr>
          <w:rFonts w:ascii="Arial" w:hAnsi="Arial" w:cs="Arial"/>
          <w:sz w:val="24"/>
          <w:szCs w:val="24"/>
        </w:rPr>
        <w:t xml:space="preserve">suggested that women were treated </w:t>
      </w:r>
      <w:r w:rsidR="001B4850">
        <w:rPr>
          <w:rFonts w:ascii="Arial" w:hAnsi="Arial" w:cs="Arial"/>
          <w:sz w:val="24"/>
          <w:szCs w:val="24"/>
        </w:rPr>
        <w:t>in a “lenient way” by the criminal justice system</w:t>
      </w:r>
      <w:r w:rsidR="002526F4">
        <w:rPr>
          <w:rFonts w:ascii="Arial" w:hAnsi="Arial" w:cs="Arial"/>
          <w:sz w:val="24"/>
          <w:szCs w:val="24"/>
        </w:rPr>
        <w:t xml:space="preserve">. </w:t>
      </w:r>
      <w:r w:rsidR="004235E7">
        <w:rPr>
          <w:rFonts w:ascii="Arial" w:hAnsi="Arial" w:cs="Arial"/>
          <w:sz w:val="24"/>
          <w:szCs w:val="24"/>
        </w:rPr>
        <w:t xml:space="preserve">According to </w:t>
      </w:r>
      <w:r w:rsidR="0089689D" w:rsidRPr="0089689D">
        <w:rPr>
          <w:rFonts w:ascii="Arial" w:hAnsi="Arial" w:cs="Arial"/>
          <w:sz w:val="24"/>
          <w:szCs w:val="24"/>
        </w:rPr>
        <w:t>Grabe, et al. (2006</w:t>
      </w:r>
      <w:r w:rsidR="00A64F6D">
        <w:rPr>
          <w:rFonts w:ascii="Arial" w:hAnsi="Arial" w:cs="Arial"/>
          <w:sz w:val="24"/>
          <w:szCs w:val="24"/>
        </w:rPr>
        <w:t xml:space="preserve"> p.139</w:t>
      </w:r>
      <w:r w:rsidR="00E2730F">
        <w:rPr>
          <w:rFonts w:ascii="Arial" w:hAnsi="Arial" w:cs="Arial"/>
          <w:sz w:val="24"/>
          <w:szCs w:val="24"/>
        </w:rPr>
        <w:t xml:space="preserve">) </w:t>
      </w:r>
      <w:r w:rsidR="00A64F6D">
        <w:rPr>
          <w:rFonts w:ascii="Arial" w:hAnsi="Arial" w:cs="Arial"/>
          <w:sz w:val="24"/>
          <w:szCs w:val="24"/>
        </w:rPr>
        <w:t xml:space="preserve">the chivalry hypothesis </w:t>
      </w:r>
      <w:r w:rsidR="00847E3A">
        <w:rPr>
          <w:rFonts w:ascii="Arial" w:hAnsi="Arial" w:cs="Arial"/>
          <w:sz w:val="24"/>
          <w:szCs w:val="24"/>
        </w:rPr>
        <w:t>vie</w:t>
      </w:r>
      <w:r w:rsidR="00A64F6D">
        <w:rPr>
          <w:rFonts w:ascii="Arial" w:hAnsi="Arial" w:cs="Arial"/>
          <w:sz w:val="24"/>
          <w:szCs w:val="24"/>
        </w:rPr>
        <w:t>ws</w:t>
      </w:r>
      <w:r w:rsidR="00847E3A">
        <w:rPr>
          <w:rFonts w:ascii="Arial" w:hAnsi="Arial" w:cs="Arial"/>
          <w:sz w:val="24"/>
          <w:szCs w:val="24"/>
        </w:rPr>
        <w:t xml:space="preserve"> women as</w:t>
      </w:r>
      <w:r w:rsidR="00A64F6D">
        <w:rPr>
          <w:rFonts w:ascii="Arial" w:hAnsi="Arial" w:cs="Arial"/>
          <w:sz w:val="24"/>
          <w:szCs w:val="24"/>
        </w:rPr>
        <w:t xml:space="preserve"> “weak and irrational”</w:t>
      </w:r>
      <w:r w:rsidR="00847E3A">
        <w:rPr>
          <w:rFonts w:ascii="Arial" w:hAnsi="Arial" w:cs="Arial"/>
          <w:sz w:val="24"/>
          <w:szCs w:val="24"/>
        </w:rPr>
        <w:t xml:space="preserve"> </w:t>
      </w:r>
      <w:r w:rsidR="002A2203">
        <w:rPr>
          <w:rFonts w:ascii="Arial" w:hAnsi="Arial" w:cs="Arial"/>
          <w:sz w:val="24"/>
          <w:szCs w:val="24"/>
        </w:rPr>
        <w:t xml:space="preserve">but Pollack </w:t>
      </w:r>
      <w:r w:rsidR="003F31AA">
        <w:rPr>
          <w:rFonts w:ascii="Arial" w:hAnsi="Arial" w:cs="Arial"/>
          <w:sz w:val="24"/>
          <w:szCs w:val="24"/>
        </w:rPr>
        <w:t>argued that “women are in many ways manipulative and deceitful”</w:t>
      </w:r>
      <w:r w:rsidR="00851929">
        <w:rPr>
          <w:rFonts w:ascii="Arial" w:hAnsi="Arial" w:cs="Arial"/>
          <w:sz w:val="24"/>
          <w:szCs w:val="24"/>
        </w:rPr>
        <w:t xml:space="preserve"> he said it was due to their</w:t>
      </w:r>
      <w:r w:rsidR="00B320DA">
        <w:rPr>
          <w:rFonts w:ascii="Arial" w:hAnsi="Arial" w:cs="Arial"/>
          <w:sz w:val="24"/>
          <w:szCs w:val="24"/>
        </w:rPr>
        <w:t xml:space="preserve"> “sexuality and biology”. </w:t>
      </w:r>
      <w:r w:rsidR="000106F5">
        <w:rPr>
          <w:rFonts w:ascii="Arial" w:hAnsi="Arial" w:cs="Arial"/>
          <w:sz w:val="24"/>
          <w:szCs w:val="24"/>
        </w:rPr>
        <w:t>Pollack</w:t>
      </w:r>
      <w:r w:rsidR="006B69D1">
        <w:rPr>
          <w:rFonts w:ascii="Arial" w:hAnsi="Arial" w:cs="Arial"/>
          <w:sz w:val="24"/>
          <w:szCs w:val="24"/>
        </w:rPr>
        <w:t xml:space="preserve"> (1961) suggest</w:t>
      </w:r>
      <w:r w:rsidR="00EC4EF7">
        <w:rPr>
          <w:rFonts w:ascii="Arial" w:hAnsi="Arial" w:cs="Arial"/>
          <w:sz w:val="24"/>
          <w:szCs w:val="24"/>
        </w:rPr>
        <w:t>ed that women in the 20</w:t>
      </w:r>
      <w:r w:rsidR="00EC4EF7" w:rsidRPr="00EC4EF7">
        <w:rPr>
          <w:rFonts w:ascii="Arial" w:hAnsi="Arial" w:cs="Arial"/>
          <w:sz w:val="24"/>
          <w:szCs w:val="24"/>
          <w:vertAlign w:val="superscript"/>
        </w:rPr>
        <w:t>th</w:t>
      </w:r>
      <w:r w:rsidR="00EC4EF7">
        <w:rPr>
          <w:rFonts w:ascii="Arial" w:hAnsi="Arial" w:cs="Arial"/>
          <w:sz w:val="24"/>
          <w:szCs w:val="24"/>
        </w:rPr>
        <w:t xml:space="preserve"> century were sneaky as he </w:t>
      </w:r>
      <w:r w:rsidR="00C60976">
        <w:rPr>
          <w:rFonts w:ascii="Arial" w:hAnsi="Arial" w:cs="Arial"/>
          <w:sz w:val="24"/>
          <w:szCs w:val="24"/>
        </w:rPr>
        <w:t xml:space="preserve">said that most male offending are instigated by women </w:t>
      </w:r>
      <w:r w:rsidR="00976534">
        <w:rPr>
          <w:rFonts w:ascii="Arial" w:hAnsi="Arial" w:cs="Arial"/>
          <w:sz w:val="24"/>
          <w:szCs w:val="24"/>
        </w:rPr>
        <w:t xml:space="preserve">and </w:t>
      </w:r>
      <w:r w:rsidR="00B57AC9">
        <w:rPr>
          <w:rFonts w:ascii="Arial" w:hAnsi="Arial" w:cs="Arial"/>
          <w:sz w:val="24"/>
          <w:szCs w:val="24"/>
        </w:rPr>
        <w:t xml:space="preserve">the crimes that women tend to commit “reflect their nature” </w:t>
      </w:r>
      <w:r w:rsidR="0085404F">
        <w:rPr>
          <w:rFonts w:ascii="Arial" w:hAnsi="Arial" w:cs="Arial"/>
          <w:sz w:val="24"/>
          <w:szCs w:val="24"/>
        </w:rPr>
        <w:t>and may be hidden, such as po</w:t>
      </w:r>
      <w:r w:rsidR="00431C01">
        <w:rPr>
          <w:rFonts w:ascii="Arial" w:hAnsi="Arial" w:cs="Arial"/>
          <w:sz w:val="24"/>
          <w:szCs w:val="24"/>
        </w:rPr>
        <w:t>isoning</w:t>
      </w:r>
      <w:r w:rsidR="00A56992">
        <w:rPr>
          <w:rFonts w:ascii="Arial" w:hAnsi="Arial" w:cs="Arial"/>
          <w:sz w:val="24"/>
          <w:szCs w:val="24"/>
        </w:rPr>
        <w:t>.</w:t>
      </w:r>
      <w:r w:rsidR="00327784">
        <w:rPr>
          <w:rFonts w:ascii="Arial" w:hAnsi="Arial" w:cs="Arial"/>
          <w:sz w:val="24"/>
          <w:szCs w:val="24"/>
        </w:rPr>
        <w:t xml:space="preserve"> However, women’s deviance today </w:t>
      </w:r>
      <w:r w:rsidR="00504120">
        <w:rPr>
          <w:rFonts w:ascii="Arial" w:hAnsi="Arial" w:cs="Arial"/>
          <w:sz w:val="24"/>
          <w:szCs w:val="24"/>
        </w:rPr>
        <w:t xml:space="preserve">according to the </w:t>
      </w:r>
      <w:r w:rsidR="0077280F">
        <w:rPr>
          <w:rFonts w:ascii="Arial" w:hAnsi="Arial" w:cs="Arial"/>
          <w:sz w:val="24"/>
          <w:szCs w:val="24"/>
        </w:rPr>
        <w:t>up-to-date</w:t>
      </w:r>
      <w:r w:rsidR="00504120">
        <w:rPr>
          <w:rFonts w:ascii="Arial" w:hAnsi="Arial" w:cs="Arial"/>
          <w:sz w:val="24"/>
          <w:szCs w:val="24"/>
        </w:rPr>
        <w:t xml:space="preserve"> statistics from the Ministry of Justice (202</w:t>
      </w:r>
      <w:r w:rsidR="0066005A">
        <w:rPr>
          <w:rFonts w:ascii="Arial" w:hAnsi="Arial" w:cs="Arial"/>
          <w:sz w:val="24"/>
          <w:szCs w:val="24"/>
        </w:rPr>
        <w:t>2</w:t>
      </w:r>
      <w:r w:rsidR="00504120">
        <w:rPr>
          <w:rFonts w:ascii="Arial" w:hAnsi="Arial" w:cs="Arial"/>
          <w:sz w:val="24"/>
          <w:szCs w:val="24"/>
        </w:rPr>
        <w:t xml:space="preserve">) women in England and Wales are </w:t>
      </w:r>
      <w:r w:rsidR="00516F5B">
        <w:rPr>
          <w:rFonts w:ascii="Arial" w:hAnsi="Arial" w:cs="Arial"/>
          <w:sz w:val="24"/>
          <w:szCs w:val="24"/>
        </w:rPr>
        <w:t>predominantly arrested fo</w:t>
      </w:r>
      <w:r w:rsidR="00060431">
        <w:rPr>
          <w:rFonts w:ascii="Arial" w:hAnsi="Arial" w:cs="Arial"/>
          <w:sz w:val="24"/>
          <w:szCs w:val="24"/>
        </w:rPr>
        <w:t>r is</w:t>
      </w:r>
      <w:r w:rsidR="00516F5B">
        <w:rPr>
          <w:rFonts w:ascii="Arial" w:hAnsi="Arial" w:cs="Arial"/>
          <w:sz w:val="24"/>
          <w:szCs w:val="24"/>
        </w:rPr>
        <w:t xml:space="preserve"> violence and </w:t>
      </w:r>
      <w:r w:rsidR="00060431">
        <w:rPr>
          <w:rFonts w:ascii="Arial" w:hAnsi="Arial" w:cs="Arial"/>
          <w:sz w:val="24"/>
          <w:szCs w:val="24"/>
        </w:rPr>
        <w:t xml:space="preserve">anti-social behaviour, so </w:t>
      </w:r>
      <w:r w:rsidR="00605DEB">
        <w:rPr>
          <w:rFonts w:ascii="Arial" w:hAnsi="Arial" w:cs="Arial"/>
          <w:sz w:val="24"/>
          <w:szCs w:val="24"/>
        </w:rPr>
        <w:t xml:space="preserve">comparing </w:t>
      </w:r>
      <w:r w:rsidR="007300B1">
        <w:rPr>
          <w:rFonts w:ascii="Arial" w:hAnsi="Arial" w:cs="Arial"/>
          <w:sz w:val="24"/>
          <w:szCs w:val="24"/>
        </w:rPr>
        <w:t xml:space="preserve">the chivalry theory </w:t>
      </w:r>
      <w:r w:rsidR="00A801F6">
        <w:rPr>
          <w:rFonts w:ascii="Arial" w:hAnsi="Arial" w:cs="Arial"/>
          <w:sz w:val="24"/>
          <w:szCs w:val="24"/>
        </w:rPr>
        <w:t>in the modern time</w:t>
      </w:r>
      <w:r w:rsidR="003C5C36">
        <w:rPr>
          <w:rFonts w:ascii="Arial" w:hAnsi="Arial" w:cs="Arial"/>
          <w:sz w:val="24"/>
          <w:szCs w:val="24"/>
        </w:rPr>
        <w:t xml:space="preserve">, it suggests that women’s behaviour over the years </w:t>
      </w:r>
      <w:r w:rsidR="00E90988">
        <w:rPr>
          <w:rFonts w:ascii="Arial" w:hAnsi="Arial" w:cs="Arial"/>
          <w:sz w:val="24"/>
          <w:szCs w:val="24"/>
        </w:rPr>
        <w:t xml:space="preserve">have no longer lived up to the expectation on </w:t>
      </w:r>
      <w:r w:rsidR="0048229C">
        <w:rPr>
          <w:rFonts w:ascii="Arial" w:hAnsi="Arial" w:cs="Arial"/>
          <w:sz w:val="24"/>
          <w:szCs w:val="24"/>
        </w:rPr>
        <w:t xml:space="preserve">being looked </w:t>
      </w:r>
      <w:proofErr w:type="gramStart"/>
      <w:r w:rsidR="0048229C">
        <w:rPr>
          <w:rFonts w:ascii="Arial" w:hAnsi="Arial" w:cs="Arial"/>
          <w:sz w:val="24"/>
          <w:szCs w:val="24"/>
        </w:rPr>
        <w:t>as</w:t>
      </w:r>
      <w:proofErr w:type="gramEnd"/>
      <w:r w:rsidR="0061698B">
        <w:rPr>
          <w:rFonts w:ascii="Arial" w:hAnsi="Arial" w:cs="Arial"/>
          <w:sz w:val="24"/>
          <w:szCs w:val="24"/>
        </w:rPr>
        <w:t xml:space="preserve"> carer or a nurturer. </w:t>
      </w:r>
      <w:r w:rsidR="00A801F6">
        <w:rPr>
          <w:rFonts w:ascii="Arial" w:hAnsi="Arial" w:cs="Arial"/>
          <w:sz w:val="24"/>
          <w:szCs w:val="24"/>
        </w:rPr>
        <w:t xml:space="preserve"> </w:t>
      </w:r>
    </w:p>
    <w:p w14:paraId="1CA62F0E" w14:textId="2B860B2B" w:rsidR="0089120B" w:rsidRPr="0066490A" w:rsidRDefault="002A5BF3" w:rsidP="002A5BF3">
      <w:pPr>
        <w:spacing w:line="480" w:lineRule="auto"/>
        <w:rPr>
          <w:rFonts w:ascii="Arial" w:hAnsi="Arial" w:cs="Arial"/>
          <w:sz w:val="24"/>
          <w:szCs w:val="24"/>
        </w:rPr>
      </w:pPr>
      <w:r>
        <w:rPr>
          <w:rFonts w:ascii="Arial" w:hAnsi="Arial" w:cs="Arial"/>
          <w:sz w:val="24"/>
          <w:szCs w:val="24"/>
        </w:rPr>
        <w:t xml:space="preserve">A case </w:t>
      </w:r>
      <w:r w:rsidR="002F5145">
        <w:rPr>
          <w:rFonts w:ascii="Arial" w:hAnsi="Arial" w:cs="Arial"/>
          <w:sz w:val="24"/>
          <w:szCs w:val="24"/>
        </w:rPr>
        <w:t xml:space="preserve">which suggests the chivalry theory taking place </w:t>
      </w:r>
      <w:r w:rsidR="00583BF4">
        <w:rPr>
          <w:rFonts w:ascii="Arial" w:hAnsi="Arial" w:cs="Arial"/>
          <w:sz w:val="24"/>
          <w:szCs w:val="24"/>
        </w:rPr>
        <w:t xml:space="preserve">is a case </w:t>
      </w:r>
      <w:r w:rsidR="007F3968">
        <w:rPr>
          <w:rFonts w:ascii="Arial" w:hAnsi="Arial" w:cs="Arial"/>
          <w:sz w:val="24"/>
          <w:szCs w:val="24"/>
        </w:rPr>
        <w:t xml:space="preserve">from </w:t>
      </w:r>
      <w:r w:rsidR="006A1165" w:rsidRPr="004E02B2">
        <w:rPr>
          <w:rFonts w:ascii="Arial" w:hAnsi="Arial" w:cs="Arial"/>
          <w:sz w:val="24"/>
          <w:szCs w:val="24"/>
        </w:rPr>
        <w:t>Bo</w:t>
      </w:r>
      <w:r w:rsidR="00E45642" w:rsidRPr="004E02B2">
        <w:rPr>
          <w:rFonts w:ascii="Arial" w:hAnsi="Arial" w:cs="Arial"/>
          <w:sz w:val="24"/>
          <w:szCs w:val="24"/>
        </w:rPr>
        <w:t>orse</w:t>
      </w:r>
      <w:r w:rsidR="00CF6FE7" w:rsidRPr="004E02B2">
        <w:rPr>
          <w:rFonts w:ascii="Arial" w:hAnsi="Arial" w:cs="Arial"/>
          <w:sz w:val="24"/>
          <w:szCs w:val="24"/>
        </w:rPr>
        <w:t xml:space="preserve"> </w:t>
      </w:r>
      <w:sdt>
        <w:sdtPr>
          <w:rPr>
            <w:rFonts w:ascii="Arial" w:hAnsi="Arial" w:cs="Arial"/>
            <w:sz w:val="24"/>
            <w:szCs w:val="24"/>
          </w:rPr>
          <w:id w:val="1328012304"/>
          <w:citation/>
        </w:sdtPr>
        <w:sdtEndPr/>
        <w:sdtContent>
          <w:r w:rsidR="00CF6FE7" w:rsidRPr="004E02B2">
            <w:rPr>
              <w:rFonts w:ascii="Arial" w:hAnsi="Arial" w:cs="Arial"/>
              <w:sz w:val="24"/>
              <w:szCs w:val="24"/>
            </w:rPr>
            <w:fldChar w:fldCharType="begin"/>
          </w:r>
          <w:r w:rsidR="00CF6FE7" w:rsidRPr="004E02B2">
            <w:rPr>
              <w:rFonts w:ascii="Arial" w:hAnsi="Arial" w:cs="Arial"/>
              <w:sz w:val="24"/>
              <w:szCs w:val="24"/>
            </w:rPr>
            <w:instrText xml:space="preserve">CITATION DrB87 \n  \l 2057 </w:instrText>
          </w:r>
          <w:r w:rsidR="00CF6FE7" w:rsidRPr="004E02B2">
            <w:rPr>
              <w:rFonts w:ascii="Arial" w:hAnsi="Arial" w:cs="Arial"/>
              <w:sz w:val="24"/>
              <w:szCs w:val="24"/>
            </w:rPr>
            <w:fldChar w:fldCharType="separate"/>
          </w:r>
          <w:r w:rsidR="00CF6FE7" w:rsidRPr="004E02B2">
            <w:rPr>
              <w:rFonts w:ascii="Arial" w:hAnsi="Arial" w:cs="Arial"/>
              <w:noProof/>
              <w:sz w:val="24"/>
              <w:szCs w:val="24"/>
            </w:rPr>
            <w:t>(1987)</w:t>
          </w:r>
          <w:r w:rsidR="00CF6FE7" w:rsidRPr="004E02B2">
            <w:rPr>
              <w:rFonts w:ascii="Arial" w:hAnsi="Arial" w:cs="Arial"/>
              <w:sz w:val="24"/>
              <w:szCs w:val="24"/>
            </w:rPr>
            <w:fldChar w:fldCharType="end"/>
          </w:r>
        </w:sdtContent>
      </w:sdt>
      <w:r w:rsidR="00583BF4">
        <w:rPr>
          <w:rFonts w:ascii="Arial" w:hAnsi="Arial" w:cs="Arial"/>
          <w:sz w:val="24"/>
          <w:szCs w:val="24"/>
        </w:rPr>
        <w:t>. Boorse (1987)</w:t>
      </w:r>
      <w:r>
        <w:rPr>
          <w:rFonts w:ascii="Arial" w:hAnsi="Arial" w:cs="Arial"/>
          <w:sz w:val="24"/>
          <w:szCs w:val="24"/>
        </w:rPr>
        <w:t xml:space="preserve"> </w:t>
      </w:r>
      <w:r w:rsidR="752D1F19" w:rsidRPr="004E02B2">
        <w:rPr>
          <w:rFonts w:ascii="Arial" w:hAnsi="Arial" w:cs="Arial"/>
          <w:sz w:val="24"/>
          <w:szCs w:val="24"/>
        </w:rPr>
        <w:t>highlights</w:t>
      </w:r>
      <w:r w:rsidR="004D5D9C" w:rsidRPr="004E02B2">
        <w:rPr>
          <w:rFonts w:ascii="Arial" w:hAnsi="Arial" w:cs="Arial"/>
          <w:sz w:val="24"/>
          <w:szCs w:val="24"/>
        </w:rPr>
        <w:t xml:space="preserve"> two different cases in </w:t>
      </w:r>
      <w:r w:rsidR="4598499C" w:rsidRPr="004E02B2">
        <w:rPr>
          <w:rFonts w:ascii="Arial" w:hAnsi="Arial" w:cs="Arial"/>
          <w:sz w:val="24"/>
          <w:szCs w:val="24"/>
        </w:rPr>
        <w:t>19</w:t>
      </w:r>
      <w:r w:rsidR="00CB6A26" w:rsidRPr="004E02B2">
        <w:rPr>
          <w:rFonts w:ascii="Arial" w:hAnsi="Arial" w:cs="Arial"/>
          <w:sz w:val="24"/>
          <w:szCs w:val="24"/>
        </w:rPr>
        <w:t xml:space="preserve">81 </w:t>
      </w:r>
      <w:r w:rsidR="00D85DBB" w:rsidRPr="004E02B2">
        <w:rPr>
          <w:rFonts w:ascii="Arial" w:hAnsi="Arial" w:cs="Arial"/>
          <w:sz w:val="24"/>
          <w:szCs w:val="24"/>
        </w:rPr>
        <w:t>where</w:t>
      </w:r>
      <w:r w:rsidR="00CB6A26" w:rsidRPr="004E02B2">
        <w:rPr>
          <w:rFonts w:ascii="Arial" w:hAnsi="Arial" w:cs="Arial"/>
          <w:sz w:val="24"/>
          <w:szCs w:val="24"/>
        </w:rPr>
        <w:t xml:space="preserve"> two British women had </w:t>
      </w:r>
      <w:r w:rsidR="003B4FB2" w:rsidRPr="004E02B2">
        <w:rPr>
          <w:rFonts w:ascii="Arial" w:hAnsi="Arial" w:cs="Arial"/>
          <w:sz w:val="24"/>
          <w:szCs w:val="24"/>
        </w:rPr>
        <w:lastRenderedPageBreak/>
        <w:t xml:space="preserve">their murder convictions </w:t>
      </w:r>
      <w:r w:rsidR="2D6B6DE7" w:rsidRPr="004E02B2">
        <w:rPr>
          <w:rFonts w:ascii="Arial" w:hAnsi="Arial" w:cs="Arial"/>
          <w:sz w:val="24"/>
          <w:szCs w:val="24"/>
        </w:rPr>
        <w:t xml:space="preserve">abolished </w:t>
      </w:r>
      <w:r w:rsidR="003B4FB2" w:rsidRPr="004E02B2">
        <w:rPr>
          <w:rFonts w:ascii="Arial" w:hAnsi="Arial" w:cs="Arial"/>
          <w:sz w:val="24"/>
          <w:szCs w:val="24"/>
        </w:rPr>
        <w:t xml:space="preserve">due to using the defence of </w:t>
      </w:r>
      <w:r w:rsidR="002E791D" w:rsidRPr="004E02B2">
        <w:rPr>
          <w:rFonts w:ascii="Arial" w:hAnsi="Arial" w:cs="Arial"/>
          <w:sz w:val="24"/>
          <w:szCs w:val="24"/>
        </w:rPr>
        <w:t>PMS (premenstrual syndrome)</w:t>
      </w:r>
      <w:r w:rsidR="00D85DBB" w:rsidRPr="004E02B2">
        <w:rPr>
          <w:rFonts w:ascii="Arial" w:hAnsi="Arial" w:cs="Arial"/>
          <w:sz w:val="24"/>
          <w:szCs w:val="24"/>
        </w:rPr>
        <w:t xml:space="preserve">. </w:t>
      </w:r>
      <w:r w:rsidR="000D521D" w:rsidRPr="004E02B2">
        <w:rPr>
          <w:rFonts w:ascii="Arial" w:hAnsi="Arial" w:cs="Arial"/>
          <w:sz w:val="24"/>
          <w:szCs w:val="24"/>
        </w:rPr>
        <w:t>P</w:t>
      </w:r>
      <w:r w:rsidR="002E791D" w:rsidRPr="004E02B2">
        <w:rPr>
          <w:rFonts w:ascii="Arial" w:hAnsi="Arial" w:cs="Arial"/>
          <w:sz w:val="24"/>
          <w:szCs w:val="24"/>
        </w:rPr>
        <w:t>MS</w:t>
      </w:r>
      <w:r w:rsidR="007545C4" w:rsidRPr="004E02B2">
        <w:rPr>
          <w:rFonts w:ascii="Arial" w:hAnsi="Arial" w:cs="Arial"/>
          <w:sz w:val="24"/>
          <w:szCs w:val="24"/>
        </w:rPr>
        <w:t xml:space="preserve">, according to the NHS </w:t>
      </w:r>
      <w:sdt>
        <w:sdtPr>
          <w:rPr>
            <w:rFonts w:ascii="Arial" w:hAnsi="Arial" w:cs="Arial"/>
            <w:sz w:val="24"/>
            <w:szCs w:val="24"/>
          </w:rPr>
          <w:id w:val="699366616"/>
          <w:citation/>
        </w:sdtPr>
        <w:sdtEndPr/>
        <w:sdtContent>
          <w:r w:rsidR="008558DA" w:rsidRPr="004E02B2">
            <w:rPr>
              <w:rFonts w:ascii="Arial" w:hAnsi="Arial" w:cs="Arial"/>
              <w:sz w:val="24"/>
              <w:szCs w:val="24"/>
            </w:rPr>
            <w:fldChar w:fldCharType="begin"/>
          </w:r>
          <w:r w:rsidR="008558DA" w:rsidRPr="004E02B2">
            <w:rPr>
              <w:rFonts w:ascii="Arial" w:hAnsi="Arial" w:cs="Arial"/>
              <w:sz w:val="24"/>
              <w:szCs w:val="24"/>
            </w:rPr>
            <w:instrText xml:space="preserve">CITATION NHS23 \n  \l 2057 </w:instrText>
          </w:r>
          <w:r w:rsidR="008558DA" w:rsidRPr="004E02B2">
            <w:rPr>
              <w:rFonts w:ascii="Arial" w:hAnsi="Arial" w:cs="Arial"/>
              <w:sz w:val="24"/>
              <w:szCs w:val="24"/>
            </w:rPr>
            <w:fldChar w:fldCharType="separate"/>
          </w:r>
          <w:r w:rsidR="008558DA" w:rsidRPr="004E02B2">
            <w:rPr>
              <w:rFonts w:ascii="Arial" w:hAnsi="Arial" w:cs="Arial"/>
              <w:noProof/>
              <w:sz w:val="24"/>
              <w:szCs w:val="24"/>
            </w:rPr>
            <w:t>(2023)</w:t>
          </w:r>
          <w:r w:rsidR="008558DA" w:rsidRPr="004E02B2">
            <w:rPr>
              <w:rFonts w:ascii="Arial" w:hAnsi="Arial" w:cs="Arial"/>
              <w:sz w:val="24"/>
              <w:szCs w:val="24"/>
            </w:rPr>
            <w:fldChar w:fldCharType="end"/>
          </w:r>
        </w:sdtContent>
      </w:sdt>
      <w:r w:rsidR="007545C4" w:rsidRPr="004E02B2">
        <w:rPr>
          <w:rFonts w:ascii="Arial" w:hAnsi="Arial" w:cs="Arial"/>
          <w:sz w:val="24"/>
          <w:szCs w:val="24"/>
        </w:rPr>
        <w:t xml:space="preserve">, </w:t>
      </w:r>
      <w:r w:rsidR="00CC6B4F" w:rsidRPr="004E02B2">
        <w:rPr>
          <w:rFonts w:ascii="Arial" w:hAnsi="Arial" w:cs="Arial"/>
          <w:sz w:val="24"/>
          <w:szCs w:val="24"/>
        </w:rPr>
        <w:t xml:space="preserve">“is the name for the symptoms women can experience in the weeks before their period”. </w:t>
      </w:r>
      <w:r w:rsidR="00D85DBB" w:rsidRPr="004E02B2">
        <w:rPr>
          <w:rFonts w:ascii="Arial" w:hAnsi="Arial" w:cs="Arial"/>
          <w:sz w:val="24"/>
          <w:szCs w:val="24"/>
        </w:rPr>
        <w:t>Sadie Craddock</w:t>
      </w:r>
      <w:r w:rsidR="009B38C4" w:rsidRPr="004E02B2">
        <w:rPr>
          <w:rFonts w:ascii="Arial" w:hAnsi="Arial" w:cs="Arial"/>
          <w:sz w:val="24"/>
          <w:szCs w:val="24"/>
        </w:rPr>
        <w:t xml:space="preserve">, who had 45 previous convictions, stabbed a fellow barmaid </w:t>
      </w:r>
      <w:r w:rsidR="00295E76" w:rsidRPr="004E02B2">
        <w:rPr>
          <w:rFonts w:ascii="Arial" w:hAnsi="Arial" w:cs="Arial"/>
          <w:sz w:val="24"/>
          <w:szCs w:val="24"/>
        </w:rPr>
        <w:t xml:space="preserve">three times in the heart and Christine English, who crushed her lover to death with a car </w:t>
      </w:r>
      <w:r w:rsidR="008E04D6" w:rsidRPr="004E02B2">
        <w:rPr>
          <w:rFonts w:ascii="Arial" w:hAnsi="Arial" w:cs="Arial"/>
          <w:sz w:val="24"/>
          <w:szCs w:val="24"/>
        </w:rPr>
        <w:t>after they had an argument were both on trial for murder, however the testimony from the “</w:t>
      </w:r>
      <w:proofErr w:type="spellStart"/>
      <w:r w:rsidR="008E04D6" w:rsidRPr="004E02B2">
        <w:rPr>
          <w:rFonts w:ascii="Arial" w:hAnsi="Arial" w:cs="Arial"/>
          <w:sz w:val="24"/>
          <w:szCs w:val="24"/>
        </w:rPr>
        <w:t>worlds</w:t>
      </w:r>
      <w:proofErr w:type="spellEnd"/>
      <w:r w:rsidR="008E04D6" w:rsidRPr="004E02B2">
        <w:rPr>
          <w:rFonts w:ascii="Arial" w:hAnsi="Arial" w:cs="Arial"/>
          <w:sz w:val="24"/>
          <w:szCs w:val="24"/>
        </w:rPr>
        <w:t xml:space="preserve"> most prom</w:t>
      </w:r>
      <w:r w:rsidR="00772897" w:rsidRPr="004E02B2">
        <w:rPr>
          <w:rFonts w:ascii="Arial" w:hAnsi="Arial" w:cs="Arial"/>
          <w:sz w:val="24"/>
          <w:szCs w:val="24"/>
        </w:rPr>
        <w:t xml:space="preserve">inent advocate for PMS victims”, Dr Katharina Dalton, </w:t>
      </w:r>
      <w:r w:rsidR="007D758D" w:rsidRPr="004E02B2">
        <w:rPr>
          <w:rFonts w:ascii="Arial" w:hAnsi="Arial" w:cs="Arial"/>
          <w:sz w:val="24"/>
          <w:szCs w:val="24"/>
        </w:rPr>
        <w:t>convince</w:t>
      </w:r>
      <w:r w:rsidR="20ED8A71" w:rsidRPr="004E02B2">
        <w:rPr>
          <w:rFonts w:ascii="Arial" w:hAnsi="Arial" w:cs="Arial"/>
          <w:sz w:val="24"/>
          <w:szCs w:val="24"/>
        </w:rPr>
        <w:t>d</w:t>
      </w:r>
      <w:r w:rsidR="007D758D" w:rsidRPr="004E02B2">
        <w:rPr>
          <w:rFonts w:ascii="Arial" w:hAnsi="Arial" w:cs="Arial"/>
          <w:sz w:val="24"/>
          <w:szCs w:val="24"/>
        </w:rPr>
        <w:t xml:space="preserve"> the court </w:t>
      </w:r>
      <w:r w:rsidR="0083415B" w:rsidRPr="004E02B2">
        <w:rPr>
          <w:rFonts w:ascii="Arial" w:hAnsi="Arial" w:cs="Arial"/>
          <w:sz w:val="24"/>
          <w:szCs w:val="24"/>
        </w:rPr>
        <w:t xml:space="preserve">that the women had </w:t>
      </w:r>
      <w:r w:rsidR="2D258110" w:rsidRPr="004E02B2">
        <w:rPr>
          <w:rFonts w:ascii="Arial" w:hAnsi="Arial" w:cs="Arial"/>
          <w:sz w:val="24"/>
          <w:szCs w:val="24"/>
        </w:rPr>
        <w:t xml:space="preserve">diminished responsibility due to </w:t>
      </w:r>
      <w:r w:rsidR="005447EB" w:rsidRPr="004E02B2">
        <w:rPr>
          <w:rFonts w:ascii="Arial" w:hAnsi="Arial" w:cs="Arial"/>
          <w:sz w:val="24"/>
          <w:szCs w:val="24"/>
        </w:rPr>
        <w:t xml:space="preserve">PMS, </w:t>
      </w:r>
      <w:r w:rsidR="38F2F0E9" w:rsidRPr="004E02B2">
        <w:rPr>
          <w:rFonts w:ascii="Arial" w:hAnsi="Arial" w:cs="Arial"/>
          <w:sz w:val="24"/>
          <w:szCs w:val="24"/>
        </w:rPr>
        <w:t xml:space="preserve">and </w:t>
      </w:r>
      <w:r w:rsidR="005447EB" w:rsidRPr="004E02B2">
        <w:rPr>
          <w:rFonts w:ascii="Arial" w:hAnsi="Arial" w:cs="Arial"/>
          <w:sz w:val="24"/>
          <w:szCs w:val="24"/>
        </w:rPr>
        <w:t xml:space="preserve">as a result </w:t>
      </w:r>
      <w:r w:rsidR="2358A005" w:rsidRPr="004E02B2">
        <w:rPr>
          <w:rFonts w:ascii="Arial" w:hAnsi="Arial" w:cs="Arial"/>
          <w:sz w:val="24"/>
          <w:szCs w:val="24"/>
        </w:rPr>
        <w:t>both</w:t>
      </w:r>
      <w:r w:rsidR="005447EB" w:rsidRPr="004E02B2">
        <w:rPr>
          <w:rFonts w:ascii="Arial" w:hAnsi="Arial" w:cs="Arial"/>
          <w:sz w:val="24"/>
          <w:szCs w:val="24"/>
        </w:rPr>
        <w:t xml:space="preserve"> women were charged </w:t>
      </w:r>
      <w:r w:rsidR="36AB6C79" w:rsidRPr="004E02B2">
        <w:rPr>
          <w:rFonts w:ascii="Arial" w:hAnsi="Arial" w:cs="Arial"/>
          <w:sz w:val="24"/>
          <w:szCs w:val="24"/>
        </w:rPr>
        <w:t>with</w:t>
      </w:r>
      <w:r w:rsidR="005447EB" w:rsidRPr="004E02B2">
        <w:rPr>
          <w:rFonts w:ascii="Arial" w:hAnsi="Arial" w:cs="Arial"/>
          <w:sz w:val="24"/>
          <w:szCs w:val="24"/>
        </w:rPr>
        <w:t xml:space="preserve"> manslaughter</w:t>
      </w:r>
      <w:r w:rsidR="041CB0BF" w:rsidRPr="004E02B2">
        <w:rPr>
          <w:rFonts w:ascii="Arial" w:hAnsi="Arial" w:cs="Arial"/>
          <w:sz w:val="24"/>
          <w:szCs w:val="24"/>
        </w:rPr>
        <w:t xml:space="preserve"> and</w:t>
      </w:r>
      <w:r w:rsidR="00921782">
        <w:rPr>
          <w:rFonts w:ascii="Arial" w:hAnsi="Arial" w:cs="Arial"/>
          <w:sz w:val="24"/>
          <w:szCs w:val="24"/>
        </w:rPr>
        <w:t xml:space="preserve"> </w:t>
      </w:r>
      <w:r w:rsidR="041CB0BF" w:rsidRPr="004E02B2">
        <w:rPr>
          <w:rFonts w:ascii="Arial" w:hAnsi="Arial" w:cs="Arial"/>
          <w:sz w:val="24"/>
          <w:szCs w:val="24"/>
        </w:rPr>
        <w:t>received very light sentences.</w:t>
      </w:r>
      <w:r w:rsidR="00853FB6">
        <w:rPr>
          <w:rFonts w:ascii="Arial" w:hAnsi="Arial" w:cs="Arial"/>
          <w:sz w:val="24"/>
          <w:szCs w:val="24"/>
        </w:rPr>
        <w:t xml:space="preserve"> Th</w:t>
      </w:r>
      <w:r w:rsidR="00135ACF">
        <w:rPr>
          <w:rFonts w:ascii="Arial" w:hAnsi="Arial" w:cs="Arial"/>
          <w:sz w:val="24"/>
          <w:szCs w:val="24"/>
        </w:rPr>
        <w:t>ese</w:t>
      </w:r>
      <w:r w:rsidR="00853FB6">
        <w:rPr>
          <w:rFonts w:ascii="Arial" w:hAnsi="Arial" w:cs="Arial"/>
          <w:sz w:val="24"/>
          <w:szCs w:val="24"/>
        </w:rPr>
        <w:t xml:space="preserve"> case</w:t>
      </w:r>
      <w:r w:rsidR="00135ACF">
        <w:rPr>
          <w:rFonts w:ascii="Arial" w:hAnsi="Arial" w:cs="Arial"/>
          <w:sz w:val="24"/>
          <w:szCs w:val="24"/>
        </w:rPr>
        <w:t>s</w:t>
      </w:r>
      <w:r w:rsidR="00853FB6">
        <w:rPr>
          <w:rFonts w:ascii="Arial" w:hAnsi="Arial" w:cs="Arial"/>
          <w:sz w:val="24"/>
          <w:szCs w:val="24"/>
        </w:rPr>
        <w:t xml:space="preserve"> </w:t>
      </w:r>
      <w:proofErr w:type="gramStart"/>
      <w:r w:rsidR="00853FB6">
        <w:rPr>
          <w:rFonts w:ascii="Arial" w:hAnsi="Arial" w:cs="Arial"/>
          <w:sz w:val="24"/>
          <w:szCs w:val="24"/>
        </w:rPr>
        <w:t>is</w:t>
      </w:r>
      <w:proofErr w:type="gramEnd"/>
      <w:r w:rsidR="00853FB6">
        <w:rPr>
          <w:rFonts w:ascii="Arial" w:hAnsi="Arial" w:cs="Arial"/>
          <w:sz w:val="24"/>
          <w:szCs w:val="24"/>
        </w:rPr>
        <w:t xml:space="preserve"> important </w:t>
      </w:r>
      <w:r w:rsidR="00D44136">
        <w:rPr>
          <w:rFonts w:ascii="Arial" w:hAnsi="Arial" w:cs="Arial"/>
          <w:sz w:val="24"/>
          <w:szCs w:val="24"/>
        </w:rPr>
        <w:t xml:space="preserve">for double </w:t>
      </w:r>
      <w:r w:rsidR="00155C10">
        <w:rPr>
          <w:rFonts w:ascii="Arial" w:hAnsi="Arial" w:cs="Arial"/>
          <w:sz w:val="24"/>
          <w:szCs w:val="24"/>
        </w:rPr>
        <w:t>deviance because</w:t>
      </w:r>
      <w:r w:rsidR="00B96EA5">
        <w:rPr>
          <w:rFonts w:ascii="Arial" w:hAnsi="Arial" w:cs="Arial"/>
          <w:sz w:val="24"/>
          <w:szCs w:val="24"/>
        </w:rPr>
        <w:t xml:space="preserve"> </w:t>
      </w:r>
      <w:r w:rsidR="009832E8">
        <w:rPr>
          <w:rFonts w:ascii="Arial" w:hAnsi="Arial" w:cs="Arial"/>
          <w:sz w:val="24"/>
          <w:szCs w:val="24"/>
        </w:rPr>
        <w:t>it shows that the two women</w:t>
      </w:r>
      <w:r w:rsidR="00921782">
        <w:rPr>
          <w:rFonts w:ascii="Arial" w:hAnsi="Arial" w:cs="Arial"/>
          <w:sz w:val="24"/>
          <w:szCs w:val="24"/>
        </w:rPr>
        <w:t xml:space="preserve"> </w:t>
      </w:r>
      <w:r w:rsidR="00B8752C">
        <w:rPr>
          <w:rFonts w:ascii="Arial" w:hAnsi="Arial" w:cs="Arial"/>
          <w:sz w:val="24"/>
          <w:szCs w:val="24"/>
        </w:rPr>
        <w:t xml:space="preserve">had escaped murder convictions due to the defence that only allows </w:t>
      </w:r>
      <w:r w:rsidR="00135ACF">
        <w:rPr>
          <w:rFonts w:ascii="Arial" w:hAnsi="Arial" w:cs="Arial"/>
          <w:sz w:val="24"/>
          <w:szCs w:val="24"/>
        </w:rPr>
        <w:t>women to have. Had these cases be</w:t>
      </w:r>
      <w:r w:rsidR="00611E79">
        <w:rPr>
          <w:rFonts w:ascii="Arial" w:hAnsi="Arial" w:cs="Arial"/>
          <w:sz w:val="24"/>
          <w:szCs w:val="24"/>
        </w:rPr>
        <w:t>en two males, they would not have been allowed to use the defence of PMS.</w:t>
      </w:r>
      <w:r w:rsidR="00D44136">
        <w:rPr>
          <w:rFonts w:ascii="Arial" w:hAnsi="Arial" w:cs="Arial"/>
          <w:sz w:val="24"/>
          <w:szCs w:val="24"/>
        </w:rPr>
        <w:t xml:space="preserve"> </w:t>
      </w:r>
    </w:p>
    <w:p w14:paraId="00B9111E" w14:textId="7FB10725" w:rsidR="002A1ECE" w:rsidRDefault="003C34B6" w:rsidP="00355AEC">
      <w:pPr>
        <w:spacing w:line="480" w:lineRule="auto"/>
        <w:rPr>
          <w:rFonts w:ascii="Arial" w:hAnsi="Arial" w:cs="Arial"/>
          <w:sz w:val="24"/>
          <w:szCs w:val="24"/>
        </w:rPr>
      </w:pPr>
      <w:r>
        <w:rPr>
          <w:rFonts w:ascii="Arial" w:hAnsi="Arial" w:cs="Arial"/>
          <w:sz w:val="24"/>
          <w:szCs w:val="24"/>
        </w:rPr>
        <w:t xml:space="preserve">A more modern </w:t>
      </w:r>
      <w:r w:rsidR="0077280F">
        <w:rPr>
          <w:rFonts w:ascii="Arial" w:hAnsi="Arial" w:cs="Arial"/>
          <w:sz w:val="24"/>
          <w:szCs w:val="24"/>
        </w:rPr>
        <w:t>article</w:t>
      </w:r>
      <w:r>
        <w:rPr>
          <w:rFonts w:ascii="Arial" w:hAnsi="Arial" w:cs="Arial"/>
          <w:sz w:val="24"/>
          <w:szCs w:val="24"/>
        </w:rPr>
        <w:t xml:space="preserve"> from </w:t>
      </w:r>
      <w:proofErr w:type="spellStart"/>
      <w:r w:rsidR="00E640E2">
        <w:rPr>
          <w:rFonts w:ascii="Arial" w:hAnsi="Arial" w:cs="Arial"/>
          <w:sz w:val="24"/>
          <w:szCs w:val="24"/>
        </w:rPr>
        <w:t>Lightow</w:t>
      </w:r>
      <w:r w:rsidR="002A1ECE">
        <w:rPr>
          <w:rFonts w:ascii="Arial" w:hAnsi="Arial" w:cs="Arial"/>
          <w:sz w:val="24"/>
          <w:szCs w:val="24"/>
        </w:rPr>
        <w:t>lers</w:t>
      </w:r>
      <w:proofErr w:type="spellEnd"/>
      <w:r w:rsidR="002A1ECE">
        <w:rPr>
          <w:rFonts w:ascii="Arial" w:hAnsi="Arial" w:cs="Arial"/>
          <w:sz w:val="24"/>
          <w:szCs w:val="24"/>
        </w:rPr>
        <w:t xml:space="preserve"> </w:t>
      </w:r>
      <w:sdt>
        <w:sdtPr>
          <w:rPr>
            <w:rFonts w:ascii="Arial" w:hAnsi="Arial" w:cs="Arial"/>
            <w:sz w:val="24"/>
            <w:szCs w:val="24"/>
          </w:rPr>
          <w:id w:val="551895255"/>
          <w:citation/>
        </w:sdtPr>
        <w:sdtEndPr/>
        <w:sdtContent>
          <w:r w:rsidR="005B5201">
            <w:rPr>
              <w:rFonts w:ascii="Arial" w:hAnsi="Arial" w:cs="Arial"/>
              <w:sz w:val="24"/>
              <w:szCs w:val="24"/>
            </w:rPr>
            <w:fldChar w:fldCharType="begin"/>
          </w:r>
          <w:r w:rsidR="005B5201">
            <w:rPr>
              <w:rFonts w:ascii="Arial" w:hAnsi="Arial" w:cs="Arial"/>
              <w:sz w:val="24"/>
              <w:szCs w:val="24"/>
            </w:rPr>
            <w:instrText xml:space="preserve">CITATION Lig18 \n  \l 2057 </w:instrText>
          </w:r>
          <w:r w:rsidR="005B5201">
            <w:rPr>
              <w:rFonts w:ascii="Arial" w:hAnsi="Arial" w:cs="Arial"/>
              <w:sz w:val="24"/>
              <w:szCs w:val="24"/>
            </w:rPr>
            <w:fldChar w:fldCharType="separate"/>
          </w:r>
          <w:r w:rsidR="005B5201" w:rsidRPr="005B5201">
            <w:rPr>
              <w:rFonts w:ascii="Arial" w:hAnsi="Arial" w:cs="Arial"/>
              <w:noProof/>
              <w:sz w:val="24"/>
              <w:szCs w:val="24"/>
            </w:rPr>
            <w:t>(2018)</w:t>
          </w:r>
          <w:r w:rsidR="005B5201">
            <w:rPr>
              <w:rFonts w:ascii="Arial" w:hAnsi="Arial" w:cs="Arial"/>
              <w:sz w:val="24"/>
              <w:szCs w:val="24"/>
            </w:rPr>
            <w:fldChar w:fldCharType="end"/>
          </w:r>
        </w:sdtContent>
      </w:sdt>
      <w:r w:rsidR="00653F84">
        <w:rPr>
          <w:rFonts w:ascii="Arial" w:hAnsi="Arial" w:cs="Arial"/>
          <w:sz w:val="24"/>
          <w:szCs w:val="24"/>
        </w:rPr>
        <w:t>, in her</w:t>
      </w:r>
      <w:r w:rsidR="00B00BA5">
        <w:rPr>
          <w:rFonts w:ascii="Arial" w:hAnsi="Arial" w:cs="Arial"/>
          <w:sz w:val="24"/>
          <w:szCs w:val="24"/>
        </w:rPr>
        <w:t xml:space="preserve"> article “</w:t>
      </w:r>
      <w:r w:rsidR="00997266">
        <w:rPr>
          <w:rFonts w:ascii="Arial" w:hAnsi="Arial" w:cs="Arial"/>
          <w:sz w:val="24"/>
          <w:szCs w:val="24"/>
        </w:rPr>
        <w:t>Drunk and Doubly Deviant? the Role of Gender and Intoxication in sentencing Assault Offences”</w:t>
      </w:r>
      <w:r w:rsidR="002A2F4A">
        <w:rPr>
          <w:rFonts w:ascii="Arial" w:hAnsi="Arial" w:cs="Arial"/>
          <w:sz w:val="24"/>
          <w:szCs w:val="24"/>
        </w:rPr>
        <w:t xml:space="preserve"> </w:t>
      </w:r>
      <w:r w:rsidR="00761DDF">
        <w:rPr>
          <w:rFonts w:ascii="Arial" w:hAnsi="Arial" w:cs="Arial"/>
          <w:sz w:val="24"/>
          <w:szCs w:val="24"/>
        </w:rPr>
        <w:t>suggest</w:t>
      </w:r>
      <w:r w:rsidR="4E484E0E">
        <w:rPr>
          <w:rFonts w:ascii="Arial" w:hAnsi="Arial" w:cs="Arial"/>
          <w:sz w:val="24"/>
          <w:szCs w:val="24"/>
        </w:rPr>
        <w:t>s</w:t>
      </w:r>
      <w:r w:rsidR="00761DDF">
        <w:rPr>
          <w:rFonts w:ascii="Arial" w:hAnsi="Arial" w:cs="Arial"/>
          <w:sz w:val="24"/>
          <w:szCs w:val="24"/>
        </w:rPr>
        <w:t xml:space="preserve"> that </w:t>
      </w:r>
      <w:r w:rsidR="009143F6">
        <w:rPr>
          <w:rFonts w:ascii="Arial" w:hAnsi="Arial" w:cs="Arial"/>
          <w:sz w:val="24"/>
          <w:szCs w:val="24"/>
        </w:rPr>
        <w:t xml:space="preserve">women defendants who are charged with intoxication and assault offences are </w:t>
      </w:r>
      <w:r w:rsidR="00523FC3">
        <w:rPr>
          <w:rFonts w:ascii="Arial" w:hAnsi="Arial" w:cs="Arial"/>
          <w:sz w:val="24"/>
          <w:szCs w:val="24"/>
        </w:rPr>
        <w:t xml:space="preserve">dealt </w:t>
      </w:r>
      <w:r w:rsidR="1571D815">
        <w:rPr>
          <w:rFonts w:ascii="Arial" w:hAnsi="Arial" w:cs="Arial"/>
          <w:sz w:val="24"/>
          <w:szCs w:val="24"/>
        </w:rPr>
        <w:t xml:space="preserve">with </w:t>
      </w:r>
      <w:r w:rsidR="009143F6">
        <w:rPr>
          <w:rFonts w:ascii="Arial" w:hAnsi="Arial" w:cs="Arial"/>
          <w:sz w:val="24"/>
          <w:szCs w:val="24"/>
        </w:rPr>
        <w:t xml:space="preserve">twice </w:t>
      </w:r>
      <w:r w:rsidR="00523FC3">
        <w:rPr>
          <w:rFonts w:ascii="Arial" w:hAnsi="Arial" w:cs="Arial"/>
          <w:sz w:val="24"/>
          <w:szCs w:val="24"/>
        </w:rPr>
        <w:t>as harsh</w:t>
      </w:r>
      <w:r w:rsidR="2512F05A">
        <w:rPr>
          <w:rFonts w:ascii="Arial" w:hAnsi="Arial" w:cs="Arial"/>
          <w:sz w:val="24"/>
          <w:szCs w:val="24"/>
        </w:rPr>
        <w:t>ly</w:t>
      </w:r>
      <w:r w:rsidR="00523FC3">
        <w:rPr>
          <w:rFonts w:ascii="Arial" w:hAnsi="Arial" w:cs="Arial"/>
          <w:sz w:val="24"/>
          <w:szCs w:val="24"/>
        </w:rPr>
        <w:t xml:space="preserve"> as men</w:t>
      </w:r>
      <w:r w:rsidR="00F45511">
        <w:rPr>
          <w:rFonts w:ascii="Arial" w:hAnsi="Arial" w:cs="Arial"/>
          <w:sz w:val="24"/>
          <w:szCs w:val="24"/>
        </w:rPr>
        <w:t xml:space="preserve"> in the </w:t>
      </w:r>
      <w:r w:rsidR="00335D3C" w:rsidRPr="00E74A03">
        <w:rPr>
          <w:rFonts w:ascii="Arial" w:hAnsi="Arial" w:cs="Arial"/>
          <w:sz w:val="24"/>
          <w:szCs w:val="24"/>
        </w:rPr>
        <w:t>criminal justice system</w:t>
      </w:r>
      <w:r w:rsidR="00335D3C">
        <w:rPr>
          <w:rFonts w:ascii="Arial" w:hAnsi="Arial" w:cs="Arial"/>
          <w:sz w:val="24"/>
          <w:szCs w:val="24"/>
        </w:rPr>
        <w:t xml:space="preserve">. </w:t>
      </w:r>
      <w:r w:rsidR="008323C0">
        <w:rPr>
          <w:rFonts w:ascii="Arial" w:hAnsi="Arial" w:cs="Arial"/>
          <w:sz w:val="24"/>
          <w:szCs w:val="24"/>
        </w:rPr>
        <w:t>When it comes to the female defendant</w:t>
      </w:r>
      <w:r w:rsidR="5FB2F1DF">
        <w:rPr>
          <w:rFonts w:ascii="Arial" w:hAnsi="Arial" w:cs="Arial"/>
          <w:sz w:val="24"/>
          <w:szCs w:val="24"/>
        </w:rPr>
        <w:t>,</w:t>
      </w:r>
      <w:r w:rsidR="008323C0">
        <w:rPr>
          <w:rFonts w:ascii="Arial" w:hAnsi="Arial" w:cs="Arial"/>
          <w:sz w:val="24"/>
          <w:szCs w:val="24"/>
        </w:rPr>
        <w:t xml:space="preserve"> </w:t>
      </w:r>
      <w:r w:rsidR="0021587B">
        <w:rPr>
          <w:rFonts w:ascii="Arial" w:hAnsi="Arial" w:cs="Arial"/>
          <w:sz w:val="24"/>
          <w:szCs w:val="24"/>
        </w:rPr>
        <w:t xml:space="preserve">the court looks </w:t>
      </w:r>
      <w:r w:rsidR="60F7DF18">
        <w:rPr>
          <w:rFonts w:ascii="Arial" w:hAnsi="Arial" w:cs="Arial"/>
          <w:sz w:val="24"/>
          <w:szCs w:val="24"/>
        </w:rPr>
        <w:t xml:space="preserve">for </w:t>
      </w:r>
      <w:r w:rsidR="0021587B">
        <w:rPr>
          <w:rFonts w:ascii="Arial" w:hAnsi="Arial" w:cs="Arial"/>
          <w:sz w:val="24"/>
          <w:szCs w:val="24"/>
        </w:rPr>
        <w:t xml:space="preserve">a history of alcohol misuse and </w:t>
      </w:r>
      <w:r w:rsidR="16034CC8">
        <w:rPr>
          <w:rFonts w:ascii="Arial" w:hAnsi="Arial" w:cs="Arial"/>
          <w:sz w:val="24"/>
          <w:szCs w:val="24"/>
        </w:rPr>
        <w:t>considers</w:t>
      </w:r>
      <w:r w:rsidR="00AA5DB2">
        <w:rPr>
          <w:rFonts w:ascii="Arial" w:hAnsi="Arial" w:cs="Arial"/>
          <w:sz w:val="24"/>
          <w:szCs w:val="24"/>
        </w:rPr>
        <w:t xml:space="preserve"> previous cases that </w:t>
      </w:r>
      <w:r w:rsidR="1AB06294">
        <w:rPr>
          <w:rFonts w:ascii="Arial" w:hAnsi="Arial" w:cs="Arial"/>
          <w:sz w:val="24"/>
          <w:szCs w:val="24"/>
        </w:rPr>
        <w:t xml:space="preserve">the </w:t>
      </w:r>
      <w:r w:rsidR="00AA5DB2">
        <w:rPr>
          <w:rFonts w:ascii="Arial" w:hAnsi="Arial" w:cs="Arial"/>
          <w:sz w:val="24"/>
          <w:szCs w:val="24"/>
        </w:rPr>
        <w:t xml:space="preserve">individual has been on trial </w:t>
      </w:r>
      <w:r w:rsidR="798A0A7E">
        <w:rPr>
          <w:rFonts w:ascii="Arial" w:hAnsi="Arial" w:cs="Arial"/>
          <w:sz w:val="24"/>
          <w:szCs w:val="24"/>
        </w:rPr>
        <w:t xml:space="preserve">for </w:t>
      </w:r>
      <w:r w:rsidR="00AA5DB2">
        <w:rPr>
          <w:rFonts w:ascii="Arial" w:hAnsi="Arial" w:cs="Arial"/>
          <w:sz w:val="24"/>
          <w:szCs w:val="24"/>
        </w:rPr>
        <w:t>before</w:t>
      </w:r>
      <w:r w:rsidR="19E1EB2C">
        <w:rPr>
          <w:rFonts w:ascii="Arial" w:hAnsi="Arial" w:cs="Arial"/>
          <w:sz w:val="24"/>
          <w:szCs w:val="24"/>
        </w:rPr>
        <w:t>. The</w:t>
      </w:r>
      <w:r w:rsidR="0001172D">
        <w:rPr>
          <w:rFonts w:ascii="Arial" w:hAnsi="Arial" w:cs="Arial"/>
          <w:sz w:val="24"/>
          <w:szCs w:val="24"/>
        </w:rPr>
        <w:t xml:space="preserve"> court </w:t>
      </w:r>
      <w:r w:rsidR="3401570B">
        <w:rPr>
          <w:rFonts w:ascii="Arial" w:hAnsi="Arial" w:cs="Arial"/>
          <w:sz w:val="24"/>
          <w:szCs w:val="24"/>
        </w:rPr>
        <w:t xml:space="preserve">also </w:t>
      </w:r>
      <w:r w:rsidR="0001172D">
        <w:rPr>
          <w:rFonts w:ascii="Arial" w:hAnsi="Arial" w:cs="Arial"/>
          <w:sz w:val="24"/>
          <w:szCs w:val="24"/>
        </w:rPr>
        <w:t>looks at other aspects o</w:t>
      </w:r>
      <w:r w:rsidR="02F09609">
        <w:rPr>
          <w:rFonts w:ascii="Arial" w:hAnsi="Arial" w:cs="Arial"/>
          <w:sz w:val="24"/>
          <w:szCs w:val="24"/>
        </w:rPr>
        <w:t>f</w:t>
      </w:r>
      <w:r w:rsidR="0001172D">
        <w:rPr>
          <w:rFonts w:ascii="Arial" w:hAnsi="Arial" w:cs="Arial"/>
          <w:sz w:val="24"/>
          <w:szCs w:val="24"/>
        </w:rPr>
        <w:t xml:space="preserve"> the female defendant</w:t>
      </w:r>
      <w:r w:rsidR="278D535A">
        <w:rPr>
          <w:rFonts w:ascii="Arial" w:hAnsi="Arial" w:cs="Arial"/>
          <w:sz w:val="24"/>
          <w:szCs w:val="24"/>
        </w:rPr>
        <w:t>s’ life</w:t>
      </w:r>
      <w:r w:rsidR="0001172D">
        <w:rPr>
          <w:rFonts w:ascii="Arial" w:hAnsi="Arial" w:cs="Arial"/>
          <w:sz w:val="24"/>
          <w:szCs w:val="24"/>
        </w:rPr>
        <w:t xml:space="preserve"> such as her family life and </w:t>
      </w:r>
      <w:r w:rsidR="31080A3F">
        <w:rPr>
          <w:rFonts w:ascii="Arial" w:hAnsi="Arial" w:cs="Arial"/>
          <w:sz w:val="24"/>
          <w:szCs w:val="24"/>
        </w:rPr>
        <w:t>whether</w:t>
      </w:r>
      <w:r w:rsidR="0001172D">
        <w:rPr>
          <w:rFonts w:ascii="Arial" w:hAnsi="Arial" w:cs="Arial"/>
          <w:sz w:val="24"/>
          <w:szCs w:val="24"/>
        </w:rPr>
        <w:t xml:space="preserve"> she is in</w:t>
      </w:r>
      <w:r w:rsidR="0306B5DE">
        <w:rPr>
          <w:rFonts w:ascii="Arial" w:hAnsi="Arial" w:cs="Arial"/>
          <w:sz w:val="24"/>
          <w:szCs w:val="24"/>
        </w:rPr>
        <w:t>volved with</w:t>
      </w:r>
      <w:r w:rsidR="0001172D">
        <w:rPr>
          <w:rFonts w:ascii="Arial" w:hAnsi="Arial" w:cs="Arial"/>
          <w:sz w:val="24"/>
          <w:szCs w:val="24"/>
        </w:rPr>
        <w:t xml:space="preserve"> social </w:t>
      </w:r>
      <w:r w:rsidR="00D82979">
        <w:rPr>
          <w:rFonts w:ascii="Arial" w:hAnsi="Arial" w:cs="Arial"/>
          <w:sz w:val="24"/>
          <w:szCs w:val="24"/>
        </w:rPr>
        <w:t>services</w:t>
      </w:r>
      <w:r w:rsidR="008F2E89">
        <w:rPr>
          <w:rFonts w:ascii="Arial" w:hAnsi="Arial" w:cs="Arial"/>
          <w:sz w:val="24"/>
          <w:szCs w:val="24"/>
        </w:rPr>
        <w:t xml:space="preserve">. </w:t>
      </w:r>
      <w:r w:rsidR="00D56E54">
        <w:rPr>
          <w:rFonts w:ascii="Arial" w:hAnsi="Arial" w:cs="Arial"/>
          <w:sz w:val="24"/>
          <w:szCs w:val="24"/>
        </w:rPr>
        <w:t>According to ministry of Justice (2022)</w:t>
      </w:r>
      <w:r w:rsidR="0060685C">
        <w:rPr>
          <w:rFonts w:ascii="Arial" w:hAnsi="Arial" w:cs="Arial"/>
          <w:sz w:val="24"/>
          <w:szCs w:val="24"/>
        </w:rPr>
        <w:t xml:space="preserve">, </w:t>
      </w:r>
      <w:r w:rsidR="005B1F12">
        <w:rPr>
          <w:rFonts w:ascii="Arial" w:hAnsi="Arial" w:cs="Arial"/>
          <w:sz w:val="24"/>
          <w:szCs w:val="24"/>
        </w:rPr>
        <w:t xml:space="preserve">drunk and </w:t>
      </w:r>
      <w:r w:rsidR="00E703F6">
        <w:rPr>
          <w:rFonts w:ascii="Arial" w:hAnsi="Arial" w:cs="Arial"/>
          <w:sz w:val="24"/>
          <w:szCs w:val="24"/>
        </w:rPr>
        <w:t xml:space="preserve">disorderly are the </w:t>
      </w:r>
      <w:r w:rsidR="00C94101">
        <w:rPr>
          <w:rFonts w:ascii="Arial" w:hAnsi="Arial" w:cs="Arial"/>
          <w:sz w:val="24"/>
          <w:szCs w:val="24"/>
        </w:rPr>
        <w:t xml:space="preserve">highest proportion of Penalty Notices for Disorder (PNDs) </w:t>
      </w:r>
      <w:r w:rsidR="00BE513E">
        <w:rPr>
          <w:rFonts w:ascii="Arial" w:hAnsi="Arial" w:cs="Arial"/>
          <w:sz w:val="24"/>
          <w:szCs w:val="24"/>
        </w:rPr>
        <w:t>issued to females in 2021</w:t>
      </w:r>
      <w:r w:rsidR="0059769B">
        <w:rPr>
          <w:rFonts w:ascii="Arial" w:hAnsi="Arial" w:cs="Arial"/>
          <w:sz w:val="24"/>
          <w:szCs w:val="24"/>
        </w:rPr>
        <w:t xml:space="preserve"> with 48%</w:t>
      </w:r>
      <w:r w:rsidR="00A302CC">
        <w:rPr>
          <w:rFonts w:ascii="Arial" w:hAnsi="Arial" w:cs="Arial"/>
          <w:sz w:val="24"/>
          <w:szCs w:val="24"/>
        </w:rPr>
        <w:t>,</w:t>
      </w:r>
      <w:r w:rsidR="0059769B">
        <w:rPr>
          <w:rFonts w:ascii="Arial" w:hAnsi="Arial" w:cs="Arial"/>
          <w:sz w:val="24"/>
          <w:szCs w:val="24"/>
        </w:rPr>
        <w:t xml:space="preserve"> compared to males </w:t>
      </w:r>
      <w:r w:rsidR="00A302CC">
        <w:rPr>
          <w:rFonts w:ascii="Arial" w:hAnsi="Arial" w:cs="Arial"/>
          <w:sz w:val="24"/>
          <w:szCs w:val="24"/>
        </w:rPr>
        <w:t>with</w:t>
      </w:r>
      <w:r w:rsidR="0059769B">
        <w:rPr>
          <w:rFonts w:ascii="Arial" w:hAnsi="Arial" w:cs="Arial"/>
          <w:sz w:val="24"/>
          <w:szCs w:val="24"/>
        </w:rPr>
        <w:t xml:space="preserve"> 38%</w:t>
      </w:r>
      <w:r w:rsidR="00A302CC">
        <w:rPr>
          <w:rFonts w:ascii="Arial" w:hAnsi="Arial" w:cs="Arial"/>
          <w:sz w:val="24"/>
          <w:szCs w:val="24"/>
        </w:rPr>
        <w:t>.</w:t>
      </w:r>
      <w:r w:rsidR="00D260B1">
        <w:rPr>
          <w:rFonts w:ascii="Arial" w:hAnsi="Arial" w:cs="Arial"/>
          <w:sz w:val="24"/>
          <w:szCs w:val="24"/>
        </w:rPr>
        <w:t xml:space="preserve"> </w:t>
      </w:r>
      <w:r w:rsidR="00026EA2">
        <w:rPr>
          <w:rFonts w:ascii="Arial" w:hAnsi="Arial" w:cs="Arial"/>
          <w:sz w:val="24"/>
          <w:szCs w:val="24"/>
        </w:rPr>
        <w:t xml:space="preserve">Looking at the data </w:t>
      </w:r>
      <w:r w:rsidR="00810D0F">
        <w:rPr>
          <w:rFonts w:ascii="Arial" w:hAnsi="Arial" w:cs="Arial"/>
          <w:sz w:val="24"/>
          <w:szCs w:val="24"/>
        </w:rPr>
        <w:t>women</w:t>
      </w:r>
      <w:r w:rsidR="00E270DF">
        <w:rPr>
          <w:rFonts w:ascii="Arial" w:hAnsi="Arial" w:cs="Arial"/>
          <w:sz w:val="24"/>
          <w:szCs w:val="24"/>
        </w:rPr>
        <w:t xml:space="preserve"> </w:t>
      </w:r>
      <w:r w:rsidR="0094631F">
        <w:rPr>
          <w:rFonts w:ascii="Arial" w:hAnsi="Arial" w:cs="Arial"/>
          <w:sz w:val="24"/>
          <w:szCs w:val="24"/>
        </w:rPr>
        <w:t>offenders</w:t>
      </w:r>
      <w:r w:rsidR="00810D0F">
        <w:rPr>
          <w:rFonts w:ascii="Arial" w:hAnsi="Arial" w:cs="Arial"/>
          <w:sz w:val="24"/>
          <w:szCs w:val="24"/>
        </w:rPr>
        <w:t xml:space="preserve"> </w:t>
      </w:r>
      <w:r w:rsidR="0094631F">
        <w:rPr>
          <w:rFonts w:ascii="Arial" w:hAnsi="Arial" w:cs="Arial"/>
          <w:sz w:val="24"/>
          <w:szCs w:val="24"/>
        </w:rPr>
        <w:t>from</w:t>
      </w:r>
      <w:r w:rsidR="00DB6B6A">
        <w:rPr>
          <w:rFonts w:ascii="Arial" w:hAnsi="Arial" w:cs="Arial"/>
          <w:sz w:val="24"/>
          <w:szCs w:val="24"/>
        </w:rPr>
        <w:t xml:space="preserve"> </w:t>
      </w:r>
      <w:r w:rsidR="00E270DF">
        <w:rPr>
          <w:rFonts w:ascii="Arial" w:hAnsi="Arial" w:cs="Arial"/>
          <w:sz w:val="24"/>
          <w:szCs w:val="24"/>
        </w:rPr>
        <w:t xml:space="preserve">drunk and disorderly or public intoxication </w:t>
      </w:r>
      <w:r w:rsidR="0094631F">
        <w:rPr>
          <w:rFonts w:ascii="Arial" w:hAnsi="Arial" w:cs="Arial"/>
          <w:sz w:val="24"/>
          <w:szCs w:val="24"/>
        </w:rPr>
        <w:t>happens more than a ma</w:t>
      </w:r>
      <w:r w:rsidR="007F5DD1">
        <w:rPr>
          <w:rFonts w:ascii="Arial" w:hAnsi="Arial" w:cs="Arial"/>
          <w:sz w:val="24"/>
          <w:szCs w:val="24"/>
        </w:rPr>
        <w:t xml:space="preserve">n. </w:t>
      </w:r>
      <w:r w:rsidR="00E6738F">
        <w:rPr>
          <w:rFonts w:ascii="Arial" w:hAnsi="Arial" w:cs="Arial"/>
          <w:sz w:val="24"/>
          <w:szCs w:val="24"/>
        </w:rPr>
        <w:t>However,</w:t>
      </w:r>
      <w:r w:rsidR="007F5DD1">
        <w:rPr>
          <w:rFonts w:ascii="Arial" w:hAnsi="Arial" w:cs="Arial"/>
          <w:sz w:val="24"/>
          <w:szCs w:val="24"/>
        </w:rPr>
        <w:t xml:space="preserve"> a recent publication from the Ministry of Justice </w:t>
      </w:r>
      <w:r w:rsidR="007F5DD1">
        <w:rPr>
          <w:rFonts w:ascii="Arial" w:hAnsi="Arial" w:cs="Arial"/>
          <w:sz w:val="24"/>
          <w:szCs w:val="24"/>
        </w:rPr>
        <w:lastRenderedPageBreak/>
        <w:t>(202</w:t>
      </w:r>
      <w:r w:rsidR="00192E29">
        <w:rPr>
          <w:rFonts w:ascii="Arial" w:hAnsi="Arial" w:cs="Arial"/>
          <w:sz w:val="24"/>
          <w:szCs w:val="24"/>
        </w:rPr>
        <w:t>2, p.5</w:t>
      </w:r>
      <w:r w:rsidR="00CE11C9">
        <w:rPr>
          <w:rFonts w:ascii="Arial" w:hAnsi="Arial" w:cs="Arial"/>
          <w:sz w:val="24"/>
          <w:szCs w:val="24"/>
        </w:rPr>
        <w:t xml:space="preserve">) </w:t>
      </w:r>
      <w:r w:rsidR="00192E29">
        <w:rPr>
          <w:rFonts w:ascii="Arial" w:hAnsi="Arial" w:cs="Arial"/>
          <w:sz w:val="24"/>
          <w:szCs w:val="24"/>
        </w:rPr>
        <w:t xml:space="preserve">says female defendants </w:t>
      </w:r>
      <w:r w:rsidR="00017489">
        <w:rPr>
          <w:rFonts w:ascii="Arial" w:hAnsi="Arial" w:cs="Arial"/>
          <w:sz w:val="24"/>
          <w:szCs w:val="24"/>
        </w:rPr>
        <w:t>prosecuted at court were 14%</w:t>
      </w:r>
      <w:r w:rsidR="0061175E">
        <w:rPr>
          <w:rFonts w:ascii="Arial" w:hAnsi="Arial" w:cs="Arial"/>
          <w:sz w:val="24"/>
          <w:szCs w:val="24"/>
        </w:rPr>
        <w:t xml:space="preserve"> for indictable offence compared to male defendants with 23%. Furthermore </w:t>
      </w:r>
      <w:r w:rsidR="005D2556">
        <w:rPr>
          <w:rFonts w:ascii="Arial" w:hAnsi="Arial" w:cs="Arial"/>
          <w:sz w:val="24"/>
          <w:szCs w:val="24"/>
        </w:rPr>
        <w:t>in 2021, the average custodial sentence length for</w:t>
      </w:r>
      <w:r w:rsidR="00CE11C9">
        <w:rPr>
          <w:rFonts w:ascii="Arial" w:hAnsi="Arial" w:cs="Arial"/>
          <w:sz w:val="24"/>
          <w:szCs w:val="24"/>
        </w:rPr>
        <w:t xml:space="preserve"> a male offender was 22.7 months compared to female offenders with 14.5 months.</w:t>
      </w:r>
      <w:r w:rsidR="0061175E">
        <w:rPr>
          <w:rFonts w:ascii="Arial" w:hAnsi="Arial" w:cs="Arial"/>
          <w:sz w:val="24"/>
          <w:szCs w:val="24"/>
        </w:rPr>
        <w:t xml:space="preserve"> </w:t>
      </w:r>
      <w:r w:rsidR="0094631F">
        <w:rPr>
          <w:rFonts w:ascii="Arial" w:hAnsi="Arial" w:cs="Arial"/>
          <w:sz w:val="24"/>
          <w:szCs w:val="24"/>
        </w:rPr>
        <w:t xml:space="preserve"> </w:t>
      </w:r>
    </w:p>
    <w:p w14:paraId="557F12DF" w14:textId="2FC2960B" w:rsidR="00416813" w:rsidRDefault="0E60AD5B" w:rsidP="7BC4013C">
      <w:pPr>
        <w:spacing w:line="480" w:lineRule="auto"/>
        <w:rPr>
          <w:rFonts w:ascii="Arial" w:hAnsi="Arial" w:cs="Arial"/>
          <w:sz w:val="24"/>
          <w:szCs w:val="24"/>
        </w:rPr>
      </w:pPr>
      <w:r>
        <w:rPr>
          <w:rFonts w:ascii="Arial" w:hAnsi="Arial" w:cs="Arial"/>
          <w:sz w:val="24"/>
          <w:szCs w:val="24"/>
        </w:rPr>
        <w:t>W</w:t>
      </w:r>
      <w:r w:rsidR="005C3068">
        <w:rPr>
          <w:rFonts w:ascii="Arial" w:hAnsi="Arial" w:cs="Arial"/>
          <w:sz w:val="24"/>
          <w:szCs w:val="24"/>
        </w:rPr>
        <w:t xml:space="preserve">omen </w:t>
      </w:r>
      <w:r w:rsidR="00185723">
        <w:rPr>
          <w:rFonts w:ascii="Arial" w:hAnsi="Arial" w:cs="Arial"/>
          <w:sz w:val="24"/>
          <w:szCs w:val="24"/>
        </w:rPr>
        <w:t xml:space="preserve">who committed crimes </w:t>
      </w:r>
      <w:r w:rsidR="00F1544C">
        <w:rPr>
          <w:rFonts w:ascii="Arial" w:hAnsi="Arial" w:cs="Arial"/>
          <w:sz w:val="24"/>
          <w:szCs w:val="24"/>
        </w:rPr>
        <w:t xml:space="preserve">from </w:t>
      </w:r>
      <w:r w:rsidR="00EC3250">
        <w:rPr>
          <w:rFonts w:ascii="Arial" w:hAnsi="Arial" w:cs="Arial"/>
          <w:sz w:val="24"/>
          <w:szCs w:val="24"/>
        </w:rPr>
        <w:t>the late Victorian era to the Edwardian period</w:t>
      </w:r>
      <w:r w:rsidR="00C9565E">
        <w:rPr>
          <w:rFonts w:ascii="Arial" w:hAnsi="Arial" w:cs="Arial"/>
          <w:sz w:val="24"/>
          <w:szCs w:val="24"/>
        </w:rPr>
        <w:t xml:space="preserve">, were at a disadvantage </w:t>
      </w:r>
      <w:r w:rsidR="00FE3821">
        <w:rPr>
          <w:rFonts w:ascii="Arial" w:hAnsi="Arial" w:cs="Arial"/>
          <w:sz w:val="24"/>
          <w:szCs w:val="24"/>
        </w:rPr>
        <w:t>to the criminal justice system</w:t>
      </w:r>
      <w:r w:rsidR="30C686C5">
        <w:rPr>
          <w:rFonts w:ascii="Arial" w:hAnsi="Arial" w:cs="Arial"/>
          <w:sz w:val="24"/>
          <w:szCs w:val="24"/>
        </w:rPr>
        <w:t xml:space="preserve">, according to </w:t>
      </w:r>
      <w:r w:rsidR="30C686C5" w:rsidRPr="7BC4013C">
        <w:rPr>
          <w:rFonts w:ascii="Arial" w:hAnsi="Arial" w:cs="Arial"/>
          <w:sz w:val="24"/>
          <w:szCs w:val="24"/>
        </w:rPr>
        <w:t xml:space="preserve">Godfrey et al (2005), </w:t>
      </w:r>
      <w:r w:rsidR="00FE3821">
        <w:rPr>
          <w:rFonts w:ascii="Arial" w:hAnsi="Arial" w:cs="Arial"/>
          <w:sz w:val="24"/>
          <w:szCs w:val="24"/>
        </w:rPr>
        <w:t xml:space="preserve">not because of </w:t>
      </w:r>
      <w:r w:rsidR="00493593">
        <w:rPr>
          <w:rFonts w:ascii="Arial" w:hAnsi="Arial" w:cs="Arial"/>
          <w:sz w:val="24"/>
          <w:szCs w:val="24"/>
        </w:rPr>
        <w:t>gender bias</w:t>
      </w:r>
      <w:r w:rsidR="459CC74F">
        <w:rPr>
          <w:rFonts w:ascii="Arial" w:hAnsi="Arial" w:cs="Arial"/>
          <w:sz w:val="24"/>
          <w:szCs w:val="24"/>
        </w:rPr>
        <w:t>,</w:t>
      </w:r>
      <w:r w:rsidR="00493593">
        <w:rPr>
          <w:rFonts w:ascii="Arial" w:hAnsi="Arial" w:cs="Arial"/>
          <w:sz w:val="24"/>
          <w:szCs w:val="24"/>
        </w:rPr>
        <w:t xml:space="preserve"> but</w:t>
      </w:r>
      <w:r w:rsidR="003510E6">
        <w:rPr>
          <w:rFonts w:ascii="Arial" w:hAnsi="Arial" w:cs="Arial"/>
          <w:sz w:val="24"/>
          <w:szCs w:val="24"/>
        </w:rPr>
        <w:t xml:space="preserve"> from “gender-related contextual factors”</w:t>
      </w:r>
      <w:r w:rsidR="1F8AD85D">
        <w:rPr>
          <w:rFonts w:ascii="Arial" w:hAnsi="Arial" w:cs="Arial"/>
          <w:sz w:val="24"/>
          <w:szCs w:val="24"/>
        </w:rPr>
        <w:t>.</w:t>
      </w:r>
      <w:r w:rsidR="009D3154">
        <w:rPr>
          <w:rFonts w:ascii="Arial" w:hAnsi="Arial" w:cs="Arial"/>
          <w:sz w:val="24"/>
          <w:szCs w:val="24"/>
        </w:rPr>
        <w:t xml:space="preserve"> Godfrey et al looked </w:t>
      </w:r>
      <w:r w:rsidR="22576FB3">
        <w:rPr>
          <w:rFonts w:ascii="Arial" w:hAnsi="Arial" w:cs="Arial"/>
          <w:sz w:val="24"/>
          <w:szCs w:val="24"/>
        </w:rPr>
        <w:t>at</w:t>
      </w:r>
      <w:r w:rsidR="009D3154">
        <w:rPr>
          <w:rFonts w:ascii="Arial" w:hAnsi="Arial" w:cs="Arial"/>
          <w:sz w:val="24"/>
          <w:szCs w:val="24"/>
        </w:rPr>
        <w:t xml:space="preserve"> combined sources from </w:t>
      </w:r>
      <w:r w:rsidR="00AE4A3B">
        <w:rPr>
          <w:rFonts w:ascii="Arial" w:hAnsi="Arial" w:cs="Arial"/>
          <w:sz w:val="24"/>
          <w:szCs w:val="24"/>
        </w:rPr>
        <w:t>court cases to newspaper reports</w:t>
      </w:r>
      <w:r w:rsidR="001E511A">
        <w:rPr>
          <w:rFonts w:ascii="Arial" w:hAnsi="Arial" w:cs="Arial"/>
          <w:sz w:val="24"/>
          <w:szCs w:val="24"/>
        </w:rPr>
        <w:t xml:space="preserve"> </w:t>
      </w:r>
      <w:r w:rsidR="00281B8C">
        <w:rPr>
          <w:rFonts w:ascii="Arial" w:hAnsi="Arial" w:cs="Arial"/>
          <w:sz w:val="24"/>
          <w:szCs w:val="24"/>
        </w:rPr>
        <w:t>through four different contextual factors: severity of the ass</w:t>
      </w:r>
      <w:r w:rsidR="00D258B2">
        <w:rPr>
          <w:rFonts w:ascii="Arial" w:hAnsi="Arial" w:cs="Arial"/>
          <w:sz w:val="24"/>
          <w:szCs w:val="24"/>
        </w:rPr>
        <w:t>ault, bonds between victim and assailant, culpability, and evidence</w:t>
      </w:r>
      <w:r w:rsidR="0BADE3D0">
        <w:rPr>
          <w:rFonts w:ascii="Arial" w:hAnsi="Arial" w:cs="Arial"/>
          <w:sz w:val="24"/>
          <w:szCs w:val="24"/>
        </w:rPr>
        <w:t>, and</w:t>
      </w:r>
      <w:r w:rsidR="007B7B56">
        <w:rPr>
          <w:rFonts w:ascii="Arial" w:hAnsi="Arial" w:cs="Arial"/>
          <w:sz w:val="24"/>
          <w:szCs w:val="24"/>
        </w:rPr>
        <w:t xml:space="preserve"> </w:t>
      </w:r>
      <w:r w:rsidR="00311099">
        <w:rPr>
          <w:rFonts w:ascii="Arial" w:hAnsi="Arial" w:cs="Arial"/>
          <w:sz w:val="24"/>
          <w:szCs w:val="24"/>
        </w:rPr>
        <w:t>revealed that within their findings there was a</w:t>
      </w:r>
      <w:r w:rsidR="00E25C77">
        <w:rPr>
          <w:rFonts w:ascii="Arial" w:hAnsi="Arial" w:cs="Arial"/>
          <w:sz w:val="24"/>
          <w:szCs w:val="24"/>
        </w:rPr>
        <w:t>n assumption that ‘doubl</w:t>
      </w:r>
      <w:r w:rsidR="00CA1060">
        <w:rPr>
          <w:rFonts w:ascii="Arial" w:hAnsi="Arial" w:cs="Arial"/>
          <w:sz w:val="24"/>
          <w:szCs w:val="24"/>
        </w:rPr>
        <w:t xml:space="preserve">y deviant’ women </w:t>
      </w:r>
      <w:r w:rsidR="00BE0D22">
        <w:rPr>
          <w:rFonts w:ascii="Arial" w:hAnsi="Arial" w:cs="Arial"/>
          <w:sz w:val="24"/>
          <w:szCs w:val="24"/>
        </w:rPr>
        <w:t>were convicted more often</w:t>
      </w:r>
      <w:r w:rsidR="00600B22">
        <w:rPr>
          <w:rFonts w:ascii="Arial" w:hAnsi="Arial" w:cs="Arial"/>
          <w:sz w:val="24"/>
          <w:szCs w:val="24"/>
        </w:rPr>
        <w:t xml:space="preserve"> and</w:t>
      </w:r>
      <w:r w:rsidR="00BE0D22">
        <w:rPr>
          <w:rFonts w:ascii="Arial" w:hAnsi="Arial" w:cs="Arial"/>
          <w:sz w:val="24"/>
          <w:szCs w:val="24"/>
        </w:rPr>
        <w:t xml:space="preserve"> received higher penalties</w:t>
      </w:r>
      <w:r w:rsidR="00962F3F">
        <w:rPr>
          <w:rFonts w:ascii="Arial" w:hAnsi="Arial" w:cs="Arial"/>
          <w:sz w:val="24"/>
          <w:szCs w:val="24"/>
        </w:rPr>
        <w:t>, compared to the modern era</w:t>
      </w:r>
      <w:r w:rsidR="00600B22">
        <w:rPr>
          <w:rFonts w:ascii="Arial" w:hAnsi="Arial" w:cs="Arial"/>
          <w:sz w:val="24"/>
          <w:szCs w:val="24"/>
        </w:rPr>
        <w:t xml:space="preserve"> throughout the Victorian period. </w:t>
      </w:r>
      <w:r w:rsidR="00375173">
        <w:rPr>
          <w:rFonts w:ascii="Arial" w:hAnsi="Arial" w:cs="Arial"/>
          <w:sz w:val="24"/>
          <w:szCs w:val="24"/>
        </w:rPr>
        <w:t>However, Godfrey</w:t>
      </w:r>
      <w:r w:rsidR="00C330D4">
        <w:rPr>
          <w:rFonts w:ascii="Arial" w:hAnsi="Arial" w:cs="Arial"/>
          <w:sz w:val="24"/>
          <w:szCs w:val="24"/>
        </w:rPr>
        <w:t xml:space="preserve"> et al (2005)</w:t>
      </w:r>
      <w:r w:rsidR="007B3ED3">
        <w:rPr>
          <w:rFonts w:ascii="Arial" w:hAnsi="Arial" w:cs="Arial"/>
          <w:sz w:val="24"/>
          <w:szCs w:val="24"/>
        </w:rPr>
        <w:t xml:space="preserve"> and Embry</w:t>
      </w:r>
      <w:r w:rsidR="006E4663">
        <w:rPr>
          <w:rFonts w:ascii="Arial" w:hAnsi="Arial" w:cs="Arial"/>
          <w:sz w:val="24"/>
          <w:szCs w:val="24"/>
        </w:rPr>
        <w:t xml:space="preserve"> and Lyons </w:t>
      </w:r>
      <w:sdt>
        <w:sdtPr>
          <w:rPr>
            <w:rFonts w:ascii="Arial" w:hAnsi="Arial" w:cs="Arial"/>
            <w:sz w:val="24"/>
            <w:szCs w:val="24"/>
          </w:rPr>
          <w:id w:val="1075866832"/>
          <w:citation/>
        </w:sdtPr>
        <w:sdtEndPr/>
        <w:sdtContent>
          <w:r w:rsidR="006E4663">
            <w:rPr>
              <w:rFonts w:ascii="Arial" w:hAnsi="Arial" w:cs="Arial"/>
              <w:sz w:val="24"/>
              <w:szCs w:val="24"/>
            </w:rPr>
            <w:fldChar w:fldCharType="begin"/>
          </w:r>
          <w:r w:rsidR="006E4663">
            <w:rPr>
              <w:rFonts w:ascii="Arial" w:hAnsi="Arial" w:cs="Arial"/>
              <w:sz w:val="24"/>
              <w:szCs w:val="24"/>
            </w:rPr>
            <w:instrText xml:space="preserve">CITATION Emb12 \n  \l 2057 </w:instrText>
          </w:r>
          <w:r w:rsidR="006E4663">
            <w:rPr>
              <w:rFonts w:ascii="Arial" w:hAnsi="Arial" w:cs="Arial"/>
              <w:sz w:val="24"/>
              <w:szCs w:val="24"/>
            </w:rPr>
            <w:fldChar w:fldCharType="separate"/>
          </w:r>
          <w:r w:rsidR="006E4663" w:rsidRPr="006E4663">
            <w:rPr>
              <w:rFonts w:ascii="Arial" w:hAnsi="Arial" w:cs="Arial"/>
              <w:noProof/>
              <w:sz w:val="24"/>
              <w:szCs w:val="24"/>
            </w:rPr>
            <w:t>(2012)</w:t>
          </w:r>
          <w:r w:rsidR="006E4663">
            <w:rPr>
              <w:rFonts w:ascii="Arial" w:hAnsi="Arial" w:cs="Arial"/>
              <w:sz w:val="24"/>
              <w:szCs w:val="24"/>
            </w:rPr>
            <w:fldChar w:fldCharType="end"/>
          </w:r>
        </w:sdtContent>
      </w:sdt>
      <w:r w:rsidR="00C330D4">
        <w:rPr>
          <w:rFonts w:ascii="Arial" w:hAnsi="Arial" w:cs="Arial"/>
          <w:sz w:val="24"/>
          <w:szCs w:val="24"/>
        </w:rPr>
        <w:t xml:space="preserve"> f</w:t>
      </w:r>
      <w:r w:rsidR="00570639">
        <w:rPr>
          <w:rFonts w:ascii="Arial" w:hAnsi="Arial" w:cs="Arial"/>
          <w:sz w:val="24"/>
          <w:szCs w:val="24"/>
        </w:rPr>
        <w:t xml:space="preserve">ound that women who committed similar assaults </w:t>
      </w:r>
      <w:r w:rsidR="00A4384F">
        <w:rPr>
          <w:rFonts w:ascii="Arial" w:hAnsi="Arial" w:cs="Arial"/>
          <w:sz w:val="24"/>
          <w:szCs w:val="24"/>
        </w:rPr>
        <w:t>to the men, were likely to receive a lighter punishment</w:t>
      </w:r>
      <w:r w:rsidR="00F21D4F">
        <w:rPr>
          <w:rFonts w:ascii="Arial" w:hAnsi="Arial" w:cs="Arial"/>
          <w:sz w:val="24"/>
          <w:szCs w:val="24"/>
        </w:rPr>
        <w:t>.</w:t>
      </w:r>
      <w:r w:rsidR="0031787A">
        <w:rPr>
          <w:rFonts w:ascii="Arial" w:hAnsi="Arial" w:cs="Arial"/>
          <w:sz w:val="24"/>
          <w:szCs w:val="24"/>
        </w:rPr>
        <w:t xml:space="preserve"> </w:t>
      </w:r>
      <w:r w:rsidR="00B61EB6" w:rsidRPr="004B7C9F">
        <w:rPr>
          <w:rFonts w:ascii="Arial" w:hAnsi="Arial" w:cs="Arial"/>
          <w:sz w:val="24"/>
          <w:szCs w:val="24"/>
        </w:rPr>
        <w:t xml:space="preserve">Godfrey et al </w:t>
      </w:r>
      <w:sdt>
        <w:sdtPr>
          <w:rPr>
            <w:rFonts w:ascii="Arial" w:hAnsi="Arial" w:cs="Arial"/>
            <w:sz w:val="24"/>
            <w:szCs w:val="24"/>
          </w:rPr>
          <w:id w:val="-118683264"/>
          <w:citation/>
        </w:sdtPr>
        <w:sdtEndPr/>
        <w:sdtContent>
          <w:r w:rsidR="00B61EB6" w:rsidRPr="004B7C9F">
            <w:rPr>
              <w:rFonts w:ascii="Arial" w:hAnsi="Arial" w:cs="Arial"/>
              <w:sz w:val="24"/>
              <w:szCs w:val="24"/>
            </w:rPr>
            <w:fldChar w:fldCharType="begin"/>
          </w:r>
          <w:r w:rsidR="00B61EB6" w:rsidRPr="004B7C9F">
            <w:rPr>
              <w:rFonts w:ascii="Arial" w:hAnsi="Arial" w:cs="Arial"/>
              <w:sz w:val="24"/>
              <w:szCs w:val="24"/>
            </w:rPr>
            <w:instrText xml:space="preserve">CITATION God05 \n  \l 2057 </w:instrText>
          </w:r>
          <w:r w:rsidR="00B61EB6" w:rsidRPr="004B7C9F">
            <w:rPr>
              <w:rFonts w:ascii="Arial" w:hAnsi="Arial" w:cs="Arial"/>
              <w:sz w:val="24"/>
              <w:szCs w:val="24"/>
            </w:rPr>
            <w:fldChar w:fldCharType="separate"/>
          </w:r>
          <w:r w:rsidR="00B61EB6" w:rsidRPr="004B7C9F">
            <w:rPr>
              <w:rFonts w:ascii="Arial" w:hAnsi="Arial" w:cs="Arial"/>
              <w:noProof/>
              <w:sz w:val="24"/>
              <w:szCs w:val="24"/>
            </w:rPr>
            <w:t>(2005)</w:t>
          </w:r>
          <w:r w:rsidR="00B61EB6" w:rsidRPr="004B7C9F">
            <w:rPr>
              <w:rFonts w:ascii="Arial" w:hAnsi="Arial" w:cs="Arial"/>
              <w:sz w:val="24"/>
              <w:szCs w:val="24"/>
            </w:rPr>
            <w:fldChar w:fldCharType="end"/>
          </w:r>
        </w:sdtContent>
      </w:sdt>
      <w:r w:rsidR="00B61EB6" w:rsidRPr="004B7C9F">
        <w:rPr>
          <w:rFonts w:ascii="Arial" w:hAnsi="Arial" w:cs="Arial"/>
          <w:sz w:val="24"/>
          <w:szCs w:val="24"/>
        </w:rPr>
        <w:t xml:space="preserve"> suggests that </w:t>
      </w:r>
      <w:r w:rsidR="001C6043" w:rsidRPr="004B7C9F">
        <w:rPr>
          <w:rFonts w:ascii="Arial" w:hAnsi="Arial" w:cs="Arial"/>
          <w:sz w:val="24"/>
          <w:szCs w:val="24"/>
        </w:rPr>
        <w:t>Magistrates were more concerned with male</w:t>
      </w:r>
      <w:r w:rsidR="00A9305C" w:rsidRPr="004B7C9F">
        <w:rPr>
          <w:rFonts w:ascii="Arial" w:hAnsi="Arial" w:cs="Arial"/>
          <w:sz w:val="24"/>
          <w:szCs w:val="24"/>
        </w:rPr>
        <w:t xml:space="preserve"> </w:t>
      </w:r>
      <w:r w:rsidR="001E272B" w:rsidRPr="004B7C9F">
        <w:rPr>
          <w:rFonts w:ascii="Arial" w:hAnsi="Arial" w:cs="Arial"/>
          <w:sz w:val="24"/>
          <w:szCs w:val="24"/>
        </w:rPr>
        <w:t>violence</w:t>
      </w:r>
      <w:r w:rsidR="00A9305C" w:rsidRPr="004B7C9F">
        <w:rPr>
          <w:rFonts w:ascii="Arial" w:hAnsi="Arial" w:cs="Arial"/>
          <w:sz w:val="24"/>
          <w:szCs w:val="24"/>
        </w:rPr>
        <w:t xml:space="preserve"> </w:t>
      </w:r>
      <w:r w:rsidR="00DC0700" w:rsidRPr="004B7C9F">
        <w:rPr>
          <w:rFonts w:ascii="Arial" w:hAnsi="Arial" w:cs="Arial"/>
          <w:sz w:val="24"/>
          <w:szCs w:val="24"/>
        </w:rPr>
        <w:t>rather than</w:t>
      </w:r>
      <w:r w:rsidR="00962F3F" w:rsidRPr="004B7C9F">
        <w:rPr>
          <w:rFonts w:ascii="Arial" w:hAnsi="Arial" w:cs="Arial"/>
          <w:sz w:val="24"/>
          <w:szCs w:val="24"/>
        </w:rPr>
        <w:t xml:space="preserve"> female </w:t>
      </w:r>
      <w:r w:rsidR="001E272B" w:rsidRPr="004B7C9F">
        <w:rPr>
          <w:rFonts w:ascii="Arial" w:hAnsi="Arial" w:cs="Arial"/>
          <w:sz w:val="24"/>
          <w:szCs w:val="24"/>
        </w:rPr>
        <w:t>violence. T</w:t>
      </w:r>
      <w:r w:rsidR="009162DE" w:rsidRPr="004B7C9F">
        <w:rPr>
          <w:rFonts w:ascii="Arial" w:hAnsi="Arial" w:cs="Arial"/>
          <w:sz w:val="24"/>
          <w:szCs w:val="24"/>
        </w:rPr>
        <w:t xml:space="preserve">he magistrates suggested if they focused their attention on </w:t>
      </w:r>
      <w:r w:rsidR="000864E3" w:rsidRPr="004B7C9F">
        <w:rPr>
          <w:rFonts w:ascii="Arial" w:hAnsi="Arial" w:cs="Arial"/>
          <w:sz w:val="24"/>
          <w:szCs w:val="24"/>
        </w:rPr>
        <w:t xml:space="preserve">lower class men that would </w:t>
      </w:r>
      <w:r w:rsidR="00073F39" w:rsidRPr="004B7C9F">
        <w:rPr>
          <w:rFonts w:ascii="Arial" w:hAnsi="Arial" w:cs="Arial"/>
          <w:sz w:val="24"/>
          <w:szCs w:val="24"/>
        </w:rPr>
        <w:t xml:space="preserve">increase their efforts in ‘civilizing’ </w:t>
      </w:r>
      <w:r w:rsidR="00F1344F" w:rsidRPr="004B7C9F">
        <w:rPr>
          <w:rFonts w:ascii="Arial" w:hAnsi="Arial" w:cs="Arial"/>
          <w:sz w:val="24"/>
          <w:szCs w:val="24"/>
        </w:rPr>
        <w:t>lower class comm</w:t>
      </w:r>
      <w:r w:rsidR="25F16EC1" w:rsidRPr="004B7C9F">
        <w:rPr>
          <w:rFonts w:ascii="Arial" w:hAnsi="Arial" w:cs="Arial"/>
          <w:sz w:val="24"/>
          <w:szCs w:val="24"/>
        </w:rPr>
        <w:t>u</w:t>
      </w:r>
      <w:r w:rsidR="00F1344F" w:rsidRPr="004B7C9F">
        <w:rPr>
          <w:rFonts w:ascii="Arial" w:hAnsi="Arial" w:cs="Arial"/>
          <w:sz w:val="24"/>
          <w:szCs w:val="24"/>
        </w:rPr>
        <w:t>n</w:t>
      </w:r>
      <w:r w:rsidR="4D534CAF" w:rsidRPr="004B7C9F">
        <w:rPr>
          <w:rFonts w:ascii="Arial" w:hAnsi="Arial" w:cs="Arial"/>
          <w:sz w:val="24"/>
          <w:szCs w:val="24"/>
        </w:rPr>
        <w:t>ities</w:t>
      </w:r>
      <w:r w:rsidR="00F1344F" w:rsidRPr="004B7C9F">
        <w:rPr>
          <w:rFonts w:ascii="Arial" w:hAnsi="Arial" w:cs="Arial"/>
          <w:sz w:val="24"/>
          <w:szCs w:val="24"/>
        </w:rPr>
        <w:t xml:space="preserve">, </w:t>
      </w:r>
      <w:r w:rsidR="0543E15A" w:rsidRPr="004B7C9F">
        <w:rPr>
          <w:rFonts w:ascii="Arial" w:hAnsi="Arial" w:cs="Arial"/>
          <w:sz w:val="24"/>
          <w:szCs w:val="24"/>
        </w:rPr>
        <w:t xml:space="preserve">and </w:t>
      </w:r>
      <w:r w:rsidR="00F1344F" w:rsidRPr="004B7C9F">
        <w:rPr>
          <w:rFonts w:ascii="Arial" w:hAnsi="Arial" w:cs="Arial"/>
          <w:sz w:val="24"/>
          <w:szCs w:val="24"/>
        </w:rPr>
        <w:t xml:space="preserve">the magistrates feared </w:t>
      </w:r>
      <w:r w:rsidR="00C7181D" w:rsidRPr="004B7C9F">
        <w:rPr>
          <w:rFonts w:ascii="Arial" w:hAnsi="Arial" w:cs="Arial"/>
          <w:sz w:val="24"/>
          <w:szCs w:val="24"/>
        </w:rPr>
        <w:t>that</w:t>
      </w:r>
      <w:r w:rsidR="53DAF19A" w:rsidRPr="004B7C9F">
        <w:rPr>
          <w:rFonts w:ascii="Arial" w:hAnsi="Arial" w:cs="Arial"/>
          <w:sz w:val="24"/>
          <w:szCs w:val="24"/>
        </w:rPr>
        <w:t xml:space="preserve"> male</w:t>
      </w:r>
      <w:r w:rsidR="00932AD1" w:rsidRPr="004B7C9F">
        <w:rPr>
          <w:rFonts w:ascii="Arial" w:hAnsi="Arial" w:cs="Arial"/>
          <w:sz w:val="24"/>
          <w:szCs w:val="24"/>
        </w:rPr>
        <w:t xml:space="preserve"> assaults were more of a concern </w:t>
      </w:r>
      <w:r w:rsidR="5031C131" w:rsidRPr="004B7C9F">
        <w:rPr>
          <w:rFonts w:ascii="Arial" w:hAnsi="Arial" w:cs="Arial"/>
          <w:sz w:val="24"/>
          <w:szCs w:val="24"/>
        </w:rPr>
        <w:t xml:space="preserve">than </w:t>
      </w:r>
      <w:r w:rsidR="2D530D26" w:rsidRPr="004B7C9F">
        <w:rPr>
          <w:rFonts w:ascii="Arial" w:hAnsi="Arial" w:cs="Arial"/>
          <w:sz w:val="24"/>
          <w:szCs w:val="24"/>
        </w:rPr>
        <w:t>female</w:t>
      </w:r>
      <w:r w:rsidR="00932AD1" w:rsidRPr="004B7C9F">
        <w:rPr>
          <w:rFonts w:ascii="Arial" w:hAnsi="Arial" w:cs="Arial"/>
          <w:sz w:val="24"/>
          <w:szCs w:val="24"/>
        </w:rPr>
        <w:t xml:space="preserve"> assaults</w:t>
      </w:r>
      <w:r w:rsidR="0058428E">
        <w:rPr>
          <w:rFonts w:ascii="Arial" w:hAnsi="Arial" w:cs="Arial"/>
          <w:sz w:val="24"/>
          <w:szCs w:val="24"/>
        </w:rPr>
        <w:t xml:space="preserve"> because </w:t>
      </w:r>
      <w:r w:rsidR="001E272B">
        <w:rPr>
          <w:rFonts w:ascii="Arial" w:hAnsi="Arial" w:cs="Arial"/>
          <w:sz w:val="24"/>
          <w:szCs w:val="24"/>
        </w:rPr>
        <w:t xml:space="preserve">male violence </w:t>
      </w:r>
      <w:r w:rsidR="6A71874C">
        <w:rPr>
          <w:rFonts w:ascii="Arial" w:hAnsi="Arial" w:cs="Arial"/>
          <w:sz w:val="24"/>
          <w:szCs w:val="24"/>
        </w:rPr>
        <w:t>was</w:t>
      </w:r>
      <w:r w:rsidR="004D404F">
        <w:rPr>
          <w:rFonts w:ascii="Arial" w:hAnsi="Arial" w:cs="Arial"/>
          <w:sz w:val="24"/>
          <w:szCs w:val="24"/>
        </w:rPr>
        <w:t xml:space="preserve"> handed down more convictions and </w:t>
      </w:r>
      <w:r w:rsidR="14B54457">
        <w:rPr>
          <w:rFonts w:ascii="Arial" w:hAnsi="Arial" w:cs="Arial"/>
          <w:sz w:val="24"/>
          <w:szCs w:val="24"/>
        </w:rPr>
        <w:t>they</w:t>
      </w:r>
      <w:r w:rsidR="004D404F">
        <w:rPr>
          <w:rFonts w:ascii="Arial" w:hAnsi="Arial" w:cs="Arial"/>
          <w:sz w:val="24"/>
          <w:szCs w:val="24"/>
        </w:rPr>
        <w:t xml:space="preserve"> </w:t>
      </w:r>
      <w:r w:rsidR="58277D66">
        <w:rPr>
          <w:rFonts w:ascii="Arial" w:hAnsi="Arial" w:cs="Arial"/>
          <w:sz w:val="24"/>
          <w:szCs w:val="24"/>
        </w:rPr>
        <w:t xml:space="preserve">were </w:t>
      </w:r>
      <w:r w:rsidR="004D404F">
        <w:rPr>
          <w:rFonts w:ascii="Arial" w:hAnsi="Arial" w:cs="Arial"/>
          <w:sz w:val="24"/>
          <w:szCs w:val="24"/>
        </w:rPr>
        <w:t xml:space="preserve">given harsher </w:t>
      </w:r>
      <w:r w:rsidR="004B7C9F">
        <w:rPr>
          <w:rFonts w:ascii="Arial" w:hAnsi="Arial" w:cs="Arial"/>
          <w:sz w:val="24"/>
          <w:szCs w:val="24"/>
        </w:rPr>
        <w:t>penalties for the offence.</w:t>
      </w:r>
      <w:r w:rsidR="6263DF14">
        <w:rPr>
          <w:rFonts w:ascii="Arial" w:hAnsi="Arial" w:cs="Arial"/>
          <w:sz w:val="24"/>
          <w:szCs w:val="24"/>
        </w:rPr>
        <w:t xml:space="preserve"> </w:t>
      </w:r>
    </w:p>
    <w:p w14:paraId="636C1A67" w14:textId="3BE5F9B1" w:rsidR="00EB6702" w:rsidRDefault="00B135A2" w:rsidP="0077280F">
      <w:pPr>
        <w:spacing w:line="480" w:lineRule="auto"/>
        <w:rPr>
          <w:rFonts w:ascii="Arial" w:hAnsi="Arial" w:cs="Arial"/>
          <w:sz w:val="24"/>
          <w:szCs w:val="24"/>
        </w:rPr>
      </w:pPr>
      <w:r>
        <w:rPr>
          <w:rFonts w:ascii="Arial" w:hAnsi="Arial" w:cs="Arial"/>
          <w:sz w:val="24"/>
          <w:szCs w:val="24"/>
        </w:rPr>
        <w:t xml:space="preserve">Looking at the research being presented, there is an argument </w:t>
      </w:r>
      <w:r w:rsidR="00895AE4">
        <w:rPr>
          <w:rFonts w:ascii="Arial" w:hAnsi="Arial" w:cs="Arial"/>
          <w:sz w:val="24"/>
          <w:szCs w:val="24"/>
        </w:rPr>
        <w:t xml:space="preserve">as </w:t>
      </w:r>
      <w:r>
        <w:rPr>
          <w:rFonts w:ascii="Arial" w:hAnsi="Arial" w:cs="Arial"/>
          <w:sz w:val="24"/>
          <w:szCs w:val="24"/>
        </w:rPr>
        <w:t xml:space="preserve">to whether women </w:t>
      </w:r>
      <w:r w:rsidR="00BB20EE">
        <w:rPr>
          <w:rFonts w:ascii="Arial" w:hAnsi="Arial" w:cs="Arial"/>
          <w:sz w:val="24"/>
          <w:szCs w:val="24"/>
        </w:rPr>
        <w:t>face double deviance in the modern era</w:t>
      </w:r>
      <w:r w:rsidR="00895AE4">
        <w:rPr>
          <w:rFonts w:ascii="Arial" w:hAnsi="Arial" w:cs="Arial"/>
          <w:sz w:val="24"/>
          <w:szCs w:val="24"/>
        </w:rPr>
        <w:t xml:space="preserve">. The older arguments from Pollack (1961 cited in Newburn 2017, p359) </w:t>
      </w:r>
      <w:r w:rsidR="00C12541">
        <w:rPr>
          <w:rFonts w:ascii="Arial" w:hAnsi="Arial" w:cs="Arial"/>
          <w:sz w:val="24"/>
          <w:szCs w:val="24"/>
        </w:rPr>
        <w:t xml:space="preserve">says women </w:t>
      </w:r>
      <w:proofErr w:type="gramStart"/>
      <w:r w:rsidR="00C12541">
        <w:rPr>
          <w:rFonts w:ascii="Arial" w:hAnsi="Arial" w:cs="Arial"/>
          <w:sz w:val="24"/>
          <w:szCs w:val="24"/>
        </w:rPr>
        <w:t xml:space="preserve">are not </w:t>
      </w:r>
      <w:r w:rsidR="003E0861">
        <w:rPr>
          <w:rFonts w:ascii="Arial" w:hAnsi="Arial" w:cs="Arial"/>
          <w:sz w:val="24"/>
          <w:szCs w:val="24"/>
        </w:rPr>
        <w:t>been</w:t>
      </w:r>
      <w:proofErr w:type="gramEnd"/>
      <w:r w:rsidR="003E0861">
        <w:rPr>
          <w:rFonts w:ascii="Arial" w:hAnsi="Arial" w:cs="Arial"/>
          <w:sz w:val="24"/>
          <w:szCs w:val="24"/>
        </w:rPr>
        <w:t xml:space="preserve"> treated by the criminal justice system more severely than men</w:t>
      </w:r>
    </w:p>
    <w:sdt>
      <w:sdtPr>
        <w:id w:val="723955399"/>
        <w:docPartObj>
          <w:docPartGallery w:val="Bibliographies"/>
          <w:docPartUnique/>
        </w:docPartObj>
      </w:sdtPr>
      <w:sdtEndPr>
        <w:rPr>
          <w:rFonts w:asciiTheme="minorHAnsi" w:eastAsiaTheme="minorHAnsi" w:hAnsiTheme="minorHAnsi" w:cstheme="minorBidi"/>
          <w:color w:val="auto"/>
          <w:sz w:val="22"/>
          <w:szCs w:val="22"/>
        </w:rPr>
      </w:sdtEndPr>
      <w:sdtContent>
        <w:p w14:paraId="74F556A8" w14:textId="6F9DD8D0" w:rsidR="000753F6" w:rsidRDefault="000753F6">
          <w:pPr>
            <w:pStyle w:val="Heading1"/>
          </w:pPr>
          <w:r>
            <w:t>References</w:t>
          </w:r>
        </w:p>
        <w:sdt>
          <w:sdtPr>
            <w:id w:val="-573587230"/>
            <w:bibliography/>
          </w:sdtPr>
          <w:sdtContent>
            <w:p w14:paraId="755DEEB8" w14:textId="77777777" w:rsidR="000753F6" w:rsidRPr="000753F6" w:rsidRDefault="000753F6" w:rsidP="000753F6">
              <w:pPr>
                <w:pStyle w:val="Bibliography"/>
                <w:rPr>
                  <w:rFonts w:ascii="Arial" w:hAnsi="Arial" w:cs="Arial"/>
                  <w:noProof/>
                  <w:kern w:val="0"/>
                  <w:sz w:val="28"/>
                  <w:szCs w:val="28"/>
                  <w14:ligatures w14:val="none"/>
                </w:rPr>
              </w:pPr>
              <w:r w:rsidRPr="000753F6">
                <w:rPr>
                  <w:rFonts w:ascii="Arial" w:hAnsi="Arial" w:cs="Arial"/>
                  <w:sz w:val="24"/>
                  <w:szCs w:val="24"/>
                </w:rPr>
                <w:fldChar w:fldCharType="begin"/>
              </w:r>
              <w:r w:rsidRPr="000753F6">
                <w:rPr>
                  <w:rFonts w:ascii="Arial" w:hAnsi="Arial" w:cs="Arial"/>
                  <w:sz w:val="24"/>
                  <w:szCs w:val="24"/>
                </w:rPr>
                <w:instrText xml:space="preserve"> BIBLIOGRAPHY </w:instrText>
              </w:r>
              <w:r w:rsidRPr="000753F6">
                <w:rPr>
                  <w:rFonts w:ascii="Arial" w:hAnsi="Arial" w:cs="Arial"/>
                  <w:sz w:val="24"/>
                  <w:szCs w:val="24"/>
                </w:rPr>
                <w:fldChar w:fldCharType="separate"/>
              </w:r>
              <w:r w:rsidRPr="000753F6">
                <w:rPr>
                  <w:rFonts w:ascii="Arial" w:hAnsi="Arial" w:cs="Arial"/>
                  <w:noProof/>
                  <w:sz w:val="24"/>
                  <w:szCs w:val="24"/>
                </w:rPr>
                <w:t xml:space="preserve">Davis, P., 2010. </w:t>
              </w:r>
              <w:r w:rsidRPr="000753F6">
                <w:rPr>
                  <w:rFonts w:ascii="Arial" w:hAnsi="Arial" w:cs="Arial"/>
                  <w:i/>
                  <w:iCs/>
                  <w:noProof/>
                  <w:sz w:val="24"/>
                  <w:szCs w:val="24"/>
                </w:rPr>
                <w:t xml:space="preserve">Gender, crime and victimisation. </w:t>
              </w:r>
              <w:r w:rsidRPr="000753F6">
                <w:rPr>
                  <w:rFonts w:ascii="Arial" w:hAnsi="Arial" w:cs="Arial"/>
                  <w:noProof/>
                  <w:sz w:val="24"/>
                  <w:szCs w:val="24"/>
                </w:rPr>
                <w:t>London: SAGE Publications Ltd.</w:t>
              </w:r>
            </w:p>
            <w:p w14:paraId="2F9BEF32"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Dr Boorse, C., 1987. Premenstrual Syndrome and Criminal Responsibility. In: Ginsburg &amp; Carter, eds. </w:t>
              </w:r>
              <w:r w:rsidRPr="000753F6">
                <w:rPr>
                  <w:rFonts w:ascii="Arial" w:hAnsi="Arial" w:cs="Arial"/>
                  <w:i/>
                  <w:iCs/>
                  <w:noProof/>
                  <w:sz w:val="24"/>
                  <w:szCs w:val="24"/>
                </w:rPr>
                <w:t xml:space="preserve">Premenstrual Syndrome. </w:t>
              </w:r>
              <w:r w:rsidRPr="000753F6">
                <w:rPr>
                  <w:rFonts w:ascii="Arial" w:hAnsi="Arial" w:cs="Arial"/>
                  <w:noProof/>
                  <w:sz w:val="24"/>
                  <w:szCs w:val="24"/>
                </w:rPr>
                <w:t>Boston: Springer, p. 81.</w:t>
              </w:r>
            </w:p>
            <w:p w14:paraId="0C342FCD"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Embry, R. &amp; Lyons, P. M., 2012. Sex-Based Sentencing: Sentencing Discrepancies Between Male and Female Sex Offenders. </w:t>
              </w:r>
              <w:r w:rsidRPr="000753F6">
                <w:rPr>
                  <w:rFonts w:ascii="Arial" w:hAnsi="Arial" w:cs="Arial"/>
                  <w:i/>
                  <w:iCs/>
                  <w:noProof/>
                  <w:sz w:val="24"/>
                  <w:szCs w:val="24"/>
                </w:rPr>
                <w:t xml:space="preserve">Feminist Criminology , </w:t>
              </w:r>
              <w:r w:rsidRPr="000753F6">
                <w:rPr>
                  <w:rFonts w:ascii="Arial" w:hAnsi="Arial" w:cs="Arial"/>
                  <w:noProof/>
                  <w:sz w:val="24"/>
                  <w:szCs w:val="24"/>
                </w:rPr>
                <w:t>7(2), pp. 146-162.</w:t>
              </w:r>
            </w:p>
            <w:p w14:paraId="491A8EC2"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European Institute for Gender Equality, 2023. </w:t>
              </w:r>
              <w:r w:rsidRPr="000753F6">
                <w:rPr>
                  <w:rFonts w:ascii="Arial" w:hAnsi="Arial" w:cs="Arial"/>
                  <w:i/>
                  <w:iCs/>
                  <w:noProof/>
                  <w:sz w:val="24"/>
                  <w:szCs w:val="24"/>
                </w:rPr>
                <w:t xml:space="preserve">Gender norms. </w:t>
              </w:r>
              <w:r w:rsidRPr="000753F6">
                <w:rPr>
                  <w:rFonts w:ascii="Arial" w:hAnsi="Arial" w:cs="Arial"/>
                  <w:noProof/>
                  <w:sz w:val="24"/>
                  <w:szCs w:val="24"/>
                </w:rPr>
                <w:t xml:space="preserve">[Online] </w:t>
              </w:r>
              <w:r w:rsidRPr="000753F6">
                <w:rPr>
                  <w:rFonts w:ascii="Arial" w:hAnsi="Arial" w:cs="Arial"/>
                  <w:noProof/>
                  <w:sz w:val="24"/>
                  <w:szCs w:val="24"/>
                </w:rPr>
                <w:br/>
                <w:t xml:space="preserve">Available at: </w:t>
              </w:r>
              <w:r w:rsidRPr="000753F6">
                <w:rPr>
                  <w:rFonts w:ascii="Arial" w:hAnsi="Arial" w:cs="Arial"/>
                  <w:noProof/>
                  <w:sz w:val="24"/>
                  <w:szCs w:val="24"/>
                  <w:u w:val="single"/>
                </w:rPr>
                <w:t>https://eige.europa.eu/publications-resources/thesaurus/terms/1288?language_content_entity=en#:~:text=Gender%20norms%20are%20ideas%20about,of%20gender%20socialisation%20and%20stereotyping.</w:t>
              </w:r>
              <w:r w:rsidRPr="000753F6">
                <w:rPr>
                  <w:rFonts w:ascii="Arial" w:hAnsi="Arial" w:cs="Arial"/>
                  <w:noProof/>
                  <w:sz w:val="24"/>
                  <w:szCs w:val="24"/>
                </w:rPr>
                <w:br/>
                <w:t>[Accessed 10 October 2023].</w:t>
              </w:r>
            </w:p>
            <w:p w14:paraId="1AE386AA"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Godfrey, B. F. S. a. K. S., 2005. ‘Explaining Gendered Sentencing Patterns for Violent Men and Women in the Late-Victorian and Edwardian Period’. </w:t>
              </w:r>
              <w:r w:rsidRPr="000753F6">
                <w:rPr>
                  <w:rFonts w:ascii="Arial" w:hAnsi="Arial" w:cs="Arial"/>
                  <w:i/>
                  <w:iCs/>
                  <w:noProof/>
                  <w:sz w:val="24"/>
                  <w:szCs w:val="24"/>
                </w:rPr>
                <w:t xml:space="preserve">British Journal of Criminology., </w:t>
              </w:r>
              <w:r w:rsidRPr="000753F6">
                <w:rPr>
                  <w:rFonts w:ascii="Arial" w:hAnsi="Arial" w:cs="Arial"/>
                  <w:noProof/>
                  <w:sz w:val="24"/>
                  <w:szCs w:val="24"/>
                </w:rPr>
                <w:t>45(5), p. pp. 696–720.</w:t>
              </w:r>
            </w:p>
            <w:p w14:paraId="25B1E799"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Grabe, M. E., Trager, K. D., Lear, M. &amp; Rauch, J., 2009. Gender in Crime News: A Case Study Test of the Chivalry Hypothesis. </w:t>
              </w:r>
              <w:r w:rsidRPr="000753F6">
                <w:rPr>
                  <w:rFonts w:ascii="Arial" w:hAnsi="Arial" w:cs="Arial"/>
                  <w:i/>
                  <w:iCs/>
                  <w:noProof/>
                  <w:sz w:val="24"/>
                  <w:szCs w:val="24"/>
                </w:rPr>
                <w:t xml:space="preserve">Mass communication and society, </w:t>
              </w:r>
              <w:r w:rsidRPr="000753F6">
                <w:rPr>
                  <w:rFonts w:ascii="Arial" w:hAnsi="Arial" w:cs="Arial"/>
                  <w:noProof/>
                  <w:sz w:val="24"/>
                  <w:szCs w:val="24"/>
                </w:rPr>
                <w:t>9(2), pp. 137-163.</w:t>
              </w:r>
            </w:p>
            <w:p w14:paraId="350EA922"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Heidensohn, F., 1968. The Deviance of Women: A Critique and an Enquiry. </w:t>
              </w:r>
              <w:r w:rsidRPr="000753F6">
                <w:rPr>
                  <w:rFonts w:ascii="Arial" w:hAnsi="Arial" w:cs="Arial"/>
                  <w:i/>
                  <w:iCs/>
                  <w:noProof/>
                  <w:sz w:val="24"/>
                  <w:szCs w:val="24"/>
                </w:rPr>
                <w:t xml:space="preserve">The British journal of sociology, </w:t>
              </w:r>
              <w:r w:rsidRPr="000753F6">
                <w:rPr>
                  <w:rFonts w:ascii="Arial" w:hAnsi="Arial" w:cs="Arial"/>
                  <w:noProof/>
                  <w:sz w:val="24"/>
                  <w:szCs w:val="24"/>
                </w:rPr>
                <w:t>19(2), pp. 160-175.</w:t>
              </w:r>
            </w:p>
            <w:p w14:paraId="0E7B3AF2"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Heidensohn, F., 2010. Devaince of women: a crtique and an equiry. </w:t>
              </w:r>
              <w:r w:rsidRPr="000753F6">
                <w:rPr>
                  <w:rFonts w:ascii="Arial" w:hAnsi="Arial" w:cs="Arial"/>
                  <w:i/>
                  <w:iCs/>
                  <w:noProof/>
                  <w:sz w:val="24"/>
                  <w:szCs w:val="24"/>
                </w:rPr>
                <w:t xml:space="preserve">The British Journal of Sociology, </w:t>
              </w:r>
              <w:r w:rsidRPr="000753F6">
                <w:rPr>
                  <w:rFonts w:ascii="Arial" w:hAnsi="Arial" w:cs="Arial"/>
                  <w:noProof/>
                  <w:sz w:val="24"/>
                  <w:szCs w:val="24"/>
                </w:rPr>
                <w:t>61(s1), pp. p.111-126.</w:t>
              </w:r>
            </w:p>
            <w:p w14:paraId="2891153B"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Juujärvi, S. R. K. a. S. P., 2019. The ethics of care and justice in primary nursing of older patients. </w:t>
              </w:r>
              <w:r w:rsidRPr="000753F6">
                <w:rPr>
                  <w:rFonts w:ascii="Arial" w:hAnsi="Arial" w:cs="Arial"/>
                  <w:i/>
                  <w:iCs/>
                  <w:noProof/>
                  <w:sz w:val="24"/>
                  <w:szCs w:val="24"/>
                </w:rPr>
                <w:t xml:space="preserve">Clinical ethics, </w:t>
              </w:r>
              <w:r w:rsidRPr="000753F6">
                <w:rPr>
                  <w:rFonts w:ascii="Arial" w:hAnsi="Arial" w:cs="Arial"/>
                  <w:noProof/>
                  <w:sz w:val="24"/>
                  <w:szCs w:val="24"/>
                </w:rPr>
                <w:t>14(4), pp. p.187-194.</w:t>
              </w:r>
            </w:p>
            <w:p w14:paraId="60E83E91"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Lightowlers, C., 2018. Drunk and Doubly Deviant? the Role of Gender and Intoxication in Sentencing Assault Offences. </w:t>
              </w:r>
              <w:r w:rsidRPr="000753F6">
                <w:rPr>
                  <w:rFonts w:ascii="Arial" w:hAnsi="Arial" w:cs="Arial"/>
                  <w:i/>
                  <w:iCs/>
                  <w:noProof/>
                  <w:sz w:val="24"/>
                  <w:szCs w:val="24"/>
                </w:rPr>
                <w:t xml:space="preserve">The British Journal of Criminology, </w:t>
              </w:r>
              <w:r w:rsidRPr="000753F6">
                <w:rPr>
                  <w:rFonts w:ascii="Arial" w:hAnsi="Arial" w:cs="Arial"/>
                  <w:noProof/>
                  <w:sz w:val="24"/>
                  <w:szCs w:val="24"/>
                </w:rPr>
                <w:t>59(3), pp. 693-717.</w:t>
              </w:r>
            </w:p>
            <w:p w14:paraId="48B51B1D"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Ministry of Justice, 2021. </w:t>
              </w:r>
              <w:r w:rsidRPr="000753F6">
                <w:rPr>
                  <w:rFonts w:ascii="Arial" w:hAnsi="Arial" w:cs="Arial"/>
                  <w:i/>
                  <w:iCs/>
                  <w:noProof/>
                  <w:sz w:val="24"/>
                  <w:szCs w:val="24"/>
                </w:rPr>
                <w:t xml:space="preserve">Statistics on Women and the Criminal Justice System 2019. </w:t>
              </w:r>
              <w:r w:rsidRPr="000753F6">
                <w:rPr>
                  <w:rFonts w:ascii="Arial" w:hAnsi="Arial" w:cs="Arial"/>
                  <w:noProof/>
                  <w:sz w:val="24"/>
                  <w:szCs w:val="24"/>
                </w:rPr>
                <w:t xml:space="preserve">[Online] </w:t>
              </w:r>
              <w:r w:rsidRPr="000753F6">
                <w:rPr>
                  <w:rFonts w:ascii="Arial" w:hAnsi="Arial" w:cs="Arial"/>
                  <w:noProof/>
                  <w:sz w:val="24"/>
                  <w:szCs w:val="24"/>
                </w:rPr>
                <w:br/>
                <w:t xml:space="preserve">Available at: </w:t>
              </w:r>
              <w:r w:rsidRPr="000753F6">
                <w:rPr>
                  <w:rFonts w:ascii="Arial" w:hAnsi="Arial" w:cs="Arial"/>
                  <w:noProof/>
                  <w:sz w:val="24"/>
                  <w:szCs w:val="24"/>
                  <w:u w:val="single"/>
                </w:rPr>
                <w:t>https://assets.publishing.service.gov.uk/media/5fbe7396d3bf7f5739417e31/statistics-on-women-and-the-criminal-justice-system-2019.pdf</w:t>
              </w:r>
              <w:r w:rsidRPr="000753F6">
                <w:rPr>
                  <w:rFonts w:ascii="Arial" w:hAnsi="Arial" w:cs="Arial"/>
                  <w:noProof/>
                  <w:sz w:val="24"/>
                  <w:szCs w:val="24"/>
                </w:rPr>
                <w:br/>
                <w:t>[Accessed 27th October 2023].</w:t>
              </w:r>
            </w:p>
            <w:p w14:paraId="66DE0A97"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Ministry of Justice, 2022. </w:t>
              </w:r>
              <w:r w:rsidRPr="000753F6">
                <w:rPr>
                  <w:rFonts w:ascii="Arial" w:hAnsi="Arial" w:cs="Arial"/>
                  <w:i/>
                  <w:iCs/>
                  <w:noProof/>
                  <w:sz w:val="24"/>
                  <w:szCs w:val="24"/>
                </w:rPr>
                <w:t xml:space="preserve">Statistics on Women and the Criminal Justice System 2021. </w:t>
              </w:r>
              <w:r w:rsidRPr="000753F6">
                <w:rPr>
                  <w:rFonts w:ascii="Arial" w:hAnsi="Arial" w:cs="Arial"/>
                  <w:noProof/>
                  <w:sz w:val="24"/>
                  <w:szCs w:val="24"/>
                </w:rPr>
                <w:t xml:space="preserve">[Online] </w:t>
              </w:r>
              <w:r w:rsidRPr="000753F6">
                <w:rPr>
                  <w:rFonts w:ascii="Arial" w:hAnsi="Arial" w:cs="Arial"/>
                  <w:noProof/>
                  <w:sz w:val="24"/>
                  <w:szCs w:val="24"/>
                </w:rPr>
                <w:br/>
                <w:t xml:space="preserve">Available at: </w:t>
              </w:r>
              <w:r w:rsidRPr="000753F6">
                <w:rPr>
                  <w:rFonts w:ascii="Arial" w:hAnsi="Arial" w:cs="Arial"/>
                  <w:noProof/>
                  <w:sz w:val="24"/>
                  <w:szCs w:val="24"/>
                  <w:u w:val="single"/>
                </w:rPr>
                <w:t>https://assets.publishing.service.gov.uk/government/uploads/system/uploads/attachment_data/file/1119965/statistics-on-women-and-the-criminal-justice-system-2021-.pdf</w:t>
              </w:r>
              <w:r w:rsidRPr="000753F6">
                <w:rPr>
                  <w:rFonts w:ascii="Arial" w:hAnsi="Arial" w:cs="Arial"/>
                  <w:noProof/>
                  <w:sz w:val="24"/>
                  <w:szCs w:val="24"/>
                </w:rPr>
                <w:br/>
                <w:t>[Accessed 2nd October 2023].</w:t>
              </w:r>
            </w:p>
            <w:p w14:paraId="6F4921A3"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lastRenderedPageBreak/>
                <w:t xml:space="preserve">Newburn, T., 2017. </w:t>
              </w:r>
              <w:r w:rsidRPr="000753F6">
                <w:rPr>
                  <w:rFonts w:ascii="Arial" w:hAnsi="Arial" w:cs="Arial"/>
                  <w:i/>
                  <w:iCs/>
                  <w:noProof/>
                  <w:sz w:val="24"/>
                  <w:szCs w:val="24"/>
                </w:rPr>
                <w:t xml:space="preserve">Criminology. </w:t>
              </w:r>
              <w:r w:rsidRPr="000753F6">
                <w:rPr>
                  <w:rFonts w:ascii="Arial" w:hAnsi="Arial" w:cs="Arial"/>
                  <w:noProof/>
                  <w:sz w:val="24"/>
                  <w:szCs w:val="24"/>
                </w:rPr>
                <w:t>3rd ed. London: Routledge, Taylor and Francis Group.</w:t>
              </w:r>
            </w:p>
            <w:p w14:paraId="639C61CC"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NHS, 2023. </w:t>
              </w:r>
              <w:r w:rsidRPr="000753F6">
                <w:rPr>
                  <w:rFonts w:ascii="Arial" w:hAnsi="Arial" w:cs="Arial"/>
                  <w:i/>
                  <w:iCs/>
                  <w:noProof/>
                  <w:sz w:val="24"/>
                  <w:szCs w:val="24"/>
                </w:rPr>
                <w:t xml:space="preserve">PMS (premenstrual syndrome). </w:t>
              </w:r>
              <w:r w:rsidRPr="000753F6">
                <w:rPr>
                  <w:rFonts w:ascii="Arial" w:hAnsi="Arial" w:cs="Arial"/>
                  <w:noProof/>
                  <w:sz w:val="24"/>
                  <w:szCs w:val="24"/>
                </w:rPr>
                <w:t xml:space="preserve">[Online] </w:t>
              </w:r>
              <w:r w:rsidRPr="000753F6">
                <w:rPr>
                  <w:rFonts w:ascii="Arial" w:hAnsi="Arial" w:cs="Arial"/>
                  <w:noProof/>
                  <w:sz w:val="24"/>
                  <w:szCs w:val="24"/>
                </w:rPr>
                <w:br/>
                <w:t xml:space="preserve">Available at: </w:t>
              </w:r>
              <w:r w:rsidRPr="000753F6">
                <w:rPr>
                  <w:rFonts w:ascii="Arial" w:hAnsi="Arial" w:cs="Arial"/>
                  <w:noProof/>
                  <w:sz w:val="24"/>
                  <w:szCs w:val="24"/>
                  <w:u w:val="single"/>
                </w:rPr>
                <w:t>https://www.nhs.uk/conditions/pre-menstrual-syndrome/</w:t>
              </w:r>
              <w:r w:rsidRPr="000753F6">
                <w:rPr>
                  <w:rFonts w:ascii="Arial" w:hAnsi="Arial" w:cs="Arial"/>
                  <w:noProof/>
                  <w:sz w:val="24"/>
                  <w:szCs w:val="24"/>
                </w:rPr>
                <w:br/>
                <w:t>[Accessed 24th October 2023].</w:t>
              </w:r>
            </w:p>
            <w:p w14:paraId="0160CB6B"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Public Order Act 1986, c.64, n.d. [Online] </w:t>
              </w:r>
              <w:r w:rsidRPr="000753F6">
                <w:rPr>
                  <w:rFonts w:ascii="Arial" w:hAnsi="Arial" w:cs="Arial"/>
                  <w:noProof/>
                  <w:sz w:val="24"/>
                  <w:szCs w:val="24"/>
                </w:rPr>
                <w:br/>
                <w:t xml:space="preserve">Available at: </w:t>
              </w:r>
              <w:r w:rsidRPr="000753F6">
                <w:rPr>
                  <w:rFonts w:ascii="Arial" w:hAnsi="Arial" w:cs="Arial"/>
                  <w:noProof/>
                  <w:sz w:val="24"/>
                  <w:szCs w:val="24"/>
                  <w:u w:val="single"/>
                </w:rPr>
                <w:t>https://www.legislation.gov.uk/ukpga/1986/64</w:t>
              </w:r>
              <w:r w:rsidRPr="000753F6">
                <w:rPr>
                  <w:rFonts w:ascii="Arial" w:hAnsi="Arial" w:cs="Arial"/>
                  <w:noProof/>
                  <w:sz w:val="24"/>
                  <w:szCs w:val="24"/>
                </w:rPr>
                <w:br/>
                <w:t>[Accessed 27th October 2023].</w:t>
              </w:r>
            </w:p>
            <w:p w14:paraId="79688875"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Seaman, V. &amp; Lynch, O., 2022. Perpetrators and Victims. In: I. Masson &amp; N. Booth, eds. </w:t>
              </w:r>
              <w:r w:rsidRPr="000753F6">
                <w:rPr>
                  <w:rFonts w:ascii="Arial" w:hAnsi="Arial" w:cs="Arial"/>
                  <w:i/>
                  <w:iCs/>
                  <w:noProof/>
                  <w:sz w:val="24"/>
                  <w:szCs w:val="24"/>
                </w:rPr>
                <w:t xml:space="preserve">The Routledge Handbook of Women's Experiences of Criminal Justice. </w:t>
              </w:r>
              <w:r w:rsidRPr="000753F6">
                <w:rPr>
                  <w:rFonts w:ascii="Arial" w:hAnsi="Arial" w:cs="Arial"/>
                  <w:noProof/>
                  <w:sz w:val="24"/>
                  <w:szCs w:val="24"/>
                </w:rPr>
                <w:t>1st ed. London: Routledge, p. 12.</w:t>
              </w:r>
            </w:p>
            <w:p w14:paraId="3A47E060"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The Ministry of Justice, 2022. </w:t>
              </w:r>
              <w:r w:rsidRPr="000753F6">
                <w:rPr>
                  <w:rFonts w:ascii="Arial" w:hAnsi="Arial" w:cs="Arial"/>
                  <w:i/>
                  <w:iCs/>
                  <w:noProof/>
                  <w:sz w:val="24"/>
                  <w:szCs w:val="24"/>
                </w:rPr>
                <w:t xml:space="preserve">Women and the Criminal Justice System 2021. </w:t>
              </w:r>
              <w:r w:rsidRPr="000753F6">
                <w:rPr>
                  <w:rFonts w:ascii="Arial" w:hAnsi="Arial" w:cs="Arial"/>
                  <w:noProof/>
                  <w:sz w:val="24"/>
                  <w:szCs w:val="24"/>
                </w:rPr>
                <w:t xml:space="preserve">[Online] </w:t>
              </w:r>
              <w:r w:rsidRPr="000753F6">
                <w:rPr>
                  <w:rFonts w:ascii="Arial" w:hAnsi="Arial" w:cs="Arial"/>
                  <w:noProof/>
                  <w:sz w:val="24"/>
                  <w:szCs w:val="24"/>
                </w:rPr>
                <w:br/>
                <w:t xml:space="preserve">Available at: </w:t>
              </w:r>
              <w:r w:rsidRPr="000753F6">
                <w:rPr>
                  <w:rFonts w:ascii="Arial" w:hAnsi="Arial" w:cs="Arial"/>
                  <w:noProof/>
                  <w:sz w:val="24"/>
                  <w:szCs w:val="24"/>
                  <w:u w:val="single"/>
                </w:rPr>
                <w:t>https://www.gov.uk/government/statistics/women-and-the-criminal-justice-system-2021/women-and-the-criminal-justice-system-2021</w:t>
              </w:r>
              <w:r w:rsidRPr="000753F6">
                <w:rPr>
                  <w:rFonts w:ascii="Arial" w:hAnsi="Arial" w:cs="Arial"/>
                  <w:noProof/>
                  <w:sz w:val="24"/>
                  <w:szCs w:val="24"/>
                </w:rPr>
                <w:br/>
                <w:t>[Accessed 21st October 2023].</w:t>
              </w:r>
            </w:p>
            <w:p w14:paraId="7277893B" w14:textId="77777777" w:rsidR="000753F6" w:rsidRPr="000753F6" w:rsidRDefault="000753F6" w:rsidP="000753F6">
              <w:pPr>
                <w:pStyle w:val="Bibliography"/>
                <w:rPr>
                  <w:rFonts w:ascii="Arial" w:hAnsi="Arial" w:cs="Arial"/>
                  <w:noProof/>
                  <w:sz w:val="24"/>
                  <w:szCs w:val="24"/>
                </w:rPr>
              </w:pPr>
              <w:r w:rsidRPr="000753F6">
                <w:rPr>
                  <w:rFonts w:ascii="Arial" w:hAnsi="Arial" w:cs="Arial"/>
                  <w:noProof/>
                  <w:sz w:val="24"/>
                  <w:szCs w:val="24"/>
                </w:rPr>
                <w:t xml:space="preserve">Vantieghem, W. V. H. a. V. H. M., 2014. Transcending the gender dichotomy in educational gender gap research: The association between gender identity and academic self-efficacy. </w:t>
              </w:r>
              <w:r w:rsidRPr="000753F6">
                <w:rPr>
                  <w:rFonts w:ascii="Arial" w:hAnsi="Arial" w:cs="Arial"/>
                  <w:i/>
                  <w:iCs/>
                  <w:noProof/>
                  <w:sz w:val="24"/>
                  <w:szCs w:val="24"/>
                </w:rPr>
                <w:t xml:space="preserve">Contemporary Educational Psychology, </w:t>
              </w:r>
              <w:r w:rsidRPr="000753F6">
                <w:rPr>
                  <w:rFonts w:ascii="Arial" w:hAnsi="Arial" w:cs="Arial"/>
                  <w:noProof/>
                  <w:sz w:val="24"/>
                  <w:szCs w:val="24"/>
                </w:rPr>
                <w:t>39(4), pp. 369-378.</w:t>
              </w:r>
            </w:p>
            <w:p w14:paraId="030A58E1" w14:textId="6A4B8E45" w:rsidR="000753F6" w:rsidRDefault="000753F6" w:rsidP="000753F6">
              <w:r w:rsidRPr="000753F6">
                <w:rPr>
                  <w:rFonts w:ascii="Arial" w:hAnsi="Arial" w:cs="Arial"/>
                  <w:b/>
                  <w:bCs/>
                  <w:noProof/>
                  <w:sz w:val="24"/>
                  <w:szCs w:val="24"/>
                </w:rPr>
                <w:fldChar w:fldCharType="end"/>
              </w:r>
            </w:p>
          </w:sdtContent>
        </w:sdt>
      </w:sdtContent>
    </w:sdt>
    <w:p w14:paraId="6F072F7A" w14:textId="77777777" w:rsidR="000753F6" w:rsidRPr="004C1557" w:rsidRDefault="000753F6" w:rsidP="0077280F">
      <w:pPr>
        <w:spacing w:line="480" w:lineRule="auto"/>
        <w:rPr>
          <w:rFonts w:ascii="Arial" w:hAnsi="Arial" w:cs="Arial"/>
          <w:sz w:val="24"/>
          <w:szCs w:val="24"/>
        </w:rPr>
      </w:pPr>
    </w:p>
    <w:p w14:paraId="32D42DC2" w14:textId="77777777" w:rsidR="004F6E7E" w:rsidRDefault="004F6E7E" w:rsidP="00EB6702">
      <w:pPr>
        <w:pStyle w:val="ListParagraph"/>
        <w:rPr>
          <w:rFonts w:ascii="Arial" w:hAnsi="Arial" w:cs="Arial"/>
          <w:sz w:val="24"/>
          <w:szCs w:val="24"/>
        </w:rPr>
      </w:pPr>
    </w:p>
    <w:p w14:paraId="44BFA7D9" w14:textId="2972BBD8" w:rsidR="004F6E7E" w:rsidRPr="004F6E7E" w:rsidRDefault="004F6E7E" w:rsidP="004F6E7E">
      <w:pPr>
        <w:rPr>
          <w:rFonts w:ascii="Arial" w:hAnsi="Arial" w:cs="Arial"/>
          <w:sz w:val="24"/>
          <w:szCs w:val="24"/>
        </w:rPr>
      </w:pPr>
    </w:p>
    <w:sectPr w:rsidR="004F6E7E" w:rsidRPr="004F6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hgGzdjlGNzLiWR" int2:id="AI1VoY1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2283C"/>
    <w:multiLevelType w:val="hybridMultilevel"/>
    <w:tmpl w:val="DEBA2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425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071"/>
    <w:rsid w:val="0000265F"/>
    <w:rsid w:val="00004E34"/>
    <w:rsid w:val="00007B95"/>
    <w:rsid w:val="000106F5"/>
    <w:rsid w:val="0001172D"/>
    <w:rsid w:val="0001280F"/>
    <w:rsid w:val="00013B35"/>
    <w:rsid w:val="00017489"/>
    <w:rsid w:val="00021C29"/>
    <w:rsid w:val="00022B20"/>
    <w:rsid w:val="00026EA2"/>
    <w:rsid w:val="000319F0"/>
    <w:rsid w:val="000341FD"/>
    <w:rsid w:val="00041449"/>
    <w:rsid w:val="00042CBB"/>
    <w:rsid w:val="00043547"/>
    <w:rsid w:val="00053ABA"/>
    <w:rsid w:val="00054A01"/>
    <w:rsid w:val="000573AE"/>
    <w:rsid w:val="00060431"/>
    <w:rsid w:val="00064F5C"/>
    <w:rsid w:val="00064FD1"/>
    <w:rsid w:val="0006537B"/>
    <w:rsid w:val="00065AE7"/>
    <w:rsid w:val="00071FC1"/>
    <w:rsid w:val="00073F39"/>
    <w:rsid w:val="000742C8"/>
    <w:rsid w:val="00074497"/>
    <w:rsid w:val="000753F6"/>
    <w:rsid w:val="00080903"/>
    <w:rsid w:val="000864E3"/>
    <w:rsid w:val="000A2863"/>
    <w:rsid w:val="000C013F"/>
    <w:rsid w:val="000C7DC8"/>
    <w:rsid w:val="000D1B43"/>
    <w:rsid w:val="000D521D"/>
    <w:rsid w:val="000E13C2"/>
    <w:rsid w:val="000E4EDA"/>
    <w:rsid w:val="000E58E6"/>
    <w:rsid w:val="000F4A75"/>
    <w:rsid w:val="000F59BD"/>
    <w:rsid w:val="001005EB"/>
    <w:rsid w:val="001030FE"/>
    <w:rsid w:val="00103CAB"/>
    <w:rsid w:val="00113C3E"/>
    <w:rsid w:val="00115A6A"/>
    <w:rsid w:val="00116B9D"/>
    <w:rsid w:val="00117FBE"/>
    <w:rsid w:val="00120F5A"/>
    <w:rsid w:val="0012256C"/>
    <w:rsid w:val="00122751"/>
    <w:rsid w:val="001232A4"/>
    <w:rsid w:val="00123CBF"/>
    <w:rsid w:val="00130A5E"/>
    <w:rsid w:val="00135ACF"/>
    <w:rsid w:val="00141AC8"/>
    <w:rsid w:val="00154D24"/>
    <w:rsid w:val="00155C10"/>
    <w:rsid w:val="0016173C"/>
    <w:rsid w:val="00176898"/>
    <w:rsid w:val="0018112F"/>
    <w:rsid w:val="00185723"/>
    <w:rsid w:val="00186234"/>
    <w:rsid w:val="00191AC1"/>
    <w:rsid w:val="00192E29"/>
    <w:rsid w:val="00196BFB"/>
    <w:rsid w:val="001A1F26"/>
    <w:rsid w:val="001B1AD2"/>
    <w:rsid w:val="001B4850"/>
    <w:rsid w:val="001B4CC6"/>
    <w:rsid w:val="001C4479"/>
    <w:rsid w:val="001C6043"/>
    <w:rsid w:val="001C76F2"/>
    <w:rsid w:val="001D2AEC"/>
    <w:rsid w:val="001D55A0"/>
    <w:rsid w:val="001D5D80"/>
    <w:rsid w:val="001D5E0D"/>
    <w:rsid w:val="001E272B"/>
    <w:rsid w:val="001E511A"/>
    <w:rsid w:val="001F2BFB"/>
    <w:rsid w:val="00201BCD"/>
    <w:rsid w:val="002069A8"/>
    <w:rsid w:val="00212EFC"/>
    <w:rsid w:val="0021587B"/>
    <w:rsid w:val="0022592D"/>
    <w:rsid w:val="00226CB8"/>
    <w:rsid w:val="0022737D"/>
    <w:rsid w:val="0023172D"/>
    <w:rsid w:val="00232C10"/>
    <w:rsid w:val="00236D5D"/>
    <w:rsid w:val="00237D53"/>
    <w:rsid w:val="0024073B"/>
    <w:rsid w:val="00243443"/>
    <w:rsid w:val="00244450"/>
    <w:rsid w:val="002505D4"/>
    <w:rsid w:val="00250988"/>
    <w:rsid w:val="002526F4"/>
    <w:rsid w:val="0026292D"/>
    <w:rsid w:val="00265A64"/>
    <w:rsid w:val="00276BC8"/>
    <w:rsid w:val="00281333"/>
    <w:rsid w:val="00281B8C"/>
    <w:rsid w:val="00281E20"/>
    <w:rsid w:val="0029081F"/>
    <w:rsid w:val="00293E6B"/>
    <w:rsid w:val="00295E76"/>
    <w:rsid w:val="002A146C"/>
    <w:rsid w:val="002A1ECE"/>
    <w:rsid w:val="002A2203"/>
    <w:rsid w:val="002A2F4A"/>
    <w:rsid w:val="002A3DD3"/>
    <w:rsid w:val="002A5BF3"/>
    <w:rsid w:val="002B46D2"/>
    <w:rsid w:val="002B6C7C"/>
    <w:rsid w:val="002C2583"/>
    <w:rsid w:val="002C29E0"/>
    <w:rsid w:val="002D382A"/>
    <w:rsid w:val="002E2446"/>
    <w:rsid w:val="002E3E0A"/>
    <w:rsid w:val="002E401B"/>
    <w:rsid w:val="002E4C3C"/>
    <w:rsid w:val="002E791D"/>
    <w:rsid w:val="002F039C"/>
    <w:rsid w:val="002F470A"/>
    <w:rsid w:val="002F50DB"/>
    <w:rsid w:val="002F5145"/>
    <w:rsid w:val="00301A8B"/>
    <w:rsid w:val="00311099"/>
    <w:rsid w:val="00311E11"/>
    <w:rsid w:val="0031685A"/>
    <w:rsid w:val="0031787A"/>
    <w:rsid w:val="00327784"/>
    <w:rsid w:val="00335D3C"/>
    <w:rsid w:val="0033751F"/>
    <w:rsid w:val="00345978"/>
    <w:rsid w:val="00347750"/>
    <w:rsid w:val="003510E6"/>
    <w:rsid w:val="00355AEC"/>
    <w:rsid w:val="0037064C"/>
    <w:rsid w:val="00375173"/>
    <w:rsid w:val="00380322"/>
    <w:rsid w:val="00396ADF"/>
    <w:rsid w:val="003A1DD2"/>
    <w:rsid w:val="003A3BF5"/>
    <w:rsid w:val="003B0F92"/>
    <w:rsid w:val="003B1620"/>
    <w:rsid w:val="003B33C5"/>
    <w:rsid w:val="003B4FB2"/>
    <w:rsid w:val="003C34B6"/>
    <w:rsid w:val="003C5C36"/>
    <w:rsid w:val="003C7142"/>
    <w:rsid w:val="003D087B"/>
    <w:rsid w:val="003D6F5F"/>
    <w:rsid w:val="003E0861"/>
    <w:rsid w:val="003E08ED"/>
    <w:rsid w:val="003E4615"/>
    <w:rsid w:val="003E5338"/>
    <w:rsid w:val="003F31AA"/>
    <w:rsid w:val="004003DB"/>
    <w:rsid w:val="004068DD"/>
    <w:rsid w:val="00411477"/>
    <w:rsid w:val="00416813"/>
    <w:rsid w:val="00421C73"/>
    <w:rsid w:val="00422BD9"/>
    <w:rsid w:val="004235E7"/>
    <w:rsid w:val="00431677"/>
    <w:rsid w:val="00431C01"/>
    <w:rsid w:val="00432E38"/>
    <w:rsid w:val="00456B99"/>
    <w:rsid w:val="004577A8"/>
    <w:rsid w:val="004608E6"/>
    <w:rsid w:val="00464B3D"/>
    <w:rsid w:val="00466BF0"/>
    <w:rsid w:val="0048229C"/>
    <w:rsid w:val="00493593"/>
    <w:rsid w:val="004938DE"/>
    <w:rsid w:val="00495D44"/>
    <w:rsid w:val="004979D6"/>
    <w:rsid w:val="004B073B"/>
    <w:rsid w:val="004B5535"/>
    <w:rsid w:val="004B7C9F"/>
    <w:rsid w:val="004C1557"/>
    <w:rsid w:val="004D1B4E"/>
    <w:rsid w:val="004D404F"/>
    <w:rsid w:val="004D5D9C"/>
    <w:rsid w:val="004E02B2"/>
    <w:rsid w:val="004E41F8"/>
    <w:rsid w:val="004E5AF9"/>
    <w:rsid w:val="004F0BCB"/>
    <w:rsid w:val="004F6E7E"/>
    <w:rsid w:val="00501A8E"/>
    <w:rsid w:val="00504120"/>
    <w:rsid w:val="00516F5B"/>
    <w:rsid w:val="00523FC3"/>
    <w:rsid w:val="005259F5"/>
    <w:rsid w:val="00530410"/>
    <w:rsid w:val="00530AC7"/>
    <w:rsid w:val="00535D56"/>
    <w:rsid w:val="00542187"/>
    <w:rsid w:val="0054377A"/>
    <w:rsid w:val="005447EB"/>
    <w:rsid w:val="005460D4"/>
    <w:rsid w:val="005519A4"/>
    <w:rsid w:val="0055374E"/>
    <w:rsid w:val="00557676"/>
    <w:rsid w:val="00562426"/>
    <w:rsid w:val="00565B17"/>
    <w:rsid w:val="00570639"/>
    <w:rsid w:val="0057303B"/>
    <w:rsid w:val="00583BF4"/>
    <w:rsid w:val="0058428E"/>
    <w:rsid w:val="00584D9F"/>
    <w:rsid w:val="005927D9"/>
    <w:rsid w:val="005940E3"/>
    <w:rsid w:val="00595E0A"/>
    <w:rsid w:val="005963D5"/>
    <w:rsid w:val="0059769B"/>
    <w:rsid w:val="005A06F0"/>
    <w:rsid w:val="005A5A9A"/>
    <w:rsid w:val="005B1F12"/>
    <w:rsid w:val="005B5201"/>
    <w:rsid w:val="005B69D1"/>
    <w:rsid w:val="005C194D"/>
    <w:rsid w:val="005C3068"/>
    <w:rsid w:val="005C5FD3"/>
    <w:rsid w:val="005C6278"/>
    <w:rsid w:val="005C78A8"/>
    <w:rsid w:val="005D2556"/>
    <w:rsid w:val="005D6D2F"/>
    <w:rsid w:val="005E3153"/>
    <w:rsid w:val="005E3C9C"/>
    <w:rsid w:val="005E68A7"/>
    <w:rsid w:val="005F0717"/>
    <w:rsid w:val="005F4112"/>
    <w:rsid w:val="005F6F68"/>
    <w:rsid w:val="00600B22"/>
    <w:rsid w:val="00600EC1"/>
    <w:rsid w:val="00602765"/>
    <w:rsid w:val="00605DEB"/>
    <w:rsid w:val="0060685C"/>
    <w:rsid w:val="00610021"/>
    <w:rsid w:val="006100AA"/>
    <w:rsid w:val="0061175E"/>
    <w:rsid w:val="00611E79"/>
    <w:rsid w:val="00613C00"/>
    <w:rsid w:val="0061698B"/>
    <w:rsid w:val="00617266"/>
    <w:rsid w:val="00621FB3"/>
    <w:rsid w:val="00623753"/>
    <w:rsid w:val="00631F48"/>
    <w:rsid w:val="0063512E"/>
    <w:rsid w:val="0065275A"/>
    <w:rsid w:val="00653F84"/>
    <w:rsid w:val="0065657C"/>
    <w:rsid w:val="00657639"/>
    <w:rsid w:val="0066005A"/>
    <w:rsid w:val="006619EB"/>
    <w:rsid w:val="00662A72"/>
    <w:rsid w:val="0066490A"/>
    <w:rsid w:val="00665109"/>
    <w:rsid w:val="00667DF4"/>
    <w:rsid w:val="00670AD8"/>
    <w:rsid w:val="00675F69"/>
    <w:rsid w:val="006801AF"/>
    <w:rsid w:val="0069344E"/>
    <w:rsid w:val="00693C4A"/>
    <w:rsid w:val="0069599E"/>
    <w:rsid w:val="006A029A"/>
    <w:rsid w:val="006A1165"/>
    <w:rsid w:val="006A71B9"/>
    <w:rsid w:val="006B0164"/>
    <w:rsid w:val="006B6291"/>
    <w:rsid w:val="006B69D1"/>
    <w:rsid w:val="006C4B32"/>
    <w:rsid w:val="006C6E4F"/>
    <w:rsid w:val="006D0F5A"/>
    <w:rsid w:val="006D1787"/>
    <w:rsid w:val="006D1884"/>
    <w:rsid w:val="006D2A12"/>
    <w:rsid w:val="006E4663"/>
    <w:rsid w:val="006E523B"/>
    <w:rsid w:val="006E6271"/>
    <w:rsid w:val="006F44CC"/>
    <w:rsid w:val="006F5A2A"/>
    <w:rsid w:val="006F635D"/>
    <w:rsid w:val="007103E2"/>
    <w:rsid w:val="00711C68"/>
    <w:rsid w:val="00712217"/>
    <w:rsid w:val="007165E5"/>
    <w:rsid w:val="007300B1"/>
    <w:rsid w:val="007464EC"/>
    <w:rsid w:val="007545C4"/>
    <w:rsid w:val="007563AA"/>
    <w:rsid w:val="0075757A"/>
    <w:rsid w:val="00760569"/>
    <w:rsid w:val="00760AA7"/>
    <w:rsid w:val="00761DDF"/>
    <w:rsid w:val="007676BB"/>
    <w:rsid w:val="0077280F"/>
    <w:rsid w:val="00772897"/>
    <w:rsid w:val="0077440F"/>
    <w:rsid w:val="00775433"/>
    <w:rsid w:val="0077702A"/>
    <w:rsid w:val="0078397D"/>
    <w:rsid w:val="0079306A"/>
    <w:rsid w:val="00795D98"/>
    <w:rsid w:val="007A2744"/>
    <w:rsid w:val="007A765A"/>
    <w:rsid w:val="007A7F6A"/>
    <w:rsid w:val="007B3ED3"/>
    <w:rsid w:val="007B7B56"/>
    <w:rsid w:val="007C7B78"/>
    <w:rsid w:val="007D758D"/>
    <w:rsid w:val="007E460C"/>
    <w:rsid w:val="007E4E0E"/>
    <w:rsid w:val="007E6660"/>
    <w:rsid w:val="007F010B"/>
    <w:rsid w:val="007F0119"/>
    <w:rsid w:val="007F3968"/>
    <w:rsid w:val="007F44EA"/>
    <w:rsid w:val="007F50E7"/>
    <w:rsid w:val="007F5DD1"/>
    <w:rsid w:val="00810D0F"/>
    <w:rsid w:val="0081176D"/>
    <w:rsid w:val="00813BDD"/>
    <w:rsid w:val="008145AF"/>
    <w:rsid w:val="00817E90"/>
    <w:rsid w:val="00821682"/>
    <w:rsid w:val="00821F2C"/>
    <w:rsid w:val="008316E6"/>
    <w:rsid w:val="008323C0"/>
    <w:rsid w:val="0083415B"/>
    <w:rsid w:val="00840927"/>
    <w:rsid w:val="008412C0"/>
    <w:rsid w:val="00847E3A"/>
    <w:rsid w:val="00851929"/>
    <w:rsid w:val="00853FB6"/>
    <w:rsid w:val="0085404F"/>
    <w:rsid w:val="008558DA"/>
    <w:rsid w:val="008635D2"/>
    <w:rsid w:val="00873071"/>
    <w:rsid w:val="008743D5"/>
    <w:rsid w:val="00874784"/>
    <w:rsid w:val="00874A51"/>
    <w:rsid w:val="0088363A"/>
    <w:rsid w:val="00885695"/>
    <w:rsid w:val="00886DFF"/>
    <w:rsid w:val="0089120B"/>
    <w:rsid w:val="00893614"/>
    <w:rsid w:val="008941E2"/>
    <w:rsid w:val="00895AE4"/>
    <w:rsid w:val="0089689D"/>
    <w:rsid w:val="008A24AB"/>
    <w:rsid w:val="008A3F0C"/>
    <w:rsid w:val="008C271B"/>
    <w:rsid w:val="008C5824"/>
    <w:rsid w:val="008D16CC"/>
    <w:rsid w:val="008D3B27"/>
    <w:rsid w:val="008E04D6"/>
    <w:rsid w:val="008E3DD6"/>
    <w:rsid w:val="008E59FB"/>
    <w:rsid w:val="008E5CDA"/>
    <w:rsid w:val="008F2E89"/>
    <w:rsid w:val="009023C0"/>
    <w:rsid w:val="009024E3"/>
    <w:rsid w:val="009063F5"/>
    <w:rsid w:val="009143F6"/>
    <w:rsid w:val="009162DE"/>
    <w:rsid w:val="00921782"/>
    <w:rsid w:val="00932AD1"/>
    <w:rsid w:val="00934732"/>
    <w:rsid w:val="00936AF6"/>
    <w:rsid w:val="00936C9F"/>
    <w:rsid w:val="0094631F"/>
    <w:rsid w:val="00947068"/>
    <w:rsid w:val="00953E53"/>
    <w:rsid w:val="0095572A"/>
    <w:rsid w:val="00956091"/>
    <w:rsid w:val="00956E3B"/>
    <w:rsid w:val="00962F3F"/>
    <w:rsid w:val="00963D6D"/>
    <w:rsid w:val="00971274"/>
    <w:rsid w:val="00976534"/>
    <w:rsid w:val="009832E8"/>
    <w:rsid w:val="009968EA"/>
    <w:rsid w:val="00997266"/>
    <w:rsid w:val="009B38C4"/>
    <w:rsid w:val="009B7ADA"/>
    <w:rsid w:val="009C3850"/>
    <w:rsid w:val="009C3D2B"/>
    <w:rsid w:val="009C4AE0"/>
    <w:rsid w:val="009C57C9"/>
    <w:rsid w:val="009C67C0"/>
    <w:rsid w:val="009D3154"/>
    <w:rsid w:val="009D497E"/>
    <w:rsid w:val="009F0BD4"/>
    <w:rsid w:val="009F0F5C"/>
    <w:rsid w:val="009F273F"/>
    <w:rsid w:val="009F394D"/>
    <w:rsid w:val="00A02325"/>
    <w:rsid w:val="00A1063C"/>
    <w:rsid w:val="00A10794"/>
    <w:rsid w:val="00A131F2"/>
    <w:rsid w:val="00A14BD0"/>
    <w:rsid w:val="00A17C9B"/>
    <w:rsid w:val="00A26DE6"/>
    <w:rsid w:val="00A30176"/>
    <w:rsid w:val="00A30208"/>
    <w:rsid w:val="00A302CC"/>
    <w:rsid w:val="00A309DF"/>
    <w:rsid w:val="00A3519C"/>
    <w:rsid w:val="00A4384F"/>
    <w:rsid w:val="00A521BD"/>
    <w:rsid w:val="00A5406D"/>
    <w:rsid w:val="00A5540F"/>
    <w:rsid w:val="00A56992"/>
    <w:rsid w:val="00A63C99"/>
    <w:rsid w:val="00A64F6D"/>
    <w:rsid w:val="00A674E0"/>
    <w:rsid w:val="00A678A9"/>
    <w:rsid w:val="00A801F6"/>
    <w:rsid w:val="00A9305C"/>
    <w:rsid w:val="00A939E3"/>
    <w:rsid w:val="00A96B5D"/>
    <w:rsid w:val="00A97267"/>
    <w:rsid w:val="00A976AE"/>
    <w:rsid w:val="00A97A74"/>
    <w:rsid w:val="00AA1B9B"/>
    <w:rsid w:val="00AA5DB2"/>
    <w:rsid w:val="00AC1303"/>
    <w:rsid w:val="00AD0088"/>
    <w:rsid w:val="00AD7380"/>
    <w:rsid w:val="00AE4A3B"/>
    <w:rsid w:val="00AE673A"/>
    <w:rsid w:val="00AF31DF"/>
    <w:rsid w:val="00AF533C"/>
    <w:rsid w:val="00B00BA5"/>
    <w:rsid w:val="00B135A2"/>
    <w:rsid w:val="00B30FC8"/>
    <w:rsid w:val="00B320DA"/>
    <w:rsid w:val="00B36F06"/>
    <w:rsid w:val="00B42043"/>
    <w:rsid w:val="00B53831"/>
    <w:rsid w:val="00B5596E"/>
    <w:rsid w:val="00B57AC9"/>
    <w:rsid w:val="00B60D68"/>
    <w:rsid w:val="00B61EB6"/>
    <w:rsid w:val="00B62347"/>
    <w:rsid w:val="00B8752C"/>
    <w:rsid w:val="00B87A68"/>
    <w:rsid w:val="00B91558"/>
    <w:rsid w:val="00B96EA5"/>
    <w:rsid w:val="00BA5CFA"/>
    <w:rsid w:val="00BA6E47"/>
    <w:rsid w:val="00BB20EE"/>
    <w:rsid w:val="00BB37BC"/>
    <w:rsid w:val="00BC127C"/>
    <w:rsid w:val="00BC4434"/>
    <w:rsid w:val="00BC7F22"/>
    <w:rsid w:val="00BD2533"/>
    <w:rsid w:val="00BD2596"/>
    <w:rsid w:val="00BD728E"/>
    <w:rsid w:val="00BE0D22"/>
    <w:rsid w:val="00BE2DA3"/>
    <w:rsid w:val="00BE3F5D"/>
    <w:rsid w:val="00BE42C3"/>
    <w:rsid w:val="00BE513E"/>
    <w:rsid w:val="00BF4B24"/>
    <w:rsid w:val="00BF779E"/>
    <w:rsid w:val="00C03BDD"/>
    <w:rsid w:val="00C055C6"/>
    <w:rsid w:val="00C12541"/>
    <w:rsid w:val="00C136FE"/>
    <w:rsid w:val="00C1532E"/>
    <w:rsid w:val="00C156EA"/>
    <w:rsid w:val="00C163A0"/>
    <w:rsid w:val="00C27FF7"/>
    <w:rsid w:val="00C330D4"/>
    <w:rsid w:val="00C4057D"/>
    <w:rsid w:val="00C42518"/>
    <w:rsid w:val="00C4300F"/>
    <w:rsid w:val="00C46AF9"/>
    <w:rsid w:val="00C54187"/>
    <w:rsid w:val="00C60976"/>
    <w:rsid w:val="00C63668"/>
    <w:rsid w:val="00C6F91D"/>
    <w:rsid w:val="00C70DC6"/>
    <w:rsid w:val="00C7181D"/>
    <w:rsid w:val="00C8103F"/>
    <w:rsid w:val="00C81CCF"/>
    <w:rsid w:val="00C81F75"/>
    <w:rsid w:val="00C94101"/>
    <w:rsid w:val="00C9565E"/>
    <w:rsid w:val="00C959A7"/>
    <w:rsid w:val="00CA1060"/>
    <w:rsid w:val="00CA4F38"/>
    <w:rsid w:val="00CA6A96"/>
    <w:rsid w:val="00CB0D97"/>
    <w:rsid w:val="00CB114A"/>
    <w:rsid w:val="00CB2E15"/>
    <w:rsid w:val="00CB3BF5"/>
    <w:rsid w:val="00CB641A"/>
    <w:rsid w:val="00CB6A26"/>
    <w:rsid w:val="00CC20D5"/>
    <w:rsid w:val="00CC41A3"/>
    <w:rsid w:val="00CC6B4F"/>
    <w:rsid w:val="00CD038B"/>
    <w:rsid w:val="00CD49C1"/>
    <w:rsid w:val="00CD682B"/>
    <w:rsid w:val="00CD70A9"/>
    <w:rsid w:val="00CE11C9"/>
    <w:rsid w:val="00CE71FC"/>
    <w:rsid w:val="00CF1F48"/>
    <w:rsid w:val="00CF3DC0"/>
    <w:rsid w:val="00CF6FE7"/>
    <w:rsid w:val="00D04D20"/>
    <w:rsid w:val="00D258B2"/>
    <w:rsid w:val="00D260B1"/>
    <w:rsid w:val="00D40BA3"/>
    <w:rsid w:val="00D44136"/>
    <w:rsid w:val="00D51290"/>
    <w:rsid w:val="00D56E54"/>
    <w:rsid w:val="00D6016B"/>
    <w:rsid w:val="00D60229"/>
    <w:rsid w:val="00D64EDA"/>
    <w:rsid w:val="00D720F5"/>
    <w:rsid w:val="00D77EC7"/>
    <w:rsid w:val="00D80061"/>
    <w:rsid w:val="00D82979"/>
    <w:rsid w:val="00D85DBB"/>
    <w:rsid w:val="00D860AF"/>
    <w:rsid w:val="00D96C9A"/>
    <w:rsid w:val="00DA1DE3"/>
    <w:rsid w:val="00DB3FF0"/>
    <w:rsid w:val="00DB4017"/>
    <w:rsid w:val="00DB6B6A"/>
    <w:rsid w:val="00DC0700"/>
    <w:rsid w:val="00DC1123"/>
    <w:rsid w:val="00DC219C"/>
    <w:rsid w:val="00DC345A"/>
    <w:rsid w:val="00DC453B"/>
    <w:rsid w:val="00DD466D"/>
    <w:rsid w:val="00DD48D9"/>
    <w:rsid w:val="00DD5A54"/>
    <w:rsid w:val="00DD6D02"/>
    <w:rsid w:val="00DE3F7A"/>
    <w:rsid w:val="00DE7B7E"/>
    <w:rsid w:val="00DF0522"/>
    <w:rsid w:val="00DF3BC4"/>
    <w:rsid w:val="00DF6ACA"/>
    <w:rsid w:val="00E03298"/>
    <w:rsid w:val="00E06454"/>
    <w:rsid w:val="00E10A16"/>
    <w:rsid w:val="00E143B8"/>
    <w:rsid w:val="00E2394D"/>
    <w:rsid w:val="00E25C77"/>
    <w:rsid w:val="00E270DF"/>
    <w:rsid w:val="00E2730F"/>
    <w:rsid w:val="00E2794A"/>
    <w:rsid w:val="00E30CAA"/>
    <w:rsid w:val="00E31127"/>
    <w:rsid w:val="00E42F25"/>
    <w:rsid w:val="00E4557E"/>
    <w:rsid w:val="00E45642"/>
    <w:rsid w:val="00E51196"/>
    <w:rsid w:val="00E55B54"/>
    <w:rsid w:val="00E640E2"/>
    <w:rsid w:val="00E65921"/>
    <w:rsid w:val="00E6656D"/>
    <w:rsid w:val="00E6738F"/>
    <w:rsid w:val="00E675A6"/>
    <w:rsid w:val="00E703F6"/>
    <w:rsid w:val="00E74A03"/>
    <w:rsid w:val="00E840C6"/>
    <w:rsid w:val="00E84106"/>
    <w:rsid w:val="00E853FB"/>
    <w:rsid w:val="00E85D5A"/>
    <w:rsid w:val="00E868FE"/>
    <w:rsid w:val="00E8708B"/>
    <w:rsid w:val="00E90988"/>
    <w:rsid w:val="00E94C10"/>
    <w:rsid w:val="00EA15E8"/>
    <w:rsid w:val="00EA201B"/>
    <w:rsid w:val="00EA5B37"/>
    <w:rsid w:val="00EA75C7"/>
    <w:rsid w:val="00EB053A"/>
    <w:rsid w:val="00EB6702"/>
    <w:rsid w:val="00EC3250"/>
    <w:rsid w:val="00EC4EF7"/>
    <w:rsid w:val="00EC6744"/>
    <w:rsid w:val="00ED3379"/>
    <w:rsid w:val="00ED5354"/>
    <w:rsid w:val="00ED570E"/>
    <w:rsid w:val="00EE1A2B"/>
    <w:rsid w:val="00EE58DC"/>
    <w:rsid w:val="00EF568B"/>
    <w:rsid w:val="00F00D26"/>
    <w:rsid w:val="00F02957"/>
    <w:rsid w:val="00F05370"/>
    <w:rsid w:val="00F1344F"/>
    <w:rsid w:val="00F1544C"/>
    <w:rsid w:val="00F165F3"/>
    <w:rsid w:val="00F21D4F"/>
    <w:rsid w:val="00F22017"/>
    <w:rsid w:val="00F27423"/>
    <w:rsid w:val="00F278BD"/>
    <w:rsid w:val="00F343EC"/>
    <w:rsid w:val="00F3744E"/>
    <w:rsid w:val="00F45511"/>
    <w:rsid w:val="00F62531"/>
    <w:rsid w:val="00F6773E"/>
    <w:rsid w:val="00F73A10"/>
    <w:rsid w:val="00F745A5"/>
    <w:rsid w:val="00F749EE"/>
    <w:rsid w:val="00F803D3"/>
    <w:rsid w:val="00F809E1"/>
    <w:rsid w:val="00F91FC9"/>
    <w:rsid w:val="00F9473E"/>
    <w:rsid w:val="00FA492F"/>
    <w:rsid w:val="00FB378F"/>
    <w:rsid w:val="00FC0507"/>
    <w:rsid w:val="00FC6B89"/>
    <w:rsid w:val="00FD5514"/>
    <w:rsid w:val="00FE054F"/>
    <w:rsid w:val="00FE19B5"/>
    <w:rsid w:val="00FE3821"/>
    <w:rsid w:val="00FE507B"/>
    <w:rsid w:val="00FF01FD"/>
    <w:rsid w:val="00FF0E5B"/>
    <w:rsid w:val="00FF37E0"/>
    <w:rsid w:val="00FF49D1"/>
    <w:rsid w:val="01058444"/>
    <w:rsid w:val="0152FE7E"/>
    <w:rsid w:val="018A6658"/>
    <w:rsid w:val="023D12A4"/>
    <w:rsid w:val="0262010A"/>
    <w:rsid w:val="028F7642"/>
    <w:rsid w:val="02F09609"/>
    <w:rsid w:val="0306B5DE"/>
    <w:rsid w:val="0339AAA8"/>
    <w:rsid w:val="03E3CA28"/>
    <w:rsid w:val="03FDD16B"/>
    <w:rsid w:val="04048312"/>
    <w:rsid w:val="041CB0BF"/>
    <w:rsid w:val="04596F0C"/>
    <w:rsid w:val="047DFFE9"/>
    <w:rsid w:val="0543E15A"/>
    <w:rsid w:val="0599A1CC"/>
    <w:rsid w:val="05BF45C2"/>
    <w:rsid w:val="05CCD0AB"/>
    <w:rsid w:val="05D9CA9F"/>
    <w:rsid w:val="067381F7"/>
    <w:rsid w:val="06DB4283"/>
    <w:rsid w:val="0735722D"/>
    <w:rsid w:val="07B4C6DB"/>
    <w:rsid w:val="0865D569"/>
    <w:rsid w:val="08A7BEC2"/>
    <w:rsid w:val="08CC87B1"/>
    <w:rsid w:val="08F6E684"/>
    <w:rsid w:val="094B8DC9"/>
    <w:rsid w:val="0983011A"/>
    <w:rsid w:val="09A47978"/>
    <w:rsid w:val="09CCC3B3"/>
    <w:rsid w:val="0A103F63"/>
    <w:rsid w:val="0B44BF4A"/>
    <w:rsid w:val="0B9D762B"/>
    <w:rsid w:val="0BADE3D0"/>
    <w:rsid w:val="0BBFAEFB"/>
    <w:rsid w:val="0C13758E"/>
    <w:rsid w:val="0C24CB64"/>
    <w:rsid w:val="0C33670F"/>
    <w:rsid w:val="0C433489"/>
    <w:rsid w:val="0CB16329"/>
    <w:rsid w:val="0CB58F7A"/>
    <w:rsid w:val="0CD90917"/>
    <w:rsid w:val="0D1A9228"/>
    <w:rsid w:val="0E56723D"/>
    <w:rsid w:val="0E60AD5B"/>
    <w:rsid w:val="0EC3427C"/>
    <w:rsid w:val="0FBF59BE"/>
    <w:rsid w:val="10003CE4"/>
    <w:rsid w:val="1026953F"/>
    <w:rsid w:val="102DE5A7"/>
    <w:rsid w:val="1075EBFB"/>
    <w:rsid w:val="11243C41"/>
    <w:rsid w:val="11B9AFBB"/>
    <w:rsid w:val="126663D6"/>
    <w:rsid w:val="1284A8FF"/>
    <w:rsid w:val="12A7A934"/>
    <w:rsid w:val="12A91BB7"/>
    <w:rsid w:val="1345D638"/>
    <w:rsid w:val="1389C494"/>
    <w:rsid w:val="13901230"/>
    <w:rsid w:val="13C344D1"/>
    <w:rsid w:val="13D0347A"/>
    <w:rsid w:val="14B54457"/>
    <w:rsid w:val="14E4AFA8"/>
    <w:rsid w:val="1571D815"/>
    <w:rsid w:val="159C292A"/>
    <w:rsid w:val="16034CC8"/>
    <w:rsid w:val="19440BD8"/>
    <w:rsid w:val="195107C2"/>
    <w:rsid w:val="1954C56D"/>
    <w:rsid w:val="19E1EB2C"/>
    <w:rsid w:val="1A30F495"/>
    <w:rsid w:val="1A9BC062"/>
    <w:rsid w:val="1AA36F15"/>
    <w:rsid w:val="1AB06294"/>
    <w:rsid w:val="1AD9B499"/>
    <w:rsid w:val="1AF62574"/>
    <w:rsid w:val="1B96D7F3"/>
    <w:rsid w:val="1D1F45A6"/>
    <w:rsid w:val="1DF51614"/>
    <w:rsid w:val="1ECE1746"/>
    <w:rsid w:val="1EF3283D"/>
    <w:rsid w:val="1EF6E703"/>
    <w:rsid w:val="1EF95E6C"/>
    <w:rsid w:val="1F5E9562"/>
    <w:rsid w:val="1F8AD85D"/>
    <w:rsid w:val="20319F18"/>
    <w:rsid w:val="208CC4A0"/>
    <w:rsid w:val="2091E6D0"/>
    <w:rsid w:val="20D868DA"/>
    <w:rsid w:val="20ED8A71"/>
    <w:rsid w:val="221698CB"/>
    <w:rsid w:val="221D55C4"/>
    <w:rsid w:val="22391565"/>
    <w:rsid w:val="22576FB3"/>
    <w:rsid w:val="228BA442"/>
    <w:rsid w:val="22DEC1AB"/>
    <w:rsid w:val="2358A005"/>
    <w:rsid w:val="248BD298"/>
    <w:rsid w:val="24AD18A7"/>
    <w:rsid w:val="250D97D1"/>
    <w:rsid w:val="2512F05A"/>
    <w:rsid w:val="25864E6C"/>
    <w:rsid w:val="25F16EC1"/>
    <w:rsid w:val="262492CC"/>
    <w:rsid w:val="2651ED28"/>
    <w:rsid w:val="26D39704"/>
    <w:rsid w:val="278D535A"/>
    <w:rsid w:val="27B232CE"/>
    <w:rsid w:val="2871CD4C"/>
    <w:rsid w:val="290BF1B3"/>
    <w:rsid w:val="298ADC22"/>
    <w:rsid w:val="2999425F"/>
    <w:rsid w:val="29BD8E14"/>
    <w:rsid w:val="29E2D2F0"/>
    <w:rsid w:val="2AF268FC"/>
    <w:rsid w:val="2AF63F89"/>
    <w:rsid w:val="2B65B345"/>
    <w:rsid w:val="2BFA7C8B"/>
    <w:rsid w:val="2C016140"/>
    <w:rsid w:val="2C0C44A4"/>
    <w:rsid w:val="2CED2B2A"/>
    <w:rsid w:val="2D258110"/>
    <w:rsid w:val="2D530D26"/>
    <w:rsid w:val="2D6B6DE7"/>
    <w:rsid w:val="2D7813B2"/>
    <w:rsid w:val="2D98773A"/>
    <w:rsid w:val="2ED9719D"/>
    <w:rsid w:val="2F3BCB92"/>
    <w:rsid w:val="2FE21841"/>
    <w:rsid w:val="302773D7"/>
    <w:rsid w:val="30C686C5"/>
    <w:rsid w:val="31080A3F"/>
    <w:rsid w:val="31C0F2D4"/>
    <w:rsid w:val="31C34438"/>
    <w:rsid w:val="32909CD7"/>
    <w:rsid w:val="333D3E57"/>
    <w:rsid w:val="338571FD"/>
    <w:rsid w:val="3401570B"/>
    <w:rsid w:val="3451DB6D"/>
    <w:rsid w:val="345A6A08"/>
    <w:rsid w:val="34881B37"/>
    <w:rsid w:val="34B757C0"/>
    <w:rsid w:val="34C41D49"/>
    <w:rsid w:val="34DE5C4E"/>
    <w:rsid w:val="34ED1404"/>
    <w:rsid w:val="354868DB"/>
    <w:rsid w:val="3583E0D0"/>
    <w:rsid w:val="35907C1D"/>
    <w:rsid w:val="35CA4A04"/>
    <w:rsid w:val="368117B8"/>
    <w:rsid w:val="36AB6C79"/>
    <w:rsid w:val="36BE9546"/>
    <w:rsid w:val="36E26A84"/>
    <w:rsid w:val="37A35716"/>
    <w:rsid w:val="3859CC5A"/>
    <w:rsid w:val="38F2F0E9"/>
    <w:rsid w:val="39121061"/>
    <w:rsid w:val="394A518A"/>
    <w:rsid w:val="398AEDF4"/>
    <w:rsid w:val="39A25421"/>
    <w:rsid w:val="39C80942"/>
    <w:rsid w:val="39CDC90C"/>
    <w:rsid w:val="3A487005"/>
    <w:rsid w:val="3AA7F494"/>
    <w:rsid w:val="3AAB592B"/>
    <w:rsid w:val="3AF3F058"/>
    <w:rsid w:val="3BC9DF7F"/>
    <w:rsid w:val="3BD25F6C"/>
    <w:rsid w:val="3CFD4AA3"/>
    <w:rsid w:val="3EBF2DF7"/>
    <w:rsid w:val="40E1F7D5"/>
    <w:rsid w:val="40ECD13B"/>
    <w:rsid w:val="41CADF70"/>
    <w:rsid w:val="42EB1DD6"/>
    <w:rsid w:val="4350F801"/>
    <w:rsid w:val="4598499C"/>
    <w:rsid w:val="459CC74F"/>
    <w:rsid w:val="459E95FE"/>
    <w:rsid w:val="46DE6A2E"/>
    <w:rsid w:val="478C2C1A"/>
    <w:rsid w:val="48CA0456"/>
    <w:rsid w:val="49BD4DBF"/>
    <w:rsid w:val="49E6DFBB"/>
    <w:rsid w:val="4A275485"/>
    <w:rsid w:val="4AD84C40"/>
    <w:rsid w:val="4B36E0C7"/>
    <w:rsid w:val="4C29BE95"/>
    <w:rsid w:val="4C6C5D1E"/>
    <w:rsid w:val="4CB9D20B"/>
    <w:rsid w:val="4CF6A3E8"/>
    <w:rsid w:val="4D2775FB"/>
    <w:rsid w:val="4D534CAF"/>
    <w:rsid w:val="4D5524CD"/>
    <w:rsid w:val="4D6AC764"/>
    <w:rsid w:val="4DB6E94F"/>
    <w:rsid w:val="4DD8DDA4"/>
    <w:rsid w:val="4DF6B53F"/>
    <w:rsid w:val="4E11DED8"/>
    <w:rsid w:val="4E484E0E"/>
    <w:rsid w:val="4F1A8317"/>
    <w:rsid w:val="4F408F80"/>
    <w:rsid w:val="4F86CAEF"/>
    <w:rsid w:val="4FE8C131"/>
    <w:rsid w:val="4FE958F9"/>
    <w:rsid w:val="4FF51542"/>
    <w:rsid w:val="502A1237"/>
    <w:rsid w:val="5031C131"/>
    <w:rsid w:val="5091490C"/>
    <w:rsid w:val="512DF40A"/>
    <w:rsid w:val="51A8EA23"/>
    <w:rsid w:val="51F5A736"/>
    <w:rsid w:val="52163AE5"/>
    <w:rsid w:val="537DE013"/>
    <w:rsid w:val="53DAF19A"/>
    <w:rsid w:val="54247C98"/>
    <w:rsid w:val="547B066B"/>
    <w:rsid w:val="547DC209"/>
    <w:rsid w:val="548D3D61"/>
    <w:rsid w:val="55615D21"/>
    <w:rsid w:val="56DB659B"/>
    <w:rsid w:val="56F25E0A"/>
    <w:rsid w:val="58277D66"/>
    <w:rsid w:val="582C7D91"/>
    <w:rsid w:val="586A33D7"/>
    <w:rsid w:val="58F8830B"/>
    <w:rsid w:val="594AF584"/>
    <w:rsid w:val="599C1A37"/>
    <w:rsid w:val="59AC588D"/>
    <w:rsid w:val="5A03EFEE"/>
    <w:rsid w:val="5AD04B78"/>
    <w:rsid w:val="5AE49F30"/>
    <w:rsid w:val="5C545510"/>
    <w:rsid w:val="5C78F62E"/>
    <w:rsid w:val="5CFE95E2"/>
    <w:rsid w:val="5D9DB3D1"/>
    <w:rsid w:val="5DADB7B8"/>
    <w:rsid w:val="5ECEA61E"/>
    <w:rsid w:val="5ED94F9F"/>
    <w:rsid w:val="5F759E5B"/>
    <w:rsid w:val="5FB2654C"/>
    <w:rsid w:val="5FB2F1DF"/>
    <w:rsid w:val="603636A4"/>
    <w:rsid w:val="604EBCE5"/>
    <w:rsid w:val="60F7DF18"/>
    <w:rsid w:val="614A6867"/>
    <w:rsid w:val="6263DF14"/>
    <w:rsid w:val="628C42E9"/>
    <w:rsid w:val="62ED3E4D"/>
    <w:rsid w:val="631688F4"/>
    <w:rsid w:val="631EA4C7"/>
    <w:rsid w:val="63313EE0"/>
    <w:rsid w:val="64337FA8"/>
    <w:rsid w:val="6480A05C"/>
    <w:rsid w:val="6492FE09"/>
    <w:rsid w:val="64C9A608"/>
    <w:rsid w:val="6509A7C7"/>
    <w:rsid w:val="65F73714"/>
    <w:rsid w:val="66DB7C2B"/>
    <w:rsid w:val="6732145D"/>
    <w:rsid w:val="6779BC0A"/>
    <w:rsid w:val="67C9302B"/>
    <w:rsid w:val="6824F822"/>
    <w:rsid w:val="6913EBFC"/>
    <w:rsid w:val="69DC9C90"/>
    <w:rsid w:val="69E89EBA"/>
    <w:rsid w:val="6A347C44"/>
    <w:rsid w:val="6A69ADC7"/>
    <w:rsid w:val="6A71874C"/>
    <w:rsid w:val="6AB129D5"/>
    <w:rsid w:val="6AF9946D"/>
    <w:rsid w:val="6BD90DC0"/>
    <w:rsid w:val="6C341875"/>
    <w:rsid w:val="6C5F0CE6"/>
    <w:rsid w:val="6E0D3A08"/>
    <w:rsid w:val="6E1C1DC3"/>
    <w:rsid w:val="6E5C39EA"/>
    <w:rsid w:val="6F7B429E"/>
    <w:rsid w:val="6FA2DE5D"/>
    <w:rsid w:val="7098A76B"/>
    <w:rsid w:val="70F105BB"/>
    <w:rsid w:val="70FC8BB1"/>
    <w:rsid w:val="711712FF"/>
    <w:rsid w:val="713D19F3"/>
    <w:rsid w:val="71649C7D"/>
    <w:rsid w:val="730C79BD"/>
    <w:rsid w:val="73848566"/>
    <w:rsid w:val="73939A7C"/>
    <w:rsid w:val="740F4072"/>
    <w:rsid w:val="752D1F19"/>
    <w:rsid w:val="75F8F095"/>
    <w:rsid w:val="76167799"/>
    <w:rsid w:val="765EA439"/>
    <w:rsid w:val="77A3B057"/>
    <w:rsid w:val="77DEB158"/>
    <w:rsid w:val="785F59D9"/>
    <w:rsid w:val="78670B9F"/>
    <w:rsid w:val="786C9B45"/>
    <w:rsid w:val="789C5D83"/>
    <w:rsid w:val="78DE71E0"/>
    <w:rsid w:val="795F28F5"/>
    <w:rsid w:val="798A0A7E"/>
    <w:rsid w:val="7A086BA6"/>
    <w:rsid w:val="7A585A4D"/>
    <w:rsid w:val="7A5B27DF"/>
    <w:rsid w:val="7BC4013C"/>
    <w:rsid w:val="7BE5D653"/>
    <w:rsid w:val="7CB141E2"/>
    <w:rsid w:val="7CBCA49D"/>
    <w:rsid w:val="7D0F7C48"/>
    <w:rsid w:val="7D18A588"/>
    <w:rsid w:val="7DFFE080"/>
    <w:rsid w:val="7E790A54"/>
    <w:rsid w:val="7EEA7816"/>
    <w:rsid w:val="7F02805C"/>
    <w:rsid w:val="7F715B1C"/>
    <w:rsid w:val="7FC9E5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8BCD1"/>
  <w15:chartTrackingRefBased/>
  <w15:docId w15:val="{D3665475-BD8E-4884-BBFE-5B9178E26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0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07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73071"/>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31787A"/>
    <w:rPr>
      <w:b/>
      <w:bCs/>
    </w:rPr>
  </w:style>
  <w:style w:type="character" w:customStyle="1" w:styleId="CommentSubjectChar">
    <w:name w:val="Comment Subject Char"/>
    <w:basedOn w:val="CommentTextChar"/>
    <w:link w:val="CommentSubject"/>
    <w:uiPriority w:val="99"/>
    <w:semiHidden/>
    <w:rsid w:val="0031787A"/>
    <w:rPr>
      <w:b/>
      <w:bCs/>
      <w:sz w:val="20"/>
      <w:szCs w:val="20"/>
    </w:rPr>
  </w:style>
  <w:style w:type="paragraph" w:styleId="Bibliography">
    <w:name w:val="Bibliography"/>
    <w:basedOn w:val="Normal"/>
    <w:next w:val="Normal"/>
    <w:uiPriority w:val="37"/>
    <w:unhideWhenUsed/>
    <w:rsid w:val="00075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4981">
      <w:bodyDiv w:val="1"/>
      <w:marLeft w:val="0"/>
      <w:marRight w:val="0"/>
      <w:marTop w:val="0"/>
      <w:marBottom w:val="0"/>
      <w:divBdr>
        <w:top w:val="none" w:sz="0" w:space="0" w:color="auto"/>
        <w:left w:val="none" w:sz="0" w:space="0" w:color="auto"/>
        <w:bottom w:val="none" w:sz="0" w:space="0" w:color="auto"/>
        <w:right w:val="none" w:sz="0" w:space="0" w:color="auto"/>
      </w:divBdr>
    </w:div>
    <w:div w:id="54937411">
      <w:bodyDiv w:val="1"/>
      <w:marLeft w:val="0"/>
      <w:marRight w:val="0"/>
      <w:marTop w:val="0"/>
      <w:marBottom w:val="0"/>
      <w:divBdr>
        <w:top w:val="none" w:sz="0" w:space="0" w:color="auto"/>
        <w:left w:val="none" w:sz="0" w:space="0" w:color="auto"/>
        <w:bottom w:val="none" w:sz="0" w:space="0" w:color="auto"/>
        <w:right w:val="none" w:sz="0" w:space="0" w:color="auto"/>
      </w:divBdr>
    </w:div>
    <w:div w:id="199515144">
      <w:bodyDiv w:val="1"/>
      <w:marLeft w:val="0"/>
      <w:marRight w:val="0"/>
      <w:marTop w:val="0"/>
      <w:marBottom w:val="0"/>
      <w:divBdr>
        <w:top w:val="none" w:sz="0" w:space="0" w:color="auto"/>
        <w:left w:val="none" w:sz="0" w:space="0" w:color="auto"/>
        <w:bottom w:val="none" w:sz="0" w:space="0" w:color="auto"/>
        <w:right w:val="none" w:sz="0" w:space="0" w:color="auto"/>
      </w:divBdr>
    </w:div>
    <w:div w:id="432362349">
      <w:bodyDiv w:val="1"/>
      <w:marLeft w:val="0"/>
      <w:marRight w:val="0"/>
      <w:marTop w:val="0"/>
      <w:marBottom w:val="0"/>
      <w:divBdr>
        <w:top w:val="none" w:sz="0" w:space="0" w:color="auto"/>
        <w:left w:val="none" w:sz="0" w:space="0" w:color="auto"/>
        <w:bottom w:val="none" w:sz="0" w:space="0" w:color="auto"/>
        <w:right w:val="none" w:sz="0" w:space="0" w:color="auto"/>
      </w:divBdr>
    </w:div>
    <w:div w:id="454952240">
      <w:bodyDiv w:val="1"/>
      <w:marLeft w:val="0"/>
      <w:marRight w:val="0"/>
      <w:marTop w:val="0"/>
      <w:marBottom w:val="0"/>
      <w:divBdr>
        <w:top w:val="none" w:sz="0" w:space="0" w:color="auto"/>
        <w:left w:val="none" w:sz="0" w:space="0" w:color="auto"/>
        <w:bottom w:val="none" w:sz="0" w:space="0" w:color="auto"/>
        <w:right w:val="none" w:sz="0" w:space="0" w:color="auto"/>
      </w:divBdr>
    </w:div>
    <w:div w:id="517501057">
      <w:bodyDiv w:val="1"/>
      <w:marLeft w:val="0"/>
      <w:marRight w:val="0"/>
      <w:marTop w:val="0"/>
      <w:marBottom w:val="0"/>
      <w:divBdr>
        <w:top w:val="none" w:sz="0" w:space="0" w:color="auto"/>
        <w:left w:val="none" w:sz="0" w:space="0" w:color="auto"/>
        <w:bottom w:val="none" w:sz="0" w:space="0" w:color="auto"/>
        <w:right w:val="none" w:sz="0" w:space="0" w:color="auto"/>
      </w:divBdr>
    </w:div>
    <w:div w:id="518856884">
      <w:bodyDiv w:val="1"/>
      <w:marLeft w:val="0"/>
      <w:marRight w:val="0"/>
      <w:marTop w:val="0"/>
      <w:marBottom w:val="0"/>
      <w:divBdr>
        <w:top w:val="none" w:sz="0" w:space="0" w:color="auto"/>
        <w:left w:val="none" w:sz="0" w:space="0" w:color="auto"/>
        <w:bottom w:val="none" w:sz="0" w:space="0" w:color="auto"/>
        <w:right w:val="none" w:sz="0" w:space="0" w:color="auto"/>
      </w:divBdr>
    </w:div>
    <w:div w:id="526675616">
      <w:bodyDiv w:val="1"/>
      <w:marLeft w:val="0"/>
      <w:marRight w:val="0"/>
      <w:marTop w:val="0"/>
      <w:marBottom w:val="0"/>
      <w:divBdr>
        <w:top w:val="none" w:sz="0" w:space="0" w:color="auto"/>
        <w:left w:val="none" w:sz="0" w:space="0" w:color="auto"/>
        <w:bottom w:val="none" w:sz="0" w:space="0" w:color="auto"/>
        <w:right w:val="none" w:sz="0" w:space="0" w:color="auto"/>
      </w:divBdr>
    </w:div>
    <w:div w:id="579485675">
      <w:bodyDiv w:val="1"/>
      <w:marLeft w:val="0"/>
      <w:marRight w:val="0"/>
      <w:marTop w:val="0"/>
      <w:marBottom w:val="0"/>
      <w:divBdr>
        <w:top w:val="none" w:sz="0" w:space="0" w:color="auto"/>
        <w:left w:val="none" w:sz="0" w:space="0" w:color="auto"/>
        <w:bottom w:val="none" w:sz="0" w:space="0" w:color="auto"/>
        <w:right w:val="none" w:sz="0" w:space="0" w:color="auto"/>
      </w:divBdr>
    </w:div>
    <w:div w:id="596137198">
      <w:bodyDiv w:val="1"/>
      <w:marLeft w:val="0"/>
      <w:marRight w:val="0"/>
      <w:marTop w:val="0"/>
      <w:marBottom w:val="0"/>
      <w:divBdr>
        <w:top w:val="none" w:sz="0" w:space="0" w:color="auto"/>
        <w:left w:val="none" w:sz="0" w:space="0" w:color="auto"/>
        <w:bottom w:val="none" w:sz="0" w:space="0" w:color="auto"/>
        <w:right w:val="none" w:sz="0" w:space="0" w:color="auto"/>
      </w:divBdr>
    </w:div>
    <w:div w:id="609430337">
      <w:bodyDiv w:val="1"/>
      <w:marLeft w:val="0"/>
      <w:marRight w:val="0"/>
      <w:marTop w:val="0"/>
      <w:marBottom w:val="0"/>
      <w:divBdr>
        <w:top w:val="none" w:sz="0" w:space="0" w:color="auto"/>
        <w:left w:val="none" w:sz="0" w:space="0" w:color="auto"/>
        <w:bottom w:val="none" w:sz="0" w:space="0" w:color="auto"/>
        <w:right w:val="none" w:sz="0" w:space="0" w:color="auto"/>
      </w:divBdr>
    </w:div>
    <w:div w:id="625548272">
      <w:bodyDiv w:val="1"/>
      <w:marLeft w:val="0"/>
      <w:marRight w:val="0"/>
      <w:marTop w:val="0"/>
      <w:marBottom w:val="0"/>
      <w:divBdr>
        <w:top w:val="none" w:sz="0" w:space="0" w:color="auto"/>
        <w:left w:val="none" w:sz="0" w:space="0" w:color="auto"/>
        <w:bottom w:val="none" w:sz="0" w:space="0" w:color="auto"/>
        <w:right w:val="none" w:sz="0" w:space="0" w:color="auto"/>
      </w:divBdr>
    </w:div>
    <w:div w:id="644512381">
      <w:bodyDiv w:val="1"/>
      <w:marLeft w:val="0"/>
      <w:marRight w:val="0"/>
      <w:marTop w:val="0"/>
      <w:marBottom w:val="0"/>
      <w:divBdr>
        <w:top w:val="none" w:sz="0" w:space="0" w:color="auto"/>
        <w:left w:val="none" w:sz="0" w:space="0" w:color="auto"/>
        <w:bottom w:val="none" w:sz="0" w:space="0" w:color="auto"/>
        <w:right w:val="none" w:sz="0" w:space="0" w:color="auto"/>
      </w:divBdr>
    </w:div>
    <w:div w:id="729109803">
      <w:bodyDiv w:val="1"/>
      <w:marLeft w:val="0"/>
      <w:marRight w:val="0"/>
      <w:marTop w:val="0"/>
      <w:marBottom w:val="0"/>
      <w:divBdr>
        <w:top w:val="none" w:sz="0" w:space="0" w:color="auto"/>
        <w:left w:val="none" w:sz="0" w:space="0" w:color="auto"/>
        <w:bottom w:val="none" w:sz="0" w:space="0" w:color="auto"/>
        <w:right w:val="none" w:sz="0" w:space="0" w:color="auto"/>
      </w:divBdr>
    </w:div>
    <w:div w:id="777873155">
      <w:bodyDiv w:val="1"/>
      <w:marLeft w:val="0"/>
      <w:marRight w:val="0"/>
      <w:marTop w:val="0"/>
      <w:marBottom w:val="0"/>
      <w:divBdr>
        <w:top w:val="none" w:sz="0" w:space="0" w:color="auto"/>
        <w:left w:val="none" w:sz="0" w:space="0" w:color="auto"/>
        <w:bottom w:val="none" w:sz="0" w:space="0" w:color="auto"/>
        <w:right w:val="none" w:sz="0" w:space="0" w:color="auto"/>
      </w:divBdr>
    </w:div>
    <w:div w:id="807280342">
      <w:bodyDiv w:val="1"/>
      <w:marLeft w:val="0"/>
      <w:marRight w:val="0"/>
      <w:marTop w:val="0"/>
      <w:marBottom w:val="0"/>
      <w:divBdr>
        <w:top w:val="none" w:sz="0" w:space="0" w:color="auto"/>
        <w:left w:val="none" w:sz="0" w:space="0" w:color="auto"/>
        <w:bottom w:val="none" w:sz="0" w:space="0" w:color="auto"/>
        <w:right w:val="none" w:sz="0" w:space="0" w:color="auto"/>
      </w:divBdr>
    </w:div>
    <w:div w:id="1004287277">
      <w:bodyDiv w:val="1"/>
      <w:marLeft w:val="0"/>
      <w:marRight w:val="0"/>
      <w:marTop w:val="0"/>
      <w:marBottom w:val="0"/>
      <w:divBdr>
        <w:top w:val="none" w:sz="0" w:space="0" w:color="auto"/>
        <w:left w:val="none" w:sz="0" w:space="0" w:color="auto"/>
        <w:bottom w:val="none" w:sz="0" w:space="0" w:color="auto"/>
        <w:right w:val="none" w:sz="0" w:space="0" w:color="auto"/>
      </w:divBdr>
    </w:div>
    <w:div w:id="1038357265">
      <w:bodyDiv w:val="1"/>
      <w:marLeft w:val="0"/>
      <w:marRight w:val="0"/>
      <w:marTop w:val="0"/>
      <w:marBottom w:val="0"/>
      <w:divBdr>
        <w:top w:val="none" w:sz="0" w:space="0" w:color="auto"/>
        <w:left w:val="none" w:sz="0" w:space="0" w:color="auto"/>
        <w:bottom w:val="none" w:sz="0" w:space="0" w:color="auto"/>
        <w:right w:val="none" w:sz="0" w:space="0" w:color="auto"/>
      </w:divBdr>
    </w:div>
    <w:div w:id="1042440026">
      <w:bodyDiv w:val="1"/>
      <w:marLeft w:val="0"/>
      <w:marRight w:val="0"/>
      <w:marTop w:val="0"/>
      <w:marBottom w:val="0"/>
      <w:divBdr>
        <w:top w:val="none" w:sz="0" w:space="0" w:color="auto"/>
        <w:left w:val="none" w:sz="0" w:space="0" w:color="auto"/>
        <w:bottom w:val="none" w:sz="0" w:space="0" w:color="auto"/>
        <w:right w:val="none" w:sz="0" w:space="0" w:color="auto"/>
      </w:divBdr>
    </w:div>
    <w:div w:id="1067417561">
      <w:bodyDiv w:val="1"/>
      <w:marLeft w:val="0"/>
      <w:marRight w:val="0"/>
      <w:marTop w:val="0"/>
      <w:marBottom w:val="0"/>
      <w:divBdr>
        <w:top w:val="none" w:sz="0" w:space="0" w:color="auto"/>
        <w:left w:val="none" w:sz="0" w:space="0" w:color="auto"/>
        <w:bottom w:val="none" w:sz="0" w:space="0" w:color="auto"/>
        <w:right w:val="none" w:sz="0" w:space="0" w:color="auto"/>
      </w:divBdr>
    </w:div>
    <w:div w:id="1068573084">
      <w:bodyDiv w:val="1"/>
      <w:marLeft w:val="0"/>
      <w:marRight w:val="0"/>
      <w:marTop w:val="0"/>
      <w:marBottom w:val="0"/>
      <w:divBdr>
        <w:top w:val="none" w:sz="0" w:space="0" w:color="auto"/>
        <w:left w:val="none" w:sz="0" w:space="0" w:color="auto"/>
        <w:bottom w:val="none" w:sz="0" w:space="0" w:color="auto"/>
        <w:right w:val="none" w:sz="0" w:space="0" w:color="auto"/>
      </w:divBdr>
    </w:div>
    <w:div w:id="1149059383">
      <w:bodyDiv w:val="1"/>
      <w:marLeft w:val="0"/>
      <w:marRight w:val="0"/>
      <w:marTop w:val="0"/>
      <w:marBottom w:val="0"/>
      <w:divBdr>
        <w:top w:val="none" w:sz="0" w:space="0" w:color="auto"/>
        <w:left w:val="none" w:sz="0" w:space="0" w:color="auto"/>
        <w:bottom w:val="none" w:sz="0" w:space="0" w:color="auto"/>
        <w:right w:val="none" w:sz="0" w:space="0" w:color="auto"/>
      </w:divBdr>
    </w:div>
    <w:div w:id="1165903358">
      <w:bodyDiv w:val="1"/>
      <w:marLeft w:val="0"/>
      <w:marRight w:val="0"/>
      <w:marTop w:val="0"/>
      <w:marBottom w:val="0"/>
      <w:divBdr>
        <w:top w:val="none" w:sz="0" w:space="0" w:color="auto"/>
        <w:left w:val="none" w:sz="0" w:space="0" w:color="auto"/>
        <w:bottom w:val="none" w:sz="0" w:space="0" w:color="auto"/>
        <w:right w:val="none" w:sz="0" w:space="0" w:color="auto"/>
      </w:divBdr>
    </w:div>
    <w:div w:id="1192568682">
      <w:bodyDiv w:val="1"/>
      <w:marLeft w:val="0"/>
      <w:marRight w:val="0"/>
      <w:marTop w:val="0"/>
      <w:marBottom w:val="0"/>
      <w:divBdr>
        <w:top w:val="none" w:sz="0" w:space="0" w:color="auto"/>
        <w:left w:val="none" w:sz="0" w:space="0" w:color="auto"/>
        <w:bottom w:val="none" w:sz="0" w:space="0" w:color="auto"/>
        <w:right w:val="none" w:sz="0" w:space="0" w:color="auto"/>
      </w:divBdr>
    </w:div>
    <w:div w:id="1197231193">
      <w:bodyDiv w:val="1"/>
      <w:marLeft w:val="0"/>
      <w:marRight w:val="0"/>
      <w:marTop w:val="0"/>
      <w:marBottom w:val="0"/>
      <w:divBdr>
        <w:top w:val="none" w:sz="0" w:space="0" w:color="auto"/>
        <w:left w:val="none" w:sz="0" w:space="0" w:color="auto"/>
        <w:bottom w:val="none" w:sz="0" w:space="0" w:color="auto"/>
        <w:right w:val="none" w:sz="0" w:space="0" w:color="auto"/>
      </w:divBdr>
    </w:div>
    <w:div w:id="1296178604">
      <w:bodyDiv w:val="1"/>
      <w:marLeft w:val="0"/>
      <w:marRight w:val="0"/>
      <w:marTop w:val="0"/>
      <w:marBottom w:val="0"/>
      <w:divBdr>
        <w:top w:val="none" w:sz="0" w:space="0" w:color="auto"/>
        <w:left w:val="none" w:sz="0" w:space="0" w:color="auto"/>
        <w:bottom w:val="none" w:sz="0" w:space="0" w:color="auto"/>
        <w:right w:val="none" w:sz="0" w:space="0" w:color="auto"/>
      </w:divBdr>
    </w:div>
    <w:div w:id="1313175829">
      <w:bodyDiv w:val="1"/>
      <w:marLeft w:val="0"/>
      <w:marRight w:val="0"/>
      <w:marTop w:val="0"/>
      <w:marBottom w:val="0"/>
      <w:divBdr>
        <w:top w:val="none" w:sz="0" w:space="0" w:color="auto"/>
        <w:left w:val="none" w:sz="0" w:space="0" w:color="auto"/>
        <w:bottom w:val="none" w:sz="0" w:space="0" w:color="auto"/>
        <w:right w:val="none" w:sz="0" w:space="0" w:color="auto"/>
      </w:divBdr>
    </w:div>
    <w:div w:id="1317370092">
      <w:bodyDiv w:val="1"/>
      <w:marLeft w:val="0"/>
      <w:marRight w:val="0"/>
      <w:marTop w:val="0"/>
      <w:marBottom w:val="0"/>
      <w:divBdr>
        <w:top w:val="none" w:sz="0" w:space="0" w:color="auto"/>
        <w:left w:val="none" w:sz="0" w:space="0" w:color="auto"/>
        <w:bottom w:val="none" w:sz="0" w:space="0" w:color="auto"/>
        <w:right w:val="none" w:sz="0" w:space="0" w:color="auto"/>
      </w:divBdr>
    </w:div>
    <w:div w:id="1350136854">
      <w:bodyDiv w:val="1"/>
      <w:marLeft w:val="0"/>
      <w:marRight w:val="0"/>
      <w:marTop w:val="0"/>
      <w:marBottom w:val="0"/>
      <w:divBdr>
        <w:top w:val="none" w:sz="0" w:space="0" w:color="auto"/>
        <w:left w:val="none" w:sz="0" w:space="0" w:color="auto"/>
        <w:bottom w:val="none" w:sz="0" w:space="0" w:color="auto"/>
        <w:right w:val="none" w:sz="0" w:space="0" w:color="auto"/>
      </w:divBdr>
    </w:div>
    <w:div w:id="1478642414">
      <w:bodyDiv w:val="1"/>
      <w:marLeft w:val="0"/>
      <w:marRight w:val="0"/>
      <w:marTop w:val="0"/>
      <w:marBottom w:val="0"/>
      <w:divBdr>
        <w:top w:val="none" w:sz="0" w:space="0" w:color="auto"/>
        <w:left w:val="none" w:sz="0" w:space="0" w:color="auto"/>
        <w:bottom w:val="none" w:sz="0" w:space="0" w:color="auto"/>
        <w:right w:val="none" w:sz="0" w:space="0" w:color="auto"/>
      </w:divBdr>
    </w:div>
    <w:div w:id="1529414215">
      <w:bodyDiv w:val="1"/>
      <w:marLeft w:val="0"/>
      <w:marRight w:val="0"/>
      <w:marTop w:val="0"/>
      <w:marBottom w:val="0"/>
      <w:divBdr>
        <w:top w:val="none" w:sz="0" w:space="0" w:color="auto"/>
        <w:left w:val="none" w:sz="0" w:space="0" w:color="auto"/>
        <w:bottom w:val="none" w:sz="0" w:space="0" w:color="auto"/>
        <w:right w:val="none" w:sz="0" w:space="0" w:color="auto"/>
      </w:divBdr>
    </w:div>
    <w:div w:id="1606841570">
      <w:bodyDiv w:val="1"/>
      <w:marLeft w:val="0"/>
      <w:marRight w:val="0"/>
      <w:marTop w:val="0"/>
      <w:marBottom w:val="0"/>
      <w:divBdr>
        <w:top w:val="none" w:sz="0" w:space="0" w:color="auto"/>
        <w:left w:val="none" w:sz="0" w:space="0" w:color="auto"/>
        <w:bottom w:val="none" w:sz="0" w:space="0" w:color="auto"/>
        <w:right w:val="none" w:sz="0" w:space="0" w:color="auto"/>
      </w:divBdr>
    </w:div>
    <w:div w:id="1622110677">
      <w:bodyDiv w:val="1"/>
      <w:marLeft w:val="0"/>
      <w:marRight w:val="0"/>
      <w:marTop w:val="0"/>
      <w:marBottom w:val="0"/>
      <w:divBdr>
        <w:top w:val="none" w:sz="0" w:space="0" w:color="auto"/>
        <w:left w:val="none" w:sz="0" w:space="0" w:color="auto"/>
        <w:bottom w:val="none" w:sz="0" w:space="0" w:color="auto"/>
        <w:right w:val="none" w:sz="0" w:space="0" w:color="auto"/>
      </w:divBdr>
    </w:div>
    <w:div w:id="1628319854">
      <w:bodyDiv w:val="1"/>
      <w:marLeft w:val="0"/>
      <w:marRight w:val="0"/>
      <w:marTop w:val="0"/>
      <w:marBottom w:val="0"/>
      <w:divBdr>
        <w:top w:val="none" w:sz="0" w:space="0" w:color="auto"/>
        <w:left w:val="none" w:sz="0" w:space="0" w:color="auto"/>
        <w:bottom w:val="none" w:sz="0" w:space="0" w:color="auto"/>
        <w:right w:val="none" w:sz="0" w:space="0" w:color="auto"/>
      </w:divBdr>
    </w:div>
    <w:div w:id="1726566037">
      <w:bodyDiv w:val="1"/>
      <w:marLeft w:val="0"/>
      <w:marRight w:val="0"/>
      <w:marTop w:val="0"/>
      <w:marBottom w:val="0"/>
      <w:divBdr>
        <w:top w:val="none" w:sz="0" w:space="0" w:color="auto"/>
        <w:left w:val="none" w:sz="0" w:space="0" w:color="auto"/>
        <w:bottom w:val="none" w:sz="0" w:space="0" w:color="auto"/>
        <w:right w:val="none" w:sz="0" w:space="0" w:color="auto"/>
      </w:divBdr>
    </w:div>
    <w:div w:id="1755736484">
      <w:bodyDiv w:val="1"/>
      <w:marLeft w:val="0"/>
      <w:marRight w:val="0"/>
      <w:marTop w:val="0"/>
      <w:marBottom w:val="0"/>
      <w:divBdr>
        <w:top w:val="none" w:sz="0" w:space="0" w:color="auto"/>
        <w:left w:val="none" w:sz="0" w:space="0" w:color="auto"/>
        <w:bottom w:val="none" w:sz="0" w:space="0" w:color="auto"/>
        <w:right w:val="none" w:sz="0" w:space="0" w:color="auto"/>
      </w:divBdr>
    </w:div>
    <w:div w:id="1775322238">
      <w:bodyDiv w:val="1"/>
      <w:marLeft w:val="0"/>
      <w:marRight w:val="0"/>
      <w:marTop w:val="0"/>
      <w:marBottom w:val="0"/>
      <w:divBdr>
        <w:top w:val="none" w:sz="0" w:space="0" w:color="auto"/>
        <w:left w:val="none" w:sz="0" w:space="0" w:color="auto"/>
        <w:bottom w:val="none" w:sz="0" w:space="0" w:color="auto"/>
        <w:right w:val="none" w:sz="0" w:space="0" w:color="auto"/>
      </w:divBdr>
    </w:div>
    <w:div w:id="1786658574">
      <w:bodyDiv w:val="1"/>
      <w:marLeft w:val="0"/>
      <w:marRight w:val="0"/>
      <w:marTop w:val="0"/>
      <w:marBottom w:val="0"/>
      <w:divBdr>
        <w:top w:val="none" w:sz="0" w:space="0" w:color="auto"/>
        <w:left w:val="none" w:sz="0" w:space="0" w:color="auto"/>
        <w:bottom w:val="none" w:sz="0" w:space="0" w:color="auto"/>
        <w:right w:val="none" w:sz="0" w:space="0" w:color="auto"/>
      </w:divBdr>
    </w:div>
    <w:div w:id="1881089176">
      <w:bodyDiv w:val="1"/>
      <w:marLeft w:val="0"/>
      <w:marRight w:val="0"/>
      <w:marTop w:val="0"/>
      <w:marBottom w:val="0"/>
      <w:divBdr>
        <w:top w:val="none" w:sz="0" w:space="0" w:color="auto"/>
        <w:left w:val="none" w:sz="0" w:space="0" w:color="auto"/>
        <w:bottom w:val="none" w:sz="0" w:space="0" w:color="auto"/>
        <w:right w:val="none" w:sz="0" w:space="0" w:color="auto"/>
      </w:divBdr>
    </w:div>
    <w:div w:id="1916620019">
      <w:bodyDiv w:val="1"/>
      <w:marLeft w:val="0"/>
      <w:marRight w:val="0"/>
      <w:marTop w:val="0"/>
      <w:marBottom w:val="0"/>
      <w:divBdr>
        <w:top w:val="none" w:sz="0" w:space="0" w:color="auto"/>
        <w:left w:val="none" w:sz="0" w:space="0" w:color="auto"/>
        <w:bottom w:val="none" w:sz="0" w:space="0" w:color="auto"/>
        <w:right w:val="none" w:sz="0" w:space="0" w:color="auto"/>
      </w:divBdr>
    </w:div>
    <w:div w:id="1954361335">
      <w:bodyDiv w:val="1"/>
      <w:marLeft w:val="0"/>
      <w:marRight w:val="0"/>
      <w:marTop w:val="0"/>
      <w:marBottom w:val="0"/>
      <w:divBdr>
        <w:top w:val="none" w:sz="0" w:space="0" w:color="auto"/>
        <w:left w:val="none" w:sz="0" w:space="0" w:color="auto"/>
        <w:bottom w:val="none" w:sz="0" w:space="0" w:color="auto"/>
        <w:right w:val="none" w:sz="0" w:space="0" w:color="auto"/>
      </w:divBdr>
    </w:div>
    <w:div w:id="1961183861">
      <w:bodyDiv w:val="1"/>
      <w:marLeft w:val="0"/>
      <w:marRight w:val="0"/>
      <w:marTop w:val="0"/>
      <w:marBottom w:val="0"/>
      <w:divBdr>
        <w:top w:val="none" w:sz="0" w:space="0" w:color="auto"/>
        <w:left w:val="none" w:sz="0" w:space="0" w:color="auto"/>
        <w:bottom w:val="none" w:sz="0" w:space="0" w:color="auto"/>
        <w:right w:val="none" w:sz="0" w:space="0" w:color="auto"/>
      </w:divBdr>
    </w:div>
    <w:div w:id="2109083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Dav10</b:Tag>
    <b:SourceType>Book</b:SourceType>
    <b:Guid>{7C8630AF-2E5A-49C7-B684-7059B15E4372}</b:Guid>
    <b:Title>Gender, crime and victimisation</b:Title>
    <b:Year>2010</b:Year>
    <b:City>London</b:City>
    <b:Publisher>SAGE Publications Ltd</b:Publisher>
    <b:Author>
      <b:Author>
        <b:NameList>
          <b:Person>
            <b:Last>Davis</b:Last>
            <b:First>Pamela</b:First>
          </b:Person>
        </b:NameList>
      </b:Author>
    </b:Author>
    <b:RefOrder>9</b:RefOrder>
  </b:Source>
  <b:Source>
    <b:Tag>Hei10</b:Tag>
    <b:SourceType>JournalArticle</b:SourceType>
    <b:Guid>{BF16DDF8-073E-43A9-ACE4-1A49F476ECA5}</b:Guid>
    <b:Title>Devaince of women: a crtique and an equiry</b:Title>
    <b:Year>2010</b:Year>
    <b:Author>
      <b:Author>
        <b:NameList>
          <b:Person>
            <b:Last>Heidensohn</b:Last>
            <b:First>Frances</b:First>
          </b:Person>
        </b:NameList>
      </b:Author>
    </b:Author>
    <b:JournalName>The British Journal of Sociology</b:JournalName>
    <b:Pages> p.111-126</b:Pages>
    <b:Volume>61</b:Volume>
    <b:Issue>s1</b:Issue>
    <b:RefOrder>3</b:RefOrder>
  </b:Source>
  <b:Source>
    <b:Tag>God05</b:Tag>
    <b:SourceType>JournalArticle</b:SourceType>
    <b:Guid>{26AE0607-8F70-49C6-BE42-6EB0BA581903}</b:Guid>
    <b:Title>‘Explaining Gendered Sentencing Patterns for Violent Men and Women in the Late-Victorian and Edwardian Period’</b:Title>
    <b:Year>2005</b:Year>
    <b:Author>
      <b:Author>
        <b:NameList>
          <b:Person>
            <b:Last>Godfrey</b:Last>
            <b:First>B.S.,</b:First>
            <b:Middle>Farrall, S. and Karstedt, S.</b:Middle>
          </b:Person>
        </b:NameList>
      </b:Author>
    </b:Author>
    <b:JournalName>British Journal of Criminology.</b:JournalName>
    <b:Pages>pp. 696–720</b:Pages>
    <b:Volume>45</b:Volume>
    <b:Issue>5</b:Issue>
    <b:RefOrder>8</b:RefOrder>
  </b:Source>
  <b:Source>
    <b:Tag>Juu19</b:Tag>
    <b:SourceType>JournalArticle</b:SourceType>
    <b:Guid>{17D36FCF-8A6F-4874-99C7-71A2F8732896}</b:Guid>
    <b:Author>
      <b:Author>
        <b:NameList>
          <b:Person>
            <b:Last>Juujärvi</b:Last>
            <b:First>S.,</b:First>
            <b:Middle>Ronkainen, K. and Silvennoinen, P.</b:Middle>
          </b:Person>
        </b:NameList>
      </b:Author>
    </b:Author>
    <b:Title>The ethics of care and justice in primary nursing of older patients</b:Title>
    <b:JournalName>Clinical ethics</b:JournalName>
    <b:Year>2019</b:Year>
    <b:Pages>p.187-194</b:Pages>
    <b:Volume>14</b:Volume>
    <b:Issue>4</b:Issue>
    <b:RefOrder>10</b:RefOrder>
  </b:Source>
  <b:Source>
    <b:Tag>Lig18</b:Tag>
    <b:SourceType>JournalArticle</b:SourceType>
    <b:Guid>{F3F59ABF-883A-4A85-A324-D5D9B96DC68B}</b:Guid>
    <b:Title>Drunk and Doubly Deviant? the Role of Gender and Intoxication in Sentencing Assault Offences</b:Title>
    <b:Year>2018</b:Year>
    <b:Author>
      <b:Author>
        <b:NameList>
          <b:Person>
            <b:Last>Lightowlers</b:Last>
            <b:First>Carly</b:First>
          </b:Person>
        </b:NameList>
      </b:Author>
    </b:Author>
    <b:JournalName>The British Journal of Criminology</b:JournalName>
    <b:Pages>693-717</b:Pages>
    <b:Volume>59</b:Volume>
    <b:Issue>3</b:Issue>
    <b:RefOrder>6</b:RefOrder>
  </b:Source>
  <b:Source>
    <b:Tag>The22</b:Tag>
    <b:SourceType>InternetSite</b:SourceType>
    <b:Guid>{29CDCC60-F295-47CB-B886-911C9FA4D920}</b:Guid>
    <b:Title>Women and the Criminal Justice System 2021</b:Title>
    <b:Year>2022</b:Year>
    <b:Author>
      <b:Author>
        <b:Corporate>The Ministry of Justice</b:Corporate>
      </b:Author>
    </b:Author>
    <b:YearAccessed>2023</b:YearAccessed>
    <b:MonthAccessed>October </b:MonthAccessed>
    <b:DayAccessed>21st</b:DayAccessed>
    <b:URL>https://www.gov.uk/government/statistics/women-and-the-criminal-justice-system-2021/women-and-the-criminal-justice-system-2021</b:URL>
    <b:RefOrder>11</b:RefOrder>
  </b:Source>
  <b:Source>
    <b:Tag>Sea22</b:Tag>
    <b:SourceType>BookSection</b:SourceType>
    <b:Guid>{1F357B64-DD9F-4996-A8A9-83FB59BAEAA9}</b:Guid>
    <b:Title>Perpetrators and Victims</b:Title>
    <b:Year>2022</b:Year>
    <b:City>London</b:City>
    <b:Publisher>Routledge</b:Publisher>
    <b:Edition>1st</b:Edition>
    <b:Author>
      <b:Author>
        <b:NameList>
          <b:Person>
            <b:Last>Seaman</b:Last>
            <b:First>Vicky</b:First>
          </b:Person>
          <b:Person>
            <b:Last>Lynch</b:Last>
            <b:First>Orla</b:First>
          </b:Person>
        </b:NameList>
      </b:Author>
      <b:Editor>
        <b:NameList>
          <b:Person>
            <b:Last>Masson</b:Last>
            <b:First>Isla</b:First>
          </b:Person>
          <b:Person>
            <b:Last>Booth</b:Last>
            <b:First>Natalie</b:First>
          </b:Person>
        </b:NameList>
      </b:Editor>
    </b:Author>
    <b:BookTitle>The Routledge Handbook of Women's Experiences of Criminal Justice</b:BookTitle>
    <b:Pages>12</b:Pages>
    <b:RefOrder>1</b:RefOrder>
  </b:Source>
  <b:Source>
    <b:Tag>Van14</b:Tag>
    <b:SourceType>JournalArticle</b:SourceType>
    <b:Guid>{BC299A44-1A72-4B15-A5E9-4EC545C92B1E}</b:Guid>
    <b:Title>Transcending the gender dichotomy in educational gender gap research: The association between gender identity and academic self-efficacy</b:Title>
    <b:BookTitle>Contemporary Educational Psychology</b:BookTitle>
    <b:Year>2014</b:Year>
    <b:Pages>369-378</b:Pages>
    <b:Author>
      <b:Author>
        <b:NameList>
          <b:Person>
            <b:Last>Vantieghem</b:Last>
            <b:First>W.,</b:First>
            <b:Middle>Vermeersch, H. and Van Houtte, M.</b:Middle>
          </b:Person>
        </b:NameList>
      </b:Author>
    </b:Author>
    <b:JournalName>Contemporary Educational Psychology</b:JournalName>
    <b:Volume>39</b:Volume>
    <b:Issue>4</b:Issue>
    <b:RefOrder>2</b:RefOrder>
  </b:Source>
  <b:Source>
    <b:Tag>New17</b:Tag>
    <b:SourceType>Book</b:SourceType>
    <b:Guid>{73586D97-01B5-450C-BD0A-7C95937E5DA5}</b:Guid>
    <b:Title>Criminology</b:Title>
    <b:Year>2017</b:Year>
    <b:City>London</b:City>
    <b:Publisher>Routledge, Taylor and Francis Group</b:Publisher>
    <b:Edition>3rd</b:Edition>
    <b:Author>
      <b:Author>
        <b:NameList>
          <b:Person>
            <b:Last>Newburn</b:Last>
            <b:First>Tim</b:First>
          </b:Person>
        </b:NameList>
      </b:Author>
    </b:Author>
    <b:RefOrder>12</b:RefOrder>
  </b:Source>
  <b:Source>
    <b:Tag>Emb12</b:Tag>
    <b:SourceType>JournalArticle</b:SourceType>
    <b:Guid>{7326951E-1CA6-4364-AF8A-4B70B799D838}</b:Guid>
    <b:Title>Sex-Based Sentencing: Sentencing Discrepancies Between Male and Female Sex Offenders</b:Title>
    <b:Year>2012</b:Year>
    <b:Author>
      <b:Author>
        <b:NameList>
          <b:Person>
            <b:Last>Embry</b:Last>
            <b:First>Randa</b:First>
          </b:Person>
          <b:Person>
            <b:Last>Lyons</b:Last>
            <b:Middle>M</b:Middle>
            <b:First>Phillip</b:First>
          </b:Person>
        </b:NameList>
      </b:Author>
    </b:Author>
    <b:JournalName>Feminist Criminology </b:JournalName>
    <b:Pages>146-162</b:Pages>
    <b:Volume>7</b:Volume>
    <b:Issue>2</b:Issue>
    <b:RefOrder>7</b:RefOrder>
  </b:Source>
  <b:Source>
    <b:Tag>DrB87</b:Tag>
    <b:SourceType>BookSection</b:SourceType>
    <b:Guid>{51F1FF5D-07E4-4EEA-8367-52FC28AC7499}</b:Guid>
    <b:Title>Premenstrual Syndrome and Criminal Responsibility</b:Title>
    <b:JournalName>Premenstrual Syndrome</b:JournalName>
    <b:Year>1987</b:Year>
    <b:Pages>81</b:Pages>
    <b:Author>
      <b:Author>
        <b:NameList>
          <b:Person>
            <b:Last>Dr Boorse</b:Last>
            <b:First>Christopher</b:First>
          </b:Person>
        </b:NameList>
      </b:Author>
      <b:Editor>
        <b:NameList>
          <b:Person>
            <b:Last>Ginsburg</b:Last>
          </b:Person>
          <b:Person>
            <b:Last>Carter</b:Last>
          </b:Person>
        </b:NameList>
      </b:Editor>
    </b:Author>
    <b:BookTitle>Premenstrual Syndrome</b:BookTitle>
    <b:City>Boston</b:City>
    <b:Publisher>Springer</b:Publisher>
    <b:RefOrder>4</b:RefOrder>
  </b:Source>
  <b:Source>
    <b:Tag>NHS23</b:Tag>
    <b:SourceType>InternetSite</b:SourceType>
    <b:Guid>{9511C0EF-0DE8-4EDD-9FCC-11C7545114FD}</b:Guid>
    <b:Author>
      <b:Author>
        <b:Corporate>NHS</b:Corporate>
      </b:Author>
    </b:Author>
    <b:Title>PMS (premenstrual syndrome)</b:Title>
    <b:Year>2023</b:Year>
    <b:YearAccessed>2023</b:YearAccessed>
    <b:MonthAccessed>October </b:MonthAccessed>
    <b:DayAccessed>24th</b:DayAccessed>
    <b:URL>https://www.nhs.uk/conditions/pre-menstrual-syndrome/</b:URL>
    <b:RefOrder>5</b:RefOrder>
  </b:Source>
  <b:Source>
    <b:Tag>Gra09</b:Tag>
    <b:SourceType>JournalArticle</b:SourceType>
    <b:Guid>{48EB4545-B6C6-485B-BB78-FA75CC7EE113}</b:Guid>
    <b:Title>Gender in Crime News: A Case Study Test of the Chivalry Hypothesis</b:Title>
    <b:Year>2009</b:Year>
    <b:Author>
      <b:Author>
        <b:NameList>
          <b:Person>
            <b:Last>Grabe</b:Last>
            <b:Middle>Elizabeth</b:Middle>
            <b:First>Maria</b:First>
          </b:Person>
          <b:Person>
            <b:Last>Trager</b:Last>
            <b:Middle>D</b:Middle>
            <b:First>K</b:First>
          </b:Person>
          <b:Person>
            <b:Last>Lear</b:Last>
            <b:First>Melissa</b:First>
          </b:Person>
          <b:Person>
            <b:Last>Rauch</b:Last>
            <b:First>Jennifer</b:First>
          </b:Person>
        </b:NameList>
      </b:Author>
    </b:Author>
    <b:JournalName>Mass communication and society</b:JournalName>
    <b:Pages>137-163</b:Pages>
    <b:Volume>9</b:Volume>
    <b:Issue>2</b:Issue>
    <b:DOI>https://doi-org.ezproxy.uwtsd.ac.uk/10.1207/s15327825mcs0902_2</b:DOI>
    <b:RefOrder>13</b:RefOrder>
  </b:Source>
  <b:Source>
    <b:Tag>Min20</b:Tag>
    <b:SourceType>InternetSite</b:SourceType>
    <b:Guid>{7017AC7D-EFD0-4082-A7EB-C1862BB4DBB7}</b:Guid>
    <b:Title>Statistics on Women and the Criminal Justice System 2019</b:Title>
    <b:Year>2021</b:Year>
    <b:Author>
      <b:Author>
        <b:Corporate>Ministry of Justice</b:Corporate>
      </b:Author>
    </b:Author>
    <b:YearAccessed>2023</b:YearAccessed>
    <b:MonthAccessed>October</b:MonthAccessed>
    <b:DayAccessed>27th</b:DayAccessed>
    <b:URL>https://assets.publishing.service.gov.uk/media/5fbe7396d3bf7f5739417e31/statistics-on-women-and-the-criminal-justice-system-2019.pdf</b:URL>
    <b:RefOrder>14</b:RefOrder>
  </b:Source>
  <b:Source>
    <b:Tag>Hei68</b:Tag>
    <b:SourceType>JournalArticle</b:SourceType>
    <b:Guid>{ABB2AB8F-E887-40C3-8B84-ED23E64E984A}</b:Guid>
    <b:Title>The Deviance of Women: A Critique and an Enquiry</b:Title>
    <b:Year>1968</b:Year>
    <b:Author>
      <b:Author>
        <b:NameList>
          <b:Person>
            <b:Last>Heidensohn</b:Last>
            <b:First>Frances</b:First>
          </b:Person>
        </b:NameList>
      </b:Author>
    </b:Author>
    <b:JournalName>The British journal of sociology</b:JournalName>
    <b:Pages>160-175</b:Pages>
    <b:Volume>19</b:Volume>
    <b:Issue>2</b:Issue>
    <b:DOI>https://doi.org/10.2307/588692</b:DOI>
    <b:RefOrder>15</b:RefOrder>
  </b:Source>
  <b:Source>
    <b:Tag>Pub23</b:Tag>
    <b:SourceType>DocumentFromInternetSite</b:SourceType>
    <b:Guid>{D46B37B7-0746-4B6E-A694-C4477107E4B7}</b:Guid>
    <b:Author>
      <b:Author>
        <b:Corporate>Public Order Act 1986, c.64</b:Corporate>
      </b:Author>
    </b:Author>
    <b:YearAccessed>2023</b:YearAccessed>
    <b:MonthAccessed>October</b:MonthAccessed>
    <b:DayAccessed>27th</b:DayAccessed>
    <b:URL>https://www.legislation.gov.uk/ukpga/1986/64</b:URL>
    <b:RefOrder>16</b:RefOrder>
  </b:Source>
  <b:Source>
    <b:Tag>Eur23</b:Tag>
    <b:SourceType>InternetSite</b:SourceType>
    <b:Guid>{B16CBD72-439D-4FCE-B9EA-EE94E4CCED9D}</b:Guid>
    <b:Title>Gender norms</b:Title>
    <b:Year>2023</b:Year>
    <b:YearAccessed>2023</b:YearAccessed>
    <b:MonthAccessed>October</b:MonthAccessed>
    <b:DayAccessed>10</b:DayAccessed>
    <b:URL>https://eige.europa.eu/publications-resources/thesaurus/terms/1288?language_content_entity=en#:~:text=Gender%20norms%20are%20ideas%20about,of%20gender%20socialisation%20and%20stereotyping.</b:URL>
    <b:Author>
      <b:Author>
        <b:Corporate>European Institute for Gender Equality</b:Corporate>
      </b:Author>
    </b:Author>
    <b:RefOrder>17</b:RefOrder>
  </b:Source>
  <b:Source>
    <b:Tag>Min22</b:Tag>
    <b:SourceType>InternetSite</b:SourceType>
    <b:Guid>{AAC3B4DD-CE18-420F-B46E-9C9A7D17CB9A}</b:Guid>
    <b:Author>
      <b:Author>
        <b:Corporate>Ministry of Justice</b:Corporate>
      </b:Author>
    </b:Author>
    <b:Title>Statistics on Women and the Criminal Justice System 2021</b:Title>
    <b:Year>2022</b:Year>
    <b:YearAccessed>2023</b:YearAccessed>
    <b:MonthAccessed>October </b:MonthAccessed>
    <b:DayAccessed>2nd</b:DayAccessed>
    <b:URL>https://assets.publishing.service.gov.uk/government/uploads/system/uploads/attachment_data/file/1119965/statistics-on-women-and-the-criminal-justice-system-2021-.pdf</b:URL>
    <b:RefOrder>18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85fff624fb47cc48860c16970bb0303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110ff29c11a69cd884d2f0ca77303f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358D37-836E-489B-B39B-B21358A1A793}">
  <ds:schemaRefs>
    <ds:schemaRef ds:uri="http://purl.org/dc/terms/"/>
    <ds:schemaRef ds:uri="http://schemas.microsoft.com/office/2006/documentManagement/types"/>
    <ds:schemaRef ds:uri="http://purl.org/dc/elements/1.1/"/>
    <ds:schemaRef ds:uri="95817cb9-f0eb-4f4d-892c-47ab9f8957c0"/>
    <ds:schemaRef ds:uri="http://purl.org/dc/dcmitype/"/>
    <ds:schemaRef ds:uri="http://schemas.openxmlformats.org/package/2006/metadata/core-properties"/>
    <ds:schemaRef ds:uri="http://schemas.microsoft.com/office/infopath/2007/PartnerControls"/>
    <ds:schemaRef ds:uri="9823f8e4-81f3-4a59-a026-c1a9717271fd"/>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7D35A7-18DA-417F-BBD0-7BDA38E937A0}">
  <ds:schemaRefs>
    <ds:schemaRef ds:uri="http://schemas.microsoft.com/sharepoint/v3/contenttype/forms"/>
  </ds:schemaRefs>
</ds:datastoreItem>
</file>

<file path=customXml/itemProps3.xml><?xml version="1.0" encoding="utf-8"?>
<ds:datastoreItem xmlns:ds="http://schemas.openxmlformats.org/officeDocument/2006/customXml" ds:itemID="{BF5E9636-FDEC-4D23-82A6-BE8C91E9DEA8}">
  <ds:schemaRefs>
    <ds:schemaRef ds:uri="http://schemas.openxmlformats.org/officeDocument/2006/bibliography"/>
  </ds:schemaRefs>
</ds:datastoreItem>
</file>

<file path=customXml/itemProps4.xml><?xml version="1.0" encoding="utf-8"?>
<ds:datastoreItem xmlns:ds="http://schemas.openxmlformats.org/officeDocument/2006/customXml" ds:itemID="{A27E051D-8577-4A16-8C1E-DAB68ED30F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2250</Words>
  <Characters>12831</Characters>
  <Application>Microsoft Office Word</Application>
  <DocSecurity>0</DocSecurity>
  <Lines>106</Lines>
  <Paragraphs>30</Paragraphs>
  <ScaleCrop>false</ScaleCrop>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2</cp:revision>
  <dcterms:created xsi:type="dcterms:W3CDTF">2023-11-02T22:41:00Z</dcterms:created>
  <dcterms:modified xsi:type="dcterms:W3CDTF">2023-11-02T22:41:00Z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