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3EB87" w14:textId="4C838182" w:rsidR="003C032F" w:rsidRPr="001B16F4" w:rsidRDefault="00E352A7">
      <w:pPr>
        <w:rPr>
          <w:rFonts w:ascii="Brill" w:hAnsi="Brill"/>
          <w:b/>
          <w:bCs/>
          <w:sz w:val="28"/>
          <w:szCs w:val="28"/>
        </w:rPr>
      </w:pPr>
      <w:r w:rsidRPr="001B16F4">
        <w:rPr>
          <w:rFonts w:ascii="Brill" w:hAnsi="Brill"/>
          <w:b/>
          <w:bCs/>
          <w:sz w:val="28"/>
          <w:szCs w:val="28"/>
        </w:rPr>
        <w:t>How ‘real’ is the relationship between gods and humans in short forms</w:t>
      </w:r>
      <w:r w:rsidR="008D309A">
        <w:rPr>
          <w:rFonts w:ascii="Brill" w:hAnsi="Brill"/>
          <w:b/>
          <w:bCs/>
          <w:sz w:val="28"/>
          <w:szCs w:val="28"/>
        </w:rPr>
        <w:t xml:space="preserve"> of Greek poetry</w:t>
      </w:r>
      <w:r w:rsidRPr="001B16F4">
        <w:rPr>
          <w:rFonts w:ascii="Brill" w:hAnsi="Brill"/>
          <w:b/>
          <w:bCs/>
          <w:sz w:val="28"/>
          <w:szCs w:val="28"/>
        </w:rPr>
        <w:t>?</w:t>
      </w:r>
    </w:p>
    <w:p w14:paraId="0C100247" w14:textId="5D341EC1" w:rsidR="00E352A7" w:rsidRDefault="00E352A7"/>
    <w:p w14:paraId="4EFAFD2C" w14:textId="05326CEB" w:rsidR="00012258" w:rsidRPr="00012258" w:rsidRDefault="00012258" w:rsidP="00D92C58">
      <w:pPr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>
        <w:rPr>
          <w:rFonts w:ascii="Brill" w:hAnsi="Brill" w:cs="AdvOTbc475f09"/>
          <w:sz w:val="24"/>
          <w:szCs w:val="24"/>
        </w:rPr>
        <w:t xml:space="preserve">Bettenworth, A. (2007), ‘The Mutual Influence of Inscribed and Literary Epigram’, in Bing, P. &amp; Bruss, J. (eds.) (2007), </w:t>
      </w:r>
      <w:r>
        <w:rPr>
          <w:rFonts w:ascii="Brill" w:hAnsi="Brill" w:cs="AdvOTbc475f09"/>
          <w:i/>
          <w:iCs/>
          <w:sz w:val="24"/>
          <w:szCs w:val="24"/>
        </w:rPr>
        <w:t>Brill’s Companion to Hellenistic Epigram</w:t>
      </w:r>
      <w:r>
        <w:rPr>
          <w:rFonts w:ascii="Brill" w:hAnsi="Brill" w:cs="AdvOTbc475f09"/>
          <w:sz w:val="24"/>
          <w:szCs w:val="24"/>
        </w:rPr>
        <w:t xml:space="preserve"> (Leiden)</w:t>
      </w:r>
    </w:p>
    <w:p w14:paraId="50F71E0F" w14:textId="003A1317" w:rsidR="00012258" w:rsidRPr="00012258" w:rsidRDefault="00012258" w:rsidP="00D92C58">
      <w:pPr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 w:rsidRPr="00012258">
        <w:rPr>
          <w:rFonts w:ascii="Brill" w:hAnsi="Brill" w:cs="AdvOTbc475f09"/>
          <w:sz w:val="24"/>
          <w:szCs w:val="24"/>
        </w:rPr>
        <w:t>Cameron, A. (</w:t>
      </w:r>
      <w:r w:rsidRPr="00012258">
        <w:rPr>
          <w:rFonts w:ascii="Brill" w:hAnsi="Brill" w:cs="AdvP83C7"/>
          <w:sz w:val="24"/>
          <w:szCs w:val="24"/>
        </w:rPr>
        <w:t>1995</w:t>
      </w:r>
      <w:r w:rsidRPr="00012258">
        <w:rPr>
          <w:rFonts w:ascii="Brill" w:hAnsi="Brill" w:cs="AdvOTbc475f09"/>
          <w:sz w:val="24"/>
          <w:szCs w:val="24"/>
        </w:rPr>
        <w:t xml:space="preserve">) </w:t>
      </w:r>
      <w:r w:rsidRPr="00012258">
        <w:rPr>
          <w:rFonts w:ascii="Brill" w:hAnsi="Brill" w:cs="AdvOT638a931c.I"/>
          <w:sz w:val="24"/>
          <w:szCs w:val="24"/>
        </w:rPr>
        <w:t>Callimachus and His Critics</w:t>
      </w:r>
      <w:r w:rsidRPr="00012258">
        <w:rPr>
          <w:rFonts w:ascii="Brill" w:hAnsi="Brill" w:cs="AdvOTbc475f09"/>
          <w:sz w:val="24"/>
          <w:szCs w:val="24"/>
        </w:rPr>
        <w:t>. Princeton, N.J. and Chichester.</w:t>
      </w:r>
    </w:p>
    <w:p w14:paraId="33490B81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 w:rsidRPr="00012258">
        <w:rPr>
          <w:rFonts w:ascii="Brill" w:hAnsi="Brill" w:cs="AdvOTbc475f09"/>
          <w:sz w:val="24"/>
          <w:szCs w:val="24"/>
        </w:rPr>
        <w:t>Depew, M. (</w:t>
      </w:r>
      <w:r w:rsidRPr="00012258">
        <w:rPr>
          <w:rFonts w:ascii="Brill" w:hAnsi="Brill" w:cs="AdvP83C7"/>
          <w:sz w:val="24"/>
          <w:szCs w:val="24"/>
        </w:rPr>
        <w:t>2000</w:t>
      </w:r>
      <w:r w:rsidRPr="00012258">
        <w:rPr>
          <w:rFonts w:ascii="Brill" w:hAnsi="Brill" w:cs="AdvOTbc475f09"/>
          <w:sz w:val="24"/>
          <w:szCs w:val="24"/>
        </w:rPr>
        <w:t xml:space="preserve">) </w:t>
      </w:r>
      <w:r w:rsidRPr="00012258">
        <w:rPr>
          <w:rFonts w:ascii="Brill" w:hAnsi="Brill" w:cs="AdvOTbc475f09+20"/>
          <w:sz w:val="24"/>
          <w:szCs w:val="24"/>
        </w:rPr>
        <w:t>‘</w:t>
      </w:r>
      <w:r w:rsidRPr="00012258">
        <w:rPr>
          <w:rFonts w:ascii="Brill" w:hAnsi="Brill" w:cs="AdvOTbc475f09"/>
          <w:sz w:val="24"/>
          <w:szCs w:val="24"/>
        </w:rPr>
        <w:t>Enacted and represented dedications: genre and Greek hymn</w:t>
      </w:r>
      <w:r w:rsidRPr="00012258">
        <w:rPr>
          <w:rFonts w:ascii="Brill" w:hAnsi="Brill" w:cs="AdvOTbc475f09+20"/>
          <w:sz w:val="24"/>
          <w:szCs w:val="24"/>
        </w:rPr>
        <w:t>’</w:t>
      </w:r>
      <w:r w:rsidRPr="00012258">
        <w:rPr>
          <w:rFonts w:ascii="Brill" w:hAnsi="Brill" w:cs="AdvOTbc475f09"/>
          <w:sz w:val="24"/>
          <w:szCs w:val="24"/>
        </w:rPr>
        <w:t xml:space="preserve">, in </w:t>
      </w:r>
      <w:r w:rsidRPr="00012258">
        <w:rPr>
          <w:rFonts w:ascii="Brill" w:hAnsi="Brill" w:cs="AdvOT638a931c.I"/>
          <w:sz w:val="24"/>
          <w:szCs w:val="24"/>
        </w:rPr>
        <w:t>Matrices of Genre: Authors, Canons and Society</w:t>
      </w:r>
      <w:r w:rsidRPr="00012258">
        <w:rPr>
          <w:rFonts w:ascii="Brill" w:hAnsi="Brill" w:cs="AdvOTbc475f09"/>
          <w:sz w:val="24"/>
          <w:szCs w:val="24"/>
        </w:rPr>
        <w:t xml:space="preserve">, ed. M. Depew and D. Obbink. Cambridge, Mass. and London: </w:t>
      </w:r>
      <w:r w:rsidRPr="00012258">
        <w:rPr>
          <w:rFonts w:ascii="Brill" w:hAnsi="Brill" w:cs="AdvP83C7"/>
          <w:sz w:val="24"/>
          <w:szCs w:val="24"/>
        </w:rPr>
        <w:t>59</w:t>
      </w:r>
      <w:r w:rsidRPr="00012258">
        <w:rPr>
          <w:rFonts w:ascii="Brill" w:hAnsi="Brill" w:cs="AdvOTbc475f09+20"/>
          <w:sz w:val="24"/>
          <w:szCs w:val="24"/>
        </w:rPr>
        <w:t>–</w:t>
      </w:r>
      <w:r w:rsidRPr="00012258">
        <w:rPr>
          <w:rFonts w:ascii="Brill" w:hAnsi="Brill" w:cs="AdvP83C7"/>
          <w:sz w:val="24"/>
          <w:szCs w:val="24"/>
        </w:rPr>
        <w:t>79</w:t>
      </w:r>
      <w:r w:rsidRPr="00012258">
        <w:rPr>
          <w:rFonts w:ascii="Brill" w:hAnsi="Brill" w:cs="AdvOTbc475f09"/>
          <w:sz w:val="24"/>
          <w:szCs w:val="24"/>
        </w:rPr>
        <w:t>.</w:t>
      </w:r>
    </w:p>
    <w:p w14:paraId="144B167A" w14:textId="77777777" w:rsidR="00012258" w:rsidRPr="00012258" w:rsidRDefault="00012258" w:rsidP="00D92C58">
      <w:pPr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 w:rsidRPr="00012258">
        <w:rPr>
          <w:rFonts w:ascii="Brill" w:hAnsi="Brill" w:cs="AdvOTbc475f09"/>
          <w:sz w:val="24"/>
          <w:szCs w:val="24"/>
        </w:rPr>
        <w:t>Fearn, D. (</w:t>
      </w:r>
      <w:r w:rsidRPr="00012258">
        <w:rPr>
          <w:rFonts w:ascii="Brill" w:hAnsi="Brill" w:cs="AdvP83C7"/>
          <w:sz w:val="24"/>
          <w:szCs w:val="24"/>
        </w:rPr>
        <w:t>2007</w:t>
      </w:r>
      <w:r w:rsidRPr="00012258">
        <w:rPr>
          <w:rFonts w:ascii="Brill" w:hAnsi="Brill" w:cs="AdvOTbc475f09"/>
          <w:sz w:val="24"/>
          <w:szCs w:val="24"/>
        </w:rPr>
        <w:t xml:space="preserve">) </w:t>
      </w:r>
      <w:r w:rsidRPr="00012258">
        <w:rPr>
          <w:rFonts w:ascii="Brill" w:hAnsi="Brill" w:cs="AdvOT638a931c.I"/>
          <w:sz w:val="24"/>
          <w:szCs w:val="24"/>
        </w:rPr>
        <w:t>Bacchylides: Politics, Performance, Poetic Tradition</w:t>
      </w:r>
      <w:r w:rsidRPr="00012258">
        <w:rPr>
          <w:rFonts w:ascii="Brill" w:hAnsi="Brill" w:cs="AdvOTbc475f09"/>
          <w:sz w:val="24"/>
          <w:szCs w:val="24"/>
        </w:rPr>
        <w:t>. Oxford.</w:t>
      </w:r>
    </w:p>
    <w:p w14:paraId="1FAA0C28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hAnsi="Brill" w:cs="AdvOTbc475f09"/>
          <w:color w:val="000000"/>
          <w:sz w:val="24"/>
          <w:szCs w:val="24"/>
        </w:rPr>
      </w:pPr>
      <w:r w:rsidRPr="00012258">
        <w:rPr>
          <w:rFonts w:ascii="Brill" w:hAnsi="Brill" w:cs="AdvOTbc475f09"/>
          <w:color w:val="000000"/>
          <w:sz w:val="24"/>
          <w:szCs w:val="24"/>
        </w:rPr>
        <w:t>Furley, W. D. and J. M. Bremer (</w:t>
      </w:r>
      <w:r w:rsidRPr="00012258">
        <w:rPr>
          <w:rFonts w:ascii="Brill" w:hAnsi="Brill" w:cs="AdvP83C7"/>
          <w:color w:val="000000"/>
          <w:sz w:val="24"/>
          <w:szCs w:val="24"/>
        </w:rPr>
        <w:t>2001</w:t>
      </w:r>
      <w:r w:rsidRPr="00012258">
        <w:rPr>
          <w:rFonts w:ascii="Brill" w:hAnsi="Brill" w:cs="AdvOTbc475f09"/>
          <w:color w:val="000000"/>
          <w:sz w:val="24"/>
          <w:szCs w:val="24"/>
        </w:rPr>
        <w:t xml:space="preserve">) </w:t>
      </w:r>
      <w:r w:rsidRPr="00012258">
        <w:rPr>
          <w:rFonts w:ascii="Brill" w:hAnsi="Brill" w:cs="AdvOT638a931c.I"/>
          <w:color w:val="000000"/>
          <w:sz w:val="24"/>
          <w:szCs w:val="24"/>
        </w:rPr>
        <w:t>Greek Hymns: Selected Cult Songs from the Archaic to the Hellenistic Period</w:t>
      </w:r>
      <w:r w:rsidRPr="00012258">
        <w:rPr>
          <w:rFonts w:ascii="Brill" w:hAnsi="Brill" w:cs="AdvOTbc475f09"/>
          <w:color w:val="000000"/>
          <w:sz w:val="24"/>
          <w:szCs w:val="24"/>
        </w:rPr>
        <w:t>. (</w:t>
      </w:r>
      <w:r w:rsidRPr="00012258">
        <w:rPr>
          <w:rFonts w:ascii="Brill" w:hAnsi="Brill" w:cs="AdvP83C7"/>
          <w:color w:val="000000"/>
          <w:sz w:val="24"/>
          <w:szCs w:val="24"/>
        </w:rPr>
        <w:t xml:space="preserve">2 </w:t>
      </w:r>
      <w:r w:rsidRPr="00012258">
        <w:rPr>
          <w:rFonts w:ascii="Brill" w:hAnsi="Brill" w:cs="AdvOTbc475f09"/>
          <w:color w:val="000000"/>
          <w:sz w:val="24"/>
          <w:szCs w:val="24"/>
        </w:rPr>
        <w:t>vols.). Tübingen.</w:t>
      </w:r>
    </w:p>
    <w:p w14:paraId="59A11918" w14:textId="77777777" w:rsidR="00012258" w:rsidRPr="00012258" w:rsidRDefault="00012258" w:rsidP="00D92C58">
      <w:pPr>
        <w:spacing w:before="240" w:line="276" w:lineRule="auto"/>
        <w:ind w:left="709" w:hanging="709"/>
        <w:rPr>
          <w:rFonts w:ascii="Brill" w:hAnsi="Brill"/>
          <w:sz w:val="24"/>
          <w:szCs w:val="24"/>
        </w:rPr>
      </w:pPr>
      <w:r w:rsidRPr="00012258">
        <w:rPr>
          <w:rFonts w:ascii="Brill" w:hAnsi="Brill"/>
          <w:sz w:val="24"/>
          <w:szCs w:val="24"/>
        </w:rPr>
        <w:t xml:space="preserve">Hadjittofi, F. (2008) ‘Callimachus’ sexy Athena: the </w:t>
      </w:r>
      <w:r w:rsidRPr="00012258">
        <w:rPr>
          <w:rFonts w:ascii="Brill" w:hAnsi="Brill"/>
          <w:i/>
          <w:iCs/>
          <w:sz w:val="24"/>
          <w:szCs w:val="24"/>
        </w:rPr>
        <w:t>Hymn to Athena</w:t>
      </w:r>
      <w:r w:rsidRPr="00012258">
        <w:rPr>
          <w:rFonts w:ascii="Brill" w:hAnsi="Brill"/>
          <w:sz w:val="24"/>
          <w:szCs w:val="24"/>
        </w:rPr>
        <w:t xml:space="preserve"> and the </w:t>
      </w:r>
      <w:r w:rsidRPr="00012258">
        <w:rPr>
          <w:rFonts w:ascii="Brill" w:hAnsi="Brill"/>
          <w:i/>
          <w:iCs/>
          <w:sz w:val="24"/>
          <w:szCs w:val="24"/>
        </w:rPr>
        <w:t>Homeric Hymn to Aphrodite</w:t>
      </w:r>
      <w:r w:rsidRPr="00012258">
        <w:rPr>
          <w:rFonts w:ascii="Brill" w:hAnsi="Brill"/>
          <w:sz w:val="24"/>
          <w:szCs w:val="24"/>
        </w:rPr>
        <w:t xml:space="preserve">’, </w:t>
      </w:r>
      <w:r w:rsidRPr="00012258">
        <w:rPr>
          <w:rFonts w:ascii="Brill" w:hAnsi="Brill"/>
          <w:i/>
          <w:iCs/>
          <w:sz w:val="24"/>
          <w:szCs w:val="24"/>
        </w:rPr>
        <w:t>Materiali e Discussioni</w:t>
      </w:r>
      <w:r w:rsidRPr="00012258">
        <w:rPr>
          <w:rFonts w:ascii="Brill" w:hAnsi="Brill"/>
          <w:sz w:val="24"/>
          <w:szCs w:val="24"/>
        </w:rPr>
        <w:t xml:space="preserve"> 60: 9-37</w:t>
      </w:r>
    </w:p>
    <w:p w14:paraId="144CA143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 w:rsidRPr="00012258">
        <w:rPr>
          <w:rFonts w:ascii="Brill" w:hAnsi="Brill" w:cs="AdvOTbc475f09"/>
          <w:sz w:val="24"/>
          <w:szCs w:val="24"/>
        </w:rPr>
        <w:t>Harder, M. A., R. F. Regtuit and G. C. Wakker (</w:t>
      </w:r>
      <w:r w:rsidRPr="00012258">
        <w:rPr>
          <w:rFonts w:ascii="Brill" w:hAnsi="Brill" w:cs="AdvP83C7"/>
          <w:sz w:val="24"/>
          <w:szCs w:val="24"/>
        </w:rPr>
        <w:t>1998</w:t>
      </w:r>
      <w:r w:rsidRPr="00012258">
        <w:rPr>
          <w:rFonts w:ascii="Brill" w:hAnsi="Brill" w:cs="AdvOTbc475f09"/>
          <w:sz w:val="24"/>
          <w:szCs w:val="24"/>
        </w:rPr>
        <w:t xml:space="preserve">) (eds.) </w:t>
      </w:r>
      <w:r w:rsidRPr="00012258">
        <w:rPr>
          <w:rFonts w:ascii="Brill" w:hAnsi="Brill" w:cs="AdvOT638a931c.I"/>
          <w:sz w:val="24"/>
          <w:szCs w:val="24"/>
        </w:rPr>
        <w:t>Genre in Hellenistic Poetry</w:t>
      </w:r>
      <w:r w:rsidRPr="00012258">
        <w:rPr>
          <w:rFonts w:ascii="Brill" w:hAnsi="Brill" w:cs="AdvOTbc475f09"/>
          <w:sz w:val="24"/>
          <w:szCs w:val="24"/>
        </w:rPr>
        <w:t xml:space="preserve">.  Hellenistica Groningana </w:t>
      </w:r>
      <w:r w:rsidRPr="00012258">
        <w:rPr>
          <w:rFonts w:ascii="Brill" w:hAnsi="Brill" w:cs="AdvP83C7"/>
          <w:sz w:val="24"/>
          <w:szCs w:val="24"/>
        </w:rPr>
        <w:t>3</w:t>
      </w:r>
      <w:r w:rsidRPr="00012258">
        <w:rPr>
          <w:rFonts w:ascii="Brill" w:hAnsi="Brill" w:cs="AdvOTbc475f09"/>
          <w:sz w:val="24"/>
          <w:szCs w:val="24"/>
        </w:rPr>
        <w:t>). Groningen.</w:t>
      </w:r>
    </w:p>
    <w:p w14:paraId="5AD33E43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eastAsia="Times New Roman" w:hAnsi="Brill" w:cs="Times New Roman"/>
          <w:sz w:val="24"/>
          <w:szCs w:val="24"/>
          <w:lang w:eastAsia="en-GB"/>
        </w:rPr>
      </w:pPr>
      <w:r w:rsidRPr="00012258">
        <w:rPr>
          <w:rFonts w:ascii="Brill" w:hAnsi="Brill" w:cs="AdvOT638a931c.I"/>
          <w:sz w:val="24"/>
          <w:szCs w:val="24"/>
        </w:rPr>
        <w:t xml:space="preserve">Hutchinson, G. O. (2008), </w:t>
      </w:r>
      <w:r w:rsidRPr="00012258">
        <w:rPr>
          <w:rFonts w:ascii="Brill" w:hAnsi="Brill" w:cs="AdvOT638a931c.I"/>
          <w:i/>
          <w:iCs/>
          <w:sz w:val="24"/>
          <w:szCs w:val="24"/>
        </w:rPr>
        <w:t>Talking Books</w:t>
      </w:r>
      <w:r w:rsidRPr="00012258">
        <w:rPr>
          <w:rFonts w:ascii="Brill" w:hAnsi="Brill" w:cs="AdvOT638a931c.I"/>
          <w:sz w:val="24"/>
          <w:szCs w:val="24"/>
        </w:rPr>
        <w:t xml:space="preserve">: </w:t>
      </w:r>
      <w:r w:rsidRPr="00012258">
        <w:rPr>
          <w:rFonts w:ascii="Brill" w:hAnsi="Brill" w:cs="AdvOT638a931c.I"/>
          <w:i/>
          <w:iCs/>
          <w:sz w:val="24"/>
          <w:szCs w:val="24"/>
        </w:rPr>
        <w:t>Readings in Hellenistic and Roman Books of Poetry</w:t>
      </w:r>
      <w:r w:rsidRPr="00012258">
        <w:rPr>
          <w:rFonts w:ascii="Brill" w:hAnsi="Brill" w:cs="AdvOT638a931c.I"/>
          <w:sz w:val="24"/>
          <w:szCs w:val="24"/>
        </w:rPr>
        <w:t xml:space="preserve"> (Oxford)</w:t>
      </w:r>
    </w:p>
    <w:p w14:paraId="75086FA5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>
        <w:rPr>
          <w:rFonts w:ascii="Brill" w:hAnsi="Brill" w:cs="AdvOTbc475f09"/>
          <w:sz w:val="24"/>
          <w:szCs w:val="24"/>
        </w:rPr>
        <w:t>K</w:t>
      </w:r>
      <w:r w:rsidRPr="00012258">
        <w:rPr>
          <w:rFonts w:ascii="Brill" w:hAnsi="Brill" w:cs="AdvOTbc475f09"/>
          <w:sz w:val="24"/>
          <w:szCs w:val="24"/>
        </w:rPr>
        <w:t>owalzig, B. (</w:t>
      </w:r>
      <w:r w:rsidRPr="00012258">
        <w:rPr>
          <w:rFonts w:ascii="Brill" w:hAnsi="Brill" w:cs="AdvP83C7"/>
          <w:sz w:val="24"/>
          <w:szCs w:val="24"/>
        </w:rPr>
        <w:t>2007</w:t>
      </w:r>
      <w:r w:rsidRPr="00012258">
        <w:rPr>
          <w:rFonts w:ascii="Brill" w:hAnsi="Brill" w:cs="AdvOTbc475f09"/>
          <w:sz w:val="24"/>
          <w:szCs w:val="24"/>
        </w:rPr>
        <w:t xml:space="preserve">) </w:t>
      </w:r>
      <w:r w:rsidRPr="00012258">
        <w:rPr>
          <w:rFonts w:ascii="Brill" w:hAnsi="Brill" w:cs="AdvOT638a931c.I"/>
          <w:sz w:val="24"/>
          <w:szCs w:val="24"/>
        </w:rPr>
        <w:t>Singing for the Gods: Performances of Myth and Ritual in Archaic and Classical Greece</w:t>
      </w:r>
      <w:r w:rsidRPr="00012258">
        <w:rPr>
          <w:rFonts w:ascii="Brill" w:hAnsi="Brill" w:cs="AdvOTbc475f09"/>
          <w:sz w:val="24"/>
          <w:szCs w:val="24"/>
        </w:rPr>
        <w:t>. Oxford.</w:t>
      </w:r>
    </w:p>
    <w:p w14:paraId="5FB00EF1" w14:textId="77777777" w:rsidR="00012258" w:rsidRPr="00012258" w:rsidRDefault="00012258" w:rsidP="00D92C58">
      <w:pPr>
        <w:autoSpaceDE w:val="0"/>
        <w:autoSpaceDN w:val="0"/>
        <w:adjustRightInd w:val="0"/>
        <w:spacing w:before="240" w:line="276" w:lineRule="auto"/>
        <w:ind w:left="709" w:hanging="709"/>
        <w:rPr>
          <w:rFonts w:ascii="Brill" w:hAnsi="Brill" w:cs="AdvOTbc475f09"/>
          <w:sz w:val="24"/>
          <w:szCs w:val="24"/>
        </w:rPr>
      </w:pPr>
      <w:r w:rsidRPr="00012258">
        <w:rPr>
          <w:rFonts w:ascii="Brill" w:hAnsi="Brill" w:cs="AdvOTbc475f09"/>
          <w:sz w:val="24"/>
          <w:szCs w:val="24"/>
        </w:rPr>
        <w:t>Nagy, G. (</w:t>
      </w:r>
      <w:r w:rsidRPr="00012258">
        <w:rPr>
          <w:rFonts w:ascii="Brill" w:hAnsi="Brill" w:cs="AdvP83C7"/>
          <w:sz w:val="24"/>
          <w:szCs w:val="24"/>
        </w:rPr>
        <w:t>2000</w:t>
      </w:r>
      <w:r w:rsidRPr="00012258">
        <w:rPr>
          <w:rFonts w:ascii="Brill" w:hAnsi="Brill" w:cs="AdvOTbc475f09"/>
          <w:sz w:val="24"/>
          <w:szCs w:val="24"/>
        </w:rPr>
        <w:t xml:space="preserve">) </w:t>
      </w:r>
      <w:r w:rsidRPr="00012258">
        <w:rPr>
          <w:rFonts w:ascii="Brill" w:hAnsi="Brill" w:cs="AdvOTbc475f09+20"/>
          <w:sz w:val="24"/>
          <w:szCs w:val="24"/>
        </w:rPr>
        <w:t>‘</w:t>
      </w:r>
      <w:r w:rsidRPr="00012258">
        <w:rPr>
          <w:rFonts w:ascii="Brill" w:hAnsi="Brill" w:cs="AdvOTbc475f09"/>
          <w:sz w:val="24"/>
          <w:szCs w:val="24"/>
        </w:rPr>
        <w:t>Reading Greek poetry aloud: evidence from the Bacchylides papyri</w:t>
      </w:r>
      <w:r w:rsidRPr="00012258">
        <w:rPr>
          <w:rFonts w:ascii="Brill" w:hAnsi="Brill" w:cs="AdvOTbc475f09+20"/>
          <w:sz w:val="24"/>
          <w:szCs w:val="24"/>
        </w:rPr>
        <w:t>’</w:t>
      </w:r>
      <w:r w:rsidRPr="00012258">
        <w:rPr>
          <w:rFonts w:ascii="Brill" w:hAnsi="Brill" w:cs="AdvOTbc475f09"/>
          <w:sz w:val="24"/>
          <w:szCs w:val="24"/>
        </w:rPr>
        <w:t xml:space="preserve">, </w:t>
      </w:r>
      <w:r w:rsidRPr="00012258">
        <w:rPr>
          <w:rFonts w:ascii="Brill" w:hAnsi="Brill" w:cs="AdvOT638a931c.I"/>
          <w:sz w:val="24"/>
          <w:szCs w:val="24"/>
        </w:rPr>
        <w:t xml:space="preserve">QUCC </w:t>
      </w:r>
      <w:r w:rsidRPr="00012258">
        <w:rPr>
          <w:rFonts w:ascii="Brill" w:hAnsi="Brill" w:cs="AdvP83C7"/>
          <w:sz w:val="24"/>
          <w:szCs w:val="24"/>
        </w:rPr>
        <w:t xml:space="preserve">93 </w:t>
      </w:r>
      <w:r w:rsidRPr="00012258">
        <w:rPr>
          <w:rFonts w:ascii="Brill" w:hAnsi="Brill" w:cs="AdvOTbc475f09"/>
          <w:sz w:val="24"/>
          <w:szCs w:val="24"/>
        </w:rPr>
        <w:t xml:space="preserve">(= n.s. </w:t>
      </w:r>
      <w:r w:rsidRPr="00012258">
        <w:rPr>
          <w:rFonts w:ascii="Brill" w:hAnsi="Brill" w:cs="AdvP83C7"/>
          <w:sz w:val="24"/>
          <w:szCs w:val="24"/>
        </w:rPr>
        <w:t>64</w:t>
      </w:r>
      <w:r w:rsidRPr="00012258">
        <w:rPr>
          <w:rFonts w:ascii="Brill" w:hAnsi="Brill" w:cs="AdvOTbc475f09"/>
          <w:sz w:val="24"/>
          <w:szCs w:val="24"/>
        </w:rPr>
        <w:t>.</w:t>
      </w:r>
      <w:r w:rsidRPr="00012258">
        <w:rPr>
          <w:rFonts w:ascii="Brill" w:hAnsi="Brill" w:cs="AdvP83C7"/>
          <w:sz w:val="24"/>
          <w:szCs w:val="24"/>
        </w:rPr>
        <w:t>1</w:t>
      </w:r>
      <w:r w:rsidRPr="00012258">
        <w:rPr>
          <w:rFonts w:ascii="Brill" w:hAnsi="Brill" w:cs="AdvOTbc475f09"/>
          <w:sz w:val="24"/>
          <w:szCs w:val="24"/>
        </w:rPr>
        <w:t xml:space="preserve">): </w:t>
      </w:r>
      <w:r w:rsidRPr="00012258">
        <w:rPr>
          <w:rFonts w:ascii="Brill" w:hAnsi="Brill" w:cs="AdvP83C7"/>
          <w:sz w:val="24"/>
          <w:szCs w:val="24"/>
        </w:rPr>
        <w:t>7</w:t>
      </w:r>
      <w:r w:rsidRPr="00012258">
        <w:rPr>
          <w:rFonts w:ascii="Brill" w:hAnsi="Brill" w:cs="AdvOTbc475f09+20"/>
          <w:sz w:val="24"/>
          <w:szCs w:val="24"/>
        </w:rPr>
        <w:t>–</w:t>
      </w:r>
      <w:r w:rsidRPr="00012258">
        <w:rPr>
          <w:rFonts w:ascii="Brill" w:hAnsi="Brill" w:cs="AdvP83C7"/>
          <w:sz w:val="24"/>
          <w:szCs w:val="24"/>
        </w:rPr>
        <w:t>28</w:t>
      </w:r>
      <w:r w:rsidRPr="00012258">
        <w:rPr>
          <w:rFonts w:ascii="Brill" w:hAnsi="Brill" w:cs="AdvOTbc475f09"/>
          <w:sz w:val="24"/>
          <w:szCs w:val="24"/>
        </w:rPr>
        <w:t>.</w:t>
      </w:r>
    </w:p>
    <w:p w14:paraId="775BDA4C" w14:textId="77777777" w:rsidR="00012258" w:rsidRDefault="00012258" w:rsidP="00E352A7">
      <w:pPr>
        <w:autoSpaceDE w:val="0"/>
        <w:autoSpaceDN w:val="0"/>
        <w:adjustRightInd w:val="0"/>
        <w:spacing w:after="0" w:line="240" w:lineRule="auto"/>
        <w:rPr>
          <w:rFonts w:ascii="Brill" w:hAnsi="Brill" w:cs="AdvOTbc475f09"/>
          <w:sz w:val="24"/>
          <w:szCs w:val="24"/>
        </w:rPr>
      </w:pPr>
    </w:p>
    <w:p w14:paraId="29F6016D" w14:textId="77777777" w:rsidR="00E352A7" w:rsidRPr="00EB2EFC" w:rsidRDefault="00E352A7" w:rsidP="00E352A7">
      <w:pPr>
        <w:autoSpaceDE w:val="0"/>
        <w:autoSpaceDN w:val="0"/>
        <w:adjustRightInd w:val="0"/>
        <w:spacing w:after="0" w:line="240" w:lineRule="auto"/>
        <w:rPr>
          <w:rFonts w:ascii="Brill" w:hAnsi="Brill" w:cs="AdvOTbc475f09"/>
          <w:sz w:val="24"/>
          <w:szCs w:val="24"/>
        </w:rPr>
      </w:pPr>
    </w:p>
    <w:p w14:paraId="445CF9E5" w14:textId="77777777" w:rsidR="00E352A7" w:rsidRDefault="00E352A7"/>
    <w:sectPr w:rsidR="00E352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ill">
    <w:panose1 w:val="020F0602050406030203"/>
    <w:charset w:val="00"/>
    <w:family w:val="swiss"/>
    <w:pitch w:val="variable"/>
    <w:sig w:usb0="E00002FF" w:usb1="4000E4FB" w:usb2="02000000" w:usb3="00000000" w:csb0="0000019F" w:csb1="00000000"/>
  </w:font>
  <w:font w:name="AdvOTbc475f09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dvP83C7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dvOT638a931c.I">
    <w:altName w:val="Cambria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dvOTbc475f09+20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2A7"/>
    <w:rsid w:val="00012258"/>
    <w:rsid w:val="001B16F4"/>
    <w:rsid w:val="003C032F"/>
    <w:rsid w:val="008D309A"/>
    <w:rsid w:val="00B0518A"/>
    <w:rsid w:val="00D92C58"/>
    <w:rsid w:val="00E35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F4209E"/>
  <w15:chartTrackingRefBased/>
  <w15:docId w15:val="{7BC81E1B-D5E3-4B50-8578-65023B033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edia-delimiter">
    <w:name w:val="media-delimiter"/>
    <w:basedOn w:val="DefaultParagraphFont"/>
    <w:rsid w:val="000122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257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249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713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Oakley</dc:creator>
  <cp:keywords/>
  <dc:description/>
  <cp:lastModifiedBy>James Oakley</cp:lastModifiedBy>
  <cp:revision>4</cp:revision>
  <dcterms:created xsi:type="dcterms:W3CDTF">2022-11-02T18:18:00Z</dcterms:created>
  <dcterms:modified xsi:type="dcterms:W3CDTF">2022-11-02T18:42:00Z</dcterms:modified>
</cp:coreProperties>
</file>