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290949712"/>
        <w:docPartObj>
          <w:docPartGallery w:val="Cover Pages"/>
          <w:docPartUnique/>
        </w:docPartObj>
      </w:sdtPr>
      <w:sdtEndPr>
        <w:rPr>
          <w:rFonts w:eastAsiaTheme="minorHAnsi"/>
          <w:sz w:val="22"/>
          <w:lang w:val="en-GB"/>
        </w:rPr>
      </w:sdtEndPr>
      <w:sdtContent>
        <w:p w14:paraId="437E8B07" w14:textId="0D90D79A" w:rsidR="00BD6E24" w:rsidRDefault="00BD6E24">
          <w:pPr>
            <w:pStyle w:val="NoSpacing"/>
            <w:rPr>
              <w:sz w:val="2"/>
            </w:rPr>
          </w:pPr>
        </w:p>
        <w:p w14:paraId="68A85FC3" w14:textId="77777777" w:rsidR="00BD6E24" w:rsidRDefault="00BD6E24">
          <w:r>
            <w:rPr>
              <w:noProof/>
            </w:rPr>
            <mc:AlternateContent>
              <mc:Choice Requires="wps">
                <w:drawing>
                  <wp:anchor distT="0" distB="0" distL="114300" distR="114300" simplePos="0" relativeHeight="251661312" behindDoc="0" locked="0" layoutInCell="1" allowOverlap="1" wp14:anchorId="1E6E9BFA" wp14:editId="14627B06">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B29C93"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F0B3E0D" w14:textId="1B4E74B0" w:rsidR="00BD6E24" w:rsidRDefault="00BD6E24">
                                    <w:pPr>
                                      <w:pStyle w:val="NoSpacing"/>
                                      <w:rPr>
                                        <w:rFonts w:asciiTheme="majorHAnsi" w:eastAsiaTheme="majorEastAsia" w:hAnsiTheme="majorHAnsi" w:cstheme="majorBidi"/>
                                        <w:caps/>
                                        <w:color w:val="B29C93" w:themeColor="text2" w:themeTint="99"/>
                                        <w:sz w:val="68"/>
                                        <w:szCs w:val="68"/>
                                      </w:rPr>
                                    </w:pPr>
                                    <w:r>
                                      <w:rPr>
                                        <w:rFonts w:asciiTheme="majorHAnsi" w:eastAsiaTheme="majorEastAsia" w:hAnsiTheme="majorHAnsi" w:cstheme="majorBidi"/>
                                        <w:caps/>
                                        <w:color w:val="B29C93" w:themeColor="text2" w:themeTint="99"/>
                                        <w:sz w:val="64"/>
                                        <w:szCs w:val="64"/>
                                      </w:rPr>
                                      <w:t>Consideration</w:t>
                                    </w:r>
                                  </w:p>
                                </w:sdtContent>
                              </w:sdt>
                              <w:p w14:paraId="7D58563B" w14:textId="696B8E8B" w:rsidR="00BD6E24" w:rsidRDefault="00BD6E24">
                                <w:pPr>
                                  <w:pStyle w:val="NoSpacing"/>
                                  <w:spacing w:before="120"/>
                                  <w:rPr>
                                    <w:noProof/>
                                  </w:rPr>
                                </w:pPr>
                                <w:sdt>
                                  <w:sdtPr>
                                    <w:rPr>
                                      <w:color w:val="94B6D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94B6D2" w:themeColor="accent1"/>
                                        <w:sz w:val="36"/>
                                        <w:szCs w:val="36"/>
                                      </w:rPr>
                                      <w:t>Contract Law BMLW5006</w:t>
                                    </w:r>
                                  </w:sdtContent>
                                </w:sdt>
                                <w:r>
                                  <w:rPr>
                                    <w:noProof/>
                                  </w:rPr>
                                  <w:t xml:space="preserve"> </w:t>
                                </w:r>
                              </w:p>
                              <w:p w14:paraId="5E48521F" w14:textId="2B14C320" w:rsidR="00BD6E24" w:rsidRPr="00BD6E24" w:rsidRDefault="00BD6E24">
                                <w:pPr>
                                  <w:pStyle w:val="NoSpacing"/>
                                  <w:spacing w:before="120"/>
                                  <w:rPr>
                                    <w:b/>
                                    <w:bCs/>
                                    <w:color w:val="94B6D2" w:themeColor="accent1"/>
                                    <w:sz w:val="28"/>
                                    <w:szCs w:val="28"/>
                                  </w:rPr>
                                </w:pPr>
                                <w:r>
                                  <w:rPr>
                                    <w:b/>
                                    <w:bCs/>
                                    <w:noProof/>
                                    <w:sz w:val="28"/>
                                    <w:szCs w:val="28"/>
                                  </w:rPr>
                                  <w:t>Evaluate to what extent valid consideration will be present when a promise of past consideration or a promise to perform a pre-existing duty has been made.</w:t>
                                </w:r>
                              </w:p>
                              <w:p w14:paraId="40F109A6" w14:textId="77777777" w:rsidR="00BD6E24" w:rsidRDefault="00BD6E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E6E9BFA"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B29C93"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F0B3E0D" w14:textId="1B4E74B0" w:rsidR="00BD6E24" w:rsidRDefault="00BD6E24">
                              <w:pPr>
                                <w:pStyle w:val="NoSpacing"/>
                                <w:rPr>
                                  <w:rFonts w:asciiTheme="majorHAnsi" w:eastAsiaTheme="majorEastAsia" w:hAnsiTheme="majorHAnsi" w:cstheme="majorBidi"/>
                                  <w:caps/>
                                  <w:color w:val="B29C93" w:themeColor="text2" w:themeTint="99"/>
                                  <w:sz w:val="68"/>
                                  <w:szCs w:val="68"/>
                                </w:rPr>
                              </w:pPr>
                              <w:r>
                                <w:rPr>
                                  <w:rFonts w:asciiTheme="majorHAnsi" w:eastAsiaTheme="majorEastAsia" w:hAnsiTheme="majorHAnsi" w:cstheme="majorBidi"/>
                                  <w:caps/>
                                  <w:color w:val="B29C93" w:themeColor="text2" w:themeTint="99"/>
                                  <w:sz w:val="64"/>
                                  <w:szCs w:val="64"/>
                                </w:rPr>
                                <w:t>Consideration</w:t>
                              </w:r>
                            </w:p>
                          </w:sdtContent>
                        </w:sdt>
                        <w:p w14:paraId="7D58563B" w14:textId="696B8E8B" w:rsidR="00BD6E24" w:rsidRDefault="00BD6E24">
                          <w:pPr>
                            <w:pStyle w:val="NoSpacing"/>
                            <w:spacing w:before="120"/>
                            <w:rPr>
                              <w:noProof/>
                            </w:rPr>
                          </w:pPr>
                          <w:sdt>
                            <w:sdtPr>
                              <w:rPr>
                                <w:color w:val="94B6D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94B6D2" w:themeColor="accent1"/>
                                  <w:sz w:val="36"/>
                                  <w:szCs w:val="36"/>
                                </w:rPr>
                                <w:t>Contract Law BMLW5006</w:t>
                              </w:r>
                            </w:sdtContent>
                          </w:sdt>
                          <w:r>
                            <w:rPr>
                              <w:noProof/>
                            </w:rPr>
                            <w:t xml:space="preserve"> </w:t>
                          </w:r>
                        </w:p>
                        <w:p w14:paraId="5E48521F" w14:textId="2B14C320" w:rsidR="00BD6E24" w:rsidRPr="00BD6E24" w:rsidRDefault="00BD6E24">
                          <w:pPr>
                            <w:pStyle w:val="NoSpacing"/>
                            <w:spacing w:before="120"/>
                            <w:rPr>
                              <w:b/>
                              <w:bCs/>
                              <w:color w:val="94B6D2" w:themeColor="accent1"/>
                              <w:sz w:val="28"/>
                              <w:szCs w:val="28"/>
                            </w:rPr>
                          </w:pPr>
                          <w:r>
                            <w:rPr>
                              <w:b/>
                              <w:bCs/>
                              <w:noProof/>
                              <w:sz w:val="28"/>
                              <w:szCs w:val="28"/>
                            </w:rPr>
                            <w:t>Evaluate to what extent valid consideration will be present when a promise of past consideration or a promise to perform a pre-existing duty has been made.</w:t>
                          </w:r>
                        </w:p>
                        <w:p w14:paraId="40F109A6" w14:textId="77777777" w:rsidR="00BD6E24" w:rsidRDefault="00BD6E24"/>
                      </w:txbxContent>
                    </v:textbox>
                    <w10:wrap anchorx="page" anchory="margin"/>
                  </v:shape>
                </w:pict>
              </mc:Fallback>
            </mc:AlternateContent>
          </w:r>
          <w:r>
            <w:rPr>
              <w:noProof/>
              <w:color w:val="94B6D2" w:themeColor="accent1"/>
              <w:sz w:val="36"/>
              <w:szCs w:val="36"/>
            </w:rPr>
            <mc:AlternateContent>
              <mc:Choice Requires="wpg">
                <w:drawing>
                  <wp:anchor distT="0" distB="0" distL="114300" distR="114300" simplePos="0" relativeHeight="251660288" behindDoc="1" locked="0" layoutInCell="1" allowOverlap="1" wp14:anchorId="2116474F" wp14:editId="6EBA6907">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8FD10C0"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05C2EC1" wp14:editId="6B7A434E">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B59238" w14:textId="1FB25138" w:rsidR="00BD6E24" w:rsidRDefault="00BD6E24">
                                <w:pPr>
                                  <w:pStyle w:val="NoSpacing"/>
                                  <w:jc w:val="right"/>
                                  <w:rPr>
                                    <w:color w:val="94B6D2" w:themeColor="accent1"/>
                                    <w:sz w:val="36"/>
                                    <w:szCs w:val="36"/>
                                  </w:rPr>
                                </w:pPr>
                                <w:sdt>
                                  <w:sdtPr>
                                    <w:rPr>
                                      <w:color w:val="94B6D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94B6D2" w:themeColor="accent1"/>
                                        <w:sz w:val="36"/>
                                        <w:szCs w:val="36"/>
                                      </w:rPr>
                                      <w:t>Neve Evans</w:t>
                                    </w:r>
                                  </w:sdtContent>
                                </w:sdt>
                              </w:p>
                              <w:sdt>
                                <w:sdtPr>
                                  <w:rPr>
                                    <w:color w:val="94B6D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BB74962" w14:textId="3EB4779C" w:rsidR="00BD6E24" w:rsidRDefault="00BD6E24">
                                    <w:pPr>
                                      <w:pStyle w:val="NoSpacing"/>
                                      <w:jc w:val="right"/>
                                      <w:rPr>
                                        <w:color w:val="94B6D2" w:themeColor="accent1"/>
                                        <w:sz w:val="36"/>
                                        <w:szCs w:val="36"/>
                                      </w:rPr>
                                    </w:pPr>
                                    <w:r>
                                      <w:rPr>
                                        <w:color w:val="94B6D2" w:themeColor="accent1"/>
                                        <w:sz w:val="36"/>
                                        <w:szCs w:val="36"/>
                                      </w:rPr>
                                      <w:t>2000119</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05C2EC1"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37B59238" w14:textId="1FB25138" w:rsidR="00BD6E24" w:rsidRDefault="00BD6E24">
                          <w:pPr>
                            <w:pStyle w:val="NoSpacing"/>
                            <w:jc w:val="right"/>
                            <w:rPr>
                              <w:color w:val="94B6D2" w:themeColor="accent1"/>
                              <w:sz w:val="36"/>
                              <w:szCs w:val="36"/>
                            </w:rPr>
                          </w:pPr>
                          <w:sdt>
                            <w:sdtPr>
                              <w:rPr>
                                <w:color w:val="94B6D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94B6D2" w:themeColor="accent1"/>
                                  <w:sz w:val="36"/>
                                  <w:szCs w:val="36"/>
                                </w:rPr>
                                <w:t>Neve Evans</w:t>
                              </w:r>
                            </w:sdtContent>
                          </w:sdt>
                        </w:p>
                        <w:sdt>
                          <w:sdtPr>
                            <w:rPr>
                              <w:color w:val="94B6D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BB74962" w14:textId="3EB4779C" w:rsidR="00BD6E24" w:rsidRDefault="00BD6E24">
                              <w:pPr>
                                <w:pStyle w:val="NoSpacing"/>
                                <w:jc w:val="right"/>
                                <w:rPr>
                                  <w:color w:val="94B6D2" w:themeColor="accent1"/>
                                  <w:sz w:val="36"/>
                                  <w:szCs w:val="36"/>
                                </w:rPr>
                              </w:pPr>
                              <w:r>
                                <w:rPr>
                                  <w:color w:val="94B6D2" w:themeColor="accent1"/>
                                  <w:sz w:val="36"/>
                                  <w:szCs w:val="36"/>
                                </w:rPr>
                                <w:t>2000119</w:t>
                              </w:r>
                            </w:p>
                          </w:sdtContent>
                        </w:sdt>
                      </w:txbxContent>
                    </v:textbox>
                    <w10:wrap anchorx="page" anchory="margin"/>
                  </v:shape>
                </w:pict>
              </mc:Fallback>
            </mc:AlternateContent>
          </w:r>
        </w:p>
        <w:p w14:paraId="33DB17FB" w14:textId="4C74F315" w:rsidR="00BD6E24" w:rsidRDefault="00BD6E24">
          <w:r>
            <w:br w:type="page"/>
          </w:r>
        </w:p>
      </w:sdtContent>
    </w:sdt>
    <w:sdt>
      <w:sdtPr>
        <w:id w:val="132339089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E7B8CD4" w14:textId="512F8792" w:rsidR="00BD6E24" w:rsidRDefault="00BD6E24">
          <w:pPr>
            <w:pStyle w:val="TOCHeading"/>
          </w:pPr>
          <w:r>
            <w:t>Table of Contents</w:t>
          </w:r>
        </w:p>
        <w:p w14:paraId="70C1C28B" w14:textId="46FC0565" w:rsidR="000756D9" w:rsidRDefault="00BD6E2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8722566" w:history="1">
            <w:r w:rsidR="000756D9" w:rsidRPr="00BC7055">
              <w:rPr>
                <w:rStyle w:val="Hyperlink"/>
                <w:noProof/>
              </w:rPr>
              <w:t>Essay</w:t>
            </w:r>
            <w:r w:rsidR="000756D9">
              <w:rPr>
                <w:noProof/>
                <w:webHidden/>
              </w:rPr>
              <w:tab/>
            </w:r>
            <w:r w:rsidR="000756D9">
              <w:rPr>
                <w:noProof/>
                <w:webHidden/>
              </w:rPr>
              <w:fldChar w:fldCharType="begin"/>
            </w:r>
            <w:r w:rsidR="000756D9">
              <w:rPr>
                <w:noProof/>
                <w:webHidden/>
              </w:rPr>
              <w:instrText xml:space="preserve"> PAGEREF _Toc108722566 \h </w:instrText>
            </w:r>
            <w:r w:rsidR="000756D9">
              <w:rPr>
                <w:noProof/>
                <w:webHidden/>
              </w:rPr>
            </w:r>
            <w:r w:rsidR="000756D9">
              <w:rPr>
                <w:noProof/>
                <w:webHidden/>
              </w:rPr>
              <w:fldChar w:fldCharType="separate"/>
            </w:r>
            <w:r w:rsidR="000756D9">
              <w:rPr>
                <w:noProof/>
                <w:webHidden/>
              </w:rPr>
              <w:t>2</w:t>
            </w:r>
            <w:r w:rsidR="000756D9">
              <w:rPr>
                <w:noProof/>
                <w:webHidden/>
              </w:rPr>
              <w:fldChar w:fldCharType="end"/>
            </w:r>
          </w:hyperlink>
        </w:p>
        <w:p w14:paraId="545146C1" w14:textId="1CCFBA8D" w:rsidR="000756D9" w:rsidRDefault="000756D9">
          <w:pPr>
            <w:pStyle w:val="TOC1"/>
            <w:tabs>
              <w:tab w:val="right" w:leader="dot" w:pos="9016"/>
            </w:tabs>
            <w:rPr>
              <w:rFonts w:eastAsiaTheme="minorEastAsia"/>
              <w:noProof/>
              <w:lang w:eastAsia="en-GB"/>
            </w:rPr>
          </w:pPr>
          <w:hyperlink w:anchor="_Toc108722567" w:history="1">
            <w:r w:rsidRPr="00BC7055">
              <w:rPr>
                <w:rStyle w:val="Hyperlink"/>
                <w:noProof/>
              </w:rPr>
              <w:t>References</w:t>
            </w:r>
            <w:r>
              <w:rPr>
                <w:noProof/>
                <w:webHidden/>
              </w:rPr>
              <w:tab/>
            </w:r>
            <w:r>
              <w:rPr>
                <w:noProof/>
                <w:webHidden/>
              </w:rPr>
              <w:fldChar w:fldCharType="begin"/>
            </w:r>
            <w:r>
              <w:rPr>
                <w:noProof/>
                <w:webHidden/>
              </w:rPr>
              <w:instrText xml:space="preserve"> PAGEREF _Toc108722567 \h </w:instrText>
            </w:r>
            <w:r>
              <w:rPr>
                <w:noProof/>
                <w:webHidden/>
              </w:rPr>
            </w:r>
            <w:r>
              <w:rPr>
                <w:noProof/>
                <w:webHidden/>
              </w:rPr>
              <w:fldChar w:fldCharType="separate"/>
            </w:r>
            <w:r>
              <w:rPr>
                <w:noProof/>
                <w:webHidden/>
              </w:rPr>
              <w:t>5</w:t>
            </w:r>
            <w:r>
              <w:rPr>
                <w:noProof/>
                <w:webHidden/>
              </w:rPr>
              <w:fldChar w:fldCharType="end"/>
            </w:r>
          </w:hyperlink>
        </w:p>
        <w:p w14:paraId="4D14487B" w14:textId="03782C55" w:rsidR="000756D9" w:rsidRDefault="000756D9">
          <w:pPr>
            <w:pStyle w:val="TOC1"/>
            <w:tabs>
              <w:tab w:val="right" w:leader="dot" w:pos="9016"/>
            </w:tabs>
            <w:rPr>
              <w:rFonts w:eastAsiaTheme="minorEastAsia"/>
              <w:noProof/>
              <w:lang w:eastAsia="en-GB"/>
            </w:rPr>
          </w:pPr>
          <w:hyperlink w:anchor="_Toc108722568" w:history="1">
            <w:r w:rsidRPr="00BC7055">
              <w:rPr>
                <w:rStyle w:val="Hyperlink"/>
                <w:noProof/>
              </w:rPr>
              <w:t>Case Law and Legislation</w:t>
            </w:r>
            <w:r>
              <w:rPr>
                <w:noProof/>
                <w:webHidden/>
              </w:rPr>
              <w:tab/>
            </w:r>
            <w:r>
              <w:rPr>
                <w:noProof/>
                <w:webHidden/>
              </w:rPr>
              <w:fldChar w:fldCharType="begin"/>
            </w:r>
            <w:r>
              <w:rPr>
                <w:noProof/>
                <w:webHidden/>
              </w:rPr>
              <w:instrText xml:space="preserve"> PAGEREF _Toc108722568 \h </w:instrText>
            </w:r>
            <w:r>
              <w:rPr>
                <w:noProof/>
                <w:webHidden/>
              </w:rPr>
            </w:r>
            <w:r>
              <w:rPr>
                <w:noProof/>
                <w:webHidden/>
              </w:rPr>
              <w:fldChar w:fldCharType="separate"/>
            </w:r>
            <w:r>
              <w:rPr>
                <w:noProof/>
                <w:webHidden/>
              </w:rPr>
              <w:t>6</w:t>
            </w:r>
            <w:r>
              <w:rPr>
                <w:noProof/>
                <w:webHidden/>
              </w:rPr>
              <w:fldChar w:fldCharType="end"/>
            </w:r>
          </w:hyperlink>
        </w:p>
        <w:p w14:paraId="54D67A54" w14:textId="1E2D85E1" w:rsidR="00BD6E24" w:rsidRDefault="00BD6E24">
          <w:r>
            <w:rPr>
              <w:b/>
              <w:bCs/>
              <w:noProof/>
            </w:rPr>
            <w:fldChar w:fldCharType="end"/>
          </w:r>
        </w:p>
      </w:sdtContent>
    </w:sdt>
    <w:p w14:paraId="1F15F47E" w14:textId="397B00AE" w:rsidR="00BD6E24" w:rsidRDefault="00BD6E24"/>
    <w:p w14:paraId="3ED5D6CC" w14:textId="77777777" w:rsidR="00BD6E24" w:rsidRDefault="00BD6E24">
      <w:r>
        <w:br w:type="page"/>
      </w:r>
    </w:p>
    <w:p w14:paraId="41933820" w14:textId="11F68EF6" w:rsidR="00BD6E24" w:rsidRDefault="00BD6E24" w:rsidP="00BD6E24">
      <w:pPr>
        <w:pStyle w:val="Heading1"/>
      </w:pPr>
      <w:bookmarkStart w:id="0" w:name="_Toc108722566"/>
      <w:r>
        <w:lastRenderedPageBreak/>
        <w:t>Essay</w:t>
      </w:r>
      <w:bookmarkEnd w:id="0"/>
    </w:p>
    <w:p w14:paraId="3AD72319" w14:textId="11DA13AF" w:rsidR="00BD6E24" w:rsidRDefault="00BD6E24" w:rsidP="00BD6E24"/>
    <w:p w14:paraId="443D8E99" w14:textId="77777777" w:rsidR="009123D0" w:rsidRDefault="00664F2A">
      <w:r>
        <w:t xml:space="preserve">In contract law consideration is one of the key elements for creating a contract, according to Practical Law (), consideration is something of value that the party entering the contract is not already entitled to and this consideration is what is given in exchange for the contractual promise. Consideration can be received in many forms such as monetary payments, the promise to do something or the promise to not to something. For example, in </w:t>
      </w:r>
      <w:r w:rsidRPr="00664F2A">
        <w:rPr>
          <w:i/>
          <w:iCs/>
        </w:rPr>
        <w:t>Dunlop v Selfridge</w:t>
      </w:r>
      <w:r>
        <w:t xml:space="preserve"> (1915) </w:t>
      </w:r>
      <w:r w:rsidR="00430509">
        <w:t>it was stated that consideration is “an act or forbearance of one party, or the promise thereof, is the price for which the promise of the other is bought, and the promise thus given for value is enforceable.” This means that for a contract to be enforceable there is a need for consideration, therefore the party initiating a contract must offer a promise.</w:t>
      </w:r>
      <w:r w:rsidR="00133F03">
        <w:t xml:space="preserve"> In the case of </w:t>
      </w:r>
      <w:r w:rsidR="00133F03">
        <w:rPr>
          <w:i/>
          <w:iCs/>
        </w:rPr>
        <w:t xml:space="preserve">Currie v Misa </w:t>
      </w:r>
      <w:r w:rsidR="00133F03">
        <w:t xml:space="preserve">(1874) the court ruled that consideration “must consist either in some right, interest, profit or benefit accruing to the one party, or some forbearance, detriment, loss or responsibility, given, suffered, or undertaken by the other”, this means that, for example, </w:t>
      </w:r>
      <w:r w:rsidR="009123D0">
        <w:t>Person A may approach Person B with the offer of £200 to have a wall built and this would be consideration.</w:t>
      </w:r>
    </w:p>
    <w:p w14:paraId="3C41F38B" w14:textId="3E0FD73A" w:rsidR="00690AFE" w:rsidRDefault="009123D0">
      <w:r>
        <w:t xml:space="preserve">Consideration does follow a specific set of rules that governs whether it is valid consideration or not, these are as follows according to E-LawResources (n.d), consideration must not be past, be sufficient but need not be adequate, move from the promisee, an existing public duty will not amount to valid consideration, an existing contractual duty will not amount to valid consideration and part payment of a debt is not valid consideration for a promise to forego the balance. </w:t>
      </w:r>
      <w:r w:rsidR="000756D9">
        <w:t>Furthermore,</w:t>
      </w:r>
      <w:r w:rsidR="00690AFE">
        <w:t xml:space="preserve"> there are two types of consideration which help explain what past consideration is too, this is executed and executory consideration. An executed consideration is when a contract contains “promises [that] are made and completed immediately, like in the purchase of a product or service” (Study.com, 2022) whereas executory consideration refers to when “the promises of the contract are not fully performed immediately, an example … would be an apartment lease” (Study.com, 2022). Executed refers to the present whilst executory refers to the future, when thinking about the past, this is generally not valid consideration as a contract cannot be validly made in the past to be used presently.</w:t>
      </w:r>
    </w:p>
    <w:p w14:paraId="6886D124" w14:textId="34995B71" w:rsidR="009D48C8" w:rsidRDefault="00690AFE">
      <w:r>
        <w:t xml:space="preserve">Past consideration </w:t>
      </w:r>
      <w:r w:rsidR="004649AF">
        <w:t xml:space="preserve">is used “to mean a promise or an act that was made or performed prior to a contract, past consideration typically comes into play when someone is trying to enforce a new promise.” (UpCounsel, 2022) The reason past consideration is not usually valid is because enforcing a new promise on an old contract does not usually benefit both parties and most of the time it can be a manipulative form of consideration which is not appreciated by the other party. Invalid past consideration can be seen in </w:t>
      </w:r>
      <w:r w:rsidR="004649AF">
        <w:rPr>
          <w:i/>
          <w:iCs/>
        </w:rPr>
        <w:t xml:space="preserve">Roscorla v Thomas </w:t>
      </w:r>
      <w:r w:rsidR="004649AF">
        <w:t>(1842)</w:t>
      </w:r>
      <w:r w:rsidR="003875F4">
        <w:t xml:space="preserve">, in this case both parties agreed on the sale of a horse, after the sale was </w:t>
      </w:r>
      <w:r w:rsidR="000756D9">
        <w:t>completed,</w:t>
      </w:r>
      <w:r w:rsidR="003875F4">
        <w:t xml:space="preserve"> the seller assured the buyer that the horse was sound and did not have any issues such as a bad temper. However, it turned out the horse was very </w:t>
      </w:r>
      <w:r w:rsidR="000756D9">
        <w:t>ferocious,</w:t>
      </w:r>
      <w:r w:rsidR="003875F4">
        <w:t xml:space="preserve"> and the buyer tried to sue the </w:t>
      </w:r>
      <w:r w:rsidR="000756D9">
        <w:t>seller,</w:t>
      </w:r>
      <w:r w:rsidR="003875F4">
        <w:t xml:space="preserve"> but the court </w:t>
      </w:r>
      <w:r w:rsidR="00C4237D">
        <w:t xml:space="preserve">ruled that the buyer could not sue as the statement of the horse’s temper was made after the purchase meaning it was past consideration. Therefore, in these scenarios all statements should be made before the exchange of money. This was similarly seen in the case of </w:t>
      </w:r>
      <w:r w:rsidR="00C4237D">
        <w:rPr>
          <w:i/>
          <w:iCs/>
        </w:rPr>
        <w:t xml:space="preserve">Re McArdle </w:t>
      </w:r>
      <w:r w:rsidR="00C4237D">
        <w:t>(1951)</w:t>
      </w:r>
      <w:r w:rsidR="009D48C8">
        <w:t xml:space="preserve"> where Mr McArdle left a house to his five children, one of the children’s wives chose to complete work on the house amounting to £488 and after completing and paying for the work she had all five children sign a document promising to repay for the cost of the works, eventually she pushed for payment which four of the children refused to pay for and she attempted to sue them, however as this constitutes as past consideration as she had already finished the work and then attempted to enter a contract, she was denied by the courts. Both cases show that past consideration is neither valid nor good consideration.</w:t>
      </w:r>
    </w:p>
    <w:p w14:paraId="482AE9A4" w14:textId="77777777" w:rsidR="000877EB" w:rsidRDefault="009D48C8">
      <w:r>
        <w:lastRenderedPageBreak/>
        <w:t xml:space="preserve">There are a few exceptions to the rule of past consideration, for example the doctrine of implied assumpsit which according to UpCounsel (2022), </w:t>
      </w:r>
      <w:r w:rsidR="002E6098">
        <w:t xml:space="preserve">means that an obligation was implied by one party by their conduct or the circumstances of the situation. The doctrine of implied assumpsit has no formal promise and therefore no formal contract or consideration but due to the conduct or circumstances there is still an implied promise. There are still rules surrounding this as it must be presumed that one party will be benefiting and that they indicate they desire what they have received by accepting it without question. An example of this can be seen in </w:t>
      </w:r>
      <w:r w:rsidR="002E6098">
        <w:rPr>
          <w:i/>
          <w:iCs/>
        </w:rPr>
        <w:t xml:space="preserve">Lampleigh v Braithwaite </w:t>
      </w:r>
      <w:r w:rsidR="002E6098">
        <w:t xml:space="preserve">(1615) where Braithwaite, who had killed a man, asked Lampleigh to retrieve a pardon from the king. Lampleigh spent a lot of time and energy to retrieve this pardon at his own cost. After the ordeal Braithwaite promised to pay £100 in compensation but failed to. Whilst this is </w:t>
      </w:r>
      <w:r w:rsidR="003B3DA7">
        <w:t xml:space="preserve">classes as past consideration it also falls under the exception of the doctrine of implied assumpsit as there was an implied promise of money as Lampleigh had acted under request of Braithwaite and therefore Braithwaite was made to pay the compensation. This was further seen in </w:t>
      </w:r>
      <w:r w:rsidR="003B3DA7">
        <w:rPr>
          <w:i/>
          <w:iCs/>
        </w:rPr>
        <w:t xml:space="preserve">Re Casey’s Patents </w:t>
      </w:r>
      <w:r w:rsidR="003B3DA7">
        <w:t>(1892) where Casey managed patents owned by Stewart and Charlton, the patent owners signed a document stating they would give a third of the shares to Casey for his work but when he came to claim his shares the patent owners expunged the document and refused to pay stating that it was past consideration anyways and it was not a valid document</w:t>
      </w:r>
      <w:r w:rsidR="000877EB">
        <w:t>. The court ruled that despite past consideration not being good consideration, under the doctrine of implied assumpsit, Casey was expecting to be paid for his work and therefore they had to honour the original document. Both cases highlight that past consideration can sometimes exceptionally be good consideration if the promise is implied from the beginning.</w:t>
      </w:r>
    </w:p>
    <w:p w14:paraId="35BA84D4" w14:textId="71348DFF" w:rsidR="008E7C9C" w:rsidRDefault="008E7C9C">
      <w:r>
        <w:t>Some</w:t>
      </w:r>
      <w:r w:rsidR="000877EB">
        <w:t xml:space="preserve"> exceptions to the consideration rule include the performance of an existing </w:t>
      </w:r>
      <w:r>
        <w:t>public</w:t>
      </w:r>
      <w:r w:rsidR="000877EB">
        <w:t xml:space="preserve"> duty which refers to parties completing their </w:t>
      </w:r>
      <w:r>
        <w:t xml:space="preserve">public duty, for example, the police, the people’s duty to be called for jury duty. </w:t>
      </w:r>
      <w:r w:rsidR="00137601">
        <w:t xml:space="preserve">This can be seen in the case of </w:t>
      </w:r>
      <w:r w:rsidR="00137601">
        <w:rPr>
          <w:i/>
          <w:iCs/>
        </w:rPr>
        <w:t xml:space="preserve">Collins v Godefroy </w:t>
      </w:r>
      <w:r w:rsidR="00137601">
        <w:t xml:space="preserve">(1831) where Collins attempted to sue Godefroy for payment for attending court, although Godefroy promised to pay Collins one guinea per day as compensation, this was not considered when the court ruled against Collins. This is because attending court was Collins’s public duty. This would be the same if someone called for jury duty in the UK attempted to sue for loss of time as serving in the jury is an existing public duty. However, sometimes public duty can be good consideration, in the event of someone exceeding their public duty they may have grounds to sue. This is demonstrated in </w:t>
      </w:r>
      <w:r w:rsidR="00137601">
        <w:rPr>
          <w:i/>
          <w:iCs/>
        </w:rPr>
        <w:t>Glasbrook v Glamorgan County Council</w:t>
      </w:r>
      <w:r w:rsidR="00137601">
        <w:t xml:space="preserve"> (1925)</w:t>
      </w:r>
      <w:r w:rsidR="001A4AEB">
        <w:t xml:space="preserve">, a manager of a colliery had asked for extra police protection during a strike at the colliery, he insisted that they be stationed along the premises but was refused unless he paid for the additional officers. The manager initially agreed but eventually did not pay and it was taken to court, the colliery manager argued that it was the police’s public </w:t>
      </w:r>
      <w:r w:rsidR="000756D9">
        <w:t>duty,</w:t>
      </w:r>
      <w:r w:rsidR="001A4AEB">
        <w:t xml:space="preserve"> but the court ruled that it exceeded their public duty. In other words, had the manager accepted the mobile officers without the additional officers he would not have to pay but as he requested more the police were entitled to payment. This is one the cases where existing public duty can be used as good consideration in the exceptional case that it exceeds the normal public duty.</w:t>
      </w:r>
    </w:p>
    <w:p w14:paraId="2854DCE6" w14:textId="77777777" w:rsidR="00AA3B48" w:rsidRDefault="008E7C9C">
      <w:r>
        <w:t xml:space="preserve">Other exceptions to the consideration rule include the performance of an existing contractual duty which refers to parties completing their contractual duty and not having the grounds to argue that they are required more consideration for their work. For example, employees with contracts that state they are contracted to complete extra hours on occasion, cannot attempt to sue their employer for more compensation for the overtime if that is what they are contracted to do. </w:t>
      </w:r>
      <w:r>
        <w:t>This rule also helps “maintain the integrity of a contract by preventing parties from using leverage to coerce the other parties into contract modifications” (Lawshelf, 2022)</w:t>
      </w:r>
      <w:r w:rsidR="00475CEB">
        <w:t xml:space="preserve">. This can be seen in </w:t>
      </w:r>
      <w:r w:rsidR="00475CEB">
        <w:rPr>
          <w:i/>
          <w:iCs/>
        </w:rPr>
        <w:t>Stilk v Myrick</w:t>
      </w:r>
      <w:r w:rsidR="00475CEB">
        <w:t xml:space="preserve"> (1809)</w:t>
      </w:r>
      <w:r w:rsidR="00AA3B48">
        <w:t xml:space="preserve"> where two seamen deserted their ship and the captain offered the remaining seamen extra payment for sailing the deserted ship back to London, after completing this task they were not given </w:t>
      </w:r>
      <w:r w:rsidR="00AA3B48">
        <w:lastRenderedPageBreak/>
        <w:t>the extra payment and the court agreed with the captain as it was part of their existing contractual duty and therefore, they were not entitled to additional payment. This helps explain that existing contractual duty does not amount to good consideration as it is what is contracted to be completed and therefore there are no grounds to benefit more unless the work completed exceeds the contracted duty, which is shown in the existing public duty examples too.</w:t>
      </w:r>
    </w:p>
    <w:p w14:paraId="7631DC97" w14:textId="56731BC3" w:rsidR="00BD6E24" w:rsidRDefault="00AA3B48">
      <w:r>
        <w:t>In conclusion, past consideration in most simple cases is not good consideration, generally past consideration examples should’ve been organised when initially creating a contract. In more complicated cases past consideration does have some exceptions and these are fair and equally benefit both parties</w:t>
      </w:r>
      <w:r w:rsidR="000756D9">
        <w:t xml:space="preserve"> to avoid further arguments. Valid consideration is not a simple task and almost every year tweaks are made to legislation as valid consideration is usually based on case-by-case scenarios. However, often valid consideration does not occur on a promise of past consideration and neither with a promise to perform a pre-existing duty. </w:t>
      </w:r>
      <w:r w:rsidR="00BD6E24">
        <w:br w:type="page"/>
      </w:r>
    </w:p>
    <w:p w14:paraId="09D6D5F0" w14:textId="20828301" w:rsidR="00BD6E24" w:rsidRDefault="00BD6E24" w:rsidP="00BD6E24">
      <w:pPr>
        <w:pStyle w:val="Heading1"/>
      </w:pPr>
      <w:bookmarkStart w:id="1" w:name="_Toc108722567"/>
      <w:r>
        <w:lastRenderedPageBreak/>
        <w:t>References</w:t>
      </w:r>
      <w:bookmarkEnd w:id="1"/>
    </w:p>
    <w:p w14:paraId="49E8702A" w14:textId="287B1DF1" w:rsidR="00BD6E24" w:rsidRDefault="00BD6E24" w:rsidP="00BD6E24"/>
    <w:p w14:paraId="16387C46" w14:textId="0824249C" w:rsidR="00133F03" w:rsidRDefault="00133F03" w:rsidP="00BD6E24">
      <w:r w:rsidRPr="00133F03">
        <w:t>Practical Law (2022) Consideration. Available at: https://uk.practicallaw.thomsonreuters.com/7-503-9758?transitionType=Default&amp;contextData=(sc.Default)&amp;firstPage=true (Accessed: 14 July 2022)</w:t>
      </w:r>
    </w:p>
    <w:p w14:paraId="15950DC6" w14:textId="77777777" w:rsidR="009123D0" w:rsidRDefault="009123D0">
      <w:r w:rsidRPr="009123D0">
        <w:t>E-LawResources (no date) Contract consideration. Available at: http://www.e-lawresources.co.uk/Consideration.php (Accessed: 14 July 2022)</w:t>
      </w:r>
    </w:p>
    <w:p w14:paraId="472B33A4" w14:textId="77777777" w:rsidR="004649AF" w:rsidRDefault="004649AF">
      <w:r w:rsidRPr="004649AF">
        <w:t>Study.com (2022) Executed vs. Executory Contracts: Definitions &amp; Differences. Available at: https://study.com/academy/lesson/executed-vs-executory-contracts-definitions-differences.html (Accessed: 14 July 2022)</w:t>
      </w:r>
    </w:p>
    <w:p w14:paraId="638342FC" w14:textId="77777777" w:rsidR="004649AF" w:rsidRDefault="004649AF">
      <w:r w:rsidRPr="004649AF">
        <w:t>UpCounsel (2022) Past Consideration: Everything You Need to Know. Available at: https://www.upcounsel.com/past-consideration (Accessed: 14 July 2022)</w:t>
      </w:r>
    </w:p>
    <w:p w14:paraId="0D15EF5B" w14:textId="0838753D" w:rsidR="002E6098" w:rsidRDefault="002E6098">
      <w:r w:rsidRPr="002E6098">
        <w:t>UpCounsel (2022) Assumpsit Legal Definition: Everything You Need to Know. Available at: https://www.upcounsel.com/assumpsit-legal-definition (Accessed: 14 July 2022)</w:t>
      </w:r>
    </w:p>
    <w:p w14:paraId="44E7D06E" w14:textId="77777777" w:rsidR="008E7C9C" w:rsidRDefault="008E7C9C">
      <w:r w:rsidRPr="008E7C9C">
        <w:t>Lawshelf (2022) Contract Consideration: The Pre-Existing Duty Rule. Available at: https://lawshelf.com/shortvideoscontentview/contract-law-the-pre-existing-duty-rule (Accessed: 14 July 2022)</w:t>
      </w:r>
    </w:p>
    <w:p w14:paraId="609CA90C" w14:textId="02F9D187" w:rsidR="00BD6E24" w:rsidRDefault="00BD6E24">
      <w:r>
        <w:br w:type="page"/>
      </w:r>
    </w:p>
    <w:p w14:paraId="7D4C63D9" w14:textId="68D7502F" w:rsidR="00BD6E24" w:rsidRDefault="00BD6E24" w:rsidP="00BD6E24">
      <w:pPr>
        <w:pStyle w:val="Heading1"/>
      </w:pPr>
      <w:bookmarkStart w:id="2" w:name="_Toc108722568"/>
      <w:r>
        <w:lastRenderedPageBreak/>
        <w:t>Case Law and Legislation</w:t>
      </w:r>
      <w:bookmarkEnd w:id="2"/>
    </w:p>
    <w:p w14:paraId="272C1895" w14:textId="61B7C91E" w:rsidR="00BD6E24" w:rsidRDefault="00BD6E24" w:rsidP="00BD6E24"/>
    <w:p w14:paraId="62AB7E8E" w14:textId="3C3BA7A7" w:rsidR="00BD6E24" w:rsidRDefault="00133F03" w:rsidP="00BD6E24">
      <w:r w:rsidRPr="00664F2A">
        <w:rPr>
          <w:i/>
          <w:iCs/>
        </w:rPr>
        <w:t>Dunlop v Selfridge</w:t>
      </w:r>
      <w:r>
        <w:t xml:space="preserve"> (1915)</w:t>
      </w:r>
    </w:p>
    <w:p w14:paraId="579B7FD1" w14:textId="10FB3520" w:rsidR="009123D0" w:rsidRDefault="009123D0" w:rsidP="00BD6E24">
      <w:r>
        <w:rPr>
          <w:i/>
          <w:iCs/>
        </w:rPr>
        <w:t xml:space="preserve">Currie v Misa </w:t>
      </w:r>
      <w:r>
        <w:t>(1874)</w:t>
      </w:r>
    </w:p>
    <w:p w14:paraId="1031CFB0" w14:textId="2D81E7A6" w:rsidR="004649AF" w:rsidRDefault="004649AF" w:rsidP="00BD6E24">
      <w:r>
        <w:rPr>
          <w:i/>
          <w:iCs/>
        </w:rPr>
        <w:t xml:space="preserve">Roscorla v Thomas </w:t>
      </w:r>
      <w:r>
        <w:t>(1842)</w:t>
      </w:r>
    </w:p>
    <w:p w14:paraId="6BA09A47" w14:textId="53241ED9" w:rsidR="009D48C8" w:rsidRDefault="009D48C8" w:rsidP="00BD6E24">
      <w:r>
        <w:rPr>
          <w:i/>
          <w:iCs/>
        </w:rPr>
        <w:t xml:space="preserve">Re McArdle </w:t>
      </w:r>
      <w:r>
        <w:t>(1951)</w:t>
      </w:r>
    </w:p>
    <w:p w14:paraId="2BC05575" w14:textId="386E1B6E" w:rsidR="003B3DA7" w:rsidRDefault="003B3DA7" w:rsidP="00BD6E24">
      <w:r>
        <w:rPr>
          <w:i/>
          <w:iCs/>
        </w:rPr>
        <w:t xml:space="preserve">Lampleigh v Braithwaite </w:t>
      </w:r>
      <w:r>
        <w:t>(1615)</w:t>
      </w:r>
    </w:p>
    <w:p w14:paraId="731F2060" w14:textId="2469CF58" w:rsidR="003B3DA7" w:rsidRDefault="000877EB" w:rsidP="00BD6E24">
      <w:r>
        <w:rPr>
          <w:i/>
          <w:iCs/>
        </w:rPr>
        <w:t xml:space="preserve">Re Casey’s Patents </w:t>
      </w:r>
      <w:r>
        <w:t>(1892)</w:t>
      </w:r>
    </w:p>
    <w:p w14:paraId="0A4418C5" w14:textId="2CD02CBD" w:rsidR="000877EB" w:rsidRDefault="001A4AEB" w:rsidP="00BD6E24">
      <w:r>
        <w:rPr>
          <w:i/>
          <w:iCs/>
        </w:rPr>
        <w:t xml:space="preserve">Collins v Godefroy </w:t>
      </w:r>
      <w:r>
        <w:t>(1831)</w:t>
      </w:r>
    </w:p>
    <w:p w14:paraId="49510BF4" w14:textId="1581579D" w:rsidR="001A4AEB" w:rsidRDefault="001A4AEB" w:rsidP="00BD6E24">
      <w:r>
        <w:rPr>
          <w:i/>
          <w:iCs/>
        </w:rPr>
        <w:t>Glasbrook v Glamorgan County Council</w:t>
      </w:r>
      <w:r>
        <w:t xml:space="preserve"> (1925)</w:t>
      </w:r>
    </w:p>
    <w:p w14:paraId="1E0AE027" w14:textId="09C89E1C" w:rsidR="001A4AEB" w:rsidRDefault="00AA3B48" w:rsidP="00BD6E24">
      <w:r>
        <w:rPr>
          <w:i/>
          <w:iCs/>
        </w:rPr>
        <w:t>Stilk v Myrick</w:t>
      </w:r>
      <w:r>
        <w:t xml:space="preserve"> (1809)</w:t>
      </w:r>
    </w:p>
    <w:p w14:paraId="6C9DCFCA" w14:textId="77777777" w:rsidR="009D48C8" w:rsidRPr="00BD6E24" w:rsidRDefault="009D48C8" w:rsidP="00BD6E24"/>
    <w:sectPr w:rsidR="009D48C8" w:rsidRPr="00BD6E24" w:rsidSect="00BD6E24">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6D138" w14:textId="77777777" w:rsidR="006C4FB8" w:rsidRDefault="006C4FB8" w:rsidP="00BD6E24">
      <w:pPr>
        <w:spacing w:after="0" w:line="240" w:lineRule="auto"/>
      </w:pPr>
      <w:r>
        <w:separator/>
      </w:r>
    </w:p>
  </w:endnote>
  <w:endnote w:type="continuationSeparator" w:id="0">
    <w:p w14:paraId="37CA5020" w14:textId="77777777" w:rsidR="006C4FB8" w:rsidRDefault="006C4FB8" w:rsidP="00BD6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0851619"/>
      <w:docPartObj>
        <w:docPartGallery w:val="Page Numbers (Bottom of Page)"/>
        <w:docPartUnique/>
      </w:docPartObj>
    </w:sdtPr>
    <w:sdtContent>
      <w:p w14:paraId="2FC1B5A6" w14:textId="1D1E177F" w:rsidR="00BD6E24" w:rsidRDefault="00BD6E24">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A072E4D" w14:textId="77777777" w:rsidR="00BD6E24" w:rsidRDefault="00BD6E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6A393" w14:textId="77777777" w:rsidR="006C4FB8" w:rsidRDefault="006C4FB8" w:rsidP="00BD6E24">
      <w:pPr>
        <w:spacing w:after="0" w:line="240" w:lineRule="auto"/>
      </w:pPr>
      <w:r>
        <w:separator/>
      </w:r>
    </w:p>
  </w:footnote>
  <w:footnote w:type="continuationSeparator" w:id="0">
    <w:p w14:paraId="682B4820" w14:textId="77777777" w:rsidR="006C4FB8" w:rsidRDefault="006C4FB8" w:rsidP="00BD6E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E24"/>
    <w:rsid w:val="000756D9"/>
    <w:rsid w:val="000877EB"/>
    <w:rsid w:val="00133F03"/>
    <w:rsid w:val="00137601"/>
    <w:rsid w:val="001A4AEB"/>
    <w:rsid w:val="002E6098"/>
    <w:rsid w:val="003875F4"/>
    <w:rsid w:val="003B3DA7"/>
    <w:rsid w:val="00430509"/>
    <w:rsid w:val="004649AF"/>
    <w:rsid w:val="00475CEB"/>
    <w:rsid w:val="00664F2A"/>
    <w:rsid w:val="00690AFE"/>
    <w:rsid w:val="006C4FB8"/>
    <w:rsid w:val="008E7C9C"/>
    <w:rsid w:val="009123D0"/>
    <w:rsid w:val="009D48C8"/>
    <w:rsid w:val="00AA3B48"/>
    <w:rsid w:val="00BD6E24"/>
    <w:rsid w:val="00C42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1168C"/>
  <w15:chartTrackingRefBased/>
  <w15:docId w15:val="{8A4EBA34-5C12-430F-A68C-15472EEDB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6E24"/>
    <w:pPr>
      <w:keepNext/>
      <w:keepLines/>
      <w:spacing w:before="240" w:after="0"/>
      <w:outlineLvl w:val="0"/>
    </w:pPr>
    <w:rPr>
      <w:rFonts w:asciiTheme="majorHAnsi" w:eastAsiaTheme="majorEastAsia" w:hAnsiTheme="majorHAnsi" w:cstheme="majorBidi"/>
      <w:color w:val="548AB7"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D6E2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D6E24"/>
    <w:rPr>
      <w:rFonts w:eastAsiaTheme="minorEastAsia"/>
      <w:lang w:val="en-US"/>
    </w:rPr>
  </w:style>
  <w:style w:type="character" w:customStyle="1" w:styleId="Heading1Char">
    <w:name w:val="Heading 1 Char"/>
    <w:basedOn w:val="DefaultParagraphFont"/>
    <w:link w:val="Heading1"/>
    <w:uiPriority w:val="9"/>
    <w:rsid w:val="00BD6E24"/>
    <w:rPr>
      <w:rFonts w:asciiTheme="majorHAnsi" w:eastAsiaTheme="majorEastAsia" w:hAnsiTheme="majorHAnsi" w:cstheme="majorBidi"/>
      <w:color w:val="548AB7" w:themeColor="accent1" w:themeShade="BF"/>
      <w:sz w:val="32"/>
      <w:szCs w:val="32"/>
    </w:rPr>
  </w:style>
  <w:style w:type="paragraph" w:styleId="TOCHeading">
    <w:name w:val="TOC Heading"/>
    <w:basedOn w:val="Heading1"/>
    <w:next w:val="Normal"/>
    <w:uiPriority w:val="39"/>
    <w:unhideWhenUsed/>
    <w:qFormat/>
    <w:rsid w:val="00BD6E24"/>
    <w:pPr>
      <w:outlineLvl w:val="9"/>
    </w:pPr>
    <w:rPr>
      <w:lang w:val="en-US"/>
    </w:rPr>
  </w:style>
  <w:style w:type="paragraph" w:styleId="TOC1">
    <w:name w:val="toc 1"/>
    <w:basedOn w:val="Normal"/>
    <w:next w:val="Normal"/>
    <w:autoRedefine/>
    <w:uiPriority w:val="39"/>
    <w:unhideWhenUsed/>
    <w:rsid w:val="00BD6E24"/>
    <w:pPr>
      <w:spacing w:after="100"/>
    </w:pPr>
  </w:style>
  <w:style w:type="character" w:styleId="Hyperlink">
    <w:name w:val="Hyperlink"/>
    <w:basedOn w:val="DefaultParagraphFont"/>
    <w:uiPriority w:val="99"/>
    <w:unhideWhenUsed/>
    <w:rsid w:val="00BD6E24"/>
    <w:rPr>
      <w:color w:val="F7B615" w:themeColor="hyperlink"/>
      <w:u w:val="single"/>
    </w:rPr>
  </w:style>
  <w:style w:type="paragraph" w:styleId="Header">
    <w:name w:val="header"/>
    <w:basedOn w:val="Normal"/>
    <w:link w:val="HeaderChar"/>
    <w:uiPriority w:val="99"/>
    <w:unhideWhenUsed/>
    <w:rsid w:val="00BD6E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6E24"/>
  </w:style>
  <w:style w:type="paragraph" w:styleId="Footer">
    <w:name w:val="footer"/>
    <w:basedOn w:val="Normal"/>
    <w:link w:val="FooterChar"/>
    <w:uiPriority w:val="99"/>
    <w:unhideWhenUsed/>
    <w:rsid w:val="00BD6E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6E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07B3C-C4EE-4148-BB90-90878DB20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7</Pages>
  <Words>1698</Words>
  <Characters>9684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Neve Evans</Company>
  <LinksUpToDate>false</LinksUpToDate>
  <CharactersWithSpaces>11360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Consideration</dc:title>
  <dc:subject>Contract Law BMLW5006</dc:subject>
  <dc:creator>Neve Evans</dc:creator>
  <cp:keywords/>
  <dc:description/>
  <cp:lastModifiedBy>Neve Evans</cp:lastModifiedBy>
  <cp:revision>1</cp:revision>
  <dcterms:created xsi:type="dcterms:W3CDTF">2022-07-14T17:36:00Z</dcterms:created>
  <dcterms:modified xsi:type="dcterms:W3CDTF">2022-07-14T19:23:00Z</dcterms:modified>
  <cp:category>2000119</cp:category>
</cp:coreProperties>
</file>