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241AC2" w14:textId="10F01DF5" w:rsidR="00025495" w:rsidRPr="00025495" w:rsidRDefault="00025495" w:rsidP="00025495">
      <w:pPr>
        <w:spacing w:line="360" w:lineRule="auto"/>
        <w:rPr>
          <w:rFonts w:ascii="Arial" w:hAnsi="Arial" w:cs="Arial"/>
          <w:sz w:val="22"/>
          <w:szCs w:val="22"/>
        </w:rPr>
      </w:pPr>
      <w:r w:rsidRPr="00025495">
        <w:rPr>
          <w:rFonts w:ascii="Arial" w:hAnsi="Arial" w:cs="Arial"/>
          <w:sz w:val="22"/>
          <w:szCs w:val="22"/>
        </w:rPr>
        <w:t>References</w:t>
      </w:r>
      <w:r w:rsidRPr="00025495">
        <w:rPr>
          <w:rFonts w:ascii="Arial" w:hAnsi="Arial" w:cs="Arial"/>
          <w:sz w:val="22"/>
          <w:szCs w:val="22"/>
        </w:rPr>
        <w:t xml:space="preserve"> – Part A</w:t>
      </w:r>
    </w:p>
    <w:p w14:paraId="60234823" w14:textId="77777777" w:rsidR="00025495" w:rsidRPr="00025495" w:rsidRDefault="00025495" w:rsidP="00025495">
      <w:pPr>
        <w:spacing w:line="360" w:lineRule="auto"/>
        <w:rPr>
          <w:rFonts w:ascii="Arial" w:hAnsi="Arial" w:cs="Arial"/>
          <w:sz w:val="22"/>
          <w:szCs w:val="22"/>
        </w:rPr>
      </w:pPr>
    </w:p>
    <w:p w14:paraId="44934161" w14:textId="77777777" w:rsidR="00025495" w:rsidRPr="00025495" w:rsidRDefault="00025495" w:rsidP="00025495">
      <w:pPr>
        <w:spacing w:line="360" w:lineRule="auto"/>
        <w:rPr>
          <w:rFonts w:ascii="Arial" w:hAnsi="Arial" w:cs="Arial"/>
          <w:sz w:val="22"/>
          <w:szCs w:val="22"/>
        </w:rPr>
      </w:pPr>
      <w:r w:rsidRPr="00025495">
        <w:rPr>
          <w:rFonts w:ascii="Arial" w:hAnsi="Arial" w:cs="Arial"/>
          <w:sz w:val="22"/>
          <w:szCs w:val="22"/>
        </w:rPr>
        <w:t>Action for Children, 2023. Where is child poverty increasing in the UK? [online] Action for Children. Available at: https://www.actionforchildren.org.uk/blog/where-is-child-poverty-increasing-in-the-uk/ [Accessed 18 February 2024].</w:t>
      </w:r>
    </w:p>
    <w:p w14:paraId="603FF7D5" w14:textId="77777777" w:rsidR="00025495" w:rsidRPr="00025495" w:rsidRDefault="00025495" w:rsidP="00025495">
      <w:pPr>
        <w:spacing w:line="360" w:lineRule="auto"/>
        <w:rPr>
          <w:rFonts w:ascii="Arial" w:hAnsi="Arial" w:cs="Arial"/>
          <w:sz w:val="22"/>
          <w:szCs w:val="22"/>
        </w:rPr>
      </w:pPr>
    </w:p>
    <w:p w14:paraId="11139F2B" w14:textId="77777777" w:rsidR="00025495" w:rsidRPr="00025495" w:rsidRDefault="00025495" w:rsidP="00025495">
      <w:pPr>
        <w:spacing w:line="360" w:lineRule="auto"/>
        <w:rPr>
          <w:rFonts w:ascii="Arial" w:hAnsi="Arial" w:cs="Arial"/>
          <w:sz w:val="22"/>
          <w:szCs w:val="22"/>
        </w:rPr>
      </w:pPr>
      <w:r w:rsidRPr="00025495">
        <w:rPr>
          <w:rFonts w:ascii="Arial" w:hAnsi="Arial" w:cs="Arial"/>
          <w:sz w:val="22"/>
          <w:szCs w:val="22"/>
        </w:rPr>
        <w:t xml:space="preserve">Bower, H.A. and Griffin, D., 2011. Can the Epstein Model of Parental Involvement Work in a High-Minority, High-Poverty Elementary School? A Case Study. Professional School </w:t>
      </w:r>
      <w:proofErr w:type="spellStart"/>
      <w:r w:rsidRPr="00025495">
        <w:rPr>
          <w:rFonts w:ascii="Arial" w:hAnsi="Arial" w:cs="Arial"/>
          <w:sz w:val="22"/>
          <w:szCs w:val="22"/>
        </w:rPr>
        <w:t>Counseling</w:t>
      </w:r>
      <w:proofErr w:type="spellEnd"/>
      <w:r w:rsidRPr="00025495">
        <w:rPr>
          <w:rFonts w:ascii="Arial" w:hAnsi="Arial" w:cs="Arial"/>
          <w:sz w:val="22"/>
          <w:szCs w:val="22"/>
        </w:rPr>
        <w:t>, 15(2), pp.77-87.</w:t>
      </w:r>
    </w:p>
    <w:p w14:paraId="38CDE09B" w14:textId="77777777" w:rsidR="00025495" w:rsidRPr="00025495" w:rsidRDefault="00025495" w:rsidP="00025495">
      <w:pPr>
        <w:spacing w:line="360" w:lineRule="auto"/>
        <w:rPr>
          <w:rFonts w:ascii="Arial" w:hAnsi="Arial" w:cs="Arial"/>
          <w:sz w:val="22"/>
          <w:szCs w:val="22"/>
        </w:rPr>
      </w:pPr>
    </w:p>
    <w:p w14:paraId="4D2E65B0" w14:textId="77777777" w:rsidR="00025495" w:rsidRPr="00025495" w:rsidRDefault="00025495" w:rsidP="00025495">
      <w:pPr>
        <w:spacing w:line="360" w:lineRule="auto"/>
        <w:rPr>
          <w:rFonts w:ascii="Arial" w:hAnsi="Arial" w:cs="Arial"/>
          <w:sz w:val="22"/>
          <w:szCs w:val="22"/>
        </w:rPr>
      </w:pPr>
      <w:r w:rsidRPr="00025495">
        <w:rPr>
          <w:rFonts w:ascii="Arial" w:hAnsi="Arial" w:cs="Arial"/>
          <w:sz w:val="22"/>
          <w:szCs w:val="22"/>
        </w:rPr>
        <w:t>Bronfenbrenner, U., 1974. Developmental research, public policy, and the ecology of childhood. Child development, 45(1), pp.1-5.</w:t>
      </w:r>
    </w:p>
    <w:p w14:paraId="07FFE071" w14:textId="77777777" w:rsidR="00025495" w:rsidRPr="00025495" w:rsidRDefault="00025495" w:rsidP="00025495">
      <w:pPr>
        <w:spacing w:line="360" w:lineRule="auto"/>
        <w:rPr>
          <w:rFonts w:ascii="Arial" w:hAnsi="Arial" w:cs="Arial"/>
          <w:sz w:val="22"/>
          <w:szCs w:val="22"/>
        </w:rPr>
      </w:pPr>
    </w:p>
    <w:p w14:paraId="7E51F7CF" w14:textId="630549AA" w:rsidR="00025495" w:rsidRPr="00025495" w:rsidRDefault="00025495" w:rsidP="00025495">
      <w:pPr>
        <w:spacing w:line="360" w:lineRule="auto"/>
        <w:rPr>
          <w:rFonts w:ascii="Arial" w:hAnsi="Arial" w:cs="Arial"/>
          <w:sz w:val="22"/>
          <w:szCs w:val="22"/>
        </w:rPr>
      </w:pPr>
      <w:r w:rsidRPr="00025495">
        <w:rPr>
          <w:rFonts w:ascii="Arial" w:hAnsi="Arial" w:cs="Arial"/>
          <w:sz w:val="22"/>
          <w:szCs w:val="22"/>
        </w:rPr>
        <w:t xml:space="preserve">Brown, C., White, R. and Kelly, A. (2021) ‘Teachers as educational change agents: what do we currently know? findings from a systematic review’, Emerald Open Research, 3, p. 26. </w:t>
      </w:r>
      <w:proofErr w:type="spellStart"/>
      <w:r w:rsidRPr="00025495">
        <w:rPr>
          <w:rFonts w:ascii="Arial" w:hAnsi="Arial" w:cs="Arial"/>
          <w:sz w:val="22"/>
          <w:szCs w:val="22"/>
        </w:rPr>
        <w:t>doi</w:t>
      </w:r>
      <w:proofErr w:type="spellEnd"/>
      <w:r w:rsidRPr="00025495">
        <w:rPr>
          <w:rFonts w:ascii="Arial" w:hAnsi="Arial" w:cs="Arial"/>
          <w:sz w:val="22"/>
          <w:szCs w:val="22"/>
        </w:rPr>
        <w:t xml:space="preserve">: 10.35241/emeraldopenres.14385.1. [online] Available at: </w:t>
      </w:r>
      <w:r w:rsidRPr="00025495">
        <w:rPr>
          <w:rFonts w:ascii="Arial" w:hAnsi="Arial" w:cs="Arial"/>
          <w:sz w:val="22"/>
          <w:szCs w:val="22"/>
        </w:rPr>
        <w:t>https://emeraldopenresearch.s3.eu-west-1.amazonaws.com/manuscripts/15477/bb92992d-f291-42d5-87ba-d96a48144165_14385_-_chris_brown.pdf [</w:t>
      </w:r>
      <w:r w:rsidRPr="00025495">
        <w:rPr>
          <w:rFonts w:ascii="Arial" w:hAnsi="Arial" w:cs="Arial"/>
          <w:sz w:val="22"/>
          <w:szCs w:val="22"/>
        </w:rPr>
        <w:t xml:space="preserve">Accessed 21 February 2024]. </w:t>
      </w:r>
    </w:p>
    <w:p w14:paraId="299CB936" w14:textId="77777777" w:rsidR="00025495" w:rsidRPr="00025495" w:rsidRDefault="00025495" w:rsidP="00025495">
      <w:pPr>
        <w:spacing w:line="360" w:lineRule="auto"/>
        <w:rPr>
          <w:rFonts w:ascii="Arial" w:hAnsi="Arial" w:cs="Arial"/>
          <w:sz w:val="22"/>
          <w:szCs w:val="22"/>
        </w:rPr>
      </w:pPr>
    </w:p>
    <w:p w14:paraId="7C7A0D94" w14:textId="77777777" w:rsidR="00025495" w:rsidRPr="00025495" w:rsidRDefault="00025495" w:rsidP="00025495">
      <w:pPr>
        <w:spacing w:line="360" w:lineRule="auto"/>
        <w:rPr>
          <w:rFonts w:ascii="Arial" w:hAnsi="Arial" w:cs="Arial"/>
          <w:sz w:val="22"/>
          <w:szCs w:val="22"/>
        </w:rPr>
      </w:pPr>
      <w:r w:rsidRPr="00025495">
        <w:rPr>
          <w:rFonts w:ascii="Arial" w:hAnsi="Arial" w:cs="Arial"/>
          <w:sz w:val="22"/>
          <w:szCs w:val="22"/>
        </w:rPr>
        <w:t>Coleman, J.S., 1993. Parents, Their Children, And Schools (1st ed.). Routledge. [online] Available at: https://doi.org/10.4324/9780429498497 [Accessed 27 February 2024].</w:t>
      </w:r>
    </w:p>
    <w:p w14:paraId="7167D31C" w14:textId="77777777" w:rsidR="00025495" w:rsidRPr="00025495" w:rsidRDefault="00025495" w:rsidP="00025495">
      <w:pPr>
        <w:spacing w:line="360" w:lineRule="auto"/>
        <w:rPr>
          <w:rFonts w:ascii="Arial" w:hAnsi="Arial" w:cs="Arial"/>
          <w:sz w:val="22"/>
          <w:szCs w:val="22"/>
        </w:rPr>
      </w:pPr>
    </w:p>
    <w:p w14:paraId="371ACC30" w14:textId="77777777" w:rsidR="00025495" w:rsidRPr="00025495" w:rsidRDefault="00025495" w:rsidP="00025495">
      <w:pPr>
        <w:spacing w:line="360" w:lineRule="auto"/>
        <w:rPr>
          <w:rFonts w:ascii="Arial" w:hAnsi="Arial" w:cs="Arial"/>
          <w:sz w:val="22"/>
          <w:szCs w:val="22"/>
        </w:rPr>
      </w:pPr>
      <w:r w:rsidRPr="00025495">
        <w:rPr>
          <w:rFonts w:ascii="Arial" w:hAnsi="Arial" w:cs="Arial"/>
          <w:sz w:val="22"/>
          <w:szCs w:val="22"/>
        </w:rPr>
        <w:t xml:space="preserve">Epstein, J. L. (May 1995). School/family/community partnerships: Caring for the children we share. Phi Delta </w:t>
      </w:r>
      <w:proofErr w:type="spellStart"/>
      <w:r w:rsidRPr="00025495">
        <w:rPr>
          <w:rFonts w:ascii="Arial" w:hAnsi="Arial" w:cs="Arial"/>
          <w:sz w:val="22"/>
          <w:szCs w:val="22"/>
        </w:rPr>
        <w:t>Kappan</w:t>
      </w:r>
      <w:proofErr w:type="spellEnd"/>
      <w:r w:rsidRPr="00025495">
        <w:rPr>
          <w:rFonts w:ascii="Arial" w:hAnsi="Arial" w:cs="Arial"/>
          <w:sz w:val="22"/>
          <w:szCs w:val="22"/>
        </w:rPr>
        <w:t>, 76(9), 701–712</w:t>
      </w:r>
    </w:p>
    <w:p w14:paraId="1A182063" w14:textId="77777777" w:rsidR="00025495" w:rsidRPr="00025495" w:rsidRDefault="00025495" w:rsidP="00025495">
      <w:pPr>
        <w:spacing w:line="360" w:lineRule="auto"/>
        <w:rPr>
          <w:rFonts w:ascii="Arial" w:hAnsi="Arial" w:cs="Arial"/>
          <w:sz w:val="22"/>
          <w:szCs w:val="22"/>
        </w:rPr>
      </w:pPr>
    </w:p>
    <w:p w14:paraId="2A9F2C5D" w14:textId="77777777" w:rsidR="00025495" w:rsidRPr="00025495" w:rsidRDefault="00025495" w:rsidP="00025495">
      <w:pPr>
        <w:spacing w:line="360" w:lineRule="auto"/>
        <w:rPr>
          <w:rFonts w:ascii="Arial" w:hAnsi="Arial" w:cs="Arial"/>
          <w:sz w:val="22"/>
          <w:szCs w:val="22"/>
        </w:rPr>
      </w:pPr>
      <w:r w:rsidRPr="00025495">
        <w:rPr>
          <w:rFonts w:ascii="Arial" w:hAnsi="Arial" w:cs="Arial"/>
          <w:sz w:val="22"/>
          <w:szCs w:val="22"/>
        </w:rPr>
        <w:t>Equality Report, 2022. Tackling Poverty and Inequality in Wales. [online] Cardiff: Equality Commission Wales. Available at: https://www.equalitycommissionwales.org/tackling-poverty-and-inequality-in-wales/ [Accessed 21 February 2024].</w:t>
      </w:r>
    </w:p>
    <w:p w14:paraId="3775C0AE" w14:textId="77777777" w:rsidR="00025495" w:rsidRPr="00025495" w:rsidRDefault="00025495" w:rsidP="00025495">
      <w:pPr>
        <w:spacing w:line="360" w:lineRule="auto"/>
        <w:rPr>
          <w:rFonts w:ascii="Arial" w:hAnsi="Arial" w:cs="Arial"/>
          <w:sz w:val="22"/>
          <w:szCs w:val="22"/>
        </w:rPr>
      </w:pPr>
    </w:p>
    <w:p w14:paraId="786C8AB6" w14:textId="5CE7D85F" w:rsidR="00025495" w:rsidRPr="00025495" w:rsidRDefault="00025495" w:rsidP="00025495">
      <w:pPr>
        <w:spacing w:line="360" w:lineRule="auto"/>
        <w:rPr>
          <w:rFonts w:ascii="Arial" w:hAnsi="Arial" w:cs="Arial"/>
          <w:sz w:val="22"/>
          <w:szCs w:val="22"/>
        </w:rPr>
      </w:pPr>
      <w:r w:rsidRPr="00025495">
        <w:rPr>
          <w:rFonts w:ascii="Arial" w:hAnsi="Arial" w:cs="Arial"/>
          <w:sz w:val="22"/>
          <w:szCs w:val="22"/>
        </w:rPr>
        <w:lastRenderedPageBreak/>
        <w:t xml:space="preserve">Hwb, 2020. Curriculum for Wales. [online] </w:t>
      </w:r>
      <w:proofErr w:type="spellStart"/>
      <w:proofErr w:type="gramStart"/>
      <w:r w:rsidRPr="00025495">
        <w:rPr>
          <w:rFonts w:ascii="Arial" w:hAnsi="Arial" w:cs="Arial"/>
          <w:sz w:val="22"/>
          <w:szCs w:val="22"/>
        </w:rPr>
        <w:t>hwb.gov.wales</w:t>
      </w:r>
      <w:proofErr w:type="spellEnd"/>
      <w:proofErr w:type="gramEnd"/>
      <w:r w:rsidRPr="00025495">
        <w:rPr>
          <w:rFonts w:ascii="Arial" w:hAnsi="Arial" w:cs="Arial"/>
          <w:sz w:val="22"/>
          <w:szCs w:val="22"/>
        </w:rPr>
        <w:t>. Available at: https://hwb.gov.wales/curriculum-for-wales [Accessed 21 February 2024]</w:t>
      </w:r>
    </w:p>
    <w:p w14:paraId="77126A57" w14:textId="77777777" w:rsidR="00025495" w:rsidRPr="00025495" w:rsidRDefault="00025495" w:rsidP="00025495">
      <w:pPr>
        <w:spacing w:line="360" w:lineRule="auto"/>
        <w:rPr>
          <w:rFonts w:ascii="Arial" w:hAnsi="Arial" w:cs="Arial"/>
          <w:sz w:val="22"/>
          <w:szCs w:val="22"/>
        </w:rPr>
      </w:pPr>
    </w:p>
    <w:p w14:paraId="7AEDEA1E" w14:textId="456497A4" w:rsidR="00025495" w:rsidRPr="00025495" w:rsidRDefault="00025495" w:rsidP="00025495">
      <w:pPr>
        <w:spacing w:line="360" w:lineRule="auto"/>
        <w:rPr>
          <w:rFonts w:ascii="Arial" w:hAnsi="Arial" w:cs="Arial"/>
          <w:sz w:val="22"/>
          <w:szCs w:val="22"/>
        </w:rPr>
      </w:pPr>
      <w:r w:rsidRPr="00025495">
        <w:rPr>
          <w:rFonts w:ascii="Arial" w:hAnsi="Arial" w:cs="Arial"/>
          <w:sz w:val="22"/>
          <w:szCs w:val="22"/>
        </w:rPr>
        <w:t xml:space="preserve">Hwb, 2022. Evaluation, Improvement </w:t>
      </w:r>
      <w:proofErr w:type="gramStart"/>
      <w:r w:rsidRPr="00025495">
        <w:rPr>
          <w:rFonts w:ascii="Arial" w:hAnsi="Arial" w:cs="Arial"/>
          <w:sz w:val="22"/>
          <w:szCs w:val="22"/>
        </w:rPr>
        <w:t>And</w:t>
      </w:r>
      <w:proofErr w:type="gramEnd"/>
      <w:r w:rsidRPr="00025495">
        <w:rPr>
          <w:rFonts w:ascii="Arial" w:hAnsi="Arial" w:cs="Arial"/>
          <w:sz w:val="22"/>
          <w:szCs w:val="22"/>
        </w:rPr>
        <w:t xml:space="preserve"> Accountability. [online] </w:t>
      </w:r>
      <w:proofErr w:type="spellStart"/>
      <w:r w:rsidRPr="00025495">
        <w:rPr>
          <w:rFonts w:ascii="Arial" w:hAnsi="Arial" w:cs="Arial"/>
          <w:sz w:val="22"/>
          <w:szCs w:val="22"/>
        </w:rPr>
        <w:t>Hwb.gov.Wales</w:t>
      </w:r>
      <w:proofErr w:type="spellEnd"/>
      <w:r w:rsidRPr="00025495">
        <w:rPr>
          <w:rFonts w:ascii="Arial" w:hAnsi="Arial" w:cs="Arial"/>
          <w:sz w:val="22"/>
          <w:szCs w:val="22"/>
        </w:rPr>
        <w:t>. Available at: https://hwb.gov.wales/evaluation-improvement-and-accountability/school-improvement-guidance-framework-for-evaluation-improvement-and-accountability [Accessed 24 February 2024].</w:t>
      </w:r>
    </w:p>
    <w:p w14:paraId="143B7E55" w14:textId="77777777" w:rsidR="00025495" w:rsidRPr="00025495" w:rsidRDefault="00025495" w:rsidP="00025495">
      <w:pPr>
        <w:spacing w:line="360" w:lineRule="auto"/>
        <w:rPr>
          <w:rFonts w:ascii="Arial" w:hAnsi="Arial" w:cs="Arial"/>
          <w:sz w:val="22"/>
          <w:szCs w:val="22"/>
        </w:rPr>
      </w:pPr>
    </w:p>
    <w:p w14:paraId="496A390D" w14:textId="77777777" w:rsidR="00025495" w:rsidRPr="00025495" w:rsidRDefault="00025495" w:rsidP="00025495">
      <w:pPr>
        <w:spacing w:line="360" w:lineRule="auto"/>
        <w:rPr>
          <w:rFonts w:ascii="Arial" w:hAnsi="Arial" w:cs="Arial"/>
          <w:sz w:val="22"/>
          <w:szCs w:val="22"/>
        </w:rPr>
      </w:pPr>
      <w:r w:rsidRPr="00025495">
        <w:rPr>
          <w:rFonts w:ascii="Arial" w:hAnsi="Arial" w:cs="Arial"/>
          <w:sz w:val="22"/>
          <w:szCs w:val="22"/>
        </w:rPr>
        <w:t>Hwb (2020) Curriculum for Wales. [online] Available at: https://hwb.gov.wales/curriculum-for-wales [Accessed 21 February 2024].</w:t>
      </w:r>
    </w:p>
    <w:p w14:paraId="0B1B8E14" w14:textId="77777777" w:rsidR="00025495" w:rsidRPr="00025495" w:rsidRDefault="00025495" w:rsidP="00025495">
      <w:pPr>
        <w:spacing w:line="360" w:lineRule="auto"/>
        <w:rPr>
          <w:rFonts w:ascii="Arial" w:hAnsi="Arial" w:cs="Arial"/>
          <w:sz w:val="22"/>
          <w:szCs w:val="22"/>
        </w:rPr>
      </w:pPr>
    </w:p>
    <w:p w14:paraId="3B264D63" w14:textId="77777777" w:rsidR="00025495" w:rsidRPr="00025495" w:rsidRDefault="00025495" w:rsidP="00025495">
      <w:pPr>
        <w:spacing w:line="360" w:lineRule="auto"/>
        <w:rPr>
          <w:rFonts w:ascii="Arial" w:hAnsi="Arial" w:cs="Arial"/>
          <w:sz w:val="22"/>
          <w:szCs w:val="22"/>
        </w:rPr>
      </w:pPr>
      <w:r w:rsidRPr="00025495">
        <w:rPr>
          <w:rFonts w:ascii="Arial" w:hAnsi="Arial" w:cs="Arial"/>
          <w:sz w:val="22"/>
          <w:szCs w:val="22"/>
        </w:rPr>
        <w:t xml:space="preserve">Hwb, 2023. The National Resource </w:t>
      </w:r>
      <w:proofErr w:type="gramStart"/>
      <w:r w:rsidRPr="00025495">
        <w:rPr>
          <w:rFonts w:ascii="Arial" w:hAnsi="Arial" w:cs="Arial"/>
          <w:sz w:val="22"/>
          <w:szCs w:val="22"/>
        </w:rPr>
        <w:t>For</w:t>
      </w:r>
      <w:proofErr w:type="gramEnd"/>
      <w:r w:rsidRPr="00025495">
        <w:rPr>
          <w:rFonts w:ascii="Arial" w:hAnsi="Arial" w:cs="Arial"/>
          <w:sz w:val="22"/>
          <w:szCs w:val="22"/>
        </w:rPr>
        <w:t xml:space="preserve"> Evaluation And Improvement. [online] </w:t>
      </w:r>
      <w:proofErr w:type="spellStart"/>
      <w:r w:rsidRPr="00025495">
        <w:rPr>
          <w:rFonts w:ascii="Arial" w:hAnsi="Arial" w:cs="Arial"/>
          <w:sz w:val="22"/>
          <w:szCs w:val="22"/>
        </w:rPr>
        <w:t>Hwb.gov.wales</w:t>
      </w:r>
      <w:proofErr w:type="spellEnd"/>
      <w:r w:rsidRPr="00025495">
        <w:rPr>
          <w:rFonts w:ascii="Arial" w:hAnsi="Arial" w:cs="Arial"/>
          <w:sz w:val="22"/>
          <w:szCs w:val="22"/>
        </w:rPr>
        <w:t>. Available at: https://hwb.gov.wales/evaluation-improvement-and-accountability/the-national-resource-evaluation-and-improvement/ [Accessed 7 February 2024]</w:t>
      </w:r>
    </w:p>
    <w:p w14:paraId="4773AAAD" w14:textId="77777777" w:rsidR="00025495" w:rsidRPr="00025495" w:rsidRDefault="00025495" w:rsidP="00025495">
      <w:pPr>
        <w:spacing w:line="360" w:lineRule="auto"/>
        <w:rPr>
          <w:rFonts w:ascii="Arial" w:hAnsi="Arial" w:cs="Arial"/>
          <w:sz w:val="22"/>
          <w:szCs w:val="22"/>
        </w:rPr>
      </w:pPr>
    </w:p>
    <w:p w14:paraId="3B679546" w14:textId="77777777" w:rsidR="00025495" w:rsidRPr="00025495" w:rsidRDefault="00025495" w:rsidP="00025495">
      <w:pPr>
        <w:spacing w:line="360" w:lineRule="auto"/>
        <w:rPr>
          <w:rFonts w:ascii="Arial" w:hAnsi="Arial" w:cs="Arial"/>
          <w:sz w:val="22"/>
          <w:szCs w:val="22"/>
        </w:rPr>
      </w:pPr>
      <w:r w:rsidRPr="00025495">
        <w:rPr>
          <w:rFonts w:ascii="Arial" w:hAnsi="Arial" w:cs="Arial"/>
          <w:sz w:val="22"/>
          <w:szCs w:val="22"/>
        </w:rPr>
        <w:t>Martin, C., &amp; O’Neill, S. (2019). The price of pupil poverty: Taking a whole school approach to improving the wellbeing of children from low income and disadvantaged families. Children in Wales. Available at: https://www.childreninwales.org.uk/application/files/2916/8742/8735/Price_of_Pupil_Poverty_En.pdf [Accessed 21 February 2024]</w:t>
      </w:r>
    </w:p>
    <w:p w14:paraId="0FD683E3" w14:textId="77777777" w:rsidR="00025495" w:rsidRPr="00025495" w:rsidRDefault="00025495" w:rsidP="00025495">
      <w:pPr>
        <w:spacing w:line="360" w:lineRule="auto"/>
        <w:rPr>
          <w:rFonts w:ascii="Arial" w:hAnsi="Arial" w:cs="Arial"/>
          <w:sz w:val="22"/>
          <w:szCs w:val="22"/>
        </w:rPr>
      </w:pPr>
    </w:p>
    <w:p w14:paraId="338E4CB2" w14:textId="77777777" w:rsidR="00025495" w:rsidRPr="00025495" w:rsidRDefault="00025495" w:rsidP="00025495">
      <w:pPr>
        <w:spacing w:line="360" w:lineRule="auto"/>
        <w:rPr>
          <w:rFonts w:ascii="Arial" w:hAnsi="Arial" w:cs="Arial"/>
          <w:sz w:val="22"/>
          <w:szCs w:val="22"/>
        </w:rPr>
      </w:pPr>
      <w:proofErr w:type="spellStart"/>
      <w:r w:rsidRPr="00025495">
        <w:rPr>
          <w:rFonts w:ascii="Arial" w:hAnsi="Arial" w:cs="Arial"/>
          <w:sz w:val="22"/>
          <w:szCs w:val="22"/>
        </w:rPr>
        <w:t>Muijs</w:t>
      </w:r>
      <w:proofErr w:type="spellEnd"/>
      <w:r w:rsidRPr="00025495">
        <w:rPr>
          <w:rFonts w:ascii="Arial" w:hAnsi="Arial" w:cs="Arial"/>
          <w:sz w:val="22"/>
          <w:szCs w:val="22"/>
        </w:rPr>
        <w:t>, D., Harris, A., Chapman, C., Stoll, L. and Russ, J., 2004. Improving Schools in Socioeconomically Disadvantaged Areas – A Review of Research Evidence. School Effectiveness and School Improvement, 15(2), pp.149-175.</w:t>
      </w:r>
    </w:p>
    <w:p w14:paraId="75210919" w14:textId="77777777" w:rsidR="00025495" w:rsidRPr="00025495" w:rsidRDefault="00025495" w:rsidP="00025495">
      <w:pPr>
        <w:spacing w:line="360" w:lineRule="auto"/>
        <w:rPr>
          <w:rFonts w:ascii="Arial" w:hAnsi="Arial" w:cs="Arial"/>
          <w:sz w:val="22"/>
          <w:szCs w:val="22"/>
        </w:rPr>
      </w:pPr>
    </w:p>
    <w:p w14:paraId="0F670C61" w14:textId="77777777" w:rsidR="00025495" w:rsidRPr="00025495" w:rsidRDefault="00025495" w:rsidP="00025495">
      <w:pPr>
        <w:spacing w:line="360" w:lineRule="auto"/>
        <w:rPr>
          <w:rFonts w:ascii="Arial" w:hAnsi="Arial" w:cs="Arial"/>
          <w:sz w:val="22"/>
          <w:szCs w:val="22"/>
        </w:rPr>
      </w:pPr>
      <w:r w:rsidRPr="00025495">
        <w:rPr>
          <w:rFonts w:ascii="Arial" w:hAnsi="Arial" w:cs="Arial"/>
          <w:sz w:val="22"/>
          <w:szCs w:val="22"/>
        </w:rPr>
        <w:t xml:space="preserve">North Wales Regional School Effectiveness and Improvement Service, Central South Consortium Joint Education Service and ERW School Effectiveness and Improvement Service (2019) ‘The price of pupil poverty’, North Wales Regional School Effectiveness and Improvement Service; Central South Consortium Joint Education Service; ERW School Effectiveness and Improvement Service. Available at: </w:t>
      </w:r>
      <w:r w:rsidRPr="00025495">
        <w:rPr>
          <w:rFonts w:ascii="Arial" w:hAnsi="Arial" w:cs="Arial"/>
          <w:sz w:val="22"/>
          <w:szCs w:val="22"/>
        </w:rPr>
        <w:lastRenderedPageBreak/>
        <w:t>https://hwb.gov.wales/api/storage/648cdc22-e05a-4a9d-a76d-fdee0fdec76f/2019-10-28PriceofPupilPovertyENFINAL.pdf (Accessed: 27 February 2024).</w:t>
      </w:r>
    </w:p>
    <w:p w14:paraId="7F52A84C" w14:textId="77777777" w:rsidR="00025495" w:rsidRPr="00025495" w:rsidRDefault="00025495" w:rsidP="00025495">
      <w:pPr>
        <w:spacing w:line="360" w:lineRule="auto"/>
        <w:rPr>
          <w:rFonts w:ascii="Arial" w:hAnsi="Arial" w:cs="Arial"/>
          <w:sz w:val="22"/>
          <w:szCs w:val="22"/>
        </w:rPr>
      </w:pPr>
    </w:p>
    <w:p w14:paraId="210F5B41" w14:textId="77777777" w:rsidR="00025495" w:rsidRPr="00025495" w:rsidRDefault="00025495" w:rsidP="00025495">
      <w:pPr>
        <w:spacing w:line="360" w:lineRule="auto"/>
        <w:rPr>
          <w:rFonts w:ascii="Arial" w:hAnsi="Arial" w:cs="Arial"/>
          <w:sz w:val="22"/>
          <w:szCs w:val="22"/>
        </w:rPr>
      </w:pPr>
      <w:r w:rsidRPr="00025495">
        <w:rPr>
          <w:rFonts w:ascii="Arial" w:hAnsi="Arial" w:cs="Arial"/>
          <w:sz w:val="22"/>
          <w:szCs w:val="22"/>
        </w:rPr>
        <w:t>Walker, D. (2023).  Future Generations. Available at: https://www.futuregenerations.wales/news/were-not-making-enough-progress-in-delivering-the-well-being-of-future-generations-act-as-there-is-a-mixed-picture-against-national-indicators-we-need-to-use-this-report-to-encour/ [Accessed 22 Feb. 2024].</w:t>
      </w:r>
    </w:p>
    <w:p w14:paraId="652C98F7" w14:textId="77777777" w:rsidR="00025495" w:rsidRPr="00025495" w:rsidRDefault="00025495" w:rsidP="00025495">
      <w:pPr>
        <w:spacing w:line="360" w:lineRule="auto"/>
        <w:rPr>
          <w:rFonts w:ascii="Arial" w:hAnsi="Arial" w:cs="Arial"/>
          <w:sz w:val="22"/>
          <w:szCs w:val="22"/>
        </w:rPr>
      </w:pPr>
    </w:p>
    <w:p w14:paraId="7AF51916" w14:textId="77777777" w:rsidR="00025495" w:rsidRPr="00025495" w:rsidRDefault="00025495" w:rsidP="00025495">
      <w:pPr>
        <w:spacing w:line="360" w:lineRule="auto"/>
        <w:rPr>
          <w:rFonts w:ascii="Arial" w:hAnsi="Arial" w:cs="Arial"/>
          <w:sz w:val="22"/>
          <w:szCs w:val="22"/>
        </w:rPr>
      </w:pPr>
      <w:r w:rsidRPr="00025495">
        <w:rPr>
          <w:rFonts w:ascii="Arial" w:hAnsi="Arial" w:cs="Arial"/>
          <w:sz w:val="22"/>
          <w:szCs w:val="22"/>
        </w:rPr>
        <w:t>Well-being of Wales 2022. [pdf] Cardiff: Welsh Government. Available at: https://www.gov.wales/sites/default/files/pdf-versions/2023/9/1/1693822034/wellbeing-wales-2022.pdf [Accessed 28 February 2024].</w:t>
      </w:r>
    </w:p>
    <w:p w14:paraId="27D06DA2" w14:textId="77777777" w:rsidR="00025495" w:rsidRPr="00025495" w:rsidRDefault="00025495" w:rsidP="00025495">
      <w:pPr>
        <w:spacing w:line="360" w:lineRule="auto"/>
        <w:rPr>
          <w:rFonts w:ascii="Arial" w:hAnsi="Arial" w:cs="Arial"/>
          <w:sz w:val="22"/>
          <w:szCs w:val="22"/>
        </w:rPr>
      </w:pPr>
    </w:p>
    <w:p w14:paraId="020AB772" w14:textId="77777777" w:rsidR="00025495" w:rsidRPr="00025495" w:rsidRDefault="00025495" w:rsidP="00025495">
      <w:pPr>
        <w:spacing w:line="360" w:lineRule="auto"/>
        <w:rPr>
          <w:rFonts w:ascii="Arial" w:hAnsi="Arial" w:cs="Arial"/>
          <w:sz w:val="22"/>
          <w:szCs w:val="22"/>
        </w:rPr>
      </w:pPr>
      <w:r w:rsidRPr="00025495">
        <w:rPr>
          <w:rFonts w:ascii="Arial" w:hAnsi="Arial" w:cs="Arial"/>
          <w:sz w:val="22"/>
          <w:szCs w:val="22"/>
        </w:rPr>
        <w:t>Welsh Government, 2019. The price of pupil poverty. [online] Available at: https://hwb.gov.wales/api/storage/648cdc22-e05a-4a9d-a76d-fdee0fdec76f/2019-10-28PriceofPupilPovertyENFINAL.pdf?preview=true [Accessed 23 February 2024].</w:t>
      </w:r>
    </w:p>
    <w:p w14:paraId="702C50DA" w14:textId="77777777" w:rsidR="00025495" w:rsidRPr="00025495" w:rsidRDefault="00025495" w:rsidP="00025495">
      <w:pPr>
        <w:spacing w:line="360" w:lineRule="auto"/>
        <w:rPr>
          <w:rFonts w:ascii="Arial" w:hAnsi="Arial" w:cs="Arial"/>
          <w:sz w:val="22"/>
          <w:szCs w:val="22"/>
        </w:rPr>
      </w:pPr>
    </w:p>
    <w:p w14:paraId="6F269D20" w14:textId="77777777" w:rsidR="00025495" w:rsidRPr="00025495" w:rsidRDefault="00025495" w:rsidP="00025495">
      <w:pPr>
        <w:spacing w:line="360" w:lineRule="auto"/>
        <w:rPr>
          <w:rFonts w:ascii="Arial" w:hAnsi="Arial" w:cs="Arial"/>
          <w:sz w:val="22"/>
          <w:szCs w:val="22"/>
        </w:rPr>
      </w:pPr>
      <w:r w:rsidRPr="00025495">
        <w:rPr>
          <w:rFonts w:ascii="Arial" w:hAnsi="Arial" w:cs="Arial"/>
          <w:sz w:val="22"/>
          <w:szCs w:val="22"/>
        </w:rPr>
        <w:t>Welsh Government. (2019). National Reading and Numeracy Tests and entitlement to free school meals. https://gov.wales/national-reading-and-numeracy-tests-and-entitlement-free-school-meals-2019 Available at:</w:t>
      </w:r>
    </w:p>
    <w:p w14:paraId="3766D4FA" w14:textId="77777777" w:rsidR="00025495" w:rsidRPr="00025495" w:rsidRDefault="00025495" w:rsidP="00025495">
      <w:pPr>
        <w:spacing w:line="360" w:lineRule="auto"/>
        <w:rPr>
          <w:rFonts w:ascii="Arial" w:hAnsi="Arial" w:cs="Arial"/>
          <w:sz w:val="22"/>
          <w:szCs w:val="22"/>
        </w:rPr>
      </w:pPr>
      <w:r w:rsidRPr="00025495">
        <w:rPr>
          <w:rFonts w:ascii="Arial" w:hAnsi="Arial" w:cs="Arial"/>
          <w:sz w:val="22"/>
          <w:szCs w:val="22"/>
        </w:rPr>
        <w:t>https://www.tnlcommunityfund.org.uk/funding/grants/recipients/360g-tnlcomfung-org-YsgolCwmBrombil [Accessed 21 Feb. 2024].</w:t>
      </w:r>
    </w:p>
    <w:p w14:paraId="7F055A80" w14:textId="77777777" w:rsidR="00025495" w:rsidRPr="00025495" w:rsidRDefault="00025495" w:rsidP="00025495">
      <w:pPr>
        <w:spacing w:line="360" w:lineRule="auto"/>
        <w:rPr>
          <w:rFonts w:ascii="Arial" w:hAnsi="Arial" w:cs="Arial"/>
          <w:sz w:val="22"/>
          <w:szCs w:val="22"/>
        </w:rPr>
      </w:pPr>
    </w:p>
    <w:p w14:paraId="0B6DDEFC" w14:textId="77777777" w:rsidR="00025495" w:rsidRPr="00025495" w:rsidRDefault="00025495" w:rsidP="00025495">
      <w:pPr>
        <w:spacing w:line="360" w:lineRule="auto"/>
        <w:rPr>
          <w:rFonts w:ascii="Arial" w:hAnsi="Arial" w:cs="Arial"/>
          <w:sz w:val="22"/>
          <w:szCs w:val="22"/>
        </w:rPr>
      </w:pPr>
      <w:r w:rsidRPr="00025495">
        <w:rPr>
          <w:rFonts w:ascii="Arial" w:hAnsi="Arial" w:cs="Arial"/>
          <w:sz w:val="22"/>
          <w:szCs w:val="22"/>
        </w:rPr>
        <w:t xml:space="preserve">Welsh Government, 2021. Well-being of Future Generations (Wales) Act 2015: the essentials. Guidance on our law to improve social, economic, </w:t>
      </w:r>
      <w:proofErr w:type="gramStart"/>
      <w:r w:rsidRPr="00025495">
        <w:rPr>
          <w:rFonts w:ascii="Arial" w:hAnsi="Arial" w:cs="Arial"/>
          <w:sz w:val="22"/>
          <w:szCs w:val="22"/>
        </w:rPr>
        <w:t>environmental</w:t>
      </w:r>
      <w:proofErr w:type="gramEnd"/>
      <w:r w:rsidRPr="00025495">
        <w:rPr>
          <w:rFonts w:ascii="Arial" w:hAnsi="Arial" w:cs="Arial"/>
          <w:sz w:val="22"/>
          <w:szCs w:val="22"/>
        </w:rPr>
        <w:t xml:space="preserve"> and cultural well-being. [online] GOV.WALES. Available at: https://gov.wales/well-being-future-generations-act-2015-essentials [Accessed 5 February 2024].</w:t>
      </w:r>
    </w:p>
    <w:p w14:paraId="11100E0A" w14:textId="77777777" w:rsidR="00025495" w:rsidRPr="00025495" w:rsidRDefault="00025495" w:rsidP="00025495">
      <w:pPr>
        <w:spacing w:line="360" w:lineRule="auto"/>
        <w:rPr>
          <w:rFonts w:ascii="Arial" w:hAnsi="Arial" w:cs="Arial"/>
          <w:sz w:val="22"/>
          <w:szCs w:val="22"/>
        </w:rPr>
      </w:pPr>
    </w:p>
    <w:p w14:paraId="7CA9E14E" w14:textId="2FF75AB8" w:rsidR="00025495" w:rsidRPr="00025495" w:rsidRDefault="00025495" w:rsidP="00025495">
      <w:pPr>
        <w:spacing w:line="360" w:lineRule="auto"/>
        <w:rPr>
          <w:rFonts w:ascii="Arial" w:hAnsi="Arial" w:cs="Arial"/>
          <w:sz w:val="22"/>
          <w:szCs w:val="22"/>
        </w:rPr>
      </w:pPr>
      <w:r w:rsidRPr="00025495">
        <w:rPr>
          <w:rFonts w:ascii="Arial" w:hAnsi="Arial" w:cs="Arial"/>
          <w:sz w:val="22"/>
          <w:szCs w:val="22"/>
        </w:rPr>
        <w:t>Welsh Government. (2023). Well-being of Wales 2023. [online] Available at: https://www.gov.wales/wellbeing-wales-2023-html [Accessed 22 Feb. 2024].</w:t>
      </w:r>
    </w:p>
    <w:sectPr w:rsidR="00025495" w:rsidRPr="0002549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5495"/>
    <w:rsid w:val="000254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5C3571E"/>
  <w15:chartTrackingRefBased/>
  <w15:docId w15:val="{43B8C0F7-706A-46D7-AF27-39A4ADDFD9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2549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2549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2549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2549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2549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2549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2549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2549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2549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549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2549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2549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2549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2549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2549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2549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2549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25495"/>
    <w:rPr>
      <w:rFonts w:eastAsiaTheme="majorEastAsia" w:cstheme="majorBidi"/>
      <w:color w:val="272727" w:themeColor="text1" w:themeTint="D8"/>
    </w:rPr>
  </w:style>
  <w:style w:type="paragraph" w:styleId="Title">
    <w:name w:val="Title"/>
    <w:basedOn w:val="Normal"/>
    <w:next w:val="Normal"/>
    <w:link w:val="TitleChar"/>
    <w:uiPriority w:val="10"/>
    <w:qFormat/>
    <w:rsid w:val="0002549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2549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2549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2549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25495"/>
    <w:pPr>
      <w:spacing w:before="160"/>
      <w:jc w:val="center"/>
    </w:pPr>
    <w:rPr>
      <w:i/>
      <w:iCs/>
      <w:color w:val="404040" w:themeColor="text1" w:themeTint="BF"/>
    </w:rPr>
  </w:style>
  <w:style w:type="character" w:customStyle="1" w:styleId="QuoteChar">
    <w:name w:val="Quote Char"/>
    <w:basedOn w:val="DefaultParagraphFont"/>
    <w:link w:val="Quote"/>
    <w:uiPriority w:val="29"/>
    <w:rsid w:val="00025495"/>
    <w:rPr>
      <w:i/>
      <w:iCs/>
      <w:color w:val="404040" w:themeColor="text1" w:themeTint="BF"/>
    </w:rPr>
  </w:style>
  <w:style w:type="paragraph" w:styleId="ListParagraph">
    <w:name w:val="List Paragraph"/>
    <w:basedOn w:val="Normal"/>
    <w:uiPriority w:val="34"/>
    <w:qFormat/>
    <w:rsid w:val="00025495"/>
    <w:pPr>
      <w:ind w:left="720"/>
      <w:contextualSpacing/>
    </w:pPr>
  </w:style>
  <w:style w:type="character" w:styleId="IntenseEmphasis">
    <w:name w:val="Intense Emphasis"/>
    <w:basedOn w:val="DefaultParagraphFont"/>
    <w:uiPriority w:val="21"/>
    <w:qFormat/>
    <w:rsid w:val="00025495"/>
    <w:rPr>
      <w:i/>
      <w:iCs/>
      <w:color w:val="0F4761" w:themeColor="accent1" w:themeShade="BF"/>
    </w:rPr>
  </w:style>
  <w:style w:type="paragraph" w:styleId="IntenseQuote">
    <w:name w:val="Intense Quote"/>
    <w:basedOn w:val="Normal"/>
    <w:next w:val="Normal"/>
    <w:link w:val="IntenseQuoteChar"/>
    <w:uiPriority w:val="30"/>
    <w:qFormat/>
    <w:rsid w:val="0002549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25495"/>
    <w:rPr>
      <w:i/>
      <w:iCs/>
      <w:color w:val="0F4761" w:themeColor="accent1" w:themeShade="BF"/>
    </w:rPr>
  </w:style>
  <w:style w:type="character" w:styleId="IntenseReference">
    <w:name w:val="Intense Reference"/>
    <w:basedOn w:val="DefaultParagraphFont"/>
    <w:uiPriority w:val="32"/>
    <w:qFormat/>
    <w:rsid w:val="00025495"/>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3</Pages>
  <Words>463</Words>
  <Characters>4445</Characters>
  <Application>Microsoft Office Word</Application>
  <DocSecurity>0</DocSecurity>
  <Lines>89</Lines>
  <Paragraphs>22</Paragraphs>
  <ScaleCrop>false</ScaleCrop>
  <Company/>
  <LinksUpToDate>false</LinksUpToDate>
  <CharactersWithSpaces>4889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Jayne Libby</dc:creator>
  <cp:keywords/>
  <dc:description/>
  <cp:lastModifiedBy>Jayne Libby</cp:lastModifiedBy>
  <cp:revision>1</cp:revision>
  <dcterms:created xsi:type="dcterms:W3CDTF">2024-02-27T17:07:00Z</dcterms:created>
  <dcterms:modified xsi:type="dcterms:W3CDTF">2024-02-27T17:09:00Z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9f860f01-1fbc-4bb0-a982-0a8418560daa</vt:lpwstr>
  </property>
</Properties>
</file>