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2795068"/>
        <w:docPartObj>
          <w:docPartGallery w:val="Cover Pages"/>
          <w:docPartUnique/>
        </w:docPartObj>
      </w:sdtPr>
      <w:sdtEndPr>
        <w:rPr>
          <w:lang w:val="en-GB"/>
        </w:rPr>
      </w:sdtEndPr>
      <w:sdtContent>
        <w:p w14:paraId="16BCB880" w14:textId="609D5E08" w:rsidR="000404C9" w:rsidRDefault="000404C9">
          <w:r>
            <w:rPr>
              <w:noProof/>
            </w:rPr>
            <mc:AlternateContent>
              <mc:Choice Requires="wpg">
                <w:drawing>
                  <wp:anchor distT="0" distB="0" distL="114300" distR="114300" simplePos="0" relativeHeight="251659264" behindDoc="1" locked="0" layoutInCell="1" allowOverlap="1" wp14:anchorId="60FEC331" wp14:editId="28930D9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C0BB042" w14:textId="4209B72A" w:rsidR="000404C9" w:rsidRDefault="000404C9">
                                      <w:pPr>
                                        <w:pStyle w:val="NoSpacing"/>
                                        <w:spacing w:before="120"/>
                                        <w:jc w:val="center"/>
                                        <w:rPr>
                                          <w:color w:val="FFFFFF" w:themeColor="background1"/>
                                        </w:rPr>
                                      </w:pPr>
                                      <w:r>
                                        <w:rPr>
                                          <w:color w:val="FFFFFF" w:themeColor="background1"/>
                                        </w:rPr>
                                        <w:t>Mihnea-Alexandru Antonescu</w:t>
                                      </w:r>
                                    </w:p>
                                  </w:sdtContent>
                                </w:sdt>
                                <w:p w14:paraId="4775CAE3" w14:textId="716929C9" w:rsidR="000404C9" w:rsidRDefault="000404C9">
                                  <w:pPr>
                                    <w:pStyle w:val="NoSpacing"/>
                                    <w:spacing w:before="120"/>
                                    <w:jc w:val="center"/>
                                    <w:rPr>
                                      <w:color w:val="FFFFFF" w:themeColor="background1"/>
                                    </w:rPr>
                                  </w:pPr>
                                  <w:sdt>
                                    <w:sdtPr>
                                      <w:rPr>
                                        <w:rFonts w:eastAsia="Arial" w:cs="Arial"/>
                                        <w:b/>
                                      </w:rPr>
                                      <w:alias w:val="Company"/>
                                      <w:tag w:val=""/>
                                      <w:id w:val="1618182777"/>
                                      <w:dataBinding w:prefixMappings="xmlns:ns0='http://schemas.openxmlformats.org/officeDocument/2006/extended-properties' " w:xpath="/ns0:Properties[1]/ns0:Company[1]" w:storeItemID="{6668398D-A668-4E3E-A5EB-62B293D839F1}"/>
                                      <w:text/>
                                    </w:sdtPr>
                                    <w:sdtContent>
                                      <w:r w:rsidRPr="000404C9">
                                        <w:rPr>
                                          <w:rFonts w:eastAsia="Arial" w:cs="Arial"/>
                                          <w:b/>
                                        </w:rPr>
                                        <w:t>BMLW4005</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 xml:space="preserve"> - Criminal Law</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934D08D" w14:textId="7538E771" w:rsidR="000404C9" w:rsidRDefault="000404C9">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Law portfolio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0FEC331"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C0BB042" w14:textId="4209B72A" w:rsidR="000404C9" w:rsidRDefault="000404C9">
                                <w:pPr>
                                  <w:pStyle w:val="NoSpacing"/>
                                  <w:spacing w:before="120"/>
                                  <w:jc w:val="center"/>
                                  <w:rPr>
                                    <w:color w:val="FFFFFF" w:themeColor="background1"/>
                                  </w:rPr>
                                </w:pPr>
                                <w:r>
                                  <w:rPr>
                                    <w:color w:val="FFFFFF" w:themeColor="background1"/>
                                  </w:rPr>
                                  <w:t>Mihnea-Alexandru Antonescu</w:t>
                                </w:r>
                              </w:p>
                            </w:sdtContent>
                          </w:sdt>
                          <w:p w14:paraId="4775CAE3" w14:textId="716929C9" w:rsidR="000404C9" w:rsidRDefault="000404C9">
                            <w:pPr>
                              <w:pStyle w:val="NoSpacing"/>
                              <w:spacing w:before="120"/>
                              <w:jc w:val="center"/>
                              <w:rPr>
                                <w:color w:val="FFFFFF" w:themeColor="background1"/>
                              </w:rPr>
                            </w:pPr>
                            <w:sdt>
                              <w:sdtPr>
                                <w:rPr>
                                  <w:rFonts w:eastAsia="Arial" w:cs="Arial"/>
                                  <w:b/>
                                </w:rPr>
                                <w:alias w:val="Company"/>
                                <w:tag w:val=""/>
                                <w:id w:val="1618182777"/>
                                <w:dataBinding w:prefixMappings="xmlns:ns0='http://schemas.openxmlformats.org/officeDocument/2006/extended-properties' " w:xpath="/ns0:Properties[1]/ns0:Company[1]" w:storeItemID="{6668398D-A668-4E3E-A5EB-62B293D839F1}"/>
                                <w:text/>
                              </w:sdtPr>
                              <w:sdtContent>
                                <w:r w:rsidRPr="000404C9">
                                  <w:rPr>
                                    <w:rFonts w:eastAsia="Arial" w:cs="Arial"/>
                                    <w:b/>
                                  </w:rPr>
                                  <w:t>BMLW4005</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 xml:space="preserve"> - Criminal Law</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934D08D" w14:textId="7538E771" w:rsidR="000404C9" w:rsidRDefault="000404C9">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Law portfolio</w:t>
                                </w:r>
                              </w:p>
                            </w:sdtContent>
                          </w:sdt>
                        </w:txbxContent>
                      </v:textbox>
                    </v:shape>
                    <w10:wrap anchorx="page" anchory="page"/>
                  </v:group>
                </w:pict>
              </mc:Fallback>
            </mc:AlternateContent>
          </w:r>
        </w:p>
        <w:p w14:paraId="45CB1F1C" w14:textId="532AB66C" w:rsidR="000404C9" w:rsidRDefault="000404C9">
          <w:pPr>
            <w:rPr>
              <w:lang w:val="en-GB"/>
            </w:rPr>
          </w:pPr>
          <w:r>
            <w:rPr>
              <w:lang w:val="en-GB"/>
            </w:rPr>
            <w:br w:type="page"/>
          </w:r>
        </w:p>
      </w:sdtContent>
    </w:sdt>
    <w:p w14:paraId="2BCEF93E" w14:textId="465F4324" w:rsidR="00255EC7" w:rsidRPr="00AE2499" w:rsidRDefault="00255EC7">
      <w:pPr>
        <w:pStyle w:val="Normal1"/>
        <w:rPr>
          <w:lang w:val="en-GB"/>
        </w:rPr>
      </w:pPr>
    </w:p>
    <w:p w14:paraId="3E3C80C9" w14:textId="77777777" w:rsidR="00255EC7" w:rsidRPr="00AE2499" w:rsidRDefault="00A248A0">
      <w:pPr>
        <w:pStyle w:val="Normal1"/>
        <w:jc w:val="center"/>
        <w:rPr>
          <w:lang w:val="en-GB"/>
        </w:rPr>
      </w:pPr>
      <w:r w:rsidRPr="00AE2499">
        <w:rPr>
          <w:b/>
          <w:lang w:val="en-GB"/>
        </w:rPr>
        <w:t>Table of content</w:t>
      </w:r>
    </w:p>
    <w:sdt>
      <w:sdtPr>
        <w:rPr>
          <w:lang w:val="en-GB"/>
        </w:rPr>
        <w:id w:val="19103633"/>
        <w:docPartObj>
          <w:docPartGallery w:val="Table of Contents"/>
          <w:docPartUnique/>
        </w:docPartObj>
      </w:sdtPr>
      <w:sdtContent>
        <w:p w14:paraId="322580E1" w14:textId="77777777" w:rsidR="00255EC7" w:rsidRPr="00AE2499" w:rsidRDefault="00255EC7">
          <w:pPr>
            <w:pStyle w:val="Normal1"/>
            <w:tabs>
              <w:tab w:val="right" w:pos="9025"/>
            </w:tabs>
            <w:spacing w:before="80" w:line="240" w:lineRule="auto"/>
            <w:rPr>
              <w:lang w:val="en-GB"/>
            </w:rPr>
          </w:pPr>
          <w:r w:rsidRPr="00AE2499">
            <w:rPr>
              <w:lang w:val="en-GB"/>
            </w:rPr>
            <w:fldChar w:fldCharType="begin"/>
          </w:r>
          <w:r w:rsidR="00A248A0" w:rsidRPr="00AE2499">
            <w:rPr>
              <w:lang w:val="en-GB"/>
            </w:rPr>
            <w:instrText xml:space="preserve"> TOC \h \u \z </w:instrText>
          </w:r>
          <w:r w:rsidRPr="00AE2499">
            <w:rPr>
              <w:lang w:val="en-GB"/>
            </w:rPr>
            <w:fldChar w:fldCharType="separate"/>
          </w:r>
          <w:hyperlink w:anchor="_q1isgsag9h2f">
            <w:r w:rsidR="00A248A0" w:rsidRPr="00AE2499">
              <w:rPr>
                <w:lang w:val="en-GB"/>
              </w:rPr>
              <w:t>Introduction</w:t>
            </w:r>
          </w:hyperlink>
          <w:r w:rsidR="00A248A0" w:rsidRPr="00AE2499">
            <w:rPr>
              <w:lang w:val="en-GB"/>
            </w:rPr>
            <w:tab/>
          </w:r>
          <w:r w:rsidRPr="00AE2499">
            <w:rPr>
              <w:lang w:val="en-GB"/>
            </w:rPr>
            <w:fldChar w:fldCharType="begin"/>
          </w:r>
          <w:r w:rsidR="00A248A0" w:rsidRPr="00AE2499">
            <w:rPr>
              <w:lang w:val="en-GB"/>
            </w:rPr>
            <w:instrText xml:space="preserve"> PAGEREF _q1isgsag9h2f \h </w:instrText>
          </w:r>
          <w:r w:rsidRPr="00AE2499">
            <w:rPr>
              <w:lang w:val="en-GB"/>
            </w:rPr>
          </w:r>
          <w:r w:rsidRPr="00AE2499">
            <w:rPr>
              <w:lang w:val="en-GB"/>
            </w:rPr>
            <w:fldChar w:fldCharType="separate"/>
          </w:r>
          <w:r w:rsidR="00A248A0" w:rsidRPr="00AE2499">
            <w:rPr>
              <w:lang w:val="en-GB"/>
            </w:rPr>
            <w:t>3</w:t>
          </w:r>
          <w:r w:rsidRPr="00AE2499">
            <w:rPr>
              <w:lang w:val="en-GB"/>
            </w:rPr>
            <w:fldChar w:fldCharType="end"/>
          </w:r>
        </w:p>
        <w:p w14:paraId="63CDF3C1" w14:textId="77777777" w:rsidR="00255EC7" w:rsidRPr="00AE2499" w:rsidRDefault="00000000">
          <w:pPr>
            <w:pStyle w:val="Normal1"/>
            <w:tabs>
              <w:tab w:val="right" w:pos="9025"/>
            </w:tabs>
            <w:spacing w:before="200" w:line="240" w:lineRule="auto"/>
            <w:rPr>
              <w:lang w:val="en-GB"/>
            </w:rPr>
          </w:pPr>
          <w:hyperlink w:anchor="_3cwzmkr4nv6x">
            <w:r w:rsidR="00A248A0" w:rsidRPr="00AE2499">
              <w:rPr>
                <w:lang w:val="en-GB"/>
              </w:rPr>
              <w:t>Part A</w:t>
            </w:r>
          </w:hyperlink>
          <w:r w:rsidR="00A248A0" w:rsidRPr="00AE2499">
            <w:rPr>
              <w:lang w:val="en-GB"/>
            </w:rPr>
            <w:tab/>
          </w:r>
          <w:r w:rsidR="00255EC7" w:rsidRPr="00AE2499">
            <w:rPr>
              <w:lang w:val="en-GB"/>
            </w:rPr>
            <w:fldChar w:fldCharType="begin"/>
          </w:r>
          <w:r w:rsidR="00A248A0" w:rsidRPr="00AE2499">
            <w:rPr>
              <w:lang w:val="en-GB"/>
            </w:rPr>
            <w:instrText xml:space="preserve"> PAGEREF _3cwzmkr4nv6x \h </w:instrText>
          </w:r>
          <w:r w:rsidR="00255EC7" w:rsidRPr="00AE2499">
            <w:rPr>
              <w:lang w:val="en-GB"/>
            </w:rPr>
          </w:r>
          <w:r w:rsidR="00255EC7" w:rsidRPr="00AE2499">
            <w:rPr>
              <w:lang w:val="en-GB"/>
            </w:rPr>
            <w:fldChar w:fldCharType="separate"/>
          </w:r>
          <w:r w:rsidR="00A248A0" w:rsidRPr="00AE2499">
            <w:rPr>
              <w:lang w:val="en-GB"/>
            </w:rPr>
            <w:t>4</w:t>
          </w:r>
          <w:r w:rsidR="00255EC7" w:rsidRPr="00AE2499">
            <w:rPr>
              <w:lang w:val="en-GB"/>
            </w:rPr>
            <w:fldChar w:fldCharType="end"/>
          </w:r>
        </w:p>
        <w:p w14:paraId="6F0D1FE8" w14:textId="77777777" w:rsidR="00255EC7" w:rsidRPr="00AE2499" w:rsidRDefault="00000000">
          <w:pPr>
            <w:pStyle w:val="Normal1"/>
            <w:tabs>
              <w:tab w:val="right" w:pos="9025"/>
            </w:tabs>
            <w:spacing w:before="200" w:line="240" w:lineRule="auto"/>
            <w:rPr>
              <w:lang w:val="en-GB"/>
            </w:rPr>
          </w:pPr>
          <w:hyperlink w:anchor="_nv0flxom5569">
            <w:r w:rsidR="00A248A0" w:rsidRPr="00AE2499">
              <w:rPr>
                <w:lang w:val="en-GB"/>
              </w:rPr>
              <w:t>Part B</w:t>
            </w:r>
          </w:hyperlink>
          <w:r w:rsidR="00A248A0" w:rsidRPr="00AE2499">
            <w:rPr>
              <w:lang w:val="en-GB"/>
            </w:rPr>
            <w:tab/>
          </w:r>
          <w:r w:rsidR="00255EC7" w:rsidRPr="00AE2499">
            <w:rPr>
              <w:lang w:val="en-GB"/>
            </w:rPr>
            <w:fldChar w:fldCharType="begin"/>
          </w:r>
          <w:r w:rsidR="00A248A0" w:rsidRPr="00AE2499">
            <w:rPr>
              <w:lang w:val="en-GB"/>
            </w:rPr>
            <w:instrText xml:space="preserve"> PAGEREF _nv0flxom5569 \h </w:instrText>
          </w:r>
          <w:r w:rsidR="00255EC7" w:rsidRPr="00AE2499">
            <w:rPr>
              <w:lang w:val="en-GB"/>
            </w:rPr>
          </w:r>
          <w:r w:rsidR="00255EC7" w:rsidRPr="00AE2499">
            <w:rPr>
              <w:lang w:val="en-GB"/>
            </w:rPr>
            <w:fldChar w:fldCharType="separate"/>
          </w:r>
          <w:r w:rsidR="00A248A0" w:rsidRPr="00AE2499">
            <w:rPr>
              <w:lang w:val="en-GB"/>
            </w:rPr>
            <w:t>6</w:t>
          </w:r>
          <w:r w:rsidR="00255EC7" w:rsidRPr="00AE2499">
            <w:rPr>
              <w:lang w:val="en-GB"/>
            </w:rPr>
            <w:fldChar w:fldCharType="end"/>
          </w:r>
        </w:p>
        <w:p w14:paraId="658DFD97" w14:textId="77777777" w:rsidR="00255EC7" w:rsidRPr="00AE2499" w:rsidRDefault="00000000">
          <w:pPr>
            <w:pStyle w:val="Normal1"/>
            <w:tabs>
              <w:tab w:val="right" w:pos="9025"/>
            </w:tabs>
            <w:spacing w:before="200" w:line="240" w:lineRule="auto"/>
            <w:rPr>
              <w:lang w:val="en-GB"/>
            </w:rPr>
          </w:pPr>
          <w:hyperlink w:anchor="_d71eo9vpaop9">
            <w:r w:rsidR="00A248A0" w:rsidRPr="00AE2499">
              <w:rPr>
                <w:lang w:val="en-GB"/>
              </w:rPr>
              <w:t>Conclusion</w:t>
            </w:r>
          </w:hyperlink>
          <w:r w:rsidR="00A248A0" w:rsidRPr="00AE2499">
            <w:rPr>
              <w:lang w:val="en-GB"/>
            </w:rPr>
            <w:tab/>
          </w:r>
          <w:r w:rsidR="00255EC7" w:rsidRPr="00AE2499">
            <w:rPr>
              <w:lang w:val="en-GB"/>
            </w:rPr>
            <w:fldChar w:fldCharType="begin"/>
          </w:r>
          <w:r w:rsidR="00A248A0" w:rsidRPr="00AE2499">
            <w:rPr>
              <w:lang w:val="en-GB"/>
            </w:rPr>
            <w:instrText xml:space="preserve"> PAGEREF _d71eo9vpaop9 \h </w:instrText>
          </w:r>
          <w:r w:rsidR="00255EC7" w:rsidRPr="00AE2499">
            <w:rPr>
              <w:lang w:val="en-GB"/>
            </w:rPr>
          </w:r>
          <w:r w:rsidR="00255EC7" w:rsidRPr="00AE2499">
            <w:rPr>
              <w:lang w:val="en-GB"/>
            </w:rPr>
            <w:fldChar w:fldCharType="separate"/>
          </w:r>
          <w:r w:rsidR="00A248A0" w:rsidRPr="00AE2499">
            <w:rPr>
              <w:lang w:val="en-GB"/>
            </w:rPr>
            <w:t>8</w:t>
          </w:r>
          <w:r w:rsidR="00255EC7" w:rsidRPr="00AE2499">
            <w:rPr>
              <w:lang w:val="en-GB"/>
            </w:rPr>
            <w:fldChar w:fldCharType="end"/>
          </w:r>
        </w:p>
        <w:p w14:paraId="134682DE" w14:textId="77777777" w:rsidR="00255EC7" w:rsidRPr="00AE2499" w:rsidRDefault="00000000">
          <w:pPr>
            <w:pStyle w:val="Normal1"/>
            <w:tabs>
              <w:tab w:val="right" w:pos="9025"/>
            </w:tabs>
            <w:spacing w:before="200" w:after="80" w:line="240" w:lineRule="auto"/>
            <w:rPr>
              <w:lang w:val="en-GB"/>
            </w:rPr>
          </w:pPr>
          <w:hyperlink w:anchor="_k4uepbeil8h7">
            <w:r w:rsidR="00A248A0" w:rsidRPr="00AE2499">
              <w:rPr>
                <w:lang w:val="en-GB"/>
              </w:rPr>
              <w:t>References</w:t>
            </w:r>
          </w:hyperlink>
          <w:r w:rsidR="00A248A0" w:rsidRPr="00AE2499">
            <w:rPr>
              <w:lang w:val="en-GB"/>
            </w:rPr>
            <w:tab/>
          </w:r>
          <w:r w:rsidR="00255EC7" w:rsidRPr="00AE2499">
            <w:rPr>
              <w:lang w:val="en-GB"/>
            </w:rPr>
            <w:fldChar w:fldCharType="begin"/>
          </w:r>
          <w:r w:rsidR="00A248A0" w:rsidRPr="00AE2499">
            <w:rPr>
              <w:lang w:val="en-GB"/>
            </w:rPr>
            <w:instrText xml:space="preserve"> PAGEREF _k4uepbeil8h7 \h </w:instrText>
          </w:r>
          <w:r w:rsidR="00255EC7" w:rsidRPr="00AE2499">
            <w:rPr>
              <w:lang w:val="en-GB"/>
            </w:rPr>
          </w:r>
          <w:r w:rsidR="00255EC7" w:rsidRPr="00AE2499">
            <w:rPr>
              <w:lang w:val="en-GB"/>
            </w:rPr>
            <w:fldChar w:fldCharType="separate"/>
          </w:r>
          <w:r w:rsidR="00A248A0" w:rsidRPr="00AE2499">
            <w:rPr>
              <w:lang w:val="en-GB"/>
            </w:rPr>
            <w:t>9</w:t>
          </w:r>
          <w:r w:rsidR="00255EC7" w:rsidRPr="00AE2499">
            <w:rPr>
              <w:lang w:val="en-GB"/>
            </w:rPr>
            <w:fldChar w:fldCharType="end"/>
          </w:r>
          <w:r w:rsidR="00255EC7" w:rsidRPr="00AE2499">
            <w:rPr>
              <w:lang w:val="en-GB"/>
            </w:rPr>
            <w:fldChar w:fldCharType="end"/>
          </w:r>
        </w:p>
      </w:sdtContent>
    </w:sdt>
    <w:p w14:paraId="13173F8A" w14:textId="77777777" w:rsidR="00255EC7" w:rsidRPr="00AE2499" w:rsidRDefault="00255EC7">
      <w:pPr>
        <w:pStyle w:val="Normal1"/>
        <w:rPr>
          <w:lang w:val="en-GB"/>
        </w:rPr>
      </w:pPr>
    </w:p>
    <w:p w14:paraId="7DED5025" w14:textId="77777777" w:rsidR="00255EC7" w:rsidRPr="00AE2499" w:rsidRDefault="00A248A0">
      <w:pPr>
        <w:pStyle w:val="Normal1"/>
        <w:jc w:val="left"/>
        <w:rPr>
          <w:lang w:val="en-GB"/>
        </w:rPr>
      </w:pPr>
      <w:r w:rsidRPr="00AE2499">
        <w:rPr>
          <w:lang w:val="en-GB"/>
        </w:rPr>
        <w:br w:type="page"/>
      </w:r>
    </w:p>
    <w:p w14:paraId="1428926E" w14:textId="77777777" w:rsidR="00255EC7" w:rsidRPr="00AE2499" w:rsidRDefault="00A248A0">
      <w:pPr>
        <w:pStyle w:val="Heading1"/>
        <w:rPr>
          <w:lang w:val="en-GB"/>
        </w:rPr>
      </w:pPr>
      <w:bookmarkStart w:id="0" w:name="_q1isgsag9h2f" w:colFirst="0" w:colLast="0"/>
      <w:bookmarkEnd w:id="0"/>
      <w:r w:rsidRPr="00AE2499">
        <w:rPr>
          <w:lang w:val="en-GB"/>
        </w:rPr>
        <w:lastRenderedPageBreak/>
        <w:t xml:space="preserve">Introduction </w:t>
      </w:r>
    </w:p>
    <w:p w14:paraId="73864A84" w14:textId="77777777" w:rsidR="00255EC7" w:rsidRPr="00AE2499" w:rsidRDefault="00A248A0">
      <w:pPr>
        <w:pStyle w:val="Normal1"/>
        <w:rPr>
          <w:lang w:val="en-GB"/>
        </w:rPr>
      </w:pPr>
      <w:r w:rsidRPr="00AE2499">
        <w:rPr>
          <w:lang w:val="en-GB"/>
        </w:rPr>
        <w:t xml:space="preserve">The report contains a discussion on various laws and regulations. There are a wide range of rules and regulations in the constitution of the </w:t>
      </w:r>
      <w:proofErr w:type="gramStart"/>
      <w:r w:rsidRPr="00AE2499">
        <w:rPr>
          <w:lang w:val="en-GB"/>
        </w:rPr>
        <w:t>UK</w:t>
      </w:r>
      <w:proofErr w:type="gramEnd"/>
      <w:r w:rsidRPr="00AE2499">
        <w:rPr>
          <w:lang w:val="en-GB"/>
        </w:rPr>
        <w:t xml:space="preserve"> and they can be used as per the situation of the case. It would also contain a discussion on the </w:t>
      </w:r>
      <w:proofErr w:type="spellStart"/>
      <w:r w:rsidRPr="00AE2499">
        <w:rPr>
          <w:lang w:val="en-GB"/>
        </w:rPr>
        <w:t>mens</w:t>
      </w:r>
      <w:proofErr w:type="spellEnd"/>
      <w:r w:rsidRPr="00AE2499">
        <w:rPr>
          <w:lang w:val="en-GB"/>
        </w:rPr>
        <w:t xml:space="preserve"> rea and actus reus of the different laws. </w:t>
      </w:r>
      <w:r w:rsidRPr="00AE2499">
        <w:rPr>
          <w:lang w:val="en-GB"/>
        </w:rPr>
        <w:br w:type="page"/>
      </w:r>
    </w:p>
    <w:p w14:paraId="01E5B1E1" w14:textId="77777777" w:rsidR="00255EC7" w:rsidRPr="00AE2499" w:rsidRDefault="00A248A0">
      <w:pPr>
        <w:pStyle w:val="Heading1"/>
        <w:rPr>
          <w:lang w:val="en-GB"/>
        </w:rPr>
      </w:pPr>
      <w:bookmarkStart w:id="1" w:name="_3cwzmkr4nv6x" w:colFirst="0" w:colLast="0"/>
      <w:bookmarkEnd w:id="1"/>
      <w:r w:rsidRPr="00AE2499">
        <w:rPr>
          <w:lang w:val="en-GB"/>
        </w:rPr>
        <w:lastRenderedPageBreak/>
        <w:t>Part A</w:t>
      </w:r>
    </w:p>
    <w:p w14:paraId="63E5A508" w14:textId="77777777" w:rsidR="00255EC7" w:rsidRPr="00AE2499" w:rsidRDefault="00A248A0">
      <w:pPr>
        <w:pStyle w:val="Normal1"/>
        <w:rPr>
          <w:lang w:val="en-GB"/>
        </w:rPr>
      </w:pPr>
      <w:r w:rsidRPr="00AE2499">
        <w:rPr>
          <w:lang w:val="en-GB"/>
        </w:rPr>
        <w:t xml:space="preserve">Hadley, who hates Ronan for being a poser for his wealth, committed some crimes against him. There </w:t>
      </w:r>
      <w:r w:rsidR="00AE2499" w:rsidRPr="00AE2499">
        <w:rPr>
          <w:lang w:val="en-GB"/>
        </w:rPr>
        <w:t>is</w:t>
      </w:r>
      <w:r w:rsidRPr="00AE2499">
        <w:rPr>
          <w:lang w:val="en-GB"/>
        </w:rPr>
        <w:t xml:space="preserve"> some major criminal liability which could affect Hadley and one of the major crimes related to Hadley is Theft. The crime would be set out under </w:t>
      </w:r>
      <w:r w:rsidRPr="00AE2499">
        <w:rPr>
          <w:b/>
          <w:i/>
          <w:lang w:val="en-GB"/>
        </w:rPr>
        <w:t xml:space="preserve">“Theft Act 1968” </w:t>
      </w:r>
      <w:r w:rsidRPr="00AE2499">
        <w:rPr>
          <w:lang w:val="en-GB"/>
        </w:rPr>
        <w:t>and the sections that the case would include is Section 1,3,9. As per the act, theft happens when a person dishonestly acquires property which belongs to another person and has the intention of permanently depriving the other person of it (Legislation, 2022). Hadley acquired the “</w:t>
      </w:r>
      <w:proofErr w:type="spellStart"/>
      <w:r w:rsidRPr="00AE2499">
        <w:rPr>
          <w:lang w:val="en-GB"/>
        </w:rPr>
        <w:t>Kolex</w:t>
      </w:r>
      <w:proofErr w:type="spellEnd"/>
      <w:r w:rsidRPr="00AE2499">
        <w:rPr>
          <w:lang w:val="en-GB"/>
        </w:rPr>
        <w:t xml:space="preserve">” watch which he had no intention of returning. This makes Hadley a criminal under </w:t>
      </w:r>
      <w:r w:rsidRPr="00AE2499">
        <w:rPr>
          <w:b/>
          <w:i/>
          <w:lang w:val="en-GB"/>
        </w:rPr>
        <w:t xml:space="preserve">section 1 </w:t>
      </w:r>
      <w:r w:rsidR="00AE2499">
        <w:rPr>
          <w:lang w:val="en-GB"/>
        </w:rPr>
        <w:t xml:space="preserve">of </w:t>
      </w:r>
      <w:r w:rsidRPr="00AE2499">
        <w:rPr>
          <w:b/>
          <w:i/>
          <w:lang w:val="en-GB"/>
        </w:rPr>
        <w:t xml:space="preserve">“Theft Act 1968”. </w:t>
      </w:r>
      <w:r w:rsidRPr="00AE2499">
        <w:rPr>
          <w:lang w:val="en-GB"/>
        </w:rPr>
        <w:t xml:space="preserve">Hadley already had the intention of stealing the </w:t>
      </w:r>
      <w:proofErr w:type="spellStart"/>
      <w:r w:rsidRPr="00AE2499">
        <w:rPr>
          <w:lang w:val="en-GB"/>
        </w:rPr>
        <w:t>bucci</w:t>
      </w:r>
      <w:proofErr w:type="spellEnd"/>
      <w:r w:rsidRPr="00AE2499">
        <w:rPr>
          <w:lang w:val="en-GB"/>
        </w:rPr>
        <w:t xml:space="preserve"> trainers but could not as he </w:t>
      </w:r>
      <w:proofErr w:type="gramStart"/>
      <w:r w:rsidRPr="00AE2499">
        <w:rPr>
          <w:lang w:val="en-GB"/>
        </w:rPr>
        <w:t>was</w:t>
      </w:r>
      <w:proofErr w:type="gramEnd"/>
      <w:r w:rsidRPr="00AE2499">
        <w:rPr>
          <w:lang w:val="en-GB"/>
        </w:rPr>
        <w:t xml:space="preserve"> unable to find them. However, he was able to find the </w:t>
      </w:r>
      <w:proofErr w:type="spellStart"/>
      <w:r w:rsidRPr="00AE2499">
        <w:rPr>
          <w:lang w:val="en-GB"/>
        </w:rPr>
        <w:t>Kolex</w:t>
      </w:r>
      <w:proofErr w:type="spellEnd"/>
      <w:r w:rsidRPr="00AE2499">
        <w:rPr>
          <w:lang w:val="en-GB"/>
        </w:rPr>
        <w:t xml:space="preserve"> watch, and stole it with the intention of not returning it. </w:t>
      </w:r>
    </w:p>
    <w:p w14:paraId="7BF908C2" w14:textId="77777777" w:rsidR="00255EC7" w:rsidRPr="00AE2499" w:rsidRDefault="00A248A0">
      <w:pPr>
        <w:pStyle w:val="Normal1"/>
        <w:rPr>
          <w:lang w:val="en-GB"/>
        </w:rPr>
      </w:pPr>
      <w:r w:rsidRPr="00AE2499">
        <w:rPr>
          <w:lang w:val="en-GB"/>
        </w:rPr>
        <w:t xml:space="preserve">Furthermore, due to the intention of stealing other’s property with the assumption of keeping it for himself, makes him a criminal under the </w:t>
      </w:r>
      <w:r w:rsidRPr="00AE2499">
        <w:rPr>
          <w:b/>
          <w:i/>
          <w:lang w:val="en-GB"/>
        </w:rPr>
        <w:t xml:space="preserve">section 3 </w:t>
      </w:r>
      <w:r w:rsidRPr="00AE2499">
        <w:rPr>
          <w:lang w:val="en-GB"/>
        </w:rPr>
        <w:t xml:space="preserve">of </w:t>
      </w:r>
      <w:r w:rsidRPr="00AE2499">
        <w:rPr>
          <w:b/>
          <w:i/>
          <w:lang w:val="en-GB"/>
        </w:rPr>
        <w:t xml:space="preserve">“Theft Act 1968”. </w:t>
      </w:r>
      <w:r w:rsidRPr="00AE2499">
        <w:rPr>
          <w:lang w:val="en-GB"/>
        </w:rPr>
        <w:t xml:space="preserve">The section 3 of the act deals with the “Appropriates” which means that “an assumption developed by a person of the rights of an owner to an appropriation” (Cross, 2020). It includes a person hearing or seeing something owned by someone else and </w:t>
      </w:r>
      <w:proofErr w:type="gramStart"/>
      <w:r w:rsidRPr="00AE2499">
        <w:rPr>
          <w:lang w:val="en-GB"/>
        </w:rPr>
        <w:t>making a plan</w:t>
      </w:r>
      <w:proofErr w:type="gramEnd"/>
      <w:r w:rsidRPr="00AE2499">
        <w:rPr>
          <w:lang w:val="en-GB"/>
        </w:rPr>
        <w:t xml:space="preserve"> to steal it and keep it for himself. For instance, Hadley heard about the Bucci shoes in the bar and thought of stealing it and keeping it as the owner. Although he could not find the shoes, he was able to find the </w:t>
      </w:r>
      <w:proofErr w:type="spellStart"/>
      <w:r w:rsidRPr="00AE2499">
        <w:rPr>
          <w:lang w:val="en-GB"/>
        </w:rPr>
        <w:t>Kolex</w:t>
      </w:r>
      <w:proofErr w:type="spellEnd"/>
      <w:r w:rsidRPr="00AE2499">
        <w:rPr>
          <w:lang w:val="en-GB"/>
        </w:rPr>
        <w:t xml:space="preserve"> watch and steal it. Appropriation is defined by </w:t>
      </w:r>
      <w:r w:rsidRPr="00AE2499">
        <w:rPr>
          <w:b/>
          <w:i/>
          <w:lang w:val="en-GB"/>
        </w:rPr>
        <w:t>“Lord Roskill in R v Morris”</w:t>
      </w:r>
      <w:r w:rsidR="00AE2499">
        <w:rPr>
          <w:lang w:val="en-GB"/>
        </w:rPr>
        <w:t>. In the case, the convicted</w:t>
      </w:r>
      <w:r w:rsidRPr="00AE2499">
        <w:rPr>
          <w:lang w:val="en-GB"/>
        </w:rPr>
        <w:t xml:space="preserve"> switched the labels on products in a supermarket and were upheld by the “House of Lords” (Li and Ho, 2019). </w:t>
      </w:r>
    </w:p>
    <w:p w14:paraId="1BD1FE0E" w14:textId="77777777" w:rsidR="00255EC7" w:rsidRPr="00AE2499" w:rsidRDefault="00A248A0">
      <w:pPr>
        <w:pStyle w:val="Normal1"/>
        <w:rPr>
          <w:lang w:val="en-GB"/>
        </w:rPr>
      </w:pPr>
      <w:r w:rsidRPr="00AE2499">
        <w:rPr>
          <w:lang w:val="en-GB"/>
        </w:rPr>
        <w:t xml:space="preserve">Hadley would be put under the </w:t>
      </w:r>
      <w:r w:rsidRPr="00AE2499">
        <w:rPr>
          <w:b/>
          <w:i/>
          <w:lang w:val="en-GB"/>
        </w:rPr>
        <w:t>section 9</w:t>
      </w:r>
      <w:r w:rsidRPr="00AE2499">
        <w:rPr>
          <w:lang w:val="en-GB"/>
        </w:rPr>
        <w:t xml:space="preserve"> of </w:t>
      </w:r>
      <w:r w:rsidRPr="00AE2499">
        <w:rPr>
          <w:b/>
          <w:i/>
          <w:lang w:val="en-GB"/>
        </w:rPr>
        <w:t xml:space="preserve">“Theft Act 1968” </w:t>
      </w:r>
      <w:r w:rsidRPr="00AE2499">
        <w:rPr>
          <w:lang w:val="en-GB"/>
        </w:rPr>
        <w:t xml:space="preserve">which is referred to as </w:t>
      </w:r>
      <w:r w:rsidRPr="00AE2499">
        <w:rPr>
          <w:b/>
          <w:i/>
          <w:lang w:val="en-GB"/>
        </w:rPr>
        <w:t xml:space="preserve">“Burglary” </w:t>
      </w:r>
      <w:r w:rsidRPr="00AE2499">
        <w:rPr>
          <w:lang w:val="en-GB"/>
        </w:rPr>
        <w:t>(Legislation, 2022)</w:t>
      </w:r>
      <w:r w:rsidRPr="00AE2499">
        <w:rPr>
          <w:b/>
          <w:i/>
          <w:lang w:val="en-GB"/>
        </w:rPr>
        <w:t xml:space="preserve">. </w:t>
      </w:r>
      <w:r w:rsidRPr="00AE2499">
        <w:rPr>
          <w:lang w:val="en-GB"/>
        </w:rPr>
        <w:t xml:space="preserve">As per the section 9 of the act, burglary refers to the crime when a person enters a building as a trespasser and steals or even attempts to steal any property or inflict any harm to the person. Hadley entered the house of Ronan illegally as a trespasser and tried to steal the expensive and limited edition Bucci trainers. Although he was unable to do so, he did steal the </w:t>
      </w:r>
      <w:proofErr w:type="spellStart"/>
      <w:r w:rsidRPr="00AE2499">
        <w:rPr>
          <w:lang w:val="en-GB"/>
        </w:rPr>
        <w:t>Kolex</w:t>
      </w:r>
      <w:proofErr w:type="spellEnd"/>
      <w:r w:rsidRPr="00AE2499">
        <w:rPr>
          <w:lang w:val="en-GB"/>
        </w:rPr>
        <w:t xml:space="preserve"> watch which was also quite expensive. </w:t>
      </w:r>
    </w:p>
    <w:p w14:paraId="620C1110" w14:textId="77777777" w:rsidR="00255EC7" w:rsidRPr="00AE2499" w:rsidRDefault="00A248A0">
      <w:pPr>
        <w:pStyle w:val="Normal1"/>
        <w:rPr>
          <w:lang w:val="en-GB"/>
        </w:rPr>
      </w:pPr>
      <w:r w:rsidRPr="00AE2499">
        <w:rPr>
          <w:lang w:val="en-GB"/>
        </w:rPr>
        <w:t xml:space="preserve">The </w:t>
      </w:r>
      <w:r w:rsidRPr="00AE2499">
        <w:rPr>
          <w:b/>
          <w:i/>
          <w:lang w:val="en-GB"/>
        </w:rPr>
        <w:t>“</w:t>
      </w:r>
      <w:proofErr w:type="spellStart"/>
      <w:r w:rsidRPr="00AE2499">
        <w:rPr>
          <w:b/>
          <w:i/>
          <w:lang w:val="en-GB"/>
        </w:rPr>
        <w:t>Mens</w:t>
      </w:r>
      <w:proofErr w:type="spellEnd"/>
      <w:r w:rsidRPr="00AE2499">
        <w:rPr>
          <w:b/>
          <w:i/>
          <w:lang w:val="en-GB"/>
        </w:rPr>
        <w:t xml:space="preserve"> Rea” </w:t>
      </w:r>
      <w:r w:rsidRPr="00AE2499">
        <w:rPr>
          <w:lang w:val="en-GB"/>
        </w:rPr>
        <w:t>of “Theft Act 1968” is dishonesty and an intention to permanently deprive the other of it. Hadley had the intention of depriving Ronan of the shoe along with the watch he stole. Furthermore</w:t>
      </w:r>
      <w:r w:rsidR="00AE2499">
        <w:rPr>
          <w:lang w:val="en-GB"/>
        </w:rPr>
        <w:t>,</w:t>
      </w:r>
      <w:r w:rsidRPr="00AE2499">
        <w:rPr>
          <w:lang w:val="en-GB"/>
        </w:rPr>
        <w:t xml:space="preserve"> he had already planned the whole theft and was dishonest about it as heard about Ronan going to Maldives. The </w:t>
      </w:r>
      <w:r w:rsidRPr="00AE2499">
        <w:rPr>
          <w:b/>
          <w:i/>
          <w:lang w:val="en-GB"/>
        </w:rPr>
        <w:t>“Actus Reus”</w:t>
      </w:r>
      <w:r w:rsidRPr="00AE2499">
        <w:rPr>
          <w:lang w:val="en-GB"/>
        </w:rPr>
        <w:t xml:space="preserve"> of theft is appropriation of property belonging to another and Hadley stole product from Ronan. </w:t>
      </w:r>
    </w:p>
    <w:p w14:paraId="03F77293" w14:textId="77777777" w:rsidR="00255EC7" w:rsidRPr="00AE2499" w:rsidRDefault="00A248A0">
      <w:pPr>
        <w:pStyle w:val="Normal1"/>
        <w:rPr>
          <w:lang w:val="en-GB"/>
        </w:rPr>
      </w:pPr>
      <w:r w:rsidRPr="00AE2499">
        <w:rPr>
          <w:lang w:val="en-GB"/>
        </w:rPr>
        <w:t xml:space="preserve">Hadley would also have to face punishment under </w:t>
      </w:r>
      <w:r w:rsidRPr="00AE2499">
        <w:rPr>
          <w:b/>
          <w:i/>
          <w:lang w:val="en-GB"/>
        </w:rPr>
        <w:t xml:space="preserve">“Criminal Damage Act 1971”. </w:t>
      </w:r>
      <w:r w:rsidRPr="00AE2499">
        <w:rPr>
          <w:lang w:val="en-GB"/>
        </w:rPr>
        <w:t xml:space="preserve">It states that a person would be guilty if that person damages any property which belongs to another with a </w:t>
      </w:r>
      <w:r w:rsidRPr="00AE2499">
        <w:rPr>
          <w:lang w:val="en-GB"/>
        </w:rPr>
        <w:lastRenderedPageBreak/>
        <w:t xml:space="preserve">lawful excuse. When Ronan tried to enter the house of Hadley, he jumped over the back fence and landed over a bench made of wood which broke in half. Due to this incident, he would be charged under </w:t>
      </w:r>
      <w:r w:rsidRPr="00AE2499">
        <w:rPr>
          <w:b/>
          <w:i/>
          <w:lang w:val="en-GB"/>
        </w:rPr>
        <w:t>Section 1(1) of the act</w:t>
      </w:r>
      <w:r w:rsidRPr="00AE2499">
        <w:rPr>
          <w:lang w:val="en-GB"/>
        </w:rPr>
        <w:t xml:space="preserve">. The elements of </w:t>
      </w:r>
      <w:r w:rsidRPr="00AE2499">
        <w:rPr>
          <w:b/>
          <w:i/>
          <w:lang w:val="en-GB"/>
        </w:rPr>
        <w:t>“actus reus”</w:t>
      </w:r>
      <w:r w:rsidRPr="00AE2499">
        <w:rPr>
          <w:lang w:val="en-GB"/>
        </w:rPr>
        <w:t xml:space="preserve"> which are destroying property of others without lawful excuse which Hadley did. Further, Hadley would also be accused under </w:t>
      </w:r>
      <w:r w:rsidRPr="00AE2499">
        <w:rPr>
          <w:b/>
          <w:i/>
          <w:lang w:val="en-GB"/>
        </w:rPr>
        <w:t xml:space="preserve">Section 1(3) of the act </w:t>
      </w:r>
      <w:r w:rsidRPr="00AE2499">
        <w:rPr>
          <w:lang w:val="en-GB"/>
        </w:rPr>
        <w:t>(Legislation, 2022)</w:t>
      </w:r>
      <w:r w:rsidRPr="00AE2499">
        <w:rPr>
          <w:b/>
          <w:i/>
          <w:lang w:val="en-GB"/>
        </w:rPr>
        <w:t xml:space="preserve">. </w:t>
      </w:r>
      <w:r w:rsidRPr="00AE2499">
        <w:rPr>
          <w:lang w:val="en-GB"/>
        </w:rPr>
        <w:t xml:space="preserve"> After Hadley stole the </w:t>
      </w:r>
      <w:proofErr w:type="spellStart"/>
      <w:r w:rsidRPr="00AE2499">
        <w:rPr>
          <w:lang w:val="en-GB"/>
        </w:rPr>
        <w:t>Kolex</w:t>
      </w:r>
      <w:proofErr w:type="spellEnd"/>
      <w:r w:rsidRPr="00AE2499">
        <w:rPr>
          <w:lang w:val="en-GB"/>
        </w:rPr>
        <w:t xml:space="preserve"> watch, he poured aftershave in the bin which </w:t>
      </w:r>
      <w:proofErr w:type="gramStart"/>
      <w:r w:rsidRPr="00AE2499">
        <w:rPr>
          <w:lang w:val="en-GB"/>
        </w:rPr>
        <w:t>was located in</w:t>
      </w:r>
      <w:proofErr w:type="gramEnd"/>
      <w:r w:rsidRPr="00AE2499">
        <w:rPr>
          <w:lang w:val="en-GB"/>
        </w:rPr>
        <w:t xml:space="preserve"> the dressing room and then set it on fire. This whole incident would be considered as arson and would carry different sections. The “actus reus” and “</w:t>
      </w:r>
      <w:proofErr w:type="spellStart"/>
      <w:r w:rsidRPr="00AE2499">
        <w:rPr>
          <w:lang w:val="en-GB"/>
        </w:rPr>
        <w:t>mens</w:t>
      </w:r>
      <w:proofErr w:type="spellEnd"/>
      <w:r w:rsidRPr="00AE2499">
        <w:rPr>
          <w:lang w:val="en-GB"/>
        </w:rPr>
        <w:t xml:space="preserve"> rea” of the law was established in the case of </w:t>
      </w:r>
      <w:r w:rsidRPr="00AE2499">
        <w:rPr>
          <w:b/>
          <w:i/>
          <w:lang w:val="en-GB"/>
        </w:rPr>
        <w:t>“</w:t>
      </w:r>
      <w:proofErr w:type="spellStart"/>
      <w:r w:rsidRPr="00AE2499">
        <w:rPr>
          <w:b/>
          <w:i/>
          <w:lang w:val="en-GB"/>
        </w:rPr>
        <w:t>Woolmington</w:t>
      </w:r>
      <w:proofErr w:type="spellEnd"/>
      <w:r w:rsidRPr="00AE2499">
        <w:rPr>
          <w:b/>
          <w:i/>
          <w:lang w:val="en-GB"/>
        </w:rPr>
        <w:t xml:space="preserve"> v DPP (1935)” </w:t>
      </w:r>
      <w:r w:rsidRPr="00AE2499">
        <w:rPr>
          <w:lang w:val="en-GB"/>
        </w:rPr>
        <w:t>(Crosby, 2022)</w:t>
      </w:r>
      <w:r w:rsidRPr="00AE2499">
        <w:rPr>
          <w:b/>
          <w:i/>
          <w:lang w:val="en-GB"/>
        </w:rPr>
        <w:t xml:space="preserve">.  </w:t>
      </w:r>
      <w:r w:rsidRPr="00AE2499">
        <w:rPr>
          <w:lang w:val="en-GB"/>
        </w:rPr>
        <w:t xml:space="preserve">The case established that the proof used in the case would have to be beyond reasonable. It is the standard of burden of proof for the case in the </w:t>
      </w:r>
      <w:proofErr w:type="spellStart"/>
      <w:proofErr w:type="gramStart"/>
      <w:r w:rsidRPr="00AE2499">
        <w:rPr>
          <w:lang w:val="en-GB"/>
        </w:rPr>
        <w:t>scenario.Hadley</w:t>
      </w:r>
      <w:proofErr w:type="spellEnd"/>
      <w:proofErr w:type="gramEnd"/>
      <w:r w:rsidRPr="00AE2499">
        <w:rPr>
          <w:lang w:val="en-GB"/>
        </w:rPr>
        <w:t xml:space="preserve"> has recklessly damaged the bench in the garden which completes the </w:t>
      </w:r>
      <w:r w:rsidRPr="00AE2499">
        <w:rPr>
          <w:b/>
          <w:i/>
          <w:lang w:val="en-GB"/>
        </w:rPr>
        <w:t xml:space="preserve">“actus reus”. </w:t>
      </w:r>
      <w:r w:rsidR="00AE2499" w:rsidRPr="00AE2499">
        <w:rPr>
          <w:lang w:val="en-GB"/>
        </w:rPr>
        <w:t>Additionally,</w:t>
      </w:r>
      <w:r w:rsidRPr="00AE2499">
        <w:rPr>
          <w:lang w:val="en-GB"/>
        </w:rPr>
        <w:t xml:space="preserve"> he intentionally tried to damage the house through the help of fire. That completes the </w:t>
      </w:r>
      <w:r w:rsidRPr="00AE2499">
        <w:rPr>
          <w:b/>
          <w:i/>
          <w:lang w:val="en-GB"/>
        </w:rPr>
        <w:t>“</w:t>
      </w:r>
      <w:proofErr w:type="spellStart"/>
      <w:r w:rsidRPr="00AE2499">
        <w:rPr>
          <w:b/>
          <w:i/>
          <w:lang w:val="en-GB"/>
        </w:rPr>
        <w:t>mens</w:t>
      </w:r>
      <w:proofErr w:type="spellEnd"/>
      <w:r w:rsidRPr="00AE2499">
        <w:rPr>
          <w:b/>
          <w:i/>
          <w:lang w:val="en-GB"/>
        </w:rPr>
        <w:t xml:space="preserve"> rea” </w:t>
      </w:r>
      <w:r w:rsidRPr="00AE2499">
        <w:rPr>
          <w:lang w:val="en-GB"/>
        </w:rPr>
        <w:t xml:space="preserve">of the case as he did damage the house with fire and destroyed the bench. </w:t>
      </w:r>
    </w:p>
    <w:p w14:paraId="46F32A1F" w14:textId="77777777" w:rsidR="00255EC7" w:rsidRPr="00AE2499" w:rsidRDefault="00A248A0">
      <w:pPr>
        <w:pStyle w:val="Heading1"/>
        <w:rPr>
          <w:lang w:val="en-GB"/>
        </w:rPr>
      </w:pPr>
      <w:bookmarkStart w:id="2" w:name="_eix8gzb0xkx" w:colFirst="0" w:colLast="0"/>
      <w:bookmarkEnd w:id="2"/>
      <w:r w:rsidRPr="00AE2499">
        <w:rPr>
          <w:lang w:val="en-GB"/>
        </w:rPr>
        <w:br w:type="page"/>
      </w:r>
    </w:p>
    <w:p w14:paraId="79A3D45B" w14:textId="77777777" w:rsidR="00255EC7" w:rsidRPr="00AE2499" w:rsidRDefault="00A248A0">
      <w:pPr>
        <w:pStyle w:val="Heading1"/>
        <w:rPr>
          <w:lang w:val="en-GB"/>
        </w:rPr>
      </w:pPr>
      <w:bookmarkStart w:id="3" w:name="_nv0flxom5569" w:colFirst="0" w:colLast="0"/>
      <w:bookmarkEnd w:id="3"/>
      <w:r w:rsidRPr="00AE2499">
        <w:rPr>
          <w:lang w:val="en-GB"/>
        </w:rPr>
        <w:lastRenderedPageBreak/>
        <w:t>Part B</w:t>
      </w:r>
    </w:p>
    <w:p w14:paraId="1D1692E2" w14:textId="77777777" w:rsidR="00255EC7" w:rsidRPr="00AE2499" w:rsidRDefault="00A248A0">
      <w:pPr>
        <w:pStyle w:val="Normal1"/>
        <w:rPr>
          <w:lang w:val="en-GB"/>
        </w:rPr>
      </w:pPr>
      <w:r w:rsidRPr="00AE2499">
        <w:rPr>
          <w:lang w:val="en-GB"/>
        </w:rPr>
        <w:t xml:space="preserve">Freya has been charged under </w:t>
      </w:r>
      <w:r w:rsidRPr="00AE2499">
        <w:rPr>
          <w:b/>
          <w:i/>
          <w:lang w:val="en-GB"/>
        </w:rPr>
        <w:t xml:space="preserve">Section 47 </w:t>
      </w:r>
      <w:r w:rsidRPr="00AE2499">
        <w:rPr>
          <w:lang w:val="en-GB"/>
        </w:rPr>
        <w:t xml:space="preserve">of </w:t>
      </w:r>
      <w:r w:rsidRPr="00AE2499">
        <w:rPr>
          <w:b/>
          <w:i/>
          <w:lang w:val="en-GB"/>
        </w:rPr>
        <w:t>“Offenc</w:t>
      </w:r>
      <w:r w:rsidR="00AE2499">
        <w:rPr>
          <w:b/>
          <w:i/>
          <w:lang w:val="en-GB"/>
        </w:rPr>
        <w:t>es Against the Person Act 1861”</w:t>
      </w:r>
      <w:r w:rsidRPr="00AE2499">
        <w:rPr>
          <w:lang w:val="en-GB"/>
        </w:rPr>
        <w:t xml:space="preserve">. The act states that a crime is committed when an individual either intentionally or recklessly assaults another person which leads to actual bodily harm (Legislation, 2022). For the charge to be successful, the victim </w:t>
      </w:r>
      <w:proofErr w:type="gramStart"/>
      <w:r w:rsidRPr="00AE2499">
        <w:rPr>
          <w:lang w:val="en-GB"/>
        </w:rPr>
        <w:t>has to</w:t>
      </w:r>
      <w:proofErr w:type="gramEnd"/>
      <w:r w:rsidRPr="00AE2499">
        <w:rPr>
          <w:lang w:val="en-GB"/>
        </w:rPr>
        <w:t xml:space="preserve"> prove that the assault actually took place or has caused some form of bodily harm. In this scenario, Freya has caused bodily harm to Mike who was trying to help her as she punched him which led to him developing a black eye. There is proof of the bodily harm that was done to </w:t>
      </w:r>
      <w:proofErr w:type="gramStart"/>
      <w:r w:rsidRPr="00AE2499">
        <w:rPr>
          <w:lang w:val="en-GB"/>
        </w:rPr>
        <w:t>Mike</w:t>
      </w:r>
      <w:proofErr w:type="gramEnd"/>
      <w:r w:rsidRPr="00AE2499">
        <w:rPr>
          <w:lang w:val="en-GB"/>
        </w:rPr>
        <w:t xml:space="preserve"> and it can act as a massive evidence against Freya. There are certainly two different defences which could be presented by Freya </w:t>
      </w:r>
      <w:proofErr w:type="gramStart"/>
      <w:r w:rsidRPr="00AE2499">
        <w:rPr>
          <w:lang w:val="en-GB"/>
        </w:rPr>
        <w:t>in order to</w:t>
      </w:r>
      <w:proofErr w:type="gramEnd"/>
      <w:r w:rsidRPr="00AE2499">
        <w:rPr>
          <w:lang w:val="en-GB"/>
        </w:rPr>
        <w:t xml:space="preserve"> save herself. During the time when the whole incident occurred, Freya was intoxicated. She already drank a bottle of gin with Nicky and later drank 6 double gin and tonics. Freya had lost her sense of thinking due to the high level of alcohol in her body. </w:t>
      </w:r>
    </w:p>
    <w:p w14:paraId="060DAA44" w14:textId="77777777" w:rsidR="00255EC7" w:rsidRPr="00AE2499" w:rsidRDefault="00A248A0">
      <w:pPr>
        <w:pStyle w:val="Normal1"/>
        <w:rPr>
          <w:b/>
          <w:i/>
          <w:lang w:val="en-GB"/>
        </w:rPr>
      </w:pPr>
      <w:r w:rsidRPr="00AE2499">
        <w:rPr>
          <w:lang w:val="en-GB"/>
        </w:rPr>
        <w:t xml:space="preserve">Intoxication whether it is involuntary or voluntary </w:t>
      </w:r>
      <w:r w:rsidRPr="00AE2499">
        <w:rPr>
          <w:b/>
          <w:i/>
          <w:lang w:val="en-GB"/>
        </w:rPr>
        <w:t>cannot be considered as a defence per se</w:t>
      </w:r>
      <w:r w:rsidRPr="00AE2499">
        <w:rPr>
          <w:lang w:val="en-GB"/>
        </w:rPr>
        <w:t xml:space="preserve">. However, as per the law </w:t>
      </w:r>
      <w:r w:rsidRPr="00AE2499">
        <w:rPr>
          <w:b/>
          <w:i/>
          <w:lang w:val="en-GB"/>
        </w:rPr>
        <w:t>legal guidance of intoxication</w:t>
      </w:r>
      <w:r w:rsidRPr="00AE2499">
        <w:rPr>
          <w:lang w:val="en-GB"/>
        </w:rPr>
        <w:t xml:space="preserve">, if a person is intoxicated due to the consumption of alcohol or any form of drugs and then commits crime, it might help them with </w:t>
      </w:r>
      <w:r w:rsidRPr="00AE2499">
        <w:rPr>
          <w:b/>
          <w:i/>
          <w:lang w:val="en-GB"/>
        </w:rPr>
        <w:t>“</w:t>
      </w:r>
      <w:proofErr w:type="spellStart"/>
      <w:r w:rsidRPr="00AE2499">
        <w:rPr>
          <w:b/>
          <w:i/>
          <w:lang w:val="en-GB"/>
        </w:rPr>
        <w:t>mens</w:t>
      </w:r>
      <w:proofErr w:type="spellEnd"/>
      <w:r w:rsidRPr="00AE2499">
        <w:rPr>
          <w:b/>
          <w:i/>
          <w:lang w:val="en-GB"/>
        </w:rPr>
        <w:t xml:space="preserve"> rea” </w:t>
      </w:r>
      <w:r w:rsidRPr="00AE2499">
        <w:rPr>
          <w:lang w:val="en-GB"/>
        </w:rPr>
        <w:t xml:space="preserve">of the crime. As Freya was under </w:t>
      </w:r>
      <w:r w:rsidRPr="00AE2499">
        <w:rPr>
          <w:b/>
          <w:i/>
          <w:lang w:val="en-GB"/>
        </w:rPr>
        <w:t xml:space="preserve">voluntary intoxication, </w:t>
      </w:r>
      <w:r w:rsidRPr="00AE2499">
        <w:rPr>
          <w:lang w:val="en-GB"/>
        </w:rPr>
        <w:t xml:space="preserve">she would be held liable for any form </w:t>
      </w:r>
      <w:r w:rsidR="00AE2499" w:rsidRPr="00AE2499">
        <w:rPr>
          <w:lang w:val="en-GB"/>
        </w:rPr>
        <w:t>of unpredictability</w:t>
      </w:r>
      <w:r w:rsidRPr="00AE2499">
        <w:rPr>
          <w:lang w:val="en-GB"/>
        </w:rPr>
        <w:t xml:space="preserve"> or aggressiveness. In the cases of </w:t>
      </w:r>
      <w:r w:rsidRPr="00AE2499">
        <w:rPr>
          <w:b/>
          <w:i/>
          <w:lang w:val="en-GB"/>
        </w:rPr>
        <w:t xml:space="preserve">“R v Bailey (1983)” </w:t>
      </w:r>
      <w:r w:rsidRPr="00AE2499">
        <w:rPr>
          <w:lang w:val="en-GB"/>
        </w:rPr>
        <w:t>and “</w:t>
      </w:r>
      <w:r w:rsidRPr="00AE2499">
        <w:rPr>
          <w:b/>
          <w:i/>
          <w:lang w:val="en-GB"/>
        </w:rPr>
        <w:t xml:space="preserve">R v Hardie (1985)” </w:t>
      </w:r>
      <w:r w:rsidRPr="00AE2499">
        <w:rPr>
          <w:lang w:val="en-GB"/>
        </w:rPr>
        <w:t xml:space="preserve">the court divided the drugs into two categories and alcohol falls under the category of </w:t>
      </w:r>
      <w:r w:rsidRPr="00AE2499">
        <w:rPr>
          <w:b/>
          <w:i/>
          <w:lang w:val="en-GB"/>
        </w:rPr>
        <w:t xml:space="preserve">“non-dangerous drug” </w:t>
      </w:r>
      <w:r w:rsidRPr="00AE2499">
        <w:rPr>
          <w:lang w:val="en-GB"/>
        </w:rPr>
        <w:t>(CPS, 2022)</w:t>
      </w:r>
      <w:r w:rsidRPr="00AE2499">
        <w:rPr>
          <w:b/>
          <w:i/>
          <w:lang w:val="en-GB"/>
        </w:rPr>
        <w:t xml:space="preserve">. </w:t>
      </w:r>
      <w:r w:rsidRPr="00AE2499">
        <w:rPr>
          <w:lang w:val="en-GB"/>
        </w:rPr>
        <w:t xml:space="preserve">It could not be used as the defence for the actions of the accused. As stated earlier, </w:t>
      </w:r>
      <w:r w:rsidRPr="00AE2499">
        <w:rPr>
          <w:b/>
          <w:i/>
          <w:lang w:val="en-GB"/>
        </w:rPr>
        <w:t xml:space="preserve">“voluntary intoxication” </w:t>
      </w:r>
      <w:r w:rsidRPr="00AE2499">
        <w:rPr>
          <w:lang w:val="en-GB"/>
        </w:rPr>
        <w:t xml:space="preserve">cannot be a defence and more specifically cannot be a defence for any form of </w:t>
      </w:r>
      <w:r w:rsidRPr="00AE2499">
        <w:rPr>
          <w:b/>
          <w:i/>
          <w:lang w:val="en-GB"/>
        </w:rPr>
        <w:t xml:space="preserve">“basic intent”. </w:t>
      </w:r>
      <w:r w:rsidRPr="00AE2499">
        <w:rPr>
          <w:lang w:val="en-GB"/>
        </w:rPr>
        <w:t xml:space="preserve">However, if the defendant has voluntarily intoxicated themselves to a level where they are almost incapable of mental processing and thinking, it can be amounted to a defence for </w:t>
      </w:r>
      <w:r w:rsidRPr="00AE2499">
        <w:rPr>
          <w:b/>
          <w:i/>
          <w:lang w:val="en-GB"/>
        </w:rPr>
        <w:t xml:space="preserve">“specific intent”. </w:t>
      </w:r>
    </w:p>
    <w:p w14:paraId="5549B517" w14:textId="77777777" w:rsidR="00255EC7" w:rsidRPr="00AE2499" w:rsidRDefault="00A248A0">
      <w:pPr>
        <w:pStyle w:val="Normal1"/>
        <w:rPr>
          <w:lang w:val="en-GB"/>
        </w:rPr>
      </w:pPr>
      <w:r w:rsidRPr="00AE2499">
        <w:rPr>
          <w:lang w:val="en-GB"/>
        </w:rPr>
        <w:t>As per the scenario given, Freya had voluntarily put herself in a position where she became intoxicated to a level where she was unable to form any mental thinking. However</w:t>
      </w:r>
      <w:r w:rsidR="00AE2499">
        <w:rPr>
          <w:lang w:val="en-GB"/>
        </w:rPr>
        <w:t>,</w:t>
      </w:r>
      <w:r w:rsidRPr="00AE2499">
        <w:rPr>
          <w:lang w:val="en-GB"/>
        </w:rPr>
        <w:t xml:space="preserve"> the crime she committed was basic intent which includes Section 47 of “assault occasioning actual bodily harm”. As the case </w:t>
      </w:r>
      <w:r w:rsidRPr="00AE2499">
        <w:rPr>
          <w:b/>
          <w:i/>
          <w:lang w:val="en-GB"/>
        </w:rPr>
        <w:t xml:space="preserve">“R v Sheehan and Moore (1975)” </w:t>
      </w:r>
      <w:r w:rsidRPr="00AE2499">
        <w:rPr>
          <w:lang w:val="en-GB"/>
        </w:rPr>
        <w:t>stated that a drunken intent is still an intent. In this case, two appellants were jailed after they poured petrol over a person in a drunken state and lit him on fire leading to his death</w:t>
      </w:r>
      <w:r w:rsidRPr="00AE2499">
        <w:rPr>
          <w:b/>
          <w:i/>
          <w:lang w:val="en-GB"/>
        </w:rPr>
        <w:t xml:space="preserve"> </w:t>
      </w:r>
      <w:r w:rsidRPr="00AE2499">
        <w:rPr>
          <w:lang w:val="en-GB"/>
        </w:rPr>
        <w:t xml:space="preserve">(CPS, 2022).  As per law, Freya committed a basic intent crime and not any specific intent which negates the defence of intoxication. The separation between specific intent crime and basic intent crime was devised during the </w:t>
      </w:r>
      <w:r w:rsidR="00AE2499">
        <w:rPr>
          <w:b/>
          <w:i/>
          <w:lang w:val="en-GB"/>
        </w:rPr>
        <w:t>“DPP v Beard (1920)”</w:t>
      </w:r>
      <w:r w:rsidRPr="00AE2499">
        <w:rPr>
          <w:lang w:val="en-GB"/>
        </w:rPr>
        <w:t xml:space="preserve"> and affirmed in</w:t>
      </w:r>
      <w:r w:rsidRPr="00AE2499">
        <w:rPr>
          <w:b/>
          <w:i/>
          <w:lang w:val="en-GB"/>
        </w:rPr>
        <w:t xml:space="preserve"> “DPP v Majewski (1977)”. </w:t>
      </w:r>
      <w:r w:rsidRPr="00AE2499">
        <w:rPr>
          <w:lang w:val="en-GB"/>
        </w:rPr>
        <w:t xml:space="preserve">In the “DPP v Beard (1920)” the appellant raped a girl who was only 13 years old while in drunken state and tried to stop her from screaming by putting his hand over her month leading to her death (Greenberg, 2021).  </w:t>
      </w:r>
      <w:r w:rsidRPr="00AE2499">
        <w:rPr>
          <w:lang w:val="en-GB"/>
        </w:rPr>
        <w:lastRenderedPageBreak/>
        <w:t xml:space="preserve">This is where specific intent was </w:t>
      </w:r>
      <w:proofErr w:type="gramStart"/>
      <w:r w:rsidRPr="00AE2499">
        <w:rPr>
          <w:lang w:val="en-GB"/>
        </w:rPr>
        <w:t>devised</w:t>
      </w:r>
      <w:proofErr w:type="gramEnd"/>
      <w:r w:rsidRPr="00AE2499">
        <w:rPr>
          <w:lang w:val="en-GB"/>
        </w:rPr>
        <w:t xml:space="preserve"> and the concept of separation developed. It was confirmed through the “DPP v Majewski (1977)” in which the appellant was in a bar fight where he assaulted several people (</w:t>
      </w:r>
      <w:proofErr w:type="spellStart"/>
      <w:r w:rsidRPr="00AE2499">
        <w:rPr>
          <w:lang w:val="en-GB"/>
        </w:rPr>
        <w:t>Brookbanks</w:t>
      </w:r>
      <w:proofErr w:type="spellEnd"/>
      <w:r w:rsidRPr="00AE2499">
        <w:rPr>
          <w:lang w:val="en-GB"/>
        </w:rPr>
        <w:t xml:space="preserve">, 2022). Hence, </w:t>
      </w:r>
      <w:r w:rsidRPr="00AE2499">
        <w:rPr>
          <w:b/>
          <w:i/>
          <w:lang w:val="en-GB"/>
        </w:rPr>
        <w:t>defence of intoxication</w:t>
      </w:r>
      <w:r w:rsidRPr="00AE2499">
        <w:rPr>
          <w:lang w:val="en-GB"/>
        </w:rPr>
        <w:t xml:space="preserve"> would not work in this scenario for Freya. </w:t>
      </w:r>
    </w:p>
    <w:p w14:paraId="07B50AA7" w14:textId="77777777" w:rsidR="00255EC7" w:rsidRPr="00AE2499" w:rsidRDefault="00A248A0">
      <w:pPr>
        <w:pStyle w:val="Normal1"/>
        <w:rPr>
          <w:lang w:val="en-GB"/>
        </w:rPr>
      </w:pPr>
      <w:r w:rsidRPr="00AE2499">
        <w:rPr>
          <w:lang w:val="en-GB"/>
        </w:rPr>
        <w:t xml:space="preserve">Another defence which Freya could rely on is the defence of automatism. </w:t>
      </w:r>
      <w:r w:rsidRPr="00AE2499">
        <w:rPr>
          <w:b/>
          <w:i/>
          <w:lang w:val="en-GB"/>
        </w:rPr>
        <w:t xml:space="preserve">Automatism </w:t>
      </w:r>
      <w:r w:rsidRPr="00AE2499">
        <w:rPr>
          <w:lang w:val="en-GB"/>
        </w:rPr>
        <w:t xml:space="preserve">is the act by the muscles and the person does not have any form of control over it. Basically, this defence is available for individuals whose “actus reus” does not happen voluntarily </w:t>
      </w:r>
      <w:proofErr w:type="gramStart"/>
      <w:r w:rsidRPr="00AE2499">
        <w:rPr>
          <w:lang w:val="en-GB"/>
        </w:rPr>
        <w:t>and also</w:t>
      </w:r>
      <w:proofErr w:type="gramEnd"/>
      <w:r w:rsidRPr="00AE2499">
        <w:rPr>
          <w:lang w:val="en-GB"/>
        </w:rPr>
        <w:t xml:space="preserve"> is missing the required “</w:t>
      </w:r>
      <w:proofErr w:type="spellStart"/>
      <w:r w:rsidRPr="00AE2499">
        <w:rPr>
          <w:lang w:val="en-GB"/>
        </w:rPr>
        <w:t>mens</w:t>
      </w:r>
      <w:proofErr w:type="spellEnd"/>
      <w:r w:rsidRPr="00AE2499">
        <w:rPr>
          <w:lang w:val="en-GB"/>
        </w:rPr>
        <w:t xml:space="preserve"> rea” for the offence. This is the case for Freya, as she did not have any form of motive for hurting Mike as well as did not voluntarily punch Mike. </w:t>
      </w:r>
      <w:proofErr w:type="gramStart"/>
      <w:r w:rsidRPr="00AE2499">
        <w:rPr>
          <w:lang w:val="en-GB"/>
        </w:rPr>
        <w:t>In order to</w:t>
      </w:r>
      <w:proofErr w:type="gramEnd"/>
      <w:r w:rsidRPr="00AE2499">
        <w:rPr>
          <w:lang w:val="en-GB"/>
        </w:rPr>
        <w:t xml:space="preserve"> make the automatism defence work, there has to be an external factor at work. As it happened in the </w:t>
      </w:r>
      <w:r w:rsidRPr="00AE2499">
        <w:rPr>
          <w:b/>
          <w:i/>
          <w:lang w:val="en-GB"/>
        </w:rPr>
        <w:t xml:space="preserve">“Hill v Baxter 1958” </w:t>
      </w:r>
      <w:r w:rsidRPr="00AE2499">
        <w:rPr>
          <w:lang w:val="en-GB"/>
        </w:rPr>
        <w:t xml:space="preserve">in which the defendant was allowed the defence due to the “post-traumatic stress” (Stannard, 2023). Freya had Epilepsy from childhood which can be the external factor here. However, it could be considered as </w:t>
      </w:r>
      <w:r w:rsidRPr="00AE2499">
        <w:rPr>
          <w:b/>
          <w:i/>
          <w:lang w:val="en-GB"/>
        </w:rPr>
        <w:t>“self-induced automatism”</w:t>
      </w:r>
      <w:r w:rsidRPr="00AE2499">
        <w:rPr>
          <w:lang w:val="en-GB"/>
        </w:rPr>
        <w:t xml:space="preserve">. In self-induced automatism the person knows what could lead to automatic state and still does that. In Freya's case it would be drinking or going to the club.  </w:t>
      </w:r>
      <w:proofErr w:type="gramStart"/>
      <w:r w:rsidRPr="00AE2499">
        <w:rPr>
          <w:lang w:val="en-GB"/>
        </w:rPr>
        <w:t>In regards to</w:t>
      </w:r>
      <w:proofErr w:type="gramEnd"/>
      <w:r w:rsidRPr="00AE2499">
        <w:rPr>
          <w:lang w:val="en-GB"/>
        </w:rPr>
        <w:t xml:space="preserve"> </w:t>
      </w:r>
      <w:r w:rsidRPr="00AE2499">
        <w:rPr>
          <w:b/>
          <w:i/>
          <w:lang w:val="en-GB"/>
        </w:rPr>
        <w:t xml:space="preserve">basic intent, </w:t>
      </w:r>
      <w:r w:rsidRPr="00AE2499">
        <w:rPr>
          <w:lang w:val="en-GB"/>
        </w:rPr>
        <w:t xml:space="preserve">if the defendant like Freya caused her automatic state through a drink, it cannot be used as </w:t>
      </w:r>
      <w:r w:rsidRPr="00AE2499">
        <w:rPr>
          <w:b/>
          <w:i/>
          <w:lang w:val="en-GB"/>
        </w:rPr>
        <w:t xml:space="preserve">defence. </w:t>
      </w:r>
      <w:r w:rsidRPr="00AE2499">
        <w:rPr>
          <w:lang w:val="en-GB"/>
        </w:rPr>
        <w:t xml:space="preserve"> </w:t>
      </w:r>
      <w:r w:rsidRPr="00AE2499">
        <w:rPr>
          <w:lang w:val="en-GB"/>
        </w:rPr>
        <w:br w:type="page"/>
      </w:r>
    </w:p>
    <w:p w14:paraId="47664D3C" w14:textId="77777777" w:rsidR="00255EC7" w:rsidRPr="00AE2499" w:rsidRDefault="00A248A0">
      <w:pPr>
        <w:pStyle w:val="Heading1"/>
        <w:rPr>
          <w:lang w:val="en-GB"/>
        </w:rPr>
      </w:pPr>
      <w:bookmarkStart w:id="4" w:name="_d71eo9vpaop9" w:colFirst="0" w:colLast="0"/>
      <w:bookmarkEnd w:id="4"/>
      <w:r w:rsidRPr="00AE2499">
        <w:rPr>
          <w:lang w:val="en-GB"/>
        </w:rPr>
        <w:lastRenderedPageBreak/>
        <w:t xml:space="preserve">Conclusion </w:t>
      </w:r>
    </w:p>
    <w:p w14:paraId="3AADC2DA" w14:textId="77777777" w:rsidR="00255EC7" w:rsidRPr="00AE2499" w:rsidRDefault="00A248A0">
      <w:pPr>
        <w:pStyle w:val="Normal1"/>
        <w:rPr>
          <w:lang w:val="en-GB"/>
        </w:rPr>
      </w:pPr>
      <w:r w:rsidRPr="00AE2499">
        <w:rPr>
          <w:lang w:val="en-GB"/>
        </w:rPr>
        <w:t>There are various laws such as “Theft Act 1968”, “Offence</w:t>
      </w:r>
      <w:r w:rsidR="00AE2499">
        <w:rPr>
          <w:lang w:val="en-GB"/>
        </w:rPr>
        <w:t xml:space="preserve">s Against the Person Act 1861” </w:t>
      </w:r>
      <w:r w:rsidRPr="00AE2499">
        <w:rPr>
          <w:lang w:val="en-GB"/>
        </w:rPr>
        <w:t xml:space="preserve">and so forth. Every law is used in accordance with the situation.  There are defences as well as actus reus and </w:t>
      </w:r>
      <w:proofErr w:type="spellStart"/>
      <w:r w:rsidRPr="00AE2499">
        <w:rPr>
          <w:lang w:val="en-GB"/>
        </w:rPr>
        <w:t>mens</w:t>
      </w:r>
      <w:proofErr w:type="spellEnd"/>
      <w:r w:rsidRPr="00AE2499">
        <w:rPr>
          <w:lang w:val="en-GB"/>
        </w:rPr>
        <w:t xml:space="preserve"> rea of different laws. The report contains a detailed discussion on those aspects of the laws. </w:t>
      </w:r>
      <w:r w:rsidRPr="00AE2499">
        <w:rPr>
          <w:lang w:val="en-GB"/>
        </w:rPr>
        <w:br w:type="page"/>
      </w:r>
    </w:p>
    <w:p w14:paraId="3718E6AF" w14:textId="77777777" w:rsidR="00255EC7" w:rsidRPr="00AE2499" w:rsidRDefault="00A248A0">
      <w:pPr>
        <w:pStyle w:val="Heading1"/>
        <w:rPr>
          <w:lang w:val="en-GB"/>
        </w:rPr>
      </w:pPr>
      <w:bookmarkStart w:id="5" w:name="_k4uepbeil8h7" w:colFirst="0" w:colLast="0"/>
      <w:bookmarkEnd w:id="5"/>
      <w:r w:rsidRPr="00AE2499">
        <w:rPr>
          <w:lang w:val="en-GB"/>
        </w:rPr>
        <w:lastRenderedPageBreak/>
        <w:t>References</w:t>
      </w:r>
    </w:p>
    <w:p w14:paraId="515697F9" w14:textId="77777777" w:rsidR="00227ECA" w:rsidRPr="00AE2499" w:rsidRDefault="00227ECA">
      <w:pPr>
        <w:pStyle w:val="Normal1"/>
        <w:jc w:val="left"/>
        <w:rPr>
          <w:color w:val="222222"/>
          <w:highlight w:val="white"/>
          <w:lang w:val="en-GB"/>
        </w:rPr>
      </w:pPr>
      <w:proofErr w:type="spellStart"/>
      <w:r w:rsidRPr="00AE2499">
        <w:rPr>
          <w:color w:val="222222"/>
          <w:highlight w:val="white"/>
          <w:lang w:val="en-GB"/>
        </w:rPr>
        <w:t>Brookbanks</w:t>
      </w:r>
      <w:proofErr w:type="spellEnd"/>
      <w:r w:rsidRPr="00AE2499">
        <w:rPr>
          <w:color w:val="222222"/>
          <w:highlight w:val="white"/>
          <w:lang w:val="en-GB"/>
        </w:rPr>
        <w:t xml:space="preserve">, W., 2022. </w:t>
      </w:r>
      <w:r w:rsidRPr="00AE2499">
        <w:rPr>
          <w:i/>
          <w:color w:val="222222"/>
          <w:highlight w:val="white"/>
          <w:lang w:val="en-GB"/>
        </w:rPr>
        <w:t>The Insanity Defence: International and Comparative Perspectives</w:t>
      </w:r>
      <w:r w:rsidRPr="00AE2499">
        <w:rPr>
          <w:color w:val="222222"/>
          <w:highlight w:val="white"/>
          <w:lang w:val="en-GB"/>
        </w:rPr>
        <w:t>. Oxford University Press.</w:t>
      </w:r>
    </w:p>
    <w:p w14:paraId="0211017B" w14:textId="77777777" w:rsidR="00227ECA" w:rsidRPr="00AE2499" w:rsidRDefault="00227ECA">
      <w:pPr>
        <w:pStyle w:val="Normal1"/>
        <w:jc w:val="left"/>
        <w:rPr>
          <w:lang w:val="en-GB"/>
        </w:rPr>
      </w:pPr>
      <w:r w:rsidRPr="00AE2499">
        <w:rPr>
          <w:lang w:val="en-GB"/>
        </w:rPr>
        <w:t xml:space="preserve">CPS (2022) </w:t>
      </w:r>
      <w:r w:rsidRPr="00AE2499">
        <w:rPr>
          <w:i/>
          <w:lang w:val="en-GB"/>
        </w:rPr>
        <w:t>Intoxication</w:t>
      </w:r>
      <w:r w:rsidRPr="00AE2499">
        <w:rPr>
          <w:lang w:val="en-GB"/>
        </w:rPr>
        <w:t xml:space="preserve">, </w:t>
      </w:r>
      <w:r w:rsidRPr="00AE2499">
        <w:rPr>
          <w:i/>
          <w:lang w:val="en-GB"/>
        </w:rPr>
        <w:t>The Crown Prosecution Service</w:t>
      </w:r>
      <w:r w:rsidRPr="00AE2499">
        <w:rPr>
          <w:lang w:val="en-GB"/>
        </w:rPr>
        <w:t xml:space="preserve">. Available at: https://www.cps.gov.uk/legal-guidance/intoxication (Accessed: January 5, 2023). </w:t>
      </w:r>
    </w:p>
    <w:p w14:paraId="61726CE0" w14:textId="77777777" w:rsidR="00227ECA" w:rsidRPr="00AE2499" w:rsidRDefault="00227ECA">
      <w:pPr>
        <w:pStyle w:val="Normal1"/>
        <w:jc w:val="left"/>
        <w:rPr>
          <w:lang w:val="en-GB"/>
        </w:rPr>
      </w:pPr>
      <w:r w:rsidRPr="00AE2499">
        <w:rPr>
          <w:color w:val="222222"/>
          <w:highlight w:val="white"/>
          <w:lang w:val="en-GB"/>
        </w:rPr>
        <w:t xml:space="preserve">Crosby, K., 2022. '" Well, the burden never shifts, but it does": celebrity, property offences and judicial innovation in </w:t>
      </w:r>
      <w:proofErr w:type="spellStart"/>
      <w:r w:rsidRPr="00AE2499">
        <w:rPr>
          <w:color w:val="222222"/>
          <w:highlight w:val="white"/>
          <w:lang w:val="en-GB"/>
        </w:rPr>
        <w:t>Woolmington</w:t>
      </w:r>
      <w:proofErr w:type="spellEnd"/>
      <w:r w:rsidRPr="00AE2499">
        <w:rPr>
          <w:color w:val="222222"/>
          <w:highlight w:val="white"/>
          <w:lang w:val="en-GB"/>
        </w:rPr>
        <w:t xml:space="preserve"> v DPP'. </w:t>
      </w:r>
      <w:r w:rsidRPr="00AE2499">
        <w:rPr>
          <w:i/>
          <w:color w:val="222222"/>
          <w:highlight w:val="white"/>
          <w:lang w:val="en-GB"/>
        </w:rPr>
        <w:t>Legal Studies</w:t>
      </w:r>
      <w:r w:rsidRPr="00AE2499">
        <w:rPr>
          <w:color w:val="222222"/>
          <w:highlight w:val="white"/>
          <w:lang w:val="en-GB"/>
        </w:rPr>
        <w:t>.</w:t>
      </w:r>
    </w:p>
    <w:p w14:paraId="7DC7B91F" w14:textId="77777777" w:rsidR="00227ECA" w:rsidRPr="00AE2499" w:rsidRDefault="00227ECA">
      <w:pPr>
        <w:pStyle w:val="Normal1"/>
        <w:jc w:val="left"/>
        <w:rPr>
          <w:color w:val="222222"/>
          <w:highlight w:val="white"/>
          <w:lang w:val="en-GB"/>
        </w:rPr>
      </w:pPr>
      <w:r w:rsidRPr="00AE2499">
        <w:rPr>
          <w:color w:val="222222"/>
          <w:highlight w:val="white"/>
          <w:lang w:val="en-GB"/>
        </w:rPr>
        <w:t xml:space="preserve">Cross, N., 2020. Property offences. In </w:t>
      </w:r>
      <w:r w:rsidRPr="00AE2499">
        <w:rPr>
          <w:i/>
          <w:color w:val="222222"/>
          <w:highlight w:val="white"/>
          <w:lang w:val="en-GB"/>
        </w:rPr>
        <w:t>Criminal Law for Criminologists</w:t>
      </w:r>
      <w:r w:rsidRPr="00AE2499">
        <w:rPr>
          <w:color w:val="222222"/>
          <w:highlight w:val="white"/>
          <w:lang w:val="en-GB"/>
        </w:rPr>
        <w:t xml:space="preserve"> (pp. 101-125). Routledge.</w:t>
      </w:r>
    </w:p>
    <w:p w14:paraId="7215D2BE" w14:textId="77777777" w:rsidR="00227ECA" w:rsidRPr="00AE2499" w:rsidRDefault="00227ECA">
      <w:pPr>
        <w:pStyle w:val="Normal1"/>
        <w:jc w:val="left"/>
        <w:rPr>
          <w:lang w:val="en-GB"/>
        </w:rPr>
      </w:pPr>
      <w:r w:rsidRPr="00AE2499">
        <w:rPr>
          <w:color w:val="222222"/>
          <w:highlight w:val="white"/>
          <w:lang w:val="en-GB"/>
        </w:rPr>
        <w:t xml:space="preserve">Greenberg, A., 2021. Why Criminal Responsibility for Negligence Cannot be Indirect. </w:t>
      </w:r>
      <w:r w:rsidRPr="00AE2499">
        <w:rPr>
          <w:i/>
          <w:color w:val="222222"/>
          <w:highlight w:val="white"/>
          <w:lang w:val="en-GB"/>
        </w:rPr>
        <w:t>The Cambridge Law Journal</w:t>
      </w:r>
      <w:r w:rsidRPr="00AE2499">
        <w:rPr>
          <w:color w:val="222222"/>
          <w:highlight w:val="white"/>
          <w:lang w:val="en-GB"/>
        </w:rPr>
        <w:t xml:space="preserve">, </w:t>
      </w:r>
      <w:r w:rsidRPr="00AE2499">
        <w:rPr>
          <w:i/>
          <w:color w:val="222222"/>
          <w:highlight w:val="white"/>
          <w:lang w:val="en-GB"/>
        </w:rPr>
        <w:t>80</w:t>
      </w:r>
      <w:r w:rsidRPr="00AE2499">
        <w:rPr>
          <w:color w:val="222222"/>
          <w:highlight w:val="white"/>
          <w:lang w:val="en-GB"/>
        </w:rPr>
        <w:t>(3), pp.489-514.</w:t>
      </w:r>
    </w:p>
    <w:p w14:paraId="4A42C639" w14:textId="77777777" w:rsidR="00227ECA" w:rsidRPr="00AE2499" w:rsidRDefault="00227ECA">
      <w:pPr>
        <w:pStyle w:val="Normal1"/>
        <w:jc w:val="left"/>
        <w:rPr>
          <w:lang w:val="en-GB"/>
        </w:rPr>
      </w:pPr>
      <w:r w:rsidRPr="00AE2499">
        <w:rPr>
          <w:lang w:val="en-GB"/>
        </w:rPr>
        <w:t xml:space="preserve">Legislation.gov.uk (2022) </w:t>
      </w:r>
      <w:r w:rsidRPr="00AE2499">
        <w:rPr>
          <w:i/>
          <w:lang w:val="en-GB"/>
        </w:rPr>
        <w:t>Criminal damage act 1971</w:t>
      </w:r>
      <w:r w:rsidRPr="00AE2499">
        <w:rPr>
          <w:lang w:val="en-GB"/>
        </w:rPr>
        <w:t xml:space="preserve">, </w:t>
      </w:r>
      <w:r w:rsidRPr="00AE2499">
        <w:rPr>
          <w:i/>
          <w:lang w:val="en-GB"/>
        </w:rPr>
        <w:t>Legislation.gov.uk</w:t>
      </w:r>
      <w:r w:rsidRPr="00AE2499">
        <w:rPr>
          <w:lang w:val="en-GB"/>
        </w:rPr>
        <w:t xml:space="preserve">. Statute Law Database. Available at: https://www.legislation.gov.uk/ukpga/1971/48/section/4 (Accessed: January 5, 2023). </w:t>
      </w:r>
    </w:p>
    <w:p w14:paraId="7EBB54A4" w14:textId="77777777" w:rsidR="00227ECA" w:rsidRPr="00AE2499" w:rsidRDefault="00227ECA">
      <w:pPr>
        <w:pStyle w:val="Normal1"/>
        <w:jc w:val="left"/>
        <w:rPr>
          <w:lang w:val="en-GB"/>
        </w:rPr>
      </w:pPr>
      <w:r w:rsidRPr="00AE2499">
        <w:rPr>
          <w:lang w:val="en-GB"/>
        </w:rPr>
        <w:t xml:space="preserve">Legislation.gov.uk (2022) </w:t>
      </w:r>
      <w:r w:rsidRPr="00AE2499">
        <w:rPr>
          <w:i/>
          <w:lang w:val="en-GB"/>
        </w:rPr>
        <w:t>Offences against the Person Act 1861</w:t>
      </w:r>
      <w:r w:rsidRPr="00AE2499">
        <w:rPr>
          <w:lang w:val="en-GB"/>
        </w:rPr>
        <w:t xml:space="preserve">, </w:t>
      </w:r>
      <w:r w:rsidRPr="00AE2499">
        <w:rPr>
          <w:i/>
          <w:lang w:val="en-GB"/>
        </w:rPr>
        <w:t>Legislation.gov.uk</w:t>
      </w:r>
      <w:r w:rsidRPr="00AE2499">
        <w:rPr>
          <w:lang w:val="en-GB"/>
        </w:rPr>
        <w:t xml:space="preserve">. Statute Law Database. Available at: https://www.legislation.gov.uk/ukpga/Vict/24-25/100/section/47 (Accessed: January 5, 2023). </w:t>
      </w:r>
    </w:p>
    <w:p w14:paraId="73AB12E8" w14:textId="77777777" w:rsidR="00227ECA" w:rsidRPr="00AE2499" w:rsidRDefault="00227ECA">
      <w:pPr>
        <w:pStyle w:val="Normal1"/>
        <w:jc w:val="left"/>
        <w:rPr>
          <w:lang w:val="en-GB"/>
        </w:rPr>
      </w:pPr>
      <w:r w:rsidRPr="00AE2499">
        <w:rPr>
          <w:lang w:val="en-GB"/>
        </w:rPr>
        <w:t xml:space="preserve">Legislation.gov.uk (2022) </w:t>
      </w:r>
      <w:r w:rsidRPr="00AE2499">
        <w:rPr>
          <w:i/>
          <w:lang w:val="en-GB"/>
        </w:rPr>
        <w:t>Theft act 1968</w:t>
      </w:r>
      <w:r w:rsidRPr="00AE2499">
        <w:rPr>
          <w:lang w:val="en-GB"/>
        </w:rPr>
        <w:t xml:space="preserve">, </w:t>
      </w:r>
      <w:r w:rsidRPr="00AE2499">
        <w:rPr>
          <w:i/>
          <w:lang w:val="en-GB"/>
        </w:rPr>
        <w:t>Legislation.gov.uk</w:t>
      </w:r>
      <w:r w:rsidRPr="00AE2499">
        <w:rPr>
          <w:lang w:val="en-GB"/>
        </w:rPr>
        <w:t xml:space="preserve">. Statute Law Database. Available at: https://www.legislation.gov.uk/ukpga/1968/60 (Accessed: January 5, 2023). </w:t>
      </w:r>
    </w:p>
    <w:p w14:paraId="05014DE3" w14:textId="77777777" w:rsidR="00227ECA" w:rsidRPr="00AE2499" w:rsidRDefault="00227ECA">
      <w:pPr>
        <w:pStyle w:val="Normal1"/>
        <w:jc w:val="left"/>
        <w:rPr>
          <w:color w:val="222222"/>
          <w:highlight w:val="white"/>
          <w:lang w:val="en-GB"/>
        </w:rPr>
      </w:pPr>
      <w:r w:rsidRPr="00AE2499">
        <w:rPr>
          <w:color w:val="222222"/>
          <w:highlight w:val="white"/>
          <w:lang w:val="en-GB"/>
        </w:rPr>
        <w:t xml:space="preserve">Li, M. and Ho, E., 2019. Uprooting the Invasive Ivey: Reversing the Effect of Ivey v Genting Casinos Ltd on the Definition of Dishonest Appropriation in the English Law of Theft. </w:t>
      </w:r>
      <w:r w:rsidRPr="00AE2499">
        <w:rPr>
          <w:i/>
          <w:color w:val="222222"/>
          <w:highlight w:val="white"/>
          <w:lang w:val="en-GB"/>
        </w:rPr>
        <w:t>Trinity CL Rev.</w:t>
      </w:r>
      <w:r w:rsidRPr="00AE2499">
        <w:rPr>
          <w:color w:val="222222"/>
          <w:highlight w:val="white"/>
          <w:lang w:val="en-GB"/>
        </w:rPr>
        <w:t xml:space="preserve">, </w:t>
      </w:r>
      <w:r w:rsidRPr="00AE2499">
        <w:rPr>
          <w:i/>
          <w:color w:val="222222"/>
          <w:highlight w:val="white"/>
          <w:lang w:val="en-GB"/>
        </w:rPr>
        <w:t>22</w:t>
      </w:r>
      <w:r w:rsidRPr="00AE2499">
        <w:rPr>
          <w:color w:val="222222"/>
          <w:highlight w:val="white"/>
          <w:lang w:val="en-GB"/>
        </w:rPr>
        <w:t>, p.189.</w:t>
      </w:r>
    </w:p>
    <w:p w14:paraId="1E15BDD5" w14:textId="77777777" w:rsidR="00227ECA" w:rsidRPr="00AE2499" w:rsidRDefault="00227ECA">
      <w:pPr>
        <w:pStyle w:val="Normal1"/>
        <w:jc w:val="left"/>
        <w:rPr>
          <w:lang w:val="en-GB"/>
        </w:rPr>
      </w:pPr>
      <w:r w:rsidRPr="00AE2499">
        <w:rPr>
          <w:color w:val="222222"/>
          <w:highlight w:val="white"/>
          <w:lang w:val="en-GB"/>
        </w:rPr>
        <w:t xml:space="preserve">Stannard, J.E., 2023. ‘Crimes of Passion’: Emotion, Fault, and the Criminal Law. In </w:t>
      </w:r>
      <w:r w:rsidRPr="00AE2499">
        <w:rPr>
          <w:i/>
          <w:color w:val="222222"/>
          <w:highlight w:val="white"/>
          <w:lang w:val="en-GB"/>
        </w:rPr>
        <w:t>Fault in Criminal Law</w:t>
      </w:r>
      <w:r w:rsidRPr="00AE2499">
        <w:rPr>
          <w:color w:val="222222"/>
          <w:highlight w:val="white"/>
          <w:lang w:val="en-GB"/>
        </w:rPr>
        <w:t xml:space="preserve"> (pp. 149-166). Routledge.</w:t>
      </w:r>
    </w:p>
    <w:sectPr w:rsidR="00227ECA" w:rsidRPr="00AE2499" w:rsidSect="000404C9">
      <w:footerReference w:type="default" r:id="rId7"/>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B41B2" w14:textId="77777777" w:rsidR="00507E36" w:rsidRDefault="00507E36" w:rsidP="00255EC7">
      <w:pPr>
        <w:spacing w:line="240" w:lineRule="auto"/>
      </w:pPr>
      <w:r>
        <w:separator/>
      </w:r>
    </w:p>
  </w:endnote>
  <w:endnote w:type="continuationSeparator" w:id="0">
    <w:p w14:paraId="0A637B06" w14:textId="77777777" w:rsidR="00507E36" w:rsidRDefault="00507E36" w:rsidP="00255E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D341F" w14:textId="77777777" w:rsidR="00255EC7" w:rsidRDefault="00255EC7">
    <w:pPr>
      <w:pStyle w:val="Normal1"/>
      <w:jc w:val="right"/>
    </w:pPr>
    <w:r>
      <w:fldChar w:fldCharType="begin"/>
    </w:r>
    <w:r w:rsidR="00A248A0">
      <w:instrText>PAGE</w:instrText>
    </w:r>
    <w:r>
      <w:fldChar w:fldCharType="separate"/>
    </w:r>
    <w:r w:rsidR="00F7724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E6A7E" w14:textId="77777777" w:rsidR="00507E36" w:rsidRDefault="00507E36" w:rsidP="00255EC7">
      <w:pPr>
        <w:spacing w:line="240" w:lineRule="auto"/>
      </w:pPr>
      <w:r>
        <w:separator/>
      </w:r>
    </w:p>
  </w:footnote>
  <w:footnote w:type="continuationSeparator" w:id="0">
    <w:p w14:paraId="1D3DB88B" w14:textId="77777777" w:rsidR="00507E36" w:rsidRDefault="00507E36" w:rsidP="00255EC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EC7"/>
    <w:rsid w:val="000404C9"/>
    <w:rsid w:val="00227ECA"/>
    <w:rsid w:val="00255EC7"/>
    <w:rsid w:val="00463EBB"/>
    <w:rsid w:val="00507E36"/>
    <w:rsid w:val="006657B3"/>
    <w:rsid w:val="00A248A0"/>
    <w:rsid w:val="00AE2499"/>
    <w:rsid w:val="00F772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F7E7"/>
  <w15:docId w15:val="{6346A9E7-2860-4F39-89AF-73C386866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255EC7"/>
    <w:pPr>
      <w:keepNext/>
      <w:keepLines/>
      <w:jc w:val="left"/>
      <w:outlineLvl w:val="0"/>
    </w:pPr>
    <w:rPr>
      <w:b/>
    </w:rPr>
  </w:style>
  <w:style w:type="paragraph" w:styleId="Heading2">
    <w:name w:val="heading 2"/>
    <w:basedOn w:val="Normal1"/>
    <w:next w:val="Normal1"/>
    <w:rsid w:val="00255EC7"/>
    <w:pPr>
      <w:keepNext/>
      <w:keepLines/>
      <w:spacing w:before="360" w:after="120"/>
      <w:outlineLvl w:val="1"/>
    </w:pPr>
    <w:rPr>
      <w:sz w:val="32"/>
      <w:szCs w:val="32"/>
    </w:rPr>
  </w:style>
  <w:style w:type="paragraph" w:styleId="Heading3">
    <w:name w:val="heading 3"/>
    <w:basedOn w:val="Normal1"/>
    <w:next w:val="Normal1"/>
    <w:rsid w:val="00255EC7"/>
    <w:pPr>
      <w:keepNext/>
      <w:keepLines/>
      <w:spacing w:before="320" w:after="80"/>
      <w:outlineLvl w:val="2"/>
    </w:pPr>
    <w:rPr>
      <w:color w:val="434343"/>
      <w:sz w:val="28"/>
      <w:szCs w:val="28"/>
    </w:rPr>
  </w:style>
  <w:style w:type="paragraph" w:styleId="Heading4">
    <w:name w:val="heading 4"/>
    <w:basedOn w:val="Normal1"/>
    <w:next w:val="Normal1"/>
    <w:rsid w:val="00255EC7"/>
    <w:pPr>
      <w:keepNext/>
      <w:keepLines/>
      <w:spacing w:before="280" w:after="80"/>
      <w:outlineLvl w:val="3"/>
    </w:pPr>
    <w:rPr>
      <w:color w:val="666666"/>
    </w:rPr>
  </w:style>
  <w:style w:type="paragraph" w:styleId="Heading5">
    <w:name w:val="heading 5"/>
    <w:basedOn w:val="Normal1"/>
    <w:next w:val="Normal1"/>
    <w:rsid w:val="00255EC7"/>
    <w:pPr>
      <w:keepNext/>
      <w:keepLines/>
      <w:spacing w:before="240" w:after="80"/>
      <w:outlineLvl w:val="4"/>
    </w:pPr>
    <w:rPr>
      <w:color w:val="666666"/>
      <w:sz w:val="22"/>
      <w:szCs w:val="22"/>
    </w:rPr>
  </w:style>
  <w:style w:type="paragraph" w:styleId="Heading6">
    <w:name w:val="heading 6"/>
    <w:basedOn w:val="Normal1"/>
    <w:next w:val="Normal1"/>
    <w:rsid w:val="00255EC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55EC7"/>
  </w:style>
  <w:style w:type="paragraph" w:styleId="Title">
    <w:name w:val="Title"/>
    <w:basedOn w:val="Normal1"/>
    <w:next w:val="Normal1"/>
    <w:rsid w:val="00255EC7"/>
    <w:pPr>
      <w:keepNext/>
      <w:keepLines/>
      <w:jc w:val="center"/>
    </w:pPr>
    <w:rPr>
      <w:b/>
      <w:sz w:val="32"/>
      <w:szCs w:val="32"/>
      <w:u w:val="single"/>
    </w:rPr>
  </w:style>
  <w:style w:type="paragraph" w:styleId="Subtitle">
    <w:name w:val="Subtitle"/>
    <w:basedOn w:val="Normal1"/>
    <w:next w:val="Normal1"/>
    <w:rsid w:val="00255EC7"/>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227EC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ECA"/>
    <w:rPr>
      <w:rFonts w:ascii="Tahoma" w:hAnsi="Tahoma" w:cs="Tahoma"/>
      <w:sz w:val="16"/>
      <w:szCs w:val="16"/>
    </w:rPr>
  </w:style>
  <w:style w:type="paragraph" w:styleId="NoSpacing">
    <w:name w:val="No Spacing"/>
    <w:link w:val="NoSpacingChar"/>
    <w:uiPriority w:val="1"/>
    <w:qFormat/>
    <w:rsid w:val="000404C9"/>
    <w:pPr>
      <w:spacing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0404C9"/>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 Criminal Law</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1641</Words>
  <Characters>9518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BMLW4005</Company>
  <LinksUpToDate>false</LinksUpToDate>
  <CharactersWithSpaces>11137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 portfolio</dc:title>
  <dc:creator>Mihnea-Alexandru Antonescu</dc:creator>
  <cp:lastModifiedBy>mihnea.antonescu1@outlook.com</cp:lastModifiedBy>
  <cp:revision>3</cp:revision>
  <dcterms:created xsi:type="dcterms:W3CDTF">2023-01-07T07:23:00Z</dcterms:created>
  <dcterms:modified xsi:type="dcterms:W3CDTF">2023-01-08T11:05:00Z</dcterms:modified>
</cp:coreProperties>
</file>