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2BE6B" w14:textId="77777777" w:rsidR="002E38DB" w:rsidRPr="006F4503" w:rsidRDefault="002E38DB" w:rsidP="002E38DB">
      <w:pPr>
        <w:spacing w:after="0" w:line="480" w:lineRule="auto"/>
        <w:jc w:val="center"/>
        <w:rPr>
          <w:rFonts w:ascii="Arial" w:hAnsi="Arial" w:cs="Arial"/>
          <w:b/>
          <w:bCs/>
          <w:sz w:val="24"/>
          <w:szCs w:val="24"/>
        </w:rPr>
      </w:pPr>
      <w:r w:rsidRPr="006F4503">
        <w:rPr>
          <w:rFonts w:ascii="Arial" w:hAnsi="Arial" w:cs="Arial"/>
          <w:b/>
          <w:bCs/>
          <w:sz w:val="24"/>
          <w:szCs w:val="24"/>
        </w:rPr>
        <w:t>Assignment Topic: Integrated Human Capital Blueprint</w:t>
      </w:r>
    </w:p>
    <w:p w14:paraId="79100F38" w14:textId="77777777" w:rsidR="002E38DB" w:rsidRPr="006F4503" w:rsidRDefault="002E38DB" w:rsidP="002E38DB">
      <w:pPr>
        <w:spacing w:after="0" w:line="480" w:lineRule="auto"/>
        <w:jc w:val="center"/>
        <w:rPr>
          <w:rFonts w:ascii="Arial" w:hAnsi="Arial" w:cs="Arial"/>
          <w:b/>
          <w:bCs/>
          <w:sz w:val="24"/>
          <w:szCs w:val="24"/>
        </w:rPr>
      </w:pPr>
      <w:r w:rsidRPr="006F4503">
        <w:rPr>
          <w:rFonts w:ascii="Arial" w:hAnsi="Arial" w:cs="Arial"/>
          <w:b/>
          <w:bCs/>
          <w:sz w:val="24"/>
          <w:szCs w:val="24"/>
        </w:rPr>
        <w:t>Module Name: Human Capital Management</w:t>
      </w:r>
    </w:p>
    <w:p w14:paraId="7824DD63" w14:textId="77777777" w:rsidR="002E38DB" w:rsidRPr="006F4503" w:rsidRDefault="002E38DB" w:rsidP="002E38DB">
      <w:pPr>
        <w:spacing w:after="0" w:line="480" w:lineRule="auto"/>
        <w:jc w:val="center"/>
        <w:rPr>
          <w:rFonts w:ascii="Arial" w:hAnsi="Arial" w:cs="Arial"/>
          <w:b/>
          <w:bCs/>
          <w:sz w:val="24"/>
          <w:szCs w:val="24"/>
        </w:rPr>
      </w:pPr>
      <w:r w:rsidRPr="006F4503">
        <w:rPr>
          <w:rFonts w:ascii="Arial" w:hAnsi="Arial" w:cs="Arial"/>
          <w:b/>
          <w:bCs/>
          <w:sz w:val="24"/>
          <w:szCs w:val="24"/>
        </w:rPr>
        <w:t>Module Code: LCMB7023</w:t>
      </w:r>
    </w:p>
    <w:p w14:paraId="394E1D85" w14:textId="77777777" w:rsidR="002E38DB" w:rsidRPr="006F4503" w:rsidRDefault="002E38DB" w:rsidP="002E38DB">
      <w:pPr>
        <w:spacing w:after="0" w:line="480" w:lineRule="auto"/>
        <w:jc w:val="center"/>
        <w:rPr>
          <w:rFonts w:ascii="Arial" w:hAnsi="Arial" w:cs="Arial"/>
          <w:b/>
          <w:bCs/>
          <w:sz w:val="24"/>
          <w:szCs w:val="24"/>
        </w:rPr>
      </w:pPr>
      <w:r w:rsidRPr="006F4503">
        <w:rPr>
          <w:rFonts w:ascii="Arial" w:hAnsi="Arial" w:cs="Arial"/>
          <w:b/>
          <w:bCs/>
          <w:sz w:val="24"/>
          <w:szCs w:val="24"/>
        </w:rPr>
        <w:t xml:space="preserve">Word Count: </w:t>
      </w:r>
      <w:r>
        <w:rPr>
          <w:rFonts w:ascii="Arial" w:hAnsi="Arial" w:cs="Arial"/>
          <w:b/>
          <w:bCs/>
          <w:sz w:val="24"/>
          <w:szCs w:val="24"/>
        </w:rPr>
        <w:t>2739</w:t>
      </w:r>
    </w:p>
    <w:p w14:paraId="04CF4938" w14:textId="77777777" w:rsidR="002E38DB" w:rsidRPr="006F4503" w:rsidRDefault="002E38DB" w:rsidP="002E38DB">
      <w:pPr>
        <w:spacing w:after="0" w:line="480" w:lineRule="auto"/>
        <w:jc w:val="center"/>
        <w:rPr>
          <w:rFonts w:ascii="Arial" w:hAnsi="Arial" w:cs="Arial"/>
          <w:b/>
          <w:bCs/>
          <w:sz w:val="24"/>
          <w:szCs w:val="24"/>
        </w:rPr>
      </w:pPr>
      <w:r w:rsidRPr="006F4503">
        <w:rPr>
          <w:rFonts w:ascii="Arial" w:hAnsi="Arial" w:cs="Arial"/>
          <w:b/>
          <w:bCs/>
          <w:sz w:val="24"/>
          <w:szCs w:val="24"/>
        </w:rPr>
        <w:t>Date:</w:t>
      </w:r>
    </w:p>
    <w:p w14:paraId="1F388AEA" w14:textId="77777777" w:rsidR="002E38DB" w:rsidRPr="006F4503" w:rsidRDefault="002E38DB" w:rsidP="002E38DB">
      <w:pPr>
        <w:spacing w:after="0" w:line="480" w:lineRule="auto"/>
        <w:jc w:val="both"/>
        <w:rPr>
          <w:rFonts w:ascii="Arial" w:hAnsi="Arial" w:cs="Arial"/>
          <w:b/>
          <w:bCs/>
          <w:sz w:val="24"/>
          <w:szCs w:val="24"/>
        </w:rPr>
      </w:pPr>
    </w:p>
    <w:p w14:paraId="5735F4DE" w14:textId="77777777" w:rsidR="002E38DB" w:rsidRPr="006F4503" w:rsidRDefault="002E38DB" w:rsidP="002E38DB">
      <w:pPr>
        <w:spacing w:after="0" w:line="480" w:lineRule="auto"/>
        <w:jc w:val="both"/>
        <w:rPr>
          <w:rFonts w:ascii="Arial" w:hAnsi="Arial" w:cs="Arial"/>
          <w:b/>
          <w:bCs/>
          <w:sz w:val="24"/>
          <w:szCs w:val="24"/>
        </w:rPr>
      </w:pPr>
    </w:p>
    <w:p w14:paraId="4BFFDBE3" w14:textId="77777777" w:rsidR="002E38DB" w:rsidRPr="006F4503" w:rsidRDefault="002E38DB" w:rsidP="002E38DB">
      <w:pPr>
        <w:spacing w:after="0" w:line="480" w:lineRule="auto"/>
        <w:jc w:val="both"/>
        <w:rPr>
          <w:rFonts w:ascii="Arial" w:hAnsi="Arial" w:cs="Arial"/>
          <w:b/>
          <w:bCs/>
          <w:sz w:val="24"/>
          <w:szCs w:val="24"/>
        </w:rPr>
      </w:pPr>
    </w:p>
    <w:p w14:paraId="31A37B3E" w14:textId="77777777" w:rsidR="002E38DB" w:rsidRPr="006F4503" w:rsidRDefault="002E38DB" w:rsidP="002E38DB">
      <w:pPr>
        <w:spacing w:after="0" w:line="480" w:lineRule="auto"/>
        <w:jc w:val="both"/>
        <w:rPr>
          <w:rFonts w:ascii="Arial" w:hAnsi="Arial" w:cs="Arial"/>
          <w:b/>
          <w:bCs/>
          <w:sz w:val="24"/>
          <w:szCs w:val="24"/>
        </w:rPr>
      </w:pPr>
    </w:p>
    <w:p w14:paraId="67BBC2F3" w14:textId="77777777" w:rsidR="002E38DB" w:rsidRPr="006F4503" w:rsidRDefault="002E38DB" w:rsidP="002E38DB">
      <w:pPr>
        <w:spacing w:after="0" w:line="480" w:lineRule="auto"/>
        <w:jc w:val="both"/>
        <w:rPr>
          <w:rFonts w:ascii="Arial" w:hAnsi="Arial" w:cs="Arial"/>
          <w:b/>
          <w:bCs/>
          <w:sz w:val="24"/>
          <w:szCs w:val="24"/>
        </w:rPr>
      </w:pPr>
    </w:p>
    <w:p w14:paraId="2932E4C8" w14:textId="77777777" w:rsidR="002E38DB" w:rsidRPr="006F4503" w:rsidRDefault="002E38DB" w:rsidP="002E38DB">
      <w:pPr>
        <w:spacing w:after="0" w:line="480" w:lineRule="auto"/>
        <w:jc w:val="both"/>
        <w:rPr>
          <w:rFonts w:ascii="Arial" w:hAnsi="Arial" w:cs="Arial"/>
          <w:b/>
          <w:bCs/>
          <w:sz w:val="24"/>
          <w:szCs w:val="24"/>
        </w:rPr>
      </w:pPr>
    </w:p>
    <w:p w14:paraId="207F93D7" w14:textId="77777777" w:rsidR="002E38DB" w:rsidRPr="006F4503" w:rsidRDefault="002E38DB" w:rsidP="002E38DB">
      <w:pPr>
        <w:spacing w:after="0" w:line="480" w:lineRule="auto"/>
        <w:jc w:val="both"/>
        <w:rPr>
          <w:rFonts w:ascii="Arial" w:hAnsi="Arial" w:cs="Arial"/>
          <w:b/>
          <w:bCs/>
          <w:sz w:val="24"/>
          <w:szCs w:val="24"/>
        </w:rPr>
      </w:pPr>
    </w:p>
    <w:p w14:paraId="59576802" w14:textId="77777777" w:rsidR="002E38DB" w:rsidRPr="006F4503" w:rsidRDefault="002E38DB" w:rsidP="002E38DB">
      <w:pPr>
        <w:spacing w:after="0" w:line="480" w:lineRule="auto"/>
        <w:jc w:val="both"/>
        <w:rPr>
          <w:rFonts w:ascii="Arial" w:hAnsi="Arial" w:cs="Arial"/>
          <w:b/>
          <w:bCs/>
          <w:sz w:val="24"/>
          <w:szCs w:val="24"/>
        </w:rPr>
      </w:pPr>
    </w:p>
    <w:p w14:paraId="093E0AD1" w14:textId="77777777" w:rsidR="002E38DB" w:rsidRPr="006F4503" w:rsidRDefault="002E38DB" w:rsidP="002E38DB">
      <w:pPr>
        <w:spacing w:after="0" w:line="480" w:lineRule="auto"/>
        <w:jc w:val="both"/>
        <w:rPr>
          <w:rFonts w:ascii="Arial" w:hAnsi="Arial" w:cs="Arial"/>
          <w:b/>
          <w:bCs/>
          <w:sz w:val="24"/>
          <w:szCs w:val="24"/>
        </w:rPr>
      </w:pPr>
    </w:p>
    <w:p w14:paraId="2C31B198" w14:textId="77777777" w:rsidR="002E38DB" w:rsidRPr="006F4503" w:rsidRDefault="002E38DB" w:rsidP="002E38DB">
      <w:pPr>
        <w:spacing w:after="0" w:line="480" w:lineRule="auto"/>
        <w:jc w:val="both"/>
        <w:rPr>
          <w:rFonts w:ascii="Arial" w:hAnsi="Arial" w:cs="Arial"/>
          <w:b/>
          <w:bCs/>
          <w:sz w:val="24"/>
          <w:szCs w:val="24"/>
        </w:rPr>
      </w:pPr>
    </w:p>
    <w:p w14:paraId="0976DA81" w14:textId="77777777" w:rsidR="002E38DB" w:rsidRPr="006F4503" w:rsidRDefault="002E38DB" w:rsidP="002E38DB">
      <w:pPr>
        <w:spacing w:after="0" w:line="480" w:lineRule="auto"/>
        <w:jc w:val="both"/>
        <w:rPr>
          <w:rFonts w:ascii="Arial" w:hAnsi="Arial" w:cs="Arial"/>
          <w:b/>
          <w:bCs/>
          <w:sz w:val="24"/>
          <w:szCs w:val="24"/>
        </w:rPr>
      </w:pPr>
    </w:p>
    <w:p w14:paraId="2FA948E0" w14:textId="77777777" w:rsidR="002E38DB" w:rsidRPr="006F4503" w:rsidRDefault="002E38DB" w:rsidP="002E38DB">
      <w:pPr>
        <w:spacing w:after="0" w:line="480" w:lineRule="auto"/>
        <w:jc w:val="both"/>
        <w:rPr>
          <w:rFonts w:ascii="Arial" w:hAnsi="Arial" w:cs="Arial"/>
          <w:b/>
          <w:bCs/>
          <w:sz w:val="24"/>
          <w:szCs w:val="24"/>
        </w:rPr>
      </w:pPr>
    </w:p>
    <w:p w14:paraId="0C5D9431" w14:textId="77777777" w:rsidR="002E38DB" w:rsidRDefault="002E38DB" w:rsidP="002E38DB">
      <w:pPr>
        <w:spacing w:after="0" w:line="480" w:lineRule="auto"/>
        <w:jc w:val="both"/>
        <w:rPr>
          <w:rFonts w:ascii="Arial" w:hAnsi="Arial" w:cs="Arial"/>
          <w:b/>
          <w:bCs/>
          <w:sz w:val="24"/>
          <w:szCs w:val="24"/>
        </w:rPr>
      </w:pPr>
    </w:p>
    <w:sdt>
      <w:sdtPr>
        <w:rPr>
          <w:rFonts w:asciiTheme="minorHAnsi" w:eastAsiaTheme="minorHAnsi" w:hAnsiTheme="minorHAnsi" w:cstheme="minorBidi"/>
          <w:color w:val="auto"/>
          <w:kern w:val="2"/>
          <w:sz w:val="22"/>
          <w:szCs w:val="22"/>
          <w14:ligatures w14:val="standardContextual"/>
        </w:rPr>
        <w:id w:val="323708750"/>
        <w:docPartObj>
          <w:docPartGallery w:val="Table of Contents"/>
          <w:docPartUnique/>
        </w:docPartObj>
      </w:sdtPr>
      <w:sdtEndPr>
        <w:rPr>
          <w:b/>
          <w:bCs/>
          <w:noProof/>
        </w:rPr>
      </w:sdtEndPr>
      <w:sdtContent>
        <w:p w14:paraId="7D0AD4F8" w14:textId="77777777" w:rsidR="002E38DB" w:rsidRDefault="002E38DB" w:rsidP="002E38DB">
          <w:pPr>
            <w:pStyle w:val="TOCHeading"/>
          </w:pPr>
          <w:r>
            <w:t>Table of Contents</w:t>
          </w:r>
        </w:p>
        <w:p w14:paraId="23991EA3" w14:textId="77777777" w:rsidR="002E38DB" w:rsidRDefault="002E38DB" w:rsidP="002E38DB">
          <w:pPr>
            <w:pStyle w:val="TOC1"/>
            <w:tabs>
              <w:tab w:val="right" w:leader="dot" w:pos="9350"/>
            </w:tabs>
            <w:rPr>
              <w:noProof/>
            </w:rPr>
          </w:pPr>
          <w:r>
            <w:fldChar w:fldCharType="begin"/>
          </w:r>
          <w:r>
            <w:instrText xml:space="preserve"> TOC \o "1-3" \h \z \u </w:instrText>
          </w:r>
          <w:r>
            <w:fldChar w:fldCharType="separate"/>
          </w:r>
          <w:hyperlink w:anchor="_Toc222330766" w:history="1">
            <w:r w:rsidRPr="00BF460E">
              <w:rPr>
                <w:rStyle w:val="Hyperlink"/>
                <w:rFonts w:ascii="Arial" w:hAnsi="Arial" w:cs="Arial"/>
                <w:noProof/>
              </w:rPr>
              <w:t>Part 1: Designing the Talent Ecosystem</w:t>
            </w:r>
            <w:r>
              <w:rPr>
                <w:noProof/>
                <w:webHidden/>
              </w:rPr>
              <w:tab/>
            </w:r>
            <w:r>
              <w:rPr>
                <w:noProof/>
                <w:webHidden/>
              </w:rPr>
              <w:fldChar w:fldCharType="begin"/>
            </w:r>
            <w:r>
              <w:rPr>
                <w:noProof/>
                <w:webHidden/>
              </w:rPr>
              <w:instrText xml:space="preserve"> PAGEREF _Toc222330766 \h </w:instrText>
            </w:r>
            <w:r>
              <w:rPr>
                <w:noProof/>
                <w:webHidden/>
              </w:rPr>
            </w:r>
            <w:r>
              <w:rPr>
                <w:noProof/>
                <w:webHidden/>
              </w:rPr>
              <w:fldChar w:fldCharType="separate"/>
            </w:r>
            <w:r>
              <w:rPr>
                <w:noProof/>
                <w:webHidden/>
              </w:rPr>
              <w:t>3</w:t>
            </w:r>
            <w:r>
              <w:rPr>
                <w:noProof/>
                <w:webHidden/>
              </w:rPr>
              <w:fldChar w:fldCharType="end"/>
            </w:r>
          </w:hyperlink>
        </w:p>
        <w:p w14:paraId="44392676" w14:textId="77777777" w:rsidR="002E38DB" w:rsidRDefault="002E38DB" w:rsidP="002E38DB">
          <w:pPr>
            <w:pStyle w:val="TOC2"/>
            <w:tabs>
              <w:tab w:val="right" w:leader="dot" w:pos="9350"/>
            </w:tabs>
            <w:rPr>
              <w:noProof/>
            </w:rPr>
          </w:pPr>
          <w:hyperlink w:anchor="_Toc222330767" w:history="1">
            <w:r w:rsidRPr="00BF460E">
              <w:rPr>
                <w:rStyle w:val="Hyperlink"/>
                <w:rFonts w:ascii="Arial" w:hAnsi="Arial" w:cs="Arial"/>
                <w:noProof/>
              </w:rPr>
              <w:t>Current Talent Ecosystem Among Tech Companies</w:t>
            </w:r>
            <w:r>
              <w:rPr>
                <w:noProof/>
                <w:webHidden/>
              </w:rPr>
              <w:tab/>
            </w:r>
            <w:r>
              <w:rPr>
                <w:noProof/>
                <w:webHidden/>
              </w:rPr>
              <w:fldChar w:fldCharType="begin"/>
            </w:r>
            <w:r>
              <w:rPr>
                <w:noProof/>
                <w:webHidden/>
              </w:rPr>
              <w:instrText xml:space="preserve"> PAGEREF _Toc222330767 \h </w:instrText>
            </w:r>
            <w:r>
              <w:rPr>
                <w:noProof/>
                <w:webHidden/>
              </w:rPr>
            </w:r>
            <w:r>
              <w:rPr>
                <w:noProof/>
                <w:webHidden/>
              </w:rPr>
              <w:fldChar w:fldCharType="separate"/>
            </w:r>
            <w:r>
              <w:rPr>
                <w:noProof/>
                <w:webHidden/>
              </w:rPr>
              <w:t>3</w:t>
            </w:r>
            <w:r>
              <w:rPr>
                <w:noProof/>
                <w:webHidden/>
              </w:rPr>
              <w:fldChar w:fldCharType="end"/>
            </w:r>
          </w:hyperlink>
        </w:p>
        <w:p w14:paraId="5F854F23" w14:textId="77777777" w:rsidR="002E38DB" w:rsidRDefault="002E38DB" w:rsidP="002E38DB">
          <w:pPr>
            <w:pStyle w:val="TOC3"/>
            <w:tabs>
              <w:tab w:val="right" w:leader="dot" w:pos="9350"/>
            </w:tabs>
            <w:rPr>
              <w:noProof/>
            </w:rPr>
          </w:pPr>
          <w:hyperlink w:anchor="_Toc222330768" w:history="1">
            <w:r w:rsidRPr="00BF460E">
              <w:rPr>
                <w:rStyle w:val="Hyperlink"/>
                <w:rFonts w:ascii="Arial" w:hAnsi="Arial" w:cs="Arial"/>
                <w:noProof/>
              </w:rPr>
              <w:t>External Hiring and Talent Competition</w:t>
            </w:r>
            <w:r>
              <w:rPr>
                <w:noProof/>
                <w:webHidden/>
              </w:rPr>
              <w:tab/>
            </w:r>
            <w:r>
              <w:rPr>
                <w:noProof/>
                <w:webHidden/>
              </w:rPr>
              <w:fldChar w:fldCharType="begin"/>
            </w:r>
            <w:r>
              <w:rPr>
                <w:noProof/>
                <w:webHidden/>
              </w:rPr>
              <w:instrText xml:space="preserve"> PAGEREF _Toc222330768 \h </w:instrText>
            </w:r>
            <w:r>
              <w:rPr>
                <w:noProof/>
                <w:webHidden/>
              </w:rPr>
            </w:r>
            <w:r>
              <w:rPr>
                <w:noProof/>
                <w:webHidden/>
              </w:rPr>
              <w:fldChar w:fldCharType="separate"/>
            </w:r>
            <w:r>
              <w:rPr>
                <w:noProof/>
                <w:webHidden/>
              </w:rPr>
              <w:t>3</w:t>
            </w:r>
            <w:r>
              <w:rPr>
                <w:noProof/>
                <w:webHidden/>
              </w:rPr>
              <w:fldChar w:fldCharType="end"/>
            </w:r>
          </w:hyperlink>
        </w:p>
        <w:p w14:paraId="1839DC7E" w14:textId="77777777" w:rsidR="002E38DB" w:rsidRDefault="002E38DB" w:rsidP="002E38DB">
          <w:pPr>
            <w:pStyle w:val="TOC3"/>
            <w:tabs>
              <w:tab w:val="right" w:leader="dot" w:pos="9350"/>
            </w:tabs>
            <w:rPr>
              <w:noProof/>
            </w:rPr>
          </w:pPr>
          <w:hyperlink w:anchor="_Toc222330769" w:history="1">
            <w:r w:rsidRPr="00BF460E">
              <w:rPr>
                <w:rStyle w:val="Hyperlink"/>
                <w:rFonts w:ascii="Arial" w:hAnsi="Arial" w:cs="Arial"/>
                <w:noProof/>
              </w:rPr>
              <w:t>Structured Internal Development</w:t>
            </w:r>
            <w:r>
              <w:rPr>
                <w:noProof/>
                <w:webHidden/>
              </w:rPr>
              <w:tab/>
            </w:r>
            <w:r>
              <w:rPr>
                <w:noProof/>
                <w:webHidden/>
              </w:rPr>
              <w:fldChar w:fldCharType="begin"/>
            </w:r>
            <w:r>
              <w:rPr>
                <w:noProof/>
                <w:webHidden/>
              </w:rPr>
              <w:instrText xml:space="preserve"> PAGEREF _Toc222330769 \h </w:instrText>
            </w:r>
            <w:r>
              <w:rPr>
                <w:noProof/>
                <w:webHidden/>
              </w:rPr>
            </w:r>
            <w:r>
              <w:rPr>
                <w:noProof/>
                <w:webHidden/>
              </w:rPr>
              <w:fldChar w:fldCharType="separate"/>
            </w:r>
            <w:r>
              <w:rPr>
                <w:noProof/>
                <w:webHidden/>
              </w:rPr>
              <w:t>3</w:t>
            </w:r>
            <w:r>
              <w:rPr>
                <w:noProof/>
                <w:webHidden/>
              </w:rPr>
              <w:fldChar w:fldCharType="end"/>
            </w:r>
          </w:hyperlink>
        </w:p>
        <w:p w14:paraId="7ECC7B07" w14:textId="77777777" w:rsidR="002E38DB" w:rsidRDefault="002E38DB" w:rsidP="002E38DB">
          <w:pPr>
            <w:pStyle w:val="TOC3"/>
            <w:tabs>
              <w:tab w:val="right" w:leader="dot" w:pos="9350"/>
            </w:tabs>
            <w:rPr>
              <w:noProof/>
            </w:rPr>
          </w:pPr>
          <w:hyperlink w:anchor="_Toc222330770" w:history="1">
            <w:r w:rsidRPr="00BF460E">
              <w:rPr>
                <w:rStyle w:val="Hyperlink"/>
                <w:rFonts w:ascii="Arial" w:hAnsi="Arial" w:cs="Arial"/>
                <w:noProof/>
              </w:rPr>
              <w:t>Flexible Work Models and Employee Value Proposition (EVP)</w:t>
            </w:r>
            <w:r>
              <w:rPr>
                <w:noProof/>
                <w:webHidden/>
              </w:rPr>
              <w:tab/>
            </w:r>
            <w:r>
              <w:rPr>
                <w:noProof/>
                <w:webHidden/>
              </w:rPr>
              <w:fldChar w:fldCharType="begin"/>
            </w:r>
            <w:r>
              <w:rPr>
                <w:noProof/>
                <w:webHidden/>
              </w:rPr>
              <w:instrText xml:space="preserve"> PAGEREF _Toc222330770 \h </w:instrText>
            </w:r>
            <w:r>
              <w:rPr>
                <w:noProof/>
                <w:webHidden/>
              </w:rPr>
            </w:r>
            <w:r>
              <w:rPr>
                <w:noProof/>
                <w:webHidden/>
              </w:rPr>
              <w:fldChar w:fldCharType="separate"/>
            </w:r>
            <w:r>
              <w:rPr>
                <w:noProof/>
                <w:webHidden/>
              </w:rPr>
              <w:t>4</w:t>
            </w:r>
            <w:r>
              <w:rPr>
                <w:noProof/>
                <w:webHidden/>
              </w:rPr>
              <w:fldChar w:fldCharType="end"/>
            </w:r>
          </w:hyperlink>
        </w:p>
        <w:p w14:paraId="0598B0A9" w14:textId="77777777" w:rsidR="002E38DB" w:rsidRDefault="002E38DB" w:rsidP="002E38DB">
          <w:pPr>
            <w:pStyle w:val="TOC3"/>
            <w:tabs>
              <w:tab w:val="right" w:leader="dot" w:pos="9350"/>
            </w:tabs>
            <w:rPr>
              <w:noProof/>
            </w:rPr>
          </w:pPr>
          <w:hyperlink w:anchor="_Toc222330771" w:history="1">
            <w:r w:rsidRPr="00BF460E">
              <w:rPr>
                <w:rStyle w:val="Hyperlink"/>
                <w:rFonts w:ascii="Arial" w:hAnsi="Arial" w:cs="Arial"/>
                <w:noProof/>
              </w:rPr>
              <w:t>Continuous Learning and Innovation Ecosystems</w:t>
            </w:r>
            <w:r>
              <w:rPr>
                <w:noProof/>
                <w:webHidden/>
              </w:rPr>
              <w:tab/>
            </w:r>
            <w:r>
              <w:rPr>
                <w:noProof/>
                <w:webHidden/>
              </w:rPr>
              <w:fldChar w:fldCharType="begin"/>
            </w:r>
            <w:r>
              <w:rPr>
                <w:noProof/>
                <w:webHidden/>
              </w:rPr>
              <w:instrText xml:space="preserve"> PAGEREF _Toc222330771 \h </w:instrText>
            </w:r>
            <w:r>
              <w:rPr>
                <w:noProof/>
                <w:webHidden/>
              </w:rPr>
            </w:r>
            <w:r>
              <w:rPr>
                <w:noProof/>
                <w:webHidden/>
              </w:rPr>
              <w:fldChar w:fldCharType="separate"/>
            </w:r>
            <w:r>
              <w:rPr>
                <w:noProof/>
                <w:webHidden/>
              </w:rPr>
              <w:t>5</w:t>
            </w:r>
            <w:r>
              <w:rPr>
                <w:noProof/>
                <w:webHidden/>
              </w:rPr>
              <w:fldChar w:fldCharType="end"/>
            </w:r>
          </w:hyperlink>
        </w:p>
        <w:p w14:paraId="4DBDF346" w14:textId="77777777" w:rsidR="002E38DB" w:rsidRDefault="002E38DB" w:rsidP="002E38DB">
          <w:pPr>
            <w:pStyle w:val="TOC2"/>
            <w:tabs>
              <w:tab w:val="right" w:leader="dot" w:pos="9350"/>
            </w:tabs>
            <w:rPr>
              <w:noProof/>
            </w:rPr>
          </w:pPr>
          <w:hyperlink w:anchor="_Toc222330772" w:history="1">
            <w:r w:rsidRPr="00BF460E">
              <w:rPr>
                <w:rStyle w:val="Hyperlink"/>
                <w:rFonts w:ascii="Arial" w:eastAsia="SimSun" w:hAnsi="Arial" w:cs="Arial"/>
                <w:noProof/>
              </w:rPr>
              <w:t>Proposed Strategic Build Vs. Buy Talent Model to Attract and Retain High-Potential Employees</w:t>
            </w:r>
            <w:r>
              <w:rPr>
                <w:noProof/>
                <w:webHidden/>
              </w:rPr>
              <w:tab/>
            </w:r>
            <w:r>
              <w:rPr>
                <w:noProof/>
                <w:webHidden/>
              </w:rPr>
              <w:fldChar w:fldCharType="begin"/>
            </w:r>
            <w:r>
              <w:rPr>
                <w:noProof/>
                <w:webHidden/>
              </w:rPr>
              <w:instrText xml:space="preserve"> PAGEREF _Toc222330772 \h </w:instrText>
            </w:r>
            <w:r>
              <w:rPr>
                <w:noProof/>
                <w:webHidden/>
              </w:rPr>
            </w:r>
            <w:r>
              <w:rPr>
                <w:noProof/>
                <w:webHidden/>
              </w:rPr>
              <w:fldChar w:fldCharType="separate"/>
            </w:r>
            <w:r>
              <w:rPr>
                <w:noProof/>
                <w:webHidden/>
              </w:rPr>
              <w:t>5</w:t>
            </w:r>
            <w:r>
              <w:rPr>
                <w:noProof/>
                <w:webHidden/>
              </w:rPr>
              <w:fldChar w:fldCharType="end"/>
            </w:r>
          </w:hyperlink>
        </w:p>
        <w:p w14:paraId="0B2AA0E5" w14:textId="77777777" w:rsidR="002E38DB" w:rsidRDefault="002E38DB" w:rsidP="002E38DB">
          <w:pPr>
            <w:pStyle w:val="TOC3"/>
            <w:tabs>
              <w:tab w:val="right" w:leader="dot" w:pos="9350"/>
            </w:tabs>
            <w:rPr>
              <w:noProof/>
            </w:rPr>
          </w:pPr>
          <w:hyperlink w:anchor="_Toc222330773" w:history="1">
            <w:r w:rsidRPr="00BF460E">
              <w:rPr>
                <w:rStyle w:val="Hyperlink"/>
                <w:rFonts w:ascii="Arial" w:hAnsi="Arial" w:cs="Arial"/>
                <w:noProof/>
              </w:rPr>
              <w:t>Strategic Build vs. Buy Talent Model</w:t>
            </w:r>
            <w:r>
              <w:rPr>
                <w:noProof/>
                <w:webHidden/>
              </w:rPr>
              <w:tab/>
            </w:r>
            <w:r>
              <w:rPr>
                <w:noProof/>
                <w:webHidden/>
              </w:rPr>
              <w:fldChar w:fldCharType="begin"/>
            </w:r>
            <w:r>
              <w:rPr>
                <w:noProof/>
                <w:webHidden/>
              </w:rPr>
              <w:instrText xml:space="preserve"> PAGEREF _Toc222330773 \h </w:instrText>
            </w:r>
            <w:r>
              <w:rPr>
                <w:noProof/>
                <w:webHidden/>
              </w:rPr>
            </w:r>
            <w:r>
              <w:rPr>
                <w:noProof/>
                <w:webHidden/>
              </w:rPr>
              <w:fldChar w:fldCharType="separate"/>
            </w:r>
            <w:r>
              <w:rPr>
                <w:noProof/>
                <w:webHidden/>
              </w:rPr>
              <w:t>5</w:t>
            </w:r>
            <w:r>
              <w:rPr>
                <w:noProof/>
                <w:webHidden/>
              </w:rPr>
              <w:fldChar w:fldCharType="end"/>
            </w:r>
          </w:hyperlink>
        </w:p>
        <w:p w14:paraId="7D6B2A35" w14:textId="77777777" w:rsidR="002E38DB" w:rsidRDefault="002E38DB" w:rsidP="002E38DB">
          <w:pPr>
            <w:pStyle w:val="TOC3"/>
            <w:tabs>
              <w:tab w:val="right" w:leader="dot" w:pos="9350"/>
            </w:tabs>
            <w:rPr>
              <w:noProof/>
            </w:rPr>
          </w:pPr>
          <w:hyperlink w:anchor="_Toc222330774" w:history="1">
            <w:r w:rsidRPr="00BF460E">
              <w:rPr>
                <w:rStyle w:val="Hyperlink"/>
                <w:rFonts w:ascii="Arial" w:hAnsi="Arial" w:cs="Arial"/>
                <w:noProof/>
              </w:rPr>
              <w:t>Mentorship, Leadership Pathways, and Lifelong Learning as Attraction and Retention Drivers</w:t>
            </w:r>
            <w:r>
              <w:rPr>
                <w:noProof/>
                <w:webHidden/>
              </w:rPr>
              <w:tab/>
            </w:r>
            <w:r>
              <w:rPr>
                <w:noProof/>
                <w:webHidden/>
              </w:rPr>
              <w:fldChar w:fldCharType="begin"/>
            </w:r>
            <w:r>
              <w:rPr>
                <w:noProof/>
                <w:webHidden/>
              </w:rPr>
              <w:instrText xml:space="preserve"> PAGEREF _Toc222330774 \h </w:instrText>
            </w:r>
            <w:r>
              <w:rPr>
                <w:noProof/>
                <w:webHidden/>
              </w:rPr>
            </w:r>
            <w:r>
              <w:rPr>
                <w:noProof/>
                <w:webHidden/>
              </w:rPr>
              <w:fldChar w:fldCharType="separate"/>
            </w:r>
            <w:r>
              <w:rPr>
                <w:noProof/>
                <w:webHidden/>
              </w:rPr>
              <w:t>7</w:t>
            </w:r>
            <w:r>
              <w:rPr>
                <w:noProof/>
                <w:webHidden/>
              </w:rPr>
              <w:fldChar w:fldCharType="end"/>
            </w:r>
          </w:hyperlink>
        </w:p>
        <w:p w14:paraId="133F3C3A" w14:textId="77777777" w:rsidR="002E38DB" w:rsidRDefault="002E38DB" w:rsidP="002E38DB">
          <w:pPr>
            <w:pStyle w:val="TOC1"/>
            <w:tabs>
              <w:tab w:val="right" w:leader="dot" w:pos="9350"/>
            </w:tabs>
            <w:rPr>
              <w:noProof/>
            </w:rPr>
          </w:pPr>
          <w:hyperlink w:anchor="_Toc222330775" w:history="1">
            <w:r w:rsidRPr="00BF460E">
              <w:rPr>
                <w:rStyle w:val="Hyperlink"/>
                <w:rFonts w:ascii="Arial" w:hAnsi="Arial" w:cs="Arial"/>
                <w:noProof/>
              </w:rPr>
              <w:t>Part 2: Reflection</w:t>
            </w:r>
            <w:r>
              <w:rPr>
                <w:noProof/>
                <w:webHidden/>
              </w:rPr>
              <w:tab/>
            </w:r>
            <w:r>
              <w:rPr>
                <w:noProof/>
                <w:webHidden/>
              </w:rPr>
              <w:fldChar w:fldCharType="begin"/>
            </w:r>
            <w:r>
              <w:rPr>
                <w:noProof/>
                <w:webHidden/>
              </w:rPr>
              <w:instrText xml:space="preserve"> PAGEREF _Toc222330775 \h </w:instrText>
            </w:r>
            <w:r>
              <w:rPr>
                <w:noProof/>
                <w:webHidden/>
              </w:rPr>
            </w:r>
            <w:r>
              <w:rPr>
                <w:noProof/>
                <w:webHidden/>
              </w:rPr>
              <w:fldChar w:fldCharType="separate"/>
            </w:r>
            <w:r>
              <w:rPr>
                <w:noProof/>
                <w:webHidden/>
              </w:rPr>
              <w:t>9</w:t>
            </w:r>
            <w:r>
              <w:rPr>
                <w:noProof/>
                <w:webHidden/>
              </w:rPr>
              <w:fldChar w:fldCharType="end"/>
            </w:r>
          </w:hyperlink>
        </w:p>
        <w:p w14:paraId="7BF6320B" w14:textId="77777777" w:rsidR="002E38DB" w:rsidRDefault="002E38DB" w:rsidP="002E38DB">
          <w:pPr>
            <w:pStyle w:val="TOC2"/>
            <w:tabs>
              <w:tab w:val="right" w:leader="dot" w:pos="9350"/>
            </w:tabs>
            <w:rPr>
              <w:noProof/>
            </w:rPr>
          </w:pPr>
          <w:hyperlink w:anchor="_Toc222330776" w:history="1">
            <w:r w:rsidRPr="00BF460E">
              <w:rPr>
                <w:rStyle w:val="Hyperlink"/>
                <w:rFonts w:ascii="Arial" w:hAnsi="Arial" w:cs="Arial"/>
                <w:noProof/>
              </w:rPr>
              <w:t>Gibbs’ Reflective Cycle</w:t>
            </w:r>
            <w:r>
              <w:rPr>
                <w:noProof/>
                <w:webHidden/>
              </w:rPr>
              <w:tab/>
            </w:r>
            <w:r>
              <w:rPr>
                <w:noProof/>
                <w:webHidden/>
              </w:rPr>
              <w:fldChar w:fldCharType="begin"/>
            </w:r>
            <w:r>
              <w:rPr>
                <w:noProof/>
                <w:webHidden/>
              </w:rPr>
              <w:instrText xml:space="preserve"> PAGEREF _Toc222330776 \h </w:instrText>
            </w:r>
            <w:r>
              <w:rPr>
                <w:noProof/>
                <w:webHidden/>
              </w:rPr>
            </w:r>
            <w:r>
              <w:rPr>
                <w:noProof/>
                <w:webHidden/>
              </w:rPr>
              <w:fldChar w:fldCharType="separate"/>
            </w:r>
            <w:r>
              <w:rPr>
                <w:noProof/>
                <w:webHidden/>
              </w:rPr>
              <w:t>9</w:t>
            </w:r>
            <w:r>
              <w:rPr>
                <w:noProof/>
                <w:webHidden/>
              </w:rPr>
              <w:fldChar w:fldCharType="end"/>
            </w:r>
          </w:hyperlink>
        </w:p>
        <w:p w14:paraId="2EEAB9F2" w14:textId="77777777" w:rsidR="002E38DB" w:rsidRDefault="002E38DB" w:rsidP="002E38DB">
          <w:pPr>
            <w:pStyle w:val="TOC2"/>
            <w:tabs>
              <w:tab w:val="right" w:leader="dot" w:pos="9350"/>
            </w:tabs>
            <w:rPr>
              <w:noProof/>
            </w:rPr>
          </w:pPr>
          <w:hyperlink w:anchor="_Toc222330777" w:history="1">
            <w:r w:rsidRPr="00BF460E">
              <w:rPr>
                <w:rStyle w:val="Hyperlink"/>
                <w:rFonts w:ascii="Arial" w:hAnsi="Arial" w:cs="Arial"/>
                <w:noProof/>
              </w:rPr>
              <w:t>Staying Relevant in an AI-Driven Workforce</w:t>
            </w:r>
            <w:r>
              <w:rPr>
                <w:noProof/>
                <w:webHidden/>
              </w:rPr>
              <w:tab/>
            </w:r>
            <w:r>
              <w:rPr>
                <w:noProof/>
                <w:webHidden/>
              </w:rPr>
              <w:fldChar w:fldCharType="begin"/>
            </w:r>
            <w:r>
              <w:rPr>
                <w:noProof/>
                <w:webHidden/>
              </w:rPr>
              <w:instrText xml:space="preserve"> PAGEREF _Toc222330777 \h </w:instrText>
            </w:r>
            <w:r>
              <w:rPr>
                <w:noProof/>
                <w:webHidden/>
              </w:rPr>
            </w:r>
            <w:r>
              <w:rPr>
                <w:noProof/>
                <w:webHidden/>
              </w:rPr>
              <w:fldChar w:fldCharType="separate"/>
            </w:r>
            <w:r>
              <w:rPr>
                <w:noProof/>
                <w:webHidden/>
              </w:rPr>
              <w:t>13</w:t>
            </w:r>
            <w:r>
              <w:rPr>
                <w:noProof/>
                <w:webHidden/>
              </w:rPr>
              <w:fldChar w:fldCharType="end"/>
            </w:r>
          </w:hyperlink>
        </w:p>
        <w:p w14:paraId="7DEC4CC1" w14:textId="77777777" w:rsidR="002E38DB" w:rsidRDefault="002E38DB" w:rsidP="002E38DB">
          <w:pPr>
            <w:pStyle w:val="TOC1"/>
            <w:tabs>
              <w:tab w:val="right" w:leader="dot" w:pos="9350"/>
            </w:tabs>
            <w:rPr>
              <w:noProof/>
            </w:rPr>
          </w:pPr>
          <w:hyperlink w:anchor="_Toc222330778" w:history="1">
            <w:r w:rsidRPr="00BF460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_Toc222330778 \h </w:instrText>
            </w:r>
            <w:r>
              <w:rPr>
                <w:noProof/>
                <w:webHidden/>
              </w:rPr>
            </w:r>
            <w:r>
              <w:rPr>
                <w:noProof/>
                <w:webHidden/>
              </w:rPr>
              <w:fldChar w:fldCharType="separate"/>
            </w:r>
            <w:r>
              <w:rPr>
                <w:noProof/>
                <w:webHidden/>
              </w:rPr>
              <w:t>15</w:t>
            </w:r>
            <w:r>
              <w:rPr>
                <w:noProof/>
                <w:webHidden/>
              </w:rPr>
              <w:fldChar w:fldCharType="end"/>
            </w:r>
          </w:hyperlink>
        </w:p>
        <w:p w14:paraId="6D499221" w14:textId="77777777" w:rsidR="002E38DB" w:rsidRDefault="002E38DB" w:rsidP="002E38DB">
          <w:r>
            <w:rPr>
              <w:b/>
              <w:bCs/>
              <w:noProof/>
            </w:rPr>
            <w:fldChar w:fldCharType="end"/>
          </w:r>
        </w:p>
      </w:sdtContent>
    </w:sdt>
    <w:p w14:paraId="3A77EC4E" w14:textId="77777777" w:rsidR="002E38DB" w:rsidRDefault="002E38DB" w:rsidP="002E38DB">
      <w:pPr>
        <w:spacing w:after="0" w:line="480" w:lineRule="auto"/>
        <w:jc w:val="both"/>
        <w:rPr>
          <w:rFonts w:ascii="Arial" w:hAnsi="Arial" w:cs="Arial"/>
          <w:b/>
          <w:bCs/>
          <w:sz w:val="24"/>
          <w:szCs w:val="24"/>
        </w:rPr>
      </w:pPr>
    </w:p>
    <w:p w14:paraId="25B150F7" w14:textId="77777777" w:rsidR="002E38DB" w:rsidRDefault="002E38DB" w:rsidP="002E38DB">
      <w:pPr>
        <w:spacing w:after="0" w:line="480" w:lineRule="auto"/>
        <w:jc w:val="both"/>
        <w:rPr>
          <w:rFonts w:ascii="Arial" w:hAnsi="Arial" w:cs="Arial"/>
          <w:b/>
          <w:bCs/>
          <w:sz w:val="24"/>
          <w:szCs w:val="24"/>
        </w:rPr>
      </w:pPr>
    </w:p>
    <w:p w14:paraId="1E7BEB66" w14:textId="77777777" w:rsidR="002E38DB" w:rsidRDefault="002E38DB" w:rsidP="002E38DB">
      <w:pPr>
        <w:spacing w:after="0" w:line="480" w:lineRule="auto"/>
        <w:jc w:val="both"/>
        <w:rPr>
          <w:rFonts w:ascii="Arial" w:hAnsi="Arial" w:cs="Arial"/>
          <w:b/>
          <w:bCs/>
          <w:sz w:val="24"/>
          <w:szCs w:val="24"/>
        </w:rPr>
      </w:pPr>
    </w:p>
    <w:p w14:paraId="13026F77" w14:textId="77777777" w:rsidR="002E38DB" w:rsidRDefault="002E38DB" w:rsidP="002E38DB">
      <w:pPr>
        <w:spacing w:after="0" w:line="480" w:lineRule="auto"/>
        <w:jc w:val="both"/>
        <w:rPr>
          <w:rFonts w:ascii="Arial" w:hAnsi="Arial" w:cs="Arial"/>
          <w:b/>
          <w:bCs/>
          <w:sz w:val="24"/>
          <w:szCs w:val="24"/>
        </w:rPr>
      </w:pPr>
    </w:p>
    <w:p w14:paraId="5F7ADFAD" w14:textId="77777777" w:rsidR="002E38DB" w:rsidRDefault="002E38DB" w:rsidP="002E38DB">
      <w:pPr>
        <w:spacing w:after="0" w:line="480" w:lineRule="auto"/>
        <w:jc w:val="both"/>
        <w:rPr>
          <w:rFonts w:ascii="Arial" w:hAnsi="Arial" w:cs="Arial"/>
          <w:b/>
          <w:bCs/>
          <w:sz w:val="24"/>
          <w:szCs w:val="24"/>
        </w:rPr>
      </w:pPr>
    </w:p>
    <w:p w14:paraId="07E3D993" w14:textId="77777777" w:rsidR="002E38DB" w:rsidRDefault="002E38DB" w:rsidP="002E38DB">
      <w:pPr>
        <w:spacing w:after="0" w:line="480" w:lineRule="auto"/>
        <w:jc w:val="both"/>
        <w:rPr>
          <w:rFonts w:ascii="Arial" w:hAnsi="Arial" w:cs="Arial"/>
          <w:b/>
          <w:bCs/>
          <w:sz w:val="24"/>
          <w:szCs w:val="24"/>
        </w:rPr>
      </w:pPr>
    </w:p>
    <w:p w14:paraId="4B1E9B31" w14:textId="77777777" w:rsidR="002E38DB" w:rsidRDefault="002E38DB" w:rsidP="002E38DB">
      <w:pPr>
        <w:spacing w:after="0" w:line="480" w:lineRule="auto"/>
        <w:jc w:val="both"/>
        <w:rPr>
          <w:rFonts w:ascii="Arial" w:hAnsi="Arial" w:cs="Arial"/>
          <w:b/>
          <w:bCs/>
          <w:sz w:val="24"/>
          <w:szCs w:val="24"/>
        </w:rPr>
      </w:pPr>
    </w:p>
    <w:p w14:paraId="703488E1" w14:textId="77777777" w:rsidR="002E38DB" w:rsidRDefault="002E38DB" w:rsidP="002E38DB">
      <w:pPr>
        <w:spacing w:after="0" w:line="480" w:lineRule="auto"/>
        <w:jc w:val="both"/>
        <w:rPr>
          <w:rFonts w:ascii="Arial" w:hAnsi="Arial" w:cs="Arial"/>
          <w:b/>
          <w:bCs/>
          <w:sz w:val="24"/>
          <w:szCs w:val="24"/>
        </w:rPr>
      </w:pPr>
    </w:p>
    <w:p w14:paraId="2A741707" w14:textId="77777777" w:rsidR="002E38DB" w:rsidRDefault="002E38DB" w:rsidP="002E38DB">
      <w:pPr>
        <w:spacing w:after="0" w:line="480" w:lineRule="auto"/>
        <w:jc w:val="both"/>
        <w:rPr>
          <w:rFonts w:ascii="Arial" w:hAnsi="Arial" w:cs="Arial"/>
          <w:b/>
          <w:bCs/>
          <w:sz w:val="24"/>
          <w:szCs w:val="24"/>
        </w:rPr>
      </w:pPr>
    </w:p>
    <w:p w14:paraId="42A4219D" w14:textId="77777777" w:rsidR="002E38DB" w:rsidRDefault="002E38DB" w:rsidP="002E38DB">
      <w:pPr>
        <w:spacing w:after="0" w:line="480" w:lineRule="auto"/>
        <w:jc w:val="both"/>
        <w:rPr>
          <w:rFonts w:ascii="Arial" w:hAnsi="Arial" w:cs="Arial"/>
          <w:b/>
          <w:bCs/>
          <w:sz w:val="24"/>
          <w:szCs w:val="24"/>
        </w:rPr>
      </w:pPr>
    </w:p>
    <w:p w14:paraId="2DAA551C" w14:textId="77777777" w:rsidR="002E38DB" w:rsidRDefault="002E38DB" w:rsidP="002E38DB">
      <w:pPr>
        <w:spacing w:after="0" w:line="480" w:lineRule="auto"/>
        <w:jc w:val="both"/>
        <w:rPr>
          <w:rFonts w:ascii="Arial" w:hAnsi="Arial" w:cs="Arial"/>
          <w:b/>
          <w:bCs/>
          <w:sz w:val="24"/>
          <w:szCs w:val="24"/>
        </w:rPr>
      </w:pPr>
    </w:p>
    <w:p w14:paraId="7A8FDB2D" w14:textId="77777777" w:rsidR="002E38DB" w:rsidRDefault="002E38DB" w:rsidP="002E38DB">
      <w:pPr>
        <w:spacing w:after="0" w:line="480" w:lineRule="auto"/>
        <w:jc w:val="both"/>
        <w:rPr>
          <w:rFonts w:ascii="Arial" w:hAnsi="Arial" w:cs="Arial"/>
          <w:b/>
          <w:bCs/>
          <w:sz w:val="24"/>
          <w:szCs w:val="24"/>
        </w:rPr>
      </w:pPr>
    </w:p>
    <w:p w14:paraId="7BD83C8A" w14:textId="77777777" w:rsidR="002E38DB" w:rsidRPr="0026514B" w:rsidRDefault="002E38DB" w:rsidP="002E38DB">
      <w:pPr>
        <w:pStyle w:val="Heading1"/>
        <w:spacing w:line="480" w:lineRule="auto"/>
        <w:rPr>
          <w:rFonts w:ascii="Arial" w:hAnsi="Arial" w:cs="Arial"/>
          <w:sz w:val="24"/>
          <w:szCs w:val="24"/>
        </w:rPr>
      </w:pPr>
      <w:bookmarkStart w:id="0" w:name="_Toc222330766"/>
      <w:r w:rsidRPr="0026514B">
        <w:rPr>
          <w:rFonts w:ascii="Arial" w:hAnsi="Arial" w:cs="Arial"/>
          <w:sz w:val="24"/>
          <w:szCs w:val="24"/>
        </w:rPr>
        <w:t>Part 1: Designing the Talent Ecosystem</w:t>
      </w:r>
      <w:bookmarkEnd w:id="0"/>
    </w:p>
    <w:p w14:paraId="31976941" w14:textId="77777777" w:rsidR="002E38DB" w:rsidRPr="0026514B" w:rsidRDefault="002E38DB" w:rsidP="002E38DB">
      <w:pPr>
        <w:pStyle w:val="Heading2"/>
        <w:spacing w:line="480" w:lineRule="auto"/>
        <w:rPr>
          <w:rFonts w:ascii="Arial" w:hAnsi="Arial" w:cs="Arial"/>
          <w:sz w:val="24"/>
          <w:szCs w:val="24"/>
        </w:rPr>
      </w:pPr>
      <w:bookmarkStart w:id="1" w:name="_Toc222330767"/>
      <w:r w:rsidRPr="0026514B">
        <w:rPr>
          <w:rFonts w:ascii="Arial" w:hAnsi="Arial" w:cs="Arial"/>
          <w:sz w:val="24"/>
          <w:szCs w:val="24"/>
        </w:rPr>
        <w:t>Current Talent Ecosystem Among Tech Companies</w:t>
      </w:r>
      <w:bookmarkEnd w:id="1"/>
    </w:p>
    <w:p w14:paraId="18ADA47A" w14:textId="77777777" w:rsidR="002E38DB" w:rsidRPr="0026514B" w:rsidRDefault="002E38DB" w:rsidP="002E38DB">
      <w:pPr>
        <w:pStyle w:val="Heading3"/>
        <w:spacing w:line="480" w:lineRule="auto"/>
        <w:rPr>
          <w:rFonts w:ascii="Arial" w:hAnsi="Arial" w:cs="Arial"/>
          <w:sz w:val="24"/>
          <w:szCs w:val="24"/>
        </w:rPr>
      </w:pPr>
      <w:bookmarkStart w:id="2" w:name="_Toc222330768"/>
      <w:r w:rsidRPr="0026514B">
        <w:rPr>
          <w:rFonts w:ascii="Arial" w:hAnsi="Arial" w:cs="Arial"/>
          <w:sz w:val="24"/>
          <w:szCs w:val="24"/>
        </w:rPr>
        <w:t>External Hiring and Talent Competition</w:t>
      </w:r>
      <w:bookmarkEnd w:id="2"/>
    </w:p>
    <w:p w14:paraId="588BA932" w14:textId="77777777" w:rsidR="002E38DB" w:rsidRPr="006F4503" w:rsidRDefault="002E38DB" w:rsidP="002E38DB">
      <w:pPr>
        <w:spacing w:after="0" w:line="480" w:lineRule="auto"/>
        <w:jc w:val="both"/>
        <w:rPr>
          <w:rFonts w:ascii="Arial" w:hAnsi="Arial" w:cs="Arial"/>
          <w:sz w:val="24"/>
          <w:szCs w:val="24"/>
        </w:rPr>
      </w:pPr>
      <w:r w:rsidRPr="006F4503">
        <w:rPr>
          <w:rFonts w:ascii="Arial" w:hAnsi="Arial" w:cs="Arial"/>
          <w:sz w:val="24"/>
          <w:szCs w:val="24"/>
        </w:rPr>
        <w:t>The modern tech talent system is largely influenced by the high competition all over the world over the limited digital skills. The shortage of artificial intelligence, cybersecurity, and cloud engineering talents in the market is present in companies like Google and Meta (</w:t>
      </w:r>
      <w:proofErr w:type="spellStart"/>
      <w:r w:rsidRPr="006F4503">
        <w:rPr>
          <w:rFonts w:ascii="Arial" w:hAnsi="Arial" w:cs="Arial"/>
          <w:sz w:val="24"/>
          <w:szCs w:val="24"/>
        </w:rPr>
        <w:t>Kunungo</w:t>
      </w:r>
      <w:proofErr w:type="spellEnd"/>
      <w:r w:rsidRPr="006F4503">
        <w:rPr>
          <w:rFonts w:ascii="Arial" w:hAnsi="Arial" w:cs="Arial"/>
          <w:sz w:val="24"/>
          <w:szCs w:val="24"/>
        </w:rPr>
        <w:t xml:space="preserve">, </w:t>
      </w:r>
      <w:proofErr w:type="spellStart"/>
      <w:r w:rsidRPr="006F4503">
        <w:rPr>
          <w:rFonts w:ascii="Arial" w:hAnsi="Arial" w:cs="Arial"/>
          <w:sz w:val="24"/>
          <w:szCs w:val="24"/>
        </w:rPr>
        <w:t>Ramabhotla</w:t>
      </w:r>
      <w:proofErr w:type="spellEnd"/>
      <w:r w:rsidRPr="006F4503">
        <w:rPr>
          <w:rFonts w:ascii="Arial" w:hAnsi="Arial" w:cs="Arial"/>
          <w:sz w:val="24"/>
          <w:szCs w:val="24"/>
        </w:rPr>
        <w:t xml:space="preserve">, and Bhoyar, 2018). This makes these </w:t>
      </w:r>
      <w:r w:rsidRPr="006F4503">
        <w:rPr>
          <w:rFonts w:ascii="Arial" w:hAnsi="Arial" w:cs="Arial"/>
          <w:sz w:val="24"/>
          <w:szCs w:val="24"/>
        </w:rPr>
        <w:lastRenderedPageBreak/>
        <w:t xml:space="preserve">companies spend a lot of money on employer branding, international sourcing </w:t>
      </w:r>
      <w:proofErr w:type="spellStart"/>
      <w:r w:rsidRPr="006F4503">
        <w:rPr>
          <w:rFonts w:ascii="Arial" w:hAnsi="Arial" w:cs="Arial"/>
          <w:sz w:val="24"/>
          <w:szCs w:val="24"/>
        </w:rPr>
        <w:t>practises</w:t>
      </w:r>
      <w:proofErr w:type="spellEnd"/>
      <w:r w:rsidRPr="006F4503">
        <w:rPr>
          <w:rFonts w:ascii="Arial" w:hAnsi="Arial" w:cs="Arial"/>
          <w:sz w:val="24"/>
          <w:szCs w:val="24"/>
        </w:rPr>
        <w:t xml:space="preserve"> and competitive remuneration packages in order to purchase talent. Indicatively, the systematic recruitment conducted by Google </w:t>
      </w:r>
      <w:proofErr w:type="spellStart"/>
      <w:r w:rsidRPr="006F4503">
        <w:rPr>
          <w:rFonts w:ascii="Arial" w:hAnsi="Arial" w:cs="Arial"/>
          <w:sz w:val="24"/>
          <w:szCs w:val="24"/>
        </w:rPr>
        <w:t>centres</w:t>
      </w:r>
      <w:proofErr w:type="spellEnd"/>
      <w:r w:rsidRPr="006F4503">
        <w:rPr>
          <w:rFonts w:ascii="Arial" w:hAnsi="Arial" w:cs="Arial"/>
          <w:sz w:val="24"/>
          <w:szCs w:val="24"/>
        </w:rPr>
        <w:t xml:space="preserve"> on cognitive skills, job-related expertise, and leadership qualities, whereas Meta is actively recruiting experienced engineers of rival companies to achieve shorter products development cycles (</w:t>
      </w:r>
      <w:proofErr w:type="spellStart"/>
      <w:r w:rsidRPr="006F4503">
        <w:rPr>
          <w:rFonts w:ascii="Arial" w:hAnsi="Arial" w:cs="Arial"/>
          <w:sz w:val="24"/>
          <w:szCs w:val="24"/>
        </w:rPr>
        <w:t>Vejaratnam</w:t>
      </w:r>
      <w:proofErr w:type="spellEnd"/>
      <w:r w:rsidRPr="006F4503">
        <w:rPr>
          <w:rFonts w:ascii="Arial" w:hAnsi="Arial" w:cs="Arial"/>
          <w:sz w:val="24"/>
          <w:szCs w:val="24"/>
        </w:rPr>
        <w:t xml:space="preserve"> et., 2022). This ecosystem is defined in terms of high salaries, signing bonuses, stock options and relocation package. Although it is fast to build knowledge, external aggressive recruitment may raise salary inflation, internal equity, and cause cultural misfit unless coupled with internal growth. The excessive dependence on purchasing talent is more characteristic of the short-term capability acquisition approach to capability building as opposed to longer term internal capability building.</w:t>
      </w:r>
    </w:p>
    <w:p w14:paraId="00E6CAF2" w14:textId="77777777" w:rsidR="002E38DB" w:rsidRPr="0026514B" w:rsidRDefault="002E38DB" w:rsidP="002E38DB">
      <w:pPr>
        <w:pStyle w:val="Heading3"/>
        <w:spacing w:line="480" w:lineRule="auto"/>
        <w:rPr>
          <w:rFonts w:ascii="Arial" w:hAnsi="Arial" w:cs="Arial"/>
          <w:sz w:val="24"/>
          <w:szCs w:val="24"/>
        </w:rPr>
      </w:pPr>
      <w:bookmarkStart w:id="3" w:name="_Toc222330769"/>
      <w:r w:rsidRPr="0026514B">
        <w:rPr>
          <w:rFonts w:ascii="Arial" w:hAnsi="Arial" w:cs="Arial"/>
          <w:sz w:val="24"/>
          <w:szCs w:val="24"/>
        </w:rPr>
        <w:t>Structured Internal Development</w:t>
      </w:r>
      <w:bookmarkEnd w:id="3"/>
    </w:p>
    <w:p w14:paraId="310448FB" w14:textId="77777777" w:rsidR="002E38DB" w:rsidRPr="006F4503" w:rsidRDefault="002E38DB" w:rsidP="002E38DB">
      <w:pPr>
        <w:spacing w:after="0" w:line="480" w:lineRule="auto"/>
        <w:jc w:val="both"/>
        <w:rPr>
          <w:rFonts w:ascii="Arial" w:hAnsi="Arial" w:cs="Arial"/>
          <w:sz w:val="24"/>
          <w:szCs w:val="24"/>
        </w:rPr>
      </w:pPr>
      <w:r w:rsidRPr="006F4503">
        <w:rPr>
          <w:rFonts w:ascii="Arial" w:hAnsi="Arial" w:cs="Arial"/>
          <w:sz w:val="24"/>
          <w:szCs w:val="24"/>
        </w:rPr>
        <w:t xml:space="preserve">High turnover risks are leading to increased investments in internal development systems by many technology firms. Microsoft is an illustrative example of a build-oriented model because it invests into leadership academies, technical qualifications, and formal career mobility </w:t>
      </w:r>
      <w:proofErr w:type="spellStart"/>
      <w:r w:rsidRPr="006F4503">
        <w:rPr>
          <w:rFonts w:ascii="Arial" w:hAnsi="Arial" w:cs="Arial"/>
          <w:sz w:val="24"/>
          <w:szCs w:val="24"/>
        </w:rPr>
        <w:t>programmes</w:t>
      </w:r>
      <w:proofErr w:type="spellEnd"/>
      <w:r w:rsidRPr="006F4503">
        <w:rPr>
          <w:rFonts w:ascii="Arial" w:hAnsi="Arial" w:cs="Arial"/>
          <w:sz w:val="24"/>
          <w:szCs w:val="24"/>
        </w:rPr>
        <w:t xml:space="preserve"> (</w:t>
      </w:r>
      <w:proofErr w:type="spellStart"/>
      <w:r w:rsidRPr="006F4503">
        <w:rPr>
          <w:rFonts w:ascii="Arial" w:hAnsi="Arial" w:cs="Arial"/>
          <w:sz w:val="24"/>
          <w:szCs w:val="24"/>
        </w:rPr>
        <w:t>Vaiman</w:t>
      </w:r>
      <w:proofErr w:type="spellEnd"/>
      <w:r w:rsidRPr="006F4503">
        <w:rPr>
          <w:rFonts w:ascii="Arial" w:hAnsi="Arial" w:cs="Arial"/>
          <w:sz w:val="24"/>
          <w:szCs w:val="24"/>
        </w:rPr>
        <w:t xml:space="preserve"> et al., 2021). The culture change process initiated by Satya Nadella in Microsoft focused on a growth mindset, with the core strategic focus on constant learning and internal mobility (Ibarra, Rattan, and Johnston, 2018). In the same vein, IBM has also invested in digital learning and skills-based development </w:t>
      </w:r>
      <w:proofErr w:type="spellStart"/>
      <w:r w:rsidRPr="006F4503">
        <w:rPr>
          <w:rFonts w:ascii="Arial" w:hAnsi="Arial" w:cs="Arial"/>
          <w:sz w:val="24"/>
          <w:szCs w:val="24"/>
        </w:rPr>
        <w:t>programmes</w:t>
      </w:r>
      <w:proofErr w:type="spellEnd"/>
      <w:r w:rsidRPr="006F4503">
        <w:rPr>
          <w:rFonts w:ascii="Arial" w:hAnsi="Arial" w:cs="Arial"/>
          <w:sz w:val="24"/>
          <w:szCs w:val="24"/>
        </w:rPr>
        <w:t xml:space="preserve"> to reskill employees in new technologies like AI and cloud computing (Devine, 2021). These companies understand that the high potential employees need to see the careers growth and learning opportunities so as to keep them. Formal internal pipelines decrease the reliance on expensive executive recruiting and enhance the dedication of the personnel. Nevertheless, talent </w:t>
      </w:r>
      <w:r w:rsidRPr="006F4503">
        <w:rPr>
          <w:rFonts w:ascii="Arial" w:hAnsi="Arial" w:cs="Arial"/>
          <w:sz w:val="24"/>
          <w:szCs w:val="24"/>
        </w:rPr>
        <w:lastRenderedPageBreak/>
        <w:t xml:space="preserve">development takes years to develop, managerial-level skills, and succession planning discipline. Companies that do not make development pathways </w:t>
      </w:r>
      <w:proofErr w:type="spellStart"/>
      <w:r w:rsidRPr="006F4503">
        <w:rPr>
          <w:rFonts w:ascii="Arial" w:hAnsi="Arial" w:cs="Arial"/>
          <w:sz w:val="24"/>
          <w:szCs w:val="24"/>
        </w:rPr>
        <w:t>institutionalised</w:t>
      </w:r>
      <w:proofErr w:type="spellEnd"/>
      <w:r w:rsidRPr="006F4503">
        <w:rPr>
          <w:rFonts w:ascii="Arial" w:hAnsi="Arial" w:cs="Arial"/>
          <w:sz w:val="24"/>
          <w:szCs w:val="24"/>
        </w:rPr>
        <w:t xml:space="preserve"> are likely to lose young leaders to their competitors who have a better growth prospectus.</w:t>
      </w:r>
    </w:p>
    <w:p w14:paraId="0C709F54" w14:textId="77777777" w:rsidR="002E38DB" w:rsidRPr="0026514B" w:rsidRDefault="002E38DB" w:rsidP="002E38DB">
      <w:pPr>
        <w:pStyle w:val="Heading3"/>
        <w:spacing w:line="480" w:lineRule="auto"/>
        <w:rPr>
          <w:rFonts w:ascii="Arial" w:hAnsi="Arial" w:cs="Arial"/>
          <w:sz w:val="24"/>
          <w:szCs w:val="24"/>
        </w:rPr>
      </w:pPr>
      <w:bookmarkStart w:id="4" w:name="_Toc222330770"/>
      <w:r w:rsidRPr="0026514B">
        <w:rPr>
          <w:rFonts w:ascii="Arial" w:hAnsi="Arial" w:cs="Arial"/>
          <w:sz w:val="24"/>
          <w:szCs w:val="24"/>
        </w:rPr>
        <w:t>Flexible Work Models and Employee Value Proposition (EVP)</w:t>
      </w:r>
      <w:bookmarkEnd w:id="4"/>
    </w:p>
    <w:p w14:paraId="579D05D6" w14:textId="77777777" w:rsidR="002E38DB" w:rsidRPr="006F4503" w:rsidRDefault="002E38DB" w:rsidP="002E38DB">
      <w:pPr>
        <w:spacing w:after="0" w:line="480" w:lineRule="auto"/>
        <w:jc w:val="both"/>
        <w:rPr>
          <w:rFonts w:ascii="Arial" w:hAnsi="Arial" w:cs="Arial"/>
          <w:sz w:val="24"/>
          <w:szCs w:val="24"/>
        </w:rPr>
      </w:pPr>
      <w:r w:rsidRPr="006F4503">
        <w:rPr>
          <w:rFonts w:ascii="Arial" w:hAnsi="Arial" w:cs="Arial"/>
          <w:sz w:val="24"/>
          <w:szCs w:val="24"/>
        </w:rPr>
        <w:t xml:space="preserve">The technology ecosystem of the post-pandemic world </w:t>
      </w:r>
      <w:proofErr w:type="spellStart"/>
      <w:r w:rsidRPr="006F4503">
        <w:rPr>
          <w:rFonts w:ascii="Arial" w:hAnsi="Arial" w:cs="Arial"/>
          <w:sz w:val="24"/>
          <w:szCs w:val="24"/>
        </w:rPr>
        <w:t>institutionalised</w:t>
      </w:r>
      <w:proofErr w:type="spellEnd"/>
      <w:r w:rsidRPr="006F4503">
        <w:rPr>
          <w:rFonts w:ascii="Arial" w:hAnsi="Arial" w:cs="Arial"/>
          <w:sz w:val="24"/>
          <w:szCs w:val="24"/>
        </w:rPr>
        <w:t xml:space="preserve"> the model of hybrid and remote work as the key elements of talent strategy. Amazon and Salesforce have tried flexible work setups to increase the autonomy of the employees and to balance both teamwork requirements (</w:t>
      </w:r>
      <w:proofErr w:type="spellStart"/>
      <w:r w:rsidRPr="006F4503">
        <w:rPr>
          <w:rFonts w:ascii="Arial" w:hAnsi="Arial" w:cs="Arial"/>
          <w:sz w:val="24"/>
          <w:szCs w:val="24"/>
        </w:rPr>
        <w:t>Wattree</w:t>
      </w:r>
      <w:proofErr w:type="spellEnd"/>
      <w:r w:rsidRPr="006F4503">
        <w:rPr>
          <w:rFonts w:ascii="Arial" w:hAnsi="Arial" w:cs="Arial"/>
          <w:sz w:val="24"/>
          <w:szCs w:val="24"/>
        </w:rPr>
        <w:t>, 2020). In the case of Salesforce, a culture of trust and flexibility is encouraged, which is combined with a high level of digital collaboration infrastructure and remote working. The trend can be attributed to evolving employee expectations with the high-potential talent becoming more demanding of flexibility, meaningful work, and work-life integration in addition to payments. Career growth, purpose-driven impact, inclusivity and autonomy have become a part of a compelling Employee Value Proposition (EVP) (</w:t>
      </w:r>
      <w:proofErr w:type="spellStart"/>
      <w:r w:rsidRPr="006F4503">
        <w:rPr>
          <w:rFonts w:ascii="Arial" w:hAnsi="Arial" w:cs="Arial"/>
          <w:sz w:val="24"/>
          <w:szCs w:val="24"/>
        </w:rPr>
        <w:t>Bagienska</w:t>
      </w:r>
      <w:proofErr w:type="spellEnd"/>
      <w:r w:rsidRPr="006F4503">
        <w:rPr>
          <w:rFonts w:ascii="Arial" w:hAnsi="Arial" w:cs="Arial"/>
          <w:sz w:val="24"/>
          <w:szCs w:val="24"/>
        </w:rPr>
        <w:t>, 2018). As such, flexibility has ceased to be an added value but a competitive entry point in the technology talent market. Those firms that are able to combine flexibility and performance accountability promote engagement and innovation ability.</w:t>
      </w:r>
    </w:p>
    <w:p w14:paraId="3DF5BA4C" w14:textId="77777777" w:rsidR="002E38DB" w:rsidRPr="0026514B" w:rsidRDefault="002E38DB" w:rsidP="002E38DB">
      <w:pPr>
        <w:pStyle w:val="Heading3"/>
        <w:spacing w:line="480" w:lineRule="auto"/>
        <w:rPr>
          <w:rFonts w:ascii="Arial" w:hAnsi="Arial" w:cs="Arial"/>
          <w:sz w:val="24"/>
          <w:szCs w:val="24"/>
        </w:rPr>
      </w:pPr>
      <w:bookmarkStart w:id="5" w:name="_Toc222330771"/>
      <w:r w:rsidRPr="0026514B">
        <w:rPr>
          <w:rFonts w:ascii="Arial" w:hAnsi="Arial" w:cs="Arial"/>
          <w:sz w:val="24"/>
          <w:szCs w:val="24"/>
        </w:rPr>
        <w:t>Continuous Learning and Innovation Ecosystems</w:t>
      </w:r>
      <w:bookmarkEnd w:id="5"/>
    </w:p>
    <w:p w14:paraId="16F8C5C9" w14:textId="77777777" w:rsidR="002E38DB" w:rsidRPr="006F4503" w:rsidRDefault="002E38DB" w:rsidP="002E38DB">
      <w:pPr>
        <w:spacing w:after="0" w:line="480" w:lineRule="auto"/>
        <w:jc w:val="both"/>
        <w:rPr>
          <w:rFonts w:ascii="Arial" w:hAnsi="Arial" w:cs="Arial"/>
          <w:sz w:val="24"/>
          <w:szCs w:val="24"/>
        </w:rPr>
      </w:pPr>
      <w:r w:rsidRPr="006F4503">
        <w:rPr>
          <w:rFonts w:ascii="Arial" w:hAnsi="Arial" w:cs="Arial"/>
          <w:sz w:val="24"/>
          <w:szCs w:val="24"/>
        </w:rPr>
        <w:t xml:space="preserve">The skill half-life in the tech industry has been decreasing due to a fast change in technology. Adobe and Netflix offer good examples of companies that consider the importance of continuous learning and experimentation as strategic priorities. Adobe facilitates internal mobility and online educational solutions to reskill employees, whereas Netflix allows high performance on the principles of freedom and responsibility, allowing employees to create something novel independently (Kostal, </w:t>
      </w:r>
      <w:r w:rsidRPr="006F4503">
        <w:rPr>
          <w:rFonts w:ascii="Arial" w:hAnsi="Arial" w:cs="Arial"/>
          <w:sz w:val="24"/>
          <w:szCs w:val="24"/>
        </w:rPr>
        <w:lastRenderedPageBreak/>
        <w:t>2025). Such tools as hackathons, innovation sprints, and cross-functional work are typical of this ecosystem (</w:t>
      </w:r>
      <w:proofErr w:type="spellStart"/>
      <w:r w:rsidRPr="006F4503">
        <w:rPr>
          <w:rFonts w:ascii="Arial" w:hAnsi="Arial" w:cs="Arial"/>
          <w:sz w:val="24"/>
          <w:szCs w:val="24"/>
        </w:rPr>
        <w:t>Umezurike</w:t>
      </w:r>
      <w:proofErr w:type="spellEnd"/>
      <w:r w:rsidRPr="006F4503">
        <w:rPr>
          <w:rFonts w:ascii="Arial" w:hAnsi="Arial" w:cs="Arial"/>
          <w:sz w:val="24"/>
          <w:szCs w:val="24"/>
        </w:rPr>
        <w:t xml:space="preserve"> et al., 2025). Performance outcomes and product innovation are closely related to learning. Those </w:t>
      </w:r>
      <w:proofErr w:type="spellStart"/>
      <w:r w:rsidRPr="006F4503">
        <w:rPr>
          <w:rFonts w:ascii="Arial" w:hAnsi="Arial" w:cs="Arial"/>
          <w:sz w:val="24"/>
          <w:szCs w:val="24"/>
        </w:rPr>
        <w:t>organisations</w:t>
      </w:r>
      <w:proofErr w:type="spellEnd"/>
      <w:r w:rsidRPr="006F4503">
        <w:rPr>
          <w:rFonts w:ascii="Arial" w:hAnsi="Arial" w:cs="Arial"/>
          <w:sz w:val="24"/>
          <w:szCs w:val="24"/>
        </w:rPr>
        <w:t xml:space="preserve"> that do not focus on lifelong learning are at a risk of becoming obsolete in terms of capability and becoming less competitive. </w:t>
      </w:r>
    </w:p>
    <w:p w14:paraId="60C87121" w14:textId="77777777" w:rsidR="002E38DB" w:rsidRPr="0026514B" w:rsidRDefault="002E38DB" w:rsidP="002E38DB">
      <w:pPr>
        <w:pStyle w:val="Heading2"/>
        <w:spacing w:line="480" w:lineRule="auto"/>
        <w:rPr>
          <w:rFonts w:ascii="Arial" w:hAnsi="Arial" w:cs="Arial"/>
          <w:sz w:val="24"/>
          <w:szCs w:val="24"/>
        </w:rPr>
      </w:pPr>
      <w:bookmarkStart w:id="6" w:name="_Toc222330772"/>
      <w:r w:rsidRPr="0026514B">
        <w:rPr>
          <w:rFonts w:ascii="Arial" w:eastAsia="SimSun" w:hAnsi="Arial" w:cs="Arial"/>
          <w:sz w:val="24"/>
          <w:szCs w:val="24"/>
        </w:rPr>
        <w:t>Proposed Strategic Build Vs. Buy Talent Model to Attract and Retain High-Potential Employees</w:t>
      </w:r>
      <w:bookmarkEnd w:id="6"/>
    </w:p>
    <w:p w14:paraId="04A8F946" w14:textId="77777777" w:rsidR="002E38DB" w:rsidRPr="0026514B" w:rsidRDefault="002E38DB" w:rsidP="002E38DB">
      <w:pPr>
        <w:pStyle w:val="Heading3"/>
        <w:spacing w:line="480" w:lineRule="auto"/>
        <w:rPr>
          <w:rFonts w:ascii="Arial" w:hAnsi="Arial" w:cs="Arial"/>
          <w:sz w:val="24"/>
          <w:szCs w:val="24"/>
        </w:rPr>
      </w:pPr>
      <w:bookmarkStart w:id="7" w:name="_Toc222330773"/>
      <w:r w:rsidRPr="0026514B">
        <w:rPr>
          <w:rFonts w:ascii="Arial" w:hAnsi="Arial" w:cs="Arial"/>
          <w:sz w:val="24"/>
          <w:szCs w:val="24"/>
        </w:rPr>
        <w:t>Strategic Build vs. Buy Talent Model</w:t>
      </w:r>
      <w:bookmarkEnd w:id="7"/>
    </w:p>
    <w:p w14:paraId="616FB6B0"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To develop a successful talent ecosystem in Aether Innovations, a 60 percent Build and 40 percent Buy Talent Model is required to be designed with reference to the modern-day talent management theory. </w:t>
      </w:r>
      <w:proofErr w:type="spellStart"/>
      <w:r w:rsidRPr="006F4503">
        <w:rPr>
          <w:rFonts w:ascii="Arial" w:hAnsi="Arial" w:cs="Arial"/>
          <w:sz w:val="24"/>
          <w:szCs w:val="24"/>
        </w:rPr>
        <w:t>Galloardo</w:t>
      </w:r>
      <w:proofErr w:type="spellEnd"/>
      <w:r w:rsidRPr="006F4503">
        <w:rPr>
          <w:rFonts w:ascii="Arial" w:hAnsi="Arial" w:cs="Arial"/>
          <w:sz w:val="24"/>
          <w:szCs w:val="24"/>
        </w:rPr>
        <w:t xml:space="preserve">-Gallardo (2018) argues that first; in defining what talent is, </w:t>
      </w:r>
      <w:proofErr w:type="spellStart"/>
      <w:r w:rsidRPr="006F4503">
        <w:rPr>
          <w:rFonts w:ascii="Arial" w:hAnsi="Arial" w:cs="Arial"/>
          <w:sz w:val="24"/>
          <w:szCs w:val="24"/>
        </w:rPr>
        <w:t>organisations</w:t>
      </w:r>
      <w:proofErr w:type="spellEnd"/>
      <w:r w:rsidRPr="006F4503">
        <w:rPr>
          <w:rFonts w:ascii="Arial" w:hAnsi="Arial" w:cs="Arial"/>
          <w:sz w:val="24"/>
          <w:szCs w:val="24"/>
        </w:rPr>
        <w:t xml:space="preserve"> have to put the definition of the concept in context before deciding how to deal with talent. In the case of Aether, talent can be described as those employees who exhibit a long-time and high performance, ability to be innovative, to be agile in the learning process and have potential to be leaders in line with the long-term strategic objectives. This explicit definition can be used to make sure that the workforce decisions are made in line with the competitive advantage and not short-term staffing demands. As Sparrow (2019) notes, talent management can be chaotic in situations when the </w:t>
      </w:r>
      <w:proofErr w:type="spellStart"/>
      <w:r w:rsidRPr="006F4503">
        <w:rPr>
          <w:rFonts w:ascii="Arial" w:hAnsi="Arial" w:cs="Arial"/>
          <w:sz w:val="24"/>
          <w:szCs w:val="24"/>
        </w:rPr>
        <w:t>organisation</w:t>
      </w:r>
      <w:proofErr w:type="spellEnd"/>
      <w:r w:rsidRPr="006F4503">
        <w:rPr>
          <w:rFonts w:ascii="Arial" w:hAnsi="Arial" w:cs="Arial"/>
          <w:sz w:val="24"/>
          <w:szCs w:val="24"/>
        </w:rPr>
        <w:t xml:space="preserve"> does not focus on the acquisition and development that should be combined into a single set of rules. Consequently, the 60/40 model has to be incorporated into strategic workforce planning, succession management, and capability forecasting. The 60 percent Build focus ensures that internal growth becomes the main driver of sustainability, cultural continuity, and leadership stability making talent management a long-term investment as opposed to the reactive recruitment function.</w:t>
      </w:r>
    </w:p>
    <w:p w14:paraId="15C069FD"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lastRenderedPageBreak/>
        <w:t xml:space="preserve">The Buy component, which fulfils the urgent or highly </w:t>
      </w:r>
      <w:proofErr w:type="spellStart"/>
      <w:r w:rsidRPr="006F4503">
        <w:rPr>
          <w:rFonts w:ascii="Arial" w:hAnsi="Arial" w:cs="Arial"/>
          <w:sz w:val="24"/>
          <w:szCs w:val="24"/>
        </w:rPr>
        <w:t>specialised</w:t>
      </w:r>
      <w:proofErr w:type="spellEnd"/>
      <w:r w:rsidRPr="006F4503">
        <w:rPr>
          <w:rFonts w:ascii="Arial" w:hAnsi="Arial" w:cs="Arial"/>
          <w:sz w:val="24"/>
          <w:szCs w:val="24"/>
        </w:rPr>
        <w:t xml:space="preserve"> capability gaps, complements (but does not dominate) the 40 percent Buy component. Chaudhuri, </w:t>
      </w:r>
      <w:proofErr w:type="spellStart"/>
      <w:r w:rsidRPr="006F4503">
        <w:rPr>
          <w:rFonts w:ascii="Arial" w:hAnsi="Arial" w:cs="Arial"/>
          <w:sz w:val="24"/>
          <w:szCs w:val="24"/>
        </w:rPr>
        <w:t>Hirudayaraj</w:t>
      </w:r>
      <w:proofErr w:type="spellEnd"/>
      <w:r w:rsidRPr="006F4503">
        <w:rPr>
          <w:rFonts w:ascii="Arial" w:hAnsi="Arial" w:cs="Arial"/>
          <w:sz w:val="24"/>
          <w:szCs w:val="24"/>
        </w:rPr>
        <w:t xml:space="preserve">, and </w:t>
      </w:r>
      <w:proofErr w:type="spellStart"/>
      <w:r w:rsidRPr="006F4503">
        <w:rPr>
          <w:rFonts w:ascii="Arial" w:hAnsi="Arial" w:cs="Arial"/>
          <w:sz w:val="24"/>
          <w:szCs w:val="24"/>
        </w:rPr>
        <w:t>Ardichvili</w:t>
      </w:r>
      <w:proofErr w:type="spellEnd"/>
      <w:r w:rsidRPr="006F4503">
        <w:rPr>
          <w:rFonts w:ascii="Arial" w:hAnsi="Arial" w:cs="Arial"/>
          <w:sz w:val="24"/>
          <w:szCs w:val="24"/>
        </w:rPr>
        <w:t xml:space="preserve"> (2018) discovered that IT companies that rely on external recruitment excessively undermine internal talent incubation and raise the risk of turnover, but companies that focus on development enhance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loyalty. In line with this, Aether must use Buy to </w:t>
      </w:r>
      <w:proofErr w:type="spellStart"/>
      <w:r w:rsidRPr="006F4503">
        <w:rPr>
          <w:rFonts w:ascii="Arial" w:hAnsi="Arial" w:cs="Arial"/>
          <w:sz w:val="24"/>
          <w:szCs w:val="24"/>
        </w:rPr>
        <w:t>strategise</w:t>
      </w:r>
      <w:proofErr w:type="spellEnd"/>
      <w:r w:rsidRPr="006F4503">
        <w:rPr>
          <w:rFonts w:ascii="Arial" w:hAnsi="Arial" w:cs="Arial"/>
          <w:sz w:val="24"/>
          <w:szCs w:val="24"/>
        </w:rPr>
        <w:t xml:space="preserve"> in emerging technology fields, fast market growth or change venture where urgent expertise is needed. Nevertheless, overspending as Sparrow (2019) warns may generate the image of unfairness and </w:t>
      </w:r>
      <w:proofErr w:type="spellStart"/>
      <w:r w:rsidRPr="006F4503">
        <w:rPr>
          <w:rFonts w:ascii="Arial" w:hAnsi="Arial" w:cs="Arial"/>
          <w:sz w:val="24"/>
          <w:szCs w:val="24"/>
        </w:rPr>
        <w:t>destabilise</w:t>
      </w:r>
      <w:proofErr w:type="spellEnd"/>
      <w:r w:rsidRPr="006F4503">
        <w:rPr>
          <w:rFonts w:ascii="Arial" w:hAnsi="Arial" w:cs="Arial"/>
          <w:sz w:val="24"/>
          <w:szCs w:val="24"/>
        </w:rPr>
        <w:t xml:space="preserve"> morale, so external recruitment should not be reduced to technical requirements, but cultural and collaborative competency must be present. At the same time, the 60 percent Build strategy should entrench formal talent identification, succession planning, and capability academies, in line with the recommendations of </w:t>
      </w:r>
      <w:proofErr w:type="spellStart"/>
      <w:r w:rsidRPr="006F4503">
        <w:rPr>
          <w:rFonts w:ascii="Arial" w:hAnsi="Arial" w:cs="Arial"/>
          <w:sz w:val="24"/>
          <w:szCs w:val="24"/>
        </w:rPr>
        <w:t>Alruwaili</w:t>
      </w:r>
      <w:proofErr w:type="spellEnd"/>
      <w:r w:rsidRPr="006F4503">
        <w:rPr>
          <w:rFonts w:ascii="Arial" w:hAnsi="Arial" w:cs="Arial"/>
          <w:sz w:val="24"/>
          <w:szCs w:val="24"/>
        </w:rPr>
        <w:t xml:space="preserve"> (2018), on systematic talent building to drive performance improvement. The 60/40 ratio can be used to ensure the continuity of the leadership, decrease turnover, inject innovation in strategic fashion, and turn the talent management into the sustainable competitive advantage of Aether.</w:t>
      </w:r>
    </w:p>
    <w:p w14:paraId="11AEBF8B" w14:textId="77777777" w:rsidR="002E38DB" w:rsidRPr="0026514B" w:rsidRDefault="002E38DB" w:rsidP="002E38DB">
      <w:pPr>
        <w:pStyle w:val="Heading3"/>
        <w:spacing w:line="480" w:lineRule="auto"/>
        <w:rPr>
          <w:rFonts w:ascii="Arial" w:hAnsi="Arial" w:cs="Arial"/>
          <w:sz w:val="24"/>
          <w:szCs w:val="24"/>
        </w:rPr>
      </w:pPr>
      <w:bookmarkStart w:id="8" w:name="_Toc222330774"/>
      <w:r w:rsidRPr="0026514B">
        <w:rPr>
          <w:rFonts w:ascii="Arial" w:hAnsi="Arial" w:cs="Arial"/>
          <w:sz w:val="24"/>
          <w:szCs w:val="24"/>
        </w:rPr>
        <w:t>Mentorship, Leadership Pathways, and Lifelong Learning as Attraction and Retention Drivers</w:t>
      </w:r>
      <w:bookmarkEnd w:id="8"/>
    </w:p>
    <w:p w14:paraId="77F6E68C"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Mentorship</w:t>
      </w:r>
    </w:p>
    <w:p w14:paraId="55F78BC2"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Mentorship should be an </w:t>
      </w:r>
      <w:proofErr w:type="spellStart"/>
      <w:r w:rsidRPr="006F4503">
        <w:rPr>
          <w:rFonts w:ascii="Arial" w:hAnsi="Arial" w:cs="Arial"/>
          <w:sz w:val="24"/>
          <w:szCs w:val="24"/>
        </w:rPr>
        <w:t>organised</w:t>
      </w:r>
      <w:proofErr w:type="spellEnd"/>
      <w:r w:rsidRPr="006F4503">
        <w:rPr>
          <w:rFonts w:ascii="Arial" w:hAnsi="Arial" w:cs="Arial"/>
          <w:sz w:val="24"/>
          <w:szCs w:val="24"/>
        </w:rPr>
        <w:t xml:space="preserve">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capacity and not a casual association. Wikström et al. (2023) show that formal mentoring </w:t>
      </w:r>
      <w:proofErr w:type="spellStart"/>
      <w:r w:rsidRPr="006F4503">
        <w:rPr>
          <w:rFonts w:ascii="Arial" w:hAnsi="Arial" w:cs="Arial"/>
          <w:sz w:val="24"/>
          <w:szCs w:val="24"/>
        </w:rPr>
        <w:t>programmemes</w:t>
      </w:r>
      <w:proofErr w:type="spellEnd"/>
      <w:r w:rsidRPr="006F4503">
        <w:rPr>
          <w:rFonts w:ascii="Arial" w:hAnsi="Arial" w:cs="Arial"/>
          <w:sz w:val="24"/>
          <w:szCs w:val="24"/>
        </w:rPr>
        <w:t xml:space="preserve"> develop work place learning capacity and contribute considerably to employee retention by enhancing their belongingness and professional identity. In the case of Aether Innovations, high potential employees should be matched to senior technical leaders in order to be mentored in their careers, coached in innovation, as well as </w:t>
      </w:r>
      <w:r w:rsidRPr="006F4503">
        <w:rPr>
          <w:rFonts w:ascii="Arial" w:hAnsi="Arial" w:cs="Arial"/>
          <w:sz w:val="24"/>
          <w:szCs w:val="24"/>
        </w:rPr>
        <w:lastRenderedPageBreak/>
        <w:t xml:space="preserve">provided with strategic exposure. </w:t>
      </w:r>
      <w:proofErr w:type="spellStart"/>
      <w:r w:rsidRPr="006F4503">
        <w:rPr>
          <w:rFonts w:ascii="Arial" w:hAnsi="Arial" w:cs="Arial"/>
          <w:sz w:val="24"/>
          <w:szCs w:val="24"/>
        </w:rPr>
        <w:t>Urme</w:t>
      </w:r>
      <w:proofErr w:type="spellEnd"/>
      <w:r w:rsidRPr="006F4503">
        <w:rPr>
          <w:rFonts w:ascii="Arial" w:hAnsi="Arial" w:cs="Arial"/>
          <w:sz w:val="24"/>
          <w:szCs w:val="24"/>
        </w:rPr>
        <w:t xml:space="preserve"> (2023) also confirms that retention occurs by talent management strategies, including mentoring, which has a direct effect on engagement and psychological commitment. Thus, the </w:t>
      </w:r>
      <w:proofErr w:type="spellStart"/>
      <w:r w:rsidRPr="006F4503">
        <w:rPr>
          <w:rFonts w:ascii="Arial" w:hAnsi="Arial" w:cs="Arial"/>
          <w:sz w:val="24"/>
          <w:szCs w:val="24"/>
        </w:rPr>
        <w:t>programme</w:t>
      </w:r>
      <w:proofErr w:type="spellEnd"/>
      <w:r w:rsidRPr="006F4503">
        <w:rPr>
          <w:rFonts w:ascii="Arial" w:hAnsi="Arial" w:cs="Arial"/>
          <w:sz w:val="24"/>
          <w:szCs w:val="24"/>
        </w:rPr>
        <w:t xml:space="preserve"> by Aether must comprise objectives, mentor training, measurable learning outcomes and evaluation cycles. Reverse mentoring would also enable younger employees to bring their digital skills in senior leadership decision-making that will </w:t>
      </w:r>
      <w:proofErr w:type="spellStart"/>
      <w:r w:rsidRPr="006F4503">
        <w:rPr>
          <w:rFonts w:ascii="Arial" w:hAnsi="Arial" w:cs="Arial"/>
          <w:sz w:val="24"/>
          <w:szCs w:val="24"/>
        </w:rPr>
        <w:t>maximise</w:t>
      </w:r>
      <w:proofErr w:type="spellEnd"/>
      <w:r w:rsidRPr="006F4503">
        <w:rPr>
          <w:rFonts w:ascii="Arial" w:hAnsi="Arial" w:cs="Arial"/>
          <w:sz w:val="24"/>
          <w:szCs w:val="24"/>
        </w:rPr>
        <w:t xml:space="preserve"> their mutual development (Cismaru and Iunius, 2019). Employees will feel that they are being invested by a company on long-term development by </w:t>
      </w:r>
      <w:proofErr w:type="spellStart"/>
      <w:r w:rsidRPr="006F4503">
        <w:rPr>
          <w:rFonts w:ascii="Arial" w:hAnsi="Arial" w:cs="Arial"/>
          <w:sz w:val="24"/>
          <w:szCs w:val="24"/>
        </w:rPr>
        <w:t>institutionalising</w:t>
      </w:r>
      <w:proofErr w:type="spellEnd"/>
      <w:r w:rsidRPr="006F4503">
        <w:rPr>
          <w:rFonts w:ascii="Arial" w:hAnsi="Arial" w:cs="Arial"/>
          <w:sz w:val="24"/>
          <w:szCs w:val="24"/>
        </w:rPr>
        <w:t xml:space="preserve"> mentorship in performance management and leadership pipelines. This improves trust, </w:t>
      </w:r>
      <w:proofErr w:type="spellStart"/>
      <w:r w:rsidRPr="006F4503">
        <w:rPr>
          <w:rFonts w:ascii="Arial" w:hAnsi="Arial" w:cs="Arial"/>
          <w:sz w:val="24"/>
          <w:szCs w:val="24"/>
        </w:rPr>
        <w:t>minimises</w:t>
      </w:r>
      <w:proofErr w:type="spellEnd"/>
      <w:r w:rsidRPr="006F4503">
        <w:rPr>
          <w:rFonts w:ascii="Arial" w:hAnsi="Arial" w:cs="Arial"/>
          <w:sz w:val="24"/>
          <w:szCs w:val="24"/>
        </w:rPr>
        <w:t xml:space="preserve"> voluntary turnover and competence building internally, that is, the build element of the talent model creates lasting competitive edge.</w:t>
      </w:r>
    </w:p>
    <w:p w14:paraId="14B977E8"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Leadership Pathways</w:t>
      </w:r>
    </w:p>
    <w:p w14:paraId="2A39BE5F"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There should be clear leadership routes that transform high potential to long-term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commitment. Ali, Niu, and Rubel (2024) conclude that transformational leadership is associated with a high level of employee engagement and, consequently, a high retention level. In the same way, </w:t>
      </w:r>
      <w:proofErr w:type="spellStart"/>
      <w:r w:rsidRPr="006F4503">
        <w:rPr>
          <w:rFonts w:ascii="Arial" w:hAnsi="Arial" w:cs="Arial"/>
          <w:sz w:val="24"/>
          <w:szCs w:val="24"/>
        </w:rPr>
        <w:t>Nurjanah</w:t>
      </w:r>
      <w:proofErr w:type="spellEnd"/>
      <w:r w:rsidRPr="006F4503">
        <w:rPr>
          <w:rFonts w:ascii="Arial" w:hAnsi="Arial" w:cs="Arial"/>
          <w:sz w:val="24"/>
          <w:szCs w:val="24"/>
        </w:rPr>
        <w:t xml:space="preserve"> and </w:t>
      </w:r>
      <w:proofErr w:type="spellStart"/>
      <w:r w:rsidRPr="006F4503">
        <w:rPr>
          <w:rFonts w:ascii="Arial" w:hAnsi="Arial" w:cs="Arial"/>
          <w:sz w:val="24"/>
          <w:szCs w:val="24"/>
        </w:rPr>
        <w:t>Octafian</w:t>
      </w:r>
      <w:proofErr w:type="spellEnd"/>
      <w:r w:rsidRPr="006F4503">
        <w:rPr>
          <w:rFonts w:ascii="Arial" w:hAnsi="Arial" w:cs="Arial"/>
          <w:sz w:val="24"/>
          <w:szCs w:val="24"/>
        </w:rPr>
        <w:t xml:space="preserve"> (2025) indicate that the leadership style has a direct impact on engagement and long-term employee loyalty. In the case of Aether, it would mean developing </w:t>
      </w:r>
      <w:proofErr w:type="spellStart"/>
      <w:r w:rsidRPr="006F4503">
        <w:rPr>
          <w:rFonts w:ascii="Arial" w:hAnsi="Arial" w:cs="Arial"/>
          <w:sz w:val="24"/>
          <w:szCs w:val="24"/>
        </w:rPr>
        <w:t>organised</w:t>
      </w:r>
      <w:proofErr w:type="spellEnd"/>
      <w:r w:rsidRPr="006F4503">
        <w:rPr>
          <w:rFonts w:ascii="Arial" w:hAnsi="Arial" w:cs="Arial"/>
          <w:sz w:val="24"/>
          <w:szCs w:val="24"/>
        </w:rPr>
        <w:t xml:space="preserve"> leadership paths: technical (principal engineer and innovation fellow) and managerial (team lead, director, executive) ones. The employees should not be pressured to take up management to further their career. These pathways should be supplanted by transparent competency that can be identified, leadership development </w:t>
      </w:r>
      <w:proofErr w:type="spellStart"/>
      <w:r w:rsidRPr="006F4503">
        <w:rPr>
          <w:rFonts w:ascii="Arial" w:hAnsi="Arial" w:cs="Arial"/>
          <w:sz w:val="24"/>
          <w:szCs w:val="24"/>
        </w:rPr>
        <w:t>programmes</w:t>
      </w:r>
      <w:proofErr w:type="spellEnd"/>
      <w:r w:rsidRPr="006F4503">
        <w:rPr>
          <w:rFonts w:ascii="Arial" w:hAnsi="Arial" w:cs="Arial"/>
          <w:sz w:val="24"/>
          <w:szCs w:val="24"/>
        </w:rPr>
        <w:t xml:space="preserve">, stretch assignments, and succession mapping. Moreover, leadership can be developed at an early stage because of exposure to cross-functional projects and strategic decision-making (Ali, Niu, and Rubel, 2024). With visible movement </w:t>
      </w:r>
      <w:r w:rsidRPr="006F4503">
        <w:rPr>
          <w:rFonts w:ascii="Arial" w:hAnsi="Arial" w:cs="Arial"/>
          <w:sz w:val="24"/>
          <w:szCs w:val="24"/>
        </w:rPr>
        <w:lastRenderedPageBreak/>
        <w:t xml:space="preserve">chances that are in line with the strengths of the employees, they become engaged and drop external job search </w:t>
      </w:r>
      <w:proofErr w:type="spellStart"/>
      <w:r w:rsidRPr="006F4503">
        <w:rPr>
          <w:rFonts w:ascii="Arial" w:hAnsi="Arial" w:cs="Arial"/>
          <w:sz w:val="24"/>
          <w:szCs w:val="24"/>
        </w:rPr>
        <w:t>behaviour</w:t>
      </w:r>
      <w:proofErr w:type="spellEnd"/>
      <w:r w:rsidRPr="006F4503">
        <w:rPr>
          <w:rFonts w:ascii="Arial" w:hAnsi="Arial" w:cs="Arial"/>
          <w:sz w:val="24"/>
          <w:szCs w:val="24"/>
        </w:rPr>
        <w:t xml:space="preserve">. The future leadership opportunities are thus operationalized through the strategy of building which transforms the potential into the future leadership ability of the </w:t>
      </w:r>
      <w:proofErr w:type="spellStart"/>
      <w:r w:rsidRPr="006F4503">
        <w:rPr>
          <w:rFonts w:ascii="Arial" w:hAnsi="Arial" w:cs="Arial"/>
          <w:sz w:val="24"/>
          <w:szCs w:val="24"/>
        </w:rPr>
        <w:t>organisation</w:t>
      </w:r>
      <w:proofErr w:type="spellEnd"/>
      <w:r w:rsidRPr="006F4503">
        <w:rPr>
          <w:rFonts w:ascii="Arial" w:hAnsi="Arial" w:cs="Arial"/>
          <w:sz w:val="24"/>
          <w:szCs w:val="24"/>
        </w:rPr>
        <w:t xml:space="preserve">. </w:t>
      </w:r>
    </w:p>
    <w:p w14:paraId="04491A1B"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Lifelong Learning</w:t>
      </w:r>
    </w:p>
    <w:p w14:paraId="037B3E40"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Lifelong learning should be incorporated as an ongoing strategic investment as opposed to infrequent training. Jovanovic and </w:t>
      </w:r>
      <w:proofErr w:type="spellStart"/>
      <w:r w:rsidRPr="006F4503">
        <w:rPr>
          <w:rFonts w:ascii="Arial" w:hAnsi="Arial" w:cs="Arial"/>
          <w:sz w:val="24"/>
          <w:szCs w:val="24"/>
        </w:rPr>
        <w:t>Krasulja</w:t>
      </w:r>
      <w:proofErr w:type="spellEnd"/>
      <w:r w:rsidRPr="006F4503">
        <w:rPr>
          <w:rFonts w:ascii="Arial" w:hAnsi="Arial" w:cs="Arial"/>
          <w:sz w:val="24"/>
          <w:szCs w:val="24"/>
        </w:rPr>
        <w:t xml:space="preserve"> (2025) show that </w:t>
      </w:r>
      <w:proofErr w:type="spellStart"/>
      <w:r w:rsidRPr="006F4503">
        <w:rPr>
          <w:rFonts w:ascii="Arial" w:hAnsi="Arial" w:cs="Arial"/>
          <w:sz w:val="24"/>
          <w:szCs w:val="24"/>
        </w:rPr>
        <w:t>organisations</w:t>
      </w:r>
      <w:proofErr w:type="spellEnd"/>
      <w:r w:rsidRPr="006F4503">
        <w:rPr>
          <w:rFonts w:ascii="Arial" w:hAnsi="Arial" w:cs="Arial"/>
          <w:sz w:val="24"/>
          <w:szCs w:val="24"/>
        </w:rPr>
        <w:t xml:space="preserve"> that </w:t>
      </w:r>
      <w:proofErr w:type="spellStart"/>
      <w:r w:rsidRPr="006F4503">
        <w:rPr>
          <w:rFonts w:ascii="Arial" w:hAnsi="Arial" w:cs="Arial"/>
          <w:sz w:val="24"/>
          <w:szCs w:val="24"/>
        </w:rPr>
        <w:t>practise</w:t>
      </w:r>
      <w:proofErr w:type="spellEnd"/>
      <w:r w:rsidRPr="006F4503">
        <w:rPr>
          <w:rFonts w:ascii="Arial" w:hAnsi="Arial" w:cs="Arial"/>
          <w:sz w:val="24"/>
          <w:szCs w:val="24"/>
        </w:rPr>
        <w:t xml:space="preserve"> lifelong learning in talent acquisition measures attract better talent in the sense that it is an indicator of growth orientation. Tamass et al. (2024) also believe that lifelong learning is relevant in the context of </w:t>
      </w:r>
      <w:proofErr w:type="spellStart"/>
      <w:r w:rsidRPr="006F4503">
        <w:rPr>
          <w:rFonts w:ascii="Arial" w:hAnsi="Arial" w:cs="Arial"/>
          <w:sz w:val="24"/>
          <w:szCs w:val="24"/>
        </w:rPr>
        <w:t>labour</w:t>
      </w:r>
      <w:proofErr w:type="spellEnd"/>
      <w:r w:rsidRPr="006F4503">
        <w:rPr>
          <w:rFonts w:ascii="Arial" w:hAnsi="Arial" w:cs="Arial"/>
          <w:sz w:val="24"/>
          <w:szCs w:val="24"/>
        </w:rPr>
        <w:t xml:space="preserve"> market competitiveness in the rapidly changing industries due to its adaptability. In the case of Aether Innovations, this should be the development of </w:t>
      </w:r>
      <w:proofErr w:type="spellStart"/>
      <w:r w:rsidRPr="006F4503">
        <w:rPr>
          <w:rFonts w:ascii="Arial" w:hAnsi="Arial" w:cs="Arial"/>
          <w:sz w:val="24"/>
          <w:szCs w:val="24"/>
        </w:rPr>
        <w:t>customised</w:t>
      </w:r>
      <w:proofErr w:type="spellEnd"/>
      <w:r w:rsidRPr="006F4503">
        <w:rPr>
          <w:rFonts w:ascii="Arial" w:hAnsi="Arial" w:cs="Arial"/>
          <w:sz w:val="24"/>
          <w:szCs w:val="24"/>
        </w:rPr>
        <w:t xml:space="preserve"> learning paths with the support of digital learning platforms, sponsored certifications, innovation laboratories, and learning stipends. Employees are supposed to be motivated to spend a specified percentage of time in skills exploration, testing, and cross-functional teamwork. Connection of the learning achievements to the promotion criteria and innovation motivators supports motivation. In addition, alliances with higher education institutions and technology institutes have the potential to increase the pipe on knowledge (Tamass et al., 2024). </w:t>
      </w:r>
      <w:proofErr w:type="spellStart"/>
      <w:r w:rsidRPr="006F4503">
        <w:rPr>
          <w:rFonts w:ascii="Arial" w:hAnsi="Arial" w:cs="Arial"/>
          <w:sz w:val="24"/>
          <w:szCs w:val="24"/>
        </w:rPr>
        <w:t>Institutionalising</w:t>
      </w:r>
      <w:proofErr w:type="spellEnd"/>
      <w:r w:rsidRPr="006F4503">
        <w:rPr>
          <w:rFonts w:ascii="Arial" w:hAnsi="Arial" w:cs="Arial"/>
          <w:sz w:val="24"/>
          <w:szCs w:val="24"/>
        </w:rPr>
        <w:t xml:space="preserve"> lifelong learning will enable Aether to increase its attraction of talent and renew internal capabilities. The employees are always ahead of their time, the anxiety of obsolescence and leaving reduces turnover and the </w:t>
      </w:r>
      <w:proofErr w:type="spellStart"/>
      <w:r w:rsidRPr="006F4503">
        <w:rPr>
          <w:rFonts w:ascii="Arial" w:hAnsi="Arial" w:cs="Arial"/>
          <w:sz w:val="24"/>
          <w:szCs w:val="24"/>
        </w:rPr>
        <w:t>organisation</w:t>
      </w:r>
      <w:proofErr w:type="spellEnd"/>
      <w:r w:rsidRPr="006F4503">
        <w:rPr>
          <w:rFonts w:ascii="Arial" w:hAnsi="Arial" w:cs="Arial"/>
          <w:sz w:val="24"/>
          <w:szCs w:val="24"/>
        </w:rPr>
        <w:t xml:space="preserve"> attains sustained performance growth and innovation. </w:t>
      </w:r>
    </w:p>
    <w:p w14:paraId="2A0FD8D2" w14:textId="77777777" w:rsidR="002E38DB" w:rsidRPr="0026514B" w:rsidRDefault="002E38DB" w:rsidP="002E38DB">
      <w:pPr>
        <w:pStyle w:val="Heading1"/>
        <w:spacing w:line="480" w:lineRule="auto"/>
        <w:rPr>
          <w:rFonts w:ascii="Arial" w:hAnsi="Arial" w:cs="Arial"/>
          <w:sz w:val="24"/>
          <w:szCs w:val="24"/>
        </w:rPr>
      </w:pPr>
      <w:bookmarkStart w:id="9" w:name="_Toc222330775"/>
      <w:r w:rsidRPr="0026514B">
        <w:rPr>
          <w:rFonts w:ascii="Arial" w:hAnsi="Arial" w:cs="Arial"/>
          <w:sz w:val="24"/>
          <w:szCs w:val="24"/>
        </w:rPr>
        <w:lastRenderedPageBreak/>
        <w:t>Part 2: Reflection</w:t>
      </w:r>
      <w:bookmarkEnd w:id="9"/>
    </w:p>
    <w:p w14:paraId="3CFDB347" w14:textId="77777777" w:rsidR="002E38DB" w:rsidRPr="0026514B" w:rsidRDefault="002E38DB" w:rsidP="002E38DB">
      <w:pPr>
        <w:pStyle w:val="Heading2"/>
        <w:spacing w:line="480" w:lineRule="auto"/>
        <w:rPr>
          <w:rFonts w:ascii="Arial" w:hAnsi="Arial" w:cs="Arial"/>
          <w:sz w:val="24"/>
          <w:szCs w:val="24"/>
        </w:rPr>
      </w:pPr>
      <w:bookmarkStart w:id="10" w:name="_Toc222330776"/>
      <w:r w:rsidRPr="0026514B">
        <w:rPr>
          <w:rFonts w:ascii="Arial" w:hAnsi="Arial" w:cs="Arial"/>
          <w:sz w:val="24"/>
          <w:szCs w:val="24"/>
        </w:rPr>
        <w:t>Gibbs’ Reflective Cycle</w:t>
      </w:r>
      <w:bookmarkEnd w:id="10"/>
    </w:p>
    <w:p w14:paraId="6BD36D1A"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Gibbs Reflective Cycle (1988) involves six stages: Description, Feelings, Evaluation, Analysis, Conclusion, and Action Plan as shown in figure 1 below (Praveena et al., 2025). This framework helped me in studying systematically how the module has influenced my perception of Human Resource Management (HRM) and how it can serve as a basis of developing innovation and growth mindset in my professional growth.</w:t>
      </w:r>
    </w:p>
    <w:p w14:paraId="290D7522"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noProof/>
          <w:sz w:val="24"/>
          <w:szCs w:val="24"/>
        </w:rPr>
        <w:drawing>
          <wp:inline distT="0" distB="0" distL="0" distR="0" wp14:anchorId="0FCE02CF" wp14:editId="6D4E7F43">
            <wp:extent cx="5334000" cy="2940050"/>
            <wp:effectExtent l="0" t="0" r="0" b="0"/>
            <wp:docPr id="1207690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690753" name=""/>
                    <pic:cNvPicPr/>
                  </pic:nvPicPr>
                  <pic:blipFill>
                    <a:blip r:embed="rId4"/>
                    <a:stretch>
                      <a:fillRect/>
                    </a:stretch>
                  </pic:blipFill>
                  <pic:spPr>
                    <a:xfrm>
                      <a:off x="0" y="0"/>
                      <a:ext cx="5334747" cy="2940462"/>
                    </a:xfrm>
                    <a:prstGeom prst="rect">
                      <a:avLst/>
                    </a:prstGeom>
                  </pic:spPr>
                </pic:pic>
              </a:graphicData>
            </a:graphic>
          </wp:inline>
        </w:drawing>
      </w:r>
    </w:p>
    <w:p w14:paraId="04536868" w14:textId="77777777" w:rsidR="002E38DB" w:rsidRPr="006F4503" w:rsidRDefault="002E38DB" w:rsidP="002E38DB">
      <w:pPr>
        <w:pStyle w:val="Caption"/>
        <w:spacing w:after="0" w:line="480" w:lineRule="auto"/>
        <w:rPr>
          <w:rFonts w:ascii="Arial" w:hAnsi="Arial" w:cs="Arial"/>
          <w:sz w:val="24"/>
          <w:szCs w:val="24"/>
        </w:rPr>
      </w:pPr>
      <w:r w:rsidRPr="006F4503">
        <w:rPr>
          <w:rFonts w:ascii="Arial" w:hAnsi="Arial" w:cs="Arial"/>
          <w:sz w:val="24"/>
          <w:szCs w:val="24"/>
        </w:rPr>
        <w:t xml:space="preserve">Figure </w:t>
      </w:r>
      <w:r w:rsidRPr="006F4503">
        <w:rPr>
          <w:rFonts w:ascii="Arial" w:hAnsi="Arial" w:cs="Arial"/>
          <w:sz w:val="24"/>
          <w:szCs w:val="24"/>
        </w:rPr>
        <w:fldChar w:fldCharType="begin"/>
      </w:r>
      <w:r w:rsidRPr="006F4503">
        <w:rPr>
          <w:rFonts w:ascii="Arial" w:hAnsi="Arial" w:cs="Arial"/>
          <w:sz w:val="24"/>
          <w:szCs w:val="24"/>
        </w:rPr>
        <w:instrText xml:space="preserve"> SEQ Figure \* ARABIC </w:instrText>
      </w:r>
      <w:r w:rsidRPr="006F4503">
        <w:rPr>
          <w:rFonts w:ascii="Arial" w:hAnsi="Arial" w:cs="Arial"/>
          <w:sz w:val="24"/>
          <w:szCs w:val="24"/>
        </w:rPr>
        <w:fldChar w:fldCharType="separate"/>
      </w:r>
      <w:r w:rsidRPr="006F4503">
        <w:rPr>
          <w:rFonts w:ascii="Arial" w:hAnsi="Arial" w:cs="Arial"/>
          <w:noProof/>
          <w:sz w:val="24"/>
          <w:szCs w:val="24"/>
        </w:rPr>
        <w:t>1</w:t>
      </w:r>
      <w:r w:rsidRPr="006F4503">
        <w:rPr>
          <w:rFonts w:ascii="Arial" w:hAnsi="Arial" w:cs="Arial"/>
          <w:sz w:val="24"/>
          <w:szCs w:val="24"/>
        </w:rPr>
        <w:fldChar w:fldCharType="end"/>
      </w:r>
      <w:r w:rsidRPr="006F4503">
        <w:rPr>
          <w:rFonts w:ascii="Arial" w:hAnsi="Arial" w:cs="Arial"/>
          <w:sz w:val="24"/>
          <w:szCs w:val="24"/>
        </w:rPr>
        <w:t xml:space="preserve"> (Gibbs’ Reflective Cycle)</w:t>
      </w:r>
    </w:p>
    <w:p w14:paraId="0ED90319"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Source: Praveena et al. (2025, 150)</w:t>
      </w:r>
    </w:p>
    <w:p w14:paraId="36589B18"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Description</w:t>
      </w:r>
    </w:p>
    <w:p w14:paraId="0042A65D"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During this module, I learned the concepts of strategic HRM that included talent management, performance systems, leadership development, workforce planning, and innovation-driven cultures. One of the key learning processes was the project of creating an integrated HR strategy at a technology </w:t>
      </w:r>
      <w:proofErr w:type="spellStart"/>
      <w:r w:rsidRPr="006F4503">
        <w:rPr>
          <w:rFonts w:ascii="Arial" w:hAnsi="Arial" w:cs="Arial"/>
          <w:sz w:val="24"/>
          <w:szCs w:val="24"/>
        </w:rPr>
        <w:t>organisation</w:t>
      </w:r>
      <w:proofErr w:type="spellEnd"/>
      <w:r w:rsidRPr="006F4503">
        <w:rPr>
          <w:rFonts w:ascii="Arial" w:hAnsi="Arial" w:cs="Arial"/>
          <w:sz w:val="24"/>
          <w:szCs w:val="24"/>
        </w:rPr>
        <w:t xml:space="preserve">, which entailed the </w:t>
      </w:r>
      <w:proofErr w:type="spellStart"/>
      <w:r w:rsidRPr="006F4503">
        <w:rPr>
          <w:rFonts w:ascii="Arial" w:hAnsi="Arial" w:cs="Arial"/>
          <w:sz w:val="24"/>
          <w:szCs w:val="24"/>
        </w:rPr>
        <w:t>harmonisation</w:t>
      </w:r>
      <w:proofErr w:type="spellEnd"/>
      <w:r w:rsidRPr="006F4503">
        <w:rPr>
          <w:rFonts w:ascii="Arial" w:hAnsi="Arial" w:cs="Arial"/>
          <w:sz w:val="24"/>
          <w:szCs w:val="24"/>
        </w:rPr>
        <w:t xml:space="preserve"> between people </w:t>
      </w:r>
      <w:proofErr w:type="spellStart"/>
      <w:r w:rsidRPr="006F4503">
        <w:rPr>
          <w:rFonts w:ascii="Arial" w:hAnsi="Arial" w:cs="Arial"/>
          <w:sz w:val="24"/>
          <w:szCs w:val="24"/>
        </w:rPr>
        <w:t>practises</w:t>
      </w:r>
      <w:proofErr w:type="spellEnd"/>
      <w:r w:rsidRPr="006F4503">
        <w:rPr>
          <w:rFonts w:ascii="Arial" w:hAnsi="Arial" w:cs="Arial"/>
          <w:sz w:val="24"/>
          <w:szCs w:val="24"/>
        </w:rPr>
        <w:t xml:space="preserve"> and business performance. I interacted with </w:t>
      </w:r>
      <w:r w:rsidRPr="006F4503">
        <w:rPr>
          <w:rFonts w:ascii="Arial" w:hAnsi="Arial" w:cs="Arial"/>
          <w:sz w:val="24"/>
          <w:szCs w:val="24"/>
        </w:rPr>
        <w:lastRenderedPageBreak/>
        <w:t xml:space="preserve">the theories on Build vs. Buy talent strategy, employee engagement, lifelong learning and leadership paths. Instead of seeing HR functions in isolation, I got to understand how to </w:t>
      </w:r>
      <w:proofErr w:type="spellStart"/>
      <w:r w:rsidRPr="006F4503">
        <w:rPr>
          <w:rFonts w:ascii="Arial" w:hAnsi="Arial" w:cs="Arial"/>
          <w:sz w:val="24"/>
          <w:szCs w:val="24"/>
        </w:rPr>
        <w:t>conceptualise</w:t>
      </w:r>
      <w:proofErr w:type="spellEnd"/>
      <w:r w:rsidRPr="006F4503">
        <w:rPr>
          <w:rFonts w:ascii="Arial" w:hAnsi="Arial" w:cs="Arial"/>
          <w:sz w:val="24"/>
          <w:szCs w:val="24"/>
        </w:rPr>
        <w:t xml:space="preserve"> it as an integrated system that affects </w:t>
      </w:r>
      <w:proofErr w:type="spellStart"/>
      <w:r w:rsidRPr="006F4503">
        <w:rPr>
          <w:rFonts w:ascii="Arial" w:hAnsi="Arial" w:cs="Arial"/>
          <w:sz w:val="24"/>
          <w:szCs w:val="24"/>
        </w:rPr>
        <w:t>organisation</w:t>
      </w:r>
      <w:proofErr w:type="spellEnd"/>
      <w:r w:rsidRPr="006F4503">
        <w:rPr>
          <w:rFonts w:ascii="Arial" w:hAnsi="Arial" w:cs="Arial"/>
          <w:sz w:val="24"/>
          <w:szCs w:val="24"/>
        </w:rPr>
        <w:t xml:space="preserve"> culture, retention, innovation, and competitive advantage.</w:t>
      </w:r>
    </w:p>
    <w:p w14:paraId="17F4EB92"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Feelings</w:t>
      </w:r>
    </w:p>
    <w:p w14:paraId="29FDF2D8"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My initial perception of the module was that I was confident in general knowledge of HR principles and was not certain to </w:t>
      </w:r>
      <w:proofErr w:type="spellStart"/>
      <w:r w:rsidRPr="006F4503">
        <w:rPr>
          <w:rFonts w:ascii="Arial" w:hAnsi="Arial" w:cs="Arial"/>
          <w:sz w:val="24"/>
          <w:szCs w:val="24"/>
        </w:rPr>
        <w:t>practise</w:t>
      </w:r>
      <w:proofErr w:type="spellEnd"/>
      <w:r w:rsidRPr="006F4503">
        <w:rPr>
          <w:rFonts w:ascii="Arial" w:hAnsi="Arial" w:cs="Arial"/>
          <w:sz w:val="24"/>
          <w:szCs w:val="24"/>
        </w:rPr>
        <w:t xml:space="preserve"> theory in more complicated and practical business contexts. I felt overwhelmed when I was to think of merging several HR </w:t>
      </w:r>
      <w:proofErr w:type="spellStart"/>
      <w:r w:rsidRPr="006F4503">
        <w:rPr>
          <w:rFonts w:ascii="Arial" w:hAnsi="Arial" w:cs="Arial"/>
          <w:sz w:val="24"/>
          <w:szCs w:val="24"/>
        </w:rPr>
        <w:t>practises</w:t>
      </w:r>
      <w:proofErr w:type="spellEnd"/>
      <w:r w:rsidRPr="006F4503">
        <w:rPr>
          <w:rFonts w:ascii="Arial" w:hAnsi="Arial" w:cs="Arial"/>
          <w:sz w:val="24"/>
          <w:szCs w:val="24"/>
        </w:rPr>
        <w:t xml:space="preserve"> under one strategic plan. But the more I got into the concepts the more I became confident. I was especially encouraged when I understood the direct effect of strategic HR on innovation and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sustainability. This move altered my understanding of HR as being more administrative to being transformation oriented.</w:t>
      </w:r>
    </w:p>
    <w:p w14:paraId="0E5A1029"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Evaluation</w:t>
      </w:r>
    </w:p>
    <w:p w14:paraId="302AA9B8"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Integration and critical thinking were among the strengths of this module. It made me go beyond the module material explanations and think about how the HR systems interrelate in </w:t>
      </w:r>
      <w:proofErr w:type="spellStart"/>
      <w:r w:rsidRPr="006F4503">
        <w:rPr>
          <w:rFonts w:ascii="Arial" w:hAnsi="Arial" w:cs="Arial"/>
          <w:sz w:val="24"/>
          <w:szCs w:val="24"/>
        </w:rPr>
        <w:t>practise</w:t>
      </w:r>
      <w:proofErr w:type="spellEnd"/>
      <w:r w:rsidRPr="006F4503">
        <w:rPr>
          <w:rFonts w:ascii="Arial" w:hAnsi="Arial" w:cs="Arial"/>
          <w:sz w:val="24"/>
          <w:szCs w:val="24"/>
        </w:rPr>
        <w:t>. The planning of talent ecosystems and innovation-oriented structures enhanced my analytical and strategic thinking. Nevertheless, I also identified areas where I needed to improve. I struggled to relate theory to measurable outcomes and think quantitatively regarding workforce analytics. This demonstrated that I needed to enhance my ability to be data literate and strategically evaluate data.</w:t>
      </w:r>
    </w:p>
    <w:p w14:paraId="6FBDD3DA"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Analysis</w:t>
      </w:r>
    </w:p>
    <w:p w14:paraId="6075547E"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This module strengthened the idea that sustainable competitive advantage is a product of efficient control of human capital. Innovation has not been accidental, it </w:t>
      </w:r>
      <w:r w:rsidRPr="006F4503">
        <w:rPr>
          <w:rFonts w:ascii="Arial" w:hAnsi="Arial" w:cs="Arial"/>
          <w:sz w:val="24"/>
          <w:szCs w:val="24"/>
        </w:rPr>
        <w:lastRenderedPageBreak/>
        <w:t>has been developed by leadership, culture and well-</w:t>
      </w:r>
      <w:proofErr w:type="spellStart"/>
      <w:r w:rsidRPr="006F4503">
        <w:rPr>
          <w:rFonts w:ascii="Arial" w:hAnsi="Arial" w:cs="Arial"/>
          <w:sz w:val="24"/>
          <w:szCs w:val="24"/>
        </w:rPr>
        <w:t>organised</w:t>
      </w:r>
      <w:proofErr w:type="spellEnd"/>
      <w:r w:rsidRPr="006F4503">
        <w:rPr>
          <w:rFonts w:ascii="Arial" w:hAnsi="Arial" w:cs="Arial"/>
          <w:sz w:val="24"/>
          <w:szCs w:val="24"/>
        </w:rPr>
        <w:t xml:space="preserve"> development systems (</w:t>
      </w:r>
      <w:proofErr w:type="spellStart"/>
      <w:r w:rsidRPr="006F4503">
        <w:rPr>
          <w:rFonts w:ascii="Arial" w:hAnsi="Arial" w:cs="Arial"/>
          <w:sz w:val="24"/>
          <w:szCs w:val="24"/>
        </w:rPr>
        <w:t>Modranský</w:t>
      </w:r>
      <w:proofErr w:type="spellEnd"/>
      <w:r w:rsidRPr="006F4503">
        <w:rPr>
          <w:rFonts w:ascii="Arial" w:hAnsi="Arial" w:cs="Arial"/>
          <w:sz w:val="24"/>
          <w:szCs w:val="24"/>
        </w:rPr>
        <w:t xml:space="preserve">, Jakabová, and Oláh, 2020). I compared the way the talent strategies, like mentorship, leadership development, and lifelong learning, provide employees with the environment in which they feel valued and motivated. Personally, this analysis helped me understand that building a growth mentality is not an automatic process. The same way that </w:t>
      </w:r>
      <w:proofErr w:type="spellStart"/>
      <w:r w:rsidRPr="006F4503">
        <w:rPr>
          <w:rFonts w:ascii="Arial" w:hAnsi="Arial" w:cs="Arial"/>
          <w:sz w:val="24"/>
          <w:szCs w:val="24"/>
        </w:rPr>
        <w:t>organisations</w:t>
      </w:r>
      <w:proofErr w:type="spellEnd"/>
      <w:r w:rsidRPr="006F4503">
        <w:rPr>
          <w:rFonts w:ascii="Arial" w:hAnsi="Arial" w:cs="Arial"/>
          <w:sz w:val="24"/>
          <w:szCs w:val="24"/>
        </w:rPr>
        <w:t xml:space="preserve"> need talent building, I need to continue building myself. Lifelong learning is a concept that appealed to me since technological and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settings are dynamic. In order to develop innovation as a part of myself, I need to be open to change, request feedback, and take criticism as an opportunity to learn instead of a failure.</w:t>
      </w:r>
    </w:p>
    <w:p w14:paraId="1037612F"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Conclusion</w:t>
      </w:r>
    </w:p>
    <w:p w14:paraId="379801C5"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After considering this experience, I can affirm that the module has radically changed my perception of HR as a strategic field. Now I understand that innovation and performance are a consequence of strategic people. I also understand that to be useful in such settings, I would have to acquire technical and interpersonal skills all the time. The attitude of growth, or welcoming change, experimentation, and learning, is not only necessary at the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level, but also at the individual level that works in a dynamic industry.</w:t>
      </w:r>
    </w:p>
    <w:p w14:paraId="5D88B729" w14:textId="77777777" w:rsidR="002E38DB" w:rsidRPr="006F4503" w:rsidRDefault="002E38DB" w:rsidP="002E38DB">
      <w:pPr>
        <w:spacing w:after="0" w:line="480" w:lineRule="auto"/>
        <w:rPr>
          <w:rFonts w:ascii="Arial" w:hAnsi="Arial" w:cs="Arial"/>
          <w:b/>
          <w:bCs/>
          <w:sz w:val="24"/>
          <w:szCs w:val="24"/>
        </w:rPr>
      </w:pPr>
      <w:r w:rsidRPr="006F4503">
        <w:rPr>
          <w:rFonts w:ascii="Arial" w:hAnsi="Arial" w:cs="Arial"/>
          <w:b/>
          <w:bCs/>
          <w:sz w:val="24"/>
          <w:szCs w:val="24"/>
        </w:rPr>
        <w:t>Action Plan</w:t>
      </w:r>
    </w:p>
    <w:tbl>
      <w:tblPr>
        <w:tblStyle w:val="TableGrid"/>
        <w:tblW w:w="0" w:type="auto"/>
        <w:tblLook w:val="04A0" w:firstRow="1" w:lastRow="0" w:firstColumn="1" w:lastColumn="0" w:noHBand="0" w:noVBand="1"/>
      </w:tblPr>
      <w:tblGrid>
        <w:gridCol w:w="1391"/>
        <w:gridCol w:w="1549"/>
        <w:gridCol w:w="1522"/>
        <w:gridCol w:w="1496"/>
        <w:gridCol w:w="1918"/>
        <w:gridCol w:w="1140"/>
      </w:tblGrid>
      <w:tr w:rsidR="002E38DB" w:rsidRPr="006F4503" w14:paraId="0E027153" w14:textId="77777777" w:rsidTr="005866D4">
        <w:tc>
          <w:tcPr>
            <w:tcW w:w="1558" w:type="dxa"/>
          </w:tcPr>
          <w:p w14:paraId="60E77C81"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Action</w:t>
            </w:r>
          </w:p>
        </w:tc>
        <w:tc>
          <w:tcPr>
            <w:tcW w:w="1558" w:type="dxa"/>
          </w:tcPr>
          <w:p w14:paraId="2BA04E2F"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Specific</w:t>
            </w:r>
          </w:p>
        </w:tc>
        <w:tc>
          <w:tcPr>
            <w:tcW w:w="1558" w:type="dxa"/>
          </w:tcPr>
          <w:p w14:paraId="3FE43B70"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Measurable</w:t>
            </w:r>
          </w:p>
        </w:tc>
        <w:tc>
          <w:tcPr>
            <w:tcW w:w="1558" w:type="dxa"/>
          </w:tcPr>
          <w:p w14:paraId="31C913C7"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Achievable</w:t>
            </w:r>
          </w:p>
        </w:tc>
        <w:tc>
          <w:tcPr>
            <w:tcW w:w="1559" w:type="dxa"/>
          </w:tcPr>
          <w:p w14:paraId="0A0875D7"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Relevant</w:t>
            </w:r>
          </w:p>
        </w:tc>
        <w:tc>
          <w:tcPr>
            <w:tcW w:w="1559" w:type="dxa"/>
          </w:tcPr>
          <w:p w14:paraId="019D6398" w14:textId="77777777" w:rsidR="002E38DB" w:rsidRPr="006F4503" w:rsidRDefault="002E38DB" w:rsidP="005866D4">
            <w:pPr>
              <w:spacing w:line="360" w:lineRule="auto"/>
              <w:rPr>
                <w:rFonts w:ascii="Arial" w:hAnsi="Arial" w:cs="Arial"/>
                <w:b/>
                <w:bCs/>
                <w:sz w:val="24"/>
                <w:szCs w:val="24"/>
              </w:rPr>
            </w:pPr>
            <w:r w:rsidRPr="006F4503">
              <w:rPr>
                <w:rFonts w:ascii="Arial" w:hAnsi="Arial" w:cs="Arial"/>
                <w:b/>
                <w:bCs/>
                <w:sz w:val="24"/>
                <w:szCs w:val="24"/>
              </w:rPr>
              <w:t>Time-Bound</w:t>
            </w:r>
          </w:p>
        </w:tc>
      </w:tr>
      <w:tr w:rsidR="002E38DB" w:rsidRPr="006F4503" w14:paraId="4FE254A2" w14:textId="77777777" w:rsidTr="005866D4">
        <w:tc>
          <w:tcPr>
            <w:tcW w:w="1558" w:type="dxa"/>
          </w:tcPr>
          <w:p w14:paraId="0EC22BFD"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1. Strengthen Strategic and Analytical Skills</w:t>
            </w:r>
          </w:p>
        </w:tc>
        <w:tc>
          <w:tcPr>
            <w:tcW w:w="1558" w:type="dxa"/>
          </w:tcPr>
          <w:p w14:paraId="4A1E35AE"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 xml:space="preserve">Complete a certified course in HR analytics or data-driven </w:t>
            </w:r>
            <w:r w:rsidRPr="006F4503">
              <w:rPr>
                <w:rFonts w:ascii="Arial" w:hAnsi="Arial" w:cs="Arial"/>
                <w:sz w:val="24"/>
                <w:szCs w:val="24"/>
              </w:rPr>
              <w:lastRenderedPageBreak/>
              <w:t>decision-making.</w:t>
            </w:r>
          </w:p>
        </w:tc>
        <w:tc>
          <w:tcPr>
            <w:tcW w:w="1558" w:type="dxa"/>
          </w:tcPr>
          <w:p w14:paraId="03FE2F37"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lastRenderedPageBreak/>
              <w:t xml:space="preserve">Earn certification and complete at least 2 </w:t>
            </w:r>
            <w:r w:rsidRPr="006F4503">
              <w:rPr>
                <w:rFonts w:ascii="Arial" w:hAnsi="Arial" w:cs="Arial"/>
                <w:sz w:val="24"/>
                <w:szCs w:val="24"/>
              </w:rPr>
              <w:lastRenderedPageBreak/>
              <w:t>applied projects.</w:t>
            </w:r>
          </w:p>
        </w:tc>
        <w:tc>
          <w:tcPr>
            <w:tcW w:w="1558" w:type="dxa"/>
          </w:tcPr>
          <w:p w14:paraId="4966086D"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lastRenderedPageBreak/>
              <w:t>Dedicate 4-5 hours weekly to coursework.</w:t>
            </w:r>
          </w:p>
        </w:tc>
        <w:tc>
          <w:tcPr>
            <w:tcW w:w="1559" w:type="dxa"/>
          </w:tcPr>
          <w:p w14:paraId="6A5E2752"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 xml:space="preserve">Enhances ability to link HR strategy with measurable </w:t>
            </w:r>
            <w:r w:rsidRPr="006F4503">
              <w:rPr>
                <w:rFonts w:ascii="Arial" w:hAnsi="Arial" w:cs="Arial"/>
                <w:sz w:val="24"/>
                <w:szCs w:val="24"/>
              </w:rPr>
              <w:lastRenderedPageBreak/>
              <w:t>performance outcomes.</w:t>
            </w:r>
          </w:p>
        </w:tc>
        <w:tc>
          <w:tcPr>
            <w:tcW w:w="1559" w:type="dxa"/>
          </w:tcPr>
          <w:p w14:paraId="391759F1"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lastRenderedPageBreak/>
              <w:t>Within 6 months.</w:t>
            </w:r>
          </w:p>
        </w:tc>
      </w:tr>
      <w:tr w:rsidR="002E38DB" w:rsidRPr="006F4503" w14:paraId="3A683BA2" w14:textId="77777777" w:rsidTr="005866D4">
        <w:tc>
          <w:tcPr>
            <w:tcW w:w="1558" w:type="dxa"/>
          </w:tcPr>
          <w:p w14:paraId="38D59BC6"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2. Develop Innovation and Leadership Capability</w:t>
            </w:r>
          </w:p>
        </w:tc>
        <w:tc>
          <w:tcPr>
            <w:tcW w:w="1558" w:type="dxa"/>
          </w:tcPr>
          <w:p w14:paraId="75C5DB5C"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Participate in leadership workshops and lead one collaborative project.</w:t>
            </w:r>
          </w:p>
        </w:tc>
        <w:tc>
          <w:tcPr>
            <w:tcW w:w="1558" w:type="dxa"/>
          </w:tcPr>
          <w:p w14:paraId="427D4FDC"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Complete 2 workshops and obtain structured feedback from peers.</w:t>
            </w:r>
          </w:p>
        </w:tc>
        <w:tc>
          <w:tcPr>
            <w:tcW w:w="1558" w:type="dxa"/>
          </w:tcPr>
          <w:p w14:paraId="5C6D7314"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Use university or online platforms for training.</w:t>
            </w:r>
          </w:p>
        </w:tc>
        <w:tc>
          <w:tcPr>
            <w:tcW w:w="1559" w:type="dxa"/>
          </w:tcPr>
          <w:p w14:paraId="6DE49D08"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Builds transformational leadership and innovation mindset.</w:t>
            </w:r>
          </w:p>
        </w:tc>
        <w:tc>
          <w:tcPr>
            <w:tcW w:w="1559" w:type="dxa"/>
          </w:tcPr>
          <w:p w14:paraId="766922C8"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Within 8 months.</w:t>
            </w:r>
          </w:p>
        </w:tc>
      </w:tr>
      <w:tr w:rsidR="002E38DB" w:rsidRPr="006F4503" w14:paraId="162A3773" w14:textId="77777777" w:rsidTr="005866D4">
        <w:tc>
          <w:tcPr>
            <w:tcW w:w="1558" w:type="dxa"/>
          </w:tcPr>
          <w:p w14:paraId="4BC47BC2"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3. Embed Lifelong Learning and Reflection</w:t>
            </w:r>
          </w:p>
        </w:tc>
        <w:tc>
          <w:tcPr>
            <w:tcW w:w="1558" w:type="dxa"/>
          </w:tcPr>
          <w:p w14:paraId="4BCCAD5F"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Establish monthly reflective journaling and read 2 academic or industry articles per month.</w:t>
            </w:r>
          </w:p>
        </w:tc>
        <w:tc>
          <w:tcPr>
            <w:tcW w:w="1558" w:type="dxa"/>
          </w:tcPr>
          <w:p w14:paraId="062404EF"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Maintain 12 journal entries and document learning insights.</w:t>
            </w:r>
          </w:p>
        </w:tc>
        <w:tc>
          <w:tcPr>
            <w:tcW w:w="1558" w:type="dxa"/>
          </w:tcPr>
          <w:p w14:paraId="2EDDFC1F"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Allocate 3 hours weekly for reading and reflection.</w:t>
            </w:r>
          </w:p>
        </w:tc>
        <w:tc>
          <w:tcPr>
            <w:tcW w:w="1559" w:type="dxa"/>
          </w:tcPr>
          <w:p w14:paraId="151E0D0D"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Sustains growth mindset and adaptability.</w:t>
            </w:r>
          </w:p>
        </w:tc>
        <w:tc>
          <w:tcPr>
            <w:tcW w:w="1559" w:type="dxa"/>
          </w:tcPr>
          <w:p w14:paraId="3CE772C1" w14:textId="77777777" w:rsidR="002E38DB" w:rsidRPr="006F4503" w:rsidRDefault="002E38DB" w:rsidP="005866D4">
            <w:pPr>
              <w:spacing w:line="360" w:lineRule="auto"/>
              <w:rPr>
                <w:rFonts w:ascii="Arial" w:hAnsi="Arial" w:cs="Arial"/>
                <w:sz w:val="24"/>
                <w:szCs w:val="24"/>
              </w:rPr>
            </w:pPr>
            <w:r w:rsidRPr="006F4503">
              <w:rPr>
                <w:rFonts w:ascii="Arial" w:hAnsi="Arial" w:cs="Arial"/>
                <w:sz w:val="24"/>
                <w:szCs w:val="24"/>
              </w:rPr>
              <w:t>Review progress after 12 months.</w:t>
            </w:r>
          </w:p>
        </w:tc>
      </w:tr>
    </w:tbl>
    <w:p w14:paraId="6C9DE861" w14:textId="77777777" w:rsidR="002E38DB" w:rsidRPr="006F4503" w:rsidRDefault="002E38DB" w:rsidP="002E38DB">
      <w:pPr>
        <w:spacing w:after="0" w:line="480" w:lineRule="auto"/>
        <w:rPr>
          <w:rFonts w:ascii="Arial" w:hAnsi="Arial" w:cs="Arial"/>
          <w:sz w:val="24"/>
          <w:szCs w:val="24"/>
        </w:rPr>
      </w:pPr>
    </w:p>
    <w:p w14:paraId="00E8B486" w14:textId="77777777" w:rsidR="002E38DB" w:rsidRPr="0026514B" w:rsidRDefault="002E38DB" w:rsidP="002E38DB">
      <w:pPr>
        <w:pStyle w:val="Heading2"/>
        <w:spacing w:line="480" w:lineRule="auto"/>
        <w:rPr>
          <w:rFonts w:ascii="Arial" w:hAnsi="Arial" w:cs="Arial"/>
          <w:sz w:val="24"/>
          <w:szCs w:val="24"/>
        </w:rPr>
      </w:pPr>
      <w:bookmarkStart w:id="11" w:name="_Toc222330777"/>
      <w:r w:rsidRPr="0026514B">
        <w:rPr>
          <w:rFonts w:ascii="Arial" w:hAnsi="Arial" w:cs="Arial"/>
          <w:sz w:val="24"/>
          <w:szCs w:val="24"/>
        </w:rPr>
        <w:t>Staying Relevant in an AI-Driven Workforce</w:t>
      </w:r>
      <w:bookmarkEnd w:id="11"/>
      <w:r w:rsidRPr="0026514B">
        <w:rPr>
          <w:rFonts w:ascii="Arial" w:hAnsi="Arial" w:cs="Arial"/>
          <w:sz w:val="24"/>
          <w:szCs w:val="24"/>
        </w:rPr>
        <w:t xml:space="preserve"> </w:t>
      </w:r>
    </w:p>
    <w:p w14:paraId="7A621FB7"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With an ever-expanding automation of both typical and even sophisticated tasks in any business sector, the ability to remain relevant is in the perfect blend of technological literacy, critical thinking, and the distinctly human capabilities. I will position myself as an AI-enhanced specialist, so I will employ AI tools to become more productive without giving them the possibility to substitute human judgement. As an example, AI can help in the analysis of workforce data, trend detection, and scenario modelling in HR or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strategy settings (Basnet, 2024). By offloading these time and data intensive processes with AI, I will be able to reallocate the cognitive bandwidth to other more value-adding processes like strategic </w:t>
      </w:r>
      <w:r w:rsidRPr="006F4503">
        <w:rPr>
          <w:rFonts w:ascii="Arial" w:hAnsi="Arial" w:cs="Arial"/>
          <w:sz w:val="24"/>
          <w:szCs w:val="24"/>
        </w:rPr>
        <w:lastRenderedPageBreak/>
        <w:t xml:space="preserve">planning, innovation and leadership. Nevertheless, I am aware that AI cannot substitute emotional intelligence, ethical reasoning, or situational knowledge required to make meaning of data in the conditions of the complicated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environment. Thus, my plan is to keep on enhancing my interpersonal, problem-solving and leadership abilities and to make use of AI as an aiding mechanism as opposed to my decision-making and creativity.</w:t>
      </w:r>
    </w:p>
    <w:p w14:paraId="2167A1AD" w14:textId="77777777" w:rsidR="002E38DB" w:rsidRPr="006F4503" w:rsidRDefault="002E38DB" w:rsidP="002E38DB">
      <w:pPr>
        <w:spacing w:after="0" w:line="480" w:lineRule="auto"/>
        <w:rPr>
          <w:rFonts w:ascii="Arial" w:hAnsi="Arial" w:cs="Arial"/>
          <w:sz w:val="24"/>
          <w:szCs w:val="24"/>
        </w:rPr>
      </w:pPr>
      <w:r w:rsidRPr="006F4503">
        <w:rPr>
          <w:rFonts w:ascii="Arial" w:hAnsi="Arial" w:cs="Arial"/>
          <w:sz w:val="24"/>
          <w:szCs w:val="24"/>
        </w:rPr>
        <w:t xml:space="preserve">Moreover, I will embrace a culture of lifelong learning and flexibility, closely following new AI potentials and trends in the industry to understand how roles can change. This will enable me to incorporate AI strategically in my working process without losing relevance as a professional. For example, AI can assist in simulating workforce situations or making predictive observations, yet I will interpret these observations in </w:t>
      </w:r>
      <w:proofErr w:type="spellStart"/>
      <w:r w:rsidRPr="006F4503">
        <w:rPr>
          <w:rFonts w:ascii="Arial" w:hAnsi="Arial" w:cs="Arial"/>
          <w:sz w:val="24"/>
          <w:szCs w:val="24"/>
        </w:rPr>
        <w:t>organisational</w:t>
      </w:r>
      <w:proofErr w:type="spellEnd"/>
      <w:r w:rsidRPr="006F4503">
        <w:rPr>
          <w:rFonts w:ascii="Arial" w:hAnsi="Arial" w:cs="Arial"/>
          <w:sz w:val="24"/>
          <w:szCs w:val="24"/>
        </w:rPr>
        <w:t xml:space="preserve"> settings, make decisions that require slight adjustments, and lead the teams through the implementation (Howard, 2019). Being technologically savvy and using the simultaneous technological fluency, strategic, and human-focused judgement, I will be capable of making AI a partner, not an adversary. Moreover, I will be working on the acquisition of the skills that can never be simulated by AI, including transformational leadership, complex problem-solving, creativity, and ethical decision-making that are crucial in leading innovation and affecting the results of </w:t>
      </w:r>
      <w:proofErr w:type="spellStart"/>
      <w:r w:rsidRPr="006F4503">
        <w:rPr>
          <w:rFonts w:ascii="Arial" w:hAnsi="Arial" w:cs="Arial"/>
          <w:sz w:val="24"/>
          <w:szCs w:val="24"/>
        </w:rPr>
        <w:t>organisations</w:t>
      </w:r>
      <w:proofErr w:type="spellEnd"/>
      <w:r w:rsidRPr="006F4503">
        <w:rPr>
          <w:rFonts w:ascii="Arial" w:hAnsi="Arial" w:cs="Arial"/>
          <w:sz w:val="24"/>
          <w:szCs w:val="24"/>
        </w:rPr>
        <w:t>. This dual strategy of using AI to increase productivity and developing human skills that cannot be replaced, makes me remain indispensable in an ever-changing, AI-based professional environment.</w:t>
      </w:r>
    </w:p>
    <w:p w14:paraId="1FB221F9" w14:textId="77777777" w:rsidR="002E38DB" w:rsidRDefault="002E38DB" w:rsidP="002E38DB">
      <w:pPr>
        <w:spacing w:after="0" w:line="480" w:lineRule="auto"/>
        <w:rPr>
          <w:rFonts w:ascii="Arial" w:hAnsi="Arial" w:cs="Arial"/>
          <w:b/>
          <w:bCs/>
          <w:sz w:val="24"/>
          <w:szCs w:val="24"/>
        </w:rPr>
      </w:pPr>
    </w:p>
    <w:p w14:paraId="720B1E46" w14:textId="77777777" w:rsidR="00561CE9" w:rsidRDefault="00561CE9"/>
    <w:sectPr w:rsidR="00561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DB"/>
    <w:rsid w:val="00044D24"/>
    <w:rsid w:val="002E38DB"/>
    <w:rsid w:val="00561CE9"/>
    <w:rsid w:val="0095793D"/>
    <w:rsid w:val="00965D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6B72"/>
  <w15:chartTrackingRefBased/>
  <w15:docId w15:val="{24B6ACA4-63BF-4CC0-9C37-D4C110E54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8DB"/>
    <w:rPr>
      <w:lang w:val="en-US"/>
    </w:rPr>
  </w:style>
  <w:style w:type="paragraph" w:styleId="Heading1">
    <w:name w:val="heading 1"/>
    <w:basedOn w:val="Normal"/>
    <w:next w:val="Normal"/>
    <w:link w:val="Heading1Char"/>
    <w:uiPriority w:val="9"/>
    <w:qFormat/>
    <w:rsid w:val="002E38DB"/>
    <w:pPr>
      <w:keepNext/>
      <w:keepLines/>
      <w:spacing w:before="360" w:after="80"/>
      <w:outlineLvl w:val="0"/>
    </w:pPr>
    <w:rPr>
      <w:rFonts w:asciiTheme="majorHAnsi" w:eastAsiaTheme="majorEastAsia" w:hAnsiTheme="majorHAnsi" w:cstheme="majorBidi"/>
      <w:color w:val="2F5496" w:themeColor="accent1" w:themeShade="BF"/>
      <w:sz w:val="40"/>
      <w:szCs w:val="40"/>
      <w:lang w:val="en-IN"/>
    </w:rPr>
  </w:style>
  <w:style w:type="paragraph" w:styleId="Heading2">
    <w:name w:val="heading 2"/>
    <w:basedOn w:val="Normal"/>
    <w:next w:val="Normal"/>
    <w:link w:val="Heading2Char"/>
    <w:uiPriority w:val="9"/>
    <w:unhideWhenUsed/>
    <w:qFormat/>
    <w:rsid w:val="002E38DB"/>
    <w:pPr>
      <w:keepNext/>
      <w:keepLines/>
      <w:spacing w:before="160" w:after="80"/>
      <w:outlineLvl w:val="1"/>
    </w:pPr>
    <w:rPr>
      <w:rFonts w:asciiTheme="majorHAnsi" w:eastAsiaTheme="majorEastAsia" w:hAnsiTheme="majorHAnsi" w:cstheme="majorBidi"/>
      <w:color w:val="2F5496" w:themeColor="accent1" w:themeShade="BF"/>
      <w:sz w:val="32"/>
      <w:szCs w:val="32"/>
      <w:lang w:val="en-IN"/>
    </w:rPr>
  </w:style>
  <w:style w:type="paragraph" w:styleId="Heading3">
    <w:name w:val="heading 3"/>
    <w:basedOn w:val="Normal"/>
    <w:next w:val="Normal"/>
    <w:link w:val="Heading3Char"/>
    <w:uiPriority w:val="9"/>
    <w:unhideWhenUsed/>
    <w:qFormat/>
    <w:rsid w:val="002E38DB"/>
    <w:pPr>
      <w:keepNext/>
      <w:keepLines/>
      <w:spacing w:before="160" w:after="80"/>
      <w:outlineLvl w:val="2"/>
    </w:pPr>
    <w:rPr>
      <w:rFonts w:eastAsiaTheme="majorEastAsia" w:cstheme="majorBidi"/>
      <w:color w:val="2F5496" w:themeColor="accent1" w:themeShade="BF"/>
      <w:sz w:val="28"/>
      <w:szCs w:val="28"/>
      <w:lang w:val="en-IN"/>
    </w:rPr>
  </w:style>
  <w:style w:type="paragraph" w:styleId="Heading4">
    <w:name w:val="heading 4"/>
    <w:basedOn w:val="Normal"/>
    <w:next w:val="Normal"/>
    <w:link w:val="Heading4Char"/>
    <w:uiPriority w:val="9"/>
    <w:semiHidden/>
    <w:unhideWhenUsed/>
    <w:qFormat/>
    <w:rsid w:val="002E38DB"/>
    <w:pPr>
      <w:keepNext/>
      <w:keepLines/>
      <w:spacing w:before="80" w:after="40"/>
      <w:outlineLvl w:val="3"/>
    </w:pPr>
    <w:rPr>
      <w:rFonts w:eastAsiaTheme="majorEastAsia" w:cstheme="majorBidi"/>
      <w:i/>
      <w:iCs/>
      <w:color w:val="2F5496" w:themeColor="accent1" w:themeShade="BF"/>
      <w:lang w:val="en-IN"/>
    </w:rPr>
  </w:style>
  <w:style w:type="paragraph" w:styleId="Heading5">
    <w:name w:val="heading 5"/>
    <w:basedOn w:val="Normal"/>
    <w:next w:val="Normal"/>
    <w:link w:val="Heading5Char"/>
    <w:uiPriority w:val="9"/>
    <w:semiHidden/>
    <w:unhideWhenUsed/>
    <w:qFormat/>
    <w:rsid w:val="002E38DB"/>
    <w:pPr>
      <w:keepNext/>
      <w:keepLines/>
      <w:spacing w:before="80" w:after="40"/>
      <w:outlineLvl w:val="4"/>
    </w:pPr>
    <w:rPr>
      <w:rFonts w:eastAsiaTheme="majorEastAsia" w:cstheme="majorBidi"/>
      <w:color w:val="2F5496" w:themeColor="accent1" w:themeShade="BF"/>
      <w:lang w:val="en-IN"/>
    </w:rPr>
  </w:style>
  <w:style w:type="paragraph" w:styleId="Heading6">
    <w:name w:val="heading 6"/>
    <w:basedOn w:val="Normal"/>
    <w:next w:val="Normal"/>
    <w:link w:val="Heading6Char"/>
    <w:uiPriority w:val="9"/>
    <w:semiHidden/>
    <w:unhideWhenUsed/>
    <w:qFormat/>
    <w:rsid w:val="002E38DB"/>
    <w:pPr>
      <w:keepNext/>
      <w:keepLines/>
      <w:spacing w:before="40" w:after="0"/>
      <w:outlineLvl w:val="5"/>
    </w:pPr>
    <w:rPr>
      <w:rFonts w:eastAsiaTheme="majorEastAsia" w:cstheme="majorBidi"/>
      <w:i/>
      <w:iCs/>
      <w:color w:val="595959" w:themeColor="text1" w:themeTint="A6"/>
      <w:lang w:val="en-IN"/>
    </w:rPr>
  </w:style>
  <w:style w:type="paragraph" w:styleId="Heading7">
    <w:name w:val="heading 7"/>
    <w:basedOn w:val="Normal"/>
    <w:next w:val="Normal"/>
    <w:link w:val="Heading7Char"/>
    <w:uiPriority w:val="9"/>
    <w:semiHidden/>
    <w:unhideWhenUsed/>
    <w:qFormat/>
    <w:rsid w:val="002E38DB"/>
    <w:pPr>
      <w:keepNext/>
      <w:keepLines/>
      <w:spacing w:before="40" w:after="0"/>
      <w:outlineLvl w:val="6"/>
    </w:pPr>
    <w:rPr>
      <w:rFonts w:eastAsiaTheme="majorEastAsia" w:cstheme="majorBidi"/>
      <w:color w:val="595959" w:themeColor="text1" w:themeTint="A6"/>
      <w:lang w:val="en-IN"/>
    </w:rPr>
  </w:style>
  <w:style w:type="paragraph" w:styleId="Heading8">
    <w:name w:val="heading 8"/>
    <w:basedOn w:val="Normal"/>
    <w:next w:val="Normal"/>
    <w:link w:val="Heading8Char"/>
    <w:uiPriority w:val="9"/>
    <w:semiHidden/>
    <w:unhideWhenUsed/>
    <w:qFormat/>
    <w:rsid w:val="002E38DB"/>
    <w:pPr>
      <w:keepNext/>
      <w:keepLines/>
      <w:spacing w:after="0"/>
      <w:outlineLvl w:val="7"/>
    </w:pPr>
    <w:rPr>
      <w:rFonts w:eastAsiaTheme="majorEastAsia" w:cstheme="majorBidi"/>
      <w:i/>
      <w:iCs/>
      <w:color w:val="272727" w:themeColor="text1" w:themeTint="D8"/>
      <w:lang w:val="en-IN"/>
    </w:rPr>
  </w:style>
  <w:style w:type="paragraph" w:styleId="Heading9">
    <w:name w:val="heading 9"/>
    <w:basedOn w:val="Normal"/>
    <w:next w:val="Normal"/>
    <w:link w:val="Heading9Char"/>
    <w:uiPriority w:val="9"/>
    <w:semiHidden/>
    <w:unhideWhenUsed/>
    <w:qFormat/>
    <w:rsid w:val="002E38DB"/>
    <w:pPr>
      <w:keepNext/>
      <w:keepLines/>
      <w:spacing w:after="0"/>
      <w:outlineLvl w:val="8"/>
    </w:pPr>
    <w:rPr>
      <w:rFonts w:eastAsiaTheme="majorEastAsia" w:cstheme="majorBidi"/>
      <w:color w:val="272727" w:themeColor="text1" w:themeTint="D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8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E38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E38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8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8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8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8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8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8DB"/>
    <w:rPr>
      <w:rFonts w:eastAsiaTheme="majorEastAsia" w:cstheme="majorBidi"/>
      <w:color w:val="272727" w:themeColor="text1" w:themeTint="D8"/>
    </w:rPr>
  </w:style>
  <w:style w:type="paragraph" w:styleId="Title">
    <w:name w:val="Title"/>
    <w:basedOn w:val="Normal"/>
    <w:next w:val="Normal"/>
    <w:link w:val="TitleChar"/>
    <w:uiPriority w:val="10"/>
    <w:qFormat/>
    <w:rsid w:val="002E38DB"/>
    <w:pPr>
      <w:spacing w:after="8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2E38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8DB"/>
    <w:pPr>
      <w:numPr>
        <w:ilvl w:val="1"/>
      </w:numPr>
    </w:pPr>
    <w:rPr>
      <w:rFonts w:eastAsiaTheme="majorEastAsia"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2E38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8DB"/>
    <w:pPr>
      <w:spacing w:before="160"/>
      <w:jc w:val="center"/>
    </w:pPr>
    <w:rPr>
      <w:i/>
      <w:iCs/>
      <w:color w:val="404040" w:themeColor="text1" w:themeTint="BF"/>
      <w:lang w:val="en-IN"/>
    </w:rPr>
  </w:style>
  <w:style w:type="character" w:customStyle="1" w:styleId="QuoteChar">
    <w:name w:val="Quote Char"/>
    <w:basedOn w:val="DefaultParagraphFont"/>
    <w:link w:val="Quote"/>
    <w:uiPriority w:val="29"/>
    <w:rsid w:val="002E38DB"/>
    <w:rPr>
      <w:i/>
      <w:iCs/>
      <w:color w:val="404040" w:themeColor="text1" w:themeTint="BF"/>
    </w:rPr>
  </w:style>
  <w:style w:type="paragraph" w:styleId="ListParagraph">
    <w:name w:val="List Paragraph"/>
    <w:basedOn w:val="Normal"/>
    <w:uiPriority w:val="34"/>
    <w:qFormat/>
    <w:rsid w:val="002E38DB"/>
    <w:pPr>
      <w:ind w:left="720"/>
      <w:contextualSpacing/>
    </w:pPr>
    <w:rPr>
      <w:lang w:val="en-IN"/>
    </w:rPr>
  </w:style>
  <w:style w:type="character" w:styleId="IntenseEmphasis">
    <w:name w:val="Intense Emphasis"/>
    <w:basedOn w:val="DefaultParagraphFont"/>
    <w:uiPriority w:val="21"/>
    <w:qFormat/>
    <w:rsid w:val="002E38DB"/>
    <w:rPr>
      <w:i/>
      <w:iCs/>
      <w:color w:val="2F5496" w:themeColor="accent1" w:themeShade="BF"/>
    </w:rPr>
  </w:style>
  <w:style w:type="paragraph" w:styleId="IntenseQuote">
    <w:name w:val="Intense Quote"/>
    <w:basedOn w:val="Normal"/>
    <w:next w:val="Normal"/>
    <w:link w:val="IntenseQuoteChar"/>
    <w:uiPriority w:val="30"/>
    <w:qFormat/>
    <w:rsid w:val="002E38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en-IN"/>
    </w:rPr>
  </w:style>
  <w:style w:type="character" w:customStyle="1" w:styleId="IntenseQuoteChar">
    <w:name w:val="Intense Quote Char"/>
    <w:basedOn w:val="DefaultParagraphFont"/>
    <w:link w:val="IntenseQuote"/>
    <w:uiPriority w:val="30"/>
    <w:rsid w:val="002E38DB"/>
    <w:rPr>
      <w:i/>
      <w:iCs/>
      <w:color w:val="2F5496" w:themeColor="accent1" w:themeShade="BF"/>
    </w:rPr>
  </w:style>
  <w:style w:type="character" w:styleId="IntenseReference">
    <w:name w:val="Intense Reference"/>
    <w:basedOn w:val="DefaultParagraphFont"/>
    <w:uiPriority w:val="32"/>
    <w:qFormat/>
    <w:rsid w:val="002E38DB"/>
    <w:rPr>
      <w:b/>
      <w:bCs/>
      <w:smallCaps/>
      <w:color w:val="2F5496" w:themeColor="accent1" w:themeShade="BF"/>
      <w:spacing w:val="5"/>
    </w:rPr>
  </w:style>
  <w:style w:type="character" w:styleId="Hyperlink">
    <w:name w:val="Hyperlink"/>
    <w:basedOn w:val="DefaultParagraphFont"/>
    <w:uiPriority w:val="99"/>
    <w:unhideWhenUsed/>
    <w:rsid w:val="002E38DB"/>
    <w:rPr>
      <w:color w:val="0563C1" w:themeColor="hyperlink"/>
      <w:u w:val="single"/>
    </w:rPr>
  </w:style>
  <w:style w:type="table" w:styleId="TableGrid">
    <w:name w:val="Table Grid"/>
    <w:basedOn w:val="TableNormal"/>
    <w:uiPriority w:val="39"/>
    <w:rsid w:val="002E38D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E38D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E38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E38DB"/>
    <w:pPr>
      <w:spacing w:after="100"/>
    </w:pPr>
  </w:style>
  <w:style w:type="paragraph" w:styleId="TOC2">
    <w:name w:val="toc 2"/>
    <w:basedOn w:val="Normal"/>
    <w:next w:val="Normal"/>
    <w:autoRedefine/>
    <w:uiPriority w:val="39"/>
    <w:unhideWhenUsed/>
    <w:rsid w:val="002E38DB"/>
    <w:pPr>
      <w:spacing w:after="100"/>
      <w:ind w:left="220"/>
    </w:pPr>
  </w:style>
  <w:style w:type="paragraph" w:styleId="TOC3">
    <w:name w:val="toc 3"/>
    <w:basedOn w:val="Normal"/>
    <w:next w:val="Normal"/>
    <w:autoRedefine/>
    <w:uiPriority w:val="39"/>
    <w:unhideWhenUsed/>
    <w:rsid w:val="002E38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3104</Words>
  <Characters>17695</Characters>
  <Application>Microsoft Office Word</Application>
  <DocSecurity>0</DocSecurity>
  <Lines>147</Lines>
  <Paragraphs>41</Paragraphs>
  <ScaleCrop>false</ScaleCrop>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reddygaaru02@outlook.com</dc:creator>
  <cp:keywords/>
  <dc:description/>
  <cp:lastModifiedBy>reddygaaru02@outlook.com</cp:lastModifiedBy>
  <cp:revision>1</cp:revision>
  <dcterms:created xsi:type="dcterms:W3CDTF">2026-02-19T22:18:00Z</dcterms:created>
  <dcterms:modified xsi:type="dcterms:W3CDTF">2026-02-19T22:18:00Z</dcterms:modified>
</cp:coreProperties>
</file>