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DF7" w:rsidRPr="009B06F9" w:rsidRDefault="00282DF7" w:rsidP="00282DF7">
      <w:pPr>
        <w:pStyle w:val="Heading2"/>
        <w:rPr>
          <w:rFonts w:ascii="Arial" w:hAnsi="Arial" w:cs="Arial"/>
        </w:rPr>
      </w:pPr>
      <w:bookmarkStart w:id="0" w:name="_Toc403977144"/>
      <w:r w:rsidRPr="009B06F9">
        <w:rPr>
          <w:rFonts w:ascii="Arial" w:hAnsi="Arial" w:cs="Arial"/>
        </w:rPr>
        <w:t>The Subjects of Agency and Personhood</w:t>
      </w:r>
      <w:bookmarkEnd w:id="0"/>
    </w:p>
    <w:p w:rsidR="00282DF7" w:rsidRPr="009B06F9" w:rsidRDefault="00282DF7" w:rsidP="00282DF7">
      <w:pPr>
        <w:rPr>
          <w:rFonts w:ascii="Arial" w:hAnsi="Arial" w:cs="Arial"/>
          <w:highlight w:val="yellow"/>
        </w:rPr>
      </w:pPr>
    </w:p>
    <w:p w:rsidR="00282DF7" w:rsidRPr="009B06F9" w:rsidRDefault="00282DF7" w:rsidP="00282DF7">
      <w:pPr>
        <w:spacing w:line="240" w:lineRule="auto"/>
        <w:ind w:left="720"/>
        <w:rPr>
          <w:rFonts w:ascii="Arial" w:hAnsi="Arial" w:cs="Arial"/>
        </w:rPr>
      </w:pPr>
      <w:r w:rsidRPr="009B06F9">
        <w:rPr>
          <w:rFonts w:ascii="Arial" w:hAnsi="Arial" w:cs="Arial"/>
        </w:rPr>
        <w:t xml:space="preserve">‘Agency is democratically distributed rather than concentrated in particular levels or categories of existence.’ </w:t>
      </w:r>
    </w:p>
    <w:p w:rsidR="00282DF7" w:rsidRPr="009B06F9" w:rsidRDefault="00282DF7" w:rsidP="00282DF7">
      <w:pPr>
        <w:spacing w:line="240" w:lineRule="auto"/>
        <w:ind w:left="720"/>
        <w:rPr>
          <w:rFonts w:ascii="Arial" w:hAnsi="Arial" w:cs="Arial"/>
        </w:rPr>
      </w:pPr>
      <w:r w:rsidRPr="009B06F9">
        <w:rPr>
          <w:rFonts w:ascii="Arial" w:hAnsi="Arial" w:cs="Arial"/>
        </w:rPr>
        <w:t xml:space="preserve">(Clark 2011: 31) </w:t>
      </w:r>
    </w:p>
    <w:p w:rsidR="00282DF7" w:rsidRPr="009B06F9" w:rsidRDefault="00282DF7" w:rsidP="00282DF7">
      <w:pPr>
        <w:spacing w:line="240" w:lineRule="auto"/>
        <w:ind w:left="720"/>
        <w:rPr>
          <w:rFonts w:ascii="Arial" w:hAnsi="Arial" w:cs="Arial"/>
        </w:rPr>
      </w:pPr>
    </w:p>
    <w:p w:rsidR="00282DF7" w:rsidRPr="009B06F9" w:rsidRDefault="00282DF7" w:rsidP="00282DF7">
      <w:pPr>
        <w:spacing w:line="240" w:lineRule="auto"/>
        <w:ind w:left="720"/>
        <w:rPr>
          <w:rFonts w:ascii="Arial" w:hAnsi="Arial" w:cs="Arial"/>
        </w:rPr>
      </w:pPr>
      <w:r w:rsidRPr="009B06F9">
        <w:rPr>
          <w:rFonts w:ascii="Arial" w:hAnsi="Arial" w:cs="Arial"/>
        </w:rPr>
        <w:t>‘And matter is not a fixed essence; rather, matter is substance in its intra-active becoming – not a thing but a doing, a congealing of agency.’</w:t>
      </w:r>
    </w:p>
    <w:p w:rsidR="00282DF7" w:rsidRPr="009B06F9" w:rsidRDefault="00282DF7" w:rsidP="00282DF7">
      <w:pPr>
        <w:spacing w:line="240" w:lineRule="auto"/>
        <w:ind w:left="720"/>
        <w:rPr>
          <w:rFonts w:ascii="Arial" w:hAnsi="Arial" w:cs="Arial"/>
        </w:rPr>
      </w:pPr>
      <w:r w:rsidRPr="009B06F9">
        <w:rPr>
          <w:rFonts w:ascii="Arial" w:hAnsi="Arial" w:cs="Arial"/>
        </w:rPr>
        <w:t>(Barad 2003: 828)</w:t>
      </w:r>
    </w:p>
    <w:p w:rsidR="00282DF7" w:rsidRPr="009B06F9" w:rsidRDefault="00282DF7" w:rsidP="00282DF7">
      <w:pPr>
        <w:spacing w:line="240" w:lineRule="auto"/>
        <w:ind w:left="720"/>
        <w:rPr>
          <w:rFonts w:ascii="Arial" w:hAnsi="Arial" w:cs="Arial"/>
        </w:rPr>
      </w:pPr>
    </w:p>
    <w:p w:rsidR="00282DF7" w:rsidRPr="009B06F9" w:rsidRDefault="00282DF7" w:rsidP="00282DF7">
      <w:pPr>
        <w:spacing w:line="240" w:lineRule="auto"/>
        <w:ind w:firstLine="720"/>
        <w:jc w:val="left"/>
        <w:rPr>
          <w:rFonts w:ascii="Arial" w:eastAsia="Times New Roman" w:hAnsi="Arial" w:cs="Arial"/>
          <w:color w:val="000000"/>
          <w:bdr w:val="none" w:sz="0" w:space="0" w:color="auto" w:frame="1"/>
        </w:rPr>
      </w:pPr>
      <w:r w:rsidRPr="009B06F9">
        <w:rPr>
          <w:rFonts w:ascii="Arial" w:eastAsia="Times New Roman" w:hAnsi="Arial" w:cs="Arial"/>
          <w:color w:val="000000"/>
          <w:bdr w:val="none" w:sz="0" w:space="0" w:color="auto" w:frame="1"/>
        </w:rPr>
        <w:t>‘When I drink a glass of water, where does it go? … does it animate me?’</w:t>
      </w:r>
    </w:p>
    <w:p w:rsidR="00282DF7" w:rsidRPr="009B06F9" w:rsidRDefault="00282DF7" w:rsidP="00282DF7">
      <w:pPr>
        <w:spacing w:line="240" w:lineRule="auto"/>
        <w:ind w:firstLine="720"/>
        <w:jc w:val="left"/>
        <w:rPr>
          <w:rFonts w:ascii="Arial" w:eastAsia="Times New Roman" w:hAnsi="Arial" w:cs="Arial"/>
        </w:rPr>
      </w:pPr>
      <w:r w:rsidRPr="009B06F9">
        <w:rPr>
          <w:rFonts w:ascii="Arial" w:eastAsia="Times New Roman" w:hAnsi="Arial" w:cs="Arial"/>
          <w:color w:val="000000"/>
          <w:bdr w:val="none" w:sz="0" w:space="0" w:color="auto" w:frame="1"/>
        </w:rPr>
        <w:t>(Neimanis 2017: 30)</w:t>
      </w:r>
    </w:p>
    <w:p w:rsidR="00282DF7" w:rsidRPr="009B06F9" w:rsidRDefault="00282DF7" w:rsidP="00282DF7">
      <w:pPr>
        <w:ind w:left="720"/>
        <w:rPr>
          <w:rFonts w:ascii="Arial" w:hAnsi="Arial" w:cs="Arial"/>
        </w:rPr>
      </w:pPr>
    </w:p>
    <w:p w:rsidR="00282DF7" w:rsidRPr="009B06F9" w:rsidRDefault="00282DF7" w:rsidP="00282DF7">
      <w:pPr>
        <w:ind w:left="720"/>
        <w:rPr>
          <w:rFonts w:ascii="Arial" w:hAnsi="Arial" w:cs="Arial"/>
        </w:rPr>
      </w:pPr>
    </w:p>
    <w:p w:rsidR="00282DF7" w:rsidRPr="009B06F9" w:rsidRDefault="00282DF7" w:rsidP="00282DF7">
      <w:pPr>
        <w:ind w:left="720"/>
        <w:rPr>
          <w:rFonts w:ascii="Arial" w:hAnsi="Arial" w:cs="Arial"/>
        </w:rPr>
      </w:pPr>
    </w:p>
    <w:p w:rsidR="00282DF7" w:rsidRPr="009B06F9" w:rsidRDefault="00282DF7" w:rsidP="00282DF7">
      <w:pPr>
        <w:rPr>
          <w:rFonts w:ascii="Arial" w:hAnsi="Arial" w:cs="Arial"/>
        </w:rPr>
      </w:pPr>
      <w:r w:rsidRPr="009B06F9">
        <w:rPr>
          <w:rFonts w:ascii="Arial" w:hAnsi="Arial" w:cs="Arial"/>
        </w:rPr>
        <w:t>At this point I think it is necessary to briefly dip a toe into the vast ocean of the topic of agency. This is because I am drawing people and the materials that comprise them into focus together, in such a way as to remind (as the notion of entanglement does) that they are literally one and the same, simultaneously people and materials. In doing this, the locus (and substance) of agency comes into question.</w:t>
      </w:r>
    </w:p>
    <w:p w:rsidR="00282DF7" w:rsidRPr="009B06F9" w:rsidRDefault="00282DF7" w:rsidP="00282DF7">
      <w:pPr>
        <w:rPr>
          <w:rFonts w:ascii="Arial" w:hAnsi="Arial" w:cs="Arial"/>
        </w:rPr>
      </w:pPr>
    </w:p>
    <w:p w:rsidR="00282DF7" w:rsidRPr="009B06F9" w:rsidRDefault="00282DF7" w:rsidP="00282DF7">
      <w:pPr>
        <w:rPr>
          <w:rFonts w:ascii="Arial" w:hAnsi="Arial" w:cs="Arial"/>
        </w:rPr>
      </w:pPr>
      <w:r w:rsidRPr="009B06F9">
        <w:rPr>
          <w:rFonts w:ascii="Arial" w:hAnsi="Arial" w:cs="Arial"/>
        </w:rPr>
        <w:t xml:space="preserve">At root my discussion holds that it is useful to take the field of materiality as a starting point or foundation </w:t>
      </w:r>
      <w:r>
        <w:rPr>
          <w:rFonts w:ascii="Arial" w:hAnsi="Arial" w:cs="Arial"/>
        </w:rPr>
        <w:t>from which to</w:t>
      </w:r>
      <w:r w:rsidRPr="009B06F9">
        <w:rPr>
          <w:rFonts w:ascii="Arial" w:hAnsi="Arial" w:cs="Arial"/>
        </w:rPr>
        <w:t xml:space="preserve"> approach being human. Thus, taking inspiration from quantum physics that shows phenomena in-forms (becomes formed) from an active latency that pervades throughout materiality, NM extrapolates that materials are possessed with the ability to become themselves, because of the field that they have formed with or in. Quantum physics shows that it is difficult to predict how physical states become what they are before they become, as a result of the mind-twisting fact that they are simultaneously numerous things in potential (Barad 2007). Indeed, because of this, it is only after something has happened or materialised that you can know it is there. Taking these ideas raises queries about agency, change and choice.</w:t>
      </w:r>
    </w:p>
    <w:p w:rsidR="00282DF7" w:rsidRPr="009B06F9" w:rsidRDefault="00282DF7" w:rsidP="00282DF7">
      <w:pPr>
        <w:rPr>
          <w:rFonts w:ascii="Arial" w:hAnsi="Arial" w:cs="Arial"/>
        </w:rPr>
      </w:pPr>
    </w:p>
    <w:p w:rsidR="00282DF7" w:rsidRPr="009B06F9" w:rsidRDefault="00282DF7" w:rsidP="00282DF7">
      <w:pPr>
        <w:rPr>
          <w:rFonts w:ascii="Arial" w:hAnsi="Arial" w:cs="Arial"/>
        </w:rPr>
      </w:pPr>
      <w:r w:rsidRPr="009B06F9">
        <w:rPr>
          <w:rFonts w:ascii="Arial" w:hAnsi="Arial" w:cs="Arial"/>
        </w:rPr>
        <w:t xml:space="preserve">The subject of agency has stimulated much discussion across disciplines over the years. Scholars interpret the word differently, ranging from the capacity to act to the ability to choose. On the one hand, agency is deemed to be biological (although it is disconnected from impulses and other physiological drivers), it is maintained to be connected to thinking and rationality (Rapport and Overing 2000). However, on the </w:t>
      </w:r>
      <w:r w:rsidRPr="009B06F9">
        <w:rPr>
          <w:rFonts w:ascii="Arial" w:hAnsi="Arial" w:cs="Arial"/>
        </w:rPr>
        <w:lastRenderedPageBreak/>
        <w:t>other hand, agency can be understood as social as it emerges because of the values and meaning that people attribute to their existence (Bourdieu 1977). Numerous criticisms have contested these restricted perspectives on agency, noting with some irritation that it articulates a human exceptionalist focus (Bennett 2010; Ingold 2013b; Malafouris 2013). However, while certain definitions have overtly restricted agency to people, others allow agency a sphere of wider influence. For example, otherthanhuman entities can be attributed agency in that they are considered animated (Harvey 2005), and things/objects are afforded agency primarily because they affect people causing them to feel or act (Bennett 2010; Gell 2013). Bateson (1987), in some ways rejecting a human exceptionalist focus, preferred to think in terms of energy rather than agency. He asserted that energy is the ‘determinant of behavior’ (1987: 7) not the mind or rationality, and not as an economic equation, instead, chiming to some extent with Barad (2003), he saw this as a material process that occurs through relationships. Barad offers an insight that attends to both agency and energy simultaneously, and uses matter or materiality as the outcome of agentive intra-actions.</w:t>
      </w:r>
    </w:p>
    <w:p w:rsidR="00282DF7" w:rsidRPr="009B06F9" w:rsidRDefault="00282DF7" w:rsidP="00282DF7">
      <w:pPr>
        <w:rPr>
          <w:rFonts w:ascii="Arial" w:hAnsi="Arial" w:cs="Arial"/>
        </w:rPr>
      </w:pPr>
    </w:p>
    <w:p w:rsidR="00282DF7" w:rsidRPr="009B06F9" w:rsidRDefault="00282DF7" w:rsidP="00282DF7">
      <w:pPr>
        <w:rPr>
          <w:rFonts w:ascii="Arial" w:hAnsi="Arial" w:cs="Arial"/>
        </w:rPr>
      </w:pPr>
      <w:r w:rsidRPr="009B06F9">
        <w:rPr>
          <w:rFonts w:ascii="Arial" w:hAnsi="Arial" w:cs="Arial"/>
        </w:rPr>
        <w:t>Barad’s ideas are densely packed and she uses neologisms regularly. Moreover, her ideas flow in such a way that I have struggled, and am loathe, to attempt to paraphrase them. Consequently, I offer this rather lengthy quote slightly apologetically to illustrate the how agency and matter are co-productive partners.</w:t>
      </w:r>
    </w:p>
    <w:p w:rsidR="00282DF7" w:rsidRPr="009B06F9" w:rsidRDefault="00282DF7" w:rsidP="00282DF7">
      <w:pPr>
        <w:rPr>
          <w:rFonts w:ascii="Arial" w:hAnsi="Arial" w:cs="Arial"/>
        </w:rPr>
      </w:pPr>
    </w:p>
    <w:p w:rsidR="00282DF7" w:rsidRPr="009B06F9" w:rsidRDefault="00282DF7" w:rsidP="00282DF7">
      <w:pPr>
        <w:widowControl w:val="0"/>
        <w:autoSpaceDE w:val="0"/>
        <w:autoSpaceDN w:val="0"/>
        <w:adjustRightInd w:val="0"/>
        <w:spacing w:line="240" w:lineRule="auto"/>
        <w:ind w:left="720"/>
        <w:rPr>
          <w:rFonts w:ascii="Arial" w:hAnsi="Arial" w:cs="Arial"/>
          <w:lang w:val="en-US"/>
        </w:rPr>
      </w:pPr>
      <w:r w:rsidRPr="009B06F9">
        <w:rPr>
          <w:rFonts w:ascii="Arial" w:hAnsi="Arial" w:cs="Arial"/>
          <w:lang w:val="en-US"/>
        </w:rPr>
        <w:t>‘Agential intra-actions are specific causal material enactments that may or may not involve “humans.” Indeed, it is through such practices that the differential boundaries between “humans” and “nonhumans,” “culture” and “nature,” the “social” and the “scientific” are constituted. Phenomena are constitutive of reality. Reality is not composed of things-in-themselves or things-behind-phenomena but “things”-in-phenomena.</w:t>
      </w:r>
      <w:r w:rsidRPr="009B06F9">
        <w:rPr>
          <w:rFonts w:ascii="Arial" w:hAnsi="Arial" w:cs="Arial"/>
          <w:position w:val="10"/>
          <w:lang w:val="en-US"/>
        </w:rPr>
        <w:t xml:space="preserve"> </w:t>
      </w:r>
      <w:r w:rsidRPr="009B06F9">
        <w:rPr>
          <w:rFonts w:ascii="Arial" w:hAnsi="Arial" w:cs="Arial"/>
          <w:lang w:val="en-US"/>
        </w:rPr>
        <w:t xml:space="preserve">The world </w:t>
      </w:r>
      <w:r w:rsidRPr="009B06F9">
        <w:rPr>
          <w:rFonts w:ascii="Arial" w:hAnsi="Arial" w:cs="Arial"/>
          <w:i/>
          <w:iCs/>
          <w:lang w:val="en-US"/>
        </w:rPr>
        <w:t xml:space="preserve">is </w:t>
      </w:r>
      <w:r w:rsidRPr="009B06F9">
        <w:rPr>
          <w:rFonts w:ascii="Arial" w:hAnsi="Arial" w:cs="Arial"/>
          <w:lang w:val="en-US"/>
        </w:rPr>
        <w:t xml:space="preserve">intra-activity in its differential mattering. It is through specific intra-actions that a differential sense of being is enacted in the ongoing ebb and flow of agency. That is, it is through specific intra-actions that phenomena come to matter—in both senses of the word. The world is a dynamic process of intra-activity in the ongoing reconfiguring of locally determinate causal structures with determinate boundaries, properties, meanings, and patterns of marks on bodies. This ongoing flow of agency through which “part” of the world makes itself differentially intelligible to another “part” of the world and through which local causal structures, boundaries, and properties are stabilized and destabilized does not take place in space and time but in the making of spacetime itself. The world is an ongoing open process of mattering through which “mattering” itself </w:t>
      </w:r>
      <w:r w:rsidRPr="009B06F9">
        <w:rPr>
          <w:rFonts w:ascii="Arial" w:hAnsi="Arial" w:cs="Arial"/>
          <w:lang w:val="en-US"/>
        </w:rPr>
        <w:lastRenderedPageBreak/>
        <w:t>acquires meaning and form in the realization of different agential possibilities… In summary, the universe is agential intra-activity in its becoming. The primary ontological units are not “things” but phenomena—dynamic</w:t>
      </w:r>
      <w:r>
        <w:rPr>
          <w:rFonts w:ascii="Arial" w:hAnsi="Arial" w:cs="Arial"/>
          <w:lang w:val="en-US"/>
        </w:rPr>
        <w:t xml:space="preserve"> </w:t>
      </w:r>
      <w:r w:rsidRPr="009B06F9">
        <w:rPr>
          <w:rFonts w:ascii="Arial" w:hAnsi="Arial" w:cs="Arial"/>
          <w:lang w:val="en-US"/>
        </w:rPr>
        <w:t xml:space="preserve">topological reconfigurings/entanglements/relationalities/(re)articulations. And the primary semantic units are not “words” but material-discursive practices through which boundaries are constituted. This dynamism </w:t>
      </w:r>
      <w:r w:rsidRPr="009B06F9">
        <w:rPr>
          <w:rFonts w:ascii="Arial" w:hAnsi="Arial" w:cs="Arial"/>
          <w:i/>
          <w:iCs/>
          <w:lang w:val="en-US"/>
        </w:rPr>
        <w:t xml:space="preserve">is </w:t>
      </w:r>
      <w:r w:rsidRPr="009B06F9">
        <w:rPr>
          <w:rFonts w:ascii="Arial" w:hAnsi="Arial" w:cs="Arial"/>
          <w:lang w:val="en-US"/>
        </w:rPr>
        <w:t>agency. Agency is not an attribute but the ongoing reconfigurings of the world.’</w:t>
      </w:r>
    </w:p>
    <w:p w:rsidR="00282DF7" w:rsidRPr="009B06F9" w:rsidRDefault="00282DF7" w:rsidP="00282DF7">
      <w:pPr>
        <w:widowControl w:val="0"/>
        <w:autoSpaceDE w:val="0"/>
        <w:autoSpaceDN w:val="0"/>
        <w:adjustRightInd w:val="0"/>
        <w:spacing w:line="240" w:lineRule="auto"/>
        <w:ind w:left="720"/>
        <w:rPr>
          <w:rFonts w:ascii="Arial" w:hAnsi="Arial" w:cs="Arial"/>
          <w:lang w:val="en-US"/>
        </w:rPr>
      </w:pPr>
      <w:r w:rsidRPr="009B06F9">
        <w:rPr>
          <w:rFonts w:ascii="Arial" w:hAnsi="Arial" w:cs="Arial"/>
          <w:lang w:val="en-US"/>
        </w:rPr>
        <w:t>(Barad 2003:817-8)</w:t>
      </w:r>
    </w:p>
    <w:p w:rsidR="00282DF7" w:rsidRPr="009B06F9" w:rsidRDefault="00282DF7" w:rsidP="00282DF7">
      <w:pPr>
        <w:rPr>
          <w:rFonts w:ascii="Arial" w:hAnsi="Arial" w:cs="Arial"/>
        </w:rPr>
      </w:pPr>
    </w:p>
    <w:p w:rsidR="00282DF7" w:rsidRPr="009B06F9" w:rsidRDefault="00282DF7" w:rsidP="00282DF7">
      <w:pPr>
        <w:rPr>
          <w:rFonts w:ascii="Arial" w:hAnsi="Arial" w:cs="Arial"/>
        </w:rPr>
      </w:pPr>
      <w:r w:rsidRPr="009B06F9">
        <w:rPr>
          <w:rFonts w:ascii="Arial" w:hAnsi="Arial" w:cs="Arial"/>
        </w:rPr>
        <w:t>Agency, therefore, if we are to accept Barad’s characterisation, does not emerge once objects or entities have formed, and is certainly not a particular characteristic of humanity, but is the process by which things come into ‘form’ or ‘being’ in the flux of materials that is producing everything. It is the fundamental, raw dynamism intrinsic in physics; it is a mystery and is simultaneously the impulse, ability and the result of matters interacting. This utterly material philosophy puts agency everywhere and nowhere concurrently, and takes it out of the heads of thinkers and puts the thought into matter (cf. Malafouris 2013). This is clearly useful for a perspective that focuses on materials.</w:t>
      </w:r>
    </w:p>
    <w:p w:rsidR="00282DF7" w:rsidRPr="009B06F9" w:rsidRDefault="00282DF7" w:rsidP="00282DF7">
      <w:pPr>
        <w:rPr>
          <w:rFonts w:ascii="Arial" w:hAnsi="Arial" w:cs="Arial"/>
        </w:rPr>
      </w:pPr>
    </w:p>
    <w:p w:rsidR="00282DF7" w:rsidRPr="009B06F9" w:rsidRDefault="00282DF7" w:rsidP="00282DF7">
      <w:pPr>
        <w:pStyle w:val="NormalWeb"/>
        <w:spacing w:before="0" w:beforeAutospacing="0" w:after="0" w:afterAutospacing="0"/>
        <w:rPr>
          <w:rFonts w:ascii="Arial" w:hAnsi="Arial" w:cs="Arial"/>
          <w:sz w:val="24"/>
          <w:szCs w:val="24"/>
        </w:rPr>
      </w:pPr>
      <w:r w:rsidRPr="009B06F9">
        <w:rPr>
          <w:rFonts w:ascii="Arial" w:hAnsi="Arial" w:cs="Arial"/>
          <w:sz w:val="24"/>
          <w:szCs w:val="24"/>
        </w:rPr>
        <w:t>Therefore, attempts to locate agency may be futile and a distraction. Such pursuits force you to look for something that is everywhere, like trying to find air. When using an NM focus, being unable to separate people from the rest of ‘it all’ also means that the attribution of agency in selected portions becomes problematic. Thus, perhaps the point is not to seek for agency but realise its all-pervasive mutating material presence. Therefore, following Latour (2014a: 15), ‘we should abstain from de-animating the agencies that we encounter’ and realise that actions are material affairs that never manifest alone.</w:t>
      </w:r>
    </w:p>
    <w:p w:rsidR="00282DF7" w:rsidRPr="009B06F9" w:rsidRDefault="00282DF7" w:rsidP="00282DF7">
      <w:pPr>
        <w:pStyle w:val="NormalWeb"/>
        <w:spacing w:before="0" w:beforeAutospacing="0" w:after="0" w:afterAutospacing="0"/>
        <w:rPr>
          <w:rFonts w:ascii="Arial" w:hAnsi="Arial" w:cs="Arial"/>
          <w:sz w:val="24"/>
          <w:szCs w:val="24"/>
        </w:rPr>
      </w:pPr>
    </w:p>
    <w:p w:rsidR="00282DF7" w:rsidRPr="009B06F9" w:rsidRDefault="00282DF7" w:rsidP="00282DF7">
      <w:pPr>
        <w:pStyle w:val="NormalWeb"/>
        <w:spacing w:before="0" w:beforeAutospacing="0" w:after="0" w:afterAutospacing="0"/>
        <w:rPr>
          <w:rFonts w:ascii="Arial" w:hAnsi="Arial" w:cs="Arial"/>
          <w:sz w:val="24"/>
          <w:szCs w:val="24"/>
        </w:rPr>
      </w:pPr>
      <w:r w:rsidRPr="009B06F9">
        <w:rPr>
          <w:rFonts w:ascii="Arial" w:hAnsi="Arial" w:cs="Arial"/>
          <w:sz w:val="24"/>
          <w:szCs w:val="24"/>
        </w:rPr>
        <w:t xml:space="preserve">Using these </w:t>
      </w:r>
      <w:proofErr w:type="gramStart"/>
      <w:r w:rsidRPr="009B06F9">
        <w:rPr>
          <w:rFonts w:ascii="Arial" w:hAnsi="Arial" w:cs="Arial"/>
          <w:sz w:val="24"/>
          <w:szCs w:val="24"/>
        </w:rPr>
        <w:t>ideas</w:t>
      </w:r>
      <w:proofErr w:type="gramEnd"/>
      <w:r w:rsidRPr="009B06F9">
        <w:rPr>
          <w:rFonts w:ascii="Arial" w:hAnsi="Arial" w:cs="Arial"/>
          <w:sz w:val="24"/>
          <w:szCs w:val="24"/>
        </w:rPr>
        <w:t xml:space="preserve"> the conception of agency as choice emerges as a product of human exceptionalism that befuddles us from understanding our physicality as anything more than ‘wrapping’. Moreover, the impetus and intentionality traditionally associated with human agency is shown to dissipate across the swarm of impacting influences that produce human lives. Instead of desperately seeking agency, perhaps attention to the behavioural methods, attractions and relations of our materiality would better serve us. In other words, look for what things do, rather than what a thing is (Bennett 2010). This, of course, is not to suggest that life is monotone or materially levelled. On the </w:t>
      </w:r>
      <w:r w:rsidRPr="009B06F9">
        <w:rPr>
          <w:rFonts w:ascii="Arial" w:hAnsi="Arial" w:cs="Arial"/>
          <w:sz w:val="24"/>
          <w:szCs w:val="24"/>
        </w:rPr>
        <w:lastRenderedPageBreak/>
        <w:t xml:space="preserve">contrary, the field or inherent culture of materiality is potential differences, all jiggling as particulates together. </w:t>
      </w:r>
      <w:proofErr w:type="gramStart"/>
      <w:r w:rsidRPr="009B06F9">
        <w:rPr>
          <w:rFonts w:ascii="Arial" w:hAnsi="Arial" w:cs="Arial"/>
          <w:sz w:val="24"/>
          <w:szCs w:val="24"/>
        </w:rPr>
        <w:t>Therefore</w:t>
      </w:r>
      <w:proofErr w:type="gramEnd"/>
      <w:r w:rsidRPr="009B06F9">
        <w:rPr>
          <w:rFonts w:ascii="Arial" w:hAnsi="Arial" w:cs="Arial"/>
          <w:sz w:val="24"/>
          <w:szCs w:val="24"/>
        </w:rPr>
        <w:t xml:space="preserve"> this is not a reductive or deterministic methodology that simply advocates for the exploration of how materials interact with each other but rather draws the material processes from which the different colours, forms and shapes generate to attention (Kohn 2013) – not unlike the animated character Morph who forms and reforms out of the same putty modelling clay that everything is made of. For Latour (2014a: 3), this enables the formation of a cohered ‘geostory’ that hinges on a material ‘cosmopolitics’ (Latour 2014a: 15) that converges and coheres physiology, morphology, physics, geography, philosophy and politics. </w:t>
      </w:r>
    </w:p>
    <w:p w:rsidR="00282DF7" w:rsidRPr="009B06F9" w:rsidRDefault="00282DF7" w:rsidP="00282DF7">
      <w:pPr>
        <w:pStyle w:val="NormalWeb"/>
        <w:spacing w:before="0" w:beforeAutospacing="0" w:after="0" w:afterAutospacing="0"/>
        <w:rPr>
          <w:rFonts w:ascii="Arial" w:hAnsi="Arial" w:cs="Arial"/>
          <w:sz w:val="24"/>
          <w:szCs w:val="24"/>
        </w:rPr>
      </w:pPr>
    </w:p>
    <w:p w:rsidR="00282DF7" w:rsidRPr="009B06F9" w:rsidRDefault="00282DF7" w:rsidP="00282DF7">
      <w:pPr>
        <w:rPr>
          <w:rFonts w:ascii="Arial" w:hAnsi="Arial" w:cs="Arial"/>
        </w:rPr>
      </w:pPr>
      <w:r w:rsidRPr="009B06F9">
        <w:rPr>
          <w:rFonts w:ascii="Arial" w:hAnsi="Arial" w:cs="Arial"/>
        </w:rPr>
        <w:t xml:space="preserve">As with agency, the notion of personhood has also been restricted to humanity since an Enlightenment inspired epistemology tightened its rational grip. In brief, most philosophical perspectives attribute personhood to those entities that are deemed to display the mental states for self-awareness, reason and can adopt a moral position, which disqualifies nonhumans from having personhood (Warren 2000). However, anthropological literature stresses that any attribution or denial of personhood is always situated, or culturally contextual, a position which forces one to rethink the definition. In association, previously held definitional constrictions have loosened and personhood is now more widely understood as both distributed between individuals and as an attribute of multiple other-than-human entities including materials and substances. </w:t>
      </w:r>
    </w:p>
    <w:p w:rsidR="00282DF7" w:rsidRPr="009B06F9" w:rsidRDefault="00282DF7" w:rsidP="00282DF7">
      <w:pPr>
        <w:rPr>
          <w:rFonts w:ascii="Arial" w:hAnsi="Arial" w:cs="Arial"/>
        </w:rPr>
      </w:pPr>
    </w:p>
    <w:p w:rsidR="00282DF7" w:rsidRPr="009B06F9" w:rsidRDefault="00282DF7" w:rsidP="00282DF7">
      <w:pPr>
        <w:rPr>
          <w:rFonts w:ascii="Arial" w:hAnsi="Arial" w:cs="Arial"/>
          <w:color w:val="222222"/>
          <w:shd w:val="clear" w:color="auto" w:fill="FFFFFF"/>
        </w:rPr>
      </w:pPr>
      <w:r w:rsidRPr="009B06F9">
        <w:rPr>
          <w:rFonts w:ascii="Arial" w:hAnsi="Arial" w:cs="Arial"/>
        </w:rPr>
        <w:t xml:space="preserve">An inclusive definition of personhood has in part paved the way for the notion of environmental personhood. Environmental personhood offers planetary entities the same legal rights as other persons. It does not transform parts of the environment into people or agents </w:t>
      </w:r>
      <w:r w:rsidRPr="009B06F9">
        <w:rPr>
          <w:rFonts w:ascii="Arial" w:hAnsi="Arial" w:cs="Arial"/>
          <w:i/>
        </w:rPr>
        <w:t>per se</w:t>
      </w:r>
      <w:r w:rsidRPr="009B06F9">
        <w:rPr>
          <w:rFonts w:ascii="Arial" w:hAnsi="Arial" w:cs="Arial"/>
        </w:rPr>
        <w:t>, but, rather, is one that recognises an alternative value to the environment. Used in this way, personhood can be attributed to areas or aspects of the landscape t</w:t>
      </w:r>
      <w:r>
        <w:rPr>
          <w:rFonts w:ascii="Arial" w:hAnsi="Arial" w:cs="Arial"/>
        </w:rPr>
        <w:t>o which</w:t>
      </w:r>
      <w:r w:rsidRPr="009B06F9">
        <w:rPr>
          <w:rFonts w:ascii="Arial" w:hAnsi="Arial" w:cs="Arial"/>
        </w:rPr>
        <w:t xml:space="preserve"> people feel an inalienable cultural, spiritual or material connection. Different from a heritage monument that connects to memory, having personhood aligns people with the environmental materials around them. </w:t>
      </w:r>
      <w:r w:rsidRPr="009B06F9">
        <w:rPr>
          <w:rFonts w:ascii="Arial" w:hAnsi="Arial" w:cs="Arial"/>
          <w:color w:val="222222"/>
          <w:shd w:val="clear" w:color="auto" w:fill="FFFFFF"/>
        </w:rPr>
        <w:t xml:space="preserve">In 2010 Bolivia passed a law that established personhood for the whole planet. (For </w:t>
      </w:r>
      <w:proofErr w:type="gramStart"/>
      <w:r w:rsidRPr="009B06F9">
        <w:rPr>
          <w:rFonts w:ascii="Arial" w:hAnsi="Arial" w:cs="Arial"/>
          <w:i/>
          <w:color w:val="222222"/>
          <w:shd w:val="clear" w:color="auto" w:fill="FFFFFF"/>
        </w:rPr>
        <w:t>The</w:t>
      </w:r>
      <w:proofErr w:type="gramEnd"/>
      <w:r w:rsidRPr="009B06F9">
        <w:rPr>
          <w:rFonts w:ascii="Arial" w:hAnsi="Arial" w:cs="Arial"/>
          <w:i/>
          <w:color w:val="222222"/>
          <w:shd w:val="clear" w:color="auto" w:fill="FFFFFF"/>
        </w:rPr>
        <w:t xml:space="preserve"> Universal Declaration of the Rights of Nature</w:t>
      </w:r>
      <w:r w:rsidRPr="009B06F9">
        <w:rPr>
          <w:rFonts w:ascii="Arial" w:hAnsi="Arial" w:cs="Arial"/>
          <w:i/>
          <w:iCs/>
          <w:color w:val="222222"/>
          <w:shd w:val="clear" w:color="auto" w:fill="FFFFFF"/>
        </w:rPr>
        <w:t xml:space="preserve">, </w:t>
      </w:r>
      <w:r w:rsidRPr="009B06F9">
        <w:rPr>
          <w:rFonts w:ascii="Arial" w:hAnsi="Arial" w:cs="Arial"/>
          <w:iCs/>
          <w:color w:val="222222"/>
          <w:shd w:val="clear" w:color="auto" w:fill="FFFFFF"/>
        </w:rPr>
        <w:t xml:space="preserve">see Global Alliance for the Rights of Nature (2018) and May and Daly (2015)). </w:t>
      </w:r>
      <w:r w:rsidRPr="009B06F9">
        <w:rPr>
          <w:rFonts w:ascii="Arial" w:hAnsi="Arial" w:cs="Arial"/>
        </w:rPr>
        <w:t xml:space="preserve">Another recent example of this is the declaration in 2014 that gave The </w:t>
      </w:r>
      <w:r w:rsidRPr="009B06F9">
        <w:rPr>
          <w:rFonts w:ascii="Arial" w:hAnsi="Arial" w:cs="Arial"/>
          <w:color w:val="222222"/>
          <w:shd w:val="clear" w:color="auto" w:fill="FFFFFF"/>
        </w:rPr>
        <w:t xml:space="preserve">Whanganui </w:t>
      </w:r>
      <w:r w:rsidRPr="009B06F9">
        <w:rPr>
          <w:rFonts w:ascii="Arial" w:hAnsi="Arial" w:cs="Arial"/>
        </w:rPr>
        <w:t xml:space="preserve">River </w:t>
      </w:r>
      <w:r w:rsidRPr="009B06F9">
        <w:rPr>
          <w:rFonts w:ascii="Arial" w:hAnsi="Arial" w:cs="Arial"/>
          <w:color w:val="222222"/>
          <w:shd w:val="clear" w:color="auto" w:fill="FFFFFF"/>
        </w:rPr>
        <w:t>in New Zealand (</w:t>
      </w:r>
      <w:r w:rsidRPr="009B06F9">
        <w:rPr>
          <w:rFonts w:ascii="Arial" w:hAnsi="Arial" w:cs="Arial"/>
          <w:i/>
          <w:iCs/>
          <w:color w:val="222222"/>
          <w:shd w:val="clear" w:color="auto" w:fill="FFFFFF"/>
        </w:rPr>
        <w:t>Te Awa Tupua</w:t>
      </w:r>
      <w:r w:rsidRPr="009B06F9">
        <w:rPr>
          <w:rFonts w:ascii="Arial" w:hAnsi="Arial" w:cs="Arial"/>
          <w:color w:val="222222"/>
          <w:shd w:val="clear" w:color="auto" w:fill="FFFFFF"/>
        </w:rPr>
        <w:t xml:space="preserve">) </w:t>
      </w:r>
      <w:r w:rsidRPr="009B06F9">
        <w:rPr>
          <w:rFonts w:ascii="Arial" w:hAnsi="Arial" w:cs="Arial"/>
          <w:color w:val="222222"/>
          <w:shd w:val="clear" w:color="auto" w:fill="FFFFFF"/>
        </w:rPr>
        <w:lastRenderedPageBreak/>
        <w:t>personhood</w:t>
      </w:r>
      <w:r w:rsidRPr="009B06F9">
        <w:rPr>
          <w:rFonts w:ascii="Arial" w:hAnsi="Arial" w:cs="Arial"/>
        </w:rPr>
        <w:t xml:space="preserve"> and therefore rights under the law</w:t>
      </w:r>
      <w:r w:rsidRPr="009B06F9">
        <w:rPr>
          <w:rFonts w:ascii="Arial" w:hAnsi="Arial" w:cs="Arial"/>
          <w:color w:val="222222"/>
          <w:shd w:val="clear" w:color="auto" w:fill="FFFFFF"/>
        </w:rPr>
        <w:t xml:space="preserve">. The claim emerged from concerns about the wellbeing of the river, and the need to rebalance indigenous sovereignty. The river embodies the product of a disagreement between Maori mountain ancestors. The mountain ancestors are not ‘people’ in control of the mountains; they </w:t>
      </w:r>
      <w:r w:rsidRPr="009B06F9">
        <w:rPr>
          <w:rFonts w:ascii="Arial" w:hAnsi="Arial" w:cs="Arial"/>
          <w:i/>
          <w:color w:val="222222"/>
          <w:shd w:val="clear" w:color="auto" w:fill="FFFFFF"/>
        </w:rPr>
        <w:t>are</w:t>
      </w:r>
      <w:r w:rsidRPr="009B06F9">
        <w:rPr>
          <w:rFonts w:ascii="Arial" w:hAnsi="Arial" w:cs="Arial"/>
          <w:color w:val="222222"/>
          <w:shd w:val="clear" w:color="auto" w:fill="FFFFFF"/>
        </w:rPr>
        <w:t xml:space="preserve"> the mountains, and therefore the river they </w:t>
      </w:r>
      <w:r w:rsidRPr="009B06F9">
        <w:rPr>
          <w:rFonts w:ascii="Arial" w:hAnsi="Arial" w:cs="Arial"/>
          <w:color w:val="000000" w:themeColor="text1"/>
          <w:shd w:val="clear" w:color="auto" w:fill="FFFFFF"/>
        </w:rPr>
        <w:t xml:space="preserve">produced </w:t>
      </w:r>
      <w:r w:rsidRPr="009B06F9">
        <w:rPr>
          <w:rFonts w:ascii="Arial" w:eastAsia="Times New Roman" w:hAnsi="Arial" w:cs="Arial"/>
          <w:color w:val="000000" w:themeColor="text1"/>
          <w:shd w:val="clear" w:color="auto" w:fill="FFFFFF"/>
        </w:rPr>
        <w:t>is a material extension of the</w:t>
      </w:r>
      <w:r>
        <w:rPr>
          <w:rFonts w:ascii="Arial" w:eastAsia="Times New Roman" w:hAnsi="Arial" w:cs="Arial"/>
          <w:color w:val="000000" w:themeColor="text1"/>
          <w:shd w:val="clear" w:color="auto" w:fill="FFFFFF"/>
        </w:rPr>
        <w:t>ir</w:t>
      </w:r>
      <w:r w:rsidRPr="009B06F9">
        <w:rPr>
          <w:rFonts w:ascii="Arial" w:eastAsia="Times New Roman" w:hAnsi="Arial" w:cs="Arial"/>
          <w:color w:val="000000" w:themeColor="text1"/>
          <w:shd w:val="clear" w:color="auto" w:fill="FFFFFF"/>
        </w:rPr>
        <w:t xml:space="preserve"> descendants. At the hearing that successfully changed the river’s status, Tūtochu Whakatupua said, "Ko au te awa, Ko te awa ko au - I am the river and the river is me" (Hsiao 2012: 371)</w:t>
      </w:r>
      <w:r w:rsidRPr="009B06F9">
        <w:rPr>
          <w:rFonts w:ascii="Arial" w:hAnsi="Arial" w:cs="Arial"/>
          <w:color w:val="000000" w:themeColor="text1"/>
          <w:shd w:val="clear" w:color="auto" w:fill="FFFFFF"/>
        </w:rPr>
        <w:t xml:space="preserve"> thus providing a material</w:t>
      </w:r>
      <w:r w:rsidRPr="009B06F9">
        <w:rPr>
          <w:rFonts w:ascii="Arial" w:hAnsi="Arial" w:cs="Arial"/>
          <w:color w:val="222222"/>
          <w:shd w:val="clear" w:color="auto" w:fill="FFFFFF"/>
        </w:rPr>
        <w:t xml:space="preserve"> association between bodies and the rest of the eco-materiality of the area. The notion of nonhuman personhood is regularly seen in ethnographic writing. One familiar example is the River Ganges in India; others perhaps less familiar include the Ituri forest for the Mbuti (Mosko 1987; Turnbull 1987) and, with regards nonhuman animal personhood, see Locke (2017) on elephants in Nepal, Hurn (2012: 94 and 108-9) on Inuit conceptions of polar bears and how ‘pets’ are understood, and the attribution of personhood to dolphins (BBC News 2012). </w:t>
      </w:r>
    </w:p>
    <w:p w:rsidR="00282DF7" w:rsidRPr="009B06F9" w:rsidRDefault="00282DF7" w:rsidP="00282DF7">
      <w:pPr>
        <w:rPr>
          <w:rFonts w:ascii="Arial" w:hAnsi="Arial" w:cs="Arial"/>
        </w:rPr>
      </w:pPr>
    </w:p>
    <w:p w:rsidR="00282DF7" w:rsidRPr="009B06F9" w:rsidRDefault="00282DF7" w:rsidP="00282DF7">
      <w:pPr>
        <w:rPr>
          <w:rFonts w:ascii="Arial" w:hAnsi="Arial" w:cs="Arial"/>
        </w:rPr>
      </w:pPr>
      <w:r w:rsidRPr="009B06F9">
        <w:rPr>
          <w:rFonts w:ascii="Arial" w:hAnsi="Arial" w:cs="Arial"/>
        </w:rPr>
        <w:t xml:space="preserve">Anthropology provides further examples that blur the material and status boundaries between people and other materials. For example, in Uganda the unborn child, initially formed from male ‘water’ and female ‘blood’, develops through the exchange of a combination of substances taking place in other bodies. Thus, any foodstuffs including beer and livestock consumed by people other than the mother contribute to the formation of the person </w:t>
      </w:r>
      <w:r w:rsidRPr="009B06F9">
        <w:rPr>
          <w:rFonts w:ascii="Arial" w:hAnsi="Arial" w:cs="Arial"/>
          <w:i/>
        </w:rPr>
        <w:t>in utero</w:t>
      </w:r>
      <w:r w:rsidRPr="009B06F9">
        <w:rPr>
          <w:rFonts w:ascii="Arial" w:hAnsi="Arial" w:cs="Arial"/>
        </w:rPr>
        <w:t xml:space="preserve"> (Vokes 2012: 223). Fayers-Kerr (in press) illustrates how the Mun (commonly known as Mursi) in Ethiopia exist as a ‘community of substances’ by regularly harvesting and ‘eating’ soils from different locations. Similarly, Lamb’s (2000) work in rural Sri Lanka illustrates how personhood leaks out of the boundaries of the body and soaks into the landscape causing one’s material being to seep into another.</w:t>
      </w:r>
    </w:p>
    <w:p w:rsidR="00FF3305" w:rsidRDefault="00282DF7">
      <w:bookmarkStart w:id="1" w:name="_GoBack"/>
      <w:bookmarkEnd w:id="1"/>
    </w:p>
    <w:sectPr w:rsidR="00FF3305" w:rsidSect="00FB54F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 Times 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Times">
    <w:altName w:val="Times 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DF7"/>
    <w:rsid w:val="00282DF7"/>
    <w:rsid w:val="00FB5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9372046-76AB-0C43-8BBE-C3A3C7B99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2DF7"/>
    <w:pPr>
      <w:spacing w:line="360" w:lineRule="auto"/>
      <w:jc w:val="both"/>
    </w:pPr>
    <w:rPr>
      <w:rFonts w:ascii="Times New Roman" w:eastAsiaTheme="minorEastAsia" w:hAnsi="Times New Roman"/>
    </w:rPr>
  </w:style>
  <w:style w:type="paragraph" w:styleId="Heading2">
    <w:name w:val="heading 2"/>
    <w:basedOn w:val="Heading3"/>
    <w:next w:val="Normal"/>
    <w:link w:val="Heading2Char"/>
    <w:autoRedefine/>
    <w:uiPriority w:val="9"/>
    <w:unhideWhenUsed/>
    <w:qFormat/>
    <w:rsid w:val="00282DF7"/>
    <w:pPr>
      <w:keepNext w:val="0"/>
      <w:keepLines w:val="0"/>
      <w:shd w:val="clear" w:color="auto" w:fill="F2F2F2"/>
      <w:spacing w:before="0" w:after="161"/>
      <w:ind w:left="120" w:right="120"/>
      <w:textAlignment w:val="baseline"/>
      <w:outlineLvl w:val="1"/>
    </w:pPr>
    <w:rPr>
      <w:rFonts w:ascii="New Times Roman" w:eastAsia="Times New Roman" w:hAnsi="New Times Roman" w:cs="Times New Roman"/>
      <w:b/>
      <w:color w:val="333333"/>
      <w:shd w:val="clear" w:color="auto" w:fill="FFFFFF"/>
      <w:lang w:val="en-US"/>
    </w:rPr>
  </w:style>
  <w:style w:type="paragraph" w:styleId="Heading3">
    <w:name w:val="heading 3"/>
    <w:basedOn w:val="Normal"/>
    <w:next w:val="Normal"/>
    <w:link w:val="Heading3Char"/>
    <w:uiPriority w:val="9"/>
    <w:semiHidden/>
    <w:unhideWhenUsed/>
    <w:qFormat/>
    <w:rsid w:val="00282DF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2DF7"/>
    <w:rPr>
      <w:rFonts w:ascii="New Times Roman" w:eastAsia="Times New Roman" w:hAnsi="New Times Roman" w:cs="Times New Roman"/>
      <w:b/>
      <w:color w:val="333333"/>
      <w:shd w:val="clear" w:color="auto" w:fill="F2F2F2"/>
      <w:lang w:val="en-US"/>
    </w:rPr>
  </w:style>
  <w:style w:type="paragraph" w:styleId="NormalWeb">
    <w:name w:val="Normal (Web)"/>
    <w:basedOn w:val="Normal"/>
    <w:uiPriority w:val="99"/>
    <w:unhideWhenUsed/>
    <w:rsid w:val="00282DF7"/>
    <w:pPr>
      <w:spacing w:before="100" w:beforeAutospacing="1" w:after="100" w:afterAutospacing="1"/>
    </w:pPr>
    <w:rPr>
      <w:rFonts w:ascii="Times" w:hAnsi="Times" w:cs="Times New Roman"/>
      <w:sz w:val="20"/>
      <w:szCs w:val="20"/>
    </w:rPr>
  </w:style>
  <w:style w:type="character" w:customStyle="1" w:styleId="Heading3Char">
    <w:name w:val="Heading 3 Char"/>
    <w:basedOn w:val="DefaultParagraphFont"/>
    <w:link w:val="Heading3"/>
    <w:uiPriority w:val="9"/>
    <w:semiHidden/>
    <w:rsid w:val="00282DF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1812</Words>
  <Characters>10332</Characters>
  <Application>Microsoft Office Word</Application>
  <DocSecurity>0</DocSecurity>
  <Lines>86</Lines>
  <Paragraphs>24</Paragraphs>
  <ScaleCrop>false</ScaleCrop>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2019-01-15T10:46:00Z</dcterms:created>
  <dcterms:modified xsi:type="dcterms:W3CDTF">2019-01-15T10:47:00Z</dcterms:modified>
</cp:coreProperties>
</file>