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ind w:firstLine="0"/>
        <w:jc w:val="center"/>
        <w:rPr>
          <w:rFonts w:cs="Times New Roman"/>
          <w:b/>
          <w:bCs/>
          <w:szCs w:val="24"/>
        </w:rPr>
      </w:pPr>
    </w:p>
    <w:p>
      <w:pPr>
        <w:ind w:firstLine="0"/>
        <w:jc w:val="center"/>
        <w:rPr>
          <w:rFonts w:cs="Times New Roman"/>
          <w:b/>
          <w:bCs/>
          <w:szCs w:val="24"/>
        </w:rPr>
      </w:pPr>
    </w:p>
    <w:p>
      <w:pPr>
        <w:ind w:firstLine="0"/>
        <w:jc w:val="center"/>
        <w:rPr>
          <w:rFonts w:cs="Times New Roman"/>
          <w:b/>
          <w:bCs/>
          <w:szCs w:val="24"/>
        </w:rPr>
      </w:pPr>
    </w:p>
    <w:p>
      <w:pPr>
        <w:ind w:firstLine="0"/>
        <w:jc w:val="center"/>
        <w:rPr>
          <w:rFonts w:cs="Times New Roman"/>
          <w:b/>
          <w:bCs/>
          <w:szCs w:val="24"/>
        </w:rPr>
      </w:pPr>
    </w:p>
    <w:p>
      <w:pPr>
        <w:ind w:firstLine="0"/>
        <w:jc w:val="center"/>
        <w:rPr>
          <w:rFonts w:cs="Times New Roman"/>
          <w:b/>
          <w:bCs/>
          <w:szCs w:val="24"/>
        </w:rPr>
      </w:pPr>
      <w:r>
        <w:rPr>
          <w:rFonts w:cs="Times New Roman"/>
          <w:b/>
          <w:bCs/>
          <w:szCs w:val="24"/>
        </w:rPr>
        <w:t>Research Area: Task-Based Learning</w:t>
      </w:r>
    </w:p>
    <w:p>
      <w:pPr>
        <w:ind w:firstLine="0"/>
        <w:jc w:val="center"/>
        <w:rPr>
          <w:rFonts w:cs="Times New Roman"/>
          <w:b/>
          <w:bCs/>
          <w:szCs w:val="24"/>
        </w:rPr>
      </w:pPr>
    </w:p>
    <w:p>
      <w:pPr>
        <w:ind w:firstLine="0"/>
        <w:jc w:val="center"/>
        <w:rPr>
          <w:rFonts w:cs="Times New Roman"/>
          <w:b/>
          <w:bCs/>
          <w:szCs w:val="24"/>
        </w:rPr>
      </w:pPr>
      <w:r>
        <w:rPr>
          <w:rFonts w:cs="Times New Roman"/>
          <w:b/>
          <w:bCs/>
          <w:szCs w:val="24"/>
        </w:rPr>
        <w:t>Topic: An examination of the use of ‘task-based learning’ as a basis for the design of writing activities for adult learners and its implications for syllabus design.</w:t>
      </w:r>
    </w:p>
    <w:p>
      <w:pPr>
        <w:ind w:firstLine="0"/>
        <w:jc w:val="center"/>
        <w:rPr>
          <w:rFonts w:cs="Times New Roman"/>
          <w:b/>
          <w:bCs/>
          <w:szCs w:val="24"/>
        </w:rPr>
      </w:pPr>
    </w:p>
    <w:p>
      <w:pPr>
        <w:ind w:firstLine="0"/>
        <w:jc w:val="center"/>
        <w:rPr>
          <w:rFonts w:cs="Times New Roman"/>
          <w:b/>
          <w:bCs/>
          <w:szCs w:val="24"/>
        </w:rPr>
      </w:pPr>
    </w:p>
    <w:p>
      <w:pPr>
        <w:ind w:firstLine="0"/>
        <w:jc w:val="both"/>
        <w:rPr>
          <w:rFonts w:cs="Times New Roman"/>
          <w:b/>
          <w:bCs/>
          <w:szCs w:val="24"/>
        </w:rPr>
      </w:pPr>
    </w:p>
    <w:p>
      <w:pPr>
        <w:ind w:firstLine="0"/>
        <w:jc w:val="center"/>
        <w:rPr>
          <w:rFonts w:cs="Times New Roman"/>
          <w:b/>
          <w:bCs/>
          <w:szCs w:val="24"/>
        </w:rPr>
      </w:pPr>
    </w:p>
    <w:p>
      <w:pPr>
        <w:ind w:firstLine="0"/>
        <w:jc w:val="center"/>
        <w:rPr>
          <w:rFonts w:cs="Times New Roman"/>
          <w:b/>
          <w:bCs/>
          <w:szCs w:val="24"/>
        </w:rPr>
      </w:pPr>
    </w:p>
    <w:p>
      <w:pPr>
        <w:ind w:firstLine="0"/>
        <w:jc w:val="center"/>
        <w:rPr>
          <w:rFonts w:cs="Times New Roman"/>
          <w:b/>
          <w:bCs/>
          <w:szCs w:val="24"/>
        </w:rPr>
      </w:pPr>
    </w:p>
    <w:p>
      <w:pPr>
        <w:ind w:left="0" w:leftChars="0" w:firstLine="0" w:firstLineChars="0"/>
        <w:rPr>
          <w:rFonts w:cs="Times New Roman"/>
          <w:b/>
          <w:bCs/>
          <w:szCs w:val="24"/>
        </w:rPr>
      </w:pPr>
      <w:bookmarkStart w:id="0" w:name="_GoBack"/>
      <w:bookmarkEnd w:id="0"/>
    </w:p>
    <w:p>
      <w:pPr>
        <w:ind w:firstLine="0"/>
        <w:jc w:val="center"/>
        <w:rPr>
          <w:rFonts w:cs="Times New Roman"/>
          <w:b/>
          <w:bCs/>
          <w:szCs w:val="24"/>
        </w:rPr>
      </w:pPr>
      <w:r>
        <w:rPr>
          <w:rFonts w:cs="Times New Roman"/>
          <w:b/>
          <w:bCs/>
          <w:szCs w:val="24"/>
        </w:rPr>
        <w:t xml:space="preserve">Task-Based Learning </w:t>
      </w:r>
    </w:p>
    <w:p>
      <w:pPr>
        <w:ind w:firstLine="0"/>
        <w:jc w:val="center"/>
        <w:rPr>
          <w:rFonts w:cs="Times New Roman"/>
          <w:b/>
          <w:bCs/>
          <w:szCs w:val="24"/>
        </w:rPr>
      </w:pPr>
      <w:r>
        <w:rPr>
          <w:rFonts w:cs="Times New Roman"/>
          <w:b/>
          <w:bCs/>
          <w:szCs w:val="24"/>
        </w:rPr>
        <w:t>Aims of the Investigation</w:t>
      </w:r>
    </w:p>
    <w:p>
      <w:pPr>
        <w:rPr>
          <w:rFonts w:cs="Times New Roman"/>
          <w:szCs w:val="24"/>
        </w:rPr>
      </w:pPr>
      <w:r>
        <w:rPr>
          <w:rFonts w:cs="Times New Roman"/>
          <w:szCs w:val="24"/>
        </w:rPr>
        <w:t xml:space="preserve">The research will involve an in-depth examination of the use of ‘task-based learning’ as a basis for the design of writing activities for adult learners and its implications for syllabus design. The growth of task-based learning (TBL) has been significant over the years, leaning on the principles of scaffolding, task dependency, recycling, active learning, integration, reproduction to creation and reflection to frame the concept. Task-based learning has created a concept of task-based activity in which students follow a procedure where they have to use the target language to arrive at a specific outcome. Essentially, these TBL activities reflect situations in real life, enabling the learners to find more commonalities between the lesson and their lives (Nunan, 1988). Unlocking TBL promises to lift the lid on the different ways of designing writing activities used for adult learners and, thus, lay bare the impacts of these activities on the structure of the syllabus and its contents (Ellis, 2003). Looking into this topic outlines the links between the style of learning and students' performance in an array of writing tasks and, thus, the potential merits and demerits of TBL in syllabus design beyond the confines of the classroom or the purview of the instructors. </w:t>
      </w:r>
    </w:p>
    <w:p>
      <w:pPr>
        <w:rPr>
          <w:rFonts w:cs="Times New Roman"/>
          <w:szCs w:val="24"/>
        </w:rPr>
      </w:pPr>
      <w:r>
        <w:rPr>
          <w:rFonts w:cs="Times New Roman"/>
          <w:szCs w:val="24"/>
        </w:rPr>
        <w:t>The research will answer the following questions;</w:t>
      </w:r>
    </w:p>
    <w:p>
      <w:pPr>
        <w:pStyle w:val="6"/>
        <w:numPr>
          <w:ilvl w:val="0"/>
          <w:numId w:val="1"/>
        </w:numPr>
        <w:ind w:left="0" w:firstLine="720"/>
        <w:rPr>
          <w:rFonts w:cs="Times New Roman"/>
          <w:szCs w:val="24"/>
        </w:rPr>
      </w:pPr>
      <w:r>
        <w:rPr>
          <w:rFonts w:cs="Times New Roman"/>
          <w:szCs w:val="24"/>
        </w:rPr>
        <w:t>What are the major principles of TBL?</w:t>
      </w:r>
    </w:p>
    <w:p>
      <w:pPr>
        <w:pStyle w:val="6"/>
        <w:numPr>
          <w:ilvl w:val="0"/>
          <w:numId w:val="1"/>
        </w:numPr>
        <w:ind w:left="0" w:firstLine="720"/>
        <w:rPr>
          <w:rFonts w:cs="Times New Roman"/>
          <w:szCs w:val="24"/>
        </w:rPr>
      </w:pPr>
      <w:r>
        <w:rPr>
          <w:rFonts w:cs="Times New Roman"/>
          <w:szCs w:val="24"/>
        </w:rPr>
        <w:t>What is the link between TBL and learner performance?</w:t>
      </w:r>
    </w:p>
    <w:p>
      <w:pPr>
        <w:pStyle w:val="6"/>
        <w:numPr>
          <w:ilvl w:val="0"/>
          <w:numId w:val="1"/>
        </w:numPr>
        <w:ind w:left="0" w:firstLine="720"/>
        <w:rPr>
          <w:rFonts w:cs="Times New Roman"/>
          <w:szCs w:val="24"/>
        </w:rPr>
      </w:pPr>
      <w:r>
        <w:rPr>
          <w:rFonts w:cs="Times New Roman"/>
          <w:szCs w:val="24"/>
        </w:rPr>
        <w:t>What are the links between TBL and performance in writing activities?</w:t>
      </w:r>
    </w:p>
    <w:p>
      <w:pPr>
        <w:pStyle w:val="6"/>
        <w:numPr>
          <w:ilvl w:val="0"/>
          <w:numId w:val="1"/>
        </w:numPr>
        <w:ind w:left="0" w:firstLine="720"/>
        <w:rPr>
          <w:rFonts w:cs="Times New Roman"/>
          <w:szCs w:val="24"/>
        </w:rPr>
      </w:pPr>
      <w:r>
        <w:rPr>
          <w:rFonts w:cs="Times New Roman"/>
          <w:szCs w:val="24"/>
        </w:rPr>
        <w:t>Does TBL impact existing syllabus designs?</w:t>
      </w:r>
    </w:p>
    <w:p>
      <w:pPr>
        <w:pStyle w:val="6"/>
        <w:numPr>
          <w:ilvl w:val="0"/>
          <w:numId w:val="1"/>
        </w:numPr>
        <w:ind w:left="0" w:firstLine="720"/>
        <w:rPr>
          <w:rFonts w:cs="Times New Roman"/>
          <w:szCs w:val="24"/>
        </w:rPr>
      </w:pPr>
      <w:r>
        <w:rPr>
          <w:rFonts w:cs="Times New Roman"/>
          <w:szCs w:val="24"/>
        </w:rPr>
        <w:t>What are the various syllabus changes that can be initiated to best support TBL and enhance its effectiveness?</w:t>
      </w:r>
    </w:p>
    <w:p>
      <w:pPr>
        <w:ind w:firstLine="0"/>
        <w:jc w:val="center"/>
        <w:rPr>
          <w:rFonts w:cs="Times New Roman"/>
          <w:b/>
          <w:bCs/>
          <w:szCs w:val="24"/>
        </w:rPr>
      </w:pPr>
    </w:p>
    <w:p>
      <w:pPr>
        <w:ind w:firstLine="0"/>
        <w:jc w:val="center"/>
        <w:rPr>
          <w:rFonts w:cs="Times New Roman"/>
          <w:b/>
          <w:bCs/>
          <w:szCs w:val="24"/>
        </w:rPr>
      </w:pPr>
      <w:r>
        <w:rPr>
          <w:rFonts w:cs="Times New Roman"/>
          <w:b/>
          <w:bCs/>
          <w:szCs w:val="24"/>
        </w:rPr>
        <w:t xml:space="preserve">Rationale and Main Conceptual Themes for the Investigation </w:t>
      </w:r>
    </w:p>
    <w:p>
      <w:pPr>
        <w:ind w:firstLine="0"/>
        <w:rPr>
          <w:rFonts w:cs="Times New Roman"/>
          <w:szCs w:val="24"/>
        </w:rPr>
      </w:pPr>
      <w:r>
        <w:rPr>
          <w:rFonts w:cs="Times New Roman"/>
          <w:szCs w:val="24"/>
        </w:rPr>
        <w:tab/>
      </w:r>
      <w:r>
        <w:rPr>
          <w:rFonts w:cs="Times New Roman"/>
          <w:szCs w:val="24"/>
        </w:rPr>
        <w:t>Different groups of learners grasp concepts differently, which has led to the rise in a variety of learning methods. The main goal for each style is to ensure that a learner is imparted with as much information as the syllabus demands and that the learner will ultimately be in a position to use the said information to improve on a specific area or discipline (Richards and Rodgers, 1986). TBL is one of the excellent, if not the most excellent, ways of ascertaining that learners remain engaged and use English in their interactions even beyond the classroom set-up. It is characterized by a collaborative element between the learner and the instructor and sometimes amongst the learners themselves which is essential to learning a new language (Ellis, 2003). Moreover, TBL is also linked with a boost in confidence of the learner both at an individual level and within a social set-up, which is ultimately beneficial since the main goal of learning a language is to use it as much as possible when necessary (</w:t>
      </w:r>
      <w:r>
        <w:rPr>
          <w:rFonts w:eastAsia="Times New Roman" w:cs="Times New Roman"/>
          <w:kern w:val="0"/>
          <w:szCs w:val="24"/>
          <w14:ligatures w14:val="none"/>
        </w:rPr>
        <w:t>Hasnain and Halder, 2021)</w:t>
      </w:r>
      <w:r>
        <w:rPr>
          <w:rFonts w:cs="Times New Roman"/>
          <w:szCs w:val="24"/>
        </w:rPr>
        <w:t xml:space="preserve">. It is no denying that TBL aligns with the way people learn a new language and, thus, more effective, especially for learners who want to practice as much as they can. </w:t>
      </w:r>
    </w:p>
    <w:p>
      <w:pPr>
        <w:ind w:firstLine="0"/>
        <w:rPr>
          <w:rFonts w:cs="Times New Roman"/>
          <w:szCs w:val="24"/>
        </w:rPr>
      </w:pPr>
      <w:r>
        <w:rPr>
          <w:rFonts w:cs="Times New Roman"/>
          <w:szCs w:val="24"/>
        </w:rPr>
        <w:tab/>
      </w:r>
      <w:r>
        <w:rPr>
          <w:rFonts w:cs="Times New Roman"/>
          <w:szCs w:val="24"/>
        </w:rPr>
        <w:t>Giving learners an opportunity to practice a language, make mistakes, correct the mistakes and gradually improve is an important aspect of TBL. Consequently, TBL can be employed as a tool to design writing activities in such a way that enables the learners to get acquainted with a new language more intricately and gain deeper insight into the language (Richards and Rodgers, 1986). Additionally, it can be used as a guiding principle for developing a syllabus and changing syllabus designs to align with the needs and the abilities of adult learners, some of whom barely get time to sit and learn a language one word or one sentence after the other (</w:t>
      </w:r>
      <w:r>
        <w:rPr>
          <w:rFonts w:eastAsia="Times New Roman" w:cs="Times New Roman"/>
          <w:kern w:val="0"/>
          <w:szCs w:val="24"/>
          <w14:ligatures w14:val="none"/>
        </w:rPr>
        <w:t>Ellis et al., 2019)</w:t>
      </w:r>
      <w:r>
        <w:rPr>
          <w:rFonts w:cs="Times New Roman"/>
          <w:szCs w:val="24"/>
        </w:rPr>
        <w:t xml:space="preserve">. As such, engaging the learners and developing an inclusive and engaging learning style such as TBL gives rise to more flexibility and a better framework to gauge and understand each learner's strengths and weaknesses, which thus enables one to work on bettering the areas of strength while improving the weak points, whether through syllabus alteration, or improvement as per the needs. </w:t>
      </w:r>
    </w:p>
    <w:p>
      <w:pPr>
        <w:ind w:firstLine="0"/>
        <w:jc w:val="center"/>
        <w:rPr>
          <w:rFonts w:cs="Times New Roman"/>
          <w:b/>
          <w:bCs/>
          <w:szCs w:val="24"/>
        </w:rPr>
      </w:pPr>
      <w:r>
        <w:rPr>
          <w:rFonts w:cs="Times New Roman"/>
          <w:b/>
          <w:bCs/>
          <w:szCs w:val="24"/>
        </w:rPr>
        <w:t>Evidence to be Collected</w:t>
      </w:r>
    </w:p>
    <w:p>
      <w:pPr>
        <w:ind w:firstLine="0"/>
        <w:rPr>
          <w:rFonts w:cs="Times New Roman"/>
          <w:szCs w:val="24"/>
        </w:rPr>
      </w:pPr>
      <w:r>
        <w:rPr>
          <w:rFonts w:cs="Times New Roman"/>
          <w:szCs w:val="24"/>
        </w:rPr>
        <w:tab/>
      </w:r>
      <w:r>
        <w:rPr>
          <w:rFonts w:cs="Times New Roman"/>
          <w:szCs w:val="24"/>
        </w:rPr>
        <w:t xml:space="preserve">The evidence to support this research will mostly be collected via observation and immersing oneself into a classroom set-up where TBL has been implemented. Observation of people who have used TBL to different degrees of success and comparing the strengths and weaknesses of each implementation will offer a sneak peek into the workings of the strategy and thus be able to form conclusions on the best ways to enhance the style and its impacts of the learners across a wide array of deliverables. The research will also involve sending out questionnaires to learners to best understand their opinions on TBL and form conclusions based on these responses. The multiple-choice questionnaire will also give insight into the workings of different styles and compare it to TBL to ascertain the failures of the existing syllabus even as it delves into the workings of TBL. Finally, data will also be collected through interviews with learners with experience with TBL, among other ways of learning, to not only listen to their perspectives but also get to gauge their command of the English language and thus make conclusions on the need for TBL and how TBL might effectively enhance their learning. </w:t>
      </w:r>
    </w:p>
    <w:p>
      <w:pPr>
        <w:ind w:firstLine="0"/>
        <w:jc w:val="center"/>
        <w:rPr>
          <w:rFonts w:cs="Times New Roman"/>
          <w:b/>
          <w:bCs/>
          <w:szCs w:val="24"/>
        </w:rPr>
      </w:pPr>
      <w:r>
        <w:rPr>
          <w:rFonts w:cs="Times New Roman"/>
          <w:b/>
          <w:bCs/>
          <w:szCs w:val="24"/>
        </w:rPr>
        <w:t>Methods Used to Collect Evidence</w:t>
      </w:r>
    </w:p>
    <w:p>
      <w:pPr>
        <w:ind w:firstLine="0"/>
        <w:rPr>
          <w:rFonts w:cs="Times New Roman"/>
          <w:szCs w:val="24"/>
        </w:rPr>
      </w:pPr>
      <w:r>
        <w:rPr>
          <w:rFonts w:cs="Times New Roman"/>
          <w:szCs w:val="24"/>
        </w:rPr>
        <w:tab/>
      </w:r>
      <w:r>
        <w:rPr>
          <w:rFonts w:cs="Times New Roman"/>
          <w:szCs w:val="24"/>
        </w:rPr>
        <w:t xml:space="preserve">The research will begin with a review of peer-reviewed journals on the topic of TBL to introduce previous research on the topic, the findings and the potential ways of enhancing the topic even better. The journals of interest will be those published between January 2013 and January 2023 in a bid to include as many articles as possible while also ensuring that the articles are as recent as possible. Evidence will also be drawn from observations, surveys and questionnaires and interviews, all of which will be polished to align with the needs of the topic and only keep relevant information that contributes to answering the question in the paper. Finally, the data collected will go through a rigorous analysis process, where all irrelevant information will be ignored while focusing on the information that best answers the research questions above. </w:t>
      </w:r>
    </w:p>
    <w:p>
      <w:pPr>
        <w:ind w:firstLine="0"/>
        <w:jc w:val="center"/>
        <w:rPr>
          <w:rFonts w:cs="Times New Roman"/>
          <w:b/>
          <w:bCs/>
          <w:szCs w:val="24"/>
        </w:rPr>
      </w:pPr>
      <w:r>
        <w:rPr>
          <w:rFonts w:cs="Times New Roman"/>
          <w:b/>
          <w:bCs/>
          <w:szCs w:val="24"/>
        </w:rPr>
        <w:t>Settings for Evidence Collection</w:t>
      </w:r>
    </w:p>
    <w:p>
      <w:pPr>
        <w:ind w:firstLine="0"/>
        <w:rPr>
          <w:rFonts w:cs="Times New Roman"/>
          <w:szCs w:val="24"/>
        </w:rPr>
      </w:pPr>
      <w:r>
        <w:rPr>
          <w:rFonts w:cs="Times New Roman"/>
          <w:szCs w:val="24"/>
        </w:rPr>
        <w:tab/>
      </w:r>
      <w:r>
        <w:rPr>
          <w:rFonts w:cs="Times New Roman"/>
          <w:szCs w:val="24"/>
        </w:rPr>
        <w:t>The evidence will be collected from a group of learners in the institution, with further evidence drawn from a peer-reviewed journal. The interviews will be conducted one-on-one or through video calls, especially for those who will not be able to make it to the interview room (</w:t>
      </w:r>
      <w:r>
        <w:rPr>
          <w:rFonts w:eastAsia="Times New Roman" w:cs="Times New Roman"/>
          <w:kern w:val="0"/>
          <w:szCs w:val="24"/>
          <w14:ligatures w14:val="none"/>
        </w:rPr>
        <w:t>Archibald, et al., 2019)</w:t>
      </w:r>
      <w:r>
        <w:rPr>
          <w:rFonts w:cs="Times New Roman"/>
          <w:szCs w:val="24"/>
        </w:rPr>
        <w:t xml:space="preserve">. The evidence will be drawn from a large pool of learners pursuing the program as they are likely to be a better and more informed source of information as opposed to those who have had zero experience with the process, hence unable to draw parallels or comparisons with the topic at hand. </w:t>
      </w:r>
    </w:p>
    <w:p>
      <w:pPr>
        <w:ind w:firstLine="0"/>
        <w:jc w:val="center"/>
        <w:rPr>
          <w:rFonts w:cs="Times New Roman"/>
          <w:b/>
          <w:bCs/>
          <w:szCs w:val="24"/>
        </w:rPr>
      </w:pPr>
      <w:r>
        <w:rPr>
          <w:rFonts w:cs="Times New Roman"/>
          <w:b/>
          <w:bCs/>
          <w:szCs w:val="24"/>
        </w:rPr>
        <w:t>Ethical Issues To be Considered</w:t>
      </w:r>
    </w:p>
    <w:p>
      <w:pPr>
        <w:ind w:firstLine="0"/>
        <w:rPr>
          <w:rFonts w:cs="Times New Roman"/>
          <w:szCs w:val="24"/>
        </w:rPr>
      </w:pPr>
      <w:r>
        <w:rPr>
          <w:rFonts w:cs="Times New Roman"/>
          <w:szCs w:val="24"/>
        </w:rPr>
        <w:tab/>
      </w:r>
      <w:r>
        <w:rPr>
          <w:rFonts w:cs="Times New Roman"/>
          <w:szCs w:val="24"/>
        </w:rPr>
        <w:t>The data for this research will be collected from many different respondents, each of whom will have agreed to the use of the information shared in this paper. However, the data will not be shared with any third party without editing. For a start, there will be no mention of names, and in cases where I will have to use names, the ones used will be aliases (</w:t>
      </w:r>
      <w:r>
        <w:rPr>
          <w:rFonts w:eastAsia="Times New Roman" w:cs="Times New Roman"/>
          <w:kern w:val="0"/>
          <w:szCs w:val="24"/>
          <w14:ligatures w14:val="none"/>
        </w:rPr>
        <w:t>Buchanan and Warwick, 2021)</w:t>
      </w:r>
      <w:r>
        <w:rPr>
          <w:rFonts w:cs="Times New Roman"/>
          <w:szCs w:val="24"/>
        </w:rPr>
        <w:t xml:space="preserve">. The main reason for doing this is to keep the sources private and avoid instances that might get them in trouble, courtesy of information shared about them on the paper. </w:t>
      </w:r>
    </w:p>
    <w:p>
      <w:pPr>
        <w:ind w:firstLine="0"/>
        <w:rPr>
          <w:rFonts w:cs="Times New Roman"/>
          <w:szCs w:val="24"/>
        </w:rPr>
      </w:pPr>
      <w:r>
        <w:rPr>
          <w:rFonts w:cs="Times New Roman"/>
          <w:szCs w:val="24"/>
        </w:rPr>
        <w:tab/>
      </w:r>
      <w:r>
        <w:rPr>
          <w:rFonts w:cs="Times New Roman"/>
          <w:szCs w:val="24"/>
        </w:rPr>
        <w:t>Another ethical issue that might rear its head in the research is that of voluntary participation. While I aspire to make the respondents understand the reason for the collection of data beforehand, there is a possibility of a respondent asking that the information collected from them not be used in the paper (</w:t>
      </w:r>
      <w:r>
        <w:rPr>
          <w:rFonts w:eastAsia="Times New Roman" w:cs="Times New Roman"/>
          <w:kern w:val="0"/>
          <w:szCs w:val="24"/>
          <w14:ligatures w14:val="none"/>
        </w:rPr>
        <w:t>Fox, 2022)</w:t>
      </w:r>
      <w:r>
        <w:rPr>
          <w:rFonts w:cs="Times New Roman"/>
          <w:szCs w:val="24"/>
        </w:rPr>
        <w:t>. In that case, I plan to countercheck with the respondents after the data collection stage and share with them my rough draft for approval before writing a final copy of the work. However, if a respondent asks that their contribution be removed from the paper, I will gladly oblige and conduct additional interviews and collect more data to replace the lost data. I plan to assure every individual participating that I will respect their confidentiality and that no information will be leaked to the public without clear consent from them. In every data collection exercise, there exists a confidentiality clause that must be adhered to (</w:t>
      </w:r>
      <w:r>
        <w:rPr>
          <w:rFonts w:eastAsia="Times New Roman" w:cs="Times New Roman"/>
          <w:kern w:val="0"/>
          <w:szCs w:val="24"/>
          <w14:ligatures w14:val="none"/>
        </w:rPr>
        <w:t>Brown, 2022)</w:t>
      </w:r>
      <w:r>
        <w:rPr>
          <w:rFonts w:cs="Times New Roman"/>
          <w:szCs w:val="24"/>
        </w:rPr>
        <w:t>. It means that the information shared in confidence must not find its way to the public domain, and should there be a need to share the same, the author must not use real names or must receive prior approval from the respondent approving the use of such content.</w:t>
      </w:r>
    </w:p>
    <w:p>
      <w:pPr>
        <w:ind w:firstLine="0"/>
        <w:rPr>
          <w:rFonts w:cs="Times New Roman"/>
          <w:szCs w:val="24"/>
        </w:rPr>
      </w:pPr>
      <w:r>
        <w:rPr>
          <w:rFonts w:cs="Times New Roman"/>
          <w:szCs w:val="24"/>
        </w:rPr>
        <w:tab/>
      </w:r>
      <w:r>
        <w:rPr>
          <w:rFonts w:cs="Times New Roman"/>
          <w:szCs w:val="24"/>
        </w:rPr>
        <w:t>Informed consent is essential in the collection of data, and that means that every respondent must be an adult of sound mind who can consent to the information they share is used in the paper. Before collecting data from anyone, I will ask a couple of questions to establish that they are adults who can consent before explaining how I plan to use the contribution in their paper. Informed consent will come in handy because it will help me avoid instances of respondents claiming that they never agreed to be part of the data collection (</w:t>
      </w:r>
      <w:r>
        <w:rPr>
          <w:rFonts w:eastAsia="Times New Roman" w:cs="Times New Roman"/>
          <w:kern w:val="0"/>
          <w:szCs w:val="24"/>
          <w14:ligatures w14:val="none"/>
        </w:rPr>
        <w:t>Fox, 2022)</w:t>
      </w:r>
      <w:r>
        <w:rPr>
          <w:rFonts w:cs="Times New Roman"/>
          <w:szCs w:val="24"/>
        </w:rPr>
        <w:t>. Besides, I plan to have a document for each respondent to sign, indicating that they consented to the data collection out of their free will and that they were never at once point coerced to make any commitments to the paper (</w:t>
      </w:r>
      <w:r>
        <w:rPr>
          <w:rFonts w:eastAsia="Times New Roman" w:cs="Times New Roman"/>
          <w:kern w:val="0"/>
          <w:szCs w:val="24"/>
          <w14:ligatures w14:val="none"/>
        </w:rPr>
        <w:t>Brown, 2022)</w:t>
      </w:r>
      <w:r>
        <w:rPr>
          <w:rFonts w:cs="Times New Roman"/>
          <w:szCs w:val="24"/>
        </w:rPr>
        <w:t xml:space="preserve">. Such a document will be insurance against future claims of breach of agreement, which might arise. The main idea here is to ensure that I am one step ahead of the ethical demands of this paper and avoid any instance of conflict arising between the respondents and myself as the author. </w:t>
      </w:r>
    </w:p>
    <w:p>
      <w:pPr>
        <w:ind w:firstLine="0"/>
        <w:rPr>
          <w:rFonts w:cs="Times New Roman"/>
          <w:szCs w:val="24"/>
        </w:rPr>
      </w:pPr>
      <w:r>
        <w:rPr>
          <w:rFonts w:cs="Times New Roman"/>
          <w:szCs w:val="24"/>
        </w:rPr>
        <w:tab/>
      </w:r>
      <w:r>
        <w:rPr>
          <w:rFonts w:cs="Times New Roman"/>
          <w:szCs w:val="24"/>
        </w:rPr>
        <w:t>The final ethical issue of concern here is the communication of results. Since the respondents are part of the research, it is important to share with them the findings of the research. As such, I plan to keep them in the loop at every step of the way, reminding them of their invaluable contributions to the project and ultimately being the first people to receive a final draft copy of the results of the research after submission. Th respondents are the sole reason for the success of the project, and thus, keeping them in the loop regarding the findings of the research and how what the findings mean to them with regard to the information they share will be a welcome addition (</w:t>
      </w:r>
      <w:r>
        <w:rPr>
          <w:rFonts w:eastAsia="Times New Roman" w:cs="Times New Roman"/>
          <w:kern w:val="0"/>
          <w:szCs w:val="24"/>
          <w14:ligatures w14:val="none"/>
        </w:rPr>
        <w:t>Brown, 2022)</w:t>
      </w:r>
      <w:r>
        <w:rPr>
          <w:rFonts w:cs="Times New Roman"/>
          <w:szCs w:val="24"/>
        </w:rPr>
        <w:t>. The research has no potential for harm since it does not in any way threaten anyone. It is all voluntary contribution that has little quantitative data but mostly qualitative data, meaning that no one will lose anything for sharing any information (</w:t>
      </w:r>
      <w:r>
        <w:rPr>
          <w:rFonts w:eastAsia="Times New Roman" w:cs="Times New Roman"/>
          <w:kern w:val="0"/>
          <w:szCs w:val="24"/>
          <w14:ligatures w14:val="none"/>
        </w:rPr>
        <w:t>Fox, 2022)</w:t>
      </w:r>
      <w:r>
        <w:rPr>
          <w:rFonts w:cs="Times New Roman"/>
          <w:szCs w:val="24"/>
        </w:rPr>
        <w:t xml:space="preserve">. These ethical considerations will come in handy in ensuring that I am able to receive secondary interviews or able to conduct future research with the same group of respondents without fear. </w:t>
      </w:r>
    </w:p>
    <w:p>
      <w:pPr>
        <w:ind w:firstLine="0"/>
        <w:jc w:val="center"/>
        <w:rPr>
          <w:rFonts w:cs="Times New Roman"/>
          <w:b/>
          <w:bCs/>
          <w:szCs w:val="24"/>
        </w:rPr>
      </w:pPr>
      <w:r>
        <w:rPr>
          <w:rFonts w:cs="Times New Roman"/>
          <w:b/>
          <w:bCs/>
          <w:szCs w:val="24"/>
        </w:rPr>
        <w:t>Potential Methods of Data Analysis</w:t>
      </w:r>
    </w:p>
    <w:p>
      <w:pPr>
        <w:ind w:firstLine="0"/>
        <w:rPr>
          <w:rFonts w:cs="Times New Roman"/>
          <w:szCs w:val="24"/>
        </w:rPr>
      </w:pPr>
      <w:r>
        <w:rPr>
          <w:rFonts w:cs="Times New Roman"/>
          <w:szCs w:val="24"/>
        </w:rPr>
        <w:tab/>
      </w:r>
      <w:r>
        <w:rPr>
          <w:rFonts w:cs="Times New Roman"/>
          <w:szCs w:val="24"/>
        </w:rPr>
        <w:t>Considering that most of the data collected will be qualitative in nature, I plan to focus on thematic analysis as a key method of data analysis. Thematic analysis is a critical method of data analysis because it is helpful in the identification, analysis, and interpretation of patterns in any qualitative data (</w:t>
      </w:r>
      <w:r>
        <w:rPr>
          <w:rFonts w:eastAsia="Times New Roman" w:cs="Times New Roman"/>
          <w:kern w:val="0"/>
          <w:szCs w:val="24"/>
          <w14:ligatures w14:val="none"/>
        </w:rPr>
        <w:t>Lester, Cho and Lochmiller, 2020)</w:t>
      </w:r>
      <w:r>
        <w:rPr>
          <w:rFonts w:cs="Times New Roman"/>
          <w:szCs w:val="24"/>
        </w:rPr>
        <w:t>. The impacts of TBL can only be understood from the themes that appear after a thorough analysis of the said data (</w:t>
      </w:r>
      <w:r>
        <w:rPr>
          <w:rFonts w:eastAsia="Times New Roman" w:cs="Times New Roman"/>
          <w:kern w:val="0"/>
          <w:szCs w:val="24"/>
          <w14:ligatures w14:val="none"/>
        </w:rPr>
        <w:t>Dufour and Richard, 2019)</w:t>
      </w:r>
      <w:r>
        <w:rPr>
          <w:rFonts w:cs="Times New Roman"/>
          <w:szCs w:val="24"/>
        </w:rPr>
        <w:t xml:space="preserve">. As such, I will focus on the issues such as the ability to speak the English language and grammatic correctness amongst people who have had an experience with TBL and compare this to those who have no previous experiences with TBL and thus expose the similarities and differences in strengths and abilities amongst the two groups. </w:t>
      </w:r>
    </w:p>
    <w:p>
      <w:pPr>
        <w:rPr>
          <w:rFonts w:cs="Times New Roman"/>
          <w:szCs w:val="24"/>
        </w:rPr>
      </w:pPr>
      <w:r>
        <w:rPr>
          <w:rFonts w:cs="Times New Roman"/>
          <w:szCs w:val="24"/>
        </w:rPr>
        <w:t>The choice of thematic analysis is also influenced by the fact that it enables easy drawing of crucial information from the raw data. It is easier to find themes in a set of raw data and use the data to expound on these themes and explain them as succinctly as possible to form a basis for comparison (</w:t>
      </w:r>
      <w:r>
        <w:rPr>
          <w:rFonts w:eastAsia="Times New Roman" w:cs="Times New Roman"/>
          <w:kern w:val="0"/>
          <w:szCs w:val="24"/>
          <w14:ligatures w14:val="none"/>
        </w:rPr>
        <w:t>Kiger and Varpio, 2020)</w:t>
      </w:r>
      <w:r>
        <w:rPr>
          <w:rFonts w:cs="Times New Roman"/>
          <w:szCs w:val="24"/>
        </w:rPr>
        <w:t>. Moreover, the thematic analysis will come in handy because it is an efficient way of processing large volumes of data into digestible summaries. While I plan to collect data from many respondents, only a handful of this data will be useful in the investigation, which means that I will be left with a lot of raw data that I will have to comb through to find the relevant information. I will also use narrative analysis to comb through the stories of the research participants. It is an essential method that offers invaluable insight into the complexity of the respondents and will therefore lift the lid on the abilities and weaknesses of the respondents and thus tailor these findings to the research topic (</w:t>
      </w:r>
      <w:r>
        <w:rPr>
          <w:rFonts w:eastAsia="Times New Roman" w:cs="Times New Roman"/>
          <w:kern w:val="0"/>
          <w:szCs w:val="24"/>
          <w14:ligatures w14:val="none"/>
        </w:rPr>
        <w:t>Lester, Cho and Lochmiller, 2020)</w:t>
      </w:r>
      <w:r>
        <w:rPr>
          <w:rFonts w:cs="Times New Roman"/>
          <w:szCs w:val="24"/>
        </w:rPr>
        <w:t xml:space="preserve">. </w:t>
      </w:r>
    </w:p>
    <w:p>
      <w:pPr>
        <w:ind w:firstLine="0"/>
        <w:jc w:val="center"/>
        <w:rPr>
          <w:rFonts w:cs="Times New Roman"/>
          <w:b/>
          <w:bCs/>
          <w:szCs w:val="24"/>
        </w:rPr>
      </w:pPr>
      <w:r>
        <w:rPr>
          <w:rFonts w:cs="Times New Roman"/>
          <w:b/>
          <w:bCs/>
          <w:szCs w:val="24"/>
        </w:rPr>
        <w:t>Timetable for the Project</w:t>
      </w:r>
    </w:p>
    <w:p>
      <w:pPr>
        <w:ind w:firstLine="0"/>
        <w:rPr>
          <w:rFonts w:cs="Times New Roman"/>
          <w:szCs w:val="24"/>
        </w:rPr>
      </w:pPr>
      <w:r>
        <w:rPr>
          <w:rFonts w:cs="Times New Roman"/>
          <w:szCs w:val="24"/>
        </w:rPr>
        <w:tab/>
      </w:r>
      <w:r>
        <w:rPr>
          <w:rFonts w:cs="Times New Roman"/>
          <w:szCs w:val="24"/>
        </w:rPr>
        <w:t xml:space="preserve">The data collection will take approximately two weeks, with the first week involving the identification of the respondents and communication with them to plan the best way to collect data. The second week will involve the collection of the data from the respondents before they will ultimately be compiled and analyzed within the same week. The analysis stage will take a further week, giving the report a timeline of one month since the compilation after analysis will also require some time to conduct sufficiently. As such, I expect the project to take approximately one month to complete. </w:t>
      </w:r>
    </w:p>
    <w:p>
      <w:pPr>
        <w:ind w:firstLine="0"/>
        <w:rPr>
          <w:rFonts w:cs="Times New Roman"/>
          <w:szCs w:val="24"/>
        </w:rPr>
      </w:pPr>
    </w:p>
    <w:p>
      <w:pPr>
        <w:ind w:firstLine="0"/>
        <w:rPr>
          <w:rFonts w:cs="Times New Roman"/>
          <w:szCs w:val="24"/>
        </w:rPr>
      </w:pPr>
    </w:p>
    <w:p>
      <w:pPr>
        <w:ind w:firstLine="0"/>
        <w:rPr>
          <w:rFonts w:cs="Times New Roman"/>
          <w:szCs w:val="24"/>
        </w:rPr>
      </w:pPr>
    </w:p>
    <w:p>
      <w:pPr>
        <w:ind w:firstLine="0"/>
        <w:rPr>
          <w:rFonts w:cs="Times New Roman"/>
          <w:szCs w:val="24"/>
        </w:rPr>
      </w:pPr>
    </w:p>
    <w:p>
      <w:pPr>
        <w:ind w:firstLine="0"/>
        <w:rPr>
          <w:rFonts w:cs="Times New Roman"/>
          <w:szCs w:val="24"/>
        </w:rPr>
      </w:pPr>
    </w:p>
    <w:p>
      <w:pPr>
        <w:ind w:firstLine="0"/>
        <w:rPr>
          <w:rFonts w:cs="Times New Roman"/>
          <w:szCs w:val="24"/>
        </w:rPr>
      </w:pPr>
    </w:p>
    <w:p>
      <w:pPr>
        <w:ind w:firstLine="0"/>
        <w:rPr>
          <w:rFonts w:cs="Times New Roman"/>
          <w:szCs w:val="24"/>
        </w:rPr>
      </w:pPr>
    </w:p>
    <w:p>
      <w:pPr>
        <w:ind w:firstLine="0"/>
        <w:rPr>
          <w:rFonts w:cs="Times New Roman"/>
          <w:szCs w:val="24"/>
        </w:rPr>
      </w:pPr>
    </w:p>
    <w:p>
      <w:pPr>
        <w:ind w:firstLine="0"/>
        <w:rPr>
          <w:rFonts w:cs="Times New Roman"/>
          <w:szCs w:val="24"/>
        </w:rPr>
      </w:pPr>
    </w:p>
    <w:p>
      <w:pPr>
        <w:ind w:firstLine="0"/>
        <w:rPr>
          <w:rFonts w:cs="Times New Roman"/>
          <w:szCs w:val="24"/>
        </w:rPr>
      </w:pPr>
    </w:p>
    <w:p>
      <w:pPr>
        <w:ind w:firstLine="0"/>
        <w:rPr>
          <w:rFonts w:cs="Times New Roman"/>
          <w:szCs w:val="24"/>
        </w:rPr>
      </w:pPr>
    </w:p>
    <w:p>
      <w:pPr>
        <w:ind w:firstLine="0"/>
        <w:rPr>
          <w:rFonts w:cs="Times New Roman"/>
          <w:szCs w:val="24"/>
        </w:rPr>
      </w:pPr>
    </w:p>
    <w:p>
      <w:pPr>
        <w:ind w:firstLine="0"/>
        <w:jc w:val="center"/>
        <w:rPr>
          <w:rFonts w:cs="Times New Roman"/>
          <w:szCs w:val="24"/>
        </w:rPr>
      </w:pPr>
      <w:r>
        <w:rPr>
          <w:rFonts w:cs="Times New Roman"/>
          <w:b/>
          <w:bCs/>
          <w:szCs w:val="24"/>
        </w:rPr>
        <w:t>Bibliography</w:t>
      </w:r>
    </w:p>
    <w:p>
      <w:pPr>
        <w:ind w:left="720" w:hanging="720"/>
        <w:contextualSpacing/>
        <w:jc w:val="left"/>
        <w:rPr>
          <w:rFonts w:eastAsia="Times New Roman" w:cs="Times New Roman"/>
          <w:kern w:val="0"/>
          <w:szCs w:val="24"/>
          <w14:ligatures w14:val="none"/>
        </w:rPr>
      </w:pPr>
      <w:r>
        <w:rPr>
          <w:rFonts w:eastAsia="Times New Roman" w:cs="Times New Roman"/>
          <w:kern w:val="0"/>
          <w:szCs w:val="24"/>
          <w14:ligatures w14:val="none"/>
        </w:rPr>
        <w:t xml:space="preserve">Archibald, M.M., Ambagtsheer, R.C., Casey, M.G. and Lawless, M., 2019. Using zoom videoconferencing for qualitative data collection: perceptions and experiences of researchers and participants. </w:t>
      </w:r>
      <w:r>
        <w:rPr>
          <w:rFonts w:eastAsia="Times New Roman" w:cs="Times New Roman"/>
          <w:i/>
          <w:iCs/>
          <w:kern w:val="0"/>
          <w:szCs w:val="24"/>
          <w14:ligatures w14:val="none"/>
        </w:rPr>
        <w:t>International journal of qualitative methods</w:t>
      </w:r>
      <w:r>
        <w:rPr>
          <w:rFonts w:eastAsia="Times New Roman" w:cs="Times New Roman"/>
          <w:kern w:val="0"/>
          <w:szCs w:val="24"/>
          <w14:ligatures w14:val="none"/>
        </w:rPr>
        <w:t xml:space="preserve">, </w:t>
      </w:r>
      <w:r>
        <w:rPr>
          <w:rFonts w:eastAsia="Times New Roman" w:cs="Times New Roman"/>
          <w:i/>
          <w:iCs/>
          <w:kern w:val="0"/>
          <w:szCs w:val="24"/>
          <w14:ligatures w14:val="none"/>
        </w:rPr>
        <w:t>18</w:t>
      </w:r>
      <w:r>
        <w:rPr>
          <w:rFonts w:eastAsia="Times New Roman" w:cs="Times New Roman"/>
          <w:kern w:val="0"/>
          <w:szCs w:val="24"/>
          <w14:ligatures w14:val="none"/>
        </w:rPr>
        <w:t>, p.1609406919874596.</w:t>
      </w:r>
    </w:p>
    <w:p>
      <w:pPr>
        <w:ind w:left="720" w:hanging="720"/>
        <w:contextualSpacing/>
        <w:jc w:val="left"/>
        <w:rPr>
          <w:rFonts w:eastAsia="Times New Roman" w:cs="Times New Roman"/>
          <w:kern w:val="0"/>
          <w:szCs w:val="24"/>
          <w14:ligatures w14:val="none"/>
        </w:rPr>
      </w:pPr>
      <w:r>
        <w:rPr>
          <w:rFonts w:eastAsia="Times New Roman" w:cs="Times New Roman"/>
          <w:kern w:val="0"/>
          <w:szCs w:val="24"/>
          <w14:ligatures w14:val="none"/>
        </w:rPr>
        <w:t xml:space="preserve">Brown, C., 2022. II Ethical Guidelines in Educational Research. </w:t>
      </w:r>
      <w:r>
        <w:rPr>
          <w:rFonts w:eastAsia="Times New Roman" w:cs="Times New Roman"/>
          <w:i/>
          <w:iCs/>
          <w:kern w:val="0"/>
          <w:szCs w:val="24"/>
          <w14:ligatures w14:val="none"/>
        </w:rPr>
        <w:t>Ethical Dilemmas in Education: Considering Learning Contexts in Practice</w:t>
      </w:r>
      <w:r>
        <w:rPr>
          <w:rFonts w:eastAsia="Times New Roman" w:cs="Times New Roman"/>
          <w:kern w:val="0"/>
          <w:szCs w:val="24"/>
          <w14:ligatures w14:val="none"/>
        </w:rPr>
        <w:t>, p.9.</w:t>
      </w:r>
    </w:p>
    <w:p>
      <w:pPr>
        <w:ind w:left="720" w:hanging="720"/>
        <w:contextualSpacing/>
        <w:jc w:val="left"/>
        <w:rPr>
          <w:rFonts w:eastAsia="Times New Roman" w:cs="Times New Roman"/>
          <w:kern w:val="0"/>
          <w:szCs w:val="24"/>
          <w14:ligatures w14:val="none"/>
        </w:rPr>
      </w:pPr>
      <w:r>
        <w:rPr>
          <w:rFonts w:eastAsia="Times New Roman" w:cs="Times New Roman"/>
          <w:kern w:val="0"/>
          <w:szCs w:val="24"/>
          <w14:ligatures w14:val="none"/>
        </w:rPr>
        <w:t xml:space="preserve">Buchanan, D. and Warwick, I., 2021. First do no harm: using ‘ethical triage’to minimise causing harm when undertaking educational research among vulnerable participants. </w:t>
      </w:r>
      <w:r>
        <w:rPr>
          <w:rFonts w:eastAsia="Times New Roman" w:cs="Times New Roman"/>
          <w:i/>
          <w:iCs/>
          <w:kern w:val="0"/>
          <w:szCs w:val="24"/>
          <w14:ligatures w14:val="none"/>
        </w:rPr>
        <w:t>Journal of Further and Higher Education</w:t>
      </w:r>
      <w:r>
        <w:rPr>
          <w:rFonts w:eastAsia="Times New Roman" w:cs="Times New Roman"/>
          <w:kern w:val="0"/>
          <w:szCs w:val="24"/>
          <w14:ligatures w14:val="none"/>
        </w:rPr>
        <w:t xml:space="preserve">, </w:t>
      </w:r>
      <w:r>
        <w:rPr>
          <w:rFonts w:eastAsia="Times New Roman" w:cs="Times New Roman"/>
          <w:i/>
          <w:iCs/>
          <w:kern w:val="0"/>
          <w:szCs w:val="24"/>
          <w14:ligatures w14:val="none"/>
        </w:rPr>
        <w:t>45</w:t>
      </w:r>
      <w:r>
        <w:rPr>
          <w:rFonts w:eastAsia="Times New Roman" w:cs="Times New Roman"/>
          <w:kern w:val="0"/>
          <w:szCs w:val="24"/>
          <w14:ligatures w14:val="none"/>
        </w:rPr>
        <w:t>(8), pp.1090-1103.</w:t>
      </w:r>
    </w:p>
    <w:p>
      <w:pPr>
        <w:ind w:left="720" w:hanging="720"/>
        <w:contextualSpacing/>
        <w:jc w:val="left"/>
        <w:rPr>
          <w:rFonts w:eastAsia="Times New Roman" w:cs="Times New Roman"/>
          <w:kern w:val="0"/>
          <w:szCs w:val="24"/>
          <w14:ligatures w14:val="none"/>
        </w:rPr>
      </w:pPr>
      <w:r>
        <w:rPr>
          <w:rFonts w:eastAsia="Times New Roman" w:cs="Times New Roman"/>
          <w:kern w:val="0"/>
          <w:szCs w:val="24"/>
          <w14:ligatures w14:val="none"/>
        </w:rPr>
        <w:t xml:space="preserve">Dufour, I.F. and Richard, M.C., 2019. Theorizing from secondary qualitative data: A comparison of two data analysis methods. </w:t>
      </w:r>
      <w:r>
        <w:rPr>
          <w:rFonts w:eastAsia="Times New Roman" w:cs="Times New Roman"/>
          <w:i/>
          <w:iCs/>
          <w:kern w:val="0"/>
          <w:szCs w:val="24"/>
          <w14:ligatures w14:val="none"/>
        </w:rPr>
        <w:t>Cogent Education</w:t>
      </w:r>
      <w:r>
        <w:rPr>
          <w:rFonts w:eastAsia="Times New Roman" w:cs="Times New Roman"/>
          <w:kern w:val="0"/>
          <w:szCs w:val="24"/>
          <w14:ligatures w14:val="none"/>
        </w:rPr>
        <w:t xml:space="preserve">, </w:t>
      </w:r>
      <w:r>
        <w:rPr>
          <w:rFonts w:eastAsia="Times New Roman" w:cs="Times New Roman"/>
          <w:i/>
          <w:iCs/>
          <w:kern w:val="0"/>
          <w:szCs w:val="24"/>
          <w14:ligatures w14:val="none"/>
        </w:rPr>
        <w:t>6</w:t>
      </w:r>
      <w:r>
        <w:rPr>
          <w:rFonts w:eastAsia="Times New Roman" w:cs="Times New Roman"/>
          <w:kern w:val="0"/>
          <w:szCs w:val="24"/>
          <w14:ligatures w14:val="none"/>
        </w:rPr>
        <w:t>(1), p.1690265.</w:t>
      </w:r>
    </w:p>
    <w:p>
      <w:pPr>
        <w:ind w:left="720" w:hanging="720"/>
        <w:contextualSpacing/>
        <w:jc w:val="left"/>
        <w:rPr>
          <w:rFonts w:cs="Times New Roman"/>
          <w:szCs w:val="24"/>
        </w:rPr>
      </w:pPr>
      <w:r>
        <w:rPr>
          <w:rFonts w:cs="Times New Roman"/>
          <w:szCs w:val="24"/>
        </w:rPr>
        <w:t>Ellis, R.</w:t>
      </w:r>
      <w:r>
        <w:rPr>
          <w:rFonts w:cs="Times New Roman"/>
          <w:i/>
          <w:szCs w:val="24"/>
        </w:rPr>
        <w:t xml:space="preserve"> </w:t>
      </w:r>
      <w:r>
        <w:rPr>
          <w:rFonts w:cs="Times New Roman"/>
          <w:szCs w:val="24"/>
        </w:rPr>
        <w:t xml:space="preserve">2003. </w:t>
      </w:r>
      <w:r>
        <w:rPr>
          <w:rFonts w:cs="Times New Roman"/>
          <w:i/>
          <w:szCs w:val="24"/>
        </w:rPr>
        <w:t>Task-based Language Learning and Teaching</w:t>
      </w:r>
      <w:r>
        <w:rPr>
          <w:rFonts w:cs="Times New Roman"/>
          <w:szCs w:val="24"/>
        </w:rPr>
        <w:t xml:space="preserve"> OUP: Oxford.</w:t>
      </w:r>
    </w:p>
    <w:p>
      <w:pPr>
        <w:ind w:left="720" w:hanging="720"/>
        <w:contextualSpacing/>
        <w:jc w:val="left"/>
        <w:rPr>
          <w:rFonts w:eastAsia="Times New Roman" w:cs="Times New Roman"/>
          <w:kern w:val="0"/>
          <w:szCs w:val="24"/>
          <w14:ligatures w14:val="none"/>
        </w:rPr>
      </w:pPr>
      <w:r>
        <w:rPr>
          <w:rFonts w:eastAsia="Times New Roman" w:cs="Times New Roman"/>
          <w:kern w:val="0"/>
          <w:szCs w:val="24"/>
          <w14:ligatures w14:val="none"/>
        </w:rPr>
        <w:t xml:space="preserve">Ellis, R., Skehan, P., Li, S., Shintani, N. and Lambert, C., 2019. </w:t>
      </w:r>
      <w:r>
        <w:rPr>
          <w:rFonts w:eastAsia="Times New Roman" w:cs="Times New Roman"/>
          <w:i/>
          <w:iCs/>
          <w:kern w:val="0"/>
          <w:szCs w:val="24"/>
          <w14:ligatures w14:val="none"/>
        </w:rPr>
        <w:t>Task-based language teaching: Theory and practice</w:t>
      </w:r>
      <w:r>
        <w:rPr>
          <w:rFonts w:eastAsia="Times New Roman" w:cs="Times New Roman"/>
          <w:kern w:val="0"/>
          <w:szCs w:val="24"/>
          <w14:ligatures w14:val="none"/>
        </w:rPr>
        <w:t>. Cambridge University Press.</w:t>
      </w:r>
    </w:p>
    <w:p>
      <w:pPr>
        <w:ind w:left="720" w:hanging="720"/>
        <w:contextualSpacing/>
        <w:jc w:val="left"/>
        <w:rPr>
          <w:rFonts w:eastAsia="Times New Roman" w:cs="Times New Roman"/>
          <w:kern w:val="0"/>
          <w:szCs w:val="24"/>
          <w14:ligatures w14:val="none"/>
        </w:rPr>
      </w:pPr>
      <w:r>
        <w:rPr>
          <w:rFonts w:eastAsia="Times New Roman" w:cs="Times New Roman"/>
          <w:kern w:val="0"/>
          <w:szCs w:val="24"/>
          <w14:ligatures w14:val="none"/>
        </w:rPr>
        <w:t xml:space="preserve">Fox, A., 2022. Educational research and AIED: Identifying ethical challenges. In </w:t>
      </w:r>
      <w:r>
        <w:rPr>
          <w:rFonts w:eastAsia="Times New Roman" w:cs="Times New Roman"/>
          <w:i/>
          <w:iCs/>
          <w:kern w:val="0"/>
          <w:szCs w:val="24"/>
          <w14:ligatures w14:val="none"/>
        </w:rPr>
        <w:t>The Ethics of Artificial Intelligence in Education</w:t>
      </w:r>
      <w:r>
        <w:rPr>
          <w:rFonts w:eastAsia="Times New Roman" w:cs="Times New Roman"/>
          <w:kern w:val="0"/>
          <w:szCs w:val="24"/>
          <w14:ligatures w14:val="none"/>
        </w:rPr>
        <w:t xml:space="preserve"> (pp. 47-73). Routledge.</w:t>
      </w:r>
    </w:p>
    <w:p>
      <w:pPr>
        <w:ind w:left="720" w:hanging="720"/>
        <w:contextualSpacing/>
        <w:jc w:val="left"/>
        <w:rPr>
          <w:rFonts w:eastAsia="Times New Roman" w:cs="Times New Roman"/>
          <w:kern w:val="0"/>
          <w:szCs w:val="24"/>
          <w14:ligatures w14:val="none"/>
        </w:rPr>
      </w:pPr>
      <w:r>
        <w:rPr>
          <w:rFonts w:eastAsia="Times New Roman" w:cs="Times New Roman"/>
          <w:kern w:val="0"/>
          <w:szCs w:val="24"/>
          <w14:ligatures w14:val="none"/>
        </w:rPr>
        <w:t xml:space="preserve">Hasnain, S. and Halder, S., 2021. Exploring the impediments for successful implementation of the task-based language teaching approach: a review of studies on teachers’ perceptions. </w:t>
      </w:r>
      <w:r>
        <w:rPr>
          <w:rFonts w:eastAsia="Times New Roman" w:cs="Times New Roman"/>
          <w:i/>
          <w:iCs/>
          <w:kern w:val="0"/>
          <w:szCs w:val="24"/>
          <w14:ligatures w14:val="none"/>
        </w:rPr>
        <w:t>The Language Learning Journal</w:t>
      </w:r>
      <w:r>
        <w:rPr>
          <w:rFonts w:eastAsia="Times New Roman" w:cs="Times New Roman"/>
          <w:kern w:val="0"/>
          <w:szCs w:val="24"/>
          <w14:ligatures w14:val="none"/>
        </w:rPr>
        <w:t>, pp.1-15.</w:t>
      </w:r>
    </w:p>
    <w:p>
      <w:pPr>
        <w:ind w:left="720" w:hanging="720"/>
        <w:contextualSpacing/>
        <w:jc w:val="left"/>
        <w:rPr>
          <w:rFonts w:eastAsia="Times New Roman" w:cs="Times New Roman"/>
          <w:kern w:val="0"/>
          <w:szCs w:val="24"/>
          <w14:ligatures w14:val="none"/>
        </w:rPr>
      </w:pPr>
      <w:r>
        <w:rPr>
          <w:rFonts w:eastAsia="Times New Roman" w:cs="Times New Roman"/>
          <w:kern w:val="0"/>
          <w:szCs w:val="24"/>
          <w14:ligatures w14:val="none"/>
        </w:rPr>
        <w:t xml:space="preserve">Kiger, M.E. and Varpio, L., 2020. Thematic analysis of qualitative data: AMEE Guide No. 131. </w:t>
      </w:r>
      <w:r>
        <w:rPr>
          <w:rFonts w:eastAsia="Times New Roman" w:cs="Times New Roman"/>
          <w:i/>
          <w:iCs/>
          <w:kern w:val="0"/>
          <w:szCs w:val="24"/>
          <w14:ligatures w14:val="none"/>
        </w:rPr>
        <w:t>Medical teacher</w:t>
      </w:r>
      <w:r>
        <w:rPr>
          <w:rFonts w:eastAsia="Times New Roman" w:cs="Times New Roman"/>
          <w:kern w:val="0"/>
          <w:szCs w:val="24"/>
          <w14:ligatures w14:val="none"/>
        </w:rPr>
        <w:t xml:space="preserve">, </w:t>
      </w:r>
      <w:r>
        <w:rPr>
          <w:rFonts w:eastAsia="Times New Roman" w:cs="Times New Roman"/>
          <w:i/>
          <w:iCs/>
          <w:kern w:val="0"/>
          <w:szCs w:val="24"/>
          <w14:ligatures w14:val="none"/>
        </w:rPr>
        <w:t>42</w:t>
      </w:r>
      <w:r>
        <w:rPr>
          <w:rFonts w:eastAsia="Times New Roman" w:cs="Times New Roman"/>
          <w:kern w:val="0"/>
          <w:szCs w:val="24"/>
          <w14:ligatures w14:val="none"/>
        </w:rPr>
        <w:t>(8), pp.846-854.</w:t>
      </w:r>
    </w:p>
    <w:p>
      <w:pPr>
        <w:ind w:left="720" w:hanging="720"/>
        <w:contextualSpacing/>
        <w:jc w:val="left"/>
        <w:rPr>
          <w:rFonts w:eastAsia="Times New Roman" w:cs="Times New Roman"/>
          <w:kern w:val="0"/>
          <w:szCs w:val="24"/>
          <w14:ligatures w14:val="none"/>
        </w:rPr>
      </w:pPr>
      <w:r>
        <w:rPr>
          <w:rFonts w:eastAsia="Times New Roman" w:cs="Times New Roman"/>
          <w:kern w:val="0"/>
          <w:szCs w:val="24"/>
          <w14:ligatures w14:val="none"/>
        </w:rPr>
        <w:t xml:space="preserve">Lester, J.N., Cho, Y. and Lochmiller, C.R., 2020. Learning to do qualitative data analysis: A starting point. </w:t>
      </w:r>
      <w:r>
        <w:rPr>
          <w:rFonts w:eastAsia="Times New Roman" w:cs="Times New Roman"/>
          <w:i/>
          <w:iCs/>
          <w:kern w:val="0"/>
          <w:szCs w:val="24"/>
          <w14:ligatures w14:val="none"/>
        </w:rPr>
        <w:t>Human Resource Development Review</w:t>
      </w:r>
      <w:r>
        <w:rPr>
          <w:rFonts w:eastAsia="Times New Roman" w:cs="Times New Roman"/>
          <w:kern w:val="0"/>
          <w:szCs w:val="24"/>
          <w14:ligatures w14:val="none"/>
        </w:rPr>
        <w:t xml:space="preserve">, </w:t>
      </w:r>
      <w:r>
        <w:rPr>
          <w:rFonts w:eastAsia="Times New Roman" w:cs="Times New Roman"/>
          <w:i/>
          <w:iCs/>
          <w:kern w:val="0"/>
          <w:szCs w:val="24"/>
          <w14:ligatures w14:val="none"/>
        </w:rPr>
        <w:t>19</w:t>
      </w:r>
      <w:r>
        <w:rPr>
          <w:rFonts w:eastAsia="Times New Roman" w:cs="Times New Roman"/>
          <w:kern w:val="0"/>
          <w:szCs w:val="24"/>
          <w14:ligatures w14:val="none"/>
        </w:rPr>
        <w:t>(1), pp.94-106.</w:t>
      </w:r>
    </w:p>
    <w:p>
      <w:pPr>
        <w:ind w:left="720" w:hanging="720"/>
        <w:contextualSpacing/>
        <w:jc w:val="left"/>
        <w:rPr>
          <w:rFonts w:cs="Times New Roman"/>
          <w:szCs w:val="24"/>
        </w:rPr>
      </w:pPr>
      <w:r>
        <w:rPr>
          <w:rFonts w:cs="Times New Roman"/>
          <w:szCs w:val="24"/>
        </w:rPr>
        <w:t xml:space="preserve">Nunan D. 1988. </w:t>
      </w:r>
      <w:r>
        <w:rPr>
          <w:rFonts w:cs="Times New Roman"/>
          <w:i/>
          <w:szCs w:val="24"/>
        </w:rPr>
        <w:t xml:space="preserve">The learner-centred curriculum. </w:t>
      </w:r>
      <w:r>
        <w:rPr>
          <w:rFonts w:cs="Times New Roman"/>
          <w:szCs w:val="24"/>
        </w:rPr>
        <w:t xml:space="preserve"> CUP: Cambridge.</w:t>
      </w:r>
    </w:p>
    <w:p>
      <w:pPr>
        <w:ind w:left="720" w:hanging="720"/>
        <w:contextualSpacing/>
        <w:jc w:val="left"/>
        <w:rPr>
          <w:rFonts w:cs="Times New Roman"/>
          <w:szCs w:val="24"/>
        </w:rPr>
      </w:pPr>
      <w:r>
        <w:rPr>
          <w:rFonts w:cs="Times New Roman"/>
          <w:szCs w:val="24"/>
        </w:rPr>
        <w:t xml:space="preserve">Richards, J. and Rodgers, T. (1986). </w:t>
      </w:r>
      <w:r>
        <w:rPr>
          <w:rFonts w:cs="Times New Roman"/>
          <w:i/>
          <w:iCs/>
          <w:szCs w:val="24"/>
        </w:rPr>
        <w:t xml:space="preserve">Approaches and Methods in Language Teaching. </w:t>
      </w:r>
      <w:r>
        <w:rPr>
          <w:rFonts w:cs="Times New Roman"/>
          <w:szCs w:val="24"/>
        </w:rPr>
        <w:t xml:space="preserve"> Cambridge: Cambridge University Press.</w:t>
      </w:r>
    </w:p>
    <w:p>
      <w:pPr>
        <w:spacing w:line="240" w:lineRule="auto"/>
        <w:ind w:firstLine="0"/>
        <w:jc w:val="left"/>
        <w:rPr>
          <w:rFonts w:eastAsia="Times New Roman" w:cs="Times New Roman"/>
          <w:kern w:val="0"/>
          <w:szCs w:val="24"/>
          <w14:ligatures w14:val="none"/>
        </w:rPr>
      </w:pPr>
    </w:p>
    <w:p>
      <w:pPr>
        <w:spacing w:line="240" w:lineRule="auto"/>
        <w:ind w:firstLine="0"/>
        <w:jc w:val="left"/>
        <w:rPr>
          <w:rFonts w:eastAsia="Times New Roman" w:cs="Times New Roman"/>
          <w:kern w:val="0"/>
          <w:szCs w:val="24"/>
          <w14:ligatures w14:val="none"/>
        </w:rPr>
      </w:pPr>
    </w:p>
    <w:p>
      <w:pPr>
        <w:spacing w:line="240" w:lineRule="auto"/>
        <w:ind w:firstLine="0"/>
        <w:jc w:val="left"/>
        <w:rPr>
          <w:rFonts w:eastAsia="Times New Roman" w:cs="Times New Roman"/>
          <w:kern w:val="0"/>
          <w:szCs w:val="24"/>
          <w14:ligatures w14:val="none"/>
        </w:rPr>
      </w:pPr>
    </w:p>
    <w:p>
      <w:pPr>
        <w:ind w:firstLine="0"/>
        <w:rPr>
          <w:rFonts w:cs="Times New Roman"/>
          <w:szCs w:val="24"/>
        </w:rPr>
      </w:pPr>
    </w:p>
    <w:p>
      <w:pPr>
        <w:ind w:firstLine="0"/>
        <w:rPr>
          <w:rFonts w:cs="Times New Roman"/>
          <w:szCs w:val="24"/>
        </w:rPr>
      </w:pPr>
    </w:p>
    <w:p>
      <w:pPr>
        <w:ind w:firstLine="0"/>
        <w:rPr>
          <w:rFonts w:cs="Times New Roman"/>
          <w:szCs w:val="24"/>
        </w:rPr>
      </w:pPr>
    </w:p>
    <w:sectPr>
      <w:headerReference r:id="rId5" w:type="default"/>
      <w:pgSz w:w="12240" w:h="15840"/>
      <w:pgMar w:top="1440" w:right="1440" w:bottom="1440"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00"/>
    <w:family w:val="auto"/>
    <w:pitch w:val="default"/>
    <w:sig w:usb0="E4002EFF" w:usb1="C000247B" w:usb2="00000009" w:usb3="00000000" w:csb0="2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480" w:lineRule="auto"/>
      </w:pPr>
      <w:r>
        <w:separator/>
      </w:r>
    </w:p>
  </w:footnote>
  <w:footnote w:type="continuationSeparator" w:id="1">
    <w:p>
      <w:pPr>
        <w:spacing w:line="48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66185838"/>
      <w:docPartObj>
        <w:docPartGallery w:val="AutoText"/>
      </w:docPartObj>
    </w:sdtPr>
    <w:sdtContent>
      <w:p>
        <w:pPr>
          <w:pStyle w:val="3"/>
          <w:jc w:val="right"/>
        </w:pPr>
        <w:r>
          <w:fldChar w:fldCharType="begin"/>
        </w:r>
        <w:r>
          <w:instrText xml:space="preserve"> PAGE   \* MERGEFORMAT </w:instrText>
        </w:r>
        <w:r>
          <w:fldChar w:fldCharType="separate"/>
        </w:r>
        <w:r>
          <w:t>2</w:t>
        </w:r>
        <w:r>
          <w:fldChar w:fldCharType="end"/>
        </w:r>
      </w:p>
    </w:sdtContent>
  </w:sdt>
  <w:p>
    <w:pPr>
      <w:pStyle w:val="3"/>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5DD21E48"/>
    <w:multiLevelType w:val="multilevel"/>
    <w:tmpl w:val="5DD21E48"/>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NzJkOTc4ZDBlY2VmYTFkM2ZlY2RkY2E0YWYzNjZhMTEifQ=="/>
  </w:docVars>
  <w:rsids>
    <w:rsidRoot w:val="002C0A09"/>
    <w:rsid w:val="00155261"/>
    <w:rsid w:val="00185B95"/>
    <w:rsid w:val="001D3337"/>
    <w:rsid w:val="001D6D85"/>
    <w:rsid w:val="001F738D"/>
    <w:rsid w:val="00256B73"/>
    <w:rsid w:val="0026608E"/>
    <w:rsid w:val="002C0A09"/>
    <w:rsid w:val="002E260E"/>
    <w:rsid w:val="003A09F6"/>
    <w:rsid w:val="00450FA1"/>
    <w:rsid w:val="004518B9"/>
    <w:rsid w:val="00461CE0"/>
    <w:rsid w:val="00467CEC"/>
    <w:rsid w:val="00483F95"/>
    <w:rsid w:val="00583745"/>
    <w:rsid w:val="00610ACB"/>
    <w:rsid w:val="006D2EC4"/>
    <w:rsid w:val="006D7F99"/>
    <w:rsid w:val="006F102C"/>
    <w:rsid w:val="0074505D"/>
    <w:rsid w:val="0079797C"/>
    <w:rsid w:val="008223A5"/>
    <w:rsid w:val="00830B91"/>
    <w:rsid w:val="00833D77"/>
    <w:rsid w:val="00850776"/>
    <w:rsid w:val="008A5E9F"/>
    <w:rsid w:val="008E39DA"/>
    <w:rsid w:val="009039AF"/>
    <w:rsid w:val="00997E1C"/>
    <w:rsid w:val="009D5F0B"/>
    <w:rsid w:val="00A012E8"/>
    <w:rsid w:val="00A46FB1"/>
    <w:rsid w:val="00A51253"/>
    <w:rsid w:val="00A720DC"/>
    <w:rsid w:val="00AB721C"/>
    <w:rsid w:val="00B02BB0"/>
    <w:rsid w:val="00B079DA"/>
    <w:rsid w:val="00C0050C"/>
    <w:rsid w:val="00C678DC"/>
    <w:rsid w:val="00C750CE"/>
    <w:rsid w:val="00C90A9A"/>
    <w:rsid w:val="00CB2A57"/>
    <w:rsid w:val="00D13385"/>
    <w:rsid w:val="00D55BA6"/>
    <w:rsid w:val="00DB37F2"/>
    <w:rsid w:val="00DE6A8D"/>
    <w:rsid w:val="00E04070"/>
    <w:rsid w:val="00E65DBA"/>
    <w:rsid w:val="00E74161"/>
    <w:rsid w:val="00EC4AF3"/>
    <w:rsid w:val="00EC6D0F"/>
    <w:rsid w:val="00EE4B77"/>
    <w:rsid w:val="00F53D62"/>
    <w:rsid w:val="03495CD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480" w:lineRule="auto"/>
      <w:ind w:firstLine="720"/>
      <w:jc w:val="both"/>
    </w:pPr>
    <w:rPr>
      <w:rFonts w:ascii="Times New Roman" w:hAnsi="Times New Roman" w:eastAsiaTheme="minorHAnsi" w:cstheme="minorBidi"/>
      <w:kern w:val="2"/>
      <w:sz w:val="24"/>
      <w:szCs w:val="22"/>
      <w:lang w:val="en-US" w:eastAsia="en-US" w:bidi="ar-SA"/>
      <w14:ligatures w14:val="standardContextual"/>
    </w:rPr>
  </w:style>
  <w:style w:type="character" w:default="1" w:styleId="5">
    <w:name w:val="Default Paragraph Font"/>
    <w:semiHidden/>
    <w:unhideWhenUsed/>
    <w:qFormat/>
    <w:uiPriority w:val="1"/>
  </w:style>
  <w:style w:type="table" w:default="1" w:styleId="4">
    <w:name w:val="Normal Table"/>
    <w:semiHidden/>
    <w:unhideWhenUsed/>
    <w:uiPriority w:val="99"/>
    <w:tblPr>
      <w:tblCellMar>
        <w:top w:w="0" w:type="dxa"/>
        <w:left w:w="108" w:type="dxa"/>
        <w:bottom w:w="0" w:type="dxa"/>
        <w:right w:w="108" w:type="dxa"/>
      </w:tblCellMar>
    </w:tblPr>
  </w:style>
  <w:style w:type="paragraph" w:styleId="2">
    <w:name w:val="footer"/>
    <w:basedOn w:val="1"/>
    <w:link w:val="8"/>
    <w:unhideWhenUsed/>
    <w:qFormat/>
    <w:uiPriority w:val="99"/>
    <w:pPr>
      <w:tabs>
        <w:tab w:val="center" w:pos="4680"/>
        <w:tab w:val="right" w:pos="9360"/>
      </w:tabs>
      <w:spacing w:line="240" w:lineRule="auto"/>
    </w:pPr>
  </w:style>
  <w:style w:type="paragraph" w:styleId="3">
    <w:name w:val="header"/>
    <w:basedOn w:val="1"/>
    <w:link w:val="7"/>
    <w:unhideWhenUsed/>
    <w:qFormat/>
    <w:uiPriority w:val="99"/>
    <w:pPr>
      <w:tabs>
        <w:tab w:val="center" w:pos="4680"/>
        <w:tab w:val="right" w:pos="9360"/>
      </w:tabs>
      <w:spacing w:line="240" w:lineRule="auto"/>
    </w:pPr>
  </w:style>
  <w:style w:type="paragraph" w:styleId="6">
    <w:name w:val="List Paragraph"/>
    <w:basedOn w:val="1"/>
    <w:qFormat/>
    <w:uiPriority w:val="34"/>
    <w:pPr>
      <w:ind w:left="720"/>
      <w:contextualSpacing/>
    </w:pPr>
  </w:style>
  <w:style w:type="character" w:customStyle="1" w:styleId="7">
    <w:name w:val="Header Char"/>
    <w:basedOn w:val="5"/>
    <w:link w:val="3"/>
    <w:qFormat/>
    <w:uiPriority w:val="99"/>
  </w:style>
  <w:style w:type="character" w:customStyle="1" w:styleId="8">
    <w:name w:val="Footer Char"/>
    <w:basedOn w:val="5"/>
    <w:link w:val="2"/>
    <w:qFormat/>
    <w:uiPriority w:val="99"/>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10</Pages>
  <Words>2522</Words>
  <Characters>12916</Characters>
  <Lines>110</Lines>
  <Paragraphs>31</Paragraphs>
  <TotalTime>151</TotalTime>
  <ScaleCrop>false</ScaleCrop>
  <LinksUpToDate>false</LinksUpToDate>
  <CharactersWithSpaces>15422</CharactersWithSpaces>
  <Application>WPS Office_11.1.0.14036_F1E327BC-269C-435d-A152-05C5408002CA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2023-04-09T22:42:00Z</dcterms:created>
  <dc:creator>User</dc:creator>
  <cp:lastModifiedBy>郭尔·盖轩</cp:lastModifiedBy>
  <dcterms:modified xsi:type="dcterms:W3CDTF">2023-04-13T13:07:52Z</dcterms:modified>
  <cp:revision>6</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2052-11.1.0.14036</vt:lpwstr>
  </property>
  <property fmtid="{D5CDD505-2E9C-101B-9397-08002B2CF9AE}" pid="3" name="ICV">
    <vt:lpwstr>A47702E7A03146848B4A0387853EED1B_12</vt:lpwstr>
  </property>
</Properties>
</file>