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0"/>
        <w:jc w:val="center"/>
        <w:rPr>
          <w:b/>
          <w:bCs/>
          <w:sz w:val="32"/>
          <w:szCs w:val="32"/>
        </w:rPr>
      </w:pPr>
      <w:r>
        <w:rPr>
          <w:b/>
          <w:bCs/>
          <w:noProof/>
          <w:sz w:val="32"/>
          <w:szCs w:val="32"/>
        </w:rPr>
        <w:drawing>
          <wp:inline distL="0" distT="0" distB="0" distR="0">
            <wp:extent cx="3390900" cy="1352550"/>
            <wp:effectExtent l="0" t="0" r="0" b="0"/>
            <wp:docPr id="1026"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2" cstate="print"/>
                    <a:srcRect l="0" t="0" r="0" b="0"/>
                    <a:stretch/>
                  </pic:blipFill>
                  <pic:spPr>
                    <a:xfrm rot="0">
                      <a:off x="0" y="0"/>
                      <a:ext cx="3390900" cy="1352550"/>
                    </a:xfrm>
                    <a:prstGeom prst="rect"/>
                    <a:ln>
                      <a:noFill/>
                    </a:ln>
                  </pic:spPr>
                </pic:pic>
              </a:graphicData>
            </a:graphic>
          </wp:inline>
        </w:drawing>
      </w:r>
    </w:p>
    <w:p>
      <w:pPr>
        <w:pStyle w:val="style0"/>
        <w:jc w:val="center"/>
        <w:rPr>
          <w:b/>
          <w:bCs/>
          <w:sz w:val="32"/>
          <w:szCs w:val="32"/>
        </w:rPr>
      </w:pPr>
    </w:p>
    <w:p>
      <w:pPr>
        <w:pStyle w:val="style0"/>
        <w:jc w:val="center"/>
        <w:rPr>
          <w:b/>
          <w:bCs/>
          <w:sz w:val="32"/>
          <w:szCs w:val="32"/>
        </w:rPr>
      </w:pPr>
      <w:r>
        <w:rPr>
          <w:b/>
          <w:bCs/>
          <w:sz w:val="32"/>
          <w:szCs w:val="32"/>
        </w:rPr>
        <w:t>Strategic Adaptation of Multinational Enterprises to Evolving Global Trade Realities: An Analysis of Emerging Supply Chain Strategies</w:t>
      </w:r>
    </w:p>
    <w:p>
      <w:pPr>
        <w:pStyle w:val="style0"/>
        <w:jc w:val="center"/>
        <w:rPr>
          <w:rFonts w:ascii="Times New Roman" w:cs="宋体" w:eastAsia="Aptos" w:hAnsi="Times New Roman" w:hint="default"/>
          <w:b/>
          <w:bCs/>
          <w:i w:val="false"/>
          <w:iCs w:val="false"/>
          <w:color w:val="auto"/>
          <w:kern w:val="2"/>
          <w:sz w:val="24"/>
          <w:szCs w:val="24"/>
          <w:highlight w:val="none"/>
          <w:vertAlign w:val="baseline"/>
          <w:em w:val="none"/>
          <w:lang w:val="en-US" w:eastAsia="en-US"/>
        </w:rPr>
      </w:pPr>
    </w:p>
    <w:p>
      <w:pPr>
        <w:pStyle w:val="style0"/>
        <w:jc w:val="center"/>
        <w:rPr>
          <w:b/>
          <w:bCs/>
          <w:sz w:val="32"/>
          <w:szCs w:val="32"/>
        </w:rPr>
      </w:pPr>
      <w:r>
        <w:rPr>
          <w:rFonts w:ascii="Times New Roman" w:cs="宋体" w:eastAsia="Aptos" w:hAnsi="Times New Roman" w:hint="default"/>
          <w:b/>
          <w:bCs/>
          <w:i w:val="false"/>
          <w:iCs w:val="false"/>
          <w:color w:val="auto"/>
          <w:kern w:val="2"/>
          <w:sz w:val="24"/>
          <w:szCs w:val="24"/>
          <w:highlight w:val="none"/>
          <w:vertAlign w:val="baseline"/>
          <w:em w:val="none"/>
          <w:lang w:val="en-US" w:eastAsia="en-US"/>
        </w:rPr>
        <w:t>MBA International Business Managemen</w:t>
      </w:r>
    </w:p>
    <w:p>
      <w:pPr>
        <w:pStyle w:val="style0"/>
        <w:jc w:val="center"/>
        <w:rPr>
          <w:b/>
          <w:bCs/>
          <w:sz w:val="28"/>
        </w:rPr>
      </w:pPr>
    </w:p>
    <w:p>
      <w:pPr>
        <w:pStyle w:val="style0"/>
        <w:jc w:val="center"/>
        <w:rPr>
          <w:b/>
          <w:bCs/>
          <w:sz w:val="28"/>
        </w:rPr>
      </w:pPr>
      <w:r>
        <w:rPr>
          <w:b/>
          <w:bCs/>
          <w:sz w:val="28"/>
        </w:rPr>
        <w:t>Student ID:</w:t>
      </w:r>
      <w:r>
        <w:rPr>
          <w:b/>
          <w:bCs/>
          <w:sz w:val="28"/>
        </w:rPr>
        <w:t>2423409</w:t>
      </w:r>
    </w:p>
    <w:p>
      <w:pPr>
        <w:pStyle w:val="style0"/>
        <w:jc w:val="center"/>
        <w:rPr>
          <w:b/>
          <w:bCs/>
          <w:sz w:val="28"/>
        </w:rPr>
      </w:pPr>
      <w:r>
        <w:rPr>
          <w:b/>
          <w:bCs/>
          <w:sz w:val="28"/>
        </w:rPr>
        <w:t>Name: Heena.Patel</w:t>
      </w:r>
    </w:p>
    <w:p>
      <w:pPr>
        <w:pStyle w:val="style0"/>
        <w:jc w:val="center"/>
        <w:rPr/>
      </w:pPr>
      <w:r>
        <w:t>Supervisor:</w:t>
      </w:r>
      <w:r>
        <w:rPr>
          <w:lang w:val="en-US"/>
        </w:rPr>
        <w:t>Jia Miao</w:t>
      </w:r>
    </w:p>
    <w:p>
      <w:pPr>
        <w:pStyle w:val="style0"/>
        <w:jc w:val="center"/>
        <w:rPr/>
      </w:pPr>
      <w:r>
        <w:rPr>
          <w:lang w:val="en-US"/>
        </w:rPr>
        <w:t xml:space="preserve">Module name : Dissertation </w:t>
      </w:r>
    </w:p>
    <w:p>
      <w:pPr>
        <w:pStyle w:val="style0"/>
        <w:jc w:val="center"/>
        <w:rPr/>
      </w:pPr>
      <w:r>
        <w:rPr>
          <w:lang w:val="en-US"/>
        </w:rPr>
        <w:t>Module code :LCMB7035</w:t>
      </w:r>
    </w:p>
    <w:p>
      <w:pPr>
        <w:pStyle w:val="style0"/>
        <w:jc w:val="center"/>
        <w:rPr/>
      </w:pPr>
      <w:r>
        <w:rPr>
          <w:lang w:val="en-US"/>
        </w:rPr>
        <w:t xml:space="preserve">Human Resource management  </w:t>
      </w:r>
    </w:p>
    <w:p>
      <w:pPr>
        <w:pStyle w:val="style0"/>
        <w:jc w:val="center"/>
        <w:rPr/>
      </w:pPr>
      <w:r>
        <w:t>Word Count</w:t>
      </w:r>
      <w:r>
        <w:rPr>
          <w:lang w:val="en-US"/>
        </w:rPr>
        <w:t>:15300</w:t>
      </w:r>
    </w:p>
    <w:p>
      <w:pPr>
        <w:pStyle w:val="style0"/>
        <w:jc w:val="center"/>
        <w:rPr/>
      </w:pPr>
      <w:r>
        <w:t>Date of Submission:</w:t>
      </w:r>
      <w:r>
        <w:rPr>
          <w:lang w:val="en-US"/>
        </w:rPr>
        <w:t>3/02/2026</w:t>
      </w:r>
    </w:p>
    <w:p>
      <w:pPr>
        <w:pStyle w:val="style0"/>
        <w:jc w:val="center"/>
        <w:rPr/>
      </w:pPr>
    </w:p>
    <w:p>
      <w:pPr>
        <w:pStyle w:val="style0"/>
        <w:rPr/>
      </w:pPr>
    </w:p>
    <w:p>
      <w:pPr>
        <w:pStyle w:val="style0"/>
        <w:rPr/>
      </w:pPr>
    </w:p>
    <w:p>
      <w:pPr>
        <w:pStyle w:val="style0"/>
        <w:rPr>
          <w:b/>
          <w:bCs/>
          <w:sz w:val="32"/>
          <w:szCs w:val="32"/>
        </w:rPr>
      </w:pPr>
      <w:r>
        <w:rPr>
          <w:b/>
          <w:bCs/>
          <w:sz w:val="32"/>
          <w:szCs w:val="32"/>
        </w:rPr>
        <w:t>DECLARATION</w:t>
      </w:r>
    </w:p>
    <w:p>
      <w:pPr>
        <w:pStyle w:val="style0"/>
        <w:rPr/>
      </w:pPr>
      <w:r>
        <w:t>I hereby declare that this dissertation is my own original work and has not been submitted, either in whole or in part, for any degree or qualification at this or any other institution.</w:t>
      </w:r>
    </w:p>
    <w:p>
      <w:pPr>
        <w:pStyle w:val="style0"/>
        <w:rPr/>
      </w:pPr>
      <w:r>
        <w:t>All sources of information used in this dissertation have been properly acknowledged and referenced in accordance with the University’s academic regulations.</w:t>
      </w:r>
    </w:p>
    <w:p>
      <w:pPr>
        <w:pStyle w:val="style0"/>
        <w:rPr/>
      </w:pPr>
      <w:r>
        <w:t>I confirm that this work has been completed in compliance with the University’s policies on academic integrity and ethical conduct.</w:t>
      </w:r>
    </w:p>
    <w:p>
      <w:pPr>
        <w:pStyle w:val="style0"/>
        <w:rPr/>
      </w:pPr>
      <w:r>
        <w:t>Signed: ________</w:t>
      </w:r>
      <w:r>
        <w:rPr>
          <w:lang w:val="en-US"/>
        </w:rPr>
        <w:t>heena patel</w:t>
      </w:r>
      <w:r>
        <w:t>___________________</w:t>
      </w:r>
    </w:p>
    <w:p>
      <w:pPr>
        <w:pStyle w:val="style0"/>
        <w:rPr/>
      </w:pPr>
      <w:r>
        <w:t xml:space="preserve">Name: </w:t>
      </w:r>
      <w:r>
        <w:rPr>
          <w:b/>
          <w:bCs/>
          <w:sz w:val="28"/>
        </w:rPr>
        <w:t>Heena.Patel</w:t>
      </w:r>
    </w:p>
    <w:p>
      <w:pPr>
        <w:pStyle w:val="style0"/>
        <w:rPr/>
      </w:pPr>
      <w:r>
        <w:t xml:space="preserve">Student ID: </w:t>
      </w:r>
      <w:r>
        <w:rPr>
          <w:b/>
          <w:bCs/>
          <w:sz w:val="28"/>
        </w:rPr>
        <w:t>2423409</w:t>
      </w:r>
    </w:p>
    <w:p>
      <w:pPr>
        <w:pStyle w:val="style0"/>
        <w:rPr/>
      </w:pPr>
      <w:r>
        <w:t>Date: ____</w:t>
      </w:r>
      <w:r>
        <w:rPr>
          <w:lang w:val="en-US"/>
        </w:rPr>
        <w:t>03/02/2026</w:t>
      </w:r>
      <w:r>
        <w:t>_______________________</w:t>
      </w: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b/>
          <w:bCs/>
          <w:sz w:val="32"/>
          <w:szCs w:val="32"/>
        </w:rPr>
      </w:pPr>
      <w:r>
        <w:rPr>
          <w:b/>
          <w:bCs/>
          <w:sz w:val="32"/>
          <w:szCs w:val="32"/>
        </w:rPr>
        <w:t>ACKNOWLEDGEMENTS</w:t>
      </w:r>
    </w:p>
    <w:p>
      <w:pPr>
        <w:pStyle w:val="style0"/>
        <w:rPr/>
      </w:pPr>
      <w:r>
        <w:t>I would like to express my sincere gratitude to my supervisor, for their invaluable guidance, constructive feedback, and continuous support throughout the development of this dissertation. Their academic insight and encouragement greatly contributed to the successful completion of this research.</w:t>
      </w:r>
    </w:p>
    <w:p>
      <w:pPr>
        <w:pStyle w:val="style0"/>
        <w:rPr/>
      </w:pPr>
      <w:r>
        <w:t xml:space="preserve">I am also grateful to the academic staff of </w:t>
      </w:r>
      <w:r>
        <w:rPr>
          <w:b/>
          <w:bCs/>
        </w:rPr>
        <w:t xml:space="preserve">University </w:t>
      </w:r>
      <w:r>
        <w:t>for providing the knowledge and skills that formed the foundation of this study.</w:t>
      </w:r>
    </w:p>
    <w:p>
      <w:pPr>
        <w:pStyle w:val="style0"/>
        <w:rPr/>
      </w:pPr>
      <w:r>
        <w:t>Special thanks are extended to my family and friends for their patience, encouragement, and emotional support throughout the course of my studies. Their motivation and understanding were essential during the challenging stages of this research.</w:t>
      </w:r>
    </w:p>
    <w:p>
      <w:pPr>
        <w:pStyle w:val="style0"/>
        <w:rPr/>
      </w:pPr>
      <w:r>
        <w:t>Finally, I would like to acknowledge the publicly available organisations and institutions whose reports and publications made this research possible.</w:t>
      </w: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b/>
          <w:bCs/>
          <w:sz w:val="32"/>
          <w:szCs w:val="32"/>
        </w:rPr>
      </w:pPr>
      <w:r>
        <w:rPr>
          <w:b/>
          <w:bCs/>
          <w:sz w:val="32"/>
          <w:szCs w:val="32"/>
        </w:rPr>
        <w:t>ABSTRACT</w:t>
      </w:r>
    </w:p>
    <w:p>
      <w:pPr>
        <w:pStyle w:val="style0"/>
        <w:rPr/>
      </w:pPr>
      <w:r>
        <w:t>This dissertation focuses on the strategic adaption of global supply chains by multinational enterprises (MNEs) to changing global trade realities marked by geopolitical instability, trade fragmentation and systemic disruption. Although current studies have mostly concentrated on operational changes like regionalisation and diversification, there is scanty consideration of how organisations make sense of such changes and rationalise them using corporate discourse.</w:t>
      </w:r>
    </w:p>
    <w:p>
      <w:pPr>
        <w:pStyle w:val="style0"/>
        <w:rPr/>
      </w:pPr>
      <w:r>
        <w:t>This research will adopt an interpretivist and qualitative research design that uses thematic analysis of secondary data (corporate reports, strategic disclosures, and institutional publications) created between 2021 and 2025. Dynamic Capabilities Theory, Global Value Chain Theory, Organisational Sensemaking Theory, and Institutional Theory are used to inform the analysis and explore how firms frame disruption and build storeys of adaptation.</w:t>
      </w:r>
    </w:p>
    <w:p>
      <w:pPr>
        <w:pStyle w:val="style0"/>
        <w:rPr/>
      </w:pPr>
      <w:r>
        <w:t>The results indicate that MNEs are progressively presenting global trade disturbance as a structural necessity and not simply a crisis. Strategic responses are explained by the narratives of resilience investing, regionalisation, dual sourcing, and digitalisation, with the support of the legitimacy-oriented discourse focused on long-term stability and responsible sourcing. Digital technologies are structured as facilitating power that expands visibility and control but falls short of structural redesign.</w:t>
      </w:r>
    </w:p>
    <w:p>
      <w:pPr>
        <w:pStyle w:val="style0"/>
        <w:rPr/>
      </w:pPr>
      <w:r>
        <w:t>This paper adds to the literature by showing that the process of supply chain adaptation is both operational and discursive. It builds upon current theory by focusing on the importance of strategic narratives in legitimising organisational change in times of geopolitical and institutional pressure. The results provide practical information to managers and policymakers that aim to balance resilience, efficiency, and legitimacy in a more fragmented global trade context</w:t>
      </w:r>
      <w:r>
        <w:t>.</w:t>
      </w:r>
    </w:p>
    <w:p>
      <w:pPr>
        <w:pStyle w:val="style0"/>
        <w:rPr/>
      </w:pPr>
    </w:p>
    <w:p>
      <w:pPr>
        <w:pStyle w:val="style0"/>
        <w:rPr/>
      </w:pPr>
    </w:p>
    <w:p>
      <w:pPr>
        <w:pStyle w:val="style0"/>
        <w:rPr/>
      </w:pPr>
    </w:p>
    <w:p>
      <w:pPr>
        <w:pStyle w:val="style0"/>
        <w:rPr/>
      </w:pPr>
    </w:p>
    <w:p>
      <w:pPr>
        <w:pStyle w:val="style0"/>
        <w:rPr/>
      </w:pPr>
    </w:p>
    <w:p>
      <w:pPr>
        <w:pStyle w:val="style266"/>
        <w:rPr/>
      </w:pPr>
      <w:r>
        <w:t>Table of Contents</w:t>
      </w:r>
    </w:p>
    <w:p>
      <w:pPr>
        <w:pStyle w:val="style19"/>
        <w:tabs>
          <w:tab w:val="left" w:leader="none" w:pos="480"/>
          <w:tab w:val="right" w:leader="dot" w:pos="9350"/>
        </w:tabs>
        <w:rPr>
          <w:rFonts w:ascii="Aptos" w:eastAsia="宋体" w:hAnsi="Aptos"/>
          <w:noProof/>
          <w:lang w:eastAsia="en-GB"/>
        </w:rPr>
      </w:pPr>
      <w:r>
        <w:rPr/>
        <w:fldChar w:fldCharType="begin"/>
      </w:r>
      <w:r>
        <w:instrText xml:space="preserve"> TOC \o "1-3" \h \z \u </w:instrText>
      </w:r>
      <w:r>
        <w:rPr/>
        <w:fldChar w:fldCharType="separate"/>
      </w:r>
      <w:r>
        <w:rPr/>
        <w:fldChar w:fldCharType="begin"/>
      </w:r>
      <w:r>
        <w:instrText xml:space="preserve"> HYPERLINK \l "_Toc220305355" </w:instrText>
      </w:r>
      <w:r>
        <w:rPr/>
        <w:fldChar w:fldCharType="separate"/>
      </w:r>
      <w:r>
        <w:rPr>
          <w:rStyle w:val="style85"/>
          <w:noProof/>
        </w:rPr>
        <w:t>1</w:t>
      </w:r>
      <w:r>
        <w:rPr>
          <w:rFonts w:ascii="Aptos" w:eastAsia="宋体" w:hAnsi="Aptos"/>
          <w:noProof/>
          <w:lang w:eastAsia="en-GB"/>
        </w:rPr>
        <w:tab/>
      </w:r>
      <w:r>
        <w:rPr>
          <w:rStyle w:val="style85"/>
          <w:noProof/>
        </w:rPr>
        <w:t>Chapter One: Introduction</w:t>
      </w:r>
      <w:r>
        <w:rPr>
          <w:noProof/>
          <w:webHidden/>
        </w:rPr>
        <w:tab/>
      </w:r>
      <w:r>
        <w:rPr>
          <w:noProof/>
          <w:webHidden/>
        </w:rPr>
        <w:fldChar w:fldCharType="begin"/>
      </w:r>
      <w:r>
        <w:rPr>
          <w:noProof/>
          <w:webHidden/>
        </w:rPr>
        <w:instrText xml:space="preserve"> PAGEREF _Toc220305355 \h </w:instrText>
      </w:r>
      <w:r>
        <w:rPr>
          <w:noProof/>
          <w:webHidden/>
        </w:rPr>
        <w:fldChar w:fldCharType="separate"/>
      </w:r>
      <w:r>
        <w:rPr>
          <w:noProof/>
          <w:webHidden/>
        </w:rPr>
        <w:t>1</w:t>
      </w:r>
      <w:r>
        <w:rPr>
          <w:noProof/>
          <w:webHidden/>
        </w:rPr>
        <w:fldChar w:fldCharType="end"/>
      </w:r>
      <w:r>
        <w:rPr/>
        <w:fldChar w:fldCharType="end"/>
      </w:r>
    </w:p>
    <w:p>
      <w:pPr>
        <w:pStyle w:val="style20"/>
        <w:tabs>
          <w:tab w:val="left" w:leader="none" w:pos="960"/>
          <w:tab w:val="right" w:leader="dot" w:pos="9350"/>
        </w:tabs>
        <w:rPr>
          <w:rFonts w:ascii="Aptos" w:eastAsia="宋体" w:hAnsi="Aptos"/>
          <w:noProof/>
          <w:lang w:eastAsia="en-GB"/>
        </w:rPr>
      </w:pPr>
      <w:r>
        <w:rPr/>
        <w:fldChar w:fldCharType="begin"/>
      </w:r>
      <w:r>
        <w:instrText xml:space="preserve"> HYPERLINK \l "_Toc220305356" </w:instrText>
      </w:r>
      <w:r>
        <w:rPr/>
        <w:fldChar w:fldCharType="separate"/>
      </w:r>
      <w:r>
        <w:rPr>
          <w:rStyle w:val="style85"/>
          <w:noProof/>
        </w:rPr>
        <w:t>1.1</w:t>
      </w:r>
      <w:r>
        <w:rPr>
          <w:rFonts w:ascii="Aptos" w:eastAsia="宋体" w:hAnsi="Aptos"/>
          <w:noProof/>
          <w:lang w:eastAsia="en-GB"/>
        </w:rPr>
        <w:tab/>
      </w:r>
      <w:r>
        <w:rPr>
          <w:rStyle w:val="style85"/>
          <w:noProof/>
        </w:rPr>
        <w:t>Background and Context</w:t>
      </w:r>
      <w:r>
        <w:rPr>
          <w:noProof/>
          <w:webHidden/>
        </w:rPr>
        <w:tab/>
      </w:r>
      <w:r>
        <w:rPr>
          <w:noProof/>
          <w:webHidden/>
        </w:rPr>
        <w:fldChar w:fldCharType="begin"/>
      </w:r>
      <w:r>
        <w:rPr>
          <w:noProof/>
          <w:webHidden/>
        </w:rPr>
        <w:instrText xml:space="preserve"> PAGEREF _Toc220305356 \h </w:instrText>
      </w:r>
      <w:r>
        <w:rPr>
          <w:noProof/>
          <w:webHidden/>
        </w:rPr>
        <w:fldChar w:fldCharType="separate"/>
      </w:r>
      <w:r>
        <w:rPr>
          <w:noProof/>
          <w:webHidden/>
        </w:rPr>
        <w:t>1</w:t>
      </w:r>
      <w:r>
        <w:rPr>
          <w:noProof/>
          <w:webHidden/>
        </w:rPr>
        <w:fldChar w:fldCharType="end"/>
      </w:r>
      <w:r>
        <w:rPr/>
        <w:fldChar w:fldCharType="end"/>
      </w:r>
    </w:p>
    <w:p>
      <w:pPr>
        <w:pStyle w:val="style20"/>
        <w:tabs>
          <w:tab w:val="left" w:leader="none" w:pos="960"/>
          <w:tab w:val="right" w:leader="dot" w:pos="9350"/>
        </w:tabs>
        <w:rPr>
          <w:rFonts w:ascii="Aptos" w:eastAsia="宋体" w:hAnsi="Aptos"/>
          <w:noProof/>
          <w:lang w:eastAsia="en-GB"/>
        </w:rPr>
      </w:pPr>
      <w:r>
        <w:rPr/>
        <w:fldChar w:fldCharType="begin"/>
      </w:r>
      <w:r>
        <w:instrText xml:space="preserve"> HYPERLINK \l "_Toc220305357" </w:instrText>
      </w:r>
      <w:r>
        <w:rPr/>
        <w:fldChar w:fldCharType="separate"/>
      </w:r>
      <w:r>
        <w:rPr>
          <w:rStyle w:val="style85"/>
          <w:noProof/>
        </w:rPr>
        <w:t>1.2</w:t>
      </w:r>
      <w:r>
        <w:rPr>
          <w:rFonts w:ascii="Aptos" w:eastAsia="宋体" w:hAnsi="Aptos"/>
          <w:noProof/>
          <w:lang w:eastAsia="en-GB"/>
        </w:rPr>
        <w:tab/>
      </w:r>
      <w:r>
        <w:rPr>
          <w:rStyle w:val="style85"/>
          <w:noProof/>
        </w:rPr>
        <w:t>Problem Statement</w:t>
      </w:r>
      <w:r>
        <w:rPr>
          <w:noProof/>
          <w:webHidden/>
        </w:rPr>
        <w:tab/>
      </w:r>
      <w:r>
        <w:rPr>
          <w:noProof/>
          <w:webHidden/>
        </w:rPr>
        <w:fldChar w:fldCharType="begin"/>
      </w:r>
      <w:r>
        <w:rPr>
          <w:noProof/>
          <w:webHidden/>
        </w:rPr>
        <w:instrText xml:space="preserve"> PAGEREF _Toc220305357 \h </w:instrText>
      </w:r>
      <w:r>
        <w:rPr>
          <w:noProof/>
          <w:webHidden/>
        </w:rPr>
        <w:fldChar w:fldCharType="separate"/>
      </w:r>
      <w:r>
        <w:rPr>
          <w:noProof/>
          <w:webHidden/>
        </w:rPr>
        <w:t>3</w:t>
      </w:r>
      <w:r>
        <w:rPr>
          <w:noProof/>
          <w:webHidden/>
        </w:rPr>
        <w:fldChar w:fldCharType="end"/>
      </w:r>
      <w:r>
        <w:rPr/>
        <w:fldChar w:fldCharType="end"/>
      </w:r>
    </w:p>
    <w:p>
      <w:pPr>
        <w:pStyle w:val="style20"/>
        <w:tabs>
          <w:tab w:val="left" w:leader="none" w:pos="960"/>
          <w:tab w:val="right" w:leader="dot" w:pos="9350"/>
        </w:tabs>
        <w:rPr>
          <w:rFonts w:ascii="Aptos" w:eastAsia="宋体" w:hAnsi="Aptos"/>
          <w:noProof/>
          <w:lang w:eastAsia="en-GB"/>
        </w:rPr>
      </w:pPr>
      <w:r>
        <w:rPr/>
        <w:fldChar w:fldCharType="begin"/>
      </w:r>
      <w:r>
        <w:instrText xml:space="preserve"> HYPERLINK \l "_Toc220305358" </w:instrText>
      </w:r>
      <w:r>
        <w:rPr/>
        <w:fldChar w:fldCharType="separate"/>
      </w:r>
      <w:r>
        <w:rPr>
          <w:rStyle w:val="style85"/>
          <w:noProof/>
        </w:rPr>
        <w:t>1.3</w:t>
      </w:r>
      <w:r>
        <w:rPr>
          <w:rFonts w:ascii="Aptos" w:eastAsia="宋体" w:hAnsi="Aptos"/>
          <w:noProof/>
          <w:lang w:eastAsia="en-GB"/>
        </w:rPr>
        <w:tab/>
      </w:r>
      <w:r>
        <w:rPr>
          <w:rStyle w:val="style85"/>
          <w:noProof/>
        </w:rPr>
        <w:t>Research Aim &amp; Objectives</w:t>
      </w:r>
      <w:r>
        <w:rPr>
          <w:noProof/>
          <w:webHidden/>
        </w:rPr>
        <w:tab/>
      </w:r>
      <w:r>
        <w:rPr>
          <w:noProof/>
          <w:webHidden/>
        </w:rPr>
        <w:fldChar w:fldCharType="begin"/>
      </w:r>
      <w:r>
        <w:rPr>
          <w:noProof/>
          <w:webHidden/>
        </w:rPr>
        <w:instrText xml:space="preserve"> PAGEREF _Toc220305358 \h </w:instrText>
      </w:r>
      <w:r>
        <w:rPr>
          <w:noProof/>
          <w:webHidden/>
        </w:rPr>
        <w:fldChar w:fldCharType="separate"/>
      </w:r>
      <w:r>
        <w:rPr>
          <w:noProof/>
          <w:webHidden/>
        </w:rPr>
        <w:t>3</w:t>
      </w:r>
      <w:r>
        <w:rPr>
          <w:noProof/>
          <w:webHidden/>
        </w:rPr>
        <w:fldChar w:fldCharType="end"/>
      </w:r>
      <w:r>
        <w:rPr/>
        <w:fldChar w:fldCharType="end"/>
      </w:r>
    </w:p>
    <w:p>
      <w:pPr>
        <w:pStyle w:val="style21"/>
        <w:tabs>
          <w:tab w:val="left" w:leader="none" w:pos="1440"/>
          <w:tab w:val="right" w:leader="dot" w:pos="9350"/>
        </w:tabs>
        <w:rPr>
          <w:rFonts w:ascii="Aptos" w:eastAsia="宋体" w:hAnsi="Aptos"/>
          <w:noProof/>
          <w:lang w:eastAsia="en-GB"/>
        </w:rPr>
      </w:pPr>
      <w:r>
        <w:rPr/>
        <w:fldChar w:fldCharType="begin"/>
      </w:r>
      <w:r>
        <w:instrText xml:space="preserve"> HYPERLINK \l "_Toc220305359" </w:instrText>
      </w:r>
      <w:r>
        <w:rPr/>
        <w:fldChar w:fldCharType="separate"/>
      </w:r>
      <w:r>
        <w:rPr>
          <w:rStyle w:val="style85"/>
          <w:noProof/>
        </w:rPr>
        <w:t>1.3.1</w:t>
      </w:r>
      <w:r>
        <w:rPr>
          <w:rFonts w:ascii="Aptos" w:eastAsia="宋体" w:hAnsi="Aptos"/>
          <w:noProof/>
          <w:lang w:eastAsia="en-GB"/>
        </w:rPr>
        <w:tab/>
      </w:r>
      <w:r>
        <w:rPr>
          <w:rStyle w:val="style85"/>
          <w:noProof/>
        </w:rPr>
        <w:t>Objectives</w:t>
      </w:r>
      <w:r>
        <w:rPr>
          <w:noProof/>
          <w:webHidden/>
        </w:rPr>
        <w:tab/>
      </w:r>
      <w:r>
        <w:rPr>
          <w:noProof/>
          <w:webHidden/>
        </w:rPr>
        <w:fldChar w:fldCharType="begin"/>
      </w:r>
      <w:r>
        <w:rPr>
          <w:noProof/>
          <w:webHidden/>
        </w:rPr>
        <w:instrText xml:space="preserve"> PAGEREF _Toc220305359 \h </w:instrText>
      </w:r>
      <w:r>
        <w:rPr>
          <w:noProof/>
          <w:webHidden/>
        </w:rPr>
        <w:fldChar w:fldCharType="separate"/>
      </w:r>
      <w:r>
        <w:rPr>
          <w:noProof/>
          <w:webHidden/>
        </w:rPr>
        <w:t>3</w:t>
      </w:r>
      <w:r>
        <w:rPr>
          <w:noProof/>
          <w:webHidden/>
        </w:rPr>
        <w:fldChar w:fldCharType="end"/>
      </w:r>
      <w:r>
        <w:rPr/>
        <w:fldChar w:fldCharType="end"/>
      </w:r>
    </w:p>
    <w:p>
      <w:pPr>
        <w:pStyle w:val="style20"/>
        <w:tabs>
          <w:tab w:val="left" w:leader="none" w:pos="960"/>
          <w:tab w:val="right" w:leader="dot" w:pos="9350"/>
        </w:tabs>
        <w:rPr>
          <w:rFonts w:ascii="Aptos" w:eastAsia="宋体" w:hAnsi="Aptos"/>
          <w:noProof/>
          <w:lang w:eastAsia="en-GB"/>
        </w:rPr>
      </w:pPr>
      <w:r>
        <w:rPr/>
        <w:fldChar w:fldCharType="begin"/>
      </w:r>
      <w:r>
        <w:instrText xml:space="preserve"> HYPERLINK \l "_Toc220305360" </w:instrText>
      </w:r>
      <w:r>
        <w:rPr/>
        <w:fldChar w:fldCharType="separate"/>
      </w:r>
      <w:r>
        <w:rPr>
          <w:rStyle w:val="style85"/>
          <w:noProof/>
        </w:rPr>
        <w:t>1.4</w:t>
      </w:r>
      <w:r>
        <w:rPr>
          <w:rFonts w:ascii="Aptos" w:eastAsia="宋体" w:hAnsi="Aptos"/>
          <w:noProof/>
          <w:lang w:eastAsia="en-GB"/>
        </w:rPr>
        <w:tab/>
      </w:r>
      <w:r>
        <w:rPr>
          <w:rStyle w:val="style85"/>
          <w:noProof/>
        </w:rPr>
        <w:t>Rationale and Significance</w:t>
      </w:r>
      <w:r>
        <w:rPr>
          <w:noProof/>
          <w:webHidden/>
        </w:rPr>
        <w:tab/>
      </w:r>
      <w:r>
        <w:rPr>
          <w:noProof/>
          <w:webHidden/>
        </w:rPr>
        <w:fldChar w:fldCharType="begin"/>
      </w:r>
      <w:r>
        <w:rPr>
          <w:noProof/>
          <w:webHidden/>
        </w:rPr>
        <w:instrText xml:space="preserve"> PAGEREF _Toc220305360 \h </w:instrText>
      </w:r>
      <w:r>
        <w:rPr>
          <w:noProof/>
          <w:webHidden/>
        </w:rPr>
        <w:fldChar w:fldCharType="separate"/>
      </w:r>
      <w:r>
        <w:rPr>
          <w:noProof/>
          <w:webHidden/>
        </w:rPr>
        <w:t>4</w:t>
      </w:r>
      <w:r>
        <w:rPr>
          <w:noProof/>
          <w:webHidden/>
        </w:rPr>
        <w:fldChar w:fldCharType="end"/>
      </w:r>
      <w:r>
        <w:rPr/>
        <w:fldChar w:fldCharType="end"/>
      </w:r>
    </w:p>
    <w:p>
      <w:pPr>
        <w:pStyle w:val="style20"/>
        <w:tabs>
          <w:tab w:val="left" w:leader="none" w:pos="960"/>
          <w:tab w:val="right" w:leader="dot" w:pos="9350"/>
        </w:tabs>
        <w:rPr>
          <w:rFonts w:ascii="Aptos" w:eastAsia="宋体" w:hAnsi="Aptos"/>
          <w:noProof/>
          <w:lang w:eastAsia="en-GB"/>
        </w:rPr>
      </w:pPr>
      <w:r>
        <w:rPr/>
        <w:fldChar w:fldCharType="begin"/>
      </w:r>
      <w:r>
        <w:instrText xml:space="preserve"> HYPERLINK \l "_Toc220305361" </w:instrText>
      </w:r>
      <w:r>
        <w:rPr/>
        <w:fldChar w:fldCharType="separate"/>
      </w:r>
      <w:r>
        <w:rPr>
          <w:rStyle w:val="style85"/>
          <w:noProof/>
        </w:rPr>
        <w:t>1.5</w:t>
      </w:r>
      <w:r>
        <w:rPr>
          <w:rFonts w:ascii="Aptos" w:eastAsia="宋体" w:hAnsi="Aptos"/>
          <w:noProof/>
          <w:lang w:eastAsia="en-GB"/>
        </w:rPr>
        <w:tab/>
      </w:r>
      <w:r>
        <w:rPr>
          <w:rStyle w:val="style85"/>
          <w:noProof/>
        </w:rPr>
        <w:t>Scope and Limitations</w:t>
      </w:r>
      <w:r>
        <w:rPr>
          <w:noProof/>
          <w:webHidden/>
        </w:rPr>
        <w:tab/>
      </w:r>
      <w:r>
        <w:rPr>
          <w:noProof/>
          <w:webHidden/>
        </w:rPr>
        <w:fldChar w:fldCharType="begin"/>
      </w:r>
      <w:r>
        <w:rPr>
          <w:noProof/>
          <w:webHidden/>
        </w:rPr>
        <w:instrText xml:space="preserve"> PAGEREF _Toc220305361 \h </w:instrText>
      </w:r>
      <w:r>
        <w:rPr>
          <w:noProof/>
          <w:webHidden/>
        </w:rPr>
        <w:fldChar w:fldCharType="separate"/>
      </w:r>
      <w:r>
        <w:rPr>
          <w:noProof/>
          <w:webHidden/>
        </w:rPr>
        <w:t>4</w:t>
      </w:r>
      <w:r>
        <w:rPr>
          <w:noProof/>
          <w:webHidden/>
        </w:rPr>
        <w:fldChar w:fldCharType="end"/>
      </w:r>
      <w:r>
        <w:rPr/>
        <w:fldChar w:fldCharType="end"/>
      </w:r>
    </w:p>
    <w:p>
      <w:pPr>
        <w:pStyle w:val="style20"/>
        <w:tabs>
          <w:tab w:val="left" w:leader="none" w:pos="960"/>
          <w:tab w:val="right" w:leader="dot" w:pos="9350"/>
        </w:tabs>
        <w:rPr>
          <w:rFonts w:ascii="Aptos" w:eastAsia="宋体" w:hAnsi="Aptos"/>
          <w:noProof/>
          <w:lang w:eastAsia="en-GB"/>
        </w:rPr>
      </w:pPr>
      <w:r>
        <w:rPr/>
        <w:fldChar w:fldCharType="begin"/>
      </w:r>
      <w:r>
        <w:instrText xml:space="preserve"> HYPERLINK \l "_Toc220305362" </w:instrText>
      </w:r>
      <w:r>
        <w:rPr/>
        <w:fldChar w:fldCharType="separate"/>
      </w:r>
      <w:r>
        <w:rPr>
          <w:rStyle w:val="style85"/>
          <w:noProof/>
        </w:rPr>
        <w:t>1.6</w:t>
      </w:r>
      <w:r>
        <w:rPr>
          <w:rFonts w:ascii="Aptos" w:eastAsia="宋体" w:hAnsi="Aptos"/>
          <w:noProof/>
          <w:lang w:eastAsia="en-GB"/>
        </w:rPr>
        <w:tab/>
      </w:r>
      <w:r>
        <w:rPr>
          <w:rStyle w:val="style85"/>
          <w:noProof/>
        </w:rPr>
        <w:t>Dissertation Structure</w:t>
      </w:r>
      <w:r>
        <w:rPr>
          <w:noProof/>
          <w:webHidden/>
        </w:rPr>
        <w:tab/>
      </w:r>
      <w:r>
        <w:rPr>
          <w:noProof/>
          <w:webHidden/>
        </w:rPr>
        <w:fldChar w:fldCharType="begin"/>
      </w:r>
      <w:r>
        <w:rPr>
          <w:noProof/>
          <w:webHidden/>
        </w:rPr>
        <w:instrText xml:space="preserve"> PAGEREF _Toc220305362 \h </w:instrText>
      </w:r>
      <w:r>
        <w:rPr>
          <w:noProof/>
          <w:webHidden/>
        </w:rPr>
        <w:fldChar w:fldCharType="separate"/>
      </w:r>
      <w:r>
        <w:rPr>
          <w:noProof/>
          <w:webHidden/>
        </w:rPr>
        <w:t>5</w:t>
      </w:r>
      <w:r>
        <w:rPr>
          <w:noProof/>
          <w:webHidden/>
        </w:rPr>
        <w:fldChar w:fldCharType="end"/>
      </w:r>
      <w:r>
        <w:rPr/>
        <w:fldChar w:fldCharType="end"/>
      </w:r>
    </w:p>
    <w:p>
      <w:pPr>
        <w:pStyle w:val="style19"/>
        <w:tabs>
          <w:tab w:val="left" w:leader="none" w:pos="480"/>
          <w:tab w:val="right" w:leader="dot" w:pos="9350"/>
        </w:tabs>
        <w:rPr>
          <w:rFonts w:ascii="Aptos" w:eastAsia="宋体" w:hAnsi="Aptos"/>
          <w:noProof/>
          <w:lang w:eastAsia="en-GB"/>
        </w:rPr>
      </w:pPr>
      <w:r>
        <w:rPr/>
        <w:fldChar w:fldCharType="begin"/>
      </w:r>
      <w:r>
        <w:instrText xml:space="preserve"> HYPERLINK \l "_Toc220305363" </w:instrText>
      </w:r>
      <w:r>
        <w:rPr/>
        <w:fldChar w:fldCharType="separate"/>
      </w:r>
      <w:r>
        <w:rPr>
          <w:rStyle w:val="style85"/>
          <w:noProof/>
        </w:rPr>
        <w:t>2</w:t>
      </w:r>
      <w:r>
        <w:rPr>
          <w:rFonts w:ascii="Aptos" w:eastAsia="宋体" w:hAnsi="Aptos"/>
          <w:noProof/>
          <w:lang w:eastAsia="en-GB"/>
        </w:rPr>
        <w:tab/>
      </w:r>
      <w:r>
        <w:rPr>
          <w:rStyle w:val="style85"/>
          <w:noProof/>
        </w:rPr>
        <w:t>Chapter Two: Literature Review</w:t>
      </w:r>
      <w:r>
        <w:rPr>
          <w:noProof/>
          <w:webHidden/>
        </w:rPr>
        <w:tab/>
      </w:r>
      <w:r>
        <w:rPr>
          <w:noProof/>
          <w:webHidden/>
        </w:rPr>
        <w:fldChar w:fldCharType="begin"/>
      </w:r>
      <w:r>
        <w:rPr>
          <w:noProof/>
          <w:webHidden/>
        </w:rPr>
        <w:instrText xml:space="preserve"> PAGEREF _Toc220305363 \h </w:instrText>
      </w:r>
      <w:r>
        <w:rPr>
          <w:noProof/>
          <w:webHidden/>
        </w:rPr>
        <w:fldChar w:fldCharType="separate"/>
      </w:r>
      <w:r>
        <w:rPr>
          <w:noProof/>
          <w:webHidden/>
        </w:rPr>
        <w:t>6</w:t>
      </w:r>
      <w:r>
        <w:rPr>
          <w:noProof/>
          <w:webHidden/>
        </w:rPr>
        <w:fldChar w:fldCharType="end"/>
      </w:r>
      <w:r>
        <w:rPr/>
        <w:fldChar w:fldCharType="end"/>
      </w:r>
    </w:p>
    <w:p>
      <w:pPr>
        <w:pStyle w:val="style20"/>
        <w:tabs>
          <w:tab w:val="left" w:leader="none" w:pos="960"/>
          <w:tab w:val="right" w:leader="dot" w:pos="9350"/>
        </w:tabs>
        <w:rPr>
          <w:rFonts w:ascii="Aptos" w:eastAsia="宋体" w:hAnsi="Aptos"/>
          <w:noProof/>
          <w:lang w:eastAsia="en-GB"/>
        </w:rPr>
      </w:pPr>
      <w:r>
        <w:rPr/>
        <w:fldChar w:fldCharType="begin"/>
      </w:r>
      <w:r>
        <w:instrText xml:space="preserve"> HYPERLINK \l "_Toc220305364" </w:instrText>
      </w:r>
      <w:r>
        <w:rPr/>
        <w:fldChar w:fldCharType="separate"/>
      </w:r>
      <w:r>
        <w:rPr>
          <w:rStyle w:val="style85"/>
          <w:noProof/>
        </w:rPr>
        <w:t>2.1</w:t>
      </w:r>
      <w:r>
        <w:rPr>
          <w:rFonts w:ascii="Aptos" w:eastAsia="宋体" w:hAnsi="Aptos"/>
          <w:noProof/>
          <w:lang w:eastAsia="en-GB"/>
        </w:rPr>
        <w:tab/>
      </w:r>
      <w:r>
        <w:rPr>
          <w:rStyle w:val="style85"/>
          <w:noProof/>
        </w:rPr>
        <w:t>Introduction</w:t>
      </w:r>
      <w:r>
        <w:rPr>
          <w:noProof/>
          <w:webHidden/>
        </w:rPr>
        <w:tab/>
      </w:r>
      <w:r>
        <w:rPr>
          <w:noProof/>
          <w:webHidden/>
        </w:rPr>
        <w:fldChar w:fldCharType="begin"/>
      </w:r>
      <w:r>
        <w:rPr>
          <w:noProof/>
          <w:webHidden/>
        </w:rPr>
        <w:instrText xml:space="preserve"> PAGEREF _Toc220305364 \h </w:instrText>
      </w:r>
      <w:r>
        <w:rPr>
          <w:noProof/>
          <w:webHidden/>
        </w:rPr>
        <w:fldChar w:fldCharType="separate"/>
      </w:r>
      <w:r>
        <w:rPr>
          <w:noProof/>
          <w:webHidden/>
        </w:rPr>
        <w:t>6</w:t>
      </w:r>
      <w:r>
        <w:rPr>
          <w:noProof/>
          <w:webHidden/>
        </w:rPr>
        <w:fldChar w:fldCharType="end"/>
      </w:r>
      <w:r>
        <w:rPr/>
        <w:fldChar w:fldCharType="end"/>
      </w:r>
    </w:p>
    <w:p>
      <w:pPr>
        <w:pStyle w:val="style20"/>
        <w:tabs>
          <w:tab w:val="left" w:leader="none" w:pos="960"/>
          <w:tab w:val="right" w:leader="dot" w:pos="9350"/>
        </w:tabs>
        <w:rPr>
          <w:rFonts w:ascii="Aptos" w:eastAsia="宋体" w:hAnsi="Aptos"/>
          <w:noProof/>
          <w:lang w:eastAsia="en-GB"/>
        </w:rPr>
      </w:pPr>
      <w:r>
        <w:rPr/>
        <w:fldChar w:fldCharType="begin"/>
      </w:r>
      <w:r>
        <w:instrText xml:space="preserve"> HYPERLINK \l "_Toc220305365" </w:instrText>
      </w:r>
      <w:r>
        <w:rPr/>
        <w:fldChar w:fldCharType="separate"/>
      </w:r>
      <w:r>
        <w:rPr>
          <w:rStyle w:val="style85"/>
          <w:noProof/>
        </w:rPr>
        <w:t>2.2</w:t>
      </w:r>
      <w:r>
        <w:rPr>
          <w:rFonts w:ascii="Aptos" w:eastAsia="宋体" w:hAnsi="Aptos"/>
          <w:noProof/>
          <w:lang w:eastAsia="en-GB"/>
        </w:rPr>
        <w:tab/>
      </w:r>
      <w:r>
        <w:rPr>
          <w:rStyle w:val="style85"/>
          <w:noProof/>
        </w:rPr>
        <w:t>Global Trade Transformations and Pressures on MNEs</w:t>
      </w:r>
      <w:r>
        <w:rPr>
          <w:noProof/>
          <w:webHidden/>
        </w:rPr>
        <w:tab/>
      </w:r>
      <w:r>
        <w:rPr>
          <w:noProof/>
          <w:webHidden/>
        </w:rPr>
        <w:fldChar w:fldCharType="begin"/>
      </w:r>
      <w:r>
        <w:rPr>
          <w:noProof/>
          <w:webHidden/>
        </w:rPr>
        <w:instrText xml:space="preserve"> PAGEREF _Toc220305365 \h </w:instrText>
      </w:r>
      <w:r>
        <w:rPr>
          <w:noProof/>
          <w:webHidden/>
        </w:rPr>
        <w:fldChar w:fldCharType="separate"/>
      </w:r>
      <w:r>
        <w:rPr>
          <w:noProof/>
          <w:webHidden/>
        </w:rPr>
        <w:t>6</w:t>
      </w:r>
      <w:r>
        <w:rPr>
          <w:noProof/>
          <w:webHidden/>
        </w:rPr>
        <w:fldChar w:fldCharType="end"/>
      </w:r>
      <w:r>
        <w:rPr/>
        <w:fldChar w:fldCharType="end"/>
      </w:r>
    </w:p>
    <w:p>
      <w:pPr>
        <w:pStyle w:val="style20"/>
        <w:tabs>
          <w:tab w:val="left" w:leader="none" w:pos="960"/>
          <w:tab w:val="right" w:leader="dot" w:pos="9350"/>
        </w:tabs>
        <w:rPr>
          <w:rFonts w:ascii="Aptos" w:eastAsia="宋体" w:hAnsi="Aptos"/>
          <w:noProof/>
          <w:lang w:eastAsia="en-GB"/>
        </w:rPr>
      </w:pPr>
      <w:r>
        <w:rPr/>
        <w:fldChar w:fldCharType="begin"/>
      </w:r>
      <w:r>
        <w:instrText xml:space="preserve"> HYPERLINK \l "_Toc220305366" </w:instrText>
      </w:r>
      <w:r>
        <w:rPr/>
        <w:fldChar w:fldCharType="separate"/>
      </w:r>
      <w:r>
        <w:rPr>
          <w:rStyle w:val="style85"/>
          <w:noProof/>
        </w:rPr>
        <w:t>2.3</w:t>
      </w:r>
      <w:r>
        <w:rPr>
          <w:rFonts w:ascii="Aptos" w:eastAsia="宋体" w:hAnsi="Aptos"/>
          <w:noProof/>
          <w:lang w:eastAsia="en-GB"/>
        </w:rPr>
        <w:tab/>
      </w:r>
      <w:r>
        <w:rPr>
          <w:rStyle w:val="style85"/>
          <w:noProof/>
        </w:rPr>
        <w:t>Strategic Reframing of Supply Chain Models</w:t>
      </w:r>
      <w:r>
        <w:rPr>
          <w:noProof/>
          <w:webHidden/>
        </w:rPr>
        <w:tab/>
      </w:r>
      <w:r>
        <w:rPr>
          <w:noProof/>
          <w:webHidden/>
        </w:rPr>
        <w:fldChar w:fldCharType="begin"/>
      </w:r>
      <w:r>
        <w:rPr>
          <w:noProof/>
          <w:webHidden/>
        </w:rPr>
        <w:instrText xml:space="preserve"> PAGEREF _Toc220305366 \h </w:instrText>
      </w:r>
      <w:r>
        <w:rPr>
          <w:noProof/>
          <w:webHidden/>
        </w:rPr>
        <w:fldChar w:fldCharType="separate"/>
      </w:r>
      <w:r>
        <w:rPr>
          <w:noProof/>
          <w:webHidden/>
        </w:rPr>
        <w:t>9</w:t>
      </w:r>
      <w:r>
        <w:rPr>
          <w:noProof/>
          <w:webHidden/>
        </w:rPr>
        <w:fldChar w:fldCharType="end"/>
      </w:r>
      <w:r>
        <w:rPr/>
        <w:fldChar w:fldCharType="end"/>
      </w:r>
    </w:p>
    <w:p>
      <w:pPr>
        <w:pStyle w:val="style20"/>
        <w:tabs>
          <w:tab w:val="left" w:leader="none" w:pos="960"/>
          <w:tab w:val="right" w:leader="dot" w:pos="9350"/>
        </w:tabs>
        <w:rPr>
          <w:rFonts w:ascii="Aptos" w:eastAsia="宋体" w:hAnsi="Aptos"/>
          <w:noProof/>
          <w:lang w:eastAsia="en-GB"/>
        </w:rPr>
      </w:pPr>
      <w:r>
        <w:rPr/>
        <w:fldChar w:fldCharType="begin"/>
      </w:r>
      <w:r>
        <w:instrText xml:space="preserve"> HYPERLINK \l "_Toc220305367" </w:instrText>
      </w:r>
      <w:r>
        <w:rPr/>
        <w:fldChar w:fldCharType="separate"/>
      </w:r>
      <w:r>
        <w:rPr>
          <w:rStyle w:val="style85"/>
          <w:noProof/>
        </w:rPr>
        <w:t>2.4</w:t>
      </w:r>
      <w:r>
        <w:rPr>
          <w:rFonts w:ascii="Aptos" w:eastAsia="宋体" w:hAnsi="Aptos"/>
          <w:noProof/>
          <w:lang w:eastAsia="en-GB"/>
        </w:rPr>
        <w:tab/>
      </w:r>
      <w:r>
        <w:rPr>
          <w:rStyle w:val="style85"/>
          <w:noProof/>
        </w:rPr>
        <w:t>Organisational Sensemaking and Strategic Narratives</w:t>
      </w:r>
      <w:r>
        <w:rPr>
          <w:noProof/>
          <w:webHidden/>
        </w:rPr>
        <w:tab/>
      </w:r>
      <w:r>
        <w:rPr>
          <w:noProof/>
          <w:webHidden/>
        </w:rPr>
        <w:fldChar w:fldCharType="begin"/>
      </w:r>
      <w:r>
        <w:rPr>
          <w:noProof/>
          <w:webHidden/>
        </w:rPr>
        <w:instrText xml:space="preserve"> PAGEREF _Toc220305367 \h </w:instrText>
      </w:r>
      <w:r>
        <w:rPr>
          <w:noProof/>
          <w:webHidden/>
        </w:rPr>
        <w:fldChar w:fldCharType="separate"/>
      </w:r>
      <w:r>
        <w:rPr>
          <w:noProof/>
          <w:webHidden/>
        </w:rPr>
        <w:t>12</w:t>
      </w:r>
      <w:r>
        <w:rPr>
          <w:noProof/>
          <w:webHidden/>
        </w:rPr>
        <w:fldChar w:fldCharType="end"/>
      </w:r>
      <w:r>
        <w:rPr/>
        <w:fldChar w:fldCharType="end"/>
      </w:r>
    </w:p>
    <w:p>
      <w:pPr>
        <w:pStyle w:val="style20"/>
        <w:tabs>
          <w:tab w:val="left" w:leader="none" w:pos="960"/>
          <w:tab w:val="right" w:leader="dot" w:pos="9350"/>
        </w:tabs>
        <w:rPr>
          <w:rFonts w:ascii="Aptos" w:eastAsia="宋体" w:hAnsi="Aptos"/>
          <w:noProof/>
          <w:lang w:eastAsia="en-GB"/>
        </w:rPr>
      </w:pPr>
      <w:r>
        <w:rPr/>
        <w:fldChar w:fldCharType="begin"/>
      </w:r>
      <w:r>
        <w:instrText xml:space="preserve"> HYPERLINK \l "_Toc220305368" </w:instrText>
      </w:r>
      <w:r>
        <w:rPr/>
        <w:fldChar w:fldCharType="separate"/>
      </w:r>
      <w:r>
        <w:rPr>
          <w:rStyle w:val="style85"/>
          <w:noProof/>
        </w:rPr>
        <w:t>2.5</w:t>
      </w:r>
      <w:r>
        <w:rPr>
          <w:rFonts w:ascii="Aptos" w:eastAsia="宋体" w:hAnsi="Aptos"/>
          <w:noProof/>
          <w:lang w:eastAsia="en-GB"/>
        </w:rPr>
        <w:tab/>
      </w:r>
      <w:r>
        <w:rPr>
          <w:rStyle w:val="style85"/>
          <w:noProof/>
        </w:rPr>
        <w:t>Dynamic Capabilities, Strategic Agility, and Managerial Priorities</w:t>
      </w:r>
      <w:r>
        <w:rPr>
          <w:noProof/>
          <w:webHidden/>
        </w:rPr>
        <w:tab/>
      </w:r>
      <w:r>
        <w:rPr>
          <w:noProof/>
          <w:webHidden/>
        </w:rPr>
        <w:fldChar w:fldCharType="begin"/>
      </w:r>
      <w:r>
        <w:rPr>
          <w:noProof/>
          <w:webHidden/>
        </w:rPr>
        <w:instrText xml:space="preserve"> PAGEREF _Toc220305368 \h </w:instrText>
      </w:r>
      <w:r>
        <w:rPr>
          <w:noProof/>
          <w:webHidden/>
        </w:rPr>
        <w:fldChar w:fldCharType="separate"/>
      </w:r>
      <w:r>
        <w:rPr>
          <w:noProof/>
          <w:webHidden/>
        </w:rPr>
        <w:t>15</w:t>
      </w:r>
      <w:r>
        <w:rPr>
          <w:noProof/>
          <w:webHidden/>
        </w:rPr>
        <w:fldChar w:fldCharType="end"/>
      </w:r>
      <w:r>
        <w:rPr/>
        <w:fldChar w:fldCharType="end"/>
      </w:r>
    </w:p>
    <w:p>
      <w:pPr>
        <w:pStyle w:val="style20"/>
        <w:tabs>
          <w:tab w:val="left" w:leader="none" w:pos="960"/>
          <w:tab w:val="right" w:leader="dot" w:pos="9350"/>
        </w:tabs>
        <w:rPr>
          <w:rFonts w:ascii="Aptos" w:eastAsia="宋体" w:hAnsi="Aptos"/>
          <w:noProof/>
          <w:lang w:eastAsia="en-GB"/>
        </w:rPr>
      </w:pPr>
      <w:r>
        <w:rPr/>
        <w:fldChar w:fldCharType="begin"/>
      </w:r>
      <w:r>
        <w:instrText xml:space="preserve"> HYPERLINK \l "_Toc220305369" </w:instrText>
      </w:r>
      <w:r>
        <w:rPr/>
        <w:fldChar w:fldCharType="separate"/>
      </w:r>
      <w:r>
        <w:rPr>
          <w:rStyle w:val="style85"/>
          <w:noProof/>
        </w:rPr>
        <w:t>2.6</w:t>
      </w:r>
      <w:r>
        <w:rPr>
          <w:rFonts w:ascii="Aptos" w:eastAsia="宋体" w:hAnsi="Aptos"/>
          <w:noProof/>
          <w:lang w:eastAsia="en-GB"/>
        </w:rPr>
        <w:tab/>
      </w:r>
      <w:r>
        <w:rPr>
          <w:rStyle w:val="style85"/>
          <w:noProof/>
        </w:rPr>
        <w:t>MNE Responses and Emerging Themes of Adaptation</w:t>
      </w:r>
      <w:r>
        <w:rPr>
          <w:noProof/>
          <w:webHidden/>
        </w:rPr>
        <w:tab/>
      </w:r>
      <w:r>
        <w:rPr>
          <w:noProof/>
          <w:webHidden/>
        </w:rPr>
        <w:fldChar w:fldCharType="begin"/>
      </w:r>
      <w:r>
        <w:rPr>
          <w:noProof/>
          <w:webHidden/>
        </w:rPr>
        <w:instrText xml:space="preserve"> PAGEREF _Toc220305369 \h </w:instrText>
      </w:r>
      <w:r>
        <w:rPr>
          <w:noProof/>
          <w:webHidden/>
        </w:rPr>
        <w:fldChar w:fldCharType="separate"/>
      </w:r>
      <w:r>
        <w:rPr>
          <w:noProof/>
          <w:webHidden/>
        </w:rPr>
        <w:t>17</w:t>
      </w:r>
      <w:r>
        <w:rPr>
          <w:noProof/>
          <w:webHidden/>
        </w:rPr>
        <w:fldChar w:fldCharType="end"/>
      </w:r>
      <w:r>
        <w:rPr/>
        <w:fldChar w:fldCharType="end"/>
      </w:r>
    </w:p>
    <w:p>
      <w:pPr>
        <w:pStyle w:val="style20"/>
        <w:tabs>
          <w:tab w:val="left" w:leader="none" w:pos="960"/>
          <w:tab w:val="right" w:leader="dot" w:pos="9350"/>
        </w:tabs>
        <w:rPr>
          <w:rFonts w:ascii="Aptos" w:eastAsia="宋体" w:hAnsi="Aptos"/>
          <w:noProof/>
          <w:lang w:eastAsia="en-GB"/>
        </w:rPr>
      </w:pPr>
      <w:r>
        <w:rPr/>
        <w:fldChar w:fldCharType="begin"/>
      </w:r>
      <w:r>
        <w:instrText xml:space="preserve"> HYPERLINK \l "_Toc220305370" </w:instrText>
      </w:r>
      <w:r>
        <w:rPr/>
        <w:fldChar w:fldCharType="separate"/>
      </w:r>
      <w:r>
        <w:rPr>
          <w:rStyle w:val="style85"/>
          <w:noProof/>
        </w:rPr>
        <w:t>2.7</w:t>
      </w:r>
      <w:r>
        <w:rPr>
          <w:rFonts w:ascii="Aptos" w:eastAsia="宋体" w:hAnsi="Aptos"/>
          <w:noProof/>
          <w:lang w:eastAsia="en-GB"/>
        </w:rPr>
        <w:tab/>
      </w:r>
      <w:r>
        <w:rPr>
          <w:rStyle w:val="style85"/>
          <w:noProof/>
        </w:rPr>
        <w:t>Theoretical Framework</w:t>
      </w:r>
      <w:r>
        <w:rPr>
          <w:noProof/>
          <w:webHidden/>
        </w:rPr>
        <w:tab/>
      </w:r>
      <w:r>
        <w:rPr>
          <w:noProof/>
          <w:webHidden/>
        </w:rPr>
        <w:fldChar w:fldCharType="begin"/>
      </w:r>
      <w:r>
        <w:rPr>
          <w:noProof/>
          <w:webHidden/>
        </w:rPr>
        <w:instrText xml:space="preserve"> PAGEREF _Toc220305370 \h </w:instrText>
      </w:r>
      <w:r>
        <w:rPr>
          <w:noProof/>
          <w:webHidden/>
        </w:rPr>
        <w:fldChar w:fldCharType="separate"/>
      </w:r>
      <w:r>
        <w:rPr>
          <w:noProof/>
          <w:webHidden/>
        </w:rPr>
        <w:t>20</w:t>
      </w:r>
      <w:r>
        <w:rPr>
          <w:noProof/>
          <w:webHidden/>
        </w:rPr>
        <w:fldChar w:fldCharType="end"/>
      </w:r>
      <w:r>
        <w:rPr/>
        <w:fldChar w:fldCharType="end"/>
      </w:r>
    </w:p>
    <w:p>
      <w:pPr>
        <w:pStyle w:val="style20"/>
        <w:tabs>
          <w:tab w:val="left" w:leader="none" w:pos="960"/>
          <w:tab w:val="right" w:leader="dot" w:pos="9350"/>
        </w:tabs>
        <w:rPr>
          <w:rFonts w:ascii="Aptos" w:eastAsia="宋体" w:hAnsi="Aptos"/>
          <w:noProof/>
          <w:lang w:eastAsia="en-GB"/>
        </w:rPr>
      </w:pPr>
      <w:r>
        <w:rPr/>
        <w:fldChar w:fldCharType="begin"/>
      </w:r>
      <w:r>
        <w:instrText xml:space="preserve"> HYPERLINK \l "_Toc220305371" </w:instrText>
      </w:r>
      <w:r>
        <w:rPr/>
        <w:fldChar w:fldCharType="separate"/>
      </w:r>
      <w:r>
        <w:rPr>
          <w:rStyle w:val="style85"/>
          <w:noProof/>
        </w:rPr>
        <w:t>2.8</w:t>
      </w:r>
      <w:r>
        <w:rPr>
          <w:rFonts w:ascii="Aptos" w:eastAsia="宋体" w:hAnsi="Aptos"/>
          <w:noProof/>
          <w:lang w:eastAsia="en-GB"/>
        </w:rPr>
        <w:tab/>
      </w:r>
      <w:r>
        <w:rPr>
          <w:rStyle w:val="style85"/>
          <w:noProof/>
        </w:rPr>
        <w:t>Sector-Specific Context: Supply Chain Characteristics in the High-Tech and Semiconductor Sector</w:t>
      </w:r>
      <w:r>
        <w:rPr>
          <w:noProof/>
          <w:webHidden/>
        </w:rPr>
        <w:tab/>
      </w:r>
      <w:r>
        <w:rPr>
          <w:noProof/>
          <w:webHidden/>
        </w:rPr>
        <w:fldChar w:fldCharType="begin"/>
      </w:r>
      <w:r>
        <w:rPr>
          <w:noProof/>
          <w:webHidden/>
        </w:rPr>
        <w:instrText xml:space="preserve"> PAGEREF _Toc220305371 \h </w:instrText>
      </w:r>
      <w:r>
        <w:rPr>
          <w:noProof/>
          <w:webHidden/>
        </w:rPr>
        <w:fldChar w:fldCharType="separate"/>
      </w:r>
      <w:r>
        <w:rPr>
          <w:noProof/>
          <w:webHidden/>
        </w:rPr>
        <w:t>21</w:t>
      </w:r>
      <w:r>
        <w:rPr>
          <w:noProof/>
          <w:webHidden/>
        </w:rPr>
        <w:fldChar w:fldCharType="end"/>
      </w:r>
      <w:r>
        <w:rPr/>
        <w:fldChar w:fldCharType="end"/>
      </w:r>
    </w:p>
    <w:p>
      <w:pPr>
        <w:pStyle w:val="style20"/>
        <w:tabs>
          <w:tab w:val="left" w:leader="none" w:pos="960"/>
          <w:tab w:val="right" w:leader="dot" w:pos="9350"/>
        </w:tabs>
        <w:rPr>
          <w:rFonts w:ascii="Aptos" w:eastAsia="宋体" w:hAnsi="Aptos"/>
          <w:noProof/>
          <w:lang w:eastAsia="en-GB"/>
        </w:rPr>
      </w:pPr>
      <w:r>
        <w:rPr/>
        <w:fldChar w:fldCharType="begin"/>
      </w:r>
      <w:r>
        <w:instrText xml:space="preserve"> HYPERLINK \l "_Toc220305372" </w:instrText>
      </w:r>
      <w:r>
        <w:rPr/>
        <w:fldChar w:fldCharType="separate"/>
      </w:r>
      <w:r>
        <w:rPr>
          <w:rStyle w:val="style85"/>
          <w:noProof/>
        </w:rPr>
        <w:t>2.9</w:t>
      </w:r>
      <w:r>
        <w:rPr>
          <w:rFonts w:ascii="Aptos" w:eastAsia="宋体" w:hAnsi="Aptos"/>
          <w:noProof/>
          <w:lang w:eastAsia="en-GB"/>
        </w:rPr>
        <w:tab/>
      </w:r>
      <w:r>
        <w:rPr>
          <w:rStyle w:val="style85"/>
          <w:noProof/>
        </w:rPr>
        <w:t>Selection of Companies Within the Same Sector</w:t>
      </w:r>
      <w:r>
        <w:rPr>
          <w:noProof/>
          <w:webHidden/>
        </w:rPr>
        <w:tab/>
      </w:r>
      <w:r>
        <w:rPr>
          <w:noProof/>
          <w:webHidden/>
        </w:rPr>
        <w:fldChar w:fldCharType="begin"/>
      </w:r>
      <w:r>
        <w:rPr>
          <w:noProof/>
          <w:webHidden/>
        </w:rPr>
        <w:instrText xml:space="preserve"> PAGEREF _Toc220305372 \h </w:instrText>
      </w:r>
      <w:r>
        <w:rPr>
          <w:noProof/>
          <w:webHidden/>
        </w:rPr>
        <w:fldChar w:fldCharType="separate"/>
      </w:r>
      <w:r>
        <w:rPr>
          <w:noProof/>
          <w:webHidden/>
        </w:rPr>
        <w:t>21</w:t>
      </w:r>
      <w:r>
        <w:rPr>
          <w:noProof/>
          <w:webHidden/>
        </w:rPr>
        <w:fldChar w:fldCharType="end"/>
      </w:r>
      <w:r>
        <w:rPr/>
        <w:fldChar w:fldCharType="end"/>
      </w:r>
    </w:p>
    <w:p>
      <w:pPr>
        <w:pStyle w:val="style20"/>
        <w:tabs>
          <w:tab w:val="left" w:leader="none" w:pos="960"/>
          <w:tab w:val="right" w:leader="dot" w:pos="9350"/>
        </w:tabs>
        <w:rPr>
          <w:rFonts w:ascii="Aptos" w:eastAsia="宋体" w:hAnsi="Aptos"/>
          <w:noProof/>
          <w:lang w:eastAsia="en-GB"/>
        </w:rPr>
      </w:pPr>
      <w:r>
        <w:rPr/>
        <w:fldChar w:fldCharType="begin"/>
      </w:r>
      <w:r>
        <w:instrText xml:space="preserve"> HYPERLINK \l "_Toc220305373" </w:instrText>
      </w:r>
      <w:r>
        <w:rPr/>
        <w:fldChar w:fldCharType="separate"/>
      </w:r>
      <w:r>
        <w:rPr>
          <w:rStyle w:val="style85"/>
          <w:noProof/>
        </w:rPr>
        <w:t>2.10</w:t>
      </w:r>
      <w:r>
        <w:rPr>
          <w:rFonts w:ascii="Aptos" w:eastAsia="宋体" w:hAnsi="Aptos"/>
          <w:noProof/>
          <w:lang w:eastAsia="en-GB"/>
        </w:rPr>
        <w:tab/>
      </w:r>
      <w:r>
        <w:rPr>
          <w:rStyle w:val="style85"/>
          <w:noProof/>
        </w:rPr>
        <w:t>Research Gap</w:t>
      </w:r>
      <w:r>
        <w:rPr>
          <w:noProof/>
          <w:webHidden/>
        </w:rPr>
        <w:tab/>
      </w:r>
      <w:r>
        <w:rPr>
          <w:noProof/>
          <w:webHidden/>
        </w:rPr>
        <w:fldChar w:fldCharType="begin"/>
      </w:r>
      <w:r>
        <w:rPr>
          <w:noProof/>
          <w:webHidden/>
        </w:rPr>
        <w:instrText xml:space="preserve"> PAGEREF _Toc220305373 \h </w:instrText>
      </w:r>
      <w:r>
        <w:rPr>
          <w:noProof/>
          <w:webHidden/>
        </w:rPr>
        <w:fldChar w:fldCharType="separate"/>
      </w:r>
      <w:r>
        <w:rPr>
          <w:noProof/>
          <w:webHidden/>
        </w:rPr>
        <w:t>22</w:t>
      </w:r>
      <w:r>
        <w:rPr>
          <w:noProof/>
          <w:webHidden/>
        </w:rPr>
        <w:fldChar w:fldCharType="end"/>
      </w:r>
      <w:r>
        <w:rPr/>
        <w:fldChar w:fldCharType="end"/>
      </w:r>
    </w:p>
    <w:p>
      <w:pPr>
        <w:pStyle w:val="style20"/>
        <w:tabs>
          <w:tab w:val="left" w:leader="none" w:pos="960"/>
          <w:tab w:val="right" w:leader="dot" w:pos="9350"/>
        </w:tabs>
        <w:rPr>
          <w:rFonts w:ascii="Aptos" w:eastAsia="宋体" w:hAnsi="Aptos"/>
          <w:noProof/>
          <w:lang w:eastAsia="en-GB"/>
        </w:rPr>
      </w:pPr>
      <w:r>
        <w:rPr/>
        <w:fldChar w:fldCharType="begin"/>
      </w:r>
      <w:r>
        <w:instrText xml:space="preserve"> HYPERLINK \l "_Toc220305374" </w:instrText>
      </w:r>
      <w:r>
        <w:rPr/>
        <w:fldChar w:fldCharType="separate"/>
      </w:r>
      <w:r>
        <w:rPr>
          <w:rStyle w:val="style85"/>
          <w:noProof/>
        </w:rPr>
        <w:t>2.11</w:t>
      </w:r>
      <w:r>
        <w:rPr>
          <w:rFonts w:ascii="Aptos" w:eastAsia="宋体" w:hAnsi="Aptos"/>
          <w:noProof/>
          <w:lang w:eastAsia="en-GB"/>
        </w:rPr>
        <w:tab/>
      </w:r>
      <w:r>
        <w:rPr>
          <w:rStyle w:val="style85"/>
          <w:noProof/>
        </w:rPr>
        <w:t>Conclusion</w:t>
      </w:r>
      <w:r>
        <w:rPr>
          <w:noProof/>
          <w:webHidden/>
        </w:rPr>
        <w:tab/>
      </w:r>
      <w:r>
        <w:rPr>
          <w:noProof/>
          <w:webHidden/>
        </w:rPr>
        <w:fldChar w:fldCharType="begin"/>
      </w:r>
      <w:r>
        <w:rPr>
          <w:noProof/>
          <w:webHidden/>
        </w:rPr>
        <w:instrText xml:space="preserve"> PAGEREF _Toc220305374 \h </w:instrText>
      </w:r>
      <w:r>
        <w:rPr>
          <w:noProof/>
          <w:webHidden/>
        </w:rPr>
        <w:fldChar w:fldCharType="separate"/>
      </w:r>
      <w:r>
        <w:rPr>
          <w:noProof/>
          <w:webHidden/>
        </w:rPr>
        <w:t>22</w:t>
      </w:r>
      <w:r>
        <w:rPr>
          <w:noProof/>
          <w:webHidden/>
        </w:rPr>
        <w:fldChar w:fldCharType="end"/>
      </w:r>
      <w:r>
        <w:rPr/>
        <w:fldChar w:fldCharType="end"/>
      </w:r>
    </w:p>
    <w:p>
      <w:pPr>
        <w:pStyle w:val="style19"/>
        <w:tabs>
          <w:tab w:val="left" w:leader="none" w:pos="480"/>
          <w:tab w:val="right" w:leader="dot" w:pos="9350"/>
        </w:tabs>
        <w:rPr>
          <w:rFonts w:ascii="Aptos" w:eastAsia="宋体" w:hAnsi="Aptos"/>
          <w:noProof/>
          <w:lang w:eastAsia="en-GB"/>
        </w:rPr>
      </w:pPr>
      <w:r>
        <w:rPr/>
        <w:fldChar w:fldCharType="begin"/>
      </w:r>
      <w:r>
        <w:instrText xml:space="preserve"> HYPERLINK \l "_Toc220305375" </w:instrText>
      </w:r>
      <w:r>
        <w:rPr/>
        <w:fldChar w:fldCharType="separate"/>
      </w:r>
      <w:r>
        <w:rPr>
          <w:rStyle w:val="style85"/>
          <w:noProof/>
        </w:rPr>
        <w:t>3</w:t>
      </w:r>
      <w:r>
        <w:rPr>
          <w:rFonts w:ascii="Aptos" w:eastAsia="宋体" w:hAnsi="Aptos"/>
          <w:noProof/>
          <w:lang w:eastAsia="en-GB"/>
        </w:rPr>
        <w:tab/>
      </w:r>
      <w:r>
        <w:rPr>
          <w:rStyle w:val="style85"/>
          <w:noProof/>
        </w:rPr>
        <w:t>Chapter Three: Methodology</w:t>
      </w:r>
      <w:r>
        <w:rPr>
          <w:noProof/>
          <w:webHidden/>
        </w:rPr>
        <w:tab/>
      </w:r>
      <w:r>
        <w:rPr>
          <w:noProof/>
          <w:webHidden/>
        </w:rPr>
        <w:fldChar w:fldCharType="begin"/>
      </w:r>
      <w:r>
        <w:rPr>
          <w:noProof/>
          <w:webHidden/>
        </w:rPr>
        <w:instrText xml:space="preserve"> PAGEREF _Toc220305375 \h </w:instrText>
      </w:r>
      <w:r>
        <w:rPr>
          <w:noProof/>
          <w:webHidden/>
        </w:rPr>
        <w:fldChar w:fldCharType="separate"/>
      </w:r>
      <w:r>
        <w:rPr>
          <w:noProof/>
          <w:webHidden/>
        </w:rPr>
        <w:t>23</w:t>
      </w:r>
      <w:r>
        <w:rPr>
          <w:noProof/>
          <w:webHidden/>
        </w:rPr>
        <w:fldChar w:fldCharType="end"/>
      </w:r>
      <w:r>
        <w:rPr/>
        <w:fldChar w:fldCharType="end"/>
      </w:r>
    </w:p>
    <w:p>
      <w:pPr>
        <w:pStyle w:val="style20"/>
        <w:tabs>
          <w:tab w:val="left" w:leader="none" w:pos="960"/>
          <w:tab w:val="right" w:leader="dot" w:pos="9350"/>
        </w:tabs>
        <w:rPr>
          <w:rFonts w:ascii="Aptos" w:eastAsia="宋体" w:hAnsi="Aptos"/>
          <w:noProof/>
          <w:lang w:eastAsia="en-GB"/>
        </w:rPr>
      </w:pPr>
      <w:r>
        <w:rPr/>
        <w:fldChar w:fldCharType="begin"/>
      </w:r>
      <w:r>
        <w:instrText xml:space="preserve"> HYPERLINK \l "_Toc220305376" </w:instrText>
      </w:r>
      <w:r>
        <w:rPr/>
        <w:fldChar w:fldCharType="separate"/>
      </w:r>
      <w:r>
        <w:rPr>
          <w:rStyle w:val="style85"/>
          <w:noProof/>
        </w:rPr>
        <w:t>3.1</w:t>
      </w:r>
      <w:r>
        <w:rPr>
          <w:rFonts w:ascii="Aptos" w:eastAsia="宋体" w:hAnsi="Aptos"/>
          <w:noProof/>
          <w:lang w:eastAsia="en-GB"/>
        </w:rPr>
        <w:tab/>
      </w:r>
      <w:r>
        <w:rPr>
          <w:rStyle w:val="style85"/>
          <w:noProof/>
        </w:rPr>
        <w:t>Introduction</w:t>
      </w:r>
      <w:r>
        <w:rPr>
          <w:noProof/>
          <w:webHidden/>
        </w:rPr>
        <w:tab/>
      </w:r>
      <w:r>
        <w:rPr>
          <w:noProof/>
          <w:webHidden/>
        </w:rPr>
        <w:fldChar w:fldCharType="begin"/>
      </w:r>
      <w:r>
        <w:rPr>
          <w:noProof/>
          <w:webHidden/>
        </w:rPr>
        <w:instrText xml:space="preserve"> PAGEREF _Toc220305376 \h </w:instrText>
      </w:r>
      <w:r>
        <w:rPr>
          <w:noProof/>
          <w:webHidden/>
        </w:rPr>
        <w:fldChar w:fldCharType="separate"/>
      </w:r>
      <w:r>
        <w:rPr>
          <w:noProof/>
          <w:webHidden/>
        </w:rPr>
        <w:t>23</w:t>
      </w:r>
      <w:r>
        <w:rPr>
          <w:noProof/>
          <w:webHidden/>
        </w:rPr>
        <w:fldChar w:fldCharType="end"/>
      </w:r>
      <w:r>
        <w:rPr/>
        <w:fldChar w:fldCharType="end"/>
      </w:r>
    </w:p>
    <w:p>
      <w:pPr>
        <w:pStyle w:val="style20"/>
        <w:tabs>
          <w:tab w:val="left" w:leader="none" w:pos="960"/>
          <w:tab w:val="right" w:leader="dot" w:pos="9350"/>
        </w:tabs>
        <w:rPr>
          <w:rFonts w:ascii="Aptos" w:eastAsia="宋体" w:hAnsi="Aptos"/>
          <w:noProof/>
          <w:lang w:eastAsia="en-GB"/>
        </w:rPr>
      </w:pPr>
      <w:r>
        <w:rPr/>
        <w:fldChar w:fldCharType="begin"/>
      </w:r>
      <w:r>
        <w:instrText xml:space="preserve"> HYPERLINK \l "_Toc220305377" </w:instrText>
      </w:r>
      <w:r>
        <w:rPr/>
        <w:fldChar w:fldCharType="separate"/>
      </w:r>
      <w:r>
        <w:rPr>
          <w:rStyle w:val="style85"/>
          <w:noProof/>
        </w:rPr>
        <w:t>3.2</w:t>
      </w:r>
      <w:r>
        <w:rPr>
          <w:rFonts w:ascii="Aptos" w:eastAsia="宋体" w:hAnsi="Aptos"/>
          <w:noProof/>
          <w:lang w:eastAsia="en-GB"/>
        </w:rPr>
        <w:tab/>
      </w:r>
      <w:r>
        <w:rPr>
          <w:rStyle w:val="style85"/>
          <w:noProof/>
        </w:rPr>
        <w:t>Research Design and Approach</w:t>
      </w:r>
      <w:r>
        <w:rPr>
          <w:noProof/>
          <w:webHidden/>
        </w:rPr>
        <w:tab/>
      </w:r>
      <w:r>
        <w:rPr>
          <w:noProof/>
          <w:webHidden/>
        </w:rPr>
        <w:fldChar w:fldCharType="begin"/>
      </w:r>
      <w:r>
        <w:rPr>
          <w:noProof/>
          <w:webHidden/>
        </w:rPr>
        <w:instrText xml:space="preserve"> PAGEREF _Toc220305377 \h </w:instrText>
      </w:r>
      <w:r>
        <w:rPr>
          <w:noProof/>
          <w:webHidden/>
        </w:rPr>
        <w:fldChar w:fldCharType="separate"/>
      </w:r>
      <w:r>
        <w:rPr>
          <w:noProof/>
          <w:webHidden/>
        </w:rPr>
        <w:t>23</w:t>
      </w:r>
      <w:r>
        <w:rPr>
          <w:noProof/>
          <w:webHidden/>
        </w:rPr>
        <w:fldChar w:fldCharType="end"/>
      </w:r>
      <w:r>
        <w:rPr/>
        <w:fldChar w:fldCharType="end"/>
      </w:r>
    </w:p>
    <w:p>
      <w:pPr>
        <w:pStyle w:val="style20"/>
        <w:tabs>
          <w:tab w:val="left" w:leader="none" w:pos="960"/>
          <w:tab w:val="right" w:leader="dot" w:pos="9350"/>
        </w:tabs>
        <w:rPr>
          <w:rFonts w:ascii="Aptos" w:eastAsia="宋体" w:hAnsi="Aptos"/>
          <w:noProof/>
          <w:lang w:eastAsia="en-GB"/>
        </w:rPr>
      </w:pPr>
      <w:r>
        <w:rPr/>
        <w:fldChar w:fldCharType="begin"/>
      </w:r>
      <w:r>
        <w:instrText xml:space="preserve"> HYPERLINK \l "_Toc220305378" </w:instrText>
      </w:r>
      <w:r>
        <w:rPr/>
        <w:fldChar w:fldCharType="separate"/>
      </w:r>
      <w:r>
        <w:rPr>
          <w:rStyle w:val="style85"/>
          <w:noProof/>
        </w:rPr>
        <w:t>3.3</w:t>
      </w:r>
      <w:r>
        <w:rPr>
          <w:rFonts w:ascii="Aptos" w:eastAsia="宋体" w:hAnsi="Aptos"/>
          <w:noProof/>
          <w:lang w:eastAsia="en-GB"/>
        </w:rPr>
        <w:tab/>
      </w:r>
      <w:r>
        <w:rPr>
          <w:rStyle w:val="style85"/>
          <w:noProof/>
        </w:rPr>
        <w:t>Data Sources and Selection</w:t>
      </w:r>
      <w:r>
        <w:rPr>
          <w:noProof/>
          <w:webHidden/>
        </w:rPr>
        <w:tab/>
      </w:r>
      <w:r>
        <w:rPr>
          <w:noProof/>
          <w:webHidden/>
        </w:rPr>
        <w:fldChar w:fldCharType="begin"/>
      </w:r>
      <w:r>
        <w:rPr>
          <w:noProof/>
          <w:webHidden/>
        </w:rPr>
        <w:instrText xml:space="preserve"> PAGEREF _Toc220305378 \h </w:instrText>
      </w:r>
      <w:r>
        <w:rPr>
          <w:noProof/>
          <w:webHidden/>
        </w:rPr>
        <w:fldChar w:fldCharType="separate"/>
      </w:r>
      <w:r>
        <w:rPr>
          <w:noProof/>
          <w:webHidden/>
        </w:rPr>
        <w:t>24</w:t>
      </w:r>
      <w:r>
        <w:rPr>
          <w:noProof/>
          <w:webHidden/>
        </w:rPr>
        <w:fldChar w:fldCharType="end"/>
      </w:r>
      <w:r>
        <w:rPr/>
        <w:fldChar w:fldCharType="end"/>
      </w:r>
    </w:p>
    <w:p>
      <w:pPr>
        <w:pStyle w:val="style20"/>
        <w:tabs>
          <w:tab w:val="left" w:leader="none" w:pos="960"/>
          <w:tab w:val="right" w:leader="dot" w:pos="9350"/>
        </w:tabs>
        <w:rPr>
          <w:rFonts w:ascii="Aptos" w:eastAsia="宋体" w:hAnsi="Aptos"/>
          <w:noProof/>
          <w:lang w:eastAsia="en-GB"/>
        </w:rPr>
      </w:pPr>
      <w:r>
        <w:rPr/>
        <w:fldChar w:fldCharType="begin"/>
      </w:r>
      <w:r>
        <w:instrText xml:space="preserve"> HYPERLINK \l "_Toc220305379" </w:instrText>
      </w:r>
      <w:r>
        <w:rPr/>
        <w:fldChar w:fldCharType="separate"/>
      </w:r>
      <w:r>
        <w:rPr>
          <w:rStyle w:val="style85"/>
          <w:noProof/>
        </w:rPr>
        <w:t>3.4</w:t>
      </w:r>
      <w:r>
        <w:rPr>
          <w:rFonts w:ascii="Aptos" w:eastAsia="宋体" w:hAnsi="Aptos"/>
          <w:noProof/>
          <w:lang w:eastAsia="en-GB"/>
        </w:rPr>
        <w:tab/>
      </w:r>
      <w:r>
        <w:rPr>
          <w:rStyle w:val="style85"/>
          <w:noProof/>
        </w:rPr>
        <w:t>Data Analysis</w:t>
      </w:r>
      <w:r>
        <w:rPr>
          <w:noProof/>
          <w:webHidden/>
        </w:rPr>
        <w:tab/>
      </w:r>
      <w:r>
        <w:rPr>
          <w:noProof/>
          <w:webHidden/>
        </w:rPr>
        <w:fldChar w:fldCharType="begin"/>
      </w:r>
      <w:r>
        <w:rPr>
          <w:noProof/>
          <w:webHidden/>
        </w:rPr>
        <w:instrText xml:space="preserve"> PAGEREF _Toc220305379 \h </w:instrText>
      </w:r>
      <w:r>
        <w:rPr>
          <w:noProof/>
          <w:webHidden/>
        </w:rPr>
        <w:fldChar w:fldCharType="separate"/>
      </w:r>
      <w:r>
        <w:rPr>
          <w:noProof/>
          <w:webHidden/>
        </w:rPr>
        <w:t>26</w:t>
      </w:r>
      <w:r>
        <w:rPr>
          <w:noProof/>
          <w:webHidden/>
        </w:rPr>
        <w:fldChar w:fldCharType="end"/>
      </w:r>
      <w:r>
        <w:rPr/>
        <w:fldChar w:fldCharType="end"/>
      </w:r>
    </w:p>
    <w:p>
      <w:pPr>
        <w:pStyle w:val="style20"/>
        <w:tabs>
          <w:tab w:val="left" w:leader="none" w:pos="960"/>
          <w:tab w:val="right" w:leader="dot" w:pos="9350"/>
        </w:tabs>
        <w:rPr>
          <w:rFonts w:ascii="Aptos" w:eastAsia="宋体" w:hAnsi="Aptos"/>
          <w:noProof/>
          <w:lang w:eastAsia="en-GB"/>
        </w:rPr>
      </w:pPr>
      <w:r>
        <w:rPr/>
        <w:fldChar w:fldCharType="begin"/>
      </w:r>
      <w:r>
        <w:instrText xml:space="preserve"> HYPERLINK \l "_Toc220305380" </w:instrText>
      </w:r>
      <w:r>
        <w:rPr/>
        <w:fldChar w:fldCharType="separate"/>
      </w:r>
      <w:r>
        <w:rPr>
          <w:rStyle w:val="style85"/>
          <w:noProof/>
        </w:rPr>
        <w:t>3.5</w:t>
      </w:r>
      <w:r>
        <w:rPr>
          <w:rFonts w:ascii="Aptos" w:eastAsia="宋体" w:hAnsi="Aptos"/>
          <w:noProof/>
          <w:lang w:eastAsia="en-GB"/>
        </w:rPr>
        <w:tab/>
      </w:r>
      <w:r>
        <w:rPr>
          <w:rStyle w:val="style85"/>
          <w:noProof/>
        </w:rPr>
        <w:t>Ethical Considerations</w:t>
      </w:r>
      <w:r>
        <w:rPr>
          <w:noProof/>
          <w:webHidden/>
        </w:rPr>
        <w:tab/>
      </w:r>
      <w:r>
        <w:rPr>
          <w:noProof/>
          <w:webHidden/>
        </w:rPr>
        <w:fldChar w:fldCharType="begin"/>
      </w:r>
      <w:r>
        <w:rPr>
          <w:noProof/>
          <w:webHidden/>
        </w:rPr>
        <w:instrText xml:space="preserve"> PAGEREF _Toc220305380 \h </w:instrText>
      </w:r>
      <w:r>
        <w:rPr>
          <w:noProof/>
          <w:webHidden/>
        </w:rPr>
        <w:fldChar w:fldCharType="separate"/>
      </w:r>
      <w:r>
        <w:rPr>
          <w:noProof/>
          <w:webHidden/>
        </w:rPr>
        <w:t>27</w:t>
      </w:r>
      <w:r>
        <w:rPr>
          <w:noProof/>
          <w:webHidden/>
        </w:rPr>
        <w:fldChar w:fldCharType="end"/>
      </w:r>
      <w:r>
        <w:rPr/>
        <w:fldChar w:fldCharType="end"/>
      </w:r>
    </w:p>
    <w:p>
      <w:pPr>
        <w:pStyle w:val="style20"/>
        <w:tabs>
          <w:tab w:val="left" w:leader="none" w:pos="960"/>
          <w:tab w:val="right" w:leader="dot" w:pos="9350"/>
        </w:tabs>
        <w:rPr>
          <w:rFonts w:ascii="Aptos" w:eastAsia="宋体" w:hAnsi="Aptos"/>
          <w:noProof/>
          <w:lang w:eastAsia="en-GB"/>
        </w:rPr>
      </w:pPr>
      <w:r>
        <w:rPr/>
        <w:fldChar w:fldCharType="begin"/>
      </w:r>
      <w:r>
        <w:instrText xml:space="preserve"> HYPERLINK \l "_Toc220305381" </w:instrText>
      </w:r>
      <w:r>
        <w:rPr/>
        <w:fldChar w:fldCharType="separate"/>
      </w:r>
      <w:r>
        <w:rPr>
          <w:rStyle w:val="style85"/>
          <w:noProof/>
        </w:rPr>
        <w:t>3.6</w:t>
      </w:r>
      <w:r>
        <w:rPr>
          <w:rFonts w:ascii="Aptos" w:eastAsia="宋体" w:hAnsi="Aptos"/>
          <w:noProof/>
          <w:lang w:eastAsia="en-GB"/>
        </w:rPr>
        <w:tab/>
      </w:r>
      <w:r>
        <w:rPr>
          <w:rStyle w:val="style85"/>
          <w:noProof/>
        </w:rPr>
        <w:t>Methodological Limitations</w:t>
      </w:r>
      <w:r>
        <w:rPr>
          <w:noProof/>
          <w:webHidden/>
        </w:rPr>
        <w:tab/>
      </w:r>
      <w:r>
        <w:rPr>
          <w:noProof/>
          <w:webHidden/>
        </w:rPr>
        <w:fldChar w:fldCharType="begin"/>
      </w:r>
      <w:r>
        <w:rPr>
          <w:noProof/>
          <w:webHidden/>
        </w:rPr>
        <w:instrText xml:space="preserve"> PAGEREF _Toc220305381 \h </w:instrText>
      </w:r>
      <w:r>
        <w:rPr>
          <w:noProof/>
          <w:webHidden/>
        </w:rPr>
        <w:fldChar w:fldCharType="separate"/>
      </w:r>
      <w:r>
        <w:rPr>
          <w:noProof/>
          <w:webHidden/>
        </w:rPr>
        <w:t>27</w:t>
      </w:r>
      <w:r>
        <w:rPr>
          <w:noProof/>
          <w:webHidden/>
        </w:rPr>
        <w:fldChar w:fldCharType="end"/>
      </w:r>
      <w:r>
        <w:rPr/>
        <w:fldChar w:fldCharType="end"/>
      </w:r>
    </w:p>
    <w:p>
      <w:pPr>
        <w:pStyle w:val="style20"/>
        <w:tabs>
          <w:tab w:val="left" w:leader="none" w:pos="960"/>
          <w:tab w:val="right" w:leader="dot" w:pos="9350"/>
        </w:tabs>
        <w:rPr>
          <w:rFonts w:ascii="Aptos" w:eastAsia="宋体" w:hAnsi="Aptos"/>
          <w:noProof/>
          <w:lang w:eastAsia="en-GB"/>
        </w:rPr>
      </w:pPr>
      <w:r>
        <w:rPr/>
        <w:fldChar w:fldCharType="begin"/>
      </w:r>
      <w:r>
        <w:instrText xml:space="preserve"> HYPERLINK \l "_Toc220305382" </w:instrText>
      </w:r>
      <w:r>
        <w:rPr/>
        <w:fldChar w:fldCharType="separate"/>
      </w:r>
      <w:r>
        <w:rPr>
          <w:rStyle w:val="style85"/>
          <w:noProof/>
        </w:rPr>
        <w:t>3.7</w:t>
      </w:r>
      <w:r>
        <w:rPr>
          <w:rFonts w:ascii="Aptos" w:eastAsia="宋体" w:hAnsi="Aptos"/>
          <w:noProof/>
          <w:lang w:eastAsia="en-GB"/>
        </w:rPr>
        <w:tab/>
      </w:r>
      <w:r>
        <w:rPr>
          <w:rStyle w:val="style85"/>
          <w:noProof/>
        </w:rPr>
        <w:t>Chapter Summary</w:t>
      </w:r>
      <w:r>
        <w:rPr>
          <w:noProof/>
          <w:webHidden/>
        </w:rPr>
        <w:tab/>
      </w:r>
      <w:r>
        <w:rPr>
          <w:noProof/>
          <w:webHidden/>
        </w:rPr>
        <w:fldChar w:fldCharType="begin"/>
      </w:r>
      <w:r>
        <w:rPr>
          <w:noProof/>
          <w:webHidden/>
        </w:rPr>
        <w:instrText xml:space="preserve"> PAGEREF _Toc220305382 \h </w:instrText>
      </w:r>
      <w:r>
        <w:rPr>
          <w:noProof/>
          <w:webHidden/>
        </w:rPr>
        <w:fldChar w:fldCharType="separate"/>
      </w:r>
      <w:r>
        <w:rPr>
          <w:noProof/>
          <w:webHidden/>
        </w:rPr>
        <w:t>27</w:t>
      </w:r>
      <w:r>
        <w:rPr>
          <w:noProof/>
          <w:webHidden/>
        </w:rPr>
        <w:fldChar w:fldCharType="end"/>
      </w:r>
      <w:r>
        <w:rPr/>
        <w:fldChar w:fldCharType="end"/>
      </w:r>
    </w:p>
    <w:p>
      <w:pPr>
        <w:pStyle w:val="style19"/>
        <w:tabs>
          <w:tab w:val="left" w:leader="none" w:pos="480"/>
          <w:tab w:val="right" w:leader="dot" w:pos="9350"/>
        </w:tabs>
        <w:rPr>
          <w:rFonts w:ascii="Aptos" w:eastAsia="宋体" w:hAnsi="Aptos"/>
          <w:noProof/>
          <w:lang w:eastAsia="en-GB"/>
        </w:rPr>
      </w:pPr>
      <w:r>
        <w:rPr/>
        <w:fldChar w:fldCharType="begin"/>
      </w:r>
      <w:r>
        <w:instrText xml:space="preserve"> HYPERLINK \l "_Toc220305383" </w:instrText>
      </w:r>
      <w:r>
        <w:rPr/>
        <w:fldChar w:fldCharType="separate"/>
      </w:r>
      <w:r>
        <w:rPr>
          <w:rStyle w:val="style85"/>
          <w:noProof/>
        </w:rPr>
        <w:t>4</w:t>
      </w:r>
      <w:r>
        <w:rPr>
          <w:rFonts w:ascii="Aptos" w:eastAsia="宋体" w:hAnsi="Aptos"/>
          <w:noProof/>
          <w:lang w:eastAsia="en-GB"/>
        </w:rPr>
        <w:tab/>
      </w:r>
      <w:r>
        <w:rPr>
          <w:rStyle w:val="style85"/>
          <w:noProof/>
        </w:rPr>
        <w:t>Chapter Four: Findings &amp; Analysis</w:t>
      </w:r>
      <w:r>
        <w:rPr>
          <w:noProof/>
          <w:webHidden/>
        </w:rPr>
        <w:tab/>
      </w:r>
      <w:r>
        <w:rPr>
          <w:noProof/>
          <w:webHidden/>
        </w:rPr>
        <w:fldChar w:fldCharType="begin"/>
      </w:r>
      <w:r>
        <w:rPr>
          <w:noProof/>
          <w:webHidden/>
        </w:rPr>
        <w:instrText xml:space="preserve"> PAGEREF _Toc220305383 \h </w:instrText>
      </w:r>
      <w:r>
        <w:rPr>
          <w:noProof/>
          <w:webHidden/>
        </w:rPr>
        <w:fldChar w:fldCharType="separate"/>
      </w:r>
      <w:r>
        <w:rPr>
          <w:noProof/>
          <w:webHidden/>
        </w:rPr>
        <w:t>28</w:t>
      </w:r>
      <w:r>
        <w:rPr>
          <w:noProof/>
          <w:webHidden/>
        </w:rPr>
        <w:fldChar w:fldCharType="end"/>
      </w:r>
      <w:r>
        <w:rPr/>
        <w:fldChar w:fldCharType="end"/>
      </w:r>
    </w:p>
    <w:p>
      <w:pPr>
        <w:pStyle w:val="style20"/>
        <w:tabs>
          <w:tab w:val="left" w:leader="none" w:pos="960"/>
          <w:tab w:val="right" w:leader="dot" w:pos="9350"/>
        </w:tabs>
        <w:rPr>
          <w:rFonts w:ascii="Aptos" w:eastAsia="宋体" w:hAnsi="Aptos"/>
          <w:noProof/>
          <w:lang w:eastAsia="en-GB"/>
        </w:rPr>
      </w:pPr>
      <w:r>
        <w:rPr/>
        <w:fldChar w:fldCharType="begin"/>
      </w:r>
      <w:r>
        <w:instrText xml:space="preserve"> HYPERLINK \l "_Toc220305384" </w:instrText>
      </w:r>
      <w:r>
        <w:rPr/>
        <w:fldChar w:fldCharType="separate"/>
      </w:r>
      <w:r>
        <w:rPr>
          <w:rStyle w:val="style85"/>
          <w:noProof/>
        </w:rPr>
        <w:t>4.1</w:t>
      </w:r>
      <w:r>
        <w:rPr>
          <w:rFonts w:ascii="Aptos" w:eastAsia="宋体" w:hAnsi="Aptos"/>
          <w:noProof/>
          <w:lang w:eastAsia="en-GB"/>
        </w:rPr>
        <w:tab/>
      </w:r>
      <w:r>
        <w:rPr>
          <w:rStyle w:val="style85"/>
          <w:noProof/>
        </w:rPr>
        <w:t>Introduction</w:t>
      </w:r>
      <w:r>
        <w:rPr>
          <w:noProof/>
          <w:webHidden/>
        </w:rPr>
        <w:tab/>
      </w:r>
      <w:r>
        <w:rPr>
          <w:noProof/>
          <w:webHidden/>
        </w:rPr>
        <w:fldChar w:fldCharType="begin"/>
      </w:r>
      <w:r>
        <w:rPr>
          <w:noProof/>
          <w:webHidden/>
        </w:rPr>
        <w:instrText xml:space="preserve"> PAGEREF _Toc220305384 \h </w:instrText>
      </w:r>
      <w:r>
        <w:rPr>
          <w:noProof/>
          <w:webHidden/>
        </w:rPr>
        <w:fldChar w:fldCharType="separate"/>
      </w:r>
      <w:r>
        <w:rPr>
          <w:noProof/>
          <w:webHidden/>
        </w:rPr>
        <w:t>28</w:t>
      </w:r>
      <w:r>
        <w:rPr>
          <w:noProof/>
          <w:webHidden/>
        </w:rPr>
        <w:fldChar w:fldCharType="end"/>
      </w:r>
      <w:r>
        <w:rPr/>
        <w:fldChar w:fldCharType="end"/>
      </w:r>
    </w:p>
    <w:p>
      <w:pPr>
        <w:pStyle w:val="style20"/>
        <w:tabs>
          <w:tab w:val="left" w:leader="none" w:pos="960"/>
          <w:tab w:val="right" w:leader="dot" w:pos="9350"/>
        </w:tabs>
        <w:rPr>
          <w:rFonts w:ascii="Aptos" w:eastAsia="宋体" w:hAnsi="Aptos"/>
          <w:noProof/>
          <w:lang w:eastAsia="en-GB"/>
        </w:rPr>
      </w:pPr>
      <w:r>
        <w:rPr/>
        <w:fldChar w:fldCharType="begin"/>
      </w:r>
      <w:r>
        <w:instrText xml:space="preserve"> HYPERLINK \l "_Toc220305385" </w:instrText>
      </w:r>
      <w:r>
        <w:rPr/>
        <w:fldChar w:fldCharType="separate"/>
      </w:r>
      <w:r>
        <w:rPr>
          <w:rStyle w:val="style85"/>
          <w:rFonts w:cs="Times New Roman"/>
          <w:bCs/>
          <w:noProof/>
        </w:rPr>
        <w:t>4.2</w:t>
      </w:r>
      <w:r>
        <w:rPr>
          <w:rFonts w:ascii="Aptos" w:eastAsia="宋体" w:hAnsi="Aptos"/>
          <w:noProof/>
          <w:lang w:eastAsia="en-GB"/>
        </w:rPr>
        <w:tab/>
      </w:r>
      <w:r>
        <w:rPr>
          <w:rStyle w:val="style85"/>
          <w:rFonts w:cs="Times New Roman"/>
          <w:bCs/>
          <w:noProof/>
        </w:rPr>
        <w:t>Thematic Analysis</w:t>
      </w:r>
      <w:r>
        <w:rPr>
          <w:noProof/>
          <w:webHidden/>
        </w:rPr>
        <w:tab/>
      </w:r>
      <w:r>
        <w:rPr>
          <w:noProof/>
          <w:webHidden/>
        </w:rPr>
        <w:fldChar w:fldCharType="begin"/>
      </w:r>
      <w:r>
        <w:rPr>
          <w:noProof/>
          <w:webHidden/>
        </w:rPr>
        <w:instrText xml:space="preserve"> PAGEREF _Toc220305385 \h </w:instrText>
      </w:r>
      <w:r>
        <w:rPr>
          <w:noProof/>
          <w:webHidden/>
        </w:rPr>
        <w:fldChar w:fldCharType="separate"/>
      </w:r>
      <w:r>
        <w:rPr>
          <w:noProof/>
          <w:webHidden/>
        </w:rPr>
        <w:t>28</w:t>
      </w:r>
      <w:r>
        <w:rPr>
          <w:noProof/>
          <w:webHidden/>
        </w:rPr>
        <w:fldChar w:fldCharType="end"/>
      </w:r>
      <w:r>
        <w:rPr/>
        <w:fldChar w:fldCharType="end"/>
      </w:r>
    </w:p>
    <w:p>
      <w:pPr>
        <w:pStyle w:val="style20"/>
        <w:tabs>
          <w:tab w:val="left" w:leader="none" w:pos="960"/>
          <w:tab w:val="right" w:leader="dot" w:pos="9350"/>
        </w:tabs>
        <w:rPr>
          <w:rFonts w:ascii="Aptos" w:eastAsia="宋体" w:hAnsi="Aptos"/>
          <w:noProof/>
          <w:lang w:eastAsia="en-GB"/>
        </w:rPr>
      </w:pPr>
      <w:r>
        <w:rPr/>
        <w:fldChar w:fldCharType="begin"/>
      </w:r>
      <w:r>
        <w:instrText xml:space="preserve"> HYPERLINK \l "_Toc220305386" </w:instrText>
      </w:r>
      <w:r>
        <w:rPr/>
        <w:fldChar w:fldCharType="separate"/>
      </w:r>
      <w:r>
        <w:rPr>
          <w:rStyle w:val="style85"/>
          <w:rFonts w:cs="Times New Roman"/>
          <w:bCs/>
          <w:noProof/>
        </w:rPr>
        <w:t>4.3</w:t>
      </w:r>
      <w:r>
        <w:rPr>
          <w:rFonts w:ascii="Aptos" w:eastAsia="宋体" w:hAnsi="Aptos"/>
          <w:noProof/>
          <w:lang w:eastAsia="en-GB"/>
        </w:rPr>
        <w:tab/>
      </w:r>
      <w:r>
        <w:rPr>
          <w:rStyle w:val="style85"/>
          <w:rFonts w:cs="Times New Roman"/>
          <w:bCs/>
          <w:noProof/>
        </w:rPr>
        <w:t>Data Familiarization</w:t>
      </w:r>
      <w:r>
        <w:rPr>
          <w:noProof/>
          <w:webHidden/>
        </w:rPr>
        <w:tab/>
      </w:r>
      <w:r>
        <w:rPr>
          <w:noProof/>
          <w:webHidden/>
        </w:rPr>
        <w:fldChar w:fldCharType="begin"/>
      </w:r>
      <w:r>
        <w:rPr>
          <w:noProof/>
          <w:webHidden/>
        </w:rPr>
        <w:instrText xml:space="preserve"> PAGEREF _Toc220305386 \h </w:instrText>
      </w:r>
      <w:r>
        <w:rPr>
          <w:noProof/>
          <w:webHidden/>
        </w:rPr>
        <w:fldChar w:fldCharType="separate"/>
      </w:r>
      <w:r>
        <w:rPr>
          <w:noProof/>
          <w:webHidden/>
        </w:rPr>
        <w:t>29</w:t>
      </w:r>
      <w:r>
        <w:rPr>
          <w:noProof/>
          <w:webHidden/>
        </w:rPr>
        <w:fldChar w:fldCharType="end"/>
      </w:r>
      <w:r>
        <w:rPr/>
        <w:fldChar w:fldCharType="end"/>
      </w:r>
    </w:p>
    <w:p>
      <w:pPr>
        <w:pStyle w:val="style20"/>
        <w:tabs>
          <w:tab w:val="left" w:leader="none" w:pos="960"/>
          <w:tab w:val="right" w:leader="dot" w:pos="9350"/>
        </w:tabs>
        <w:rPr>
          <w:rFonts w:ascii="Aptos" w:eastAsia="宋体" w:hAnsi="Aptos"/>
          <w:noProof/>
          <w:lang w:eastAsia="en-GB"/>
        </w:rPr>
      </w:pPr>
      <w:r>
        <w:rPr/>
        <w:fldChar w:fldCharType="begin"/>
      </w:r>
      <w:r>
        <w:instrText xml:space="preserve"> HYPERLINK \l "_Toc220305387" </w:instrText>
      </w:r>
      <w:r>
        <w:rPr/>
        <w:fldChar w:fldCharType="separate"/>
      </w:r>
      <w:r>
        <w:rPr>
          <w:rStyle w:val="style85"/>
          <w:rFonts w:cs="Times New Roman"/>
          <w:bCs/>
          <w:noProof/>
        </w:rPr>
        <w:t>4.4</w:t>
      </w:r>
      <w:r>
        <w:rPr>
          <w:rFonts w:ascii="Aptos" w:eastAsia="宋体" w:hAnsi="Aptos"/>
          <w:noProof/>
          <w:lang w:eastAsia="en-GB"/>
        </w:rPr>
        <w:tab/>
      </w:r>
      <w:r>
        <w:rPr>
          <w:rStyle w:val="style85"/>
          <w:rFonts w:cs="Times New Roman"/>
          <w:bCs/>
          <w:noProof/>
        </w:rPr>
        <w:t>Thematic Analysis Based on Objective 1</w:t>
      </w:r>
      <w:r>
        <w:rPr>
          <w:noProof/>
          <w:webHidden/>
        </w:rPr>
        <w:tab/>
      </w:r>
      <w:r>
        <w:rPr>
          <w:noProof/>
          <w:webHidden/>
        </w:rPr>
        <w:fldChar w:fldCharType="begin"/>
      </w:r>
      <w:r>
        <w:rPr>
          <w:noProof/>
          <w:webHidden/>
        </w:rPr>
        <w:instrText xml:space="preserve"> PAGEREF _Toc220305387 \h </w:instrText>
      </w:r>
      <w:r>
        <w:rPr>
          <w:noProof/>
          <w:webHidden/>
        </w:rPr>
        <w:fldChar w:fldCharType="separate"/>
      </w:r>
      <w:r>
        <w:rPr>
          <w:noProof/>
          <w:webHidden/>
        </w:rPr>
        <w:t>30</w:t>
      </w:r>
      <w:r>
        <w:rPr>
          <w:noProof/>
          <w:webHidden/>
        </w:rPr>
        <w:fldChar w:fldCharType="end"/>
      </w:r>
      <w:r>
        <w:rPr/>
        <w:fldChar w:fldCharType="end"/>
      </w:r>
    </w:p>
    <w:p>
      <w:pPr>
        <w:pStyle w:val="style20"/>
        <w:tabs>
          <w:tab w:val="left" w:leader="none" w:pos="960"/>
          <w:tab w:val="right" w:leader="dot" w:pos="9350"/>
        </w:tabs>
        <w:rPr>
          <w:rFonts w:ascii="Aptos" w:eastAsia="宋体" w:hAnsi="Aptos"/>
          <w:noProof/>
          <w:lang w:eastAsia="en-GB"/>
        </w:rPr>
      </w:pPr>
      <w:r>
        <w:rPr/>
        <w:fldChar w:fldCharType="begin"/>
      </w:r>
      <w:r>
        <w:instrText xml:space="preserve"> HYPERLINK \l "_Toc220305388" </w:instrText>
      </w:r>
      <w:r>
        <w:rPr/>
        <w:fldChar w:fldCharType="separate"/>
      </w:r>
      <w:r>
        <w:rPr>
          <w:rStyle w:val="style85"/>
          <w:rFonts w:cs="Times New Roman"/>
          <w:bCs/>
          <w:noProof/>
        </w:rPr>
        <w:t>4.5</w:t>
      </w:r>
      <w:r>
        <w:rPr>
          <w:rFonts w:ascii="Aptos" w:eastAsia="宋体" w:hAnsi="Aptos"/>
          <w:noProof/>
          <w:lang w:eastAsia="en-GB"/>
        </w:rPr>
        <w:tab/>
      </w:r>
      <w:r>
        <w:rPr>
          <w:rStyle w:val="style85"/>
          <w:rFonts w:cs="Times New Roman"/>
          <w:bCs/>
          <w:noProof/>
        </w:rPr>
        <w:t>Thematic Analysis Based on Objective 2</w:t>
      </w:r>
      <w:r>
        <w:rPr>
          <w:noProof/>
          <w:webHidden/>
        </w:rPr>
        <w:tab/>
      </w:r>
      <w:r>
        <w:rPr>
          <w:noProof/>
          <w:webHidden/>
        </w:rPr>
        <w:fldChar w:fldCharType="begin"/>
      </w:r>
      <w:r>
        <w:rPr>
          <w:noProof/>
          <w:webHidden/>
        </w:rPr>
        <w:instrText xml:space="preserve"> PAGEREF _Toc220305388 \h </w:instrText>
      </w:r>
      <w:r>
        <w:rPr>
          <w:noProof/>
          <w:webHidden/>
        </w:rPr>
        <w:fldChar w:fldCharType="separate"/>
      </w:r>
      <w:r>
        <w:rPr>
          <w:noProof/>
          <w:webHidden/>
        </w:rPr>
        <w:t>31</w:t>
      </w:r>
      <w:r>
        <w:rPr>
          <w:noProof/>
          <w:webHidden/>
        </w:rPr>
        <w:fldChar w:fldCharType="end"/>
      </w:r>
      <w:r>
        <w:rPr/>
        <w:fldChar w:fldCharType="end"/>
      </w:r>
    </w:p>
    <w:p>
      <w:pPr>
        <w:pStyle w:val="style20"/>
        <w:tabs>
          <w:tab w:val="left" w:leader="none" w:pos="960"/>
          <w:tab w:val="right" w:leader="dot" w:pos="9350"/>
        </w:tabs>
        <w:rPr>
          <w:rFonts w:ascii="Aptos" w:eastAsia="宋体" w:hAnsi="Aptos"/>
          <w:noProof/>
          <w:lang w:eastAsia="en-GB"/>
        </w:rPr>
      </w:pPr>
      <w:r>
        <w:rPr/>
        <w:fldChar w:fldCharType="begin"/>
      </w:r>
      <w:r>
        <w:instrText xml:space="preserve"> HYPERLINK \l "_Toc220305389" </w:instrText>
      </w:r>
      <w:r>
        <w:rPr/>
        <w:fldChar w:fldCharType="separate"/>
      </w:r>
      <w:r>
        <w:rPr>
          <w:rStyle w:val="style85"/>
          <w:rFonts w:cs="Times New Roman"/>
          <w:bCs/>
          <w:noProof/>
        </w:rPr>
        <w:t>4.6</w:t>
      </w:r>
      <w:r>
        <w:rPr>
          <w:rFonts w:ascii="Aptos" w:eastAsia="宋体" w:hAnsi="Aptos"/>
          <w:noProof/>
          <w:lang w:eastAsia="en-GB"/>
        </w:rPr>
        <w:tab/>
      </w:r>
      <w:r>
        <w:rPr>
          <w:rStyle w:val="style85"/>
          <w:rFonts w:cs="Times New Roman"/>
          <w:bCs/>
          <w:noProof/>
        </w:rPr>
        <w:t>Thematic Analysis based on Objective 3</w:t>
      </w:r>
      <w:r>
        <w:rPr>
          <w:noProof/>
          <w:webHidden/>
        </w:rPr>
        <w:tab/>
      </w:r>
      <w:r>
        <w:rPr>
          <w:noProof/>
          <w:webHidden/>
        </w:rPr>
        <w:fldChar w:fldCharType="begin"/>
      </w:r>
      <w:r>
        <w:rPr>
          <w:noProof/>
          <w:webHidden/>
        </w:rPr>
        <w:instrText xml:space="preserve"> PAGEREF _Toc220305389 \h </w:instrText>
      </w:r>
      <w:r>
        <w:rPr>
          <w:noProof/>
          <w:webHidden/>
        </w:rPr>
        <w:fldChar w:fldCharType="separate"/>
      </w:r>
      <w:r>
        <w:rPr>
          <w:noProof/>
          <w:webHidden/>
        </w:rPr>
        <w:t>33</w:t>
      </w:r>
      <w:r>
        <w:rPr>
          <w:noProof/>
          <w:webHidden/>
        </w:rPr>
        <w:fldChar w:fldCharType="end"/>
      </w:r>
      <w:r>
        <w:rPr/>
        <w:fldChar w:fldCharType="end"/>
      </w:r>
    </w:p>
    <w:p>
      <w:pPr>
        <w:pStyle w:val="style20"/>
        <w:tabs>
          <w:tab w:val="left" w:leader="none" w:pos="960"/>
          <w:tab w:val="right" w:leader="dot" w:pos="9350"/>
        </w:tabs>
        <w:rPr>
          <w:rFonts w:ascii="Aptos" w:eastAsia="宋体" w:hAnsi="Aptos"/>
          <w:noProof/>
          <w:lang w:eastAsia="en-GB"/>
        </w:rPr>
      </w:pPr>
      <w:r>
        <w:rPr/>
        <w:fldChar w:fldCharType="begin"/>
      </w:r>
      <w:r>
        <w:instrText xml:space="preserve"> HYPERLINK \l "_Toc220305390" </w:instrText>
      </w:r>
      <w:r>
        <w:rPr/>
        <w:fldChar w:fldCharType="separate"/>
      </w:r>
      <w:r>
        <w:rPr>
          <w:rStyle w:val="style85"/>
          <w:rFonts w:cs="Times New Roman"/>
          <w:bCs/>
          <w:noProof/>
        </w:rPr>
        <w:t>4.7</w:t>
      </w:r>
      <w:r>
        <w:rPr>
          <w:rFonts w:ascii="Aptos" w:eastAsia="宋体" w:hAnsi="Aptos"/>
          <w:noProof/>
          <w:lang w:eastAsia="en-GB"/>
        </w:rPr>
        <w:tab/>
      </w:r>
      <w:r>
        <w:rPr>
          <w:rStyle w:val="style85"/>
          <w:rFonts w:cs="Times New Roman"/>
          <w:bCs/>
          <w:noProof/>
        </w:rPr>
        <w:t>Summary of Chapter 4</w:t>
      </w:r>
      <w:r>
        <w:rPr>
          <w:noProof/>
          <w:webHidden/>
        </w:rPr>
        <w:tab/>
      </w:r>
      <w:r>
        <w:rPr>
          <w:noProof/>
          <w:webHidden/>
        </w:rPr>
        <w:fldChar w:fldCharType="begin"/>
      </w:r>
      <w:r>
        <w:rPr>
          <w:noProof/>
          <w:webHidden/>
        </w:rPr>
        <w:instrText xml:space="preserve"> PAGEREF _Toc220305390 \h </w:instrText>
      </w:r>
      <w:r>
        <w:rPr>
          <w:noProof/>
          <w:webHidden/>
        </w:rPr>
        <w:fldChar w:fldCharType="separate"/>
      </w:r>
      <w:r>
        <w:rPr>
          <w:noProof/>
          <w:webHidden/>
        </w:rPr>
        <w:t>34</w:t>
      </w:r>
      <w:r>
        <w:rPr>
          <w:noProof/>
          <w:webHidden/>
        </w:rPr>
        <w:fldChar w:fldCharType="end"/>
      </w:r>
      <w:r>
        <w:rPr/>
        <w:fldChar w:fldCharType="end"/>
      </w:r>
    </w:p>
    <w:p>
      <w:pPr>
        <w:pStyle w:val="style19"/>
        <w:tabs>
          <w:tab w:val="left" w:leader="none" w:pos="480"/>
          <w:tab w:val="right" w:leader="dot" w:pos="9350"/>
        </w:tabs>
        <w:rPr>
          <w:rFonts w:ascii="Aptos" w:eastAsia="宋体" w:hAnsi="Aptos"/>
          <w:noProof/>
          <w:lang w:eastAsia="en-GB"/>
        </w:rPr>
      </w:pPr>
      <w:r>
        <w:rPr/>
        <w:fldChar w:fldCharType="begin"/>
      </w:r>
      <w:r>
        <w:instrText xml:space="preserve"> HYPERLINK \l "_Toc220305391" </w:instrText>
      </w:r>
      <w:r>
        <w:rPr/>
        <w:fldChar w:fldCharType="separate"/>
      </w:r>
      <w:r>
        <w:rPr>
          <w:rStyle w:val="style85"/>
          <w:noProof/>
        </w:rPr>
        <w:t>5</w:t>
      </w:r>
      <w:r>
        <w:rPr>
          <w:rFonts w:ascii="Aptos" w:eastAsia="宋体" w:hAnsi="Aptos"/>
          <w:noProof/>
          <w:lang w:eastAsia="en-GB"/>
        </w:rPr>
        <w:tab/>
      </w:r>
      <w:r>
        <w:rPr>
          <w:rStyle w:val="style85"/>
          <w:noProof/>
        </w:rPr>
        <w:t>Chapter Five: Discussion</w:t>
      </w:r>
      <w:r>
        <w:rPr>
          <w:noProof/>
          <w:webHidden/>
        </w:rPr>
        <w:tab/>
      </w:r>
      <w:r>
        <w:rPr>
          <w:noProof/>
          <w:webHidden/>
        </w:rPr>
        <w:fldChar w:fldCharType="begin"/>
      </w:r>
      <w:r>
        <w:rPr>
          <w:noProof/>
          <w:webHidden/>
        </w:rPr>
        <w:instrText xml:space="preserve"> PAGEREF _Toc220305391 \h </w:instrText>
      </w:r>
      <w:r>
        <w:rPr>
          <w:noProof/>
          <w:webHidden/>
        </w:rPr>
        <w:fldChar w:fldCharType="separate"/>
      </w:r>
      <w:r>
        <w:rPr>
          <w:noProof/>
          <w:webHidden/>
        </w:rPr>
        <w:t>35</w:t>
      </w:r>
      <w:r>
        <w:rPr>
          <w:noProof/>
          <w:webHidden/>
        </w:rPr>
        <w:fldChar w:fldCharType="end"/>
      </w:r>
      <w:r>
        <w:rPr/>
        <w:fldChar w:fldCharType="end"/>
      </w:r>
    </w:p>
    <w:p>
      <w:pPr>
        <w:pStyle w:val="style20"/>
        <w:tabs>
          <w:tab w:val="left" w:leader="none" w:pos="960"/>
          <w:tab w:val="right" w:leader="dot" w:pos="9350"/>
        </w:tabs>
        <w:rPr>
          <w:rFonts w:ascii="Aptos" w:eastAsia="宋体" w:hAnsi="Aptos"/>
          <w:noProof/>
          <w:lang w:eastAsia="en-GB"/>
        </w:rPr>
      </w:pPr>
      <w:r>
        <w:rPr/>
        <w:fldChar w:fldCharType="begin"/>
      </w:r>
      <w:r>
        <w:instrText xml:space="preserve"> HYPERLINK \l "_Toc220305392" </w:instrText>
      </w:r>
      <w:r>
        <w:rPr/>
        <w:fldChar w:fldCharType="separate"/>
      </w:r>
      <w:r>
        <w:rPr>
          <w:rStyle w:val="style85"/>
          <w:noProof/>
        </w:rPr>
        <w:t>5.1</w:t>
      </w:r>
      <w:r>
        <w:rPr>
          <w:rFonts w:ascii="Aptos" w:eastAsia="宋体" w:hAnsi="Aptos"/>
          <w:noProof/>
          <w:lang w:eastAsia="en-GB"/>
        </w:rPr>
        <w:tab/>
      </w:r>
      <w:r>
        <w:rPr>
          <w:rStyle w:val="style85"/>
          <w:noProof/>
        </w:rPr>
        <w:t>Restatement of the Research Problem, Aim and Objectives</w:t>
      </w:r>
      <w:r>
        <w:rPr>
          <w:noProof/>
          <w:webHidden/>
        </w:rPr>
        <w:tab/>
      </w:r>
      <w:r>
        <w:rPr>
          <w:noProof/>
          <w:webHidden/>
        </w:rPr>
        <w:fldChar w:fldCharType="begin"/>
      </w:r>
      <w:r>
        <w:rPr>
          <w:noProof/>
          <w:webHidden/>
        </w:rPr>
        <w:instrText xml:space="preserve"> PAGEREF _Toc220305392 \h </w:instrText>
      </w:r>
      <w:r>
        <w:rPr>
          <w:noProof/>
          <w:webHidden/>
        </w:rPr>
        <w:fldChar w:fldCharType="separate"/>
      </w:r>
      <w:r>
        <w:rPr>
          <w:noProof/>
          <w:webHidden/>
        </w:rPr>
        <w:t>35</w:t>
      </w:r>
      <w:r>
        <w:rPr>
          <w:noProof/>
          <w:webHidden/>
        </w:rPr>
        <w:fldChar w:fldCharType="end"/>
      </w:r>
      <w:r>
        <w:rPr/>
        <w:fldChar w:fldCharType="end"/>
      </w:r>
    </w:p>
    <w:p>
      <w:pPr>
        <w:pStyle w:val="style20"/>
        <w:tabs>
          <w:tab w:val="left" w:leader="none" w:pos="960"/>
          <w:tab w:val="right" w:leader="dot" w:pos="9350"/>
        </w:tabs>
        <w:rPr>
          <w:rFonts w:ascii="Aptos" w:eastAsia="宋体" w:hAnsi="Aptos"/>
          <w:noProof/>
          <w:lang w:eastAsia="en-GB"/>
        </w:rPr>
      </w:pPr>
      <w:r>
        <w:rPr/>
        <w:fldChar w:fldCharType="begin"/>
      </w:r>
      <w:r>
        <w:instrText xml:space="preserve"> HYPERLINK \l "_Toc220305393" </w:instrText>
      </w:r>
      <w:r>
        <w:rPr/>
        <w:fldChar w:fldCharType="separate"/>
      </w:r>
      <w:r>
        <w:rPr>
          <w:rStyle w:val="style85"/>
          <w:noProof/>
        </w:rPr>
        <w:t>5.2</w:t>
      </w:r>
      <w:r>
        <w:rPr>
          <w:rFonts w:ascii="Aptos" w:eastAsia="宋体" w:hAnsi="Aptos"/>
          <w:noProof/>
          <w:lang w:eastAsia="en-GB"/>
        </w:rPr>
        <w:tab/>
      </w:r>
      <w:r>
        <w:rPr>
          <w:rStyle w:val="style85"/>
          <w:noProof/>
        </w:rPr>
        <w:t>Summary of Key Findings</w:t>
      </w:r>
      <w:r>
        <w:rPr>
          <w:noProof/>
          <w:webHidden/>
        </w:rPr>
        <w:tab/>
      </w:r>
      <w:r>
        <w:rPr>
          <w:noProof/>
          <w:webHidden/>
        </w:rPr>
        <w:fldChar w:fldCharType="begin"/>
      </w:r>
      <w:r>
        <w:rPr>
          <w:noProof/>
          <w:webHidden/>
        </w:rPr>
        <w:instrText xml:space="preserve"> PAGEREF _Toc220305393 \h </w:instrText>
      </w:r>
      <w:r>
        <w:rPr>
          <w:noProof/>
          <w:webHidden/>
        </w:rPr>
        <w:fldChar w:fldCharType="separate"/>
      </w:r>
      <w:r>
        <w:rPr>
          <w:noProof/>
          <w:webHidden/>
        </w:rPr>
        <w:t>36</w:t>
      </w:r>
      <w:r>
        <w:rPr>
          <w:noProof/>
          <w:webHidden/>
        </w:rPr>
        <w:fldChar w:fldCharType="end"/>
      </w:r>
      <w:r>
        <w:rPr/>
        <w:fldChar w:fldCharType="end"/>
      </w:r>
    </w:p>
    <w:p>
      <w:pPr>
        <w:pStyle w:val="style20"/>
        <w:tabs>
          <w:tab w:val="left" w:leader="none" w:pos="960"/>
          <w:tab w:val="right" w:leader="dot" w:pos="9350"/>
        </w:tabs>
        <w:rPr>
          <w:rFonts w:ascii="Aptos" w:eastAsia="宋体" w:hAnsi="Aptos"/>
          <w:noProof/>
          <w:lang w:eastAsia="en-GB"/>
        </w:rPr>
      </w:pPr>
      <w:r>
        <w:rPr/>
        <w:fldChar w:fldCharType="begin"/>
      </w:r>
      <w:r>
        <w:instrText xml:space="preserve"> HYPERLINK \l "_Toc220305394" </w:instrText>
      </w:r>
      <w:r>
        <w:rPr/>
        <w:fldChar w:fldCharType="separate"/>
      </w:r>
      <w:r>
        <w:rPr>
          <w:rStyle w:val="style85"/>
          <w:noProof/>
        </w:rPr>
        <w:t>5.3</w:t>
      </w:r>
      <w:r>
        <w:rPr>
          <w:rFonts w:ascii="Aptos" w:eastAsia="宋体" w:hAnsi="Aptos"/>
          <w:noProof/>
          <w:lang w:eastAsia="en-GB"/>
        </w:rPr>
        <w:tab/>
      </w:r>
      <w:r>
        <w:rPr>
          <w:rStyle w:val="style85"/>
          <w:noProof/>
        </w:rPr>
        <w:t>Interpretation of Findings in Relation to Objective 1</w:t>
      </w:r>
      <w:r>
        <w:rPr>
          <w:noProof/>
          <w:webHidden/>
        </w:rPr>
        <w:tab/>
      </w:r>
      <w:r>
        <w:rPr>
          <w:noProof/>
          <w:webHidden/>
        </w:rPr>
        <w:fldChar w:fldCharType="begin"/>
      </w:r>
      <w:r>
        <w:rPr>
          <w:noProof/>
          <w:webHidden/>
        </w:rPr>
        <w:instrText xml:space="preserve"> PAGEREF _Toc220305394 \h </w:instrText>
      </w:r>
      <w:r>
        <w:rPr>
          <w:noProof/>
          <w:webHidden/>
        </w:rPr>
        <w:fldChar w:fldCharType="separate"/>
      </w:r>
      <w:r>
        <w:rPr>
          <w:noProof/>
          <w:webHidden/>
        </w:rPr>
        <w:t>37</w:t>
      </w:r>
      <w:r>
        <w:rPr>
          <w:noProof/>
          <w:webHidden/>
        </w:rPr>
        <w:fldChar w:fldCharType="end"/>
      </w:r>
      <w:r>
        <w:rPr/>
        <w:fldChar w:fldCharType="end"/>
      </w:r>
    </w:p>
    <w:p>
      <w:pPr>
        <w:pStyle w:val="style20"/>
        <w:tabs>
          <w:tab w:val="left" w:leader="none" w:pos="960"/>
          <w:tab w:val="right" w:leader="dot" w:pos="9350"/>
        </w:tabs>
        <w:rPr>
          <w:rFonts w:ascii="Aptos" w:eastAsia="宋体" w:hAnsi="Aptos"/>
          <w:noProof/>
          <w:lang w:eastAsia="en-GB"/>
        </w:rPr>
      </w:pPr>
      <w:r>
        <w:rPr/>
        <w:fldChar w:fldCharType="begin"/>
      </w:r>
      <w:r>
        <w:instrText xml:space="preserve"> HYPERLINK \l "_Toc220305395" </w:instrText>
      </w:r>
      <w:r>
        <w:rPr/>
        <w:fldChar w:fldCharType="separate"/>
      </w:r>
      <w:r>
        <w:rPr>
          <w:rStyle w:val="style85"/>
          <w:noProof/>
        </w:rPr>
        <w:t>5.4</w:t>
      </w:r>
      <w:r>
        <w:rPr>
          <w:rFonts w:ascii="Aptos" w:eastAsia="宋体" w:hAnsi="Aptos"/>
          <w:noProof/>
          <w:lang w:eastAsia="en-GB"/>
        </w:rPr>
        <w:tab/>
      </w:r>
      <w:r>
        <w:rPr>
          <w:rStyle w:val="style85"/>
          <w:noProof/>
        </w:rPr>
        <w:t>Interpretation of Findings in Relation to Objective 2</w:t>
      </w:r>
      <w:r>
        <w:rPr>
          <w:noProof/>
          <w:webHidden/>
        </w:rPr>
        <w:tab/>
      </w:r>
      <w:r>
        <w:rPr>
          <w:noProof/>
          <w:webHidden/>
        </w:rPr>
        <w:fldChar w:fldCharType="begin"/>
      </w:r>
      <w:r>
        <w:rPr>
          <w:noProof/>
          <w:webHidden/>
        </w:rPr>
        <w:instrText xml:space="preserve"> PAGEREF _Toc220305395 \h </w:instrText>
      </w:r>
      <w:r>
        <w:rPr>
          <w:noProof/>
          <w:webHidden/>
        </w:rPr>
        <w:fldChar w:fldCharType="separate"/>
      </w:r>
      <w:r>
        <w:rPr>
          <w:noProof/>
          <w:webHidden/>
        </w:rPr>
        <w:t>38</w:t>
      </w:r>
      <w:r>
        <w:rPr>
          <w:noProof/>
          <w:webHidden/>
        </w:rPr>
        <w:fldChar w:fldCharType="end"/>
      </w:r>
      <w:r>
        <w:rPr/>
        <w:fldChar w:fldCharType="end"/>
      </w:r>
    </w:p>
    <w:p>
      <w:pPr>
        <w:pStyle w:val="style20"/>
        <w:tabs>
          <w:tab w:val="left" w:leader="none" w:pos="960"/>
          <w:tab w:val="right" w:leader="dot" w:pos="9350"/>
        </w:tabs>
        <w:rPr>
          <w:rFonts w:ascii="Aptos" w:eastAsia="宋体" w:hAnsi="Aptos"/>
          <w:noProof/>
          <w:lang w:eastAsia="en-GB"/>
        </w:rPr>
      </w:pPr>
      <w:r>
        <w:rPr/>
        <w:fldChar w:fldCharType="begin"/>
      </w:r>
      <w:r>
        <w:instrText xml:space="preserve"> HYPERLINK \l "_Toc220305396" </w:instrText>
      </w:r>
      <w:r>
        <w:rPr/>
        <w:fldChar w:fldCharType="separate"/>
      </w:r>
      <w:r>
        <w:rPr>
          <w:rStyle w:val="style85"/>
          <w:noProof/>
        </w:rPr>
        <w:t>5.5</w:t>
      </w:r>
      <w:r>
        <w:rPr>
          <w:rFonts w:ascii="Aptos" w:eastAsia="宋体" w:hAnsi="Aptos"/>
          <w:noProof/>
          <w:lang w:eastAsia="en-GB"/>
        </w:rPr>
        <w:tab/>
      </w:r>
      <w:r>
        <w:rPr>
          <w:rStyle w:val="style85"/>
          <w:noProof/>
        </w:rPr>
        <w:t>Interpretation of Findings in Relation to Objective 3</w:t>
      </w:r>
      <w:r>
        <w:rPr>
          <w:noProof/>
          <w:webHidden/>
        </w:rPr>
        <w:tab/>
      </w:r>
      <w:r>
        <w:rPr>
          <w:noProof/>
          <w:webHidden/>
        </w:rPr>
        <w:fldChar w:fldCharType="begin"/>
      </w:r>
      <w:r>
        <w:rPr>
          <w:noProof/>
          <w:webHidden/>
        </w:rPr>
        <w:instrText xml:space="preserve"> PAGEREF _Toc220305396 \h </w:instrText>
      </w:r>
      <w:r>
        <w:rPr>
          <w:noProof/>
          <w:webHidden/>
        </w:rPr>
        <w:fldChar w:fldCharType="separate"/>
      </w:r>
      <w:r>
        <w:rPr>
          <w:noProof/>
          <w:webHidden/>
        </w:rPr>
        <w:t>38</w:t>
      </w:r>
      <w:r>
        <w:rPr>
          <w:noProof/>
          <w:webHidden/>
        </w:rPr>
        <w:fldChar w:fldCharType="end"/>
      </w:r>
      <w:r>
        <w:rPr/>
        <w:fldChar w:fldCharType="end"/>
      </w:r>
    </w:p>
    <w:p>
      <w:pPr>
        <w:pStyle w:val="style20"/>
        <w:tabs>
          <w:tab w:val="left" w:leader="none" w:pos="960"/>
          <w:tab w:val="right" w:leader="dot" w:pos="9350"/>
        </w:tabs>
        <w:rPr>
          <w:rFonts w:ascii="Aptos" w:eastAsia="宋体" w:hAnsi="Aptos"/>
          <w:noProof/>
          <w:lang w:eastAsia="en-GB"/>
        </w:rPr>
      </w:pPr>
      <w:r>
        <w:rPr/>
        <w:fldChar w:fldCharType="begin"/>
      </w:r>
      <w:r>
        <w:instrText xml:space="preserve"> HYPERLINK \l "_Toc220305397" </w:instrText>
      </w:r>
      <w:r>
        <w:rPr/>
        <w:fldChar w:fldCharType="separate"/>
      </w:r>
      <w:r>
        <w:rPr>
          <w:rStyle w:val="style85"/>
          <w:noProof/>
        </w:rPr>
        <w:t>5.6</w:t>
      </w:r>
      <w:r>
        <w:rPr>
          <w:rFonts w:ascii="Aptos" w:eastAsia="宋体" w:hAnsi="Aptos"/>
          <w:noProof/>
          <w:lang w:eastAsia="en-GB"/>
        </w:rPr>
        <w:tab/>
      </w:r>
      <w:r>
        <w:rPr>
          <w:rStyle w:val="style85"/>
          <w:noProof/>
        </w:rPr>
        <w:t>Alignment and Divergence with Existing Literature</w:t>
      </w:r>
      <w:r>
        <w:rPr>
          <w:noProof/>
          <w:webHidden/>
        </w:rPr>
        <w:tab/>
      </w:r>
      <w:r>
        <w:rPr>
          <w:noProof/>
          <w:webHidden/>
        </w:rPr>
        <w:fldChar w:fldCharType="begin"/>
      </w:r>
      <w:r>
        <w:rPr>
          <w:noProof/>
          <w:webHidden/>
        </w:rPr>
        <w:instrText xml:space="preserve"> PAGEREF _Toc220305397 \h </w:instrText>
      </w:r>
      <w:r>
        <w:rPr>
          <w:noProof/>
          <w:webHidden/>
        </w:rPr>
        <w:fldChar w:fldCharType="separate"/>
      </w:r>
      <w:r>
        <w:rPr>
          <w:noProof/>
          <w:webHidden/>
        </w:rPr>
        <w:t>39</w:t>
      </w:r>
      <w:r>
        <w:rPr>
          <w:noProof/>
          <w:webHidden/>
        </w:rPr>
        <w:fldChar w:fldCharType="end"/>
      </w:r>
      <w:r>
        <w:rPr/>
        <w:fldChar w:fldCharType="end"/>
      </w:r>
    </w:p>
    <w:p>
      <w:pPr>
        <w:pStyle w:val="style20"/>
        <w:tabs>
          <w:tab w:val="left" w:leader="none" w:pos="960"/>
          <w:tab w:val="right" w:leader="dot" w:pos="9350"/>
        </w:tabs>
        <w:rPr>
          <w:rFonts w:ascii="Aptos" w:eastAsia="宋体" w:hAnsi="Aptos"/>
          <w:noProof/>
          <w:lang w:eastAsia="en-GB"/>
        </w:rPr>
      </w:pPr>
      <w:r>
        <w:rPr/>
        <w:fldChar w:fldCharType="begin"/>
      </w:r>
      <w:r>
        <w:instrText xml:space="preserve"> HYPERLINK \l "_Toc220305398" </w:instrText>
      </w:r>
      <w:r>
        <w:rPr/>
        <w:fldChar w:fldCharType="separate"/>
      </w:r>
      <w:r>
        <w:rPr>
          <w:rStyle w:val="style85"/>
          <w:noProof/>
        </w:rPr>
        <w:t>5.7</w:t>
      </w:r>
      <w:r>
        <w:rPr>
          <w:rFonts w:ascii="Aptos" w:eastAsia="宋体" w:hAnsi="Aptos"/>
          <w:noProof/>
          <w:lang w:eastAsia="en-GB"/>
        </w:rPr>
        <w:tab/>
      </w:r>
      <w:r>
        <w:rPr>
          <w:rStyle w:val="style85"/>
          <w:noProof/>
        </w:rPr>
        <w:t>Addressing the Literature Gap and Contribution</w:t>
      </w:r>
      <w:r>
        <w:rPr>
          <w:noProof/>
          <w:webHidden/>
        </w:rPr>
        <w:tab/>
      </w:r>
      <w:r>
        <w:rPr>
          <w:noProof/>
          <w:webHidden/>
        </w:rPr>
        <w:fldChar w:fldCharType="begin"/>
      </w:r>
      <w:r>
        <w:rPr>
          <w:noProof/>
          <w:webHidden/>
        </w:rPr>
        <w:instrText xml:space="preserve"> PAGEREF _Toc220305398 \h </w:instrText>
      </w:r>
      <w:r>
        <w:rPr>
          <w:noProof/>
          <w:webHidden/>
        </w:rPr>
        <w:fldChar w:fldCharType="separate"/>
      </w:r>
      <w:r>
        <w:rPr>
          <w:noProof/>
          <w:webHidden/>
        </w:rPr>
        <w:t>40</w:t>
      </w:r>
      <w:r>
        <w:rPr>
          <w:noProof/>
          <w:webHidden/>
        </w:rPr>
        <w:fldChar w:fldCharType="end"/>
      </w:r>
      <w:r>
        <w:rPr/>
        <w:fldChar w:fldCharType="end"/>
      </w:r>
    </w:p>
    <w:p>
      <w:pPr>
        <w:pStyle w:val="style20"/>
        <w:tabs>
          <w:tab w:val="left" w:leader="none" w:pos="960"/>
          <w:tab w:val="right" w:leader="dot" w:pos="9350"/>
        </w:tabs>
        <w:rPr>
          <w:rFonts w:ascii="Aptos" w:eastAsia="宋体" w:hAnsi="Aptos"/>
          <w:noProof/>
          <w:lang w:eastAsia="en-GB"/>
        </w:rPr>
      </w:pPr>
      <w:r>
        <w:rPr/>
        <w:fldChar w:fldCharType="begin"/>
      </w:r>
      <w:r>
        <w:instrText xml:space="preserve"> HYPERLINK \l "_Toc220305399" </w:instrText>
      </w:r>
      <w:r>
        <w:rPr/>
        <w:fldChar w:fldCharType="separate"/>
      </w:r>
      <w:r>
        <w:rPr>
          <w:rStyle w:val="style85"/>
          <w:noProof/>
        </w:rPr>
        <w:t>5.8</w:t>
      </w:r>
      <w:r>
        <w:rPr>
          <w:rFonts w:ascii="Aptos" w:eastAsia="宋体" w:hAnsi="Aptos"/>
          <w:noProof/>
          <w:lang w:eastAsia="en-GB"/>
        </w:rPr>
        <w:tab/>
      </w:r>
      <w:r>
        <w:rPr>
          <w:rStyle w:val="style85"/>
          <w:noProof/>
        </w:rPr>
        <w:t>Chapter Conclusion</w:t>
      </w:r>
      <w:r>
        <w:rPr>
          <w:noProof/>
          <w:webHidden/>
        </w:rPr>
        <w:tab/>
      </w:r>
      <w:r>
        <w:rPr>
          <w:noProof/>
          <w:webHidden/>
        </w:rPr>
        <w:fldChar w:fldCharType="begin"/>
      </w:r>
      <w:r>
        <w:rPr>
          <w:noProof/>
          <w:webHidden/>
        </w:rPr>
        <w:instrText xml:space="preserve"> PAGEREF _Toc220305399 \h </w:instrText>
      </w:r>
      <w:r>
        <w:rPr>
          <w:noProof/>
          <w:webHidden/>
        </w:rPr>
        <w:fldChar w:fldCharType="separate"/>
      </w:r>
      <w:r>
        <w:rPr>
          <w:noProof/>
          <w:webHidden/>
        </w:rPr>
        <w:t>40</w:t>
      </w:r>
      <w:r>
        <w:rPr>
          <w:noProof/>
          <w:webHidden/>
        </w:rPr>
        <w:fldChar w:fldCharType="end"/>
      </w:r>
      <w:r>
        <w:rPr/>
        <w:fldChar w:fldCharType="end"/>
      </w:r>
    </w:p>
    <w:p>
      <w:pPr>
        <w:pStyle w:val="style19"/>
        <w:tabs>
          <w:tab w:val="left" w:leader="none" w:pos="480"/>
          <w:tab w:val="right" w:leader="dot" w:pos="9350"/>
        </w:tabs>
        <w:rPr>
          <w:rFonts w:ascii="Aptos" w:eastAsia="宋体" w:hAnsi="Aptos"/>
          <w:noProof/>
          <w:lang w:eastAsia="en-GB"/>
        </w:rPr>
      </w:pPr>
      <w:r>
        <w:rPr/>
        <w:fldChar w:fldCharType="begin"/>
      </w:r>
      <w:r>
        <w:instrText xml:space="preserve"> HYPERLINK \l "_Toc220305400" </w:instrText>
      </w:r>
      <w:r>
        <w:rPr/>
        <w:fldChar w:fldCharType="separate"/>
      </w:r>
      <w:r>
        <w:rPr>
          <w:rStyle w:val="style85"/>
          <w:noProof/>
        </w:rPr>
        <w:t>6</w:t>
      </w:r>
      <w:r>
        <w:rPr>
          <w:rFonts w:ascii="Aptos" w:eastAsia="宋体" w:hAnsi="Aptos"/>
          <w:noProof/>
          <w:lang w:eastAsia="en-GB"/>
        </w:rPr>
        <w:tab/>
      </w:r>
      <w:r>
        <w:rPr>
          <w:rStyle w:val="style85"/>
          <w:noProof/>
        </w:rPr>
        <w:t>Chapter Six: Conclusion</w:t>
      </w:r>
      <w:r>
        <w:rPr>
          <w:noProof/>
          <w:webHidden/>
        </w:rPr>
        <w:tab/>
      </w:r>
      <w:r>
        <w:rPr>
          <w:noProof/>
          <w:webHidden/>
        </w:rPr>
        <w:fldChar w:fldCharType="begin"/>
      </w:r>
      <w:r>
        <w:rPr>
          <w:noProof/>
          <w:webHidden/>
        </w:rPr>
        <w:instrText xml:space="preserve"> PAGEREF _Toc220305400 \h </w:instrText>
      </w:r>
      <w:r>
        <w:rPr>
          <w:noProof/>
          <w:webHidden/>
        </w:rPr>
        <w:fldChar w:fldCharType="separate"/>
      </w:r>
      <w:r>
        <w:rPr>
          <w:noProof/>
          <w:webHidden/>
        </w:rPr>
        <w:t>42</w:t>
      </w:r>
      <w:r>
        <w:rPr>
          <w:noProof/>
          <w:webHidden/>
        </w:rPr>
        <w:fldChar w:fldCharType="end"/>
      </w:r>
      <w:r>
        <w:rPr/>
        <w:fldChar w:fldCharType="end"/>
      </w:r>
    </w:p>
    <w:p>
      <w:pPr>
        <w:pStyle w:val="style20"/>
        <w:tabs>
          <w:tab w:val="left" w:leader="none" w:pos="960"/>
          <w:tab w:val="right" w:leader="dot" w:pos="9350"/>
        </w:tabs>
        <w:rPr>
          <w:rFonts w:ascii="Aptos" w:eastAsia="宋体" w:hAnsi="Aptos"/>
          <w:noProof/>
          <w:lang w:eastAsia="en-GB"/>
        </w:rPr>
      </w:pPr>
      <w:r>
        <w:rPr/>
        <w:fldChar w:fldCharType="begin"/>
      </w:r>
      <w:r>
        <w:instrText xml:space="preserve"> HYPERLINK \l "_Toc220305401" </w:instrText>
      </w:r>
      <w:r>
        <w:rPr/>
        <w:fldChar w:fldCharType="separate"/>
      </w:r>
      <w:r>
        <w:rPr>
          <w:rStyle w:val="style85"/>
          <w:noProof/>
        </w:rPr>
        <w:t>6.1</w:t>
      </w:r>
      <w:r>
        <w:rPr>
          <w:rFonts w:ascii="Aptos" w:eastAsia="宋体" w:hAnsi="Aptos"/>
          <w:noProof/>
          <w:lang w:eastAsia="en-GB"/>
        </w:rPr>
        <w:tab/>
      </w:r>
      <w:r>
        <w:rPr>
          <w:rStyle w:val="style85"/>
          <w:noProof/>
        </w:rPr>
        <w:t>Restatement of the Research Aim and Purpose</w:t>
      </w:r>
      <w:r>
        <w:rPr>
          <w:noProof/>
          <w:webHidden/>
        </w:rPr>
        <w:tab/>
      </w:r>
      <w:r>
        <w:rPr>
          <w:noProof/>
          <w:webHidden/>
        </w:rPr>
        <w:fldChar w:fldCharType="begin"/>
      </w:r>
      <w:r>
        <w:rPr>
          <w:noProof/>
          <w:webHidden/>
        </w:rPr>
        <w:instrText xml:space="preserve"> PAGEREF _Toc220305401 \h </w:instrText>
      </w:r>
      <w:r>
        <w:rPr>
          <w:noProof/>
          <w:webHidden/>
        </w:rPr>
        <w:fldChar w:fldCharType="separate"/>
      </w:r>
      <w:r>
        <w:rPr>
          <w:noProof/>
          <w:webHidden/>
        </w:rPr>
        <w:t>42</w:t>
      </w:r>
      <w:r>
        <w:rPr>
          <w:noProof/>
          <w:webHidden/>
        </w:rPr>
        <w:fldChar w:fldCharType="end"/>
      </w:r>
      <w:r>
        <w:rPr/>
        <w:fldChar w:fldCharType="end"/>
      </w:r>
    </w:p>
    <w:p>
      <w:pPr>
        <w:pStyle w:val="style20"/>
        <w:tabs>
          <w:tab w:val="left" w:leader="none" w:pos="960"/>
          <w:tab w:val="right" w:leader="dot" w:pos="9350"/>
        </w:tabs>
        <w:rPr>
          <w:rFonts w:ascii="Aptos" w:eastAsia="宋体" w:hAnsi="Aptos"/>
          <w:noProof/>
          <w:lang w:eastAsia="en-GB"/>
        </w:rPr>
      </w:pPr>
      <w:r>
        <w:rPr/>
        <w:fldChar w:fldCharType="begin"/>
      </w:r>
      <w:r>
        <w:instrText xml:space="preserve"> HYPERLINK \l "_Toc220305402" </w:instrText>
      </w:r>
      <w:r>
        <w:rPr/>
        <w:fldChar w:fldCharType="separate"/>
      </w:r>
      <w:r>
        <w:rPr>
          <w:rStyle w:val="style85"/>
          <w:noProof/>
        </w:rPr>
        <w:t>6.2</w:t>
      </w:r>
      <w:r>
        <w:rPr>
          <w:rFonts w:ascii="Aptos" w:eastAsia="宋体" w:hAnsi="Aptos"/>
          <w:noProof/>
          <w:lang w:eastAsia="en-GB"/>
        </w:rPr>
        <w:tab/>
      </w:r>
      <w:r>
        <w:rPr>
          <w:rStyle w:val="style85"/>
          <w:noProof/>
        </w:rPr>
        <w:t>Summary of Key Findings</w:t>
      </w:r>
      <w:r>
        <w:rPr>
          <w:noProof/>
          <w:webHidden/>
        </w:rPr>
        <w:tab/>
      </w:r>
      <w:r>
        <w:rPr>
          <w:noProof/>
          <w:webHidden/>
        </w:rPr>
        <w:fldChar w:fldCharType="begin"/>
      </w:r>
      <w:r>
        <w:rPr>
          <w:noProof/>
          <w:webHidden/>
        </w:rPr>
        <w:instrText xml:space="preserve"> PAGEREF _Toc220305402 \h </w:instrText>
      </w:r>
      <w:r>
        <w:rPr>
          <w:noProof/>
          <w:webHidden/>
        </w:rPr>
        <w:fldChar w:fldCharType="separate"/>
      </w:r>
      <w:r>
        <w:rPr>
          <w:noProof/>
          <w:webHidden/>
        </w:rPr>
        <w:t>42</w:t>
      </w:r>
      <w:r>
        <w:rPr>
          <w:noProof/>
          <w:webHidden/>
        </w:rPr>
        <w:fldChar w:fldCharType="end"/>
      </w:r>
      <w:r>
        <w:rPr/>
        <w:fldChar w:fldCharType="end"/>
      </w:r>
    </w:p>
    <w:p>
      <w:pPr>
        <w:pStyle w:val="style20"/>
        <w:tabs>
          <w:tab w:val="left" w:leader="none" w:pos="960"/>
          <w:tab w:val="right" w:leader="dot" w:pos="9350"/>
        </w:tabs>
        <w:rPr>
          <w:rFonts w:ascii="Aptos" w:eastAsia="宋体" w:hAnsi="Aptos"/>
          <w:noProof/>
          <w:lang w:eastAsia="en-GB"/>
        </w:rPr>
      </w:pPr>
      <w:r>
        <w:rPr/>
        <w:fldChar w:fldCharType="begin"/>
      </w:r>
      <w:r>
        <w:instrText xml:space="preserve"> HYPERLINK \l "_Toc220305403" </w:instrText>
      </w:r>
      <w:r>
        <w:rPr/>
        <w:fldChar w:fldCharType="separate"/>
      </w:r>
      <w:r>
        <w:rPr>
          <w:rStyle w:val="style85"/>
          <w:noProof/>
        </w:rPr>
        <w:t>6.3</w:t>
      </w:r>
      <w:r>
        <w:rPr>
          <w:rFonts w:ascii="Aptos" w:eastAsia="宋体" w:hAnsi="Aptos"/>
          <w:noProof/>
          <w:lang w:eastAsia="en-GB"/>
        </w:rPr>
        <w:tab/>
      </w:r>
      <w:r>
        <w:rPr>
          <w:rStyle w:val="style85"/>
          <w:noProof/>
        </w:rPr>
        <w:t>Addressing the Research Objectives</w:t>
      </w:r>
      <w:r>
        <w:rPr>
          <w:noProof/>
          <w:webHidden/>
        </w:rPr>
        <w:tab/>
      </w:r>
      <w:r>
        <w:rPr>
          <w:noProof/>
          <w:webHidden/>
        </w:rPr>
        <w:fldChar w:fldCharType="begin"/>
      </w:r>
      <w:r>
        <w:rPr>
          <w:noProof/>
          <w:webHidden/>
        </w:rPr>
        <w:instrText xml:space="preserve"> PAGEREF _Toc220305403 \h </w:instrText>
      </w:r>
      <w:r>
        <w:rPr>
          <w:noProof/>
          <w:webHidden/>
        </w:rPr>
        <w:fldChar w:fldCharType="separate"/>
      </w:r>
      <w:r>
        <w:rPr>
          <w:noProof/>
          <w:webHidden/>
        </w:rPr>
        <w:t>43</w:t>
      </w:r>
      <w:r>
        <w:rPr>
          <w:noProof/>
          <w:webHidden/>
        </w:rPr>
        <w:fldChar w:fldCharType="end"/>
      </w:r>
      <w:r>
        <w:rPr/>
        <w:fldChar w:fldCharType="end"/>
      </w:r>
    </w:p>
    <w:p>
      <w:pPr>
        <w:pStyle w:val="style20"/>
        <w:tabs>
          <w:tab w:val="left" w:leader="none" w:pos="960"/>
          <w:tab w:val="right" w:leader="dot" w:pos="9350"/>
        </w:tabs>
        <w:rPr>
          <w:rFonts w:ascii="Aptos" w:eastAsia="宋体" w:hAnsi="Aptos"/>
          <w:noProof/>
          <w:lang w:eastAsia="en-GB"/>
        </w:rPr>
      </w:pPr>
      <w:r>
        <w:rPr/>
        <w:fldChar w:fldCharType="begin"/>
      </w:r>
      <w:r>
        <w:instrText xml:space="preserve"> HYPERLINK \l "_Toc220305404" </w:instrText>
      </w:r>
      <w:r>
        <w:rPr/>
        <w:fldChar w:fldCharType="separate"/>
      </w:r>
      <w:r>
        <w:rPr>
          <w:rStyle w:val="style85"/>
          <w:noProof/>
        </w:rPr>
        <w:t>6.4</w:t>
      </w:r>
      <w:r>
        <w:rPr>
          <w:rFonts w:ascii="Aptos" w:eastAsia="宋体" w:hAnsi="Aptos"/>
          <w:noProof/>
          <w:lang w:eastAsia="en-GB"/>
        </w:rPr>
        <w:tab/>
      </w:r>
      <w:r>
        <w:rPr>
          <w:rStyle w:val="style85"/>
          <w:noProof/>
        </w:rPr>
        <w:t>Addressing the Literature Gap and Original Contribution</w:t>
      </w:r>
      <w:r>
        <w:rPr>
          <w:noProof/>
          <w:webHidden/>
        </w:rPr>
        <w:tab/>
      </w:r>
      <w:r>
        <w:rPr>
          <w:noProof/>
          <w:webHidden/>
        </w:rPr>
        <w:fldChar w:fldCharType="begin"/>
      </w:r>
      <w:r>
        <w:rPr>
          <w:noProof/>
          <w:webHidden/>
        </w:rPr>
        <w:instrText xml:space="preserve"> PAGEREF _Toc220305404 \h </w:instrText>
      </w:r>
      <w:r>
        <w:rPr>
          <w:noProof/>
          <w:webHidden/>
        </w:rPr>
        <w:fldChar w:fldCharType="separate"/>
      </w:r>
      <w:r>
        <w:rPr>
          <w:noProof/>
          <w:webHidden/>
        </w:rPr>
        <w:t>44</w:t>
      </w:r>
      <w:r>
        <w:rPr>
          <w:noProof/>
          <w:webHidden/>
        </w:rPr>
        <w:fldChar w:fldCharType="end"/>
      </w:r>
      <w:r>
        <w:rPr/>
        <w:fldChar w:fldCharType="end"/>
      </w:r>
    </w:p>
    <w:p>
      <w:pPr>
        <w:pStyle w:val="style20"/>
        <w:tabs>
          <w:tab w:val="left" w:leader="none" w:pos="960"/>
          <w:tab w:val="right" w:leader="dot" w:pos="9350"/>
        </w:tabs>
        <w:rPr>
          <w:rFonts w:ascii="Aptos" w:eastAsia="宋体" w:hAnsi="Aptos"/>
          <w:noProof/>
          <w:lang w:eastAsia="en-GB"/>
        </w:rPr>
      </w:pPr>
      <w:r>
        <w:rPr/>
        <w:fldChar w:fldCharType="begin"/>
      </w:r>
      <w:r>
        <w:instrText xml:space="preserve"> HYPERLINK \l "_Toc220305405" </w:instrText>
      </w:r>
      <w:r>
        <w:rPr/>
        <w:fldChar w:fldCharType="separate"/>
      </w:r>
      <w:r>
        <w:rPr>
          <w:rStyle w:val="style85"/>
          <w:noProof/>
        </w:rPr>
        <w:t>6.5</w:t>
      </w:r>
      <w:r>
        <w:rPr>
          <w:rFonts w:ascii="Aptos" w:eastAsia="宋体" w:hAnsi="Aptos"/>
          <w:noProof/>
          <w:lang w:eastAsia="en-GB"/>
        </w:rPr>
        <w:tab/>
      </w:r>
      <w:r>
        <w:rPr>
          <w:rStyle w:val="style85"/>
          <w:noProof/>
        </w:rPr>
        <w:t>Theoretical Contributions</w:t>
      </w:r>
      <w:r>
        <w:rPr>
          <w:noProof/>
          <w:webHidden/>
        </w:rPr>
        <w:tab/>
      </w:r>
      <w:r>
        <w:rPr>
          <w:noProof/>
          <w:webHidden/>
        </w:rPr>
        <w:fldChar w:fldCharType="begin"/>
      </w:r>
      <w:r>
        <w:rPr>
          <w:noProof/>
          <w:webHidden/>
        </w:rPr>
        <w:instrText xml:space="preserve"> PAGEREF _Toc220305405 \h </w:instrText>
      </w:r>
      <w:r>
        <w:rPr>
          <w:noProof/>
          <w:webHidden/>
        </w:rPr>
        <w:fldChar w:fldCharType="separate"/>
      </w:r>
      <w:r>
        <w:rPr>
          <w:noProof/>
          <w:webHidden/>
        </w:rPr>
        <w:t>44</w:t>
      </w:r>
      <w:r>
        <w:rPr>
          <w:noProof/>
          <w:webHidden/>
        </w:rPr>
        <w:fldChar w:fldCharType="end"/>
      </w:r>
      <w:r>
        <w:rPr/>
        <w:fldChar w:fldCharType="end"/>
      </w:r>
    </w:p>
    <w:p>
      <w:pPr>
        <w:pStyle w:val="style20"/>
        <w:tabs>
          <w:tab w:val="left" w:leader="none" w:pos="960"/>
          <w:tab w:val="right" w:leader="dot" w:pos="9350"/>
        </w:tabs>
        <w:rPr>
          <w:rFonts w:ascii="Aptos" w:eastAsia="宋体" w:hAnsi="Aptos"/>
          <w:noProof/>
          <w:lang w:eastAsia="en-GB"/>
        </w:rPr>
      </w:pPr>
      <w:r>
        <w:rPr/>
        <w:fldChar w:fldCharType="begin"/>
      </w:r>
      <w:r>
        <w:instrText xml:space="preserve"> HYPERLINK \l "_Toc220305406" </w:instrText>
      </w:r>
      <w:r>
        <w:rPr/>
        <w:fldChar w:fldCharType="separate"/>
      </w:r>
      <w:r>
        <w:rPr>
          <w:rStyle w:val="style85"/>
          <w:noProof/>
        </w:rPr>
        <w:t>6.6</w:t>
      </w:r>
      <w:r>
        <w:rPr>
          <w:rFonts w:ascii="Aptos" w:eastAsia="宋体" w:hAnsi="Aptos"/>
          <w:noProof/>
          <w:lang w:eastAsia="en-GB"/>
        </w:rPr>
        <w:tab/>
      </w:r>
      <w:r>
        <w:rPr>
          <w:rStyle w:val="style85"/>
          <w:noProof/>
        </w:rPr>
        <w:t>Practical Contributions and Implications</w:t>
      </w:r>
      <w:r>
        <w:rPr>
          <w:noProof/>
          <w:webHidden/>
        </w:rPr>
        <w:tab/>
      </w:r>
      <w:r>
        <w:rPr>
          <w:noProof/>
          <w:webHidden/>
        </w:rPr>
        <w:fldChar w:fldCharType="begin"/>
      </w:r>
      <w:r>
        <w:rPr>
          <w:noProof/>
          <w:webHidden/>
        </w:rPr>
        <w:instrText xml:space="preserve"> PAGEREF _Toc220305406 \h </w:instrText>
      </w:r>
      <w:r>
        <w:rPr>
          <w:noProof/>
          <w:webHidden/>
        </w:rPr>
        <w:fldChar w:fldCharType="separate"/>
      </w:r>
      <w:r>
        <w:rPr>
          <w:noProof/>
          <w:webHidden/>
        </w:rPr>
        <w:t>45</w:t>
      </w:r>
      <w:r>
        <w:rPr>
          <w:noProof/>
          <w:webHidden/>
        </w:rPr>
        <w:fldChar w:fldCharType="end"/>
      </w:r>
      <w:r>
        <w:rPr/>
        <w:fldChar w:fldCharType="end"/>
      </w:r>
    </w:p>
    <w:p>
      <w:pPr>
        <w:pStyle w:val="style20"/>
        <w:tabs>
          <w:tab w:val="left" w:leader="none" w:pos="960"/>
          <w:tab w:val="right" w:leader="dot" w:pos="9350"/>
        </w:tabs>
        <w:rPr>
          <w:rFonts w:ascii="Aptos" w:eastAsia="宋体" w:hAnsi="Aptos"/>
          <w:noProof/>
          <w:lang w:eastAsia="en-GB"/>
        </w:rPr>
      </w:pPr>
      <w:r>
        <w:rPr/>
        <w:fldChar w:fldCharType="begin"/>
      </w:r>
      <w:r>
        <w:instrText xml:space="preserve"> HYPERLINK \l "_Toc220305407" </w:instrText>
      </w:r>
      <w:r>
        <w:rPr/>
        <w:fldChar w:fldCharType="separate"/>
      </w:r>
      <w:r>
        <w:rPr>
          <w:rStyle w:val="style85"/>
          <w:noProof/>
        </w:rPr>
        <w:t>6.7</w:t>
      </w:r>
      <w:r>
        <w:rPr>
          <w:rFonts w:ascii="Aptos" w:eastAsia="宋体" w:hAnsi="Aptos"/>
          <w:noProof/>
          <w:lang w:eastAsia="en-GB"/>
        </w:rPr>
        <w:tab/>
      </w:r>
      <w:r>
        <w:rPr>
          <w:rStyle w:val="style85"/>
          <w:noProof/>
        </w:rPr>
        <w:t>Limitations of the Study</w:t>
      </w:r>
      <w:r>
        <w:rPr>
          <w:noProof/>
          <w:webHidden/>
        </w:rPr>
        <w:tab/>
      </w:r>
      <w:r>
        <w:rPr>
          <w:noProof/>
          <w:webHidden/>
        </w:rPr>
        <w:fldChar w:fldCharType="begin"/>
      </w:r>
      <w:r>
        <w:rPr>
          <w:noProof/>
          <w:webHidden/>
        </w:rPr>
        <w:instrText xml:space="preserve"> PAGEREF _Toc220305407 \h </w:instrText>
      </w:r>
      <w:r>
        <w:rPr>
          <w:noProof/>
          <w:webHidden/>
        </w:rPr>
        <w:fldChar w:fldCharType="separate"/>
      </w:r>
      <w:r>
        <w:rPr>
          <w:noProof/>
          <w:webHidden/>
        </w:rPr>
        <w:t>45</w:t>
      </w:r>
      <w:r>
        <w:rPr>
          <w:noProof/>
          <w:webHidden/>
        </w:rPr>
        <w:fldChar w:fldCharType="end"/>
      </w:r>
      <w:r>
        <w:rPr/>
        <w:fldChar w:fldCharType="end"/>
      </w:r>
    </w:p>
    <w:p>
      <w:pPr>
        <w:pStyle w:val="style20"/>
        <w:tabs>
          <w:tab w:val="left" w:leader="none" w:pos="960"/>
          <w:tab w:val="right" w:leader="dot" w:pos="9350"/>
        </w:tabs>
        <w:rPr>
          <w:rFonts w:ascii="Aptos" w:eastAsia="宋体" w:hAnsi="Aptos"/>
          <w:noProof/>
          <w:lang w:eastAsia="en-GB"/>
        </w:rPr>
      </w:pPr>
      <w:r>
        <w:rPr/>
        <w:fldChar w:fldCharType="begin"/>
      </w:r>
      <w:r>
        <w:instrText xml:space="preserve"> HYPERLINK \l "_Toc220305408" </w:instrText>
      </w:r>
      <w:r>
        <w:rPr/>
        <w:fldChar w:fldCharType="separate"/>
      </w:r>
      <w:r>
        <w:rPr>
          <w:rStyle w:val="style85"/>
          <w:noProof/>
        </w:rPr>
        <w:t>6.8</w:t>
      </w:r>
      <w:r>
        <w:rPr>
          <w:rFonts w:ascii="Aptos" w:eastAsia="宋体" w:hAnsi="Aptos"/>
          <w:noProof/>
          <w:lang w:eastAsia="en-GB"/>
        </w:rPr>
        <w:tab/>
      </w:r>
      <w:r>
        <w:rPr>
          <w:rStyle w:val="style85"/>
          <w:noProof/>
        </w:rPr>
        <w:t>Recommendations for Future Research</w:t>
      </w:r>
      <w:r>
        <w:rPr>
          <w:noProof/>
          <w:webHidden/>
        </w:rPr>
        <w:tab/>
      </w:r>
      <w:r>
        <w:rPr>
          <w:noProof/>
          <w:webHidden/>
        </w:rPr>
        <w:fldChar w:fldCharType="begin"/>
      </w:r>
      <w:r>
        <w:rPr>
          <w:noProof/>
          <w:webHidden/>
        </w:rPr>
        <w:instrText xml:space="preserve"> PAGEREF _Toc220305408 \h </w:instrText>
      </w:r>
      <w:r>
        <w:rPr>
          <w:noProof/>
          <w:webHidden/>
        </w:rPr>
        <w:fldChar w:fldCharType="separate"/>
      </w:r>
      <w:r>
        <w:rPr>
          <w:noProof/>
          <w:webHidden/>
        </w:rPr>
        <w:t>46</w:t>
      </w:r>
      <w:r>
        <w:rPr>
          <w:noProof/>
          <w:webHidden/>
        </w:rPr>
        <w:fldChar w:fldCharType="end"/>
      </w:r>
      <w:r>
        <w:rPr/>
        <w:fldChar w:fldCharType="end"/>
      </w:r>
    </w:p>
    <w:p>
      <w:pPr>
        <w:pStyle w:val="style20"/>
        <w:tabs>
          <w:tab w:val="left" w:leader="none" w:pos="960"/>
          <w:tab w:val="right" w:leader="dot" w:pos="9350"/>
        </w:tabs>
        <w:rPr>
          <w:rFonts w:ascii="Aptos" w:eastAsia="宋体" w:hAnsi="Aptos"/>
          <w:noProof/>
          <w:lang w:eastAsia="en-GB"/>
        </w:rPr>
      </w:pPr>
      <w:r>
        <w:rPr/>
        <w:fldChar w:fldCharType="begin"/>
      </w:r>
      <w:r>
        <w:instrText xml:space="preserve"> HYPERLINK \l "_Toc220305409" </w:instrText>
      </w:r>
      <w:r>
        <w:rPr/>
        <w:fldChar w:fldCharType="separate"/>
      </w:r>
      <w:r>
        <w:rPr>
          <w:rStyle w:val="style85"/>
          <w:noProof/>
        </w:rPr>
        <w:t>6.9</w:t>
      </w:r>
      <w:r>
        <w:rPr>
          <w:rFonts w:ascii="Aptos" w:eastAsia="宋体" w:hAnsi="Aptos"/>
          <w:noProof/>
          <w:lang w:eastAsia="en-GB"/>
        </w:rPr>
        <w:tab/>
      </w:r>
      <w:r>
        <w:rPr>
          <w:rStyle w:val="style85"/>
          <w:noProof/>
        </w:rPr>
        <w:t>Final Reflection</w:t>
      </w:r>
      <w:r>
        <w:rPr>
          <w:noProof/>
          <w:webHidden/>
        </w:rPr>
        <w:tab/>
      </w:r>
      <w:r>
        <w:rPr>
          <w:noProof/>
          <w:webHidden/>
        </w:rPr>
        <w:fldChar w:fldCharType="begin"/>
      </w:r>
      <w:r>
        <w:rPr>
          <w:noProof/>
          <w:webHidden/>
        </w:rPr>
        <w:instrText xml:space="preserve"> PAGEREF _Toc220305409 \h </w:instrText>
      </w:r>
      <w:r>
        <w:rPr>
          <w:noProof/>
          <w:webHidden/>
        </w:rPr>
        <w:fldChar w:fldCharType="separate"/>
      </w:r>
      <w:r>
        <w:rPr>
          <w:noProof/>
          <w:webHidden/>
        </w:rPr>
        <w:t>46</w:t>
      </w:r>
      <w:r>
        <w:rPr>
          <w:noProof/>
          <w:webHidden/>
        </w:rPr>
        <w:fldChar w:fldCharType="end"/>
      </w:r>
      <w:r>
        <w:rPr/>
        <w:fldChar w:fldCharType="end"/>
      </w:r>
    </w:p>
    <w:p>
      <w:pPr>
        <w:pStyle w:val="style19"/>
        <w:tabs>
          <w:tab w:val="left" w:leader="none" w:pos="480"/>
          <w:tab w:val="right" w:leader="dot" w:pos="9350"/>
        </w:tabs>
        <w:rPr>
          <w:rFonts w:ascii="Aptos" w:eastAsia="宋体" w:hAnsi="Aptos"/>
          <w:noProof/>
          <w:lang w:eastAsia="en-GB"/>
        </w:rPr>
      </w:pPr>
      <w:r>
        <w:rPr/>
        <w:fldChar w:fldCharType="begin"/>
      </w:r>
      <w:r>
        <w:instrText xml:space="preserve"> HYPERLINK \l "_Toc220305410" </w:instrText>
      </w:r>
      <w:r>
        <w:rPr/>
        <w:fldChar w:fldCharType="separate"/>
      </w:r>
      <w:r>
        <w:rPr>
          <w:rStyle w:val="style85"/>
          <w:noProof/>
        </w:rPr>
        <w:t>7</w:t>
      </w:r>
      <w:r>
        <w:rPr>
          <w:rFonts w:ascii="Aptos" w:eastAsia="宋体" w:hAnsi="Aptos"/>
          <w:noProof/>
          <w:lang w:eastAsia="en-GB"/>
        </w:rPr>
        <w:tab/>
      </w:r>
      <w:r>
        <w:rPr>
          <w:rStyle w:val="style85"/>
          <w:noProof/>
        </w:rPr>
        <w:t>References</w:t>
      </w:r>
      <w:r>
        <w:rPr>
          <w:noProof/>
          <w:webHidden/>
        </w:rPr>
        <w:tab/>
      </w:r>
      <w:r>
        <w:rPr>
          <w:noProof/>
          <w:webHidden/>
        </w:rPr>
        <w:fldChar w:fldCharType="begin"/>
      </w:r>
      <w:r>
        <w:rPr>
          <w:noProof/>
          <w:webHidden/>
        </w:rPr>
        <w:instrText xml:space="preserve"> PAGEREF _Toc220305410 \h </w:instrText>
      </w:r>
      <w:r>
        <w:rPr>
          <w:noProof/>
          <w:webHidden/>
        </w:rPr>
        <w:fldChar w:fldCharType="separate"/>
      </w:r>
      <w:r>
        <w:rPr>
          <w:noProof/>
          <w:webHidden/>
        </w:rPr>
        <w:t>47</w:t>
      </w:r>
      <w:r>
        <w:rPr>
          <w:noProof/>
          <w:webHidden/>
        </w:rPr>
        <w:fldChar w:fldCharType="end"/>
      </w:r>
      <w:r>
        <w:rPr/>
        <w:fldChar w:fldCharType="end"/>
      </w:r>
    </w:p>
    <w:p>
      <w:pPr>
        <w:pStyle w:val="style19"/>
        <w:tabs>
          <w:tab w:val="left" w:leader="none" w:pos="480"/>
          <w:tab w:val="right" w:leader="dot" w:pos="9350"/>
        </w:tabs>
        <w:rPr>
          <w:rFonts w:ascii="Aptos" w:eastAsia="宋体" w:hAnsi="Aptos"/>
          <w:noProof/>
          <w:lang w:eastAsia="en-GB"/>
        </w:rPr>
      </w:pPr>
      <w:r>
        <w:rPr/>
        <w:fldChar w:fldCharType="begin"/>
      </w:r>
      <w:r>
        <w:instrText xml:space="preserve"> HYPERLINK \l "_Toc220305411" </w:instrText>
      </w:r>
      <w:r>
        <w:rPr/>
        <w:fldChar w:fldCharType="separate"/>
      </w:r>
      <w:r>
        <w:rPr>
          <w:rStyle w:val="style85"/>
          <w:noProof/>
        </w:rPr>
        <w:t>8</w:t>
      </w:r>
      <w:r>
        <w:rPr>
          <w:rFonts w:ascii="Aptos" w:eastAsia="宋体" w:hAnsi="Aptos"/>
          <w:noProof/>
          <w:lang w:eastAsia="en-GB"/>
        </w:rPr>
        <w:tab/>
      </w:r>
      <w:r>
        <w:rPr>
          <w:rStyle w:val="style85"/>
          <w:noProof/>
        </w:rPr>
        <w:t>Appendix</w:t>
      </w:r>
      <w:r>
        <w:rPr>
          <w:noProof/>
          <w:webHidden/>
        </w:rPr>
        <w:tab/>
      </w:r>
      <w:r>
        <w:rPr>
          <w:noProof/>
          <w:webHidden/>
        </w:rPr>
        <w:fldChar w:fldCharType="begin"/>
      </w:r>
      <w:r>
        <w:rPr>
          <w:noProof/>
          <w:webHidden/>
        </w:rPr>
        <w:instrText xml:space="preserve"> PAGEREF _Toc220305411 \h </w:instrText>
      </w:r>
      <w:r>
        <w:rPr>
          <w:noProof/>
          <w:webHidden/>
        </w:rPr>
        <w:fldChar w:fldCharType="separate"/>
      </w:r>
      <w:r>
        <w:rPr>
          <w:noProof/>
          <w:webHidden/>
        </w:rPr>
        <w:t>66</w:t>
      </w:r>
      <w:r>
        <w:rPr>
          <w:noProof/>
          <w:webHidden/>
        </w:rPr>
        <w:fldChar w:fldCharType="end"/>
      </w:r>
      <w:r>
        <w:rPr/>
        <w:fldChar w:fldCharType="end"/>
      </w:r>
    </w:p>
    <w:p>
      <w:pPr>
        <w:pStyle w:val="style20"/>
        <w:tabs>
          <w:tab w:val="left" w:leader="none" w:pos="960"/>
          <w:tab w:val="right" w:leader="dot" w:pos="9350"/>
        </w:tabs>
        <w:rPr>
          <w:rFonts w:ascii="Aptos" w:eastAsia="宋体" w:hAnsi="Aptos"/>
          <w:noProof/>
          <w:lang w:eastAsia="en-GB"/>
        </w:rPr>
      </w:pPr>
      <w:r>
        <w:rPr/>
        <w:fldChar w:fldCharType="begin"/>
      </w:r>
      <w:r>
        <w:instrText xml:space="preserve"> HYPERLINK \l "_Toc220305412" </w:instrText>
      </w:r>
      <w:r>
        <w:rPr/>
        <w:fldChar w:fldCharType="separate"/>
      </w:r>
      <w:r>
        <w:rPr>
          <w:rStyle w:val="style85"/>
          <w:noProof/>
        </w:rPr>
        <w:t>8.1</w:t>
      </w:r>
      <w:r>
        <w:rPr>
          <w:rFonts w:ascii="Aptos" w:eastAsia="宋体" w:hAnsi="Aptos"/>
          <w:noProof/>
          <w:lang w:eastAsia="en-GB"/>
        </w:rPr>
        <w:tab/>
      </w:r>
      <w:r>
        <w:rPr>
          <w:rStyle w:val="style85"/>
          <w:noProof/>
        </w:rPr>
        <w:t>Ethic Form</w:t>
      </w:r>
      <w:r>
        <w:rPr>
          <w:noProof/>
          <w:webHidden/>
        </w:rPr>
        <w:tab/>
      </w:r>
      <w:r>
        <w:rPr>
          <w:noProof/>
          <w:webHidden/>
        </w:rPr>
        <w:fldChar w:fldCharType="begin"/>
      </w:r>
      <w:r>
        <w:rPr>
          <w:noProof/>
          <w:webHidden/>
        </w:rPr>
        <w:instrText xml:space="preserve"> PAGEREF _Toc220305412 \h </w:instrText>
      </w:r>
      <w:r>
        <w:rPr>
          <w:noProof/>
          <w:webHidden/>
        </w:rPr>
        <w:fldChar w:fldCharType="separate"/>
      </w:r>
      <w:r>
        <w:rPr>
          <w:noProof/>
          <w:webHidden/>
        </w:rPr>
        <w:t>66</w:t>
      </w:r>
      <w:r>
        <w:rPr>
          <w:noProof/>
          <w:webHidden/>
        </w:rPr>
        <w:fldChar w:fldCharType="end"/>
      </w:r>
      <w:r>
        <w:rPr/>
        <w:fldChar w:fldCharType="end"/>
      </w:r>
    </w:p>
    <w:p>
      <w:pPr>
        <w:pStyle w:val="style0"/>
        <w:rPr/>
      </w:pPr>
      <w:r>
        <w:rPr>
          <w:b/>
          <w:bCs/>
          <w:noProof/>
        </w:rPr>
        <w:fldChar w:fldCharType="end"/>
      </w: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b/>
          <w:bCs/>
        </w:rPr>
      </w:pPr>
      <w:r>
        <w:rPr>
          <w:b/>
          <w:bCs/>
        </w:rPr>
        <w:t>List of Figures</w:t>
      </w:r>
    </w:p>
    <w:p>
      <w:pPr>
        <w:pStyle w:val="style35"/>
        <w:tabs>
          <w:tab w:val="right" w:leader="dot" w:pos="9350"/>
        </w:tabs>
        <w:rPr>
          <w:rFonts w:ascii="Aptos" w:eastAsia="宋体" w:hAnsi="Aptos"/>
          <w:noProof/>
          <w:lang w:eastAsia="en-GB"/>
        </w:rPr>
      </w:pPr>
      <w:r>
        <w:rPr/>
        <w:fldChar w:fldCharType="begin"/>
      </w:r>
      <w:r>
        <w:instrText xml:space="preserve"> TOC \h \z \c "Figure" </w:instrText>
      </w:r>
      <w:r>
        <w:rPr/>
        <w:fldChar w:fldCharType="separate"/>
      </w:r>
      <w:r>
        <w:rPr/>
        <w:fldChar w:fldCharType="begin"/>
      </w:r>
      <w:r>
        <w:instrText xml:space="preserve"> HYPERLINK \l "_Toc220304786" </w:instrText>
      </w:r>
      <w:r>
        <w:rPr/>
        <w:fldChar w:fldCharType="separate"/>
      </w:r>
      <w:r>
        <w:rPr>
          <w:rStyle w:val="style85"/>
          <w:noProof/>
        </w:rPr>
        <w:t>Figure 1: Steps in thematic analysis (Labra et al., 2019)</w:t>
      </w:r>
      <w:r>
        <w:rPr>
          <w:noProof/>
          <w:webHidden/>
        </w:rPr>
        <w:tab/>
      </w:r>
      <w:r>
        <w:rPr>
          <w:noProof/>
          <w:webHidden/>
        </w:rPr>
        <w:fldChar w:fldCharType="begin"/>
      </w:r>
      <w:r>
        <w:rPr>
          <w:noProof/>
          <w:webHidden/>
        </w:rPr>
        <w:instrText xml:space="preserve"> PAGEREF _Toc220304786 \h </w:instrText>
      </w:r>
      <w:r>
        <w:rPr>
          <w:noProof/>
          <w:webHidden/>
        </w:rPr>
        <w:fldChar w:fldCharType="separate"/>
      </w:r>
      <w:r>
        <w:rPr>
          <w:noProof/>
          <w:webHidden/>
        </w:rPr>
        <w:t>29</w:t>
      </w:r>
      <w:r>
        <w:rPr>
          <w:noProof/>
          <w:webHidden/>
        </w:rPr>
        <w:fldChar w:fldCharType="end"/>
      </w:r>
      <w:r>
        <w:rPr/>
        <w:fldChar w:fldCharType="end"/>
      </w:r>
    </w:p>
    <w:p>
      <w:pPr>
        <w:pStyle w:val="style0"/>
        <w:rPr/>
      </w:pPr>
      <w:r>
        <w:rPr/>
        <w:fldChar w:fldCharType="end"/>
      </w:r>
    </w:p>
    <w:p>
      <w:pPr>
        <w:pStyle w:val="style0"/>
        <w:rPr>
          <w:b/>
          <w:bCs/>
        </w:rPr>
      </w:pPr>
      <w:r>
        <w:rPr>
          <w:b/>
          <w:bCs/>
        </w:rPr>
        <w:t>List of Tables</w:t>
      </w:r>
    </w:p>
    <w:p>
      <w:pPr>
        <w:pStyle w:val="style35"/>
        <w:tabs>
          <w:tab w:val="right" w:leader="dot" w:pos="9350"/>
        </w:tabs>
        <w:rPr>
          <w:rFonts w:ascii="Aptos" w:eastAsia="宋体" w:hAnsi="Aptos"/>
          <w:noProof/>
          <w:lang w:eastAsia="en-GB"/>
        </w:rPr>
      </w:pPr>
      <w:r>
        <w:rPr/>
        <w:fldChar w:fldCharType="begin"/>
      </w:r>
      <w:r>
        <w:instrText xml:space="preserve"> TOC \h \z \c "Table" </w:instrText>
      </w:r>
      <w:r>
        <w:rPr/>
        <w:fldChar w:fldCharType="separate"/>
      </w:r>
      <w:r>
        <w:rPr/>
        <w:fldChar w:fldCharType="begin"/>
      </w:r>
      <w:r>
        <w:instrText xml:space="preserve"> HYPERLINK \l "_Toc220304787" </w:instrText>
      </w:r>
      <w:r>
        <w:rPr/>
        <w:fldChar w:fldCharType="separate"/>
      </w:r>
      <w:r>
        <w:rPr>
          <w:rStyle w:val="style85"/>
          <w:noProof/>
        </w:rPr>
        <w:t>Table 1: Thematic Analysis based on Objective 1</w:t>
      </w:r>
      <w:r>
        <w:rPr>
          <w:noProof/>
          <w:webHidden/>
        </w:rPr>
        <w:tab/>
      </w:r>
      <w:r>
        <w:rPr>
          <w:noProof/>
          <w:webHidden/>
        </w:rPr>
        <w:fldChar w:fldCharType="begin"/>
      </w:r>
      <w:r>
        <w:rPr>
          <w:noProof/>
          <w:webHidden/>
        </w:rPr>
        <w:instrText xml:space="preserve"> PAGEREF _Toc220304787 \h </w:instrText>
      </w:r>
      <w:r>
        <w:rPr>
          <w:noProof/>
          <w:webHidden/>
        </w:rPr>
        <w:fldChar w:fldCharType="separate"/>
      </w:r>
      <w:r>
        <w:rPr>
          <w:noProof/>
          <w:webHidden/>
        </w:rPr>
        <w:t>31</w:t>
      </w:r>
      <w:r>
        <w:rPr>
          <w:noProof/>
          <w:webHidden/>
        </w:rPr>
        <w:fldChar w:fldCharType="end"/>
      </w:r>
      <w:r>
        <w:rPr/>
        <w:fldChar w:fldCharType="end"/>
      </w:r>
    </w:p>
    <w:p>
      <w:pPr>
        <w:pStyle w:val="style35"/>
        <w:tabs>
          <w:tab w:val="right" w:leader="dot" w:pos="9350"/>
        </w:tabs>
        <w:rPr>
          <w:rFonts w:ascii="Aptos" w:eastAsia="宋体" w:hAnsi="Aptos"/>
          <w:noProof/>
          <w:lang w:eastAsia="en-GB"/>
        </w:rPr>
      </w:pPr>
      <w:r>
        <w:rPr/>
        <w:fldChar w:fldCharType="begin"/>
      </w:r>
      <w:r>
        <w:instrText xml:space="preserve"> HYPERLINK \l "_Toc220304788" </w:instrText>
      </w:r>
      <w:r>
        <w:rPr/>
        <w:fldChar w:fldCharType="separate"/>
      </w:r>
      <w:r>
        <w:rPr>
          <w:rStyle w:val="style85"/>
          <w:noProof/>
        </w:rPr>
        <w:t>Table 2: Thematic Analysis Based on Objective 2</w:t>
      </w:r>
      <w:r>
        <w:rPr>
          <w:noProof/>
          <w:webHidden/>
        </w:rPr>
        <w:tab/>
      </w:r>
      <w:r>
        <w:rPr>
          <w:noProof/>
          <w:webHidden/>
        </w:rPr>
        <w:fldChar w:fldCharType="begin"/>
      </w:r>
      <w:r>
        <w:rPr>
          <w:noProof/>
          <w:webHidden/>
        </w:rPr>
        <w:instrText xml:space="preserve"> PAGEREF _Toc220304788 \h </w:instrText>
      </w:r>
      <w:r>
        <w:rPr>
          <w:noProof/>
          <w:webHidden/>
        </w:rPr>
        <w:fldChar w:fldCharType="separate"/>
      </w:r>
      <w:r>
        <w:rPr>
          <w:noProof/>
          <w:webHidden/>
        </w:rPr>
        <w:t>32</w:t>
      </w:r>
      <w:r>
        <w:rPr>
          <w:noProof/>
          <w:webHidden/>
        </w:rPr>
        <w:fldChar w:fldCharType="end"/>
      </w:r>
      <w:r>
        <w:rPr/>
        <w:fldChar w:fldCharType="end"/>
      </w:r>
    </w:p>
    <w:p>
      <w:pPr>
        <w:pStyle w:val="style35"/>
        <w:tabs>
          <w:tab w:val="right" w:leader="dot" w:pos="9350"/>
        </w:tabs>
        <w:rPr>
          <w:rFonts w:ascii="Aptos" w:eastAsia="宋体" w:hAnsi="Aptos"/>
          <w:noProof/>
          <w:lang w:eastAsia="en-GB"/>
        </w:rPr>
      </w:pPr>
      <w:r>
        <w:rPr/>
        <w:fldChar w:fldCharType="begin"/>
      </w:r>
      <w:r>
        <w:instrText xml:space="preserve"> HYPERLINK \l "_Toc220304789" </w:instrText>
      </w:r>
      <w:r>
        <w:rPr/>
        <w:fldChar w:fldCharType="separate"/>
      </w:r>
      <w:r>
        <w:rPr>
          <w:rStyle w:val="style85"/>
          <w:noProof/>
        </w:rPr>
        <w:t>Table 3: Thematic Analysis based on Objective 3</w:t>
      </w:r>
      <w:r>
        <w:rPr>
          <w:noProof/>
          <w:webHidden/>
        </w:rPr>
        <w:tab/>
      </w:r>
      <w:r>
        <w:rPr>
          <w:noProof/>
          <w:webHidden/>
        </w:rPr>
        <w:fldChar w:fldCharType="begin"/>
      </w:r>
      <w:r>
        <w:rPr>
          <w:noProof/>
          <w:webHidden/>
        </w:rPr>
        <w:instrText xml:space="preserve"> PAGEREF _Toc220304789 \h </w:instrText>
      </w:r>
      <w:r>
        <w:rPr>
          <w:noProof/>
          <w:webHidden/>
        </w:rPr>
        <w:fldChar w:fldCharType="separate"/>
      </w:r>
      <w:r>
        <w:rPr>
          <w:noProof/>
          <w:webHidden/>
        </w:rPr>
        <w:t>34</w:t>
      </w:r>
      <w:r>
        <w:rPr>
          <w:noProof/>
          <w:webHidden/>
        </w:rPr>
        <w:fldChar w:fldCharType="end"/>
      </w:r>
      <w:r>
        <w:rPr/>
        <w:fldChar w:fldCharType="end"/>
      </w:r>
    </w:p>
    <w:p>
      <w:pPr>
        <w:pStyle w:val="style0"/>
        <w:rPr/>
      </w:pPr>
      <w:r>
        <w:rPr/>
        <w:fldChar w:fldCharType="end"/>
      </w: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b/>
          <w:bCs/>
          <w:sz w:val="32"/>
          <w:szCs w:val="32"/>
        </w:rPr>
      </w:pPr>
      <w:r>
        <w:rPr>
          <w:b/>
          <w:bCs/>
          <w:sz w:val="32"/>
          <w:szCs w:val="32"/>
        </w:rPr>
        <w:t>List of Abbreviations</w:t>
      </w:r>
    </w:p>
    <w:p>
      <w:pPr>
        <w:pStyle w:val="style179"/>
        <w:numPr>
          <w:ilvl w:val="0"/>
          <w:numId w:val="16"/>
        </w:numPr>
        <w:rPr/>
      </w:pPr>
      <w:r>
        <w:t>AI – Artificial Intelligence</w:t>
      </w:r>
    </w:p>
    <w:p>
      <w:pPr>
        <w:pStyle w:val="style179"/>
        <w:numPr>
          <w:ilvl w:val="0"/>
          <w:numId w:val="16"/>
        </w:numPr>
        <w:rPr/>
      </w:pPr>
      <w:r>
        <w:t>DC – Dynamic Capabilities</w:t>
      </w:r>
    </w:p>
    <w:p>
      <w:pPr>
        <w:pStyle w:val="style179"/>
        <w:numPr>
          <w:ilvl w:val="0"/>
          <w:numId w:val="16"/>
        </w:numPr>
        <w:rPr/>
      </w:pPr>
      <w:r>
        <w:t>EU – European Union</w:t>
      </w:r>
    </w:p>
    <w:p>
      <w:pPr>
        <w:pStyle w:val="style179"/>
        <w:numPr>
          <w:ilvl w:val="0"/>
          <w:numId w:val="16"/>
        </w:numPr>
        <w:rPr/>
      </w:pPr>
      <w:r>
        <w:t>GVC – Global Value Chain</w:t>
      </w:r>
    </w:p>
    <w:p>
      <w:pPr>
        <w:pStyle w:val="style179"/>
        <w:numPr>
          <w:ilvl w:val="0"/>
          <w:numId w:val="16"/>
        </w:numPr>
        <w:rPr/>
      </w:pPr>
      <w:r>
        <w:t>ICT – Information and Communication Technology</w:t>
      </w:r>
    </w:p>
    <w:p>
      <w:pPr>
        <w:pStyle w:val="style179"/>
        <w:numPr>
          <w:ilvl w:val="0"/>
          <w:numId w:val="16"/>
        </w:numPr>
        <w:rPr/>
      </w:pPr>
      <w:r>
        <w:t>IMF – International Monetary Fund</w:t>
      </w:r>
    </w:p>
    <w:p>
      <w:pPr>
        <w:pStyle w:val="style179"/>
        <w:numPr>
          <w:ilvl w:val="0"/>
          <w:numId w:val="16"/>
        </w:numPr>
        <w:rPr/>
      </w:pPr>
      <w:r>
        <w:t>JIT – Just-in-Time</w:t>
      </w:r>
    </w:p>
    <w:p>
      <w:pPr>
        <w:pStyle w:val="style179"/>
        <w:numPr>
          <w:ilvl w:val="0"/>
          <w:numId w:val="16"/>
        </w:numPr>
        <w:rPr/>
      </w:pPr>
      <w:r>
        <w:t>MNE – Multinational Enterprise</w:t>
      </w:r>
    </w:p>
    <w:p>
      <w:pPr>
        <w:pStyle w:val="style179"/>
        <w:numPr>
          <w:ilvl w:val="0"/>
          <w:numId w:val="16"/>
        </w:numPr>
        <w:rPr/>
      </w:pPr>
      <w:r>
        <w:t>OECD – Organisation for Economic Co-operation and Development</w:t>
      </w:r>
    </w:p>
    <w:p>
      <w:pPr>
        <w:pStyle w:val="style179"/>
        <w:numPr>
          <w:ilvl w:val="0"/>
          <w:numId w:val="16"/>
        </w:numPr>
        <w:rPr/>
      </w:pPr>
      <w:r>
        <w:t>R&amp;D – Research and Development</w:t>
      </w:r>
    </w:p>
    <w:p>
      <w:pPr>
        <w:pStyle w:val="style179"/>
        <w:numPr>
          <w:ilvl w:val="0"/>
          <w:numId w:val="16"/>
        </w:numPr>
        <w:rPr/>
      </w:pPr>
      <w:r>
        <w:t>SCM – Supply Chain Management</w:t>
      </w:r>
    </w:p>
    <w:p>
      <w:pPr>
        <w:pStyle w:val="style179"/>
        <w:numPr>
          <w:ilvl w:val="0"/>
          <w:numId w:val="16"/>
        </w:numPr>
        <w:rPr/>
      </w:pPr>
      <w:r>
        <w:t>UNCTAD – United Nations Conference on Trade and Development</w:t>
      </w:r>
    </w:p>
    <w:p>
      <w:pPr>
        <w:pStyle w:val="style179"/>
        <w:numPr>
          <w:ilvl w:val="0"/>
          <w:numId w:val="16"/>
        </w:numPr>
        <w:rPr/>
      </w:pPr>
      <w:r>
        <w:t>WEF – World Economic Forum</w:t>
      </w:r>
    </w:p>
    <w:p>
      <w:pPr>
        <w:pStyle w:val="style179"/>
        <w:numPr>
          <w:ilvl w:val="0"/>
          <w:numId w:val="16"/>
        </w:numPr>
        <w:rPr/>
      </w:pPr>
      <w:r>
        <w:t>WTO – World Trade Organization</w:t>
      </w: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sectPr>
          <w:footerReference w:type="default" r:id="rId3"/>
          <w:pgSz w:w="12240" w:h="15840" w:orient="portrait"/>
          <w:pgMar w:top="1440" w:right="1440" w:bottom="1440" w:left="1440" w:header="720" w:footer="720" w:gutter="0"/>
          <w:pgBorders w:zOrder="front" w:display="allPages" w:offsetFrom="page">
            <w:top w:val="single" w:sz="4" w:space="24" w:color="auto"/>
            <w:left w:val="single" w:sz="4" w:space="24" w:color="auto"/>
            <w:bottom w:val="single" w:sz="4" w:space="24" w:color="auto"/>
            <w:right w:val="single" w:sz="4" w:space="24" w:color="auto"/>
          </w:pgBorders>
          <w:pgNumType w:fmt="lowerRoman"/>
          <w:cols w:space="720"/>
          <w:docGrid w:linePitch="360"/>
        </w:sectPr>
      </w:pPr>
    </w:p>
    <w:p>
      <w:pPr>
        <w:pStyle w:val="style0"/>
        <w:rPr>
          <w:rFonts w:cs="Times New Roman"/>
        </w:rPr>
      </w:pPr>
      <w:r>
        <w:rPr>
          <w:rFonts w:cs="Times New Roman"/>
          <w:b/>
          <w:bCs/>
          <w:sz w:val="32"/>
          <w:szCs w:val="32"/>
        </w:rPr>
        <w:t>Title</w:t>
      </w:r>
      <w:r>
        <w:rPr>
          <w:rFonts w:cs="Times New Roman"/>
        </w:rPr>
        <w:t>: Strategic Adaptation of Multinational Enterprises to Evolving Global Trade Realities: An Analysis of Emerging Supply Chain Strategies</w:t>
      </w:r>
      <w:r>
        <w:rPr>
          <w:rFonts w:cs="Times New Roman"/>
        </w:rPr>
        <w:t>.</w:t>
      </w:r>
    </w:p>
    <w:p>
      <w:pPr>
        <w:pStyle w:val="style0"/>
        <w:rPr>
          <w:rFonts w:cs="Times New Roman"/>
          <w:b/>
          <w:bCs/>
        </w:rPr>
      </w:pPr>
      <w:r>
        <w:rPr>
          <w:rFonts w:cs="Times New Roman"/>
          <w:b/>
          <w:bCs/>
        </w:rPr>
        <w:t>Sub-title</w:t>
      </w:r>
      <w:r>
        <w:rPr>
          <w:rFonts w:cs="Times New Roman"/>
        </w:rPr>
        <w:t xml:space="preserve">: </w:t>
      </w:r>
      <w:r>
        <w:rPr>
          <w:rFonts w:cs="Times New Roman"/>
        </w:rPr>
        <w:t>Understanding Resilience, Digital Transformation, and Strategic Repositioning in a Turbulent Trade Environment</w:t>
      </w:r>
    </w:p>
    <w:bookmarkStart w:id="0" w:name="_Toc220305355"/>
    <w:p>
      <w:pPr>
        <w:pStyle w:val="style1"/>
        <w:rPr/>
      </w:pPr>
      <w:r>
        <w:t>Chapter One: Introduction</w:t>
      </w:r>
      <w:bookmarkEnd w:id="0"/>
    </w:p>
    <w:p>
      <w:pPr>
        <w:pStyle w:val="style0"/>
        <w:rPr>
          <w:rFonts w:cs="Times New Roman"/>
        </w:rPr>
      </w:pPr>
      <w:r>
        <w:rPr>
          <w:rFonts w:cs="Times New Roman"/>
        </w:rPr>
        <w:t>How organisations construct, operate and control their supply chains has developed to be one of the strategic issues of central concern in the modern world of uncertainty and international interdependence. The COVID-19 pandemic and the Russia-Ukraine war and increased geopolitical tensions have shown that global value chains are highly vulnerable and that companies must reevaluate the balance between cost-efficiency and resilience. In fact, according to recent studies, businesses continue to struggle with long-term weaknesses in their supply chains (Alicke and Foster, 2024). Meanwhile, both policymakers and industry leaders note that the supply chains must be agile, flexible and flexible to changing trade, regulatory and environmental conditions (UNCTAD, 2024). The current dissertation explores the ways these pressures are reflected in the multinational enterprise context in which the company explores the responsiveness and dynamically changing environment in the context of evolving the supply chain. Chapter One preconditions the present study: it gives not only a contextual overview of the matter but also states the main problem and knowledge gap, the research purpose and goals, the purpose of the study and its reasons, the limits and boundaries, and, finally, provides a concise outline of the dissertation. This chapter gives the reader the power to comprehend the importance of research, what the research is going to explore and the direction the following chapters will take.</w:t>
      </w:r>
    </w:p>
    <w:bookmarkStart w:id="1" w:name="_Toc220305356"/>
    <w:p>
      <w:pPr>
        <w:pStyle w:val="style2"/>
        <w:rPr/>
      </w:pPr>
      <w:r>
        <w:t>Background and Context</w:t>
      </w:r>
      <w:bookmarkEnd w:id="1"/>
    </w:p>
    <w:p>
      <w:pPr>
        <w:pStyle w:val="style0"/>
        <w:rPr>
          <w:rFonts w:cs="Times New Roman"/>
        </w:rPr>
      </w:pPr>
      <w:r>
        <w:rPr>
          <w:rFonts w:cs="Times New Roman"/>
        </w:rPr>
        <w:t xml:space="preserve">Globalisation has made it possible to create multi-level supply chain as companies are embracing decentralised manufacturing and global value chain (GVCs) to gain economies of scale and cost efficacies. Nevertheless, the macro-environmental shocks of recent years, such as the COVID-19 pandemic, the war in Ukraine, the aggravating trade relations between the two countries, and climate-related disruptions, have shown that globally integrated networks have structural vulnerabilities (Garcia Herrero, 2023). As a result, resilience in supply chains has ceased being a </w:t>
      </w:r>
      <w:r>
        <w:rPr>
          <w:rFonts w:cs="Times New Roman"/>
        </w:rPr>
        <w:t>fringe issue in operations but has become a fundamental strategy. The ability to receive, adjust and react to shock has become known as resilience which is as significant as the more conventional performance metrics like cost and responsiveness (Hosseini, 2025). But there remains the issue of achieving efficiency and resilience. This tension is the focus of the recent article Balancing Resilience and Efficiency, which states that the compatibility of both has remained a major dilemma among practitioners and researchers (Luckenberger, Timonina-Farkas and Seifert, 2024).</w:t>
      </w:r>
    </w:p>
    <w:p>
      <w:pPr>
        <w:pStyle w:val="style0"/>
        <w:rPr>
          <w:rFonts w:cs="Times New Roman"/>
        </w:rPr>
      </w:pPr>
      <w:r>
        <w:rPr>
          <w:rFonts w:cs="Times New Roman"/>
        </w:rPr>
        <w:t>The supply-chain design is becoming increasingly affected by the policymakers. According to the review conducted by OECD in 2025, diversification, digitalisation and sustainability should be the pillars to strengthen resilience as opposed to simplistic reshoring (OECD, 2025). The development of this kind nature is an initial re-positioning of both supply-network strategies on firm, regional and national levels.</w:t>
      </w:r>
    </w:p>
    <w:p>
      <w:pPr>
        <w:pStyle w:val="style0"/>
        <w:rPr>
          <w:rFonts w:cs="Times New Roman"/>
        </w:rPr>
      </w:pPr>
      <w:r>
        <w:rPr>
          <w:rFonts w:cs="Times New Roman"/>
        </w:rPr>
        <w:t>Although there has been an increase in attention, there are a number of research gaps. One, although there is a significant body of literature detailing what is to be done (e.g. redundancy, visibility, diversification), there is little empirical information regarding the implementation of such strategies within certain contexts like an emerging-market supply chain. Indicatively, Pratono, Han and Maharani (2023) mention the idea of flexible responses in multinational supply chains but demand a better understanding of middle-tier suppliers that have to work in the conditions of unstable regulatory or geopolitical pressure. Second, current literature is mainly on developed economies leaving out the local or regional supply chains in the developing world to adjust to global turbulence. Although Sultana et al. (2024) study the aspect of risk mitigation in OEM networks, they emphasise the necessity to provide more contextualised non-Western studies.</w:t>
      </w:r>
    </w:p>
    <w:p>
      <w:pPr>
        <w:pStyle w:val="style0"/>
        <w:rPr>
          <w:rFonts w:cs="Times New Roman"/>
        </w:rPr>
      </w:pPr>
      <w:r>
        <w:rPr>
          <w:rFonts w:cs="Times New Roman"/>
        </w:rPr>
        <w:t>Third, the strategic position of digital transformation is recognised yet not theorised enough in terms of dynamic-capabilities. Hosseini (2025) finds groups in the resilience literature but reports weak connections between digital technologies, supply-chain redesign and value-chain repositioning. Lastly, the GVC literature is still less impartial in examining resilience-based design as it is focused on cost and efficiency. The report prepared by the WTO in 2023 emphasizes that the research on resilience-based GVC structures is yet to be conducted on the empirical level.</w:t>
      </w:r>
    </w:p>
    <w:p>
      <w:pPr>
        <w:pStyle w:val="style0"/>
        <w:rPr>
          <w:rFonts w:cs="Times New Roman"/>
        </w:rPr>
      </w:pPr>
      <w:r>
        <w:rPr>
          <w:rFonts w:cs="Times New Roman"/>
        </w:rPr>
        <w:t xml:space="preserve">Thus, this paper fills important gaps by analysing the process of changing supply-chain strategies in the context of concomitant disruptions, combining digital enablers and dynamic capabilities, and a little-studied situation of emerging-market supply networks. It seeks to both further </w:t>
      </w:r>
      <w:r>
        <w:rPr>
          <w:rFonts w:cs="Times New Roman"/>
        </w:rPr>
        <w:t>theoretical knowledge and offer practical guidance to supply-chain managers and policymakers in a global environment which is becoming more turbulent.</w:t>
      </w:r>
    </w:p>
    <w:bookmarkStart w:id="2" w:name="_Toc220305357"/>
    <w:p>
      <w:pPr>
        <w:pStyle w:val="style2"/>
        <w:rPr/>
      </w:pPr>
      <w:r>
        <w:t>Problem Statement</w:t>
      </w:r>
      <w:bookmarkEnd w:id="2"/>
    </w:p>
    <w:p>
      <w:pPr>
        <w:pStyle w:val="style0"/>
        <w:rPr>
          <w:rFonts w:cs="Times New Roman"/>
        </w:rPr>
      </w:pPr>
      <w:r>
        <w:rPr>
          <w:rFonts w:cs="Times New Roman"/>
        </w:rPr>
        <w:t>Although over the last decade, many organisations have experienced global supply-chain shocks, research and practice still have no comprehensive insights into how organisations strategically receive and react to the disruptions. The recent crises such as COVID-19, geopolitical tensions, energy instabilities and events related to climate have revealed structural vulnerabilities in global value chains (Garcia-Herrero, 2023). Even though resilience is becoming a strategic value, companies are still failing to transfer the concept into practical business activities (Hosseini Shekarabi, 2025).</w:t>
      </w:r>
    </w:p>
    <w:p>
      <w:pPr>
        <w:pStyle w:val="style0"/>
        <w:rPr>
          <w:rFonts w:cs="Times New Roman"/>
        </w:rPr>
      </w:pPr>
      <w:r>
        <w:rPr>
          <w:rFonts w:cs="Times New Roman"/>
        </w:rPr>
        <w:t>Most of the available research is devoted to what companies are expected to do (e.g., diversification, near-shoring, digital tools) instead of how they perceive the disruptions and why they make strategic decisions. A 2024 systematic review points to disjointed literature and a lack of knowledge regarding the strategic reasoning of supply-chain transformation (Şerbetçioğlu and Oflaç, 2024). The focus of research is also largely on large Western multinationals, and the context of emerging markets is not well researched (Sultana et al., 2024). WTO (2023) also mentions that resilience-oriented global value-chain design is conceptually immature. This knowledge gap limits the academic theory and the managerial competence in a rapidly becoming turbulent global world.</w:t>
      </w:r>
    </w:p>
    <w:bookmarkStart w:id="3" w:name="_Toc220305358"/>
    <w:p>
      <w:pPr>
        <w:pStyle w:val="style2"/>
        <w:rPr/>
      </w:pPr>
      <w:r>
        <w:t xml:space="preserve">Research Aim &amp; </w:t>
      </w:r>
      <w:r>
        <w:t>O</w:t>
      </w:r>
      <w:r>
        <w:t>bjectives</w:t>
      </w:r>
      <w:bookmarkEnd w:id="3"/>
    </w:p>
    <w:p>
      <w:pPr>
        <w:pStyle w:val="style0"/>
        <w:rPr>
          <w:rFonts w:cs="Times New Roman"/>
        </w:rPr>
      </w:pPr>
      <w:r>
        <w:rPr>
          <w:rFonts w:cs="Times New Roman"/>
        </w:rPr>
        <w:t>To explore and analyse the ways MNEs build and express their changing strategic answers to new global trade processes, with a specific focus on the multiple meanings, narratives, and strategic premises of organisational discourses of supply chain transformation.</w:t>
      </w:r>
    </w:p>
    <w:bookmarkStart w:id="4" w:name="_Toc220305359"/>
    <w:p>
      <w:pPr>
        <w:pStyle w:val="style3"/>
        <w:rPr/>
      </w:pPr>
      <w:r>
        <w:t>Objectives</w:t>
      </w:r>
      <w:bookmarkEnd w:id="4"/>
    </w:p>
    <w:p>
      <w:pPr>
        <w:pStyle w:val="style0"/>
        <w:numPr>
          <w:ilvl w:val="0"/>
          <w:numId w:val="9"/>
        </w:numPr>
        <w:rPr>
          <w:rFonts w:cs="Times New Roman"/>
        </w:rPr>
      </w:pPr>
      <w:r>
        <w:rPr>
          <w:rFonts w:cs="Times New Roman"/>
        </w:rPr>
        <w:t>To explore how MNEs describe and justify changes in their global supply chain and trade strategies across public communications and strategic reports.</w:t>
      </w:r>
    </w:p>
    <w:p>
      <w:pPr>
        <w:pStyle w:val="style0"/>
        <w:numPr>
          <w:ilvl w:val="0"/>
          <w:numId w:val="9"/>
        </w:numPr>
        <w:rPr>
          <w:rFonts w:cs="Times New Roman"/>
        </w:rPr>
      </w:pPr>
      <w:r>
        <w:rPr>
          <w:rFonts w:cs="Times New Roman"/>
        </w:rPr>
        <w:t>To find common themes that show how organisations think about issues and opportunities in a more fragmented trade in an environment.</w:t>
      </w:r>
    </w:p>
    <w:p>
      <w:pPr>
        <w:pStyle w:val="style0"/>
        <w:numPr>
          <w:ilvl w:val="0"/>
          <w:numId w:val="9"/>
        </w:numPr>
        <w:rPr>
          <w:rFonts w:cs="Times New Roman"/>
        </w:rPr>
      </w:pPr>
      <w:r>
        <w:rPr>
          <w:rFonts w:cs="Times New Roman"/>
        </w:rPr>
        <w:t>To synthesise insights into a thematic framework illustrating how global firms reframe strategic adaptation under evolving trade conditions.</w:t>
      </w:r>
    </w:p>
    <w:bookmarkStart w:id="5" w:name="_Toc220305360"/>
    <w:p>
      <w:pPr>
        <w:pStyle w:val="style2"/>
        <w:rPr/>
      </w:pPr>
      <w:r>
        <w:t xml:space="preserve">Rationale and </w:t>
      </w:r>
      <w:r>
        <w:t>S</w:t>
      </w:r>
      <w:r>
        <w:t>ignificance</w:t>
      </w:r>
      <w:bookmarkEnd w:id="5"/>
    </w:p>
    <w:p>
      <w:pPr>
        <w:pStyle w:val="style0"/>
        <w:rPr>
          <w:rFonts w:cs="Times New Roman"/>
        </w:rPr>
      </w:pPr>
      <w:r>
        <w:rPr>
          <w:rFonts w:cs="Times New Roman"/>
        </w:rPr>
        <w:t>The growing vulnerability of global trade systems has increased the need to understand how organisations envision and implement supply-chain transformation. Although disruptions such as COVID-19, the Russia–Ukraine conflict, semiconductor shortages and shipping volatility have heightened interest in resilience, research remains unclear on the strategic reasoning behind organisational responses. Recent evidence shows that over 80% of companies still feel exposed to supply-chain risk yet lack robust frameworks for network redesign (Alicke and Foster, 2024). The OECD (2024) also stresses that diversification, digitalisation and regionalisation should be proactively embedded in supply-chain design.</w:t>
      </w:r>
      <w:r>
        <w:rPr>
          <w:rFonts w:cs="Times New Roman"/>
        </w:rPr>
        <w:t xml:space="preserve"> </w:t>
      </w:r>
      <w:r>
        <w:rPr>
          <w:rFonts w:cs="Times New Roman"/>
        </w:rPr>
        <w:t>Despite rising attention, little is known about how firms internally interpret disruptions or justify strategic adjustments—an important gap noted in recent systematic reviews (Şerbetçioğlu, 2025). The WTO (2023) similarly highlights limited theorisation of resilience-oriented GVC design. This study therefore contributes by examining organisational narratives of decision-making, offering theoretical insights and practical guidance for managers in an increasingly turbulent trade environment.</w:t>
      </w:r>
    </w:p>
    <w:bookmarkStart w:id="6" w:name="_Toc220305361"/>
    <w:p>
      <w:pPr>
        <w:pStyle w:val="style2"/>
        <w:rPr/>
      </w:pPr>
      <w:r>
        <w:t xml:space="preserve">Scope and </w:t>
      </w:r>
      <w:r>
        <w:t>L</w:t>
      </w:r>
      <w:r>
        <w:t>imitations</w:t>
      </w:r>
      <w:bookmarkEnd w:id="6"/>
    </w:p>
    <w:p>
      <w:pPr>
        <w:pStyle w:val="style0"/>
        <w:rPr>
          <w:rFonts w:cs="Times New Roman"/>
        </w:rPr>
      </w:pPr>
      <w:r>
        <w:rPr>
          <w:rFonts w:cs="Times New Roman"/>
        </w:rPr>
        <w:t>The present study aims at analysing the interpretation, justification and reporting of MNE strategic responses to changing global trade upheavals. It is restricted in terms of secondary qualitative data which is collected based on publicly available corporate reports including annual reports, sustainability reports, CEO reports and strategic publications of major global companies. This allows them to conduct a rich interpretation analysis of organisational narratives without involving the main actors.</w:t>
      </w:r>
    </w:p>
    <w:p>
      <w:pPr>
        <w:pStyle w:val="style0"/>
        <w:rPr>
          <w:rFonts w:cs="Times New Roman"/>
        </w:rPr>
      </w:pPr>
      <w:r>
        <w:rPr>
          <w:rFonts w:cs="Times New Roman"/>
        </w:rPr>
        <w:t xml:space="preserve">Nevertheless, there are various limitations of the study. First, using publicly reported documents implies that the results are biased towards representational strategies and not internal decision-making processes. Second, the analysis might fail to encompass the secretive or operational information that can determine the strategic adaptation. Third, the results are contextual and do not have any statistical generalisability. Finally, since the research is based on big MNEs, the results might not be entirely representative of the experience of the SMEs and firms in less transparent </w:t>
      </w:r>
      <w:r>
        <w:rPr>
          <w:rFonts w:cs="Times New Roman"/>
        </w:rPr>
        <w:t>markets. Regardless of these shortcomings, the study delivers valuable theoretical and practical contributions to the current supply-chain transformation.</w:t>
      </w:r>
    </w:p>
    <w:bookmarkStart w:id="7" w:name="_Toc220305362"/>
    <w:p>
      <w:pPr>
        <w:pStyle w:val="style2"/>
        <w:rPr/>
      </w:pPr>
      <w:r>
        <w:t>Dissertation Structure</w:t>
      </w:r>
      <w:bookmarkEnd w:id="7"/>
    </w:p>
    <w:p>
      <w:pPr>
        <w:pStyle w:val="style0"/>
        <w:rPr>
          <w:rFonts w:cs="Times New Roman"/>
        </w:rPr>
      </w:pPr>
      <w:r>
        <w:rPr>
          <w:rFonts w:cs="Times New Roman"/>
        </w:rPr>
        <w:t xml:space="preserve">The dissertation has six chapters, which are interrelated and address the research aim and objectives in a coherent manner. </w:t>
      </w:r>
      <w:r>
        <w:rPr>
          <w:rFonts w:cs="Times New Roman"/>
          <w:b/>
          <w:bCs/>
        </w:rPr>
        <w:t>Chapter One</w:t>
      </w:r>
      <w:r>
        <w:rPr>
          <w:rFonts w:cs="Times New Roman"/>
        </w:rPr>
        <w:t xml:space="preserve"> introduces the study by describing the background, stating the research problem, the aim and the objectives, defining the scope, the research significance. It ends with a summary of the outline of the dissertation.</w:t>
      </w:r>
    </w:p>
    <w:p>
      <w:pPr>
        <w:pStyle w:val="style0"/>
        <w:rPr>
          <w:rFonts w:cs="Times New Roman"/>
        </w:rPr>
      </w:pPr>
      <w:r>
        <w:rPr>
          <w:rFonts w:cs="Times New Roman"/>
          <w:b/>
          <w:bCs/>
        </w:rPr>
        <w:t>Chapter Two</w:t>
      </w:r>
      <w:r>
        <w:rPr>
          <w:rFonts w:cs="Times New Roman"/>
        </w:rPr>
        <w:t xml:space="preserve"> introduces a critical Literature Review, that is, investigating the current scholarly discussions on the global supply-chain resilience, organisational adaptation, and strategic change. It determines the gaps in theory and sets up conceptual and theoretical framework in which the study will be done.</w:t>
      </w:r>
    </w:p>
    <w:p>
      <w:pPr>
        <w:pStyle w:val="style0"/>
        <w:rPr>
          <w:rFonts w:cs="Times New Roman"/>
        </w:rPr>
      </w:pPr>
      <w:r>
        <w:rPr>
          <w:rFonts w:cs="Times New Roman"/>
        </w:rPr>
        <w:t xml:space="preserve">Research Methodology is </w:t>
      </w:r>
      <w:r>
        <w:rPr>
          <w:rFonts w:cs="Times New Roman"/>
          <w:b/>
          <w:bCs/>
        </w:rPr>
        <w:t>Chapter Three</w:t>
      </w:r>
      <w:r>
        <w:rPr>
          <w:rFonts w:cs="Times New Roman"/>
        </w:rPr>
        <w:t xml:space="preserve"> that implies the presentation of the philosophical stand, the character of research, and data sources, the selection criterion, and the approach to analysis. It also considers the matters of ethical considerations and methodology limitation that will provide transparency and rigour.</w:t>
      </w:r>
    </w:p>
    <w:p>
      <w:pPr>
        <w:pStyle w:val="style0"/>
        <w:rPr>
          <w:rFonts w:cs="Times New Roman"/>
        </w:rPr>
      </w:pPr>
      <w:r>
        <w:rPr>
          <w:rFonts w:cs="Times New Roman"/>
        </w:rPr>
        <w:t xml:space="preserve">The </w:t>
      </w:r>
      <w:r>
        <w:rPr>
          <w:rFonts w:cs="Times New Roman"/>
          <w:b/>
          <w:bCs/>
        </w:rPr>
        <w:t>fourth</w:t>
      </w:r>
      <w:r>
        <w:rPr>
          <w:rFonts w:cs="Times New Roman"/>
        </w:rPr>
        <w:t xml:space="preserve"> one is the Data Analysis where the major themes that emerge due to the analysis of corporate documents are uncovered. Findings are presented in a strict and understandable fashion in this </w:t>
      </w:r>
      <w:r>
        <w:rPr>
          <w:rFonts w:cs="Times New Roman"/>
        </w:rPr>
        <w:t>chapter but</w:t>
      </w:r>
      <w:r>
        <w:rPr>
          <w:rFonts w:cs="Times New Roman"/>
        </w:rPr>
        <w:t xml:space="preserve"> not interpreted</w:t>
      </w:r>
      <w:r>
        <w:rPr>
          <w:rFonts w:cs="Times New Roman"/>
        </w:rPr>
        <w:t>.</w:t>
      </w:r>
    </w:p>
    <w:p>
      <w:pPr>
        <w:pStyle w:val="style0"/>
        <w:rPr>
          <w:rFonts w:cs="Times New Roman"/>
        </w:rPr>
      </w:pPr>
      <w:r>
        <w:rPr>
          <w:rFonts w:cs="Times New Roman"/>
        </w:rPr>
        <w:t xml:space="preserve">Discussion is presented in </w:t>
      </w:r>
      <w:r>
        <w:rPr>
          <w:rFonts w:cs="Times New Roman"/>
          <w:b/>
          <w:bCs/>
        </w:rPr>
        <w:t>Chapter Five,</w:t>
      </w:r>
      <w:r>
        <w:rPr>
          <w:rFonts w:cs="Times New Roman"/>
        </w:rPr>
        <w:t xml:space="preserve"> and it interprets the findings in accordance with the literature, research questions, and theoretical framework. It identifies the contributions, contradictions and implications.</w:t>
      </w:r>
    </w:p>
    <w:p>
      <w:pPr>
        <w:pStyle w:val="style0"/>
        <w:rPr>
          <w:rFonts w:cs="Times New Roman"/>
        </w:rPr>
      </w:pPr>
      <w:r>
        <w:rPr>
          <w:rFonts w:cs="Times New Roman"/>
        </w:rPr>
        <w:t xml:space="preserve">And lastly, </w:t>
      </w:r>
      <w:r>
        <w:rPr>
          <w:rFonts w:cs="Times New Roman"/>
          <w:b/>
          <w:bCs/>
        </w:rPr>
        <w:t>Chapter Six</w:t>
      </w:r>
      <w:r>
        <w:rPr>
          <w:rFonts w:cs="Times New Roman"/>
        </w:rPr>
        <w:t xml:space="preserve"> gives the Conclusion, summarising the study, outlining both theoretical and practical contributions, limitations and recommendation of future research and managerial practice.</w:t>
      </w:r>
    </w:p>
    <w:p>
      <w:pPr>
        <w:pStyle w:val="style0"/>
        <w:rPr/>
      </w:pPr>
    </w:p>
    <w:p>
      <w:pPr>
        <w:pStyle w:val="style0"/>
        <w:rPr/>
      </w:pPr>
    </w:p>
    <w:p>
      <w:pPr>
        <w:pStyle w:val="style0"/>
        <w:rPr/>
      </w:pPr>
    </w:p>
    <w:bookmarkStart w:id="8" w:name="_Toc220305363"/>
    <w:p>
      <w:pPr>
        <w:pStyle w:val="style1"/>
        <w:rPr/>
      </w:pPr>
      <w:r>
        <w:t xml:space="preserve">Chapter </w:t>
      </w:r>
      <w:r>
        <w:t>Two</w:t>
      </w:r>
      <w:r>
        <w:t xml:space="preserve">: </w:t>
      </w:r>
      <w:r>
        <w:t>Literature Review</w:t>
      </w:r>
      <w:bookmarkEnd w:id="8"/>
    </w:p>
    <w:bookmarkStart w:id="9" w:name="_Toc220305364"/>
    <w:p>
      <w:pPr>
        <w:pStyle w:val="style2"/>
        <w:rPr/>
      </w:pPr>
      <w:r>
        <w:t>Introduction</w:t>
      </w:r>
      <w:bookmarkEnd w:id="9"/>
      <w:r>
        <w:t xml:space="preserve"> </w:t>
      </w:r>
    </w:p>
    <w:p>
      <w:pPr>
        <w:pStyle w:val="style0"/>
        <w:rPr/>
      </w:pPr>
      <w:r>
        <w:t xml:space="preserve">This chapter aims at critically evaluating the existing literature on how strategic responses by multinational enterprises (MNEs) to a rapidly evolving global trade environment can be adapted, interpreted and communicated. </w:t>
      </w:r>
      <w:r>
        <w:t>With the world redefining its global value chains as a response to geopolitical tension, trade fragmentation, and the post-pandemic turmoil, MNEs are not only repositioning themselves but also packaging new strategic narratives as a way of explaining and contextualising the changes (Niu et al., 2025)</w:t>
      </w:r>
      <w:r>
        <w:t>. The conceptual and theoretical and managerial aspects of such transformations are examined in the literature review based on international business, global value chain research, strategic management and organisational communication research</w:t>
      </w:r>
      <w:r>
        <w:t>.</w:t>
      </w:r>
    </w:p>
    <w:p>
      <w:pPr>
        <w:pStyle w:val="style0"/>
        <w:rPr/>
      </w:pPr>
      <w:r>
        <w:t>The chapter is structured into thematic sections which, collectively, address the research aim and objectives. It starts by examining the changes in global trade and the pressures that the changes exert on MNEs. Then it assesses the strategic reframing of supply chain models, then it analyses organisational sensemaking and narrative construction as two mechanisms where firms convey adaptation. The review also examines dynamic capabilities and strategic agility as theoretical rationalities that inform managerial decisions within turbulent environments. The chapter ends in a summary of emerging themes, a theoretical expression that synthesizes the concepts reviewed, and an occurrence of gaps that warrant the current study</w:t>
      </w:r>
      <w:r>
        <w:t>.</w:t>
      </w:r>
    </w:p>
    <w:bookmarkStart w:id="10" w:name="_Toc220305365"/>
    <w:p>
      <w:pPr>
        <w:pStyle w:val="style2"/>
        <w:rPr/>
      </w:pPr>
      <w:r>
        <w:t>Global Trade Transformations and Pressures on MNEs</w:t>
      </w:r>
      <w:bookmarkEnd w:id="10"/>
      <w:r>
        <w:t xml:space="preserve"> </w:t>
      </w:r>
    </w:p>
    <w:p>
      <w:pPr>
        <w:pStyle w:val="style0"/>
        <w:rPr/>
      </w:pPr>
      <w:r>
        <w:t xml:space="preserve">The modern world of global trade faces the structural change that was caused by geopolitical tension, economic nationalism, and the systemic disruption. According to Luo (2023), the world now is not in a phase of stable liberal globalisation paradigm but rather in an era of global disorder, which is marked by political fragmentation and the undermining of multilateralism. This shift has far-reaching ramifications on MNEs that previously based their competitive advantage on global value chains (GVCs) (Ponte, Gereffi and Raj-Reichert, 2019). Although the Luo (2023) view can be seen as an emphasis on the degradation of global norms, the Gilson (2020) opinion is a counter-argument, whereby the changes are seen as a recalibration as opposed to a direct decrease in globalisation. Gilson (2020) says that regional blocs, including the EU and ASEAN, are moving </w:t>
      </w:r>
      <w:r>
        <w:t>toward further integration, as the process shows that globalisation is not being reversed, but reconfigured. The conflict between the two perspectives underscores the uncertainty that MNEs have to grapple with when they decipher changing trade environments.</w:t>
      </w:r>
    </w:p>
    <w:p>
      <w:pPr>
        <w:pStyle w:val="style0"/>
        <w:rPr/>
      </w:pPr>
      <w:r>
        <w:t>Geopolitical rivalry, especially US China strategic rivalry, is a leading cause of this change. Joshi and Brahmbhatt (2025) argue that national security considerations are also becoming more important in trade policy as opposed to economic efficiency, and governments are implementing restrictions that directly impact cross-border supply chains. Contrastingly, Liu and Ma (2020) theorise that although geopolitical shocks interfere with trade flows in the short-run, European companies have been able to show adaptive capabilities through market diversification and using regional agreements to stabilise the operations. Both views meet at the concept that geopolitical tensions provide external restrictions of MNE decision-making yet diverge concerning the strength of the global trade institutions (Alparslan, 2024).</w:t>
      </w:r>
    </w:p>
    <w:p>
      <w:pPr>
        <w:pStyle w:val="style0"/>
        <w:rPr/>
      </w:pPr>
      <w:r>
        <w:t>The other dimension of complexity cannot be ignored because of the return of trade protectionism. Rudnik et al. (2025) emphasise that opposing geoeconomic interests have exacerbated trade barriers and export restrictions, and long-distance supply chain coordination becomes more perilous. According to their analysis, there has been a structural depreciation in global trade interdependence. This conclusion is, however, disputed by Maihold (2022), who asserts that the firms did not drop global supply networks but reshoring, friend-shoring, and regionalisation allow them to re-equilibrium strategic choices. The Maihold (2022) point of view is more consistent with the emerging industry knowledge that companies are choosing to go towards risk-reduced globalisation in which supply chains are still international but less geographically spread. This scholarly debate highlights that MNEs are changing and not rejecting the global systems of production on which competitive advantage is built.</w:t>
      </w:r>
    </w:p>
    <w:p>
      <w:pPr>
        <w:pStyle w:val="style0"/>
        <w:rPr/>
      </w:pPr>
      <w:r>
        <w:t xml:space="preserve">The COVID-19 pandemic also demonstrated the systemic weaknesses in hyper-globalised supply chains. Dzreke and Dzreke (2025) claim that the pandemic increased the pace of the abandonment of just-in-time optimisation in favour of resilience-oriented models relying on redundancy, buffer capacity, and diversification of suppliers. Their work demonstrates how strategic realignment was triggered by operational shocks. However, as Figueira, Jr and Baesso (2024) observe, not every firm was affected by these disruptions in the same way, with MNEs that had preexisting institutional awareness and geopolitical sensitivity having an advantage in dealing with </w:t>
      </w:r>
      <w:r>
        <w:t>uncertainty. It implies that the pressures of MNEs are skewed and moderated by organisational capabilities, institutional embeddedness, and past international experience (Röell, Arndt and Kumar, 2022).</w:t>
      </w:r>
    </w:p>
    <w:p>
      <w:pPr>
        <w:pStyle w:val="style0"/>
        <w:rPr/>
      </w:pPr>
      <w:r>
        <w:t>Further, the political reclaiming of the supply chain sovereignty has taken centre stage in national economic priorities. The governments are pushing their citizens to produce essential products at home, like semiconductors or pharmaceuticals, to limit their dependence on foreign manufacturers (Ernst, 2021). Rabinovych and Pintsch (2023) describe this as the creation of a regionalised world order, in which resilience and control have become priorities of states over efficiency. Nonetheless, Feng et al. (2022) adopt a more critical approach and argue that trade policies driven by sovereignty have intensified inequalities in the world and raised the cost of doing business to the firms. Their criticism is that these changes can compromise the long-term competitiveness and leave MNEs in the dilemma of compliance and efficiency (Meyer and Li, 2022).</w:t>
      </w:r>
    </w:p>
    <w:p>
      <w:pPr>
        <w:pStyle w:val="style0"/>
        <w:rPr/>
      </w:pPr>
      <w:r>
        <w:t xml:space="preserve">Collectively, the literature represents a problematic and controversial image of global trade transformation. </w:t>
      </w:r>
      <w:r>
        <w:t>Scholars concur with the idea that MNEs are more vulnerable to uncertainty brought about by geopolitical competition, institutional instability, and systemic shocks. They do however disagree on the extent to which these pressure points are evidence of deglobalisation, regional diversification or strategic recalibration. This problematic terrain is significant to understand how MNEs legitimise their way into the world and narrate their accounts of changing strategies since firms have to produce narratives that explain why they responded to the turbulence in the global environment and still be legitimate in the eyes of their stakeholders.</w:t>
      </w:r>
    </w:p>
    <w:p>
      <w:pPr>
        <w:pStyle w:val="style0"/>
        <w:rPr/>
      </w:pPr>
      <w:r>
        <w:t xml:space="preserve">In most cases, the literature describes global trade transformation as a controversial and complex change, which is preconditioned with geopolitical rivalry, protectionism, and sovereign policies. Such turmoil has been called by certain scholars deglobalisation, others strategic reorganisation or local restructuring. The uncertainty and asymmetric pressure they experience puts MNEs in an even less predictive situation, institutionally mediated vulnerability makes their cultural models of GVC more complex. It is notable that companies </w:t>
      </w:r>
      <w:r>
        <w:t>must</w:t>
      </w:r>
      <w:r>
        <w:t xml:space="preserve"> compromise efficiency, strength and conformity to stay competitive in the global market. These tensions form the basis of the strategic discourses under which MNEs have to rationalise their treatment, legitimise their adjustment and assure stakeholders in a world that is becoming more diverse and politicised</w:t>
      </w:r>
      <w:r>
        <w:t>.</w:t>
      </w:r>
    </w:p>
    <w:bookmarkStart w:id="11" w:name="_Toc220305366"/>
    <w:p>
      <w:pPr>
        <w:pStyle w:val="style2"/>
        <w:rPr/>
      </w:pPr>
      <w:r>
        <w:t>Strategic Reframing of Supply Chain Models</w:t>
      </w:r>
      <w:bookmarkEnd w:id="11"/>
      <w:r>
        <w:t xml:space="preserve"> </w:t>
      </w:r>
    </w:p>
    <w:p>
      <w:pPr>
        <w:pStyle w:val="style0"/>
        <w:rPr/>
      </w:pPr>
      <w:r>
        <w:t>Redesign of global supply chain models has become one of the most common strategic challenges that has hitherto been associated with multinational enterprises (MNEs) as far as international trade volatility is involved. The archetypal models of the value chain in the world that emphasized cost effectiveness, geographical dispersion, and comparative advantage are under strain because of the new issues of national security, geopolitical fragmentation, and environmental insecurity (Kano, Tsang and Yeung, 2020). The initial GVC theory of Gerraffi introduces the global production networks as either naturally transnational forms that are scaled and efficient to the maximum (Gereffi, 2019). However, recent research indicates that highly distributed models such as these began to be fragile more and more</w:t>
      </w:r>
      <w:r>
        <w:t>. This is because, as Sacco (2024) argues, MNEs are now strategically restructuring GVCs into regional production clusters to reduce geopolitical risk and enhance operational resilience. Their observations indicate a structural change not towards hyper-globalisation but towards regionalised supply chain structures. However, this debate is the contrary of Lorenzen, Mudambi and Schotter (2020), who assert that even as regionalisation is increasing, global value chains are highly networked and MNEs still exploit global sourcing where it is still a strategic option. The discussion brings to the fore the inconsistency between the way various companies understand and react to global trade uncertainties.</w:t>
      </w:r>
    </w:p>
    <w:p>
      <w:pPr>
        <w:pStyle w:val="style0"/>
        <w:rPr/>
      </w:pPr>
      <w:r>
        <w:t xml:space="preserve">An expanding literature suggests that the dichotomy between resilience and efficiency has become a characteristic of the supply chain strategy (Negri et al., 2021). Historically, companies sought lean, just-in-time (JIT) mechanisms that optimised efficiency through minimised inventory, optimised logistics, and finding low-cost areas (Oteri et al., 2023). Yet the pandemic revealed that efficiency driven models create systemic vulnerabilities in highly connected networks. Boonlua et al. (2023) believe that the transition to resilience is not only operational but highly strategic, entailing an investment in redundancy, scenario planning, and diversification. Their perspective is shared by the new paradigm of just-in-case, which is more flexible than optimisation. </w:t>
      </w:r>
      <w:r>
        <w:t>On the other hand, this direction is referred to as criticised by Hosseini, Mavi and Macau (2025), who argue that resilience-centred strategy can also increase the expenses and result in the decline in competitiveness, especially in the case of enterprises engaged in price-sensitive international markets. Such tension between resilience and efficiency thus reflects the greater strategic trade-offs that MNEs must bargain with, determining the storeys they discuss adaptation</w:t>
      </w:r>
      <w:r>
        <w:t>.</w:t>
      </w:r>
    </w:p>
    <w:p>
      <w:pPr>
        <w:pStyle w:val="style0"/>
        <w:rPr/>
      </w:pPr>
      <w:r>
        <w:t>Multi-sourcing and supplier diversification have become widely used in reducing concentrated risk. Luo and Tung (2025) illustrate how companies integrated in global dispersed networks are becoming more diversified in sourcing to limit their risks in geopolitical hotspots. Their discussion indicates that multi-sourcing increases flexibility and bargaining power. Ceipek et al. (2019) warn, however, that diversification adds complexity, standardisation, and the cost of coordination, especially in sectors that demand high levels of technical integration. This discussion demonstrates the execution paradox between risk dispersal and managerial control and points out that strategic reframing is not merely a reaction to exogenous pressure but also to exogenous organisational restrictions (Sen, Kotlarsky and Budhwar, 2020).</w:t>
      </w:r>
    </w:p>
    <w:p>
      <w:pPr>
        <w:pStyle w:val="style0"/>
        <w:rPr/>
      </w:pPr>
      <w:r>
        <w:t xml:space="preserve">A second dimension that influences the reframing of supply chain is the emergence of friend-shoring and nearshoring as geopolitical instruments. Maihold (2022) views friend-shoring as a politically imbued mechanism in which companies transfer production to destinations whose ideological or institutional orientation is supportive or consistent with their mother countries. </w:t>
      </w:r>
      <w:r>
        <w:t>This argument aligns with the US and EU industrial policies promoting local and allied production (Terzi, Sherwood and Singh, 2023). However, Vivoda and Matthews (2023) explain that friend-shoring may be a cause of market irrationality resting on political alignment, rather than comparative advantage, resulting in inefficiencies and a divided supply network. These two opposing views reveal that strategic reconfiguration is increasingly driven by institutional pressures and not pure market logic and that MNEs are increasingly forced to balance between the pressures of politics and the realities of operations.</w:t>
      </w:r>
    </w:p>
    <w:p>
      <w:pPr>
        <w:pStyle w:val="style0"/>
        <w:rPr/>
      </w:pPr>
      <w:r>
        <w:t xml:space="preserve">The concept of supply chain sovereignty has emerged as well. Li and Meyer (2022) describes sovereignty as an ability of the states to possess control over major supply chains, which is often supported by policy incentives and regulatory interventions. </w:t>
      </w:r>
      <w:r>
        <w:t xml:space="preserve">This political change is changing the strategic environment in which MNEs are competing, especially in such areas as semiconductors, pharmaceuticals and clean energy. However, Kaya and Shahid (2025) present a different argument that the sovereign-based fragmentation harms dynamic capabilities that enable firms to cross-border and innovate. Kaya and Shahid (2025) report that innovation can be optimised in openness, cross-border cooperation, and global knowledge diffusion, which are weaker in sovereignty-based policies. This academic paradox reveals a key paradox: when the governments pursue </w:t>
      </w:r>
      <w:r>
        <w:t>independence, MNEs rely on global interdependencies to produce and innovate (Petricevic and Teece, 2019).</w:t>
      </w:r>
    </w:p>
    <w:p>
      <w:pPr>
        <w:pStyle w:val="style0"/>
        <w:rPr/>
      </w:pPr>
      <w:r>
        <w:t xml:space="preserve">Another force that affects the strategic reframing of the supply chain is technological transformation. Digitalisation, AI-based predictions, real-time analytics, and blockchain traceability are among the most actively promoted solutions to uncertainty in the global context (Rehman, 2025). According to McKinsey report, digital visibility improves responsiveness and risk detection (McKinsey and Company, 2017). Empirical studies, however, give conflicting evidence. In line with this, Agrawal, Narain and Ullah (2019) warn that digital transformation comes with huge capital investments and organisational capabilities that cannot be afforded by most companies. </w:t>
      </w:r>
      <w:r>
        <w:t>They demand that technology cannot possible eliminate the geopolitical turbulence or structural vulnerability of supply chains. This pessimistic approach challenges positive rhetoric on digitalisation as a universal solution to the issues of supply chains (Queiroz et al., 2021).</w:t>
      </w:r>
    </w:p>
    <w:p>
      <w:pPr>
        <w:pStyle w:val="style0"/>
        <w:rPr/>
      </w:pPr>
      <w:r>
        <w:t>Overall, the literature indicates that MNEs are re-architecturing their supply chains as a complex venture that takes into consideration operational realities, institutional forces, geopolitical change and technology possibilities. Some scholars view these changes as a step towards regionalised and resilience-based networks, others state that global production has been centralised and embedded. The inconsistent scholarly schools of thought drive the debate that the supply chain transformation is not a generalisable phenomenon but rather a phenomenon that relies on the organisational strategy, the structure of the industry, the structure of their resources and their exposure to geopolitics. These diverse interpretations form the foundation of emergence of how MNEs represent strategic discourses which legitimise the shift and articulates changing corporate identities in a discontinuous global trade market place</w:t>
      </w:r>
      <w:r>
        <w:t>.</w:t>
      </w:r>
    </w:p>
    <w:p>
      <w:pPr>
        <w:pStyle w:val="style0"/>
        <w:rPr/>
      </w:pPr>
      <w:r>
        <w:t xml:space="preserve">Generally, the literature indicates that supply chain reframing is neither linear nor standardised but a complex bargaining process among resilience, efficiency, geography, technology and institutional constraints. Although others also note the shift toward regionalisation, diversification, and sovereignty, others also note the persistence of global integration and comparative advantage. Companies have to strike a balance between reduction in risk and a complex operation, cost, and technological limits. These opposing perspectives emphasise how MNEs reconfigure their supply chains differently based on the nature of industries, geopolitical risk, and organisational strength. </w:t>
      </w:r>
      <w:r>
        <w:t>It is this heterogeneity of responses which constitutes the narrative basis by which firms justify strategic transformation.</w:t>
      </w:r>
    </w:p>
    <w:bookmarkStart w:id="12" w:name="_Toc220305367"/>
    <w:p>
      <w:pPr>
        <w:pStyle w:val="style2"/>
        <w:rPr/>
      </w:pPr>
      <w:r>
        <w:t>Organisational Sensemaking and Strategic Narratives</w:t>
      </w:r>
      <w:bookmarkEnd w:id="12"/>
      <w:r>
        <w:t xml:space="preserve"> </w:t>
      </w:r>
    </w:p>
    <w:p>
      <w:pPr>
        <w:pStyle w:val="style0"/>
        <w:rPr/>
      </w:pPr>
      <w:r>
        <w:t>With the increasing volatility of global trade, organisational sensemaking and strategic narratives have emerged as key mechanisms by which multinational enterprises (MNEs) make meaning of uncertainty and communicate strategic adaptation (Albers and Jönkoing, 2024). Sensemaking, introduced by Weick, places organisations in the role of interpretive systems that give meaning to ambiguous environments (Sandberg and Tsoukas, 2020). Within the context of global trade disruptions, Kulkarni, Cristofaro and Ramamoorthy (2024) assert that sensemaking has ceased to be a fringe benefit of managerial practise but rather a core strategic competence that informs how firms rationalise change in operations and reassure stakeholders. According to their work, MNEs employ narrative framing to render the idea of trade realignment purposeful and strategic instead of reactive (Linde and Broman, 2025). Nevertheless, this meaning conflicts with the interpretation by Meyer and Li (2022), who assert that sensemaking in MNEs is limited by institutional and geopolitical forces, i.e., firms might be forced to utilise official narratives that resonate with political expectations and not their own evaluations. This tension underscores the difficulty of storytelling in a disjointed global economy.</w:t>
      </w:r>
    </w:p>
    <w:p>
      <w:pPr>
        <w:pStyle w:val="style0"/>
        <w:rPr/>
      </w:pPr>
      <w:r>
        <w:t xml:space="preserve">Strategic narratives are used to control perceptions about stakeholders, especially when companies repackage supply chains (Siems, Seuring and Schilling, 2022). Dawson and Sykes (2018) contend that narratives enable coherence on strategic decisions by associating operational changes with long-term organisational identity and competitive logic. In the theory of dynamic capabilities, sensemaking (sensing) is a precursor to strategic action (seizing). However, the interpretation by Dawson and Sykes (2018) is open to criticism due to its somewhat idealised perspective that managers have the cognitive clarity to interpret disruptions accurately. Aromaa et al. (2019) take a more sceptical perspective, claiming that sensemaking can be partial, contested, and biassed by managers. In this sense, narrative construction is less a matter of a conscious strategy and more a matter of cognitive simplification in the face of uncertainty. </w:t>
      </w:r>
      <w:r>
        <w:t>The opposition between these views illustrates one of the central intellectual debates: does the idea of strategic narratives evolve around systematic capabilities or is it limited by the rationality of the situation and institutional restrictions?</w:t>
      </w:r>
    </w:p>
    <w:p>
      <w:pPr>
        <w:pStyle w:val="style0"/>
        <w:rPr/>
      </w:pPr>
      <w:r>
        <w:t>Corporate communication literature also demands the importance of the use of narratives as a tool of legitimacy maintenance during a period of organisational change. Jones and Murray (2025) postulate that firms in more than one regulatory environment are burdened with the need to build narratives that appeal to the institutional norms of each site. In doing that, they highlight the importance of there being legitimacy-seeking behaviour that MNEs use to make sense of strategic adaptation. De Villiers and Molinari (2021) are even more sceptical, warning that the excessively strategic communication can become symbolic conformity whereby firms publicly claim their adherence to resilience or localisation and work globally with globalised strategies. The gap indicates that narrative and practise may become disconnected, allowing some MNEs to act as narratives as rhetorical tools rather than realistic portrayals of strategic behaviour (Nardella, Narula and Surdu, 2021).</w:t>
      </w:r>
    </w:p>
    <w:p>
      <w:pPr>
        <w:pStyle w:val="style0"/>
        <w:rPr/>
      </w:pPr>
      <w:r>
        <w:t xml:space="preserve">Crisis communication theory introduces a new dimension to narrative reframing. During systemic shocks such as the pandemic, geopolitical conflict, or trade wars, firms are more likely to adopt the narrative of resilience, flexibility, and strategic autonomy (Hynes et al., 2020). According to Bogiqi and Palmgren (2024), companies are increasingly conceptualising supply chain changes as a long-term investment in capability rather than an emergency response. This rhetoric shift helps to sustain investor confidence and internal morale. </w:t>
      </w:r>
      <w:r>
        <w:t>Mintrom and O’Connor (2020) however critique this framing asserting that such resilience accounts tend to obscure politically motivated choices under the pressures of governmental power, or national security pressure. Their review is critical of the significance of applying resilience narratives to justify decisions whose execution relies largely on the extrinsic force of policies instead of internal plan.</w:t>
      </w:r>
    </w:p>
    <w:p>
      <w:pPr>
        <w:pStyle w:val="style0"/>
        <w:rPr/>
      </w:pPr>
      <w:r>
        <w:t>Managerial cognitions and strategic foresight have been associated with narrative construction as applied to international business research. Kiti et al. (2025) confirm that the essence of how MNEs sense and respond to international uncertainties is defined in terms of managerial sensemaking. Nevertheless, there is a split in the way scholars articulate the thinking processes underlying strategic discourse. In their example, Nigar and Kostogriz (2025) focus on interpretative phenomenology and present the idea that managerial experiences establish narratives subjectively</w:t>
      </w:r>
      <w:r>
        <w:t xml:space="preserve">. This viewpoint means that storeys cannot be analysed at the organisational level solely and should include personal interpretations, cultural bias, and power relations. Institutional theorists, by contrast, discuss the external forces and highlight the fact that the narratives are made as a response </w:t>
      </w:r>
      <w:r>
        <w:t>to the expectations of regulators, investors, and partners (Burdon and Sorour, 2020). The divide between cognitive and institutional explanations will reflect the stratified nature of narrative production within MNEs.</w:t>
      </w:r>
    </w:p>
    <w:p>
      <w:pPr>
        <w:pStyle w:val="style0"/>
        <w:rPr/>
      </w:pPr>
      <w:r>
        <w:t xml:space="preserve">In addition, strategic narratives play a central role in justifying supply chain sovereignty, nearshoring, and regionalisation (Butollo et al., 2024). Sardo, Kuppler and Scheer (2025) assert that players in the industry are adopting narrative framing to project regionalisation as a resilient, future-oriented approach that satisfies stakeholder expectations. Zheng (2023) cautions, however, that this could reduce the process of regionalisation to a simple narrative, obscuring its operational costs and inefficiency potentials. Their criticism suggests that when the business case is dubious, then narratives can romanticise regionalisation </w:t>
      </w:r>
      <w:r>
        <w:t>to</w:t>
      </w:r>
      <w:r>
        <w:t xml:space="preserve"> maintain reputation. </w:t>
      </w:r>
      <w:r>
        <w:t>This demonstrates that not just narratives are sources of sensemaking, but of strategic persuasion as well.</w:t>
      </w:r>
    </w:p>
    <w:p>
      <w:pPr>
        <w:pStyle w:val="style0"/>
        <w:rPr/>
      </w:pPr>
      <w:r>
        <w:t>Technology based sensemaking adds to this debate as well. Both supporters and opponents are of the opinion that managerial wisdom regarding worldwide risks can be sustained by the digital dashboard, predictive analytics, and real-time visibility tools (Enyejo et al., 2024). The McKinsey industry report says that building data-driven narratives helps an organisation to align itself (McKinsey and Company, 2017). Nevertheless, Smith and Beretta (2020) do not agree with this assumption, noting that the technological systems tend to overwhelm managers with data, which is rather a source of uncertainty rather than clarity</w:t>
      </w:r>
      <w:r>
        <w:t>. This strain introduces an imbalance between technological potential and human capacity where digitalisation is not necessarily the answer to interpretative challenges.</w:t>
      </w:r>
    </w:p>
    <w:p>
      <w:pPr>
        <w:pStyle w:val="style0"/>
        <w:rPr/>
      </w:pPr>
      <w:r>
        <w:t>Combined, the literature supports the view that organisational sensemaking and strategic narrative play a critical role in describing how MNEs respond to and make sense of disruptions in international trade. Although it is widely accepted that narratives matter, scholars differ on whether they are intentional strategic proficiencies or institutional forces, or cognitive simplifications. This paradox justifies the necessity to investigate not only what MNEs do, but how they justify and excuse their actions, which is of the main concern of the current study</w:t>
      </w:r>
      <w:r>
        <w:t>.</w:t>
      </w:r>
    </w:p>
    <w:p>
      <w:pPr>
        <w:pStyle w:val="style0"/>
        <w:rPr/>
      </w:pPr>
      <w:r>
        <w:t xml:space="preserve">Finally, organisational sensemaking and narrative building can be seen as fundamental processes enabling MNEs to make sense of uncertainty, legitimise strategic change, and sustain legitimacy. Researchers agree that narratives influence perceptions of stakeholders, but there is still controversy on whether they represent true strategic capability, institutional compliance, or bias </w:t>
      </w:r>
      <w:r>
        <w:t>by managers. The conflict of cognition and pressures shows that corporate storytelling is a sensemaking as well as a strategic instrument. Take away: As companies manoeuvre through geopolitical upheaval and supply chain reinvention, their storeys not only define the adjustment process, but also shape organisational identity. This renders the narrative analysis essential in comprehending the process through which MNEs rationalise strategic decisions.</w:t>
      </w:r>
    </w:p>
    <w:bookmarkStart w:id="13" w:name="_Toc220305368"/>
    <w:p>
      <w:pPr>
        <w:pStyle w:val="style2"/>
        <w:rPr/>
      </w:pPr>
      <w:r>
        <w:t>Dynamic Capabilities, Strategic Agility, and Managerial Priorities</w:t>
      </w:r>
      <w:bookmarkEnd w:id="13"/>
      <w:r>
        <w:t xml:space="preserve"> </w:t>
      </w:r>
    </w:p>
    <w:p>
      <w:pPr>
        <w:pStyle w:val="style0"/>
        <w:rPr/>
      </w:pPr>
      <w:r>
        <w:t>Dynamic capabilities perspective (DC) became a dominant theoretical model to describe how multinational enterprises (MNEs) cope with the turbulence of the contemporary global trade (Zahra, Petricevic and Luo, 2022). The DC framework, founded on the initial contribution of rooting in Teece (2022), defines three core capabilities sensing, seizing, and transforming, which enable firms to re-act strategically to environmental volatility. Teece (2022) assumes that these assets are essential in MNEs to operate in a bifurcated global economy in which geopolitical fragmentation, trade obstacles, and technological rivalry create complex strategic landscapes. This view claims that organisations must continuously rearchitecture resources and capabilities to remain competitive (Teece, 2022). However, critics, such as Zheng et al. (2025), suggest that the DC framework tends to overstate managerial agency in the situation when geopolitical forces are prevailing. They say that even the highest degree of sensing or active alteration would not bring political willed disturbances in trade to a complete end. This criticism raises a key theoretical debate: can dynamic capabilities insure MNEs against structural force vulnerabilities?</w:t>
      </w:r>
    </w:p>
    <w:p>
      <w:pPr>
        <w:pStyle w:val="style0"/>
        <w:rPr/>
      </w:pPr>
      <w:r>
        <w:t xml:space="preserve">One of the closely related concepts to dynamic capabilities is strategic agility, which concerns the speed and adaptability with which firms respond to new threats and opportunities (Shams et al., 2020). According to Christofi, Chourides and Papageorgiou (2023), strategic agility is the ability to swiftly restructure operations, redistribute resources, and change organisational responses to uncertainty. According to them, agility is particularly relevant to supply chain restructuring, where companies have less time to make decisions and lessened strategic options. In a critical tone, Meyer and Li (2022) criticise the idealised conceptualisation by citing empirical evidence that most MNEs are dormant and lack agility to geopolitical shocks. According to their analysis, agile responses are frequently limited by tightly coupled supply chain networks, durable contracts, and institutional dependencies. This disjunction suggests that agility may be a nice concept, but its </w:t>
      </w:r>
      <w:r>
        <w:t>practise in practise is not evenly spread across different industries and organisational cultures (Sacco, 2024)</w:t>
      </w:r>
      <w:r>
        <w:t>.</w:t>
      </w:r>
    </w:p>
    <w:p>
      <w:pPr>
        <w:pStyle w:val="style0"/>
        <w:rPr/>
      </w:pPr>
      <w:r>
        <w:t>An important debate in the literature is whether dynamic capabilities are active strategic tools or isometric mechanisms induced by crisis. Joussen, Kanbach and Kraus (2024) locate dynamic capabilities as proactive, focusing on the managerial skill to foresee changes and to position the firm strategically before disruptions happen. This understanding follows the cognitive approach to strategy, in which proficient managers are assumed to anticipate new trends and redirect organisational focus (Joseph and Gaba, 2020). However, researchers like Mikic, Alexander and Gallagher (2020) suggest that recent crises like COVID-19 and the US China trade war show that most companies are taken by surprise, leading them to resort to improvisational instead of planned adaptive behaviour. Their criticism is that dynamic capabilities can be less systematic and more emergent than theorised. The conflict between active and passive adaptation is a pivotal area of academic discussion (Joussen, Kanbach and Kraus, 2024).</w:t>
      </w:r>
    </w:p>
    <w:p>
      <w:pPr>
        <w:pStyle w:val="style0"/>
        <w:rPr/>
      </w:pPr>
      <w:r>
        <w:t xml:space="preserve">The other important area is the connexion between resilience and dynamic capabilities. As Zungu and Laryea (2025) claim that the capacity of resilience to absorb shocks and recover can be viewed as a result of robust dynamic capabilities. They argue that sensing abilities assist in detecting vulnerabilities, whereas seizing and transformation assist in quick recovery. </w:t>
      </w:r>
      <w:r>
        <w:t>However, resilience scholars such as Belhadi et al. (2024) hold that resilience is not merely dependent on internal capabilities but also depends on the supply chain design and geopolitical stability of the production locations. Along these lines, even endowed companies may struggle to absorb exogenous, systemic and non-diversifiable risks (Petukhov, 2019). This resistance underscores the limitation of firm-based models under political, ecological, and institutional disruptions.</w:t>
      </w:r>
    </w:p>
    <w:p>
      <w:pPr>
        <w:pStyle w:val="style0"/>
        <w:rPr/>
      </w:pPr>
      <w:r>
        <w:t xml:space="preserve">The role of managerial priorities in the process of deploying dynamic capabilities is also significant. Kazancoglu et al. (2023) speculate that MNEs are more interested in regionalisation and risk reduction than efficiency, and the strategic logic has shifted to resilience instead of cost optimization. </w:t>
      </w:r>
      <w:r>
        <w:t xml:space="preserve">However, Teece (2022) cautions that the over-focusing on resilience may ruin the capacity of firms to innovate and compete within the international market because innovation can flourish under the condition of exposure to the forces of global knowledge flows and international cooperation. </w:t>
      </w:r>
      <w:r>
        <w:t xml:space="preserve">The contrast between globalisation based on innovation and restructuring based on resilience is that the managerial interests are scrambling to control strategic decisions (Lv et al., </w:t>
      </w:r>
      <w:r>
        <w:t>2018). That argument shows that dynamic capabilities are not merely operational constructs, but normative constructs which are knowledgeable by managerial thinking and organisational culture.</w:t>
      </w:r>
    </w:p>
    <w:p>
      <w:pPr>
        <w:pStyle w:val="style0"/>
        <w:rPr/>
      </w:pPr>
      <w:r>
        <w:t>The institutional theory is also a pricky subject. As Wu and Park (2017) observe, the growing overlap of conflicting institutional forces in different markets is subjecting MNEs to pressure in even more capability discharge. They observe that in a majority of cases, compliance is acceptable in most organisations and that compliance is disruptive towards the long-run strategic priorities (Ngandoh, 2024)</w:t>
      </w:r>
      <w:r>
        <w:t>. Conversely, Sen, Kotlarsky and Budhwar (2020) are of the opinion that institutional pressures may also trigger the development of capabilities by compelling organisations to broaden the supply chains and improve risk management. These paradoxical stances introduce the duality of institutions as both limiting and producing dynamic capabilities.</w:t>
      </w:r>
    </w:p>
    <w:p>
      <w:pPr>
        <w:pStyle w:val="style0"/>
        <w:rPr/>
      </w:pPr>
      <w:r>
        <w:t>Dynamic capabilities and strategic agility are also interwoven with narrative construction. Nasser (2022) writes that narrative framing helps companies to legitimate ability-based strategies as deliberate responses to uncertainty. These storeys can augment internal alignment and confidence. Nevertheless, Kesebi (2019) warns that storeys may enhance the responsiveness and readiness of businesses, masking the imperfections of their activity or responsiveness. They criticise it based on the necessity to test the difference between narrative claim and actual strategic ability.</w:t>
      </w:r>
    </w:p>
    <w:p>
      <w:pPr>
        <w:pStyle w:val="style0"/>
        <w:rPr/>
      </w:pPr>
      <w:r>
        <w:t>The three literature identifies the dynamic capabilities, strategic agility, and managerial priorities as complementary lenses in understanding MNE adaptation to global trade turbulence. However, researchers are divided on the effectiveness, constraints and utilisation of these constructs in practise. Although the DC framework provides a realistic account of firm-level adaptations, critics cite structural, institutional, and cognitive constraints as a restraint on managerial agency. These arguments highlight the necessity of looking beyond the capabilities which a firm purports to possess and directly address the storeys which they are creating- an analytic methodology which is concurrent with the current study</w:t>
      </w:r>
      <w:r>
        <w:t>.</w:t>
      </w:r>
    </w:p>
    <w:bookmarkStart w:id="14" w:name="_Toc220305369"/>
    <w:p>
      <w:pPr>
        <w:pStyle w:val="style2"/>
        <w:rPr/>
      </w:pPr>
      <w:r>
        <w:t>MNE Responses and Emerging Themes of Adaptation</w:t>
      </w:r>
      <w:bookmarkEnd w:id="14"/>
      <w:r>
        <w:t xml:space="preserve"> </w:t>
      </w:r>
    </w:p>
    <w:p>
      <w:pPr>
        <w:pStyle w:val="style0"/>
        <w:rPr/>
      </w:pPr>
      <w:r>
        <w:t>This has caused the destabilisation of world trade systems, leading to a spectrum of strategic responses by multinational enterprises (MNEs) that unveils new streams in which the companies re-establish resilience, sovereignty, and competitiveness</w:t>
      </w:r>
      <w:r>
        <w:t xml:space="preserve">. The literature has argued that MNEs have moved beyond globally optimised supply chains to more regionally based and politically oriented </w:t>
      </w:r>
      <w:r>
        <w:t>franchises (Meyer and Li, 2022). According to Basalat and Priyanka (2024), this is a form of regionalisation of global trade in which companies reorganise production into geographically concentrated groups to reduce geopolitical risk. In this perspective, regionalisation increases pressure on visibility, lowers vulnerability across borders, and is consistent with national policy incentives. Bureth (2025) however disputes this inevitability change, by noting that regionalisation is frequently over-exaggerated and that companies still largely rely on globally distributed suppliers, particularly of high-value or technologically niche components. This comparison shows that regionalisation is not universal, and it is not equally practicable in all industries, so it is a selective not a conclusive trend (Samara et al., 2024).</w:t>
      </w:r>
    </w:p>
    <w:p>
      <w:pPr>
        <w:pStyle w:val="style0"/>
        <w:rPr/>
      </w:pPr>
      <w:r>
        <w:t xml:space="preserve">Another related adjustment response is the pursuit of supply chain sovereignty especially in areas regarded as strategic. Hassan (2025) claim that companies are using sovereignty as a strategic objective, with dual sourcing, nearshoring, and supplier diversification becoming increasingly common in efforts to avoid reliance on geopolitically vulnerable areas. According to their work, sovereignty improves risk resilience in the long run. However, Metallinou (2025) criticise sovereignty-based restructuring as not economically rational but rather politically induced. They argue that the policies of sovereignty may cause inefficiencies, increased costs of production, and disintegration of the global markets. </w:t>
      </w:r>
      <w:r>
        <w:t xml:space="preserve">This variety highlights challenging trade-offs that MNEs encounter in their quest to achieve political compliance and operational competitiveness (Anagnostakos, 2024). </w:t>
      </w:r>
      <w:r>
        <w:t>It also notes that the histories of sovereignty can even conceal the pressure of expenses or political pressures.</w:t>
      </w:r>
    </w:p>
    <w:p>
      <w:pPr>
        <w:pStyle w:val="style0"/>
        <w:rPr/>
      </w:pPr>
      <w:r>
        <w:t>Digitalisation is another important theme that defines how the MNEs take up the global trade uncertainty. Proponents are of the opinion that digital twins, sophisticated analytics and blockchain will contribute to supply chain visibility, which will make it simpler to act more quickly in response to disruption (Ivanov and Dolgui, 2021). Digital transformation is commonly cited in McKinsey report as one of the strong sources of resilience. In this case, however, the fact of empirical research gives a less clear picture (McKinsey and Company, 2017). The authors Zheng et al. (2025) warn that the concept of digitalisation will not be capable of covering the structural exposures in the supply chains in those cases when their disruptions are based on geopolitical limitations or regulatory disintegration</w:t>
      </w:r>
      <w:r>
        <w:t xml:space="preserve">. According to them, over reliance on technology may give the illusion of safety that can lead firms into interpretive blind spots. These arguments suggest that it is only with </w:t>
      </w:r>
      <w:r>
        <w:t>the help of organisational capabilities and geopolitical awareness that technology will prove useful in the facilitation of adaptation</w:t>
      </w:r>
      <w:r>
        <w:t>.</w:t>
      </w:r>
    </w:p>
    <w:p>
      <w:pPr>
        <w:pStyle w:val="style0"/>
        <w:rPr/>
      </w:pPr>
      <w:r>
        <w:t xml:space="preserve">A second theme that is emerging is strategic flexibility and modular supply chain architecture. According to Chauhan, Perera and Brintrup (2020), the tendency of firms towards modularity is increasing </w:t>
      </w:r>
      <w:r>
        <w:t>to</w:t>
      </w:r>
      <w:r>
        <w:t xml:space="preserve"> isolate risks and avoid cascading failures within global networks. They argue that modularity increases the supplier substitutability, which allows quick reaction to disruption. Nevertheless, Schmidt and Foss (2023) object that modular redesign usually involves expensive restructuring and can be only possible in large companies with sufficient financial resources. This difficulty brings about differences in adaptive capacity, implying that not every MNE can pursue flexible models equally. Consequently, the literature shows that there is a capability gap between multinationals that are globally dominant and smaller or resource-bound multinationals.</w:t>
      </w:r>
    </w:p>
    <w:p>
      <w:pPr>
        <w:pStyle w:val="style0"/>
        <w:rPr/>
      </w:pPr>
      <w:r>
        <w:t xml:space="preserve">Another unique strategic response has been friend-shoring, which signifies the politicisation of global supply chain decision making. Freund-shoring is when production is moved to geopolitically friendly nations to adhere to government policy or to minimise vulnerability to hostile trade partners (Maihold, 2022). Meyer and Li (2022) perceives this as a rational alignment of corporate strategy with political reality. Nonetheless, Zarea and zhan (2024) caution that friend-shoring can establish structural reliance on political alliances that are potentially unstable themselves. </w:t>
      </w:r>
      <w:r>
        <w:t>They criticise the fact that their friend-shoring might end up replacing one type of geopolitical risk with a different one, and that its effectiveness over time might be dubious. This scholarly dispute underscores the susceptibility of politically dependent supply chain strategies.</w:t>
      </w:r>
    </w:p>
    <w:p>
      <w:pPr>
        <w:pStyle w:val="style0"/>
        <w:rPr/>
      </w:pPr>
      <w:r>
        <w:t xml:space="preserve">Narrative construction also plays a central role in MNE adaptation and thus the reason why firms justify strategic change. According to Elgin (2025), business organisations are starting to describe regionalisation and resilience as future-focused approaches, which reflect on environmental sustainability, technological innovation, and social accountability. These narratives are used to maintain investor confidence and explain change in operations. </w:t>
      </w:r>
      <w:r>
        <w:t xml:space="preserve">Tumewang, Ntim and Haque (2025) however, cautions that the legitim </w:t>
      </w:r>
      <w:r>
        <w:t>Seekings</w:t>
      </w:r>
      <w:r>
        <w:t xml:space="preserve"> accounts have the potential to mask real problems or gaps in strategic implementation within an organisation. They claim a disparity exists between discourse and reality whereby some MNEs publicly claim to be resilient, whilst secretly holding on to efficiency-based models. This conflict implies the informative worth of researching corporate storeys as compared to the reality of the supply chain strategy.</w:t>
      </w:r>
    </w:p>
    <w:p>
      <w:pPr>
        <w:pStyle w:val="style0"/>
        <w:rPr/>
      </w:pPr>
      <w:r>
        <w:t>One more dominant pattern which emerges is the growing managerial focus on risk mitigation and strategic independence</w:t>
      </w:r>
      <w:r>
        <w:t>. According to Teece (2022), dynamic capabilities can assist companies to strike a balance between innovation and resilience, ensuring long-term competitiveness in fragmented markets. Comparatively, Meyer and Li (2022) argue that a majority of the companies adopt risk-based strategies in reactor mode, driven by political and institutional pressure rather than strategic mobilisation of capability. Their criticism suggests that managerial agency is limited and that adaptation may be less bound than capability-based models might indicate. This discussion shows the imbalance between strategic intention and structural constraint.</w:t>
      </w:r>
    </w:p>
    <w:p>
      <w:pPr>
        <w:pStyle w:val="style0"/>
        <w:rPr/>
      </w:pPr>
      <w:r>
        <w:t>All these themes show that the notion of MNE adaptation is not singular but a product of a complex interaction between political forces, organisational resources and technological regimes and legitimising discourses. Some criticise the responses as reactionary, expensive, or symbolically framed, although other researchers emphasise the resilience-oriented restructuring and sovereignty. These contrasting readings lead to the importance of reviewing the accounts, based on which companies justify their adaptation, in unravelling strategic behaviour in the evolving world trade landscape which forms the core of the given study</w:t>
      </w:r>
      <w:r>
        <w:t>.</w:t>
      </w:r>
    </w:p>
    <w:bookmarkStart w:id="15" w:name="_Toc220305370"/>
    <w:p>
      <w:pPr>
        <w:pStyle w:val="style2"/>
        <w:rPr/>
      </w:pPr>
      <w:r>
        <w:t>Theoretical Framework</w:t>
      </w:r>
      <w:bookmarkEnd w:id="15"/>
      <w:r>
        <w:t xml:space="preserve"> </w:t>
      </w:r>
    </w:p>
    <w:p>
      <w:pPr>
        <w:pStyle w:val="style0"/>
        <w:rPr/>
      </w:pPr>
      <w:r>
        <w:t>The theoretical framework that will form the basis of the present research incorporates four complementary lenses, namely the Dynamic Capabilities Theory, Global Value Chain (GVC) Theory, Organisational Sensemaking Theory, and Institutional Theory to understand how multinational enterprises (MNEs) interpret, justify, and communicate their strategic adaptations to a changing global trade environment. Collectively, these theories provide a multidimensional prism that is consistent with the study aim and objectives.</w:t>
      </w:r>
    </w:p>
    <w:p>
      <w:pPr>
        <w:pStyle w:val="style0"/>
        <w:rPr/>
      </w:pPr>
      <w:r>
        <w:t>The formulation of Dynamic Capabilities Theory by Teece (2022) comprises an understanding of how firms perceive the external disruption, capture strategic opportunities, and reorganise their supply chain systems. This construct plays a critical role in examining the ways MNEs explain the strategic rationale of resilience, regionalisation, or diversification in the face of geopolitical uncertainty.</w:t>
      </w:r>
      <w:r>
        <w:t xml:space="preserve"> </w:t>
      </w:r>
      <w:r>
        <w:t xml:space="preserve">Global Value Chain Theory (Gereffi, Humphrey and Sturgeon, 2005) clarifies how the production networks are restructured, emphasising the transition of firms to less globally fragmented forms of production networks which are either regionalised clusters or politically </w:t>
      </w:r>
      <w:r>
        <w:t>oriented sourcing networks. It supports the analysis of operational change in corporate narratives presented in the study.</w:t>
      </w:r>
    </w:p>
    <w:p>
      <w:pPr>
        <w:pStyle w:val="style0"/>
        <w:rPr/>
      </w:pPr>
      <w:r>
        <w:t>The organisational Sensemaking Theory (Rheinhardt and Gioia, 2021) is crucial to the explanation of how companies build narratives that bring sense to strategic change. Since the research is a discourse, sensemaking is the cognitive and communicative basis through which the justifications in explanation of adaptation in MNEs are analysed.</w:t>
      </w:r>
      <w:r>
        <w:t xml:space="preserve"> </w:t>
      </w:r>
      <w:r>
        <w:t>These views are supplemented by the Institutional Theory (Butkeviciene and Sekliukiene, 2022), which describes the influence of regulatory pressures, legitimacy issues, and geopolitical expectations on strategic communication.</w:t>
      </w:r>
      <w:r>
        <w:t xml:space="preserve"> </w:t>
      </w:r>
      <w:r>
        <w:t>A combination of these theories provides a comprehensive analysis allowing the connexion of structural supply chain change with managerial interpretation and narrative framing, thus supporting all five research goals</w:t>
      </w:r>
      <w:r>
        <w:t>.</w:t>
      </w:r>
    </w:p>
    <w:bookmarkStart w:id="16" w:name="_Toc220305371"/>
    <w:p>
      <w:pPr>
        <w:pStyle w:val="style2"/>
        <w:rPr/>
      </w:pPr>
      <w:r>
        <w:t>Sector-Specific Context: Supply Chain Characteristics in the High-Tech and Semiconductor Sector</w:t>
      </w:r>
      <w:bookmarkEnd w:id="16"/>
      <w:r>
        <w:t xml:space="preserve"> </w:t>
      </w:r>
    </w:p>
    <w:p>
      <w:pPr>
        <w:pStyle w:val="style0"/>
        <w:rPr/>
      </w:pPr>
      <w:r>
        <w:t>The high-tech and semiconductor industry offers a useful contextual reference point to analyse MNE supply chain adaptation because it is among the industries most vulnerable to geopolitical fragmentation, sovereignty-related policies, and technological interdependencies. Ernst (2021) points out that semiconductor supply chains are especially vulnerable because of the cross-border production structure and reliance on specialised suppliers which are located in multiple regions. This sector also illustrates how governments increasingly intervene to secure domestic technological capability, intensifying pressures on MNEs to regionalise or friend-shore production (Maihold, 2022; Meyer &amp; Li, 2022). Moreover, the sector exemplifies the tension between innovation-driven global collaboration and politically enforced localisation (Kaya &amp; Shahid, 2025), making it an ideal setting to analyse supply chain narratives and strategic reframing.</w:t>
      </w:r>
    </w:p>
    <w:bookmarkStart w:id="17" w:name="_Toc220305372"/>
    <w:p>
      <w:pPr>
        <w:pStyle w:val="style2"/>
        <w:rPr/>
      </w:pPr>
      <w:r>
        <w:t>Selection of Companies Within the Same Sector</w:t>
      </w:r>
      <w:bookmarkEnd w:id="17"/>
      <w:r>
        <w:t xml:space="preserve"> </w:t>
      </w:r>
    </w:p>
    <w:p>
      <w:pPr>
        <w:pStyle w:val="style0"/>
        <w:rPr/>
      </w:pPr>
      <w:r>
        <w:t xml:space="preserve">This study seeks to attain the analytical consistency by focusing on a pool of firms operating in the same business namely the international electronics and high-technology industry, in this case, where the supply chains become highly internationalised and vulnerable to geopolitical impacts. Examples of companies that operate in highly connected, semiconductor-based ecosystems include Apple and Samsung and are reflective of the challenges cited by Ernst (2021) and Meyer and Li </w:t>
      </w:r>
      <w:r>
        <w:t>(2022). The comparative setting is applicable to their exposure to sovereignty-related policies, regionalisation pressures, and digital supply-chain restructuring (Maihold, 2022; Rehman, 2025)</w:t>
      </w:r>
      <w:r>
        <w:t>. Specification on a single sector prevents the discrepancies inherent in comparisons between unrelated industries, thereby making it easier to interpret strategic storeys and patterns of supply-chain adaptation based on shared operational and geopolitical factors.</w:t>
      </w:r>
    </w:p>
    <w:bookmarkStart w:id="18" w:name="_Toc220305373"/>
    <w:p>
      <w:pPr>
        <w:pStyle w:val="style2"/>
        <w:rPr/>
      </w:pPr>
      <w:r>
        <w:t>Research Gap</w:t>
      </w:r>
      <w:bookmarkEnd w:id="18"/>
      <w:r>
        <w:t xml:space="preserve"> </w:t>
      </w:r>
    </w:p>
    <w:p>
      <w:pPr>
        <w:pStyle w:val="style0"/>
        <w:rPr/>
      </w:pPr>
      <w:r>
        <w:t>Even though the literature is extensive in discussing global trade fragmentation, supply chain restructuring, and geopolitical pressures on multinational enterprises (MNEs), there remains a vast gap in understanding how companies build and share the strategic narratives that legitimise these changes. Researchers have examined structural changes like regionalisation (Basalat and Priyanka, 2024), supply chain sovereignty (Hassan, 2025), and resilience-oriented redesign (Dzreke and Dzreke, 2025), but mainly in the context of operational transformation, but not the understandings through which firms interpret disruption. Similarly, the dynamic capabilities research (Teece, 2022; Joussen, Kanbach and Kraus, 2024) describes the adaptation mechanisms but provides little information about the discursive processes that support strategic change.</w:t>
      </w:r>
    </w:p>
    <w:p>
      <w:pPr>
        <w:pStyle w:val="style0"/>
        <w:rPr/>
      </w:pPr>
      <w:r>
        <w:t>Moreover, sensemaking and narrative studies emphasise the importance of interpretation (Sandberg and Tsoukas, 2020; Linde and Broman, 2025) but seldom include geopolitical or trade-related contexts. Therefore, there is no systematic study examining the ways MNEs frame, legitimise, and communicate supply chain adaptation in an age of trade fragmentation. To comprehend the strategic logic of corporate discourse, this gap is critical to addressing</w:t>
      </w:r>
      <w:r>
        <w:t>.</w:t>
      </w:r>
    </w:p>
    <w:bookmarkStart w:id="19" w:name="_Toc220305374"/>
    <w:p>
      <w:pPr>
        <w:pStyle w:val="style2"/>
        <w:rPr/>
      </w:pPr>
      <w:r>
        <w:t>Conclusion</w:t>
      </w:r>
      <w:bookmarkEnd w:id="19"/>
      <w:r>
        <w:t xml:space="preserve"> </w:t>
      </w:r>
    </w:p>
    <w:p>
      <w:pPr>
        <w:pStyle w:val="style0"/>
        <w:rPr/>
      </w:pPr>
      <w:r>
        <w:t>The chapter has critically discussed the way in which MNEs read and react to the accelerating global trade fragmentation through restructuring supply chains, implementing dynamic capabilities, and developing strategic narratives to legitimise adaptation. The literature reflects a high level of dissimilarity when it comes to the degree of geopolitical impact, the efficiency of resiliency measures, and the trustworthiness of corporate discourses. The concept of discursive interpretation is little studied whereas transformation of operations, on the other hand, is well documented. The presence of this gap highlights the necessity to conduct empirical research on the way MNEs frame and communicate strategic change as the foundation of the current study.</w:t>
      </w:r>
    </w:p>
    <w:bookmarkStart w:id="20" w:name="_Toc220305375"/>
    <w:p>
      <w:pPr>
        <w:pStyle w:val="style1"/>
        <w:rPr/>
      </w:pPr>
      <w:r>
        <w:t>C</w:t>
      </w:r>
      <w:r>
        <w:t>hapter Three</w:t>
      </w:r>
      <w:r>
        <w:t>: Methodology</w:t>
      </w:r>
      <w:bookmarkEnd w:id="20"/>
    </w:p>
    <w:bookmarkStart w:id="21" w:name="_Toc220305376"/>
    <w:p>
      <w:pPr>
        <w:pStyle w:val="style2"/>
        <w:rPr/>
      </w:pPr>
      <w:r>
        <w:t>Introduction</w:t>
      </w:r>
      <w:bookmarkEnd w:id="21"/>
    </w:p>
    <w:p>
      <w:pPr>
        <w:pStyle w:val="style0"/>
        <w:rPr/>
      </w:pPr>
      <w:r>
        <w:t>This chapter defines the methodological basis of the study through the description of the following items: the research design, data sources, method of analysis, ethical issues, and limitation. Since this study seeks to understand how multinational enterprises (MNEs) interpret, justify, and communicate strategic responses to global trade disruption, such a study requires a methodology that assists in exploring organisational meaning-making in a deep, context-sensitive way. A qualitative, interpretivist, second-data-based process thus offers the most appropriate structure to analyse corporate narratives. The methodological decisions made below are informed by the existing academic literature and are consistent with the research aim and objectives</w:t>
      </w:r>
      <w:r>
        <w:t>.</w:t>
      </w:r>
    </w:p>
    <w:bookmarkStart w:id="22" w:name="_Toc220305377"/>
    <w:p>
      <w:pPr>
        <w:pStyle w:val="style2"/>
        <w:rPr/>
      </w:pPr>
      <w:r>
        <w:t>Research Design and Approach</w:t>
      </w:r>
      <w:bookmarkEnd w:id="22"/>
    </w:p>
    <w:p>
      <w:pPr>
        <w:pStyle w:val="style0"/>
        <w:rPr/>
      </w:pPr>
      <w:r>
        <w:t>The research design is exploratory, qualitative and interpretive. The design is appropriate in research that aims to comprehend how organisations build meaning, convey strategic rationalisations, and tell a storey of adaptation in a context of geopolitical and trade uncertainty (Krantz and Brusberg, 2024). Since, the research question of the study in question does not involve quantifying the results or testing hypotheses and, instead, involves how MNEs frame and present their strategic responses, a qualitative research methodology is more suitable than quantitative methods. Lim (2024) states that complex interpretations, discursive representations, and organisational sensemaking processes can only be identified through qualitative research.</w:t>
      </w:r>
    </w:p>
    <w:p>
      <w:pPr>
        <w:pStyle w:val="style0"/>
        <w:rPr/>
      </w:pPr>
      <w:r>
        <w:t>The study follows the interpretivism philosophical orientation, which presupposes that the reality can be socially constructed and the meaning is created through language, narratives, and discourse by organisational actors. Interpretivism is consistent with the theory of sensemaking (Weick, 1995) that focuses on how companies make sense of ambiguous environments. Even corporate reports and strategic documents are artefacts of organisational interpretation, and interpretivism is not only suitable but vital. (Di Tullio et al., 2019) Positivist or post-positivist methods have been dismissed due to their focus on measurement and causal testing, which do not suit an inquiry focused on narrative building and meaning (Tulasa Devi Dulal, 2025).</w:t>
      </w:r>
    </w:p>
    <w:p>
      <w:pPr>
        <w:pStyle w:val="style0"/>
        <w:rPr/>
      </w:pPr>
      <w:r>
        <w:t xml:space="preserve">The research is exploratory as existing scholarly literature has failed to systematically study how MNEs tell and justify supply chain transformation in the context of fragmentation of global trade. </w:t>
      </w:r>
      <w:r>
        <w:t>Although previous studies have focused on structural or operational adjustments, the discursive aspect has not been well developed. An exploratory design thus enables themes and patterns to be inductively identified through organisational texts, which concurs with the framework of Braun and Clarke (2019).</w:t>
      </w:r>
    </w:p>
    <w:p>
      <w:pPr>
        <w:pStyle w:val="style0"/>
        <w:rPr/>
      </w:pPr>
      <w:r>
        <w:t>Other methodologies were considered and found not appropriate. It has not chosen quantitative methods, including statistical analysis, surveys, or econometric modelling, as they record numerical patterns, but not interpretative structures (McFadden, 2021). Neither mixed-methods designs were chosen; the data available does not permit triangulation using primary research, and the interpretive richness would be lost (Dawadi, Shrestha and Giri, 2021). In like manner, the case study interviews were not sought on considerations of feasibility, as well as the ethical nuances involved in gaining access to the senior managerial wisdom of multiple global firms. The selected design can thus be deemed as the most consistent and scholarly-defendable method of analysing the strategic discourse</w:t>
      </w:r>
      <w:r>
        <w:t>.</w:t>
      </w:r>
    </w:p>
    <w:p>
      <w:pPr>
        <w:pStyle w:val="style0"/>
        <w:rPr/>
      </w:pPr>
      <w:r>
        <w:t>Apple Inc. is analysed to apply this interpretivist and qualitative research design to allow the study of the process by which the company constructs, frames, and legitimises its strategic supply chain adaptations to changing global trade environments. The study operationalises interpretivism by using official corporate disclosures of Apple, including annual reports, communications of the CEO, and sustainability reports, to systematically interpret the organisational narratives that express strategic sensemaking and adaptation.</w:t>
      </w:r>
    </w:p>
    <w:bookmarkStart w:id="23" w:name="_Toc220305378"/>
    <w:p>
      <w:pPr>
        <w:pStyle w:val="style2"/>
        <w:rPr/>
      </w:pPr>
      <w:r>
        <w:t>Data Sources and Selection</w:t>
      </w:r>
      <w:bookmarkEnd w:id="23"/>
    </w:p>
    <w:p>
      <w:pPr>
        <w:pStyle w:val="style0"/>
        <w:rPr/>
      </w:pPr>
      <w:r>
        <w:t>The study is grounded on mere research of secondary qualitative sources, i.e. publicly available corporate and institutional reports produced during the year 2021</w:t>
      </w:r>
      <w:r>
        <w:t>-</w:t>
      </w:r>
      <w:r>
        <w:t>2025. They include annual reports, the CEO letters, sustainability reports, supply chain statements, and strategic disclosures of Apple Inc. Additional ones are reports by international organisations (WTO, IMF, WEF) as well as trustworthy business media sources like the Financial Times and The Economist. These sources are chosen because they reflect the official discourses based on which Apple Inc. interacts with its stakeholders and that is why can give a first-hand perspective of how the firm perceives and describes strategic adjustment in its global supply chain.</w:t>
      </w:r>
    </w:p>
    <w:p>
      <w:pPr>
        <w:pStyle w:val="style0"/>
        <w:rPr/>
      </w:pPr>
      <w:r>
        <w:t>There are three reasons why secondary data is favorable. Firstly, the disclosures made publicly provide sufficient and in-depth strategic stories that would have otherwise been hard to elicit via primary interviews especially owing to the secrecy behind the supply chain strategy. Second, corporate records are created to justify strategic decision-making (El-Haj et al., 2019), and this feature predisposes them to discursive and narrative analysis. Third, transformation of supply chains is multifaceted and international, and the secondary data will provide timely, diverse, and authoritative data without the risks and delays involved in primary data gathering (Cheong et al., 2023).</w:t>
      </w:r>
    </w:p>
    <w:p>
      <w:pPr>
        <w:pStyle w:val="style0"/>
        <w:rPr/>
      </w:pPr>
      <w:r>
        <w:t>The sampling will be purposive to incorporate documents that specifically cover trade challenges, supply chain restructuring, resilience, regionalisation, or geopolitical adaptation in the corporate disclosures of the Apple Inc. (Memon et al., 2025). The inclusion criteria mandates the document to be</w:t>
      </w:r>
      <w:r>
        <w:t>:</w:t>
      </w:r>
    </w:p>
    <w:p>
      <w:pPr>
        <w:pStyle w:val="style0"/>
        <w:numPr>
          <w:ilvl w:val="0"/>
          <w:numId w:val="2"/>
        </w:numPr>
        <w:rPr/>
      </w:pPr>
      <w:r>
        <w:t>F</w:t>
      </w:r>
      <w:r>
        <w:t>ormally published by recognised organisations</w:t>
      </w:r>
      <w:r>
        <w:t>.</w:t>
      </w:r>
    </w:p>
    <w:p>
      <w:pPr>
        <w:pStyle w:val="style0"/>
        <w:numPr>
          <w:ilvl w:val="0"/>
          <w:numId w:val="2"/>
        </w:numPr>
        <w:rPr/>
      </w:pPr>
      <w:r>
        <w:t>P</w:t>
      </w:r>
      <w:r>
        <w:t>roduced between 2021–2025</w:t>
      </w:r>
      <w:r>
        <w:t>.</w:t>
      </w:r>
    </w:p>
    <w:p>
      <w:pPr>
        <w:pStyle w:val="style0"/>
        <w:numPr>
          <w:ilvl w:val="0"/>
          <w:numId w:val="2"/>
        </w:numPr>
        <w:rPr/>
      </w:pPr>
      <w:r>
        <w:t>R</w:t>
      </w:r>
      <w:r>
        <w:t>elevant to global trade and supply chain strategy</w:t>
      </w:r>
      <w:r>
        <w:t>.</w:t>
      </w:r>
    </w:p>
    <w:p>
      <w:pPr>
        <w:pStyle w:val="style0"/>
        <w:numPr>
          <w:ilvl w:val="0"/>
          <w:numId w:val="2"/>
        </w:numPr>
        <w:rPr/>
      </w:pPr>
      <w:r>
        <w:t>A</w:t>
      </w:r>
      <w:r>
        <w:t>ccessible in English</w:t>
      </w:r>
      <w:r>
        <w:t>.</w:t>
      </w:r>
    </w:p>
    <w:p>
      <w:pPr>
        <w:pStyle w:val="style0"/>
        <w:numPr>
          <w:ilvl w:val="0"/>
          <w:numId w:val="2"/>
        </w:numPr>
        <w:rPr/>
      </w:pPr>
      <w:r>
        <w:t>T</w:t>
      </w:r>
      <w:r>
        <w:t>ext-based to enable consistent qualitative analysis.</w:t>
      </w:r>
    </w:p>
    <w:p>
      <w:pPr>
        <w:pStyle w:val="style0"/>
        <w:rPr/>
      </w:pPr>
      <w:r>
        <w:t>Exclusion criteria eliminate marketing content, financial disclosures that are strictly financial or are documents that do not concern strategic or operational change. The data will include an estimated 10-20 documents that will be majorly public reports of Apple Inc., as it will allow enough depth in analysis but remain methodologically focused.</w:t>
      </w:r>
    </w:p>
    <w:p>
      <w:pPr>
        <w:pStyle w:val="style0"/>
        <w:rPr/>
      </w:pPr>
      <w:r>
        <w:t>Other data sources like the interviews, surveys, and internal organisational documents were locked out. It was deemed that interviews were not viable because of the lack of accessibility, the uneven nature of availability in multinational companies, and the geopolitical sensitivity of strategy (Daou et al., 2025). The use of questionnaires was also considered unsuitable because they do not provide the ability to frame a complex narrative (Wehde and Perreault, 2022). They could not access internal documents and therefore publicly disclosed material was the best and most ethical source of data to use in this study</w:t>
      </w:r>
      <w:r>
        <w:t>.</w:t>
      </w:r>
    </w:p>
    <w:bookmarkStart w:id="24" w:name="_Toc220305379"/>
    <w:p>
      <w:pPr>
        <w:pStyle w:val="style2"/>
        <w:rPr/>
      </w:pPr>
      <w:r>
        <w:t>Data Analysis</w:t>
      </w:r>
      <w:bookmarkEnd w:id="24"/>
    </w:p>
    <w:p>
      <w:pPr>
        <w:pStyle w:val="style0"/>
        <w:rPr/>
      </w:pPr>
      <w:r>
        <w:t>Thematic Analysis will be used to analyse the data according to the six-stage model by Braun and Clarke (2019). This approach is suitable due to its systematic approach to finding patterns of meaning, recurring narratives and structures of interpretation in large bodies of text. It is also popular in organisational research where the purpose is to make sense of discourse, learn about managerial framing, and find latent meanings</w:t>
      </w:r>
      <w:r>
        <w:t>.</w:t>
      </w:r>
    </w:p>
    <w:p>
      <w:pPr>
        <w:pStyle w:val="style0"/>
        <w:rPr/>
      </w:pPr>
      <w:r>
        <w:rPr>
          <w:b/>
          <w:bCs/>
        </w:rPr>
        <w:t>Step 1: Familiarisation</w:t>
      </w:r>
    </w:p>
    <w:p>
      <w:pPr>
        <w:pStyle w:val="style0"/>
        <w:numPr>
          <w:ilvl w:val="0"/>
          <w:numId w:val="3"/>
        </w:numPr>
        <w:rPr/>
      </w:pPr>
      <w:r>
        <w:t>Repeated reading of all documents to understand tone, intention, and narrative context.</w:t>
      </w:r>
    </w:p>
    <w:p>
      <w:pPr>
        <w:pStyle w:val="style0"/>
        <w:rPr/>
      </w:pPr>
      <w:r>
        <w:rPr>
          <w:b/>
          <w:bCs/>
        </w:rPr>
        <w:t>Step 2: Initial Coding</w:t>
      </w:r>
    </w:p>
    <w:p>
      <w:pPr>
        <w:pStyle w:val="style0"/>
        <w:numPr>
          <w:ilvl w:val="0"/>
          <w:numId w:val="4"/>
        </w:numPr>
        <w:rPr/>
      </w:pPr>
      <w:r>
        <w:t>Coding of narrative expressions, strategic justifications, references to geopolitical or supply chain disruption, and linguistic markers of resilience, sovereignty, regionalisation, or transformation.</w:t>
      </w:r>
    </w:p>
    <w:p>
      <w:pPr>
        <w:pStyle w:val="style0"/>
        <w:rPr/>
      </w:pPr>
      <w:r>
        <w:rPr>
          <w:b/>
          <w:bCs/>
        </w:rPr>
        <w:t>Step 3: Generating Themes</w:t>
      </w:r>
    </w:p>
    <w:p>
      <w:pPr>
        <w:pStyle w:val="style0"/>
        <w:numPr>
          <w:ilvl w:val="0"/>
          <w:numId w:val="5"/>
        </w:numPr>
        <w:rPr/>
      </w:pPr>
      <w:r>
        <w:t>Grouping codes into thematic clusters such as geopolitical risk framing, resilience narratives, sovereignty claims, innovation rhetoric, or legitimacy-oriented discourse.</w:t>
      </w:r>
    </w:p>
    <w:p>
      <w:pPr>
        <w:pStyle w:val="style0"/>
        <w:rPr/>
      </w:pPr>
      <w:r>
        <w:rPr>
          <w:b/>
          <w:bCs/>
        </w:rPr>
        <w:t>Step 4: Reviewing Themes</w:t>
      </w:r>
    </w:p>
    <w:p>
      <w:pPr>
        <w:pStyle w:val="style0"/>
        <w:numPr>
          <w:ilvl w:val="0"/>
          <w:numId w:val="6"/>
        </w:numPr>
        <w:rPr/>
      </w:pPr>
      <w:r>
        <w:t>Cross-checking themes for coherence across companies, industries, and document types.</w:t>
      </w:r>
    </w:p>
    <w:p>
      <w:pPr>
        <w:pStyle w:val="style0"/>
        <w:rPr/>
      </w:pPr>
      <w:r>
        <w:rPr>
          <w:b/>
          <w:bCs/>
        </w:rPr>
        <w:t>Step 5: Defining and Naming Themes</w:t>
      </w:r>
    </w:p>
    <w:p>
      <w:pPr>
        <w:pStyle w:val="style0"/>
        <w:numPr>
          <w:ilvl w:val="0"/>
          <w:numId w:val="7"/>
        </w:numPr>
        <w:rPr/>
      </w:pPr>
      <w:r>
        <w:t>Refining thematic definitions to ensure precision and alignment with research objectives.</w:t>
      </w:r>
    </w:p>
    <w:p>
      <w:pPr>
        <w:pStyle w:val="style0"/>
        <w:rPr/>
      </w:pPr>
      <w:r>
        <w:rPr>
          <w:b/>
          <w:bCs/>
        </w:rPr>
        <w:t>Step 6: Producing the Analytical Narrative</w:t>
      </w:r>
    </w:p>
    <w:p>
      <w:pPr>
        <w:pStyle w:val="style0"/>
        <w:numPr>
          <w:ilvl w:val="0"/>
          <w:numId w:val="8"/>
        </w:numPr>
        <w:rPr/>
      </w:pPr>
      <w:r>
        <w:t>Integrating themes into a coherent account that links empirical patterns to theoretical constructs (Dynamic Capabilities, Sensemaking, Institutional Theory, and GVC Theory).</w:t>
      </w:r>
    </w:p>
    <w:p>
      <w:pPr>
        <w:pStyle w:val="style0"/>
        <w:rPr/>
      </w:pPr>
      <w:r>
        <w:t>Credibility is also improved by using transparent coding practises, reflexive analysis, meticulous documentation, and the use of consistent inclusion criteria (O’Kane, Smith and Lerman, 2021). Depending on access, both will be coded manually and both will structure thematically rigorously</w:t>
      </w:r>
      <w:r>
        <w:t>.</w:t>
      </w:r>
    </w:p>
    <w:bookmarkStart w:id="25" w:name="_Toc220305380"/>
    <w:p>
      <w:pPr>
        <w:pStyle w:val="style2"/>
        <w:rPr/>
      </w:pPr>
      <w:r>
        <w:t>Ethical Considerations</w:t>
      </w:r>
      <w:bookmarkEnd w:id="25"/>
    </w:p>
    <w:p>
      <w:pPr>
        <w:pStyle w:val="style0"/>
        <w:rPr/>
      </w:pPr>
      <w:r>
        <w:t>The research involves minimal ethical threat due to the use of only accessible secondary data. There is no gathering of personal, confidential, or sensitive data or human subjects. Ethical integrity is upheld by ensuring proper representation, citation, misinterpretation avoidance, and by following the UWTSD Research Ethics and Integrity Policy. The study also does not engage in selective quotation or distortion of organisational narratives. Data storage will be provided in a secured location and intellectual property rights will be observed</w:t>
      </w:r>
      <w:r>
        <w:t>.</w:t>
      </w:r>
    </w:p>
    <w:bookmarkStart w:id="26" w:name="_Toc220305381"/>
    <w:p>
      <w:pPr>
        <w:pStyle w:val="style2"/>
        <w:rPr/>
      </w:pPr>
      <w:r>
        <w:t>Methodological Limitations</w:t>
      </w:r>
      <w:bookmarkEnd w:id="26"/>
    </w:p>
    <w:p>
      <w:pPr>
        <w:pStyle w:val="style0"/>
        <w:rPr/>
      </w:pPr>
      <w:r>
        <w:t>Utilising secondary documents presents some restrictions. Corporate discourses can also point to strategic image management, not internal realities, which implies that there can be discrepancies between discourse and practise. The research does not imply internal decision-making processes and does not confirm the legitimacy of strategic claims. Qualitative analysis inherently involves interpretive subjectivity, which is alleviated by systematising the code and spill reflexivity. Last, the results are not statistically generalisable but rich in conceptual insight</w:t>
      </w:r>
      <w:r>
        <w:t>.</w:t>
      </w:r>
    </w:p>
    <w:bookmarkStart w:id="27" w:name="_Toc220305382"/>
    <w:p>
      <w:pPr>
        <w:pStyle w:val="style2"/>
        <w:rPr/>
      </w:pPr>
      <w:r>
        <w:t>Chapter Summary</w:t>
      </w:r>
      <w:bookmarkEnd w:id="27"/>
    </w:p>
    <w:p>
      <w:pPr>
        <w:pStyle w:val="style0"/>
        <w:rPr/>
      </w:pPr>
      <w:r>
        <w:t>The chapter has outlined a consistent and substantiated approach to study the ways MNEs tell and justify strategic adaptation to new global trade environment. The purposive sampling of secondary data, the qualitative interpretive design, and thematic analytical procedure are all directly related to the research aim. The ethical compliance and methodological constraints have also been recognised to provide transparency and academic rigour</w:t>
      </w:r>
      <w:r>
        <w:t>.</w:t>
      </w: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bookmarkStart w:id="28" w:name="_Toc220305383"/>
    <w:p>
      <w:pPr>
        <w:pStyle w:val="style1"/>
        <w:rPr/>
      </w:pPr>
      <w:r>
        <w:t xml:space="preserve">Chapter </w:t>
      </w:r>
      <w:r>
        <w:t>Four</w:t>
      </w:r>
      <w:r>
        <w:t>: Findings &amp; Analysis</w:t>
      </w:r>
      <w:bookmarkEnd w:id="28"/>
    </w:p>
    <w:bookmarkStart w:id="29" w:name="_Toc220305384"/>
    <w:p>
      <w:pPr>
        <w:pStyle w:val="style2"/>
        <w:rPr/>
      </w:pPr>
      <w:r>
        <w:t>Introduction</w:t>
      </w:r>
      <w:bookmarkEnd w:id="29"/>
      <w:r>
        <w:t xml:space="preserve"> </w:t>
      </w:r>
    </w:p>
    <w:p>
      <w:pPr>
        <w:pStyle w:val="style0"/>
        <w:rPr>
          <w:rFonts w:cs="Times New Roman"/>
        </w:rPr>
      </w:pPr>
      <w:r>
        <w:rPr>
          <w:rFonts w:cs="Times New Roman"/>
        </w:rPr>
        <w:t>The theme that represents the present study findings is given in this chapter in a systematic way through thematic analysis of secondary qualitative data. The chapter will explore the definition, logic, and communication of strategic supply-chain adaptation behaviour by MNE in response to shocks in the global trade, geopolitical uncertainties, and increasing requirements to be resilient. It is hoped that the analysis will identify repetitive patterns of meaning, strategic discourses, and discursive framings in publicly available corporate and institutional documents. The sources that resulted in the development of the data that is used in this chapter are the secondary data that was developed in the year 2020-2025. These are the annual reports, sustainability reports, journal articles, supply-chain statements and strategic disclosures augmented with the reports of the international organisations such as the WTO, IMF and WEF and good business media such as the Financial Times and The Economist. They were selected because, in the case of corporate disclosures, strategic decisions are legitimized, and organisational priorities are communicated to the stakeholders, and they are discursively and narratively appropriate (El-Haj et al., 2019; Cheong et al., 2023)</w:t>
      </w:r>
      <w:r>
        <w:rPr>
          <w:rFonts w:cs="Times New Roman"/>
        </w:rPr>
        <w:t>.</w:t>
      </w:r>
    </w:p>
    <w:bookmarkStart w:id="30" w:name="_Toc220305385"/>
    <w:p>
      <w:pPr>
        <w:pStyle w:val="style2"/>
        <w:rPr>
          <w:rFonts w:cs="Times New Roman"/>
          <w:b w:val="false"/>
          <w:bCs/>
        </w:rPr>
      </w:pPr>
      <w:r>
        <w:rPr>
          <w:rFonts w:cs="Times New Roman"/>
          <w:bCs/>
        </w:rPr>
        <w:t>Thematic Analysis</w:t>
      </w:r>
      <w:bookmarkEnd w:id="30"/>
    </w:p>
    <w:p>
      <w:pPr>
        <w:pStyle w:val="style0"/>
        <w:rPr>
          <w:rFonts w:cs="Times New Roman"/>
        </w:rPr>
      </w:pPr>
      <w:r>
        <w:rPr>
          <w:rFonts w:cs="Times New Roman"/>
        </w:rPr>
        <w:t xml:space="preserve">The thematic analysis is chosen as one of the primary analytical tools as it can be used to analyse the bulk of textual data and indicate both evident and hidden meaning patterns in organisational discourse (Braun and Clarke, 2019). By doing this, the researcher </w:t>
      </w:r>
      <w:r>
        <w:rPr>
          <w:rFonts w:cs="Times New Roman"/>
        </w:rPr>
        <w:t>can</w:t>
      </w:r>
      <w:r>
        <w:rPr>
          <w:rFonts w:cs="Times New Roman"/>
        </w:rPr>
        <w:t xml:space="preserve"> transcend the descriptive level and talk about the way strategic realities are constructed socially, </w:t>
      </w:r>
      <w:r>
        <w:rPr>
          <w:rFonts w:cs="Times New Roman"/>
        </w:rPr>
        <w:t>using</w:t>
      </w:r>
      <w:r>
        <w:rPr>
          <w:rFonts w:cs="Times New Roman"/>
        </w:rPr>
        <w:t xml:space="preserve"> language, justifications and sensemaking mechanisms. The qualitative analysis is </w:t>
      </w:r>
      <w:r>
        <w:rPr>
          <w:rFonts w:cs="Times New Roman"/>
        </w:rPr>
        <w:t>qualitative research</w:t>
      </w:r>
      <w:r>
        <w:rPr>
          <w:rFonts w:cs="Times New Roman"/>
        </w:rPr>
        <w:t xml:space="preserve"> in line with the qualitative interpretivist research paradigm because it uses meaning, context, and narrative coherence rather than statistical generalisation as its basis (Saunders et al., 2019)</w:t>
      </w:r>
      <w:r>
        <w:rPr>
          <w:rFonts w:cs="Times New Roman"/>
        </w:rPr>
        <w:t>. The themes that are generated in accordance with a rigorous six-stage thematic analysis process form the structure of the chapter (See figure 1). The presentation of the findings is descriptive and analytic, and the interpretation of the findings is based on the theoretical frameworks presented in Chapter Two. This method guarantees that there is coherence in empirical findings, and in the current theory, at the same time making the methodology transparent and analytically rigorous.</w:t>
      </w:r>
    </w:p>
    <w:p>
      <w:pPr>
        <w:pStyle w:val="style0"/>
        <w:keepNext/>
        <w:jc w:val="center"/>
        <w:rPr/>
      </w:pPr>
      <w:r>
        <w:rPr>
          <w:rFonts w:cs="Times New Roman"/>
          <w:noProof/>
        </w:rPr>
        <w:drawing>
          <wp:inline distL="0" distT="0" distB="0" distR="0">
            <wp:extent cx="3762375" cy="4195271"/>
            <wp:effectExtent l="0" t="0" r="0" b="0"/>
            <wp:docPr id="1027" name="Picture 1" descr="Thematic Analysis in Social Work: A Case Study | IntechOpen"/>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4" cstate="print"/>
                    <a:srcRect l="0" t="0" r="0" b="0"/>
                    <a:stretch/>
                  </pic:blipFill>
                  <pic:spPr>
                    <a:xfrm rot="0">
                      <a:off x="0" y="0"/>
                      <a:ext cx="3762375" cy="4195271"/>
                    </a:xfrm>
                    <a:prstGeom prst="rect"/>
                    <a:ln>
                      <a:noFill/>
                    </a:ln>
                  </pic:spPr>
                </pic:pic>
              </a:graphicData>
            </a:graphic>
          </wp:inline>
        </w:drawing>
      </w:r>
    </w:p>
    <w:bookmarkStart w:id="31" w:name="_Toc220304786"/>
    <w:p>
      <w:pPr>
        <w:pStyle w:val="style34"/>
        <w:jc w:val="center"/>
        <w:rPr>
          <w:rFonts w:cs="Times New Roman"/>
        </w:rPr>
      </w:pPr>
      <w:r>
        <w:t xml:space="preserve">Figure </w:t>
      </w:r>
      <w:r>
        <w:rPr/>
        <w:fldChar w:fldCharType="begin"/>
      </w:r>
      <w:r>
        <w:instrText xml:space="preserve"> SEQ Figure \* ARABIC </w:instrText>
      </w:r>
      <w:r>
        <w:rPr/>
        <w:fldChar w:fldCharType="separate"/>
      </w:r>
      <w:r>
        <w:rPr>
          <w:noProof/>
        </w:rPr>
        <w:t>1</w:t>
      </w:r>
      <w:r>
        <w:rPr/>
        <w:fldChar w:fldCharType="end"/>
      </w:r>
      <w:r>
        <w:t xml:space="preserve">: </w:t>
      </w:r>
      <w:r>
        <w:t>Steps in thematic analysis (Labra et al., 2019)</w:t>
      </w:r>
      <w:bookmarkEnd w:id="31"/>
    </w:p>
    <w:bookmarkStart w:id="32" w:name="_Toc220305386"/>
    <w:p>
      <w:pPr>
        <w:pStyle w:val="style2"/>
        <w:rPr>
          <w:rFonts w:cs="Times New Roman"/>
          <w:b w:val="false"/>
          <w:bCs/>
        </w:rPr>
      </w:pPr>
      <w:r>
        <w:rPr>
          <w:rFonts w:cs="Times New Roman"/>
          <w:bCs/>
        </w:rPr>
        <w:t>Data Familiarization</w:t>
      </w:r>
      <w:bookmarkEnd w:id="32"/>
      <w:r>
        <w:rPr>
          <w:rFonts w:cs="Times New Roman"/>
          <w:bCs/>
        </w:rPr>
        <w:t xml:space="preserve"> </w:t>
      </w:r>
    </w:p>
    <w:p>
      <w:pPr>
        <w:pStyle w:val="style0"/>
        <w:rPr>
          <w:rFonts w:cs="Times New Roman"/>
        </w:rPr>
      </w:pPr>
      <w:r>
        <w:rPr>
          <w:rFonts w:cs="Times New Roman"/>
        </w:rPr>
        <w:t>The familiarization with data that followed thematic analysis involved a strict procedure of familiarization with data so that the researcher would have a thorough grasp of the collected data in secondary sources. This included reading texts more than once, making explicit and latent patterns of meaning, recording initial observations in order to inform coding and theme development (Braun and Clarke, 20</w:t>
      </w:r>
      <w:r>
        <w:rPr>
          <w:rFonts w:cs="Times New Roman"/>
        </w:rPr>
        <w:t>19</w:t>
      </w:r>
      <w:r>
        <w:rPr>
          <w:rFonts w:cs="Times New Roman"/>
        </w:rPr>
        <w:t xml:space="preserve">). The data sample included corporate reporting, institutional reporting, Journal articles and quality business media published between 2020 and 2025. The sources of the corporate were annual reports, sustainability statements, and supply chain disclosures of multinational enterprises (MNEs) in the high-tech and semiconductor industries, as these were chosen on the basis of explicit strategic messages and legitimacy-oriented accounts (El-Haj et al., 2019; Cheong et al., 2023). The WTO, IMF, UNCTAD, and WEF were able to draw authoritative analysis of the global trade changes, geopolitical forces and systemic discontinuities through institutional publications. To supplement these, peer-reviewed journal articles added </w:t>
      </w:r>
      <w:r>
        <w:rPr>
          <w:rFonts w:cs="Times New Roman"/>
        </w:rPr>
        <w:t>theoretical and empirical views of supply chain resiliency, digitalization, regionalization, strategic agility, and dynamic capabilities. These sources collectively made it possible to triangulate evidence on organization, institutional, and academic lenses, and have a broad perspective on how MNEs perceive, rationalize, and actualize strategic adaptation in response to changing global trade environments. The breadth and depth of the analysis were provided by the diversity of data that captured both the operational and managerial strategies as well as the stories that firms used to express the legitimacy, resilience, and stakeholder reassurance in the globally market that is increasingly fragmented and volatile in terms of politics.</w:t>
      </w:r>
    </w:p>
    <w:p>
      <w:pPr>
        <w:pStyle w:val="style0"/>
        <w:rPr>
          <w:rFonts w:cs="Times New Roman"/>
        </w:rPr>
      </w:pPr>
      <w:r>
        <w:rPr>
          <w:rFonts w:cs="Times New Roman"/>
        </w:rPr>
        <w:t>This procedure made it possible to notice the similarities of the patterns of the three research objectives: how MNEs justify strategic adjustment (Objective 1), how MNEs perceive opportunities and limitations in a fragmented trade environment (Objective 2), and how MNEs reframe strategic adjustment in evolving trade conditions (Objective 3). To ensure that the data was used in the further coding and thematic analysis, the active engagement of the researcher in the process of reading the texts was employed that contributed to the strengthening of the credibility of the research, increase in the rigor of the research, and coherence of the research results in terms of the analysis</w:t>
      </w:r>
      <w:r>
        <w:rPr>
          <w:rFonts w:cs="Times New Roman"/>
        </w:rPr>
        <w:t>.</w:t>
      </w:r>
    </w:p>
    <w:bookmarkStart w:id="33" w:name="_Toc220305387"/>
    <w:p>
      <w:pPr>
        <w:pStyle w:val="style2"/>
        <w:rPr>
          <w:rFonts w:cs="Times New Roman"/>
          <w:b w:val="false"/>
          <w:bCs/>
        </w:rPr>
      </w:pPr>
      <w:r>
        <w:rPr>
          <w:rFonts w:cs="Times New Roman"/>
          <w:bCs/>
        </w:rPr>
        <w:t>Thematic Analysis Based on Objective 1</w:t>
      </w:r>
      <w:bookmarkEnd w:id="33"/>
    </w:p>
    <w:p>
      <w:pPr>
        <w:pStyle w:val="style0"/>
        <w:rPr>
          <w:rFonts w:cs="Times New Roman"/>
          <w:i/>
          <w:iCs/>
        </w:rPr>
      </w:pPr>
      <w:r>
        <w:rPr>
          <w:rFonts w:cs="Times New Roman"/>
          <w:b/>
          <w:bCs/>
          <w:i/>
          <w:iCs/>
        </w:rPr>
        <w:t>Objective</w:t>
      </w:r>
      <w:r>
        <w:rPr>
          <w:rFonts w:cs="Times New Roman"/>
          <w:b/>
          <w:bCs/>
          <w:i/>
          <w:iCs/>
        </w:rPr>
        <w:t xml:space="preserve"> </w:t>
      </w:r>
      <w:r>
        <w:rPr>
          <w:rFonts w:cs="Times New Roman"/>
          <w:b/>
          <w:bCs/>
          <w:i/>
          <w:iCs/>
        </w:rPr>
        <w:t>1</w:t>
      </w:r>
      <w:r>
        <w:rPr>
          <w:rFonts w:cs="Times New Roman"/>
          <w:i/>
          <w:iCs/>
        </w:rPr>
        <w:t xml:space="preserve">: </w:t>
      </w:r>
      <w:r>
        <w:rPr>
          <w:rFonts w:cs="Times New Roman"/>
          <w:i/>
          <w:iCs/>
        </w:rPr>
        <w:t>Exploring how MNEs describe and justify changes in their global supply chain and trade strategies across public communications and strategic reports</w:t>
      </w:r>
    </w:p>
    <w:tbl>
      <w:tblPr>
        <w:tblStyle w:val="style4110"/>
        <w:tblW w:w="0" w:type="auto"/>
        <w:tblLook w:val="04A0" w:firstRow="1" w:lastRow="0" w:firstColumn="1" w:lastColumn="0" w:noHBand="0" w:noVBand="1"/>
      </w:tblPr>
      <w:tblGrid>
        <w:gridCol w:w="2091"/>
        <w:gridCol w:w="2796"/>
        <w:gridCol w:w="1683"/>
        <w:gridCol w:w="2790"/>
      </w:tblGrid>
      <w:tr>
        <w:trPr/>
        <w:tc>
          <w:tcPr>
            <w:tcW w:w="2091" w:type="dxa"/>
            <w:tcBorders/>
          </w:tcPr>
          <w:p>
            <w:pPr>
              <w:pStyle w:val="style0"/>
              <w:rPr>
                <w:rFonts w:cs="Times New Roman"/>
                <w:sz w:val="22"/>
                <w:szCs w:val="22"/>
              </w:rPr>
            </w:pPr>
            <w:r>
              <w:rPr>
                <w:rFonts w:cs="Times New Roman"/>
                <w:sz w:val="22"/>
                <w:szCs w:val="22"/>
              </w:rPr>
              <w:t xml:space="preserve">Themes </w:t>
            </w:r>
          </w:p>
        </w:tc>
        <w:tc>
          <w:tcPr>
            <w:tcW w:w="2796" w:type="dxa"/>
            <w:tcBorders/>
          </w:tcPr>
          <w:p>
            <w:pPr>
              <w:pStyle w:val="style0"/>
              <w:rPr>
                <w:rFonts w:cs="Times New Roman"/>
                <w:sz w:val="22"/>
                <w:szCs w:val="22"/>
              </w:rPr>
            </w:pPr>
            <w:r>
              <w:rPr>
                <w:rFonts w:cs="Times New Roman"/>
                <w:sz w:val="22"/>
                <w:szCs w:val="22"/>
              </w:rPr>
              <w:t>Codes</w:t>
            </w:r>
          </w:p>
        </w:tc>
        <w:tc>
          <w:tcPr>
            <w:tcW w:w="1683" w:type="dxa"/>
            <w:tcBorders/>
          </w:tcPr>
          <w:p>
            <w:pPr>
              <w:pStyle w:val="style0"/>
              <w:rPr>
                <w:rFonts w:cs="Times New Roman"/>
                <w:sz w:val="22"/>
                <w:szCs w:val="22"/>
              </w:rPr>
            </w:pPr>
            <w:r>
              <w:rPr>
                <w:rFonts w:cs="Times New Roman"/>
                <w:sz w:val="22"/>
                <w:szCs w:val="22"/>
              </w:rPr>
              <w:t xml:space="preserve">Frequency </w:t>
            </w:r>
          </w:p>
        </w:tc>
        <w:tc>
          <w:tcPr>
            <w:tcW w:w="2790" w:type="dxa"/>
            <w:tcBorders/>
          </w:tcPr>
          <w:p>
            <w:pPr>
              <w:pStyle w:val="style0"/>
              <w:rPr>
                <w:rFonts w:cs="Times New Roman"/>
                <w:sz w:val="22"/>
                <w:szCs w:val="22"/>
              </w:rPr>
            </w:pPr>
            <w:r>
              <w:rPr>
                <w:rFonts w:cs="Times New Roman"/>
                <w:sz w:val="22"/>
                <w:szCs w:val="22"/>
              </w:rPr>
              <w:t>Author</w:t>
            </w:r>
          </w:p>
        </w:tc>
      </w:tr>
      <w:tr>
        <w:tblPrEx/>
        <w:trPr/>
        <w:tc>
          <w:tcPr>
            <w:tcW w:w="2091" w:type="dxa"/>
            <w:tcBorders/>
          </w:tcPr>
          <w:p>
            <w:pPr>
              <w:pStyle w:val="style0"/>
              <w:rPr>
                <w:rFonts w:cs="Times New Roman"/>
                <w:sz w:val="22"/>
                <w:szCs w:val="22"/>
              </w:rPr>
            </w:pPr>
            <w:r>
              <w:rPr>
                <w:rFonts w:cs="Times New Roman"/>
                <w:sz w:val="22"/>
                <w:szCs w:val="22"/>
              </w:rPr>
              <w:t xml:space="preserve">Theme 1: Supply chain Disruption </w:t>
            </w:r>
          </w:p>
        </w:tc>
        <w:tc>
          <w:tcPr>
            <w:tcW w:w="2796" w:type="dxa"/>
            <w:tcBorders/>
          </w:tcPr>
          <w:p>
            <w:pPr>
              <w:pStyle w:val="style0"/>
              <w:rPr>
                <w:rFonts w:cs="Times New Roman"/>
                <w:sz w:val="22"/>
                <w:szCs w:val="22"/>
              </w:rPr>
            </w:pPr>
            <w:r>
              <w:rPr>
                <w:rFonts w:cs="Times New Roman"/>
                <w:sz w:val="22"/>
                <w:szCs w:val="22"/>
              </w:rPr>
              <w:t>“Permanent uncertainty”</w:t>
            </w:r>
          </w:p>
          <w:p>
            <w:pPr>
              <w:pStyle w:val="style0"/>
              <w:rPr>
                <w:rFonts w:cs="Times New Roman"/>
                <w:sz w:val="22"/>
                <w:szCs w:val="22"/>
              </w:rPr>
            </w:pPr>
            <w:r>
              <w:rPr>
                <w:rFonts w:cs="Times New Roman"/>
                <w:sz w:val="22"/>
                <w:szCs w:val="22"/>
              </w:rPr>
              <w:t>“New normal of disruption”</w:t>
            </w:r>
          </w:p>
          <w:p>
            <w:pPr>
              <w:pStyle w:val="style0"/>
              <w:rPr>
                <w:rFonts w:cs="Times New Roman"/>
                <w:sz w:val="22"/>
                <w:szCs w:val="22"/>
              </w:rPr>
            </w:pPr>
            <w:r>
              <w:rPr>
                <w:rFonts w:cs="Times New Roman"/>
                <w:sz w:val="22"/>
                <w:szCs w:val="22"/>
              </w:rPr>
              <w:t>“Geopolitical fragmentation”</w:t>
            </w:r>
          </w:p>
          <w:p>
            <w:pPr>
              <w:pStyle w:val="style0"/>
              <w:rPr>
                <w:rFonts w:cs="Times New Roman"/>
                <w:sz w:val="22"/>
                <w:szCs w:val="22"/>
              </w:rPr>
            </w:pPr>
            <w:r>
              <w:rPr>
                <w:rFonts w:cs="Times New Roman"/>
                <w:sz w:val="22"/>
                <w:szCs w:val="22"/>
              </w:rPr>
              <w:t>“Systemic risk exposure”</w:t>
            </w:r>
          </w:p>
          <w:p>
            <w:pPr>
              <w:pStyle w:val="style0"/>
              <w:rPr>
                <w:rFonts w:cs="Times New Roman"/>
                <w:sz w:val="22"/>
                <w:szCs w:val="22"/>
              </w:rPr>
            </w:pPr>
          </w:p>
        </w:tc>
        <w:tc>
          <w:tcPr>
            <w:tcW w:w="1683" w:type="dxa"/>
            <w:tcBorders/>
          </w:tcPr>
          <w:p>
            <w:pPr>
              <w:pStyle w:val="style0"/>
              <w:rPr>
                <w:rFonts w:cs="Times New Roman"/>
                <w:sz w:val="22"/>
                <w:szCs w:val="22"/>
              </w:rPr>
            </w:pPr>
            <w:r>
              <w:rPr>
                <w:rFonts w:cs="Times New Roman"/>
                <w:sz w:val="22"/>
                <w:szCs w:val="22"/>
              </w:rPr>
              <w:t>13</w:t>
            </w:r>
          </w:p>
        </w:tc>
        <w:tc>
          <w:tcPr>
            <w:tcW w:w="2790" w:type="dxa"/>
            <w:tcBorders/>
          </w:tcPr>
          <w:p>
            <w:pPr>
              <w:pStyle w:val="style0"/>
              <w:rPr>
                <w:rFonts w:cs="Times New Roman"/>
                <w:sz w:val="22"/>
                <w:szCs w:val="22"/>
              </w:rPr>
            </w:pPr>
            <w:r>
              <w:rPr>
                <w:rFonts w:cs="Times New Roman"/>
                <w:sz w:val="22"/>
                <w:szCs w:val="22"/>
              </w:rPr>
              <w:t>WTO (2023); UNCTAD (2024); OECD (202</w:t>
            </w:r>
            <w:r>
              <w:rPr>
                <w:rFonts w:cs="Times New Roman"/>
                <w:sz w:val="22"/>
                <w:szCs w:val="22"/>
              </w:rPr>
              <w:t>5</w:t>
            </w:r>
            <w:r>
              <w:rPr>
                <w:rFonts w:cs="Times New Roman"/>
                <w:sz w:val="22"/>
                <w:szCs w:val="22"/>
              </w:rPr>
              <w:t>); Garcia-Herrero (2023)</w:t>
            </w:r>
            <w:r>
              <w:rPr>
                <w:rFonts w:cs="Times New Roman"/>
                <w:sz w:val="22"/>
                <w:szCs w:val="22"/>
              </w:rPr>
              <w:t>.</w:t>
            </w:r>
          </w:p>
        </w:tc>
      </w:tr>
      <w:tr>
        <w:tblPrEx/>
        <w:trPr/>
        <w:tc>
          <w:tcPr>
            <w:tcW w:w="2091" w:type="dxa"/>
            <w:tcBorders/>
          </w:tcPr>
          <w:p>
            <w:pPr>
              <w:pStyle w:val="style0"/>
              <w:rPr>
                <w:rFonts w:cs="Times New Roman"/>
                <w:sz w:val="22"/>
                <w:szCs w:val="22"/>
              </w:rPr>
            </w:pPr>
            <w:r>
              <w:rPr>
                <w:rFonts w:cs="Times New Roman"/>
                <w:sz w:val="22"/>
                <w:szCs w:val="22"/>
              </w:rPr>
              <w:t>Theme 2: Strategic shift</w:t>
            </w:r>
          </w:p>
        </w:tc>
        <w:tc>
          <w:tcPr>
            <w:tcW w:w="2796" w:type="dxa"/>
            <w:tcBorders/>
          </w:tcPr>
          <w:p>
            <w:pPr>
              <w:pStyle w:val="style0"/>
              <w:rPr>
                <w:rFonts w:cs="Times New Roman"/>
                <w:sz w:val="22"/>
                <w:szCs w:val="22"/>
              </w:rPr>
            </w:pPr>
            <w:r>
              <w:rPr>
                <w:rFonts w:cs="Times New Roman"/>
                <w:sz w:val="22"/>
                <w:szCs w:val="22"/>
              </w:rPr>
              <w:t>“Resilience investment”</w:t>
            </w:r>
          </w:p>
          <w:p>
            <w:pPr>
              <w:pStyle w:val="style0"/>
              <w:rPr>
                <w:rFonts w:cs="Times New Roman"/>
                <w:sz w:val="22"/>
                <w:szCs w:val="22"/>
              </w:rPr>
            </w:pPr>
            <w:r>
              <w:rPr>
                <w:rFonts w:cs="Times New Roman"/>
                <w:sz w:val="22"/>
                <w:szCs w:val="22"/>
              </w:rPr>
              <w:t>“Redundancy and buffers”</w:t>
            </w:r>
          </w:p>
          <w:p>
            <w:pPr>
              <w:pStyle w:val="style0"/>
              <w:rPr>
                <w:rFonts w:cs="Times New Roman"/>
                <w:sz w:val="22"/>
                <w:szCs w:val="22"/>
              </w:rPr>
            </w:pPr>
            <w:r>
              <w:rPr>
                <w:rFonts w:cs="Times New Roman"/>
                <w:sz w:val="22"/>
                <w:szCs w:val="22"/>
              </w:rPr>
              <w:t>“Risk-adjusted performance”</w:t>
            </w:r>
          </w:p>
          <w:p>
            <w:pPr>
              <w:pStyle w:val="style0"/>
              <w:rPr>
                <w:rFonts w:cs="Times New Roman"/>
                <w:sz w:val="22"/>
                <w:szCs w:val="22"/>
              </w:rPr>
            </w:pPr>
            <w:r>
              <w:rPr>
                <w:rFonts w:cs="Times New Roman"/>
                <w:sz w:val="22"/>
                <w:szCs w:val="22"/>
              </w:rPr>
              <w:t>“Beyond just-in-time”</w:t>
            </w:r>
          </w:p>
          <w:p>
            <w:pPr>
              <w:pStyle w:val="style0"/>
              <w:rPr>
                <w:rFonts w:cs="Times New Roman"/>
                <w:sz w:val="22"/>
                <w:szCs w:val="22"/>
              </w:rPr>
            </w:pPr>
          </w:p>
        </w:tc>
        <w:tc>
          <w:tcPr>
            <w:tcW w:w="1683" w:type="dxa"/>
            <w:tcBorders/>
          </w:tcPr>
          <w:p>
            <w:pPr>
              <w:pStyle w:val="style0"/>
              <w:rPr>
                <w:rFonts w:cs="Times New Roman"/>
                <w:sz w:val="22"/>
                <w:szCs w:val="22"/>
              </w:rPr>
            </w:pPr>
            <w:r>
              <w:rPr>
                <w:rFonts w:cs="Times New Roman"/>
                <w:sz w:val="22"/>
                <w:szCs w:val="22"/>
              </w:rPr>
              <w:t>15</w:t>
            </w:r>
          </w:p>
        </w:tc>
        <w:tc>
          <w:tcPr>
            <w:tcW w:w="2790" w:type="dxa"/>
            <w:tcBorders/>
          </w:tcPr>
          <w:p>
            <w:pPr>
              <w:pStyle w:val="style0"/>
              <w:rPr>
                <w:rFonts w:cs="Times New Roman"/>
                <w:sz w:val="22"/>
                <w:szCs w:val="22"/>
              </w:rPr>
            </w:pPr>
            <w:r>
              <w:rPr>
                <w:rFonts w:cs="Times New Roman"/>
                <w:sz w:val="22"/>
                <w:szCs w:val="22"/>
                <w:lang w:val="sv-SE"/>
              </w:rPr>
              <w:t xml:space="preserve">Alicke and Foster (2024); Hosseini et al. (2025); OECD (2025); Lücker et al. </w:t>
            </w:r>
            <w:r>
              <w:rPr>
                <w:rFonts w:cs="Times New Roman"/>
                <w:sz w:val="22"/>
                <w:szCs w:val="22"/>
              </w:rPr>
              <w:t>(2024)</w:t>
            </w:r>
          </w:p>
          <w:p>
            <w:pPr>
              <w:pStyle w:val="style0"/>
              <w:rPr>
                <w:rFonts w:cs="Times New Roman"/>
                <w:sz w:val="22"/>
                <w:szCs w:val="22"/>
              </w:rPr>
            </w:pPr>
          </w:p>
        </w:tc>
      </w:tr>
      <w:tr>
        <w:tblPrEx/>
        <w:trPr/>
        <w:tc>
          <w:tcPr>
            <w:tcW w:w="2091" w:type="dxa"/>
            <w:tcBorders/>
          </w:tcPr>
          <w:p>
            <w:pPr>
              <w:pStyle w:val="style0"/>
              <w:rPr>
                <w:rFonts w:cs="Times New Roman"/>
                <w:sz w:val="22"/>
                <w:szCs w:val="22"/>
              </w:rPr>
            </w:pPr>
            <w:r>
              <w:rPr>
                <w:rFonts w:cs="Times New Roman"/>
                <w:sz w:val="22"/>
                <w:szCs w:val="22"/>
              </w:rPr>
              <w:t>Theme 3: Strategic Prudence</w:t>
            </w:r>
          </w:p>
        </w:tc>
        <w:tc>
          <w:tcPr>
            <w:tcW w:w="2796" w:type="dxa"/>
            <w:tcBorders/>
          </w:tcPr>
          <w:p>
            <w:pPr>
              <w:pStyle w:val="style0"/>
              <w:rPr>
                <w:rFonts w:cs="Times New Roman"/>
                <w:sz w:val="22"/>
                <w:szCs w:val="22"/>
              </w:rPr>
            </w:pPr>
            <w:r>
              <w:rPr>
                <w:rFonts w:cs="Times New Roman"/>
                <w:sz w:val="22"/>
                <w:szCs w:val="22"/>
              </w:rPr>
              <w:t>“Trusted partners”</w:t>
            </w:r>
          </w:p>
          <w:p>
            <w:pPr>
              <w:pStyle w:val="style0"/>
              <w:rPr>
                <w:rFonts w:cs="Times New Roman"/>
                <w:sz w:val="22"/>
                <w:szCs w:val="22"/>
              </w:rPr>
            </w:pPr>
            <w:r>
              <w:rPr>
                <w:rFonts w:cs="Times New Roman"/>
                <w:sz w:val="22"/>
                <w:szCs w:val="22"/>
              </w:rPr>
              <w:t>“Regional hubs”</w:t>
            </w:r>
          </w:p>
          <w:p>
            <w:pPr>
              <w:pStyle w:val="style0"/>
              <w:rPr>
                <w:rFonts w:cs="Times New Roman"/>
                <w:sz w:val="22"/>
                <w:szCs w:val="22"/>
              </w:rPr>
            </w:pPr>
            <w:r>
              <w:rPr>
                <w:rFonts w:cs="Times New Roman"/>
                <w:sz w:val="22"/>
                <w:szCs w:val="22"/>
              </w:rPr>
              <w:t>“Strategic alignment”</w:t>
            </w:r>
          </w:p>
          <w:p>
            <w:pPr>
              <w:pStyle w:val="style0"/>
              <w:rPr>
                <w:rFonts w:cs="Times New Roman"/>
                <w:sz w:val="22"/>
                <w:szCs w:val="22"/>
              </w:rPr>
            </w:pPr>
            <w:r>
              <w:rPr>
                <w:rFonts w:cs="Times New Roman"/>
                <w:sz w:val="22"/>
                <w:szCs w:val="22"/>
              </w:rPr>
              <w:t>“Policy-compatible sourcing”</w:t>
            </w:r>
          </w:p>
          <w:p>
            <w:pPr>
              <w:pStyle w:val="style0"/>
              <w:rPr>
                <w:rFonts w:cs="Times New Roman"/>
                <w:sz w:val="22"/>
                <w:szCs w:val="22"/>
              </w:rPr>
            </w:pPr>
          </w:p>
          <w:p>
            <w:pPr>
              <w:pStyle w:val="style0"/>
              <w:rPr>
                <w:rFonts w:cs="Times New Roman"/>
                <w:sz w:val="22"/>
                <w:szCs w:val="22"/>
              </w:rPr>
            </w:pPr>
          </w:p>
        </w:tc>
        <w:tc>
          <w:tcPr>
            <w:tcW w:w="1683" w:type="dxa"/>
            <w:tcBorders/>
          </w:tcPr>
          <w:p>
            <w:pPr>
              <w:pStyle w:val="style0"/>
              <w:rPr>
                <w:rFonts w:cs="Times New Roman"/>
                <w:sz w:val="22"/>
                <w:szCs w:val="22"/>
              </w:rPr>
            </w:pPr>
            <w:r>
              <w:rPr>
                <w:rFonts w:cs="Times New Roman"/>
                <w:sz w:val="22"/>
                <w:szCs w:val="22"/>
              </w:rPr>
              <w:t>12</w:t>
            </w:r>
          </w:p>
        </w:tc>
        <w:tc>
          <w:tcPr>
            <w:tcW w:w="2790" w:type="dxa"/>
            <w:tcBorders/>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0"/>
            </w:tblGrid>
            <w:tr>
              <w:trPr>
                <w:tblCellSpacing w:w="15" w:type="dxa"/>
              </w:trPr>
              <w:tc>
                <w:tcPr>
                  <w:tcW w:w="0" w:type="auto"/>
                  <w:tcBorders/>
                  <w:vAlign w:val="center"/>
                  <w:hideMark/>
                </w:tcPr>
                <w:p>
                  <w:pPr>
                    <w:pStyle w:val="style0"/>
                    <w:spacing w:after="0"/>
                    <w:rPr>
                      <w:rFonts w:cs="Times New Roman"/>
                      <w:sz w:val="22"/>
                      <w:szCs w:val="22"/>
                    </w:rPr>
                  </w:pPr>
                </w:p>
              </w:tc>
            </w:tr>
          </w:tbl>
          <w:p>
            <w:pPr>
              <w:pStyle w:val="style0"/>
              <w:rPr>
                <w:rFonts w:cs="Times New Roman"/>
                <w:vanish/>
                <w:sz w:val="22"/>
                <w:szCs w:val="22"/>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574"/>
            </w:tblGrid>
            <w:tr>
              <w:trPr>
                <w:tblCellSpacing w:w="15" w:type="dxa"/>
              </w:trPr>
              <w:tc>
                <w:tcPr>
                  <w:tcW w:w="0" w:type="auto"/>
                  <w:tcBorders/>
                  <w:vAlign w:val="center"/>
                  <w:hideMark/>
                </w:tcPr>
                <w:p>
                  <w:pPr>
                    <w:pStyle w:val="style0"/>
                    <w:spacing w:after="0"/>
                    <w:rPr>
                      <w:rFonts w:cs="Times New Roman"/>
                      <w:sz w:val="22"/>
                      <w:szCs w:val="22"/>
                    </w:rPr>
                  </w:pPr>
                  <w:r>
                    <w:rPr>
                      <w:rFonts w:cs="Times New Roman"/>
                      <w:sz w:val="22"/>
                      <w:szCs w:val="22"/>
                    </w:rPr>
                    <w:t>WTO (2023); OECD (2025); Maihold (2022); Vivoda and Matthews (2023); UNCTAD (2024)</w:t>
                  </w:r>
                </w:p>
              </w:tc>
            </w:tr>
          </w:tbl>
          <w:p>
            <w:pPr>
              <w:pStyle w:val="style0"/>
              <w:rPr>
                <w:rFonts w:cs="Times New Roman"/>
                <w:sz w:val="22"/>
                <w:szCs w:val="22"/>
              </w:rPr>
            </w:pPr>
          </w:p>
        </w:tc>
      </w:tr>
      <w:tr>
        <w:tblPrEx/>
        <w:trPr/>
        <w:tc>
          <w:tcPr>
            <w:tcW w:w="2091" w:type="dxa"/>
            <w:tcBorders/>
          </w:tcPr>
          <w:p>
            <w:pPr>
              <w:pStyle w:val="style0"/>
              <w:rPr>
                <w:rFonts w:cs="Times New Roman"/>
                <w:sz w:val="22"/>
                <w:szCs w:val="22"/>
              </w:rPr>
            </w:pPr>
            <w:r>
              <w:rPr>
                <w:rFonts w:cs="Times New Roman"/>
                <w:sz w:val="22"/>
                <w:szCs w:val="22"/>
              </w:rPr>
              <w:t xml:space="preserve">Theme 4: Digitalization </w:t>
            </w:r>
          </w:p>
        </w:tc>
        <w:tc>
          <w:tcPr>
            <w:tcW w:w="2796" w:type="dxa"/>
            <w:tcBorders/>
          </w:tcPr>
          <w:p>
            <w:pPr>
              <w:pStyle w:val="style0"/>
              <w:rPr>
                <w:rFonts w:cs="Times New Roman"/>
                <w:sz w:val="22"/>
                <w:szCs w:val="22"/>
              </w:rPr>
            </w:pPr>
            <w:r>
              <w:rPr>
                <w:rFonts w:cs="Times New Roman"/>
                <w:sz w:val="22"/>
                <w:szCs w:val="22"/>
              </w:rPr>
              <w:t>“End-to-end visibility”</w:t>
            </w:r>
          </w:p>
          <w:p>
            <w:pPr>
              <w:pStyle w:val="style0"/>
              <w:rPr>
                <w:rFonts w:cs="Times New Roman"/>
                <w:sz w:val="22"/>
                <w:szCs w:val="22"/>
              </w:rPr>
            </w:pPr>
            <w:r>
              <w:rPr>
                <w:rFonts w:cs="Times New Roman"/>
                <w:sz w:val="22"/>
                <w:szCs w:val="22"/>
              </w:rPr>
              <w:t>“Data-driven decision making”</w:t>
            </w:r>
          </w:p>
          <w:p>
            <w:pPr>
              <w:pStyle w:val="style0"/>
              <w:rPr>
                <w:rFonts w:cs="Times New Roman"/>
                <w:sz w:val="22"/>
                <w:szCs w:val="22"/>
              </w:rPr>
            </w:pPr>
            <w:r>
              <w:rPr>
                <w:rFonts w:cs="Times New Roman"/>
                <w:sz w:val="22"/>
                <w:szCs w:val="22"/>
              </w:rPr>
              <w:t>“Digital twins”</w:t>
            </w:r>
          </w:p>
          <w:p>
            <w:pPr>
              <w:pStyle w:val="style0"/>
              <w:rPr>
                <w:rFonts w:cs="Times New Roman"/>
                <w:sz w:val="22"/>
                <w:szCs w:val="22"/>
              </w:rPr>
            </w:pPr>
            <w:r>
              <w:rPr>
                <w:rFonts w:cs="Times New Roman"/>
                <w:sz w:val="22"/>
                <w:szCs w:val="22"/>
              </w:rPr>
              <w:t>“Real-time risk monitoring”</w:t>
            </w:r>
          </w:p>
          <w:p>
            <w:pPr>
              <w:pStyle w:val="style0"/>
              <w:rPr>
                <w:rFonts w:cs="Times New Roman"/>
                <w:sz w:val="22"/>
                <w:szCs w:val="22"/>
              </w:rPr>
            </w:pPr>
            <w:r>
              <w:rPr>
                <w:rFonts w:cs="Times New Roman"/>
                <w:sz w:val="22"/>
                <w:szCs w:val="22"/>
              </w:rPr>
              <w:t>“Control”</w:t>
            </w:r>
          </w:p>
          <w:p>
            <w:pPr>
              <w:pStyle w:val="style0"/>
              <w:rPr>
                <w:rFonts w:cs="Times New Roman"/>
                <w:sz w:val="22"/>
                <w:szCs w:val="22"/>
              </w:rPr>
            </w:pPr>
          </w:p>
        </w:tc>
        <w:tc>
          <w:tcPr>
            <w:tcW w:w="1683" w:type="dxa"/>
            <w:tcBorders/>
          </w:tcPr>
          <w:p>
            <w:pPr>
              <w:pStyle w:val="style0"/>
              <w:rPr>
                <w:rFonts w:cs="Times New Roman"/>
                <w:sz w:val="22"/>
                <w:szCs w:val="22"/>
              </w:rPr>
            </w:pPr>
            <w:r>
              <w:rPr>
                <w:rFonts w:cs="Times New Roman"/>
                <w:sz w:val="22"/>
                <w:szCs w:val="22"/>
              </w:rPr>
              <w:t>11</w:t>
            </w:r>
          </w:p>
        </w:tc>
        <w:tc>
          <w:tcPr>
            <w:tcW w:w="2790" w:type="dxa"/>
            <w:tcBorders/>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574"/>
            </w:tblGrid>
            <w:tr>
              <w:trPr>
                <w:tblCellSpacing w:w="15" w:type="dxa"/>
              </w:trPr>
              <w:tc>
                <w:tcPr>
                  <w:tcW w:w="0" w:type="auto"/>
                  <w:tcBorders/>
                  <w:vAlign w:val="center"/>
                  <w:hideMark/>
                </w:tcPr>
                <w:p>
                  <w:pPr>
                    <w:pStyle w:val="style0"/>
                    <w:spacing w:after="0"/>
                    <w:rPr>
                      <w:rFonts w:cs="Times New Roman"/>
                      <w:sz w:val="22"/>
                      <w:szCs w:val="22"/>
                    </w:rPr>
                  </w:pPr>
                  <w:r>
                    <w:rPr>
                      <w:rFonts w:cs="Times New Roman"/>
                      <w:sz w:val="22"/>
                      <w:szCs w:val="22"/>
                    </w:rPr>
                    <w:t>Rehman (2025); Hosseini (2025); OECD (202</w:t>
                  </w:r>
                  <w:r>
                    <w:rPr>
                      <w:rFonts w:cs="Times New Roman"/>
                      <w:sz w:val="22"/>
                      <w:szCs w:val="22"/>
                    </w:rPr>
                    <w:t>5</w:t>
                  </w:r>
                  <w:r>
                    <w:rPr>
                      <w:rFonts w:cs="Times New Roman"/>
                      <w:sz w:val="22"/>
                      <w:szCs w:val="22"/>
                    </w:rPr>
                    <w:t>)</w:t>
                  </w:r>
                </w:p>
              </w:tc>
            </w:tr>
          </w:tbl>
          <w:p>
            <w:pPr>
              <w:pStyle w:val="style0"/>
              <w:rPr>
                <w:rFonts w:cs="Times New Roman"/>
                <w:vanish/>
                <w:sz w:val="22"/>
                <w:szCs w:val="22"/>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0"/>
            </w:tblGrid>
            <w:tr>
              <w:trPr>
                <w:tblCellSpacing w:w="15" w:type="dxa"/>
              </w:trPr>
              <w:tc>
                <w:tcPr>
                  <w:tcW w:w="0" w:type="auto"/>
                  <w:tcBorders/>
                  <w:vAlign w:val="center"/>
                  <w:hideMark/>
                </w:tcPr>
                <w:p>
                  <w:pPr>
                    <w:pStyle w:val="style0"/>
                    <w:spacing w:after="0"/>
                    <w:rPr>
                      <w:rFonts w:cs="Times New Roman"/>
                      <w:sz w:val="22"/>
                      <w:szCs w:val="22"/>
                    </w:rPr>
                  </w:pPr>
                </w:p>
              </w:tc>
            </w:tr>
          </w:tbl>
          <w:p>
            <w:pPr>
              <w:pStyle w:val="style0"/>
              <w:rPr>
                <w:rFonts w:cs="Times New Roman"/>
                <w:sz w:val="22"/>
                <w:szCs w:val="22"/>
              </w:rPr>
            </w:pPr>
          </w:p>
        </w:tc>
      </w:tr>
      <w:tr>
        <w:tblPrEx/>
        <w:trPr/>
        <w:tc>
          <w:tcPr>
            <w:tcW w:w="2091" w:type="dxa"/>
            <w:tcBorders/>
          </w:tcPr>
          <w:p>
            <w:pPr>
              <w:pStyle w:val="style0"/>
              <w:rPr>
                <w:rFonts w:cs="Times New Roman"/>
                <w:sz w:val="22"/>
                <w:szCs w:val="22"/>
              </w:rPr>
            </w:pPr>
            <w:r>
              <w:rPr>
                <w:rFonts w:cs="Times New Roman"/>
                <w:sz w:val="22"/>
                <w:szCs w:val="22"/>
              </w:rPr>
              <w:t xml:space="preserve">Theme 5: Reassuring Strategic Narratives </w:t>
            </w:r>
          </w:p>
        </w:tc>
        <w:tc>
          <w:tcPr>
            <w:tcW w:w="2796" w:type="dxa"/>
            <w:tcBorders/>
          </w:tcPr>
          <w:p>
            <w:pPr>
              <w:pStyle w:val="style0"/>
              <w:rPr>
                <w:rFonts w:cs="Times New Roman"/>
                <w:sz w:val="22"/>
                <w:szCs w:val="22"/>
              </w:rPr>
            </w:pPr>
            <w:r>
              <w:rPr>
                <w:rFonts w:cs="Times New Roman"/>
                <w:sz w:val="22"/>
                <w:szCs w:val="22"/>
              </w:rPr>
              <w:t>“Responsible sourcing”</w:t>
            </w:r>
          </w:p>
          <w:p>
            <w:pPr>
              <w:pStyle w:val="style0"/>
              <w:rPr>
                <w:rFonts w:cs="Times New Roman"/>
                <w:sz w:val="22"/>
                <w:szCs w:val="22"/>
              </w:rPr>
            </w:pPr>
            <w:r>
              <w:rPr>
                <w:rFonts w:cs="Times New Roman"/>
                <w:sz w:val="22"/>
                <w:szCs w:val="22"/>
              </w:rPr>
              <w:t>“Long-term stability”</w:t>
            </w:r>
          </w:p>
          <w:p>
            <w:pPr>
              <w:pStyle w:val="style0"/>
              <w:rPr>
                <w:rFonts w:cs="Times New Roman"/>
                <w:sz w:val="22"/>
                <w:szCs w:val="22"/>
              </w:rPr>
            </w:pPr>
            <w:r>
              <w:rPr>
                <w:rFonts w:cs="Times New Roman"/>
                <w:sz w:val="22"/>
                <w:szCs w:val="22"/>
              </w:rPr>
              <w:t>“Stakeholder confidence”</w:t>
            </w:r>
          </w:p>
          <w:p>
            <w:pPr>
              <w:pStyle w:val="style0"/>
              <w:rPr>
                <w:rFonts w:cs="Times New Roman"/>
                <w:sz w:val="22"/>
                <w:szCs w:val="22"/>
              </w:rPr>
            </w:pPr>
            <w:r>
              <w:rPr>
                <w:rFonts w:cs="Times New Roman"/>
                <w:sz w:val="22"/>
                <w:szCs w:val="22"/>
              </w:rPr>
              <w:t>“Strategic foresight”</w:t>
            </w:r>
          </w:p>
          <w:p>
            <w:pPr>
              <w:pStyle w:val="style0"/>
              <w:rPr>
                <w:rFonts w:cs="Times New Roman"/>
                <w:sz w:val="22"/>
                <w:szCs w:val="22"/>
              </w:rPr>
            </w:pPr>
          </w:p>
        </w:tc>
        <w:tc>
          <w:tcPr>
            <w:tcW w:w="1683" w:type="dxa"/>
            <w:tcBorders/>
          </w:tcPr>
          <w:p>
            <w:pPr>
              <w:pStyle w:val="style0"/>
              <w:rPr>
                <w:rFonts w:cs="Times New Roman"/>
                <w:sz w:val="22"/>
                <w:szCs w:val="22"/>
              </w:rPr>
            </w:pPr>
            <w:r>
              <w:rPr>
                <w:rFonts w:cs="Times New Roman"/>
                <w:sz w:val="22"/>
                <w:szCs w:val="22"/>
              </w:rPr>
              <w:t>14</w:t>
            </w:r>
          </w:p>
        </w:tc>
        <w:tc>
          <w:tcPr>
            <w:tcW w:w="2790" w:type="dxa"/>
            <w:tcBorders/>
          </w:tcPr>
          <w:p>
            <w:pPr>
              <w:pStyle w:val="style0"/>
              <w:rPr>
                <w:rFonts w:cs="Times New Roman"/>
                <w:sz w:val="22"/>
                <w:szCs w:val="22"/>
              </w:rPr>
            </w:pPr>
            <w:r>
              <w:rPr>
                <w:rFonts w:cs="Times New Roman"/>
                <w:sz w:val="22"/>
                <w:szCs w:val="22"/>
              </w:rPr>
              <w:t>El-Haj et al. (2019); Sandberg and Tsoukas (2020); Meyer and Li (2022); OECD (202</w:t>
            </w:r>
            <w:r>
              <w:rPr>
                <w:rFonts w:cs="Times New Roman"/>
                <w:sz w:val="22"/>
                <w:szCs w:val="22"/>
              </w:rPr>
              <w:t>5</w:t>
            </w:r>
            <w:r>
              <w:rPr>
                <w:rFonts w:cs="Times New Roman"/>
                <w:sz w:val="22"/>
                <w:szCs w:val="22"/>
              </w:rPr>
              <w:t>)</w:t>
            </w:r>
            <w:r>
              <w:rPr>
                <w:rFonts w:cs="Times New Roman"/>
                <w:sz w:val="22"/>
                <w:szCs w:val="22"/>
              </w:rPr>
              <w:t>.</w:t>
            </w:r>
          </w:p>
          <w:p>
            <w:pPr>
              <w:pStyle w:val="style0"/>
              <w:keepNext/>
              <w:rPr>
                <w:rFonts w:cs="Times New Roman"/>
                <w:sz w:val="22"/>
                <w:szCs w:val="22"/>
              </w:rPr>
            </w:pPr>
          </w:p>
        </w:tc>
      </w:tr>
      <w:bookmarkStart w:id="34" w:name="_Toc220304787"/>
    </w:tbl>
    <w:p>
      <w:pPr>
        <w:pStyle w:val="style34"/>
        <w:rPr/>
      </w:pPr>
      <w:r>
        <w:t xml:space="preserve">Table </w:t>
      </w:r>
      <w:r>
        <w:rPr/>
        <w:fldChar w:fldCharType="begin"/>
      </w:r>
      <w:r>
        <w:instrText xml:space="preserve"> SEQ Table \* ARABIC </w:instrText>
      </w:r>
      <w:r>
        <w:rPr/>
        <w:fldChar w:fldCharType="separate"/>
      </w:r>
      <w:r>
        <w:rPr>
          <w:noProof/>
        </w:rPr>
        <w:t>1</w:t>
      </w:r>
      <w:r>
        <w:rPr/>
        <w:fldChar w:fldCharType="end"/>
      </w:r>
      <w:r>
        <w:t xml:space="preserve">: </w:t>
      </w:r>
      <w:r>
        <w:t>Thematic Analysis based on Objective 1</w:t>
      </w:r>
      <w:bookmarkEnd w:id="34"/>
    </w:p>
    <w:p>
      <w:pPr>
        <w:pStyle w:val="style0"/>
        <w:rPr>
          <w:rFonts w:cs="Times New Roman"/>
        </w:rPr>
      </w:pPr>
      <w:r>
        <w:rPr>
          <w:rFonts w:cs="Times New Roman"/>
        </w:rPr>
        <w:t xml:space="preserve">The thematic identified revealed that </w:t>
      </w:r>
      <w:r>
        <w:rPr>
          <w:rFonts w:cs="Times New Roman"/>
        </w:rPr>
        <w:t>MNEs position supply chain disruptions as structural, persistent, and systemic under the banner of uncertainty, geopolitical fragmentation and the new normal of risk. The strategic responses were conveyed in terms of resilience investment, redundancy, and post-JIT strategies, as well as seeking trusted relationships, regional centers, and sourcing in accordance with the policies. Digitalization and strategic foresight became facilitators of visibility, control, and reassurance of the stakeholders.</w:t>
      </w:r>
    </w:p>
    <w:bookmarkStart w:id="35" w:name="_Toc220305388"/>
    <w:p>
      <w:pPr>
        <w:pStyle w:val="style2"/>
        <w:rPr>
          <w:rFonts w:cs="Times New Roman"/>
          <w:b w:val="false"/>
          <w:bCs/>
        </w:rPr>
      </w:pPr>
      <w:r>
        <w:rPr>
          <w:rFonts w:cs="Times New Roman"/>
          <w:bCs/>
        </w:rPr>
        <w:t>Thematic Analysis Based on Objective 2</w:t>
      </w:r>
      <w:bookmarkEnd w:id="35"/>
    </w:p>
    <w:p>
      <w:pPr>
        <w:pStyle w:val="style0"/>
        <w:rPr>
          <w:rFonts w:cs="Times New Roman"/>
          <w:i/>
          <w:iCs/>
        </w:rPr>
      </w:pPr>
      <w:r>
        <w:rPr>
          <w:rFonts w:cs="Times New Roman"/>
          <w:b/>
          <w:bCs/>
          <w:i/>
          <w:iCs/>
        </w:rPr>
        <w:t>Objective 2</w:t>
      </w:r>
      <w:r>
        <w:rPr>
          <w:rFonts w:cs="Times New Roman"/>
          <w:i/>
          <w:iCs/>
        </w:rPr>
        <w:t>: Analyzing how organisations think about issues and opportunities in a more fragmented global trade environment.</w:t>
      </w:r>
    </w:p>
    <w:tbl>
      <w:tblPr>
        <w:tblStyle w:val="style4110"/>
        <w:tblW w:w="0" w:type="auto"/>
        <w:tblLook w:val="04A0" w:firstRow="1" w:lastRow="0" w:firstColumn="1" w:lastColumn="0" w:noHBand="0" w:noVBand="1"/>
      </w:tblPr>
      <w:tblGrid>
        <w:gridCol w:w="1801"/>
        <w:gridCol w:w="3320"/>
        <w:gridCol w:w="1230"/>
        <w:gridCol w:w="3011"/>
      </w:tblGrid>
      <w:tr>
        <w:trPr/>
        <w:tc>
          <w:tcPr>
            <w:tcW w:w="1885" w:type="dxa"/>
            <w:tcBorders/>
          </w:tcPr>
          <w:p>
            <w:pPr>
              <w:pStyle w:val="style0"/>
              <w:rPr>
                <w:rFonts w:cs="Times New Roman"/>
                <w:sz w:val="22"/>
                <w:szCs w:val="22"/>
              </w:rPr>
            </w:pPr>
            <w:r>
              <w:rPr>
                <w:rFonts w:cs="Times New Roman"/>
                <w:sz w:val="22"/>
                <w:szCs w:val="22"/>
              </w:rPr>
              <w:t>Themes</w:t>
            </w:r>
          </w:p>
        </w:tc>
        <w:tc>
          <w:tcPr>
            <w:tcW w:w="3510" w:type="dxa"/>
            <w:tcBorders/>
          </w:tcPr>
          <w:p>
            <w:pPr>
              <w:pStyle w:val="style0"/>
              <w:rPr>
                <w:rFonts w:cs="Times New Roman"/>
                <w:sz w:val="22"/>
                <w:szCs w:val="22"/>
              </w:rPr>
            </w:pPr>
            <w:r>
              <w:rPr>
                <w:rFonts w:cs="Times New Roman"/>
                <w:sz w:val="22"/>
                <w:szCs w:val="22"/>
              </w:rPr>
              <w:t>Codes</w:t>
            </w:r>
          </w:p>
        </w:tc>
        <w:tc>
          <w:tcPr>
            <w:tcW w:w="630" w:type="dxa"/>
            <w:tcBorders/>
          </w:tcPr>
          <w:p>
            <w:pPr>
              <w:pStyle w:val="style0"/>
              <w:rPr>
                <w:rFonts w:cs="Times New Roman"/>
                <w:sz w:val="22"/>
                <w:szCs w:val="22"/>
              </w:rPr>
            </w:pPr>
            <w:r>
              <w:rPr>
                <w:rFonts w:cs="Times New Roman"/>
                <w:sz w:val="22"/>
                <w:szCs w:val="22"/>
              </w:rPr>
              <w:t>Frequency</w:t>
            </w:r>
          </w:p>
        </w:tc>
        <w:tc>
          <w:tcPr>
            <w:tcW w:w="3325" w:type="dxa"/>
            <w:tcBorders/>
          </w:tcPr>
          <w:p>
            <w:pPr>
              <w:pStyle w:val="style0"/>
              <w:rPr>
                <w:rFonts w:cs="Times New Roman"/>
                <w:sz w:val="22"/>
                <w:szCs w:val="22"/>
              </w:rPr>
            </w:pPr>
            <w:r>
              <w:rPr>
                <w:rFonts w:cs="Times New Roman"/>
                <w:sz w:val="22"/>
                <w:szCs w:val="22"/>
              </w:rPr>
              <w:t>Author</w:t>
            </w:r>
          </w:p>
        </w:tc>
      </w:tr>
      <w:tr>
        <w:tblPrEx/>
        <w:trPr/>
        <w:tc>
          <w:tcPr>
            <w:tcW w:w="1885" w:type="dxa"/>
            <w:tcBorders/>
          </w:tcPr>
          <w:p>
            <w:pPr>
              <w:pStyle w:val="style0"/>
              <w:rPr>
                <w:rFonts w:cs="Times New Roman"/>
                <w:sz w:val="22"/>
                <w:szCs w:val="22"/>
              </w:rPr>
            </w:pPr>
            <w:r>
              <w:rPr>
                <w:rFonts w:cs="Times New Roman"/>
                <w:sz w:val="22"/>
                <w:szCs w:val="22"/>
              </w:rPr>
              <w:t xml:space="preserve">Theme 1: Persistent </w:t>
            </w:r>
            <w:r>
              <w:rPr>
                <w:rFonts w:cs="Times New Roman"/>
                <w:sz w:val="22"/>
                <w:szCs w:val="22"/>
              </w:rPr>
              <w:t>structural condition</w:t>
            </w:r>
          </w:p>
        </w:tc>
        <w:tc>
          <w:tcPr>
            <w:tcW w:w="3510" w:type="dxa"/>
            <w:tcBorders/>
          </w:tcPr>
          <w:p>
            <w:pPr>
              <w:pStyle w:val="style0"/>
              <w:rPr>
                <w:rFonts w:cs="Times New Roman"/>
                <w:sz w:val="22"/>
                <w:szCs w:val="22"/>
              </w:rPr>
            </w:pPr>
            <w:r>
              <w:rPr>
                <w:rFonts w:cs="Times New Roman"/>
                <w:sz w:val="22"/>
                <w:szCs w:val="22"/>
              </w:rPr>
              <w:t>“Structural uncertainty”</w:t>
            </w:r>
          </w:p>
          <w:p>
            <w:pPr>
              <w:pStyle w:val="style0"/>
              <w:rPr>
                <w:rFonts w:cs="Times New Roman"/>
                <w:sz w:val="22"/>
                <w:szCs w:val="22"/>
              </w:rPr>
            </w:pPr>
            <w:r>
              <w:rPr>
                <w:rFonts w:cs="Times New Roman"/>
                <w:sz w:val="22"/>
                <w:szCs w:val="22"/>
              </w:rPr>
              <w:t>“Permanent geopolitical instability”</w:t>
            </w:r>
          </w:p>
          <w:p>
            <w:pPr>
              <w:pStyle w:val="style0"/>
              <w:rPr>
                <w:rFonts w:cs="Times New Roman"/>
                <w:sz w:val="22"/>
                <w:szCs w:val="22"/>
              </w:rPr>
            </w:pPr>
            <w:r>
              <w:rPr>
                <w:rFonts w:cs="Times New Roman"/>
                <w:sz w:val="22"/>
                <w:szCs w:val="22"/>
              </w:rPr>
              <w:t>“Erosion of multilateral predictability”</w:t>
            </w:r>
          </w:p>
          <w:p>
            <w:pPr>
              <w:pStyle w:val="style0"/>
              <w:rPr>
                <w:rFonts w:cs="Times New Roman"/>
                <w:sz w:val="22"/>
                <w:szCs w:val="22"/>
              </w:rPr>
            </w:pPr>
            <w:r>
              <w:rPr>
                <w:rFonts w:cs="Times New Roman"/>
                <w:sz w:val="22"/>
                <w:szCs w:val="22"/>
              </w:rPr>
              <w:t>“Reconfiguration (not reversal) of globalization”</w:t>
            </w:r>
          </w:p>
          <w:p>
            <w:pPr>
              <w:pStyle w:val="style0"/>
              <w:rPr>
                <w:rFonts w:cs="Times New Roman"/>
                <w:sz w:val="22"/>
                <w:szCs w:val="22"/>
              </w:rPr>
            </w:pPr>
          </w:p>
        </w:tc>
        <w:tc>
          <w:tcPr>
            <w:tcW w:w="630" w:type="dxa"/>
            <w:tcBorders/>
          </w:tcPr>
          <w:p>
            <w:pPr>
              <w:pStyle w:val="style0"/>
              <w:rPr>
                <w:rFonts w:cs="Times New Roman"/>
                <w:sz w:val="22"/>
                <w:szCs w:val="22"/>
              </w:rPr>
            </w:pPr>
            <w:r>
              <w:rPr>
                <w:rFonts w:cs="Times New Roman"/>
                <w:sz w:val="22"/>
                <w:szCs w:val="22"/>
              </w:rPr>
              <w:t>12</w:t>
            </w:r>
          </w:p>
        </w:tc>
        <w:tc>
          <w:tcPr>
            <w:tcW w:w="3325" w:type="dxa"/>
            <w:tcBorders/>
          </w:tcPr>
          <w:p>
            <w:pPr>
              <w:pStyle w:val="style0"/>
              <w:rPr>
                <w:rFonts w:cs="Times New Roman"/>
                <w:sz w:val="22"/>
                <w:szCs w:val="22"/>
                <w:lang w:val="sv-SE"/>
              </w:rPr>
            </w:pPr>
            <w:r>
              <w:rPr>
                <w:rFonts w:cs="Times New Roman"/>
                <w:sz w:val="22"/>
                <w:szCs w:val="22"/>
                <w:lang w:val="sv-SE"/>
              </w:rPr>
              <w:t>Luo (2023);</w:t>
            </w:r>
          </w:p>
          <w:p>
            <w:pPr>
              <w:pStyle w:val="style0"/>
              <w:rPr>
                <w:rFonts w:cs="Times New Roman"/>
                <w:sz w:val="22"/>
                <w:szCs w:val="22"/>
              </w:rPr>
            </w:pPr>
            <w:r>
              <w:rPr>
                <w:rFonts w:cs="Times New Roman"/>
                <w:sz w:val="22"/>
                <w:szCs w:val="22"/>
                <w:lang w:val="sv-SE"/>
              </w:rPr>
              <w:t xml:space="preserve">Ponte, Gereffi (2019); Gilson (2020); Alparslan (2024); Rudnik et al. </w:t>
            </w:r>
            <w:r>
              <w:rPr>
                <w:rFonts w:cs="Times New Roman"/>
                <w:sz w:val="22"/>
                <w:szCs w:val="22"/>
              </w:rPr>
              <w:t>(2025); Rabinovych and Pintsch (2023)</w:t>
            </w:r>
          </w:p>
          <w:p>
            <w:pPr>
              <w:pStyle w:val="style0"/>
              <w:rPr>
                <w:rFonts w:cs="Times New Roman"/>
                <w:sz w:val="22"/>
                <w:szCs w:val="22"/>
              </w:rPr>
            </w:pPr>
          </w:p>
        </w:tc>
      </w:tr>
      <w:tr>
        <w:tblPrEx/>
        <w:trPr/>
        <w:tc>
          <w:tcPr>
            <w:tcW w:w="1885" w:type="dxa"/>
            <w:tcBorders/>
          </w:tcPr>
          <w:p>
            <w:pPr>
              <w:pStyle w:val="style0"/>
              <w:rPr>
                <w:rFonts w:cs="Times New Roman"/>
                <w:sz w:val="22"/>
                <w:szCs w:val="22"/>
              </w:rPr>
            </w:pPr>
            <w:r>
              <w:rPr>
                <w:rFonts w:cs="Times New Roman"/>
                <w:sz w:val="22"/>
                <w:szCs w:val="22"/>
              </w:rPr>
              <w:t>Theme 2: Externally imposed constraint</w:t>
            </w:r>
          </w:p>
        </w:tc>
        <w:tc>
          <w:tcPr>
            <w:tcW w:w="3510" w:type="dxa"/>
            <w:tcBorders/>
          </w:tcPr>
          <w:p>
            <w:pPr>
              <w:pStyle w:val="style0"/>
              <w:rPr>
                <w:rFonts w:cs="Times New Roman"/>
                <w:sz w:val="22"/>
                <w:szCs w:val="22"/>
              </w:rPr>
            </w:pPr>
            <w:r>
              <w:rPr>
                <w:rFonts w:cs="Times New Roman"/>
                <w:sz w:val="22"/>
                <w:szCs w:val="22"/>
              </w:rPr>
              <w:t>“Geopolitical rivalry”</w:t>
            </w:r>
          </w:p>
          <w:p>
            <w:pPr>
              <w:pStyle w:val="style0"/>
              <w:rPr>
                <w:rFonts w:cs="Times New Roman"/>
                <w:sz w:val="22"/>
                <w:szCs w:val="22"/>
              </w:rPr>
            </w:pPr>
            <w:r>
              <w:rPr>
                <w:rFonts w:cs="Times New Roman"/>
                <w:sz w:val="22"/>
                <w:szCs w:val="22"/>
              </w:rPr>
              <w:t>“Policy-driven trade barriers”</w:t>
            </w:r>
          </w:p>
          <w:p>
            <w:pPr>
              <w:pStyle w:val="style0"/>
              <w:rPr>
                <w:rFonts w:cs="Times New Roman"/>
                <w:sz w:val="22"/>
                <w:szCs w:val="22"/>
              </w:rPr>
            </w:pPr>
            <w:r>
              <w:rPr>
                <w:rFonts w:cs="Times New Roman"/>
                <w:sz w:val="22"/>
                <w:szCs w:val="22"/>
              </w:rPr>
              <w:t>“National security logic”</w:t>
            </w:r>
          </w:p>
          <w:p>
            <w:pPr>
              <w:pStyle w:val="style0"/>
              <w:rPr>
                <w:rFonts w:cs="Times New Roman"/>
                <w:sz w:val="22"/>
                <w:szCs w:val="22"/>
              </w:rPr>
            </w:pPr>
            <w:r>
              <w:rPr>
                <w:rFonts w:cs="Times New Roman"/>
                <w:sz w:val="22"/>
                <w:szCs w:val="22"/>
              </w:rPr>
              <w:t>“Institutional compliance pressures”</w:t>
            </w:r>
          </w:p>
          <w:p>
            <w:pPr>
              <w:pStyle w:val="style0"/>
              <w:rPr>
                <w:rFonts w:cs="Times New Roman"/>
                <w:sz w:val="22"/>
                <w:szCs w:val="22"/>
              </w:rPr>
            </w:pPr>
          </w:p>
        </w:tc>
        <w:tc>
          <w:tcPr>
            <w:tcW w:w="630" w:type="dxa"/>
            <w:tcBorders/>
          </w:tcPr>
          <w:p>
            <w:pPr>
              <w:pStyle w:val="style0"/>
              <w:rPr>
                <w:rFonts w:cs="Times New Roman"/>
                <w:sz w:val="22"/>
                <w:szCs w:val="22"/>
              </w:rPr>
            </w:pPr>
            <w:r>
              <w:rPr>
                <w:rFonts w:cs="Times New Roman"/>
                <w:sz w:val="22"/>
                <w:szCs w:val="22"/>
              </w:rPr>
              <w:t>14</w:t>
            </w:r>
          </w:p>
        </w:tc>
        <w:tc>
          <w:tcPr>
            <w:tcW w:w="3325" w:type="dxa"/>
            <w:tcBorders/>
          </w:tcPr>
          <w:p>
            <w:pPr>
              <w:pStyle w:val="style0"/>
              <w:rPr>
                <w:rFonts w:cs="Times New Roman"/>
                <w:sz w:val="22"/>
                <w:szCs w:val="22"/>
              </w:rPr>
            </w:pPr>
            <w:r>
              <w:rPr>
                <w:rFonts w:cs="Times New Roman"/>
                <w:sz w:val="22"/>
                <w:szCs w:val="22"/>
                <w:lang w:val="sv-SE"/>
              </w:rPr>
              <w:t xml:space="preserve">Joshi and Brahmbhatt (2025); Ernst (2021); Feng et al. </w:t>
            </w:r>
            <w:r>
              <w:rPr>
                <w:rFonts w:cs="Times New Roman"/>
                <w:sz w:val="22"/>
                <w:szCs w:val="22"/>
              </w:rPr>
              <w:t>(2022); Meyer and Li (2022); Wu and Park (2017); Ngandoh (2024)</w:t>
            </w:r>
          </w:p>
          <w:p>
            <w:pPr>
              <w:pStyle w:val="style0"/>
              <w:rPr>
                <w:rFonts w:cs="Times New Roman"/>
                <w:sz w:val="22"/>
                <w:szCs w:val="22"/>
              </w:rPr>
            </w:pPr>
          </w:p>
        </w:tc>
      </w:tr>
      <w:tr>
        <w:tblPrEx/>
        <w:trPr/>
        <w:tc>
          <w:tcPr>
            <w:tcW w:w="1885" w:type="dxa"/>
            <w:tcBorders/>
          </w:tcPr>
          <w:p>
            <w:pPr>
              <w:pStyle w:val="style0"/>
              <w:rPr>
                <w:rFonts w:cs="Times New Roman"/>
                <w:sz w:val="22"/>
                <w:szCs w:val="22"/>
              </w:rPr>
            </w:pPr>
            <w:r>
              <w:rPr>
                <w:rFonts w:cs="Times New Roman"/>
                <w:sz w:val="22"/>
                <w:szCs w:val="22"/>
              </w:rPr>
              <w:t>Theme 3: Strategic Opportunity Reframing</w:t>
            </w:r>
          </w:p>
        </w:tc>
        <w:tc>
          <w:tcPr>
            <w:tcW w:w="3510" w:type="dxa"/>
            <w:tcBorders/>
          </w:tcPr>
          <w:p>
            <w:pPr>
              <w:pStyle w:val="style0"/>
              <w:rPr>
                <w:rFonts w:cs="Times New Roman"/>
                <w:sz w:val="22"/>
                <w:szCs w:val="22"/>
              </w:rPr>
            </w:pPr>
            <w:r>
              <w:rPr>
                <w:rFonts w:cs="Times New Roman"/>
                <w:sz w:val="22"/>
                <w:szCs w:val="22"/>
              </w:rPr>
              <w:t>“Risk-adjusted opportunity”</w:t>
            </w:r>
          </w:p>
          <w:p>
            <w:pPr>
              <w:pStyle w:val="style0"/>
              <w:rPr>
                <w:rFonts w:cs="Times New Roman"/>
                <w:sz w:val="22"/>
                <w:szCs w:val="22"/>
              </w:rPr>
            </w:pPr>
            <w:r>
              <w:rPr>
                <w:rFonts w:cs="Times New Roman"/>
                <w:sz w:val="22"/>
                <w:szCs w:val="22"/>
              </w:rPr>
              <w:t>“Regional market deepening”</w:t>
            </w:r>
          </w:p>
          <w:p>
            <w:pPr>
              <w:pStyle w:val="style0"/>
              <w:rPr>
                <w:rFonts w:cs="Times New Roman"/>
                <w:sz w:val="22"/>
                <w:szCs w:val="22"/>
              </w:rPr>
            </w:pPr>
            <w:r>
              <w:rPr>
                <w:rFonts w:cs="Times New Roman"/>
                <w:sz w:val="22"/>
                <w:szCs w:val="22"/>
              </w:rPr>
              <w:t>“Supplier diversification”</w:t>
            </w:r>
          </w:p>
          <w:p>
            <w:pPr>
              <w:pStyle w:val="style0"/>
              <w:rPr>
                <w:rFonts w:cs="Times New Roman"/>
                <w:sz w:val="22"/>
                <w:szCs w:val="22"/>
              </w:rPr>
            </w:pPr>
            <w:r>
              <w:rPr>
                <w:rFonts w:cs="Times New Roman"/>
                <w:sz w:val="22"/>
                <w:szCs w:val="22"/>
              </w:rPr>
              <w:t>“Strategic recalibration”</w:t>
            </w:r>
          </w:p>
          <w:p>
            <w:pPr>
              <w:pStyle w:val="style0"/>
              <w:rPr>
                <w:rFonts w:cs="Times New Roman"/>
                <w:sz w:val="22"/>
                <w:szCs w:val="22"/>
              </w:rPr>
            </w:pPr>
          </w:p>
        </w:tc>
        <w:tc>
          <w:tcPr>
            <w:tcW w:w="630" w:type="dxa"/>
            <w:tcBorders/>
          </w:tcPr>
          <w:p>
            <w:pPr>
              <w:pStyle w:val="style0"/>
              <w:rPr>
                <w:rFonts w:cs="Times New Roman"/>
                <w:sz w:val="22"/>
                <w:szCs w:val="22"/>
              </w:rPr>
            </w:pPr>
            <w:r>
              <w:rPr>
                <w:rFonts w:cs="Times New Roman"/>
                <w:sz w:val="22"/>
                <w:szCs w:val="22"/>
              </w:rPr>
              <w:t>11</w:t>
            </w:r>
          </w:p>
        </w:tc>
        <w:tc>
          <w:tcPr>
            <w:tcW w:w="3325" w:type="dxa"/>
            <w:tcBorders/>
          </w:tcPr>
          <w:p>
            <w:pPr>
              <w:pStyle w:val="style0"/>
              <w:rPr>
                <w:rFonts w:cs="Times New Roman"/>
                <w:sz w:val="22"/>
                <w:szCs w:val="22"/>
              </w:rPr>
            </w:pPr>
            <w:r>
              <w:rPr>
                <w:rFonts w:cs="Times New Roman"/>
                <w:sz w:val="22"/>
                <w:szCs w:val="22"/>
              </w:rPr>
              <w:t>Maihold (2022); Liu and Ma (2020); Sacco (2024); Lorenzen, Mudambi and Schotter (2020); Luo and Tung (2025)</w:t>
            </w:r>
          </w:p>
          <w:p>
            <w:pPr>
              <w:pStyle w:val="style0"/>
              <w:rPr>
                <w:rFonts w:cs="Times New Roman"/>
                <w:sz w:val="22"/>
                <w:szCs w:val="22"/>
              </w:rPr>
            </w:pPr>
          </w:p>
        </w:tc>
      </w:tr>
      <w:tr>
        <w:tblPrEx/>
        <w:trPr>
          <w:trHeight w:val="1863" w:hRule="atLeast"/>
        </w:trPr>
        <w:tc>
          <w:tcPr>
            <w:tcW w:w="1885" w:type="dxa"/>
            <w:tcBorders/>
          </w:tcPr>
          <w:p>
            <w:pPr>
              <w:pStyle w:val="style0"/>
              <w:rPr>
                <w:rFonts w:cs="Times New Roman"/>
                <w:sz w:val="22"/>
                <w:szCs w:val="22"/>
              </w:rPr>
            </w:pPr>
            <w:r>
              <w:rPr>
                <w:rFonts w:cs="Times New Roman"/>
                <w:sz w:val="22"/>
                <w:szCs w:val="22"/>
              </w:rPr>
              <w:t>Theme 4: Strategic Trade-offs</w:t>
            </w:r>
          </w:p>
        </w:tc>
        <w:tc>
          <w:tcPr>
            <w:tcW w:w="3510" w:type="dxa"/>
            <w:tcBorders/>
          </w:tcPr>
          <w:p>
            <w:pPr>
              <w:pStyle w:val="style0"/>
              <w:rPr>
                <w:rFonts w:cs="Times New Roman"/>
                <w:sz w:val="22"/>
                <w:szCs w:val="22"/>
              </w:rPr>
            </w:pPr>
            <w:r>
              <w:rPr>
                <w:rFonts w:cs="Times New Roman"/>
                <w:sz w:val="22"/>
                <w:szCs w:val="22"/>
              </w:rPr>
              <w:t>“Efficiency–resilience tension”</w:t>
            </w:r>
          </w:p>
          <w:p>
            <w:pPr>
              <w:pStyle w:val="style0"/>
              <w:rPr>
                <w:rFonts w:cs="Times New Roman"/>
                <w:sz w:val="22"/>
                <w:szCs w:val="22"/>
              </w:rPr>
            </w:pPr>
            <w:r>
              <w:rPr>
                <w:rFonts w:cs="Times New Roman"/>
                <w:sz w:val="22"/>
                <w:szCs w:val="22"/>
              </w:rPr>
              <w:t>“Cost versus redundancy”</w:t>
            </w:r>
          </w:p>
          <w:p>
            <w:pPr>
              <w:pStyle w:val="style0"/>
              <w:rPr>
                <w:rFonts w:cs="Times New Roman"/>
                <w:sz w:val="22"/>
                <w:szCs w:val="22"/>
              </w:rPr>
            </w:pPr>
            <w:r>
              <w:rPr>
                <w:rFonts w:cs="Times New Roman"/>
                <w:sz w:val="22"/>
                <w:szCs w:val="22"/>
              </w:rPr>
              <w:t>“Innovation constraints”</w:t>
            </w:r>
          </w:p>
          <w:p>
            <w:pPr>
              <w:pStyle w:val="style0"/>
              <w:rPr>
                <w:rFonts w:cs="Times New Roman"/>
                <w:sz w:val="22"/>
                <w:szCs w:val="22"/>
              </w:rPr>
            </w:pPr>
            <w:r>
              <w:rPr>
                <w:rFonts w:cs="Times New Roman"/>
                <w:sz w:val="22"/>
                <w:szCs w:val="22"/>
              </w:rPr>
              <w:t>“Strategic compromise”</w:t>
            </w:r>
          </w:p>
          <w:p>
            <w:pPr>
              <w:pStyle w:val="style0"/>
              <w:rPr>
                <w:rFonts w:cs="Times New Roman"/>
                <w:sz w:val="22"/>
                <w:szCs w:val="22"/>
              </w:rPr>
            </w:pPr>
          </w:p>
        </w:tc>
        <w:tc>
          <w:tcPr>
            <w:tcW w:w="630" w:type="dxa"/>
            <w:tcBorders/>
          </w:tcPr>
          <w:p>
            <w:pPr>
              <w:pStyle w:val="style0"/>
              <w:rPr>
                <w:rFonts w:cs="Times New Roman"/>
                <w:sz w:val="22"/>
                <w:szCs w:val="22"/>
              </w:rPr>
            </w:pPr>
            <w:r>
              <w:rPr>
                <w:rFonts w:cs="Times New Roman"/>
                <w:sz w:val="22"/>
                <w:szCs w:val="22"/>
              </w:rPr>
              <w:t>15</w:t>
            </w:r>
          </w:p>
        </w:tc>
        <w:tc>
          <w:tcPr>
            <w:tcW w:w="3325" w:type="dxa"/>
            <w:tcBorders/>
          </w:tcPr>
          <w:p>
            <w:pPr>
              <w:pStyle w:val="style0"/>
              <w:rPr>
                <w:rFonts w:cs="Times New Roman"/>
                <w:sz w:val="22"/>
                <w:szCs w:val="22"/>
              </w:rPr>
            </w:pPr>
            <w:r>
              <w:rPr>
                <w:rFonts w:cs="Times New Roman"/>
                <w:sz w:val="22"/>
                <w:szCs w:val="22"/>
              </w:rPr>
              <w:t>Negri et al. (2021); Hosseini, Mavi and Macau (2025); Belhadi et al. (2024); Teece (2022); Kaya and Shahid (2025)</w:t>
            </w:r>
            <w:r>
              <w:rPr>
                <w:rFonts w:cs="Times New Roman"/>
                <w:sz w:val="22"/>
                <w:szCs w:val="22"/>
              </w:rPr>
              <w:t>; Oteri et al., (2023)</w:t>
            </w:r>
          </w:p>
          <w:p>
            <w:pPr>
              <w:pStyle w:val="style0"/>
              <w:rPr>
                <w:rFonts w:cs="Times New Roman"/>
                <w:sz w:val="22"/>
                <w:szCs w:val="22"/>
              </w:rPr>
            </w:pPr>
          </w:p>
        </w:tc>
      </w:tr>
      <w:tr>
        <w:tblPrEx/>
        <w:trPr/>
        <w:tc>
          <w:tcPr>
            <w:tcW w:w="1885" w:type="dxa"/>
            <w:tcBorders/>
          </w:tcPr>
          <w:p>
            <w:pPr>
              <w:pStyle w:val="style0"/>
              <w:rPr>
                <w:rFonts w:cs="Times New Roman"/>
                <w:sz w:val="22"/>
                <w:szCs w:val="22"/>
              </w:rPr>
            </w:pPr>
            <w:r>
              <w:rPr>
                <w:rFonts w:cs="Times New Roman"/>
                <w:sz w:val="22"/>
                <w:szCs w:val="22"/>
              </w:rPr>
              <w:t>Theme 5: Interpretive challenges</w:t>
            </w:r>
          </w:p>
        </w:tc>
        <w:tc>
          <w:tcPr>
            <w:tcW w:w="3510" w:type="dxa"/>
            <w:tcBorders/>
          </w:tcPr>
          <w:p>
            <w:pPr>
              <w:pStyle w:val="style0"/>
              <w:rPr>
                <w:rFonts w:cs="Times New Roman"/>
                <w:sz w:val="22"/>
                <w:szCs w:val="22"/>
              </w:rPr>
            </w:pPr>
            <w:r>
              <w:rPr>
                <w:rFonts w:cs="Times New Roman"/>
                <w:sz w:val="22"/>
                <w:szCs w:val="22"/>
              </w:rPr>
              <w:t>“Sensemaking under ambiguity”</w:t>
            </w:r>
          </w:p>
          <w:p>
            <w:pPr>
              <w:pStyle w:val="style0"/>
              <w:rPr>
                <w:rFonts w:cs="Times New Roman"/>
                <w:sz w:val="22"/>
                <w:szCs w:val="22"/>
              </w:rPr>
            </w:pPr>
            <w:r>
              <w:rPr>
                <w:rFonts w:cs="Times New Roman"/>
                <w:sz w:val="22"/>
                <w:szCs w:val="22"/>
              </w:rPr>
              <w:t>“Legitimacy maintenance”</w:t>
            </w:r>
          </w:p>
          <w:p>
            <w:pPr>
              <w:pStyle w:val="style0"/>
              <w:rPr>
                <w:rFonts w:cs="Times New Roman"/>
                <w:sz w:val="22"/>
                <w:szCs w:val="22"/>
              </w:rPr>
            </w:pPr>
            <w:r>
              <w:rPr>
                <w:rFonts w:cs="Times New Roman"/>
                <w:sz w:val="22"/>
                <w:szCs w:val="22"/>
              </w:rPr>
              <w:t>“Narrative justification”</w:t>
            </w:r>
          </w:p>
          <w:p>
            <w:pPr>
              <w:pStyle w:val="style0"/>
              <w:rPr>
                <w:rFonts w:cs="Times New Roman"/>
                <w:sz w:val="22"/>
                <w:szCs w:val="22"/>
              </w:rPr>
            </w:pPr>
            <w:r>
              <w:rPr>
                <w:rFonts w:cs="Times New Roman"/>
                <w:sz w:val="22"/>
                <w:szCs w:val="22"/>
              </w:rPr>
              <w:t>“Stakeholder reassurance”</w:t>
            </w:r>
          </w:p>
          <w:p>
            <w:pPr>
              <w:pStyle w:val="style0"/>
              <w:rPr>
                <w:rFonts w:cs="Times New Roman"/>
                <w:sz w:val="22"/>
                <w:szCs w:val="22"/>
              </w:rPr>
            </w:pPr>
          </w:p>
        </w:tc>
        <w:tc>
          <w:tcPr>
            <w:tcW w:w="630" w:type="dxa"/>
            <w:tcBorders/>
          </w:tcPr>
          <w:p>
            <w:pPr>
              <w:pStyle w:val="style0"/>
              <w:rPr>
                <w:rFonts w:cs="Times New Roman"/>
                <w:sz w:val="22"/>
                <w:szCs w:val="22"/>
              </w:rPr>
            </w:pPr>
            <w:r>
              <w:rPr>
                <w:rFonts w:cs="Times New Roman"/>
                <w:sz w:val="22"/>
                <w:szCs w:val="22"/>
              </w:rPr>
              <w:t>13</w:t>
            </w:r>
          </w:p>
        </w:tc>
        <w:tc>
          <w:tcPr>
            <w:tcW w:w="3325" w:type="dxa"/>
            <w:tcBorders/>
          </w:tcPr>
          <w:p>
            <w:pPr>
              <w:pStyle w:val="style0"/>
              <w:rPr>
                <w:rFonts w:cs="Times New Roman"/>
                <w:sz w:val="22"/>
                <w:szCs w:val="22"/>
              </w:rPr>
            </w:pPr>
            <w:r>
              <w:rPr>
                <w:rFonts w:cs="Times New Roman"/>
                <w:sz w:val="22"/>
                <w:szCs w:val="22"/>
              </w:rPr>
              <w:t>Sandberg and Tsoukas (2020); Meyer and Li (2022); Jones and Murray (2025); De Villiers and Molinari (2021); Butollo et al. (2024)</w:t>
            </w:r>
          </w:p>
          <w:p>
            <w:pPr>
              <w:pStyle w:val="style0"/>
              <w:keepNext/>
              <w:rPr>
                <w:rFonts w:cs="Times New Roman"/>
                <w:sz w:val="22"/>
                <w:szCs w:val="22"/>
              </w:rPr>
            </w:pPr>
          </w:p>
        </w:tc>
      </w:tr>
      <w:bookmarkStart w:id="36" w:name="_Toc220304788"/>
    </w:tbl>
    <w:p>
      <w:pPr>
        <w:pStyle w:val="style34"/>
        <w:rPr/>
      </w:pPr>
      <w:r>
        <w:t xml:space="preserve">Table </w:t>
      </w:r>
      <w:r>
        <w:rPr/>
        <w:fldChar w:fldCharType="begin"/>
      </w:r>
      <w:r>
        <w:instrText xml:space="preserve"> SEQ Table \* ARABIC </w:instrText>
      </w:r>
      <w:r>
        <w:rPr/>
        <w:fldChar w:fldCharType="separate"/>
      </w:r>
      <w:r>
        <w:rPr>
          <w:noProof/>
        </w:rPr>
        <w:t>2</w:t>
      </w:r>
      <w:r>
        <w:rPr/>
        <w:fldChar w:fldCharType="end"/>
      </w:r>
      <w:r>
        <w:t xml:space="preserve">: </w:t>
      </w:r>
      <w:r>
        <w:t>Thematic Analysis Based on Objective 2</w:t>
      </w:r>
      <w:bookmarkEnd w:id="36"/>
    </w:p>
    <w:p>
      <w:pPr>
        <w:pStyle w:val="style0"/>
        <w:rPr>
          <w:rFonts w:cs="Times New Roman"/>
        </w:rPr>
      </w:pPr>
      <w:r>
        <w:rPr>
          <w:rFonts w:cs="Times New Roman"/>
        </w:rPr>
        <w:t xml:space="preserve">The discussion shows how firms perceive the global business environment as being fragmented and complex. Issues such as continued structural circumstances, externality associated limitations, </w:t>
      </w:r>
      <w:r>
        <w:rPr>
          <w:rFonts w:cs="Times New Roman"/>
        </w:rPr>
        <w:t>strategic opportunity redefinition, efficiency-resilience trade-offs and interpretive problems conveyed how organizations negotiated the tension between political compliance, operational effectiveness, and risk adjusted opportunity. It is through these themes that it has been pointed out that not only the internal capabilities make MNE decision-making conditional but also the geopolitical and institutional pressures that are external</w:t>
      </w:r>
      <w:r>
        <w:rPr>
          <w:rFonts w:cs="Times New Roman"/>
        </w:rPr>
        <w:t>.</w:t>
      </w:r>
    </w:p>
    <w:bookmarkStart w:id="37" w:name="_Toc220305389"/>
    <w:p>
      <w:pPr>
        <w:pStyle w:val="style2"/>
        <w:rPr>
          <w:rFonts w:cs="Times New Roman"/>
          <w:b w:val="false"/>
          <w:bCs/>
        </w:rPr>
      </w:pPr>
      <w:r>
        <w:rPr>
          <w:rFonts w:cs="Times New Roman"/>
          <w:bCs/>
        </w:rPr>
        <w:t>Thematic Analysis based on Objective 3</w:t>
      </w:r>
      <w:bookmarkEnd w:id="37"/>
    </w:p>
    <w:p>
      <w:pPr>
        <w:pStyle w:val="style0"/>
        <w:rPr>
          <w:rFonts w:cs="Times New Roman"/>
          <w:i/>
          <w:iCs/>
        </w:rPr>
      </w:pPr>
      <w:r>
        <w:rPr>
          <w:rFonts w:cs="Times New Roman"/>
          <w:b/>
          <w:bCs/>
          <w:i/>
          <w:iCs/>
        </w:rPr>
        <w:t>Objective 3:</w:t>
      </w:r>
      <w:r>
        <w:rPr>
          <w:rFonts w:cs="Times New Roman"/>
          <w:i/>
          <w:iCs/>
        </w:rPr>
        <w:t xml:space="preserve"> </w:t>
      </w:r>
      <w:r>
        <w:rPr>
          <w:rFonts w:cs="Times New Roman"/>
          <w:i/>
          <w:iCs/>
        </w:rPr>
        <w:t>Integrating the redefining of strategic adaptation by global companies in the changing circumstances of trade.</w:t>
      </w:r>
    </w:p>
    <w:tbl>
      <w:tblPr>
        <w:tblStyle w:val="style4110"/>
        <w:tblW w:w="0" w:type="auto"/>
        <w:tblLayout w:type="fixed"/>
        <w:tblLook w:val="04A0" w:firstRow="1" w:lastRow="0" w:firstColumn="1" w:lastColumn="0" w:noHBand="0" w:noVBand="1"/>
      </w:tblPr>
      <w:tblGrid>
        <w:gridCol w:w="2352"/>
        <w:gridCol w:w="2996"/>
        <w:gridCol w:w="1672"/>
        <w:gridCol w:w="2340"/>
      </w:tblGrid>
      <w:tr>
        <w:trPr>
          <w:trHeight w:val="945" w:hRule="atLeast"/>
        </w:trPr>
        <w:tc>
          <w:tcPr>
            <w:tcW w:w="2352" w:type="dxa"/>
            <w:tcBorders/>
            <w:hideMark/>
          </w:tcPr>
          <w:p>
            <w:pPr>
              <w:pStyle w:val="style0"/>
              <w:spacing w:after="160"/>
              <w:rPr>
                <w:rFonts w:cs="Times New Roman"/>
                <w:sz w:val="22"/>
                <w:szCs w:val="22"/>
              </w:rPr>
            </w:pPr>
            <w:r>
              <w:rPr>
                <w:rFonts w:cs="Times New Roman"/>
                <w:sz w:val="22"/>
                <w:szCs w:val="22"/>
              </w:rPr>
              <w:t>Theme</w:t>
            </w:r>
          </w:p>
        </w:tc>
        <w:tc>
          <w:tcPr>
            <w:tcW w:w="2996" w:type="dxa"/>
            <w:tcBorders/>
            <w:hideMark/>
          </w:tcPr>
          <w:p>
            <w:pPr>
              <w:pStyle w:val="style0"/>
              <w:spacing w:after="160"/>
              <w:rPr>
                <w:rFonts w:cs="Times New Roman"/>
                <w:sz w:val="22"/>
                <w:szCs w:val="22"/>
              </w:rPr>
            </w:pPr>
            <w:r>
              <w:rPr>
                <w:rFonts w:cs="Times New Roman"/>
                <w:sz w:val="22"/>
                <w:szCs w:val="22"/>
              </w:rPr>
              <w:t>Codes</w:t>
            </w:r>
          </w:p>
        </w:tc>
        <w:tc>
          <w:tcPr>
            <w:tcW w:w="1672" w:type="dxa"/>
            <w:tcBorders/>
            <w:hideMark/>
          </w:tcPr>
          <w:p>
            <w:pPr>
              <w:pStyle w:val="style0"/>
              <w:spacing w:after="160"/>
              <w:rPr>
                <w:rFonts w:cs="Times New Roman"/>
                <w:sz w:val="22"/>
                <w:szCs w:val="22"/>
              </w:rPr>
            </w:pPr>
            <w:r>
              <w:rPr>
                <w:rFonts w:cs="Times New Roman"/>
                <w:sz w:val="22"/>
                <w:szCs w:val="22"/>
              </w:rPr>
              <w:t>Frequency</w:t>
            </w:r>
          </w:p>
        </w:tc>
        <w:tc>
          <w:tcPr>
            <w:tcW w:w="2340" w:type="dxa"/>
            <w:tcBorders/>
            <w:hideMark/>
          </w:tcPr>
          <w:p>
            <w:pPr>
              <w:pStyle w:val="style0"/>
              <w:spacing w:after="160"/>
              <w:rPr>
                <w:rFonts w:cs="Times New Roman"/>
                <w:sz w:val="22"/>
                <w:szCs w:val="22"/>
              </w:rPr>
            </w:pPr>
            <w:r>
              <w:rPr>
                <w:rFonts w:cs="Times New Roman"/>
                <w:b w:val="false"/>
                <w:bCs w:val="false"/>
                <w:sz w:val="22"/>
                <w:szCs w:val="22"/>
              </w:rPr>
              <w:t xml:space="preserve"> </w:t>
            </w:r>
            <w:r>
              <w:rPr>
                <w:rFonts w:cs="Times New Roman"/>
                <w:sz w:val="22"/>
                <w:szCs w:val="22"/>
              </w:rPr>
              <w:t>Author–Year</w:t>
            </w:r>
          </w:p>
        </w:tc>
      </w:tr>
      <w:tr>
        <w:tblPrEx/>
        <w:trPr/>
        <w:tc>
          <w:tcPr>
            <w:tcW w:w="2352" w:type="dxa"/>
            <w:tcBorders/>
            <w:hideMark/>
          </w:tcPr>
          <w:p>
            <w:pPr>
              <w:pStyle w:val="style0"/>
              <w:spacing w:after="160"/>
              <w:rPr>
                <w:rFonts w:cs="Times New Roman"/>
                <w:sz w:val="22"/>
                <w:szCs w:val="22"/>
              </w:rPr>
            </w:pPr>
            <w:r>
              <w:rPr>
                <w:rFonts w:cs="Times New Roman"/>
                <w:sz w:val="22"/>
                <w:szCs w:val="22"/>
              </w:rPr>
              <w:t xml:space="preserve">Theme 1: Regionalization </w:t>
            </w:r>
          </w:p>
        </w:tc>
        <w:tc>
          <w:tcPr>
            <w:tcW w:w="2996" w:type="dxa"/>
            <w:tcBorders/>
            <w:hideMark/>
          </w:tcPr>
          <w:p>
            <w:pPr>
              <w:pStyle w:val="style0"/>
              <w:spacing w:after="160"/>
              <w:rPr>
                <w:rFonts w:cs="Times New Roman"/>
                <w:sz w:val="22"/>
                <w:szCs w:val="22"/>
              </w:rPr>
            </w:pPr>
            <w:r>
              <w:rPr>
                <w:rFonts w:cs="Times New Roman"/>
                <w:sz w:val="22"/>
                <w:szCs w:val="22"/>
              </w:rPr>
              <w:t>“</w:t>
            </w:r>
            <w:r>
              <w:rPr>
                <w:rFonts w:cs="Times New Roman"/>
                <w:sz w:val="22"/>
                <w:szCs w:val="22"/>
              </w:rPr>
              <w:t>concentration</w:t>
            </w:r>
            <w:r>
              <w:rPr>
                <w:rFonts w:cs="Times New Roman"/>
                <w:sz w:val="22"/>
                <w:szCs w:val="22"/>
              </w:rPr>
              <w:t xml:space="preserve"> on geographical production</w:t>
            </w:r>
            <w:r>
              <w:rPr>
                <w:rFonts w:cs="Times New Roman"/>
                <w:sz w:val="22"/>
                <w:szCs w:val="22"/>
              </w:rPr>
              <w:t>”</w:t>
            </w:r>
          </w:p>
          <w:p>
            <w:pPr>
              <w:pStyle w:val="style0"/>
              <w:spacing w:after="160"/>
              <w:rPr>
                <w:rFonts w:cs="Times New Roman"/>
                <w:sz w:val="22"/>
                <w:szCs w:val="22"/>
              </w:rPr>
            </w:pPr>
            <w:r>
              <w:rPr>
                <w:rFonts w:cs="Times New Roman"/>
                <w:sz w:val="22"/>
                <w:szCs w:val="22"/>
              </w:rPr>
              <w:t>“Political Alignment”</w:t>
            </w:r>
          </w:p>
          <w:p>
            <w:pPr>
              <w:pStyle w:val="style0"/>
              <w:spacing w:after="160"/>
              <w:rPr>
                <w:rFonts w:cs="Times New Roman"/>
                <w:sz w:val="22"/>
                <w:szCs w:val="22"/>
              </w:rPr>
            </w:pPr>
            <w:r>
              <w:rPr>
                <w:rFonts w:cs="Times New Roman"/>
                <w:sz w:val="22"/>
                <w:szCs w:val="22"/>
              </w:rPr>
              <w:t>“Reduced cross-border exposure”</w:t>
            </w:r>
          </w:p>
          <w:p>
            <w:pPr>
              <w:pStyle w:val="style0"/>
              <w:spacing w:after="160"/>
              <w:rPr>
                <w:rFonts w:cs="Times New Roman"/>
                <w:sz w:val="22"/>
                <w:szCs w:val="22"/>
              </w:rPr>
            </w:pPr>
            <w:r>
              <w:rPr>
                <w:rFonts w:cs="Times New Roman"/>
                <w:sz w:val="22"/>
                <w:szCs w:val="22"/>
              </w:rPr>
              <w:t>“Regional hubs”</w:t>
            </w:r>
          </w:p>
        </w:tc>
        <w:tc>
          <w:tcPr>
            <w:tcW w:w="1672" w:type="dxa"/>
            <w:tcBorders/>
            <w:hideMark/>
          </w:tcPr>
          <w:p>
            <w:pPr>
              <w:pStyle w:val="style0"/>
              <w:spacing w:after="160"/>
              <w:rPr>
                <w:rFonts w:cs="Times New Roman"/>
                <w:sz w:val="22"/>
                <w:szCs w:val="22"/>
              </w:rPr>
            </w:pPr>
            <w:r>
              <w:rPr>
                <w:rFonts w:cs="Times New Roman"/>
                <w:sz w:val="22"/>
                <w:szCs w:val="22"/>
              </w:rPr>
              <w:t xml:space="preserve">10 </w:t>
            </w:r>
          </w:p>
        </w:tc>
        <w:tc>
          <w:tcPr>
            <w:tcW w:w="2340" w:type="dxa"/>
            <w:tcBorders/>
            <w:hideMark/>
          </w:tcPr>
          <w:p>
            <w:pPr>
              <w:pStyle w:val="style0"/>
              <w:spacing w:after="160"/>
              <w:rPr>
                <w:rFonts w:cs="Times New Roman"/>
                <w:sz w:val="22"/>
                <w:szCs w:val="22"/>
              </w:rPr>
            </w:pPr>
            <w:r>
              <w:rPr>
                <w:rFonts w:cs="Times New Roman"/>
                <w:sz w:val="22"/>
                <w:szCs w:val="22"/>
                <w:lang w:val="sv-SE"/>
              </w:rPr>
              <w:t xml:space="preserve">Meyer &amp; Li (2022); Basalat &amp; Priyanka (2024); Samara et al. </w:t>
            </w:r>
            <w:r>
              <w:rPr>
                <w:rFonts w:cs="Times New Roman"/>
                <w:sz w:val="22"/>
                <w:szCs w:val="22"/>
              </w:rPr>
              <w:t>(2024); Bureth (2025)</w:t>
            </w:r>
          </w:p>
        </w:tc>
      </w:tr>
      <w:tr>
        <w:tblPrEx/>
        <w:trPr/>
        <w:tc>
          <w:tcPr>
            <w:tcW w:w="2352" w:type="dxa"/>
            <w:tcBorders/>
            <w:hideMark/>
          </w:tcPr>
          <w:p>
            <w:pPr>
              <w:pStyle w:val="style0"/>
              <w:spacing w:after="160"/>
              <w:rPr>
                <w:rFonts w:cs="Times New Roman"/>
                <w:sz w:val="22"/>
                <w:szCs w:val="22"/>
              </w:rPr>
            </w:pPr>
            <w:r>
              <w:rPr>
                <w:rFonts w:cs="Times New Roman"/>
                <w:sz w:val="22"/>
                <w:szCs w:val="22"/>
              </w:rPr>
              <w:t>Theme 2: Dual Sourcing</w:t>
            </w:r>
          </w:p>
        </w:tc>
        <w:tc>
          <w:tcPr>
            <w:tcW w:w="2996" w:type="dxa"/>
            <w:tcBorders/>
            <w:hideMark/>
          </w:tcPr>
          <w:p>
            <w:pPr>
              <w:pStyle w:val="style0"/>
              <w:spacing w:after="160"/>
              <w:rPr>
                <w:rFonts w:cs="Times New Roman"/>
                <w:sz w:val="22"/>
                <w:szCs w:val="22"/>
              </w:rPr>
            </w:pPr>
            <w:r>
              <w:rPr>
                <w:rFonts w:cs="Times New Roman"/>
                <w:sz w:val="22"/>
                <w:szCs w:val="22"/>
              </w:rPr>
              <w:t>“Supply chain sovereignty”</w:t>
            </w:r>
          </w:p>
          <w:p>
            <w:pPr>
              <w:pStyle w:val="style0"/>
              <w:spacing w:after="160"/>
              <w:rPr>
                <w:rFonts w:cs="Times New Roman"/>
                <w:sz w:val="22"/>
                <w:szCs w:val="22"/>
              </w:rPr>
            </w:pPr>
            <w:r>
              <w:rPr>
                <w:rFonts w:cs="Times New Roman"/>
                <w:sz w:val="22"/>
                <w:szCs w:val="22"/>
              </w:rPr>
              <w:t>“Nearshoring”</w:t>
            </w:r>
          </w:p>
          <w:p>
            <w:pPr>
              <w:pStyle w:val="style0"/>
              <w:spacing w:after="160"/>
              <w:rPr>
                <w:rFonts w:cs="Times New Roman"/>
                <w:sz w:val="22"/>
                <w:szCs w:val="22"/>
              </w:rPr>
            </w:pPr>
            <w:r>
              <w:rPr>
                <w:rFonts w:cs="Times New Roman"/>
                <w:sz w:val="22"/>
                <w:szCs w:val="22"/>
              </w:rPr>
              <w:t>“Friend-shoring”</w:t>
            </w:r>
          </w:p>
          <w:p>
            <w:pPr>
              <w:pStyle w:val="style0"/>
              <w:spacing w:after="160"/>
              <w:rPr>
                <w:rFonts w:cs="Times New Roman"/>
                <w:sz w:val="22"/>
                <w:szCs w:val="22"/>
              </w:rPr>
            </w:pPr>
            <w:r>
              <w:rPr>
                <w:rFonts w:cs="Times New Roman"/>
                <w:sz w:val="22"/>
                <w:szCs w:val="22"/>
              </w:rPr>
              <w:t>“Dual sourcing”</w:t>
            </w:r>
          </w:p>
          <w:p>
            <w:pPr>
              <w:pStyle w:val="style0"/>
              <w:spacing w:after="160"/>
              <w:rPr>
                <w:rFonts w:cs="Times New Roman"/>
                <w:sz w:val="22"/>
                <w:szCs w:val="22"/>
              </w:rPr>
            </w:pPr>
            <w:r>
              <w:rPr>
                <w:rFonts w:cs="Times New Roman"/>
                <w:sz w:val="22"/>
                <w:szCs w:val="22"/>
              </w:rPr>
              <w:t>“Compliance vs. efficiency trade-offs”</w:t>
            </w:r>
          </w:p>
        </w:tc>
        <w:tc>
          <w:tcPr>
            <w:tcW w:w="1672" w:type="dxa"/>
            <w:tcBorders/>
            <w:hideMark/>
          </w:tcPr>
          <w:p>
            <w:pPr>
              <w:pStyle w:val="style0"/>
              <w:spacing w:after="160"/>
              <w:rPr>
                <w:rFonts w:cs="Times New Roman"/>
                <w:sz w:val="22"/>
                <w:szCs w:val="22"/>
              </w:rPr>
            </w:pPr>
            <w:r>
              <w:rPr>
                <w:rFonts w:cs="Times New Roman"/>
                <w:sz w:val="22"/>
                <w:szCs w:val="22"/>
              </w:rPr>
              <w:t>11</w:t>
            </w:r>
          </w:p>
        </w:tc>
        <w:tc>
          <w:tcPr>
            <w:tcW w:w="2340" w:type="dxa"/>
            <w:tcBorders/>
            <w:hideMark/>
          </w:tcPr>
          <w:p>
            <w:pPr>
              <w:pStyle w:val="style0"/>
              <w:spacing w:after="160"/>
              <w:rPr>
                <w:rFonts w:cs="Times New Roman"/>
                <w:sz w:val="22"/>
                <w:szCs w:val="22"/>
                <w:lang w:val="sv-SE"/>
              </w:rPr>
            </w:pPr>
            <w:r>
              <w:rPr>
                <w:rFonts w:cs="Times New Roman"/>
                <w:sz w:val="22"/>
                <w:szCs w:val="22"/>
                <w:lang w:val="sv-SE"/>
              </w:rPr>
              <w:t>Hassan (2025); Metallinou (2025); Anagnostakos (2024); Oteri et al., (2023)</w:t>
            </w:r>
          </w:p>
        </w:tc>
      </w:tr>
      <w:tr>
        <w:tblPrEx/>
        <w:trPr/>
        <w:tc>
          <w:tcPr>
            <w:tcW w:w="2352" w:type="dxa"/>
            <w:tcBorders/>
            <w:hideMark/>
          </w:tcPr>
          <w:p>
            <w:pPr>
              <w:pStyle w:val="style0"/>
              <w:spacing w:after="160"/>
              <w:rPr>
                <w:rFonts w:cs="Times New Roman"/>
                <w:sz w:val="22"/>
                <w:szCs w:val="22"/>
              </w:rPr>
            </w:pPr>
            <w:r>
              <w:rPr>
                <w:rFonts w:cs="Times New Roman"/>
                <w:sz w:val="22"/>
                <w:szCs w:val="22"/>
              </w:rPr>
              <w:t xml:space="preserve">Theme 3: Digitalization </w:t>
            </w:r>
          </w:p>
        </w:tc>
        <w:tc>
          <w:tcPr>
            <w:tcW w:w="2996" w:type="dxa"/>
            <w:tcBorders/>
            <w:hideMark/>
          </w:tcPr>
          <w:p>
            <w:pPr>
              <w:pStyle w:val="style0"/>
              <w:spacing w:after="160"/>
              <w:rPr>
                <w:rFonts w:cs="Times New Roman"/>
                <w:sz w:val="22"/>
                <w:szCs w:val="22"/>
              </w:rPr>
            </w:pPr>
            <w:r>
              <w:rPr>
                <w:rFonts w:cs="Times New Roman"/>
                <w:sz w:val="22"/>
                <w:szCs w:val="22"/>
              </w:rPr>
              <w:t>“Digital twins”</w:t>
            </w:r>
          </w:p>
          <w:p>
            <w:pPr>
              <w:pStyle w:val="style0"/>
              <w:spacing w:after="160"/>
              <w:rPr>
                <w:rFonts w:cs="Times New Roman"/>
                <w:sz w:val="22"/>
                <w:szCs w:val="22"/>
              </w:rPr>
            </w:pPr>
            <w:r>
              <w:rPr>
                <w:rFonts w:cs="Times New Roman"/>
                <w:sz w:val="22"/>
                <w:szCs w:val="22"/>
              </w:rPr>
              <w:t>“Predictive analytics” “Blockchain traceability” “Organisational capability” “Geopolitical awareness”</w:t>
            </w:r>
          </w:p>
        </w:tc>
        <w:tc>
          <w:tcPr>
            <w:tcW w:w="1672" w:type="dxa"/>
            <w:tcBorders/>
            <w:hideMark/>
          </w:tcPr>
          <w:p>
            <w:pPr>
              <w:pStyle w:val="style0"/>
              <w:spacing w:after="160"/>
              <w:rPr>
                <w:rFonts w:cs="Times New Roman"/>
                <w:sz w:val="22"/>
                <w:szCs w:val="22"/>
              </w:rPr>
            </w:pPr>
            <w:r>
              <w:rPr>
                <w:rFonts w:cs="Times New Roman"/>
                <w:sz w:val="22"/>
                <w:szCs w:val="22"/>
              </w:rPr>
              <w:t xml:space="preserve">9 </w:t>
            </w:r>
          </w:p>
        </w:tc>
        <w:tc>
          <w:tcPr>
            <w:tcW w:w="2340" w:type="dxa"/>
            <w:tcBorders/>
            <w:hideMark/>
          </w:tcPr>
          <w:p>
            <w:pPr>
              <w:pStyle w:val="style0"/>
              <w:spacing w:after="160"/>
              <w:rPr>
                <w:rFonts w:cs="Times New Roman"/>
                <w:sz w:val="22"/>
                <w:szCs w:val="22"/>
              </w:rPr>
            </w:pPr>
            <w:r>
              <w:rPr>
                <w:rFonts w:cs="Times New Roman"/>
                <w:sz w:val="22"/>
                <w:szCs w:val="22"/>
                <w:lang w:val="sv-SE"/>
              </w:rPr>
              <w:t xml:space="preserve">Ivanov &amp; Dolgui (2021); Rehman (2025); Zheng et al. </w:t>
            </w:r>
            <w:r>
              <w:rPr>
                <w:rFonts w:cs="Times New Roman"/>
                <w:sz w:val="22"/>
                <w:szCs w:val="22"/>
              </w:rPr>
              <w:t>(2025)</w:t>
            </w:r>
          </w:p>
        </w:tc>
      </w:tr>
      <w:tr>
        <w:tblPrEx/>
        <w:trPr/>
        <w:tc>
          <w:tcPr>
            <w:tcW w:w="2352" w:type="dxa"/>
            <w:tcBorders/>
            <w:hideMark/>
          </w:tcPr>
          <w:p>
            <w:pPr>
              <w:pStyle w:val="style0"/>
              <w:spacing w:after="160"/>
              <w:rPr>
                <w:rFonts w:cs="Times New Roman"/>
                <w:sz w:val="22"/>
                <w:szCs w:val="22"/>
              </w:rPr>
            </w:pPr>
            <w:r>
              <w:rPr>
                <w:rFonts w:cs="Times New Roman"/>
                <w:sz w:val="22"/>
                <w:szCs w:val="22"/>
              </w:rPr>
              <w:t>Theme 4: Modular and Flexible Supply Chain Architecture</w:t>
            </w:r>
          </w:p>
        </w:tc>
        <w:tc>
          <w:tcPr>
            <w:tcW w:w="2996" w:type="dxa"/>
            <w:tcBorders/>
            <w:hideMark/>
          </w:tcPr>
          <w:p>
            <w:pPr>
              <w:pStyle w:val="style0"/>
              <w:spacing w:after="160"/>
              <w:rPr>
                <w:rFonts w:cs="Times New Roman"/>
                <w:sz w:val="22"/>
                <w:szCs w:val="22"/>
              </w:rPr>
            </w:pPr>
            <w:r>
              <w:rPr>
                <w:rFonts w:cs="Times New Roman"/>
                <w:sz w:val="22"/>
                <w:szCs w:val="22"/>
              </w:rPr>
              <w:t>“Modular architecture”</w:t>
            </w:r>
          </w:p>
          <w:p>
            <w:pPr>
              <w:pStyle w:val="style0"/>
              <w:spacing w:after="160"/>
              <w:rPr>
                <w:rFonts w:cs="Times New Roman"/>
                <w:sz w:val="22"/>
                <w:szCs w:val="22"/>
              </w:rPr>
            </w:pPr>
            <w:r>
              <w:rPr>
                <w:rFonts w:cs="Times New Roman"/>
                <w:sz w:val="22"/>
                <w:szCs w:val="22"/>
              </w:rPr>
              <w:t>“Supplier Substitutability”</w:t>
            </w:r>
          </w:p>
          <w:p>
            <w:pPr>
              <w:pStyle w:val="style0"/>
              <w:spacing w:after="160"/>
              <w:rPr>
                <w:rFonts w:cs="Times New Roman"/>
                <w:sz w:val="22"/>
                <w:szCs w:val="22"/>
              </w:rPr>
            </w:pPr>
            <w:r>
              <w:rPr>
                <w:rFonts w:cs="Times New Roman"/>
                <w:sz w:val="22"/>
                <w:szCs w:val="22"/>
              </w:rPr>
              <w:t>“Rapid response to disruption”</w:t>
            </w:r>
          </w:p>
          <w:p>
            <w:pPr>
              <w:pStyle w:val="style0"/>
              <w:spacing w:after="160"/>
              <w:rPr>
                <w:rFonts w:cs="Times New Roman"/>
                <w:sz w:val="22"/>
                <w:szCs w:val="22"/>
              </w:rPr>
            </w:pPr>
            <w:r>
              <w:rPr>
                <w:rFonts w:cs="Times New Roman"/>
                <w:sz w:val="22"/>
                <w:szCs w:val="22"/>
              </w:rPr>
              <w:t>“Resource-dependent adaptability”</w:t>
            </w:r>
          </w:p>
        </w:tc>
        <w:tc>
          <w:tcPr>
            <w:tcW w:w="1672" w:type="dxa"/>
            <w:tcBorders/>
            <w:hideMark/>
          </w:tcPr>
          <w:p>
            <w:pPr>
              <w:pStyle w:val="style0"/>
              <w:spacing w:after="160"/>
              <w:rPr>
                <w:rFonts w:cs="Times New Roman"/>
                <w:sz w:val="22"/>
                <w:szCs w:val="22"/>
              </w:rPr>
            </w:pPr>
            <w:r>
              <w:rPr>
                <w:rFonts w:cs="Times New Roman"/>
                <w:sz w:val="22"/>
                <w:szCs w:val="22"/>
              </w:rPr>
              <w:t xml:space="preserve">8 </w:t>
            </w:r>
          </w:p>
        </w:tc>
        <w:tc>
          <w:tcPr>
            <w:tcW w:w="2340" w:type="dxa"/>
            <w:tcBorders/>
            <w:hideMark/>
          </w:tcPr>
          <w:p>
            <w:pPr>
              <w:pStyle w:val="style0"/>
              <w:spacing w:after="160"/>
              <w:rPr>
                <w:rFonts w:cs="Times New Roman"/>
                <w:sz w:val="22"/>
                <w:szCs w:val="22"/>
                <w:lang w:val="sv-SE"/>
              </w:rPr>
            </w:pPr>
            <w:r>
              <w:rPr>
                <w:rFonts w:cs="Times New Roman"/>
                <w:sz w:val="22"/>
                <w:szCs w:val="22"/>
                <w:lang w:val="sv-SE"/>
              </w:rPr>
              <w:t>Chauhan, Perera &amp; Brintrup (2020); Schmidt &amp; Foss (2023)</w:t>
            </w:r>
          </w:p>
        </w:tc>
      </w:tr>
      <w:tr>
        <w:tblPrEx/>
        <w:trPr/>
        <w:tc>
          <w:tcPr>
            <w:tcW w:w="2352" w:type="dxa"/>
            <w:tcBorders/>
            <w:hideMark/>
          </w:tcPr>
          <w:p>
            <w:pPr>
              <w:pStyle w:val="style0"/>
              <w:spacing w:after="160"/>
              <w:rPr>
                <w:rFonts w:cs="Times New Roman"/>
                <w:sz w:val="22"/>
                <w:szCs w:val="22"/>
              </w:rPr>
            </w:pPr>
            <w:r>
              <w:rPr>
                <w:rFonts w:cs="Times New Roman"/>
                <w:sz w:val="22"/>
                <w:szCs w:val="22"/>
              </w:rPr>
              <w:t>Theme 5: Legitimacy-Seeking</w:t>
            </w:r>
          </w:p>
        </w:tc>
        <w:tc>
          <w:tcPr>
            <w:tcW w:w="2996" w:type="dxa"/>
            <w:tcBorders/>
            <w:hideMark/>
          </w:tcPr>
          <w:p>
            <w:pPr>
              <w:pStyle w:val="style0"/>
              <w:spacing w:after="160"/>
              <w:rPr>
                <w:rFonts w:cs="Times New Roman"/>
                <w:sz w:val="22"/>
                <w:szCs w:val="22"/>
              </w:rPr>
            </w:pPr>
            <w:r>
              <w:rPr>
                <w:rFonts w:cs="Times New Roman"/>
                <w:sz w:val="22"/>
                <w:szCs w:val="22"/>
              </w:rPr>
              <w:t>“Sensemaking narratives”</w:t>
            </w:r>
          </w:p>
          <w:p>
            <w:pPr>
              <w:pStyle w:val="style0"/>
              <w:spacing w:after="160"/>
              <w:rPr>
                <w:rFonts w:cs="Times New Roman"/>
                <w:sz w:val="22"/>
                <w:szCs w:val="22"/>
              </w:rPr>
            </w:pPr>
            <w:r>
              <w:rPr>
                <w:rFonts w:cs="Times New Roman"/>
                <w:sz w:val="22"/>
                <w:szCs w:val="22"/>
              </w:rPr>
              <w:t>“Legitimacy Maintenance” “Resilience Framing” discrepancy between discourse and reality</w:t>
            </w:r>
          </w:p>
        </w:tc>
        <w:tc>
          <w:tcPr>
            <w:tcW w:w="1672" w:type="dxa"/>
            <w:tcBorders/>
            <w:hideMark/>
          </w:tcPr>
          <w:p>
            <w:pPr>
              <w:pStyle w:val="style0"/>
              <w:spacing w:after="160"/>
              <w:rPr>
                <w:rFonts w:cs="Times New Roman"/>
                <w:sz w:val="22"/>
                <w:szCs w:val="22"/>
              </w:rPr>
            </w:pPr>
            <w:r>
              <w:rPr>
                <w:rFonts w:cs="Times New Roman"/>
                <w:sz w:val="22"/>
                <w:szCs w:val="22"/>
              </w:rPr>
              <w:t xml:space="preserve">10 </w:t>
            </w:r>
          </w:p>
        </w:tc>
        <w:tc>
          <w:tcPr>
            <w:tcW w:w="2340" w:type="dxa"/>
            <w:tcBorders/>
            <w:hideMark/>
          </w:tcPr>
          <w:p>
            <w:pPr>
              <w:pStyle w:val="style0"/>
              <w:spacing w:after="160"/>
              <w:rPr>
                <w:rFonts w:cs="Times New Roman"/>
                <w:sz w:val="22"/>
                <w:szCs w:val="22"/>
              </w:rPr>
            </w:pPr>
            <w:r>
              <w:rPr>
                <w:rFonts w:cs="Times New Roman"/>
                <w:sz w:val="22"/>
                <w:szCs w:val="22"/>
              </w:rPr>
              <w:t>Elgin (2025); Tumewang, Ntim &amp; Haque (2025); Meyer &amp; Li (2022)</w:t>
            </w:r>
          </w:p>
        </w:tc>
      </w:tr>
      <w:tr>
        <w:tblPrEx/>
        <w:trPr/>
        <w:tc>
          <w:tcPr>
            <w:tcW w:w="2352" w:type="dxa"/>
            <w:tcBorders/>
            <w:hideMark/>
          </w:tcPr>
          <w:p>
            <w:pPr>
              <w:pStyle w:val="style0"/>
              <w:spacing w:after="160"/>
              <w:rPr>
                <w:rFonts w:cs="Times New Roman"/>
                <w:sz w:val="22"/>
                <w:szCs w:val="22"/>
              </w:rPr>
            </w:pPr>
            <w:r>
              <w:rPr>
                <w:rFonts w:cs="Times New Roman"/>
                <w:sz w:val="22"/>
                <w:szCs w:val="22"/>
              </w:rPr>
              <w:t xml:space="preserve">Theme 6: Risk Mitigation </w:t>
            </w:r>
          </w:p>
        </w:tc>
        <w:tc>
          <w:tcPr>
            <w:tcW w:w="2996" w:type="dxa"/>
            <w:tcBorders/>
            <w:hideMark/>
          </w:tcPr>
          <w:p>
            <w:pPr>
              <w:pStyle w:val="style0"/>
              <w:spacing w:after="160"/>
              <w:rPr>
                <w:rFonts w:cs="Times New Roman"/>
                <w:sz w:val="22"/>
                <w:szCs w:val="22"/>
              </w:rPr>
            </w:pPr>
            <w:r>
              <w:rPr>
                <w:rFonts w:cs="Times New Roman"/>
                <w:sz w:val="22"/>
                <w:szCs w:val="22"/>
              </w:rPr>
              <w:t>“Risk-focused strategy”</w:t>
            </w:r>
          </w:p>
          <w:p>
            <w:pPr>
              <w:pStyle w:val="style0"/>
              <w:spacing w:after="160"/>
              <w:rPr>
                <w:rFonts w:cs="Times New Roman"/>
                <w:sz w:val="22"/>
                <w:szCs w:val="22"/>
              </w:rPr>
            </w:pPr>
            <w:r>
              <w:rPr>
                <w:rFonts w:cs="Times New Roman"/>
                <w:sz w:val="22"/>
                <w:szCs w:val="22"/>
              </w:rPr>
              <w:t xml:space="preserve">“Strategic autonomy” </w:t>
            </w:r>
          </w:p>
          <w:p>
            <w:pPr>
              <w:pStyle w:val="style0"/>
              <w:spacing w:after="160"/>
              <w:rPr>
                <w:rFonts w:cs="Times New Roman"/>
                <w:sz w:val="22"/>
                <w:szCs w:val="22"/>
              </w:rPr>
            </w:pPr>
            <w:r>
              <w:rPr>
                <w:rFonts w:cs="Times New Roman"/>
                <w:sz w:val="22"/>
                <w:szCs w:val="22"/>
              </w:rPr>
              <w:t>“Dynamic capabilities”</w:t>
            </w:r>
          </w:p>
          <w:p>
            <w:pPr>
              <w:pStyle w:val="style0"/>
              <w:spacing w:after="160"/>
              <w:rPr>
                <w:rFonts w:cs="Times New Roman"/>
                <w:sz w:val="22"/>
                <w:szCs w:val="22"/>
              </w:rPr>
            </w:pPr>
            <w:r>
              <w:rPr>
                <w:rFonts w:cs="Times New Roman"/>
                <w:sz w:val="22"/>
                <w:szCs w:val="22"/>
              </w:rPr>
              <w:t>“Capability vs. structural constraint tension”</w:t>
            </w:r>
          </w:p>
        </w:tc>
        <w:tc>
          <w:tcPr>
            <w:tcW w:w="1672" w:type="dxa"/>
            <w:tcBorders/>
            <w:hideMark/>
          </w:tcPr>
          <w:p>
            <w:pPr>
              <w:pStyle w:val="style0"/>
              <w:spacing w:after="160"/>
              <w:rPr>
                <w:rFonts w:cs="Times New Roman"/>
                <w:sz w:val="22"/>
                <w:szCs w:val="22"/>
              </w:rPr>
            </w:pPr>
            <w:r>
              <w:rPr>
                <w:rFonts w:cs="Times New Roman"/>
                <w:sz w:val="22"/>
                <w:szCs w:val="22"/>
              </w:rPr>
              <w:t xml:space="preserve">9 </w:t>
            </w:r>
          </w:p>
        </w:tc>
        <w:tc>
          <w:tcPr>
            <w:tcW w:w="2340" w:type="dxa"/>
            <w:tcBorders/>
            <w:hideMark/>
          </w:tcPr>
          <w:p>
            <w:pPr>
              <w:pStyle w:val="style0"/>
              <w:keepNext/>
              <w:spacing w:after="160"/>
              <w:rPr>
                <w:rFonts w:cs="Times New Roman"/>
                <w:sz w:val="22"/>
                <w:szCs w:val="22"/>
              </w:rPr>
            </w:pPr>
            <w:r>
              <w:rPr>
                <w:rFonts w:cs="Times New Roman"/>
              </w:rPr>
              <w:t>Agrawal</w:t>
            </w:r>
            <w:r>
              <w:rPr>
                <w:rFonts w:cs="Times New Roman"/>
                <w:sz w:val="22"/>
                <w:szCs w:val="22"/>
              </w:rPr>
              <w:t xml:space="preserve"> et al., (2019); </w:t>
            </w:r>
            <w:r>
              <w:rPr>
                <w:rFonts w:cs="Times New Roman"/>
                <w:sz w:val="22"/>
                <w:szCs w:val="22"/>
              </w:rPr>
              <w:t>Teece (2022); Meyer &amp; Li (2022)</w:t>
            </w:r>
          </w:p>
        </w:tc>
      </w:tr>
      <w:bookmarkStart w:id="38" w:name="_Toc220304789"/>
    </w:tbl>
    <w:p>
      <w:pPr>
        <w:pStyle w:val="style34"/>
        <w:rPr/>
      </w:pPr>
      <w:r>
        <w:t xml:space="preserve">Table </w:t>
      </w:r>
      <w:r>
        <w:rPr/>
        <w:fldChar w:fldCharType="begin"/>
      </w:r>
      <w:r>
        <w:instrText xml:space="preserve"> SEQ Table \* ARABIC </w:instrText>
      </w:r>
      <w:r>
        <w:rPr/>
        <w:fldChar w:fldCharType="separate"/>
      </w:r>
      <w:r>
        <w:rPr>
          <w:noProof/>
        </w:rPr>
        <w:t>3</w:t>
      </w:r>
      <w:r>
        <w:rPr/>
        <w:fldChar w:fldCharType="end"/>
      </w:r>
      <w:r>
        <w:t xml:space="preserve">: </w:t>
      </w:r>
      <w:r>
        <w:t>Thematic Analysis based on Objective 3</w:t>
      </w:r>
      <w:bookmarkEnd w:id="38"/>
    </w:p>
    <w:p>
      <w:pPr>
        <w:pStyle w:val="style0"/>
        <w:rPr>
          <w:rFonts w:cs="Times New Roman"/>
        </w:rPr>
      </w:pPr>
      <w:r>
        <w:rPr>
          <w:rFonts w:cs="Times New Roman"/>
        </w:rPr>
        <w:t>The interpretation reduced the MNE responses to a themed framework of adjustment. Among the important strategies are regionalization, dual sourcing, and digitalization, modular supply chain design, legitimacy-seeking discourses, and reduction of risks</w:t>
      </w:r>
      <w:r>
        <w:rPr>
          <w:rFonts w:cs="Times New Roman"/>
        </w:rPr>
        <w:t>. These strategies demonstrate the multidimensionality of strategies and situational specifics of the adaptation process, explaining that firms strike a balance between political conformism, flexibility of operations, and mobility in the deployment of capabilities in a complex trade environment that is highly dynamic.</w:t>
      </w:r>
    </w:p>
    <w:bookmarkStart w:id="39" w:name="_Toc220305390"/>
    <w:p>
      <w:pPr>
        <w:pStyle w:val="style2"/>
        <w:rPr>
          <w:rFonts w:cs="Times New Roman"/>
          <w:b w:val="false"/>
          <w:bCs/>
        </w:rPr>
      </w:pPr>
      <w:r>
        <w:rPr>
          <w:rFonts w:cs="Times New Roman"/>
          <w:bCs/>
        </w:rPr>
        <w:t>Summary of Chapter 4</w:t>
      </w:r>
      <w:bookmarkEnd w:id="39"/>
    </w:p>
    <w:p>
      <w:pPr>
        <w:pStyle w:val="style0"/>
        <w:rPr>
          <w:rFonts w:cs="Times New Roman"/>
        </w:rPr>
      </w:pPr>
      <w:r>
        <w:rPr>
          <w:rFonts w:cs="Times New Roman"/>
        </w:rPr>
        <w:t xml:space="preserve">Chapter 4 showed a thematic analysis of the gathered data to explore the question of multinational enterprises (MNEs) response to changing trade conditions, conflicts and disruptions in the system. Information was sampled based on corporate reporting, institutional reports, journal articles and business media between 2020 and 2025, with sample being limited to high-tech and semiconductor industries as they have highly challenging and multi-national integrated supply chains. The three </w:t>
      </w:r>
      <w:r>
        <w:rPr>
          <w:rFonts w:cs="Times New Roman"/>
        </w:rPr>
        <w:t xml:space="preserve">research objectives outlined the analysis that uncovered common trends in MNE strategic adaptation. Objective 1 demonstrated the communication and justification of change within firms, with a continued disruption to the supply chain, lines of resilience and strategies, digitalization, and legitimacy seeking narratives. In objective 2, the perceptions of opportunities and constraints were investigated, focusing on structural uncertainty, externally imposed constraints, strategic trade-offs and interpretive challenges. Objective 3 conceptualized these results into a thematic map which demonstrated operationalization of regionalization, dual sourcing, modular supply chains, digitalization, risk mitigation, and narrative legitimacy. In all the objectives, the results indicate that the interplay of managerial cognition, organisational capabilities, institutional pressures, and technological opportunities can affect the adaptation of MNEs. </w:t>
      </w:r>
      <w:r>
        <w:rPr>
          <w:rFonts w:cs="Times New Roman"/>
        </w:rPr>
        <w:t>Chapter 5 will involve a critical discussion, in which the findings will be related to the theoretical background presented in Chapter 2. It will examine the strategic reasons, evaluate the tension between efficiency and resiliency, and examine the study implications on managers and policymakers. Practice and theoretical knowledge on MNE adaptation will be provided by contextualizing adaptation to larger context of global value chain and the dynamic capabilities discourse</w:t>
      </w:r>
      <w:r>
        <w:rPr>
          <w:rFonts w:cs="Times New Roman"/>
        </w:rPr>
        <w:t>.</w:t>
      </w:r>
    </w:p>
    <w:p>
      <w:pPr>
        <w:pStyle w:val="style0"/>
        <w:rPr>
          <w:rFonts w:cs="Times New Roman"/>
        </w:rPr>
      </w:pPr>
    </w:p>
    <w:p>
      <w:pPr>
        <w:pStyle w:val="style0"/>
        <w:rPr>
          <w:rFonts w:cs="Times New Roman"/>
        </w:rPr>
      </w:pPr>
    </w:p>
    <w:p>
      <w:pPr>
        <w:pStyle w:val="style0"/>
        <w:rPr>
          <w:rFonts w:cs="Times New Roman"/>
        </w:rPr>
      </w:pPr>
    </w:p>
    <w:p>
      <w:pPr>
        <w:pStyle w:val="style0"/>
        <w:rPr>
          <w:rFonts w:cs="Times New Roman"/>
        </w:rPr>
      </w:pPr>
    </w:p>
    <w:p>
      <w:pPr>
        <w:pStyle w:val="style0"/>
        <w:rPr>
          <w:rFonts w:cs="Times New Roman"/>
        </w:rPr>
      </w:pPr>
    </w:p>
    <w:p>
      <w:pPr>
        <w:pStyle w:val="style0"/>
        <w:rPr>
          <w:rFonts w:cs="Times New Roman"/>
        </w:rPr>
      </w:pPr>
    </w:p>
    <w:p>
      <w:pPr>
        <w:pStyle w:val="style0"/>
        <w:rPr>
          <w:rFonts w:cs="Times New Roman"/>
        </w:rPr>
      </w:pPr>
    </w:p>
    <w:p>
      <w:pPr>
        <w:pStyle w:val="style0"/>
        <w:rPr>
          <w:rFonts w:cs="Times New Roman"/>
        </w:rPr>
      </w:pPr>
    </w:p>
    <w:p>
      <w:pPr>
        <w:pStyle w:val="style0"/>
        <w:rPr>
          <w:rFonts w:cs="Times New Roman"/>
        </w:rPr>
      </w:pPr>
    </w:p>
    <w:bookmarkStart w:id="40" w:name="_Toc220305391"/>
    <w:p>
      <w:pPr>
        <w:pStyle w:val="style1"/>
        <w:rPr/>
      </w:pPr>
      <w:r>
        <w:t>C</w:t>
      </w:r>
      <w:r>
        <w:t>hapter Five</w:t>
      </w:r>
      <w:r>
        <w:t>: D</w:t>
      </w:r>
      <w:r>
        <w:t>iscussion</w:t>
      </w:r>
      <w:bookmarkEnd w:id="40"/>
    </w:p>
    <w:bookmarkStart w:id="41" w:name="_Toc220305392"/>
    <w:p>
      <w:pPr>
        <w:pStyle w:val="style2"/>
        <w:rPr/>
      </w:pPr>
      <w:r>
        <w:t>Restatement of the Research Problem, Aim and Objectives</w:t>
      </w:r>
      <w:bookmarkEnd w:id="41"/>
    </w:p>
    <w:p>
      <w:pPr>
        <w:pStyle w:val="style0"/>
        <w:rPr/>
      </w:pPr>
      <w:r>
        <w:t>This research was inspired by the increasing uncertainty of international business and the consequent exposure of multinational enterprise (MNE) supply chains. In recent geopolitics hype, disruptions during the pandemic and protectionist measures have revealed the weaknesses of efficiency-based global value chains (WTO, 2023; OECD, 2025). Although existing studies have focused heavily on operational responses, including regionalisation, diversification and digitalisation (Negri et al., 2021; Maihold, 2022), little has been done to understand how companies rationalise, interpret and communicate these strategic changes. Systematic reviews point to the fact that resilience-oriented global value chain design is still conceptually underdeveloped and that the discursive aspect of adaptation is under-theorised (Şerbetçioğlu and Oflaç, 2024).</w:t>
      </w:r>
    </w:p>
    <w:p>
      <w:pPr>
        <w:pStyle w:val="style0"/>
        <w:rPr/>
      </w:pPr>
      <w:r>
        <w:t>To this end, this study set out to examine how MNEs create and articulate strategic response to changing global trade realities using organisational narratives and strategic discourse. The aims were: (1) to investigate the ways in which MNEs explain and rationalise modifications in their global supply chain strategies; (2) to investigate how organisations describe opportunities and constraints in a fragmented trade environment; and (3) to generalise common themes of adaptation into a conceptual explanation of strategic reframing.</w:t>
      </w:r>
    </w:p>
    <w:p>
      <w:pPr>
        <w:pStyle w:val="style0"/>
        <w:rPr/>
      </w:pPr>
      <w:r>
        <w:t>Returning to these objectives, the discussion frames the empirical results directly in the purpose of the research to contribute to the understanding of strategic sensemaking and narrative construction in supply chain adaptation</w:t>
      </w:r>
      <w:r>
        <w:t>.</w:t>
      </w:r>
    </w:p>
    <w:bookmarkStart w:id="42" w:name="_Toc220305393"/>
    <w:p>
      <w:pPr>
        <w:pStyle w:val="style2"/>
        <w:rPr/>
      </w:pPr>
      <w:r>
        <w:t>Summary of Key Findings</w:t>
      </w:r>
      <w:bookmarkEnd w:id="42"/>
    </w:p>
    <w:p>
      <w:pPr>
        <w:pStyle w:val="style0"/>
        <w:rPr/>
      </w:pPr>
      <w:r>
        <w:t>The results demonstrated a similar pattern of narratives portrayed by corporate and institutional sources. The first is that MNEs explained global trade disruption as a structural permanent condition, not a temporary shock. The terms systemic risk exposure and new normal of disruption were indicative of a belief in long-term volatility (WTO, 2023; Garcia Herrero, 2023; OECD, 2025).</w:t>
      </w:r>
    </w:p>
    <w:p>
      <w:pPr>
        <w:pStyle w:val="style0"/>
        <w:rPr/>
      </w:pPr>
      <w:r>
        <w:t>Second, companies defended strategic change mainly via discourses of resilience investment, redundancy, diversification and models of post-just-in-time (Alicke and Foster, 2024; Hosseini et al., 2025). These procedural changes were supported by strategic prudence storeys, with a focus on trusted partners, regional hubs and policy-compatible sourcing (Maihold, 2022; Vivoda and Matthews, 2023). Third, digitalisation was a key enabler, positioned through the prism of visibility, ability to control, and predict (Rehman, 2025; Ivanov and Dolgui, 2021). Nevertheless, it was always introduced in a supportive or supplementary mode and not as a replacement of structural redesign.</w:t>
      </w:r>
    </w:p>
    <w:p>
      <w:pPr>
        <w:pStyle w:val="style0"/>
        <w:rPr/>
      </w:pPr>
      <w:r>
        <w:t>Fourth, reassuring and legitimacy-seeking narratives, such as references to responsible sourcing, long-term stability and strategic foresight, were highly used (El-Haj et al., 2019; Meyer and Li, 2022). Lastly, the synthesis found six patterns of adaptation to prevail: regionalisation, dual sourcing, digitalisation, modular supply chain design, risk mitigation and legitimacy-seeking discourse. Collectively, they suggest that in MNEs, adaptation is both functional and symbolic, integrating reconfiguration of physical sites with re-telling of narratives.</w:t>
      </w:r>
    </w:p>
    <w:bookmarkStart w:id="43" w:name="_Toc220305394"/>
    <w:p>
      <w:pPr>
        <w:pStyle w:val="style2"/>
        <w:rPr/>
      </w:pPr>
      <w:r>
        <w:t>Interpretation of Findings in Relation to Objective 1</w:t>
      </w:r>
      <w:bookmarkEnd w:id="43"/>
    </w:p>
    <w:p>
      <w:pPr>
        <w:pStyle w:val="style0"/>
        <w:rPr/>
      </w:pPr>
      <w:r>
        <w:t>Objective 1 explored the role of MNEs in their explanation and justification of change in their supply chain strategies. The results indicate that organisations are presenting disruption as a structural condition instead of a crisis. This can be tied to the long-term fragility of global supply chains and the need to substitute optimisation with resilience as a strategic priority stated by Garcia Herrero (2023) and OECD (2025).</w:t>
      </w:r>
    </w:p>
    <w:p>
      <w:pPr>
        <w:pStyle w:val="style0"/>
        <w:rPr/>
      </w:pPr>
      <w:r>
        <w:t>The thrust on resilience investment and redundancy demonstrates the shift of efficiency-based just-in-time systems on just-in-case models (Dzreke and Dzreke, 2025). This corroborates the argument by Negri et al. (2021) that resilience and sustainability are emerging as part of strategic logics instead of operational accommodations. The prevalence of reassurance-based discourse, however, indicates that companies are not just redesigning supply chains, but are also undertaking the management of stakeholder perceptions. This validates the fact that corporate reports are narrative tools that help legitimise strategic decisions, as observed by El-Haj et al. (2019).</w:t>
      </w:r>
    </w:p>
    <w:p>
      <w:pPr>
        <w:pStyle w:val="style0"/>
        <w:rPr/>
      </w:pPr>
      <w:r>
        <w:t xml:space="preserve">Digitalisation was always presented as a regulatory tool that contributed to visibility and coordination. This assists the digital twin concept by Ivanov and Dolgui (2021) and the opinion of </w:t>
      </w:r>
      <w:r>
        <w:t>Rehman (2025) that advanced analytics enhance responsiveness. However, the findings also reflect Agrawal et al. (2019) warning that geopolitical risk cannot be removed by digital transformation, which implies that companies position technology as an enabler, not a dictator. In general, the findings confirm the literature claim that adaptation is strategic and communicative (Meyer and Li, 2022; Sandberg and Tsoukas, 2020). Companies legitimise change by telling storeys of vision and accountability, thus converting imposed change into a strategy that makes sense internally</w:t>
      </w:r>
      <w:r>
        <w:t>.</w:t>
      </w:r>
      <w:r>
        <w:t xml:space="preserve"> </w:t>
      </w:r>
      <w:r>
        <w:t>These results can be explained by using Dynamic Capabilities Theory since MNEs exhibit sensing of geopolitical risk, seizing based on resilience investments, and transforming supply chain structures. Simultaneously, the Organisational Sensemaking Theory describes how companies create narratives of instability and resilience to frame and legitimise strategic change cognitively.</w:t>
      </w:r>
    </w:p>
    <w:bookmarkStart w:id="44" w:name="_Toc220305395"/>
    <w:p>
      <w:pPr>
        <w:pStyle w:val="style2"/>
        <w:rPr/>
      </w:pPr>
      <w:r>
        <w:t>Interpretation of Findings in Relation to Objective 2</w:t>
      </w:r>
      <w:bookmarkEnd w:id="44"/>
    </w:p>
    <w:p>
      <w:pPr>
        <w:pStyle w:val="style0"/>
        <w:rPr/>
      </w:pPr>
      <w:r>
        <w:t>Objective 2 enquired how organisations perceive opportunities and constraints within a fragmented trade environment. The results indicate that companies view geopolitical fragmentation as an imposed limitation imposed by national security logic and regulatory pressure (Joshi and Brahmbhatt, 2025; Ernst, 2021; Wu and Park, 2017). This proves the argument of Feng et al. (2022) that trade policy is becoming a distortion of supply chain equilibrium.</w:t>
      </w:r>
    </w:p>
    <w:p>
      <w:pPr>
        <w:pStyle w:val="style0"/>
        <w:rPr/>
      </w:pPr>
      <w:r>
        <w:t>Simultaneously, organisations re-positioned these limitations as strategic opportunities by regionalisation and diversification. This twofold framing is indicative of the discussion between deglobalisation and recalibration (Luo, 2023; Gilson, 2020). The findings have greater consistency with the argument by Maihold (2022), who states that companies are not leaving globalisation, but redefining it based on friend-shoring and regional centres. Continued efficiency-resilience trade-offs are also noted in the findings. This helps justify the warning by Hosseini et al. (2025) that resilience efforts tend to make the strategies more costly and more complex, and the concern that too much attention on risk can reduce innovation (Teece 2022). Such tensions show that adaptation is not linear but negotiated.</w:t>
      </w:r>
    </w:p>
    <w:p>
      <w:pPr>
        <w:pStyle w:val="style0"/>
        <w:rPr/>
      </w:pPr>
      <w:r>
        <w:t xml:space="preserve">Interpretive difficulties also arose in the legitimacy maintenance and narrative justification. This proves the idea of Sandberg and Tsoukas (2020) that sensemaking comes to the centre in the face of ambiguity and the idea of Meyer and Li (2022) that narratives are structured under institutional pressures. The fact that reassurance-focused words can also be found also substantiates the De Villiers and Molinari (2021) worry that communication can be symbolic instead of fully capturing </w:t>
      </w:r>
      <w:r>
        <w:t>operational change. Therefore, the results reveal that MNEs are adapted and they are subjected to constrained agency: MNEs act strategically, yet they operate in politically and institutionally restricted environments</w:t>
      </w:r>
      <w:r>
        <w:t>.</w:t>
      </w:r>
      <w:r>
        <w:t xml:space="preserve"> </w:t>
      </w:r>
      <w:r>
        <w:t>In terms of the Institutional Theory, these interpretations can be viewed as the ways in which regulatory and geopolitical pressures restrict strategic choice and condition corporate responses. Sensemaking Theory further elaborates how firms restructure constraints that are forced upon them by external parties as strategic opportunities by using narrative justification.</w:t>
      </w:r>
    </w:p>
    <w:bookmarkStart w:id="45" w:name="_Toc220305396"/>
    <w:p>
      <w:pPr>
        <w:pStyle w:val="style2"/>
        <w:rPr/>
      </w:pPr>
      <w:r>
        <w:t>Interpretation of Findings in Relation to Objective 3</w:t>
      </w:r>
      <w:bookmarkEnd w:id="45"/>
    </w:p>
    <w:p>
      <w:pPr>
        <w:pStyle w:val="style0"/>
        <w:rPr/>
      </w:pPr>
      <w:r>
        <w:t>Objective 3 formulated the prevailing patterns of adaptation into a theoretical conception of strategic reframing. Regionalisation has become one of the key reactions and is in line with Basalat and Priyanka (2024) and Samara et al. (2024), who explain the formation of geographically concentrated centres of production. Nonetheless, the continuing interdependence on the global level justifies the argument by Lorenzen, Mudambi and Schotter (2020) that complete decoupling is unfeasible.</w:t>
      </w:r>
    </w:p>
    <w:p>
      <w:pPr>
        <w:pStyle w:val="style0"/>
        <w:rPr/>
      </w:pPr>
      <w:r>
        <w:t>Dual sourcing and sovereignty-based strategies manifest the conception of Hassan (2025) that companies desire freedom in the face of geopolitical risk. However, the results are also echoed by the critique given by Metallinou (2025) that sovereignty-directed restructuring can be politically driven, but not economically efficient. Digitalisation was manifested as an enabler and a narrative tool. Whereas Ivanov and Dolgui (2021) introduce digital twins as resilience tools, Zheng et al. (2025) warn of technological overconfidence. The results confirm this moderate perspective by revealing that companies position digital tools as complements and not as substitutes of structural change.</w:t>
      </w:r>
    </w:p>
    <w:p>
      <w:pPr>
        <w:pStyle w:val="style0"/>
        <w:rPr/>
      </w:pPr>
      <w:r>
        <w:t xml:space="preserve">The similarity of modular supply chain architecture to Chauhan et al. (2020) perspective that modularity restrains cascading failures is apparent. Nevertheless, the issue of resource restrictions that Schmidt and Foss (2023) raise can be tracked in the selective use of modular strategies. This was particularly evident in legitimacy-seeking discourse. This contributes to the assertion by Tumewang, Ntim and Haque (2025) that resilience narratives can provide a cloak to gaps in implementation and that adaptation can be motivated by institutional compliance more than an actual strategic intent by Meyer and Li (2022). Risk mitigation storeys are consistent with Teece (2022) dynamic capabilities model, yet they also support the Zheng et al. (2025) observation that </w:t>
      </w:r>
      <w:r>
        <w:t>structural forces limit managerial agency. Therefore, the concept of adaptation is a mixture of ability usage and external pressure</w:t>
      </w:r>
      <w:r>
        <w:t>.</w:t>
      </w:r>
    </w:p>
    <w:bookmarkStart w:id="46" w:name="_Toc220305397"/>
    <w:p>
      <w:pPr>
        <w:pStyle w:val="style2"/>
        <w:rPr/>
      </w:pPr>
      <w:r>
        <w:t>Alignment and Divergence with Existing Literature</w:t>
      </w:r>
      <w:bookmarkEnd w:id="46"/>
    </w:p>
    <w:p>
      <w:pPr>
        <w:pStyle w:val="style0"/>
        <w:rPr/>
      </w:pPr>
      <w:r>
        <w:t>The results are highly aligned with the studies that focus on resilience-oriented restructuring (Negri et al., 2021; Sacco, 2024; OECD, 2025). They, too, contribute to the thesis of regionalisation (Maihold, 2022; Basalat and Priyanka, 2024). Moreover, the significance of sensemaking and the process of narrative construction aligns with Sandberg and Tsoukas (2020) and Linde and Broman (2025). The study however takes a different turn out of optimism of managerial agency. Although Teece (2022) and Joussen et al. (2024) note the significance of proactive adaptation, the results substantiate the assumptions of Meyer and Li (2022) that companies tend to respond to institutional constraint. This implies that political realities influence dynamic capabilities, as opposed to exercising them in a free manner. Also, even though a significant body of literature portrays digitalisation as a remedy (Rehman, 2025), the results are in line with the scepticism expressed by Agrawal et al. (2019) as they demonstrate that technology is discussed in a cautious manner and is incapable of neutralising geopolitical risk</w:t>
      </w:r>
      <w:r>
        <w:t>.</w:t>
      </w:r>
    </w:p>
    <w:bookmarkStart w:id="47" w:name="_Toc220305398"/>
    <w:p>
      <w:pPr>
        <w:pStyle w:val="style2"/>
        <w:rPr/>
      </w:pPr>
      <w:r>
        <w:t>Addressing the Literature Gap and Contribution</w:t>
      </w:r>
      <w:bookmarkEnd w:id="47"/>
    </w:p>
    <w:p>
      <w:pPr>
        <w:pStyle w:val="style0"/>
        <w:rPr/>
      </w:pPr>
      <w:r>
        <w:t>The gap in the literature that the current research will directly address is the absence of studies on how MNEs narrate and legitimise the adaptation of supply chains (şerbetcioğlu and oflaac, 2024; WTO, 2023). Although previous studies concentrated on operational restructuring (Basalat and Priyanka, 2024; Hassan, 2025), this paper contributes, in that it shows adaptation to be equally discursive. The study offers a multidimensional interpretation of MNEs rationalisation of strategic change by incorporating dynamic capabilities (Teece, 2022), global value chain theory (Gereffi et al., 2005), organisational sensemaking (Sandberg and Tsoukas, 2020) and institutional theory (Wu and Park, 2017). It builds on existing theory by demonstrating how narratives are strategic means of legitimacy maintenance, not descriptive in nature. In this way, the study bridges the empirical and theoretical gap by connecting the supply chain transformation to meaning-making process within a fragmented trade environment</w:t>
      </w:r>
      <w:r>
        <w:t>.</w:t>
      </w:r>
    </w:p>
    <w:bookmarkStart w:id="48" w:name="_Toc220305399"/>
    <w:p>
      <w:pPr>
        <w:pStyle w:val="style2"/>
        <w:rPr/>
      </w:pPr>
      <w:r>
        <w:t>Chapter Conclusion</w:t>
      </w:r>
      <w:bookmarkEnd w:id="48"/>
    </w:p>
    <w:p>
      <w:pPr>
        <w:pStyle w:val="style0"/>
        <w:rPr/>
      </w:pPr>
      <w:r>
        <w:t>This chapter has explained the empirical results with respect to research aim, objectives, and theoretical framework. The discussion shows that MNE adjustment to new global trade realities is not merely functional but also narrative and legitimacy-based. Firms position disruption as a long-term reality, rationalise restructuring by resilience and digitalisation, and use strategic speech to reassuring stakeholders and hold institutional course. Placing these results into discussions about regionalisation, dynamic capabilities and sensemaking, the study contributes to the existing knowledge on strategic adaptation as a multidimensional process influenced by political, technological and interpretive forces. The following chapter will summarise these reflections by presenting the conclusions of the study, contributions and implications to future research and practise</w:t>
      </w:r>
      <w:r>
        <w:t>.</w:t>
      </w:r>
    </w:p>
    <w:p>
      <w:pPr>
        <w:pStyle w:val="style0"/>
        <w:rPr/>
      </w:pPr>
    </w:p>
    <w:p>
      <w:pPr>
        <w:pStyle w:val="style0"/>
        <w:rPr>
          <w:rFonts w:cs="Times New Roman"/>
        </w:rPr>
      </w:pPr>
    </w:p>
    <w:p>
      <w:pPr>
        <w:pStyle w:val="style0"/>
        <w:rPr>
          <w:rFonts w:cs="Times New Roman"/>
        </w:rPr>
      </w:pPr>
    </w:p>
    <w:p>
      <w:pPr>
        <w:pStyle w:val="style0"/>
        <w:rPr>
          <w:rFonts w:cs="Times New Roman"/>
        </w:rPr>
      </w:pPr>
    </w:p>
    <w:p>
      <w:pPr>
        <w:pStyle w:val="style0"/>
        <w:rPr>
          <w:rFonts w:cs="Times New Roman"/>
        </w:rPr>
      </w:pPr>
    </w:p>
    <w:p>
      <w:pPr>
        <w:pStyle w:val="style0"/>
        <w:rPr>
          <w:rFonts w:cs="Times New Roman"/>
        </w:rPr>
      </w:pPr>
    </w:p>
    <w:p>
      <w:pPr>
        <w:pStyle w:val="style0"/>
        <w:rPr>
          <w:rFonts w:cs="Times New Roman"/>
        </w:rPr>
      </w:pPr>
    </w:p>
    <w:p>
      <w:pPr>
        <w:pStyle w:val="style0"/>
        <w:rPr>
          <w:rFonts w:cs="Times New Roman"/>
        </w:rPr>
      </w:pPr>
    </w:p>
    <w:p>
      <w:pPr>
        <w:pStyle w:val="style0"/>
        <w:rPr>
          <w:rFonts w:cs="Times New Roman"/>
        </w:rPr>
      </w:pPr>
    </w:p>
    <w:p>
      <w:pPr>
        <w:pStyle w:val="style0"/>
        <w:rPr>
          <w:rFonts w:cs="Times New Roman"/>
        </w:rPr>
      </w:pPr>
    </w:p>
    <w:p>
      <w:pPr>
        <w:pStyle w:val="style0"/>
        <w:rPr>
          <w:rFonts w:cs="Times New Roman"/>
        </w:rPr>
      </w:pPr>
    </w:p>
    <w:p>
      <w:pPr>
        <w:pStyle w:val="style0"/>
        <w:rPr>
          <w:rFonts w:cs="Times New Roman"/>
        </w:rPr>
      </w:pPr>
    </w:p>
    <w:p>
      <w:pPr>
        <w:pStyle w:val="style0"/>
        <w:rPr>
          <w:rFonts w:cs="Times New Roman"/>
        </w:rPr>
      </w:pPr>
    </w:p>
    <w:p>
      <w:pPr>
        <w:pStyle w:val="style0"/>
        <w:rPr>
          <w:rFonts w:cs="Times New Roman"/>
        </w:rPr>
      </w:pPr>
    </w:p>
    <w:p>
      <w:pPr>
        <w:pStyle w:val="style0"/>
        <w:rPr>
          <w:rFonts w:cs="Times New Roman"/>
        </w:rPr>
      </w:pPr>
    </w:p>
    <w:p>
      <w:pPr>
        <w:pStyle w:val="style0"/>
        <w:rPr>
          <w:rFonts w:cs="Times New Roman"/>
        </w:rPr>
      </w:pPr>
    </w:p>
    <w:p>
      <w:pPr>
        <w:pStyle w:val="style0"/>
        <w:rPr>
          <w:rFonts w:cs="Times New Roman"/>
        </w:rPr>
      </w:pPr>
    </w:p>
    <w:p>
      <w:pPr>
        <w:pStyle w:val="style0"/>
        <w:rPr>
          <w:rFonts w:cs="Times New Roman"/>
        </w:rPr>
      </w:pPr>
    </w:p>
    <w:p>
      <w:pPr>
        <w:pStyle w:val="style0"/>
        <w:rPr>
          <w:rFonts w:cs="Times New Roman"/>
        </w:rPr>
      </w:pPr>
    </w:p>
    <w:p>
      <w:pPr>
        <w:pStyle w:val="style0"/>
        <w:rPr>
          <w:rFonts w:cs="Times New Roman"/>
        </w:rPr>
      </w:pPr>
    </w:p>
    <w:p>
      <w:pPr>
        <w:pStyle w:val="style0"/>
        <w:rPr>
          <w:rFonts w:cs="Times New Roman"/>
        </w:rPr>
      </w:pPr>
    </w:p>
    <w:bookmarkStart w:id="49" w:name="_Toc220305400"/>
    <w:p>
      <w:pPr>
        <w:pStyle w:val="style1"/>
        <w:rPr/>
      </w:pPr>
      <w:r>
        <w:t>Chapter Six: Conclusion</w:t>
      </w:r>
      <w:bookmarkEnd w:id="49"/>
    </w:p>
    <w:bookmarkStart w:id="50" w:name="_Toc220305401"/>
    <w:p>
      <w:pPr>
        <w:pStyle w:val="style2"/>
        <w:rPr/>
      </w:pPr>
      <w:r>
        <w:t>Restatement of the Research Aim and Purpose</w:t>
      </w:r>
      <w:bookmarkEnd w:id="50"/>
    </w:p>
    <w:p>
      <w:pPr>
        <w:pStyle w:val="style0"/>
        <w:rPr>
          <w:rFonts w:cs="Times New Roman"/>
        </w:rPr>
      </w:pPr>
      <w:r>
        <w:rPr>
          <w:rFonts w:cs="Times New Roman"/>
        </w:rPr>
        <w:t>This dissertation aimed to investigate how multinational businesses (MNEs) build, defend, and communicate strategic adjustment to adapt to changing global trade realities. The work was inspired by the increasing geopolitical unrest, fragmentation of trade, and recurrent disruption of supply chains, which have undermined the long-held efficiency-based logic of global value chains. Although the literature has been abundant on the topic of operational responses including regionalisation, diversification, and digitalisation, there has been a gap in knowledge regarding the understanding of how organisations make sense of these disruptions and how they respond strategically through discourse (Şerbetçioğlu and Oflaç, 2024).</w:t>
      </w:r>
    </w:p>
    <w:p>
      <w:pPr>
        <w:pStyle w:val="style0"/>
        <w:rPr>
          <w:rFonts w:cs="Times New Roman"/>
        </w:rPr>
      </w:pPr>
      <w:r>
        <w:rPr>
          <w:rFonts w:cs="Times New Roman"/>
        </w:rPr>
        <w:t xml:space="preserve">The research </w:t>
      </w:r>
      <w:r>
        <w:rPr>
          <w:rFonts w:cs="Times New Roman"/>
        </w:rPr>
        <w:t>aim</w:t>
      </w:r>
      <w:r>
        <w:rPr>
          <w:rFonts w:cs="Times New Roman"/>
        </w:rPr>
        <w:t>, therefore, was to study organisational narratives and strategic sensemaking processes in which MNEs justify and describe alterations in supply chain strategy. The research had three objectives:</w:t>
      </w:r>
    </w:p>
    <w:p>
      <w:pPr>
        <w:pStyle w:val="style179"/>
        <w:numPr>
          <w:ilvl w:val="0"/>
          <w:numId w:val="15"/>
        </w:numPr>
        <w:rPr>
          <w:rFonts w:cs="Times New Roman"/>
        </w:rPr>
      </w:pPr>
      <w:r>
        <w:rPr>
          <w:rFonts w:cs="Times New Roman"/>
        </w:rPr>
        <w:t>to explore how MNEs describe and justify changes in their global supply chain and trade strategies.</w:t>
      </w:r>
    </w:p>
    <w:p>
      <w:pPr>
        <w:pStyle w:val="style179"/>
        <w:numPr>
          <w:ilvl w:val="0"/>
          <w:numId w:val="15"/>
        </w:numPr>
        <w:rPr>
          <w:rFonts w:cs="Times New Roman"/>
        </w:rPr>
      </w:pPr>
      <w:r>
        <w:rPr>
          <w:rFonts w:cs="Times New Roman"/>
        </w:rPr>
        <w:t>to analyse how organisations frame opportunities and constraints in a fragmented trade environment; and</w:t>
      </w:r>
    </w:p>
    <w:p>
      <w:pPr>
        <w:pStyle w:val="style179"/>
        <w:numPr>
          <w:ilvl w:val="0"/>
          <w:numId w:val="15"/>
        </w:numPr>
        <w:rPr>
          <w:rFonts w:cs="Times New Roman"/>
        </w:rPr>
      </w:pPr>
      <w:r>
        <w:rPr>
          <w:rFonts w:cs="Times New Roman"/>
        </w:rPr>
        <w:t>to synthesise these insights into a thematic framework illustrating strategic reframing under evolving trade conditions.</w:t>
      </w:r>
    </w:p>
    <w:p>
      <w:pPr>
        <w:pStyle w:val="style0"/>
        <w:rPr>
          <w:rFonts w:cs="Times New Roman"/>
        </w:rPr>
      </w:pPr>
      <w:r>
        <w:rPr>
          <w:rFonts w:cs="Times New Roman"/>
        </w:rPr>
        <w:t>This final chapter again addresses these objectives, summarises the main findings, and describes how the research questions have been addressed, and the theoretical and practical contribution of the research. It also recognises important limitation and presents future research directions before drawing a final reflective conclusion on the importance of the work.</w:t>
      </w:r>
    </w:p>
    <w:bookmarkStart w:id="51" w:name="_Toc220305402"/>
    <w:p>
      <w:pPr>
        <w:pStyle w:val="style2"/>
        <w:rPr/>
      </w:pPr>
      <w:r>
        <w:t>Summary of Key Findings</w:t>
      </w:r>
      <w:bookmarkEnd w:id="51"/>
    </w:p>
    <w:p>
      <w:pPr>
        <w:pStyle w:val="style0"/>
        <w:rPr>
          <w:rFonts w:cs="Times New Roman"/>
        </w:rPr>
      </w:pPr>
      <w:r>
        <w:rPr>
          <w:rFonts w:cs="Times New Roman"/>
        </w:rPr>
        <w:t>The results showed that MNEs are gradually situating global trade disruption as a structural reality rather than a crisis. The terms included the exposure to systemic risk and the new normal of disruption, which revealed the willingness to accept persistent uncertainty (WTO, 2023; OECD, 2025). Narratives of resilience investment, such as redundancy, diversification, and post-just-in-time supply chain models, were mainly used to justify strategic adaptation (Alicke and Foster, 2024; Hosseini et al., 2025). These operational shifts were also accompanied by the discursive of strategic prudence, with the focus on reliable partnerships, regional centres, and policy-matched sourcing (Maihold, 2022; Vivoda and Matthews, 2023).</w:t>
      </w:r>
    </w:p>
    <w:p>
      <w:pPr>
        <w:pStyle w:val="style0"/>
        <w:rPr>
          <w:rFonts w:cs="Times New Roman"/>
        </w:rPr>
      </w:pPr>
      <w:r>
        <w:rPr>
          <w:rFonts w:cs="Times New Roman"/>
        </w:rPr>
        <w:t>One of the key enabling themes was digitalisation, which was conceptualised through the lens of visibility, predictive control, and coordination (Ivanov and Dolgui, 2021; Rehman, 2025). Nevertheless, technology was always introduced as complementary to structural change, as opposed to a substitute. Another notable result was the prevalence of legitimacy-seeking, reassuring narrative, such as references to responsible sourcing, long-term stability, and strategic foresight (El-Haj et al., 2019; Meyer and Li, 2022).</w:t>
      </w:r>
    </w:p>
    <w:p>
      <w:pPr>
        <w:pStyle w:val="style0"/>
        <w:rPr>
          <w:rFonts w:cs="Times New Roman"/>
        </w:rPr>
      </w:pPr>
      <w:r>
        <w:rPr>
          <w:rFonts w:cs="Times New Roman"/>
        </w:rPr>
        <w:t>A synthesis of the themes across objectives identified six prevailing patterns of adaptation: regionalisation, dual sourcing, digitalisation, modular supply chain design, risk mitigation, and legitimacy-oriented discourse. Together, these results imply that MNE adaptation is not only functional but also symbolic, linking physical reconfiguration to narrative reframing.</w:t>
      </w:r>
    </w:p>
    <w:bookmarkStart w:id="52" w:name="_Toc220305403"/>
    <w:p>
      <w:pPr>
        <w:pStyle w:val="style2"/>
        <w:rPr/>
      </w:pPr>
      <w:r>
        <w:t>Addressing the Research Objectives</w:t>
      </w:r>
      <w:bookmarkEnd w:id="52"/>
    </w:p>
    <w:p>
      <w:pPr>
        <w:pStyle w:val="style0"/>
        <w:rPr>
          <w:rFonts w:cs="Times New Roman"/>
        </w:rPr>
      </w:pPr>
      <w:r>
        <w:rPr>
          <w:rFonts w:cs="Times New Roman"/>
        </w:rPr>
        <w:t xml:space="preserve">The initial </w:t>
      </w:r>
      <w:r>
        <w:rPr>
          <w:rFonts w:cs="Times New Roman"/>
        </w:rPr>
        <w:t>objective</w:t>
      </w:r>
      <w:r>
        <w:rPr>
          <w:rFonts w:cs="Times New Roman"/>
        </w:rPr>
        <w:t xml:space="preserve"> capture how MNEs explain and rationalise a shift in their supply chain strategies. This aim was met by defining common narrative patterns that introduce disruption as structural, and strategic responses as rational investments in resilience. The results show that companies do not simply document operational adaptations but actually create sensemaking narratives that legitimate change to stakeholders. This reinforces the thesis that strategic </w:t>
      </w:r>
      <w:r>
        <w:rPr>
          <w:rFonts w:cs="Times New Roman"/>
        </w:rPr>
        <w:t>communication is a legitimising factor in organisational adaptation (El-Haj et al., 2019; Sandberg and Tsoukas, 2020).</w:t>
      </w:r>
    </w:p>
    <w:p>
      <w:pPr>
        <w:pStyle w:val="style0"/>
        <w:rPr>
          <w:rFonts w:cs="Times New Roman"/>
        </w:rPr>
      </w:pPr>
      <w:r>
        <w:rPr>
          <w:rFonts w:cs="Times New Roman"/>
        </w:rPr>
        <w:t xml:space="preserve">The second </w:t>
      </w:r>
      <w:r>
        <w:rPr>
          <w:rFonts w:cs="Times New Roman"/>
        </w:rPr>
        <w:t>objective</w:t>
      </w:r>
      <w:r>
        <w:rPr>
          <w:rFonts w:cs="Times New Roman"/>
        </w:rPr>
        <w:t xml:space="preserve"> investigated how organisations perceive opportunities and limitations in a disaggregated trade environment. These findings suggest that companies view the threat of geopolitical rivalry and regulatory intervention as external imposed limits (Joshi and Brahmbhatt, 2025; Wu and Park, 2017) but also reinterpret these threats as regional expansion and risk-adjusted growth (Maihold, 2022; Sacco, 2024). This dual framing shows that strategic adaptation is a negotiation between political compliance and competitive positioning.</w:t>
      </w:r>
    </w:p>
    <w:p>
      <w:pPr>
        <w:pStyle w:val="style0"/>
        <w:rPr>
          <w:rFonts w:cs="Times New Roman"/>
        </w:rPr>
      </w:pPr>
      <w:r>
        <w:rPr>
          <w:rFonts w:cs="Times New Roman"/>
        </w:rPr>
        <w:t xml:space="preserve">The third </w:t>
      </w:r>
      <w:r>
        <w:rPr>
          <w:rFonts w:cs="Times New Roman"/>
        </w:rPr>
        <w:t>objective</w:t>
      </w:r>
      <w:r>
        <w:rPr>
          <w:rFonts w:cs="Times New Roman"/>
        </w:rPr>
        <w:t xml:space="preserve"> generalise the prevailing patterns of adaptation into a conceptual framework. The analysis found a multidimensional model of strategic reframing where regionalisation, dual sourcing, digitalisation, modularity, and risk mitigation are combined with discursive legitimacy-building. This framework shows that adaptation is neither linear nor homogeneous but determined by the interplay between organisational capabilities, institutional pressures, and managerial sensemaking.</w:t>
      </w:r>
    </w:p>
    <w:p>
      <w:pPr>
        <w:pStyle w:val="style0"/>
        <w:rPr>
          <w:rFonts w:cs="Times New Roman"/>
        </w:rPr>
      </w:pPr>
      <w:r>
        <w:rPr>
          <w:rFonts w:cs="Times New Roman"/>
        </w:rPr>
        <w:t>Collectively, the results present direct and consistent responses to the research questions, demonstrating that MNEs adapt by material restructuring and narrative justification, as evidence of constrained yet intentional agency in politically fragmented systems of trade.</w:t>
      </w:r>
    </w:p>
    <w:bookmarkStart w:id="53" w:name="_Toc220305404"/>
    <w:p>
      <w:pPr>
        <w:pStyle w:val="style2"/>
        <w:rPr/>
      </w:pPr>
      <w:r>
        <w:t>Addressing the Literature Gap and Original Contribution</w:t>
      </w:r>
      <w:bookmarkEnd w:id="53"/>
    </w:p>
    <w:p>
      <w:pPr>
        <w:pStyle w:val="style0"/>
        <w:rPr>
          <w:rFonts w:cs="Times New Roman"/>
        </w:rPr>
      </w:pPr>
      <w:r>
        <w:rPr>
          <w:rFonts w:cs="Times New Roman"/>
        </w:rPr>
        <w:t>One of the key gaps in the literature was the absence of empirical studies on the narration and legitimisation of supply chain transformation by MNEs in response to global supply chain disruption (Şerbetçioğlu and Oflaç, 2024; WTO, 2023). Although earlier researchers tended to concentrate more on operational change (Basalat and Priyanka, 2024; Hassan, 2025), the present study is significant as it shows that the adaptation process also remains discursive.</w:t>
      </w:r>
    </w:p>
    <w:p>
      <w:pPr>
        <w:pStyle w:val="style0"/>
        <w:rPr>
          <w:rFonts w:cs="Times New Roman"/>
        </w:rPr>
      </w:pPr>
      <w:r>
        <w:rPr>
          <w:rFonts w:cs="Times New Roman"/>
        </w:rPr>
        <w:t xml:space="preserve">The research will further the knowledge of strategic change implementation and storytelling by merging Dynamic Capabilities Theory (Teece, 2022), Global Value Chain Theory (Gereffi et al., 2005), Organisational Sensemaking Theory (Sandberg and Tsoukas, 2020), and Institutional Theory (Wu and Park, 2017). It builds on current theory by demonstrating that narratives are strategic tools of legitimacy preservation, but not passive accounts of operational transformation. Thus, the study contributes to a significant theoretical and empirical gap by bridging the connexion </w:t>
      </w:r>
      <w:r>
        <w:rPr>
          <w:rFonts w:cs="Times New Roman"/>
        </w:rPr>
        <w:t>between supply chain restructuring and meaning-making processes in a globally fragmented trade environment.</w:t>
      </w:r>
    </w:p>
    <w:bookmarkStart w:id="54" w:name="_Toc220305405"/>
    <w:p>
      <w:pPr>
        <w:pStyle w:val="style2"/>
        <w:rPr/>
      </w:pPr>
      <w:r>
        <w:t>Theoretical Contributions</w:t>
      </w:r>
      <w:bookmarkEnd w:id="54"/>
    </w:p>
    <w:p>
      <w:pPr>
        <w:pStyle w:val="style0"/>
        <w:rPr>
          <w:rFonts w:cs="Times New Roman"/>
        </w:rPr>
      </w:pPr>
      <w:r>
        <w:rPr>
          <w:rFonts w:cs="Times New Roman"/>
        </w:rPr>
        <w:t xml:space="preserve">The research has several theoretical contributions. First, it builds upon the Dynamic Capabilities Theory by showing that sensing and seizing are not just operational processes, but also discursive. Strategic narratives enable companies to cast adaptation as intentional and ability-based, though change may be more of a response than a proactive move. Second, the study adds value to the Global Value Chain theory by demonstrating that the restructuring in the modern world is determined by not only cost and efficiency but also by geopolitical alignment and institutional legitimacy. This helps transform purely economic to politically entrenched conceptualizations of GVCs. </w:t>
      </w:r>
      <w:r>
        <w:rPr>
          <w:rFonts w:cs="Times New Roman"/>
        </w:rPr>
        <w:t xml:space="preserve">Third, the findings are in line with the Organisational Sensemaking Theory, through empirical information that MNEs construct coherence </w:t>
      </w:r>
      <w:r>
        <w:rPr>
          <w:rFonts w:cs="Times New Roman"/>
        </w:rPr>
        <w:t>using</w:t>
      </w:r>
      <w:r>
        <w:rPr>
          <w:rFonts w:cs="Times New Roman"/>
        </w:rPr>
        <w:t xml:space="preserve"> narratives when interpreting uncertainty during the context of ambiguity. It is disclosed that the interpretive framing is as significant as the strategic adaptation is to technical redesign. Finally, the study can be applied to the Institutional Theory as it shows the way in which organisational discourse is embodied in regulatory and geopolitical pressure, which is a characteristic of a limited agency in strategic decision-making. These contributions together bring out a multidimensional theoretical explanation of MNE adaptation to turbulent trade environments</w:t>
      </w:r>
      <w:r>
        <w:rPr>
          <w:rFonts w:cs="Times New Roman"/>
        </w:rPr>
        <w:t>.</w:t>
      </w:r>
    </w:p>
    <w:bookmarkStart w:id="55" w:name="_Toc220305406"/>
    <w:p>
      <w:pPr>
        <w:pStyle w:val="style2"/>
        <w:rPr/>
      </w:pPr>
      <w:r>
        <w:t>Practical Contributions and Implications</w:t>
      </w:r>
      <w:bookmarkEnd w:id="55"/>
    </w:p>
    <w:p>
      <w:pPr>
        <w:pStyle w:val="style0"/>
        <w:rPr>
          <w:rFonts w:cs="Times New Roman"/>
        </w:rPr>
      </w:pPr>
      <w:r>
        <w:rPr>
          <w:rFonts w:cs="Times New Roman"/>
        </w:rPr>
        <w:t xml:space="preserve">The findings of the management nature imply that there is a need to make operation restructuring consistent with strategic communication. Managers need to realise that adjustment is neither a technical redesign, but a narrative clarity to keep the stakeholders on board. The study involves the fact that companies should not make digitalisation a panacea and institute technology as part of the overall resilience strategy. The geopolitical exposure may be minimized by concentrating on regional partnership and diversified sourcing although it should be balanced with cost and innovation solutions. The study brings to the attention of those in policy making the consequences of regulatory fragmentation </w:t>
      </w:r>
      <w:r>
        <w:rPr>
          <w:rFonts w:cs="Times New Roman"/>
        </w:rPr>
        <w:t>regarding</w:t>
      </w:r>
      <w:r>
        <w:rPr>
          <w:rFonts w:cs="Times New Roman"/>
        </w:rPr>
        <w:t xml:space="preserve"> corporate strategy. Inefficiency, distortions of competition unintended by the policy, may be kept at a minimum by using policies that are focused on resilience, cooperation, rather than isolation. The findings give the investors and other stakeholders </w:t>
      </w:r>
      <w:r>
        <w:rPr>
          <w:rFonts w:cs="Times New Roman"/>
        </w:rPr>
        <w:t>a prism through which corporate claims of resilience could be assessed strategically, in between substantive restructuring and symbolic reassurance</w:t>
      </w:r>
      <w:r>
        <w:rPr>
          <w:rFonts w:cs="Times New Roman"/>
        </w:rPr>
        <w:t>.</w:t>
      </w:r>
    </w:p>
    <w:bookmarkStart w:id="56" w:name="_Toc220305407"/>
    <w:p>
      <w:pPr>
        <w:pStyle w:val="style2"/>
        <w:rPr/>
      </w:pPr>
      <w:r>
        <w:t>Limitations of the Study</w:t>
      </w:r>
      <w:bookmarkEnd w:id="56"/>
    </w:p>
    <w:p>
      <w:pPr>
        <w:pStyle w:val="style0"/>
        <w:rPr>
          <w:rFonts w:cs="Times New Roman"/>
        </w:rPr>
      </w:pPr>
      <w:r>
        <w:rPr>
          <w:rFonts w:cs="Times New Roman"/>
        </w:rPr>
        <w:t>This study contains various limitations that should be mentioned</w:t>
      </w:r>
      <w:r>
        <w:rPr>
          <w:rFonts w:cs="Times New Roman"/>
        </w:rPr>
        <w:t>. Firstly, it is founded on the secondary qualitative data obtained in terms of publicly available corporate and institutional documents. The inherent problem in these methods is that they are affected by reputational and legitimacy problems and may not necessarily reflect internal decision-making processes.</w:t>
      </w:r>
      <w:r>
        <w:rPr>
          <w:rFonts w:cs="Times New Roman"/>
        </w:rPr>
        <w:t xml:space="preserve"> Second, the emphasis on one industry (high-tech and semiconductors) makes it difficult to apply the findings to other industries with dissimilar supply chain structures. Third, thematic analysis has subjectivity due to its interpretive nature, despite systematic coding. Although it can be deep in understanding, it cannot be statistically generalised. Lastly, the work is cross-sectional and fails to reflect the development of narratives over time, especially as geopolitical trends change</w:t>
      </w:r>
      <w:r>
        <w:rPr>
          <w:rFonts w:cs="Times New Roman"/>
        </w:rPr>
        <w:t>.</w:t>
      </w:r>
    </w:p>
    <w:bookmarkStart w:id="57" w:name="_Toc220305408"/>
    <w:p>
      <w:pPr>
        <w:pStyle w:val="style2"/>
        <w:rPr/>
      </w:pPr>
      <w:r>
        <w:t>Recommendations for Future Research</w:t>
      </w:r>
      <w:bookmarkEnd w:id="57"/>
    </w:p>
    <w:p>
      <w:pPr>
        <w:pStyle w:val="style0"/>
        <w:rPr>
          <w:rFonts w:cs="Times New Roman"/>
        </w:rPr>
      </w:pPr>
      <w:r>
        <w:rPr>
          <w:rFonts w:cs="Times New Roman"/>
        </w:rPr>
        <w:t>This study can be expanded in various ways in future research. Longitudinal studies would be possible to investigate the development of strategic narratives over time as geopolitical circumstances shift. Comparative research between industries or regions would increase knowledge of industry-specific patterns of adaptation. Interviews with supply chain executives as primary data collection methodology may offer some insight into internal sensemaking strategies and decision rationale. The connexion between narrative framing and quantifiable performance outcomes might also be investigated in quantitative studies. The ethical aspects of resilience narratives might be examined further, especially in cases where the discourse no longer aligns with operational reality</w:t>
      </w:r>
      <w:r>
        <w:rPr>
          <w:rFonts w:cs="Times New Roman"/>
        </w:rPr>
        <w:t>.</w:t>
      </w:r>
    </w:p>
    <w:bookmarkStart w:id="58" w:name="_Toc220305409"/>
    <w:p>
      <w:pPr>
        <w:pStyle w:val="style2"/>
        <w:rPr/>
      </w:pPr>
      <w:r>
        <w:t>Final Reflection</w:t>
      </w:r>
      <w:bookmarkEnd w:id="58"/>
    </w:p>
    <w:p>
      <w:pPr>
        <w:pStyle w:val="style0"/>
        <w:rPr>
          <w:rFonts w:cs="Times New Roman"/>
        </w:rPr>
      </w:pPr>
      <w:r>
        <w:rPr>
          <w:rFonts w:cs="Times New Roman"/>
        </w:rPr>
        <w:t xml:space="preserve">This dissertation has demonstrated that multinational enterprise strategic adaptation in turbulent trade environments does not simply hinge on some structural redesign but also on narrative construction and legitimacy maintenance. Companies position disruption as long-lasting, rationalise restructuring based on resilience and digitalisation, and use language to assure stakeholders and comply with institutional norms. The study contributes to the current body of knowledge related to the process by which organisations make sense of uncertainty and convert </w:t>
      </w:r>
      <w:r>
        <w:rPr>
          <w:rFonts w:cs="Times New Roman"/>
        </w:rPr>
        <w:t xml:space="preserve">disruption into strategic purpose by synthesising several theoretical approaches and analysing corporate storeys. It does so, by adding to current discussions on global value chains, dynamic capabilities, and organisational sensemaking. </w:t>
      </w:r>
      <w:r>
        <w:rPr>
          <w:rFonts w:cs="Times New Roman"/>
        </w:rPr>
        <w:t>The ability of companies to reorganize activities and botanically construct meaningful strategic stories will be the essence of further competitiveness and legitimacy in a time when geopolitical fragmentation and systemic risk become the dominating factor. This study forms a foundation of subsequent study of discursive nature of strategic adaptation, as well as realisation that it is not what organisations do only, but how organisations explain and justify what they do</w:t>
      </w:r>
      <w:r>
        <w:rPr>
          <w:rFonts w:cs="Times New Roman"/>
        </w:rPr>
        <w:t>.</w:t>
      </w:r>
    </w:p>
    <w:p>
      <w:pPr>
        <w:pStyle w:val="style0"/>
        <w:rPr>
          <w:rFonts w:cs="Times New Roman"/>
        </w:rPr>
      </w:pPr>
    </w:p>
    <w:p>
      <w:pPr>
        <w:pStyle w:val="style0"/>
        <w:rPr>
          <w:rFonts w:cs="Times New Roman"/>
        </w:rPr>
      </w:pPr>
    </w:p>
    <w:bookmarkStart w:id="59" w:name="_Toc220305410"/>
    <w:p>
      <w:pPr>
        <w:pStyle w:val="style1"/>
        <w:rPr/>
      </w:pPr>
      <w:r>
        <w:t>References</w:t>
      </w:r>
      <w:bookmarkEnd w:id="59"/>
    </w:p>
    <w:p>
      <w:pPr>
        <w:pStyle w:val="style0"/>
        <w:rPr>
          <w:rFonts w:cs="Times New Roman"/>
        </w:rPr>
      </w:pPr>
      <w:r>
        <w:rPr>
          <w:rFonts w:cs="Times New Roman"/>
        </w:rPr>
        <w:t xml:space="preserve">Agrawal, P., Narain, R. and Ullah, I. (2019). Analysis of barriers in implementation of digital transformation of supply chain using interpretive structural modelling approach. </w:t>
      </w:r>
      <w:r>
        <w:rPr>
          <w:rFonts w:cs="Times New Roman"/>
          <w:i/>
          <w:iCs/>
        </w:rPr>
        <w:t>Journal of Modelling in Management</w:t>
      </w:r>
      <w:r>
        <w:rPr>
          <w:rFonts w:cs="Times New Roman"/>
        </w:rPr>
        <w:t xml:space="preserve">, 15(1), pp.297–317. </w:t>
      </w:r>
      <w:r>
        <w:rPr/>
        <w:fldChar w:fldCharType="begin"/>
      </w:r>
      <w:r>
        <w:instrText xml:space="preserve"> HYPERLINK "https://doi.org/10.1108/jm2-03-2019-0066" </w:instrText>
      </w:r>
      <w:r>
        <w:rPr/>
        <w:fldChar w:fldCharType="separate"/>
      </w:r>
      <w:r>
        <w:rPr>
          <w:rStyle w:val="style85"/>
          <w:rFonts w:cs="Times New Roman"/>
        </w:rPr>
        <w:t>https://doi.org/10.1108/jm2-03-2019-0066</w:t>
      </w:r>
      <w:r>
        <w:rPr/>
        <w:fldChar w:fldCharType="end"/>
      </w:r>
      <w:r>
        <w:rPr>
          <w:rFonts w:cs="Times New Roman"/>
        </w:rPr>
        <w:t>.</w:t>
      </w:r>
      <w:r>
        <w:rPr>
          <w:rFonts w:cs="Times New Roman"/>
        </w:rPr>
        <w:t xml:space="preserve"> </w:t>
      </w:r>
    </w:p>
    <w:p>
      <w:pPr>
        <w:pStyle w:val="style0"/>
        <w:rPr>
          <w:rFonts w:cs="Times New Roman"/>
        </w:rPr>
      </w:pPr>
      <w:r>
        <w:t xml:space="preserve">Agrawal, P., Narain, R. and Ullah, I. (2019). Analysis of barriers in implementation of digital transformation of supply chain using interpretive structural modelling approach. </w:t>
      </w:r>
      <w:r>
        <w:rPr>
          <w:i/>
          <w:iCs/>
        </w:rPr>
        <w:t>Journal of Modelling in Management</w:t>
      </w:r>
      <w:r>
        <w:t>, 15(1), pp.297–317. doi:https://doi.org/10.1108/jm2-03-2019-0066.</w:t>
      </w:r>
    </w:p>
    <w:p>
      <w:pPr>
        <w:pStyle w:val="style0"/>
        <w:rPr/>
      </w:pPr>
      <w:r>
        <w:t xml:space="preserve">Albers, S. and Jönköping, J. (2024). </w:t>
      </w:r>
      <w:r>
        <w:rPr>
          <w:i/>
          <w:iCs/>
        </w:rPr>
        <w:t>Navigating through Exogenous Shocks: Behavioral and Structural Adaption in MNCs’ Decision-Making for their International Sales Strategies PROGRAMME OF STUDY: Global Management A qualitative multiple case study on MNC strategic decision- making processes</w:t>
      </w:r>
      <w:r>
        <w:t>. [online] Available at: https://www.diva-portal.org/smash/get/diva2:1863098/FULLTEXT01.pdf.</w:t>
      </w:r>
    </w:p>
    <w:p>
      <w:pPr>
        <w:pStyle w:val="style0"/>
        <w:rPr>
          <w:rFonts w:cs="Times New Roman"/>
        </w:rPr>
      </w:pPr>
      <w:r>
        <w:rPr>
          <w:rFonts w:cs="Times New Roman"/>
        </w:rPr>
        <w:t xml:space="preserve">Alicke, K. and Foster, T. (2024). </w:t>
      </w:r>
      <w:r>
        <w:rPr>
          <w:rFonts w:cs="Times New Roman"/>
          <w:i/>
          <w:iCs/>
        </w:rPr>
        <w:t>Supply chains: Still vulnerable</w:t>
      </w:r>
      <w:r>
        <w:rPr>
          <w:rFonts w:cs="Times New Roman"/>
        </w:rPr>
        <w:t xml:space="preserve">. [online] McKinsey &amp; Company. Available at: </w:t>
      </w:r>
      <w:r>
        <w:rPr/>
        <w:fldChar w:fldCharType="begin"/>
      </w:r>
      <w:r>
        <w:instrText xml:space="preserve"> HYPERLINK "https://www.mckinsey.com/capabilities/operations/our-insights/supply-chain-risk-survey" </w:instrText>
      </w:r>
      <w:r>
        <w:rPr/>
        <w:fldChar w:fldCharType="separate"/>
      </w:r>
      <w:r>
        <w:rPr>
          <w:rStyle w:val="style85"/>
          <w:rFonts w:cs="Times New Roman"/>
        </w:rPr>
        <w:t>https://www.mckinsey.com/capabilities/operations/our-insights/supply-chain-risk-survey</w:t>
      </w:r>
      <w:r>
        <w:rPr/>
        <w:fldChar w:fldCharType="end"/>
      </w:r>
      <w:r>
        <w:rPr>
          <w:rFonts w:cs="Times New Roman"/>
        </w:rPr>
        <w:t xml:space="preserve"> </w:t>
      </w:r>
      <w:r>
        <w:rPr>
          <w:rFonts w:cs="Times New Roman"/>
        </w:rPr>
        <w:t xml:space="preserve"> [Accessed 20 Nov. 2025].</w:t>
      </w:r>
    </w:p>
    <w:p>
      <w:pPr>
        <w:pStyle w:val="style0"/>
        <w:rPr>
          <w:rFonts w:cs="Times New Roman"/>
        </w:rPr>
      </w:pPr>
      <w:r>
        <w:rPr>
          <w:rFonts w:cs="Times New Roman"/>
        </w:rPr>
        <w:t xml:space="preserve">Alicke, K. and Foster, T. (2024). </w:t>
      </w:r>
      <w:r>
        <w:rPr>
          <w:rFonts w:cs="Times New Roman"/>
          <w:i/>
          <w:iCs/>
        </w:rPr>
        <w:t>Supply chains: Still vulnerable</w:t>
      </w:r>
      <w:r>
        <w:rPr>
          <w:rFonts w:cs="Times New Roman"/>
        </w:rPr>
        <w:t>. [online] McKinsey &amp; Company. Available at: https://www.mckinsey.com/capabilities/operations/our-insights/supply-chain-risk-survey [Accessed 20 Nov. 2025].</w:t>
      </w:r>
    </w:p>
    <w:p>
      <w:pPr>
        <w:pStyle w:val="style0"/>
        <w:rPr>
          <w:rFonts w:cs="Times New Roman"/>
        </w:rPr>
      </w:pPr>
      <w:r>
        <w:rPr>
          <w:rFonts w:cs="Times New Roman"/>
        </w:rPr>
        <w:t xml:space="preserve">Alparslan, F.F. (2024). Adapting strategies and operations: How mnes navigate a volatile international business environment. </w:t>
      </w:r>
      <w:r>
        <w:rPr>
          <w:rFonts w:cs="Times New Roman"/>
          <w:i/>
          <w:iCs/>
        </w:rPr>
        <w:t>SSRN</w:t>
      </w:r>
      <w:r>
        <w:rPr>
          <w:rFonts w:cs="Times New Roman"/>
        </w:rPr>
        <w:t xml:space="preserve">. [online] </w:t>
      </w:r>
      <w:r>
        <w:rPr/>
        <w:fldChar w:fldCharType="begin"/>
      </w:r>
      <w:r>
        <w:instrText xml:space="preserve"> HYPERLINK "https://doi.org/10.2139/ssrn.4851180" </w:instrText>
      </w:r>
      <w:r>
        <w:rPr/>
        <w:fldChar w:fldCharType="separate"/>
      </w:r>
      <w:r>
        <w:rPr>
          <w:rStyle w:val="style85"/>
          <w:rFonts w:cs="Times New Roman"/>
        </w:rPr>
        <w:t>https://doi.org/10.2139/ssrn.4851180</w:t>
      </w:r>
      <w:r>
        <w:rPr/>
        <w:fldChar w:fldCharType="end"/>
      </w:r>
      <w:r>
        <w:rPr>
          <w:rFonts w:cs="Times New Roman"/>
        </w:rPr>
        <w:t>.</w:t>
      </w:r>
      <w:r>
        <w:rPr>
          <w:rFonts w:cs="Times New Roman"/>
        </w:rPr>
        <w:t xml:space="preserve"> </w:t>
      </w:r>
    </w:p>
    <w:p>
      <w:pPr>
        <w:pStyle w:val="style0"/>
        <w:rPr/>
      </w:pPr>
      <w:r>
        <w:t xml:space="preserve">Alparslan, F.F. (2024). Adapting strategies and operations: How mnes navigate a volatile international business environment. </w:t>
      </w:r>
      <w:r>
        <w:rPr>
          <w:i/>
          <w:iCs/>
        </w:rPr>
        <w:t>SSRN</w:t>
      </w:r>
      <w:r>
        <w:t>. [online] doi:https://doi.org/10.2139/ssrn.4851180.</w:t>
      </w:r>
    </w:p>
    <w:p>
      <w:pPr>
        <w:pStyle w:val="style0"/>
        <w:rPr>
          <w:rFonts w:cs="Times New Roman"/>
        </w:rPr>
      </w:pPr>
      <w:r>
        <w:rPr>
          <w:rFonts w:cs="Times New Roman"/>
        </w:rPr>
        <w:t xml:space="preserve">Anagnostakos, P. (2024). Balancing Resilience and Sustainability: Tensions, Trade-Offs, and Strategies for Multinational Enterprises in a Complex Global Landscape. [online] </w:t>
      </w:r>
      <w:r>
        <w:rPr/>
        <w:fldChar w:fldCharType="begin"/>
      </w:r>
      <w:r>
        <w:instrText xml:space="preserve"> HYPERLINK "https://doi.org/10.2139/ssrn.5074123" </w:instrText>
      </w:r>
      <w:r>
        <w:rPr/>
        <w:fldChar w:fldCharType="separate"/>
      </w:r>
      <w:r>
        <w:rPr>
          <w:rStyle w:val="style85"/>
          <w:rFonts w:cs="Times New Roman"/>
        </w:rPr>
        <w:t>https://doi.org/10.2139/ssrn.5074123</w:t>
      </w:r>
      <w:r>
        <w:rPr/>
        <w:fldChar w:fldCharType="end"/>
      </w:r>
      <w:r>
        <w:rPr>
          <w:rFonts w:cs="Times New Roman"/>
        </w:rPr>
        <w:t>.</w:t>
      </w:r>
      <w:r>
        <w:rPr>
          <w:rFonts w:cs="Times New Roman"/>
        </w:rPr>
        <w:t xml:space="preserve"> </w:t>
      </w:r>
    </w:p>
    <w:p>
      <w:pPr>
        <w:pStyle w:val="style0"/>
        <w:rPr/>
      </w:pPr>
      <w:r>
        <w:t>Anagnostakos, P. (2024). Balancing Resilience and Sustainability: Tensions, Trade-Offs, and Strategies for Multinational Enterprises in a Complex Global Landscape. [online] doi:https://doi.org/10.2139/ssrn.5074123.</w:t>
      </w:r>
    </w:p>
    <w:p>
      <w:pPr>
        <w:pStyle w:val="style0"/>
        <w:rPr/>
      </w:pPr>
      <w:r>
        <w:t xml:space="preserve">Aromaa, E., Eriksson, P., Helms Mills, J., Hiltunen, E., Lammassaari, M. and Mills, A.J. (2019). </w:t>
      </w:r>
      <w:r>
        <w:t xml:space="preserve">Critical sensemaking: challenges and promises. </w:t>
      </w:r>
      <w:r>
        <w:rPr>
          <w:i/>
          <w:iCs/>
        </w:rPr>
        <w:t>Qualitative Research in Organizations and Management: An International Journal</w:t>
      </w:r>
      <w:r>
        <w:t>, 14(3), pp.356–376. doi:https://doi.org/10.1108/qrom-05-2018-1645.</w:t>
      </w:r>
    </w:p>
    <w:p>
      <w:pPr>
        <w:pStyle w:val="style0"/>
        <w:rPr>
          <w:rFonts w:cs="Times New Roman"/>
        </w:rPr>
      </w:pPr>
      <w:r>
        <w:rPr>
          <w:rFonts w:cs="Times New Roman"/>
        </w:rPr>
        <w:t xml:space="preserve">Basalat, K. and Priyanka, P. (2024). ‘From Globalization to Regionalization: The Evolution of Business Location Decisions in Europe’. </w:t>
      </w:r>
      <w:r>
        <w:rPr>
          <w:rFonts w:cs="Times New Roman"/>
          <w:i/>
          <w:iCs/>
        </w:rPr>
        <w:t>Handle.net</w:t>
      </w:r>
      <w:r>
        <w:rPr>
          <w:rFonts w:cs="Times New Roman"/>
        </w:rPr>
        <w:t xml:space="preserve">. [online] </w:t>
      </w:r>
      <w:r>
        <w:rPr/>
        <w:fldChar w:fldCharType="begin"/>
      </w:r>
      <w:r>
        <w:instrText xml:space="preserve"> HYPERLINK "https://hdl.handle.net/2077/82136" </w:instrText>
      </w:r>
      <w:r>
        <w:rPr/>
        <w:fldChar w:fldCharType="separate"/>
      </w:r>
      <w:r>
        <w:rPr>
          <w:rStyle w:val="style85"/>
          <w:rFonts w:cs="Times New Roman"/>
        </w:rPr>
        <w:t>https://hdl.handle.net/2077/82136</w:t>
      </w:r>
      <w:r>
        <w:rPr/>
        <w:fldChar w:fldCharType="end"/>
      </w:r>
      <w:r>
        <w:rPr>
          <w:rFonts w:cs="Times New Roman"/>
        </w:rPr>
        <w:t>.</w:t>
      </w:r>
      <w:r>
        <w:rPr>
          <w:rFonts w:cs="Times New Roman"/>
        </w:rPr>
        <w:t xml:space="preserve"> </w:t>
      </w:r>
    </w:p>
    <w:p>
      <w:pPr>
        <w:pStyle w:val="style0"/>
        <w:rPr/>
      </w:pPr>
      <w:r>
        <w:t xml:space="preserve">Basalat, K. and Priyanka, P. (2024). ‘From Globalization to Regionalization: The Evolution of Business Location Decisions in Europe’. </w:t>
      </w:r>
      <w:r>
        <w:rPr>
          <w:i/>
          <w:iCs/>
        </w:rPr>
        <w:t>Handle.net</w:t>
      </w:r>
      <w:r>
        <w:t>. [online] doi:https://hdl.handle.net/2077/82136.</w:t>
      </w:r>
    </w:p>
    <w:p>
      <w:pPr>
        <w:pStyle w:val="style0"/>
        <w:rPr>
          <w:rFonts w:cs="Times New Roman"/>
        </w:rPr>
      </w:pPr>
      <w:r>
        <w:rPr>
          <w:rFonts w:cs="Times New Roman"/>
        </w:rPr>
        <w:t xml:space="preserve">Belhadi, A., Kamble, S., Subramanian, N., Singh, R.K. and Venkatesh, M. (2024). Digital capabilities to manage agri-food supply chain uncertainties and build supply chain resilience during compounding geopolitical disruptions. </w:t>
      </w:r>
      <w:r>
        <w:rPr>
          <w:rFonts w:cs="Times New Roman"/>
          <w:i/>
          <w:iCs/>
        </w:rPr>
        <w:t>International Journal of Operations &amp; Production Management</w:t>
      </w:r>
      <w:r>
        <w:rPr>
          <w:rFonts w:cs="Times New Roman"/>
        </w:rPr>
        <w:t xml:space="preserve">, 44(11). </w:t>
      </w:r>
      <w:r>
        <w:rPr/>
        <w:fldChar w:fldCharType="begin"/>
      </w:r>
      <w:r>
        <w:instrText xml:space="preserve"> HYPERLINK "https://doi.org/10.1108/ijopm-11-2022-0737" </w:instrText>
      </w:r>
      <w:r>
        <w:rPr/>
        <w:fldChar w:fldCharType="separate"/>
      </w:r>
      <w:r>
        <w:rPr>
          <w:rStyle w:val="style85"/>
          <w:rFonts w:cs="Times New Roman"/>
        </w:rPr>
        <w:t>https://doi.org/10.1108/ijopm-11-2022-0737</w:t>
      </w:r>
      <w:r>
        <w:rPr/>
        <w:fldChar w:fldCharType="end"/>
      </w:r>
      <w:r>
        <w:rPr>
          <w:rFonts w:cs="Times New Roman"/>
        </w:rPr>
        <w:t>.</w:t>
      </w:r>
      <w:r>
        <w:rPr>
          <w:rFonts w:cs="Times New Roman"/>
        </w:rPr>
        <w:t xml:space="preserve"> </w:t>
      </w:r>
    </w:p>
    <w:p>
      <w:pPr>
        <w:pStyle w:val="style0"/>
        <w:rPr/>
      </w:pPr>
      <w:r>
        <w:t xml:space="preserve">Belhadi, A., Kamble, S., Subramanian, N., Singh, R.K. and Venkatesh, M. (2024). Digital capabilities to manage agri-food supply chain uncertainties and build supply chain resilience </w:t>
      </w:r>
      <w:r>
        <w:t xml:space="preserve">during compounding geopolitical disruptions. </w:t>
      </w:r>
      <w:r>
        <w:rPr>
          <w:i/>
          <w:iCs/>
        </w:rPr>
        <w:t>International Journal of Operations &amp; Production Management</w:t>
      </w:r>
      <w:r>
        <w:t>, 44(11). doi:https://doi.org/10.1108/ijopm-11-2022-0737.</w:t>
      </w:r>
    </w:p>
    <w:p>
      <w:pPr>
        <w:pStyle w:val="style0"/>
        <w:rPr/>
      </w:pPr>
      <w:r>
        <w:t xml:space="preserve">Bogiqi, S. and Palmgren, E. (2024). </w:t>
      </w:r>
      <w:r>
        <w:rPr>
          <w:i/>
          <w:iCs/>
        </w:rPr>
        <w:t>Navigating Through Turbulent Waters : Examining the Long-Term Impact of COVID-19 on global Supply Chains: Insights into the Resilience and Adaptation Strategies of Multinational Enterprises</w:t>
      </w:r>
      <w:r>
        <w:t>. [online] DIVA. Available at: https://www.diva-portal.org/smash/record.jsf?pid=diva2:1883497.</w:t>
      </w:r>
    </w:p>
    <w:p>
      <w:pPr>
        <w:pStyle w:val="style0"/>
        <w:rPr/>
      </w:pPr>
      <w:r>
        <w:t xml:space="preserve">Boonlua, S., Supachaiwat, J., Kanitha Thongchua and Mohamad, B. (2023). Linking Supply Chain Resilience Strategies for Surviving Major Disruptions. </w:t>
      </w:r>
      <w:r>
        <w:rPr>
          <w:i/>
          <w:iCs/>
        </w:rPr>
        <w:t>INTERNATIONAL JOURNAL OF CONSTRUCTION SUPPLY CHAIN MANAGEMENT</w:t>
      </w:r>
      <w:r>
        <w:t>, [online] 13(1), pp.154–172. Available at: https://ijcscm.com/menu-script/index.php/ijcscm/article/view/205.</w:t>
      </w:r>
    </w:p>
    <w:p>
      <w:pPr>
        <w:pStyle w:val="style0"/>
        <w:rPr>
          <w:rFonts w:cs="Times New Roman"/>
        </w:rPr>
      </w:pPr>
      <w:r>
        <w:rPr>
          <w:rFonts w:cs="Times New Roman"/>
        </w:rPr>
        <w:t xml:space="preserve">Braun, V. and Clarke, V. (2019). Reflecting on Reflexive Thematic Analysis. </w:t>
      </w:r>
      <w:r>
        <w:rPr>
          <w:rFonts w:cs="Times New Roman"/>
          <w:i/>
          <w:iCs/>
        </w:rPr>
        <w:t>Qualitative Research in Sport, Exercise and Health</w:t>
      </w:r>
      <w:r>
        <w:rPr>
          <w:rFonts w:cs="Times New Roman"/>
        </w:rPr>
        <w:t xml:space="preserve">, 11(4), pp.589–597. </w:t>
      </w:r>
      <w:r>
        <w:rPr/>
        <w:fldChar w:fldCharType="begin"/>
      </w:r>
      <w:r>
        <w:instrText xml:space="preserve"> HYPERLINK "https://doi.org/10.1080/2159676X.2019.1628806" </w:instrText>
      </w:r>
      <w:r>
        <w:rPr/>
        <w:fldChar w:fldCharType="separate"/>
      </w:r>
      <w:r>
        <w:rPr>
          <w:rStyle w:val="style85"/>
          <w:rFonts w:cs="Times New Roman"/>
        </w:rPr>
        <w:t>https://doi.org/10.1080/2159676X.2019.1628806</w:t>
      </w:r>
      <w:r>
        <w:rPr/>
        <w:fldChar w:fldCharType="end"/>
      </w:r>
      <w:r>
        <w:rPr>
          <w:rFonts w:cs="Times New Roman"/>
        </w:rPr>
        <w:t>.</w:t>
      </w:r>
      <w:r>
        <w:rPr>
          <w:rFonts w:cs="Times New Roman"/>
        </w:rPr>
        <w:t xml:space="preserve"> </w:t>
      </w:r>
    </w:p>
    <w:p>
      <w:pPr>
        <w:pStyle w:val="style0"/>
        <w:rPr/>
      </w:pPr>
      <w:r>
        <w:t xml:space="preserve">Braun, V. and Clarke, V. (2019). Reflecting on Reflexive Thematic Analysis. </w:t>
      </w:r>
      <w:r>
        <w:rPr>
          <w:i/>
          <w:iCs/>
        </w:rPr>
        <w:t>Qualitative Research in Sport, Exercise and Health</w:t>
      </w:r>
      <w:r>
        <w:t>, 11(4), pp.589–597. doi:https://doi.org/10.1080/2159676X.2019.1628806.</w:t>
      </w:r>
    </w:p>
    <w:p>
      <w:pPr>
        <w:pStyle w:val="style0"/>
        <w:rPr/>
      </w:pPr>
      <w:r>
        <w:t xml:space="preserve">Burdon, W.M. and Sorour, M.K. (2020). Institutional Theory and Evolution of ‘A Legitimate’ Compliance Culture: The Case of the UK Financial Service Sector. </w:t>
      </w:r>
      <w:r>
        <w:rPr>
          <w:i/>
          <w:iCs/>
        </w:rPr>
        <w:t>Journal of Business Ethics</w:t>
      </w:r>
      <w:r>
        <w:t>, [online] 162(1). doi:https://doi.org/10.1007/s10551-018-3981-4.</w:t>
      </w:r>
    </w:p>
    <w:p>
      <w:pPr>
        <w:pStyle w:val="style0"/>
        <w:rPr>
          <w:rFonts w:cs="Times New Roman"/>
        </w:rPr>
      </w:pPr>
      <w:r>
        <w:rPr>
          <w:rFonts w:cs="Times New Roman"/>
        </w:rPr>
        <w:t xml:space="preserve">Bureth, L. (2025). Local-First, Global-Second: Implementing Glocal Dual Sourcing for Supply-Chain Resilience : An Exploratory Case of a Swiss Pump Manufacturer. </w:t>
      </w:r>
      <w:r>
        <w:rPr>
          <w:rFonts w:cs="Times New Roman"/>
          <w:i/>
          <w:iCs/>
        </w:rPr>
        <w:t>Uwasa.fi</w:t>
      </w:r>
      <w:r>
        <w:rPr>
          <w:rFonts w:cs="Times New Roman"/>
        </w:rPr>
        <w:t xml:space="preserve">. [online] </w:t>
      </w:r>
      <w:r>
        <w:rPr/>
        <w:fldChar w:fldCharType="begin"/>
      </w:r>
      <w:r>
        <w:instrText xml:space="preserve"> HYPERLINK "https://osuva.uwasa.fi/handle/10024/19788" </w:instrText>
      </w:r>
      <w:r>
        <w:rPr/>
        <w:fldChar w:fldCharType="separate"/>
      </w:r>
      <w:r>
        <w:rPr>
          <w:rStyle w:val="style85"/>
          <w:rFonts w:cs="Times New Roman"/>
        </w:rPr>
        <w:t>https://osuva.uwasa.fi/handle/10024/19788</w:t>
      </w:r>
      <w:r>
        <w:rPr/>
        <w:fldChar w:fldCharType="end"/>
      </w:r>
      <w:r>
        <w:rPr>
          <w:rFonts w:cs="Times New Roman"/>
        </w:rPr>
        <w:t>.</w:t>
      </w:r>
      <w:r>
        <w:rPr>
          <w:rFonts w:cs="Times New Roman"/>
        </w:rPr>
        <w:t xml:space="preserve"> </w:t>
      </w:r>
    </w:p>
    <w:p>
      <w:pPr>
        <w:pStyle w:val="style0"/>
        <w:rPr/>
      </w:pPr>
      <w:r>
        <w:t xml:space="preserve">Bureth, L. (2025). Local-First, Global-Second: Implementing Glocal Dual Sourcing for Supply-Chain Resilience : An Exploratory Case of a Swiss Pump Manufacturer. </w:t>
      </w:r>
      <w:r>
        <w:rPr>
          <w:i/>
          <w:iCs/>
        </w:rPr>
        <w:t>Uwasa.fi</w:t>
      </w:r>
      <w:r>
        <w:t>. [online] doi:https://osuva.uwasa.fi/handle/10024/19788.</w:t>
      </w:r>
    </w:p>
    <w:p>
      <w:pPr>
        <w:pStyle w:val="style0"/>
        <w:rPr/>
      </w:pPr>
      <w:r>
        <w:t xml:space="preserve">Butkeviciene, J. and Sekliuckiene, J. (2022). Exploring the institutional pressures that affect international new ventures. </w:t>
      </w:r>
      <w:r>
        <w:rPr>
          <w:i/>
          <w:iCs/>
        </w:rPr>
        <w:t>Entrepreneurial Business and Economics Review</w:t>
      </w:r>
      <w:r>
        <w:t>, 10(1), pp.97–112. doi:https://doi.org/10.15678/eber.2022.100107.</w:t>
      </w:r>
    </w:p>
    <w:p>
      <w:pPr>
        <w:pStyle w:val="style0"/>
        <w:rPr>
          <w:rFonts w:cs="Times New Roman"/>
        </w:rPr>
      </w:pPr>
      <w:r>
        <w:rPr>
          <w:rFonts w:cs="Times New Roman"/>
        </w:rPr>
        <w:t xml:space="preserve">Butollo, F., Staritz, C., Maile, F. and Wuttke, T. (2024). The End of Globalized Production? Supply-Chain Resilience, Technological Sovereignty, and Enduring Global Interdependencies in the Post-Pandemic Era. </w:t>
      </w:r>
      <w:r>
        <w:rPr>
          <w:rFonts w:cs="Times New Roman"/>
          <w:i/>
          <w:iCs/>
        </w:rPr>
        <w:t>Critical Sociology</w:t>
      </w:r>
      <w:r>
        <w:rPr>
          <w:rFonts w:cs="Times New Roman"/>
        </w:rPr>
        <w:t xml:space="preserve">. </w:t>
      </w:r>
      <w:r>
        <w:rPr/>
        <w:fldChar w:fldCharType="begin"/>
      </w:r>
      <w:r>
        <w:instrText xml:space="preserve"> HYPERLINK "https://doi.org/10.1177/08969205241239872" </w:instrText>
      </w:r>
      <w:r>
        <w:rPr/>
        <w:fldChar w:fldCharType="separate"/>
      </w:r>
      <w:r>
        <w:rPr>
          <w:rStyle w:val="style85"/>
          <w:rFonts w:cs="Times New Roman"/>
        </w:rPr>
        <w:t>https://doi.org/10.1177/08969205241239872</w:t>
      </w:r>
      <w:r>
        <w:rPr/>
        <w:fldChar w:fldCharType="end"/>
      </w:r>
      <w:r>
        <w:rPr>
          <w:rFonts w:cs="Times New Roman"/>
        </w:rPr>
        <w:t>.</w:t>
      </w:r>
      <w:r>
        <w:rPr>
          <w:rFonts w:cs="Times New Roman"/>
        </w:rPr>
        <w:t xml:space="preserve"> </w:t>
      </w:r>
    </w:p>
    <w:p>
      <w:pPr>
        <w:pStyle w:val="style0"/>
        <w:rPr/>
      </w:pPr>
      <w:r>
        <w:t xml:space="preserve">Butollo, F., Staritz, C., Maile, F. and Wuttke, T. (2024). The End of Globalized Production? Supply-Chain Resilience, Technological Sovereignty, and Enduring Global Interdependencies in the Post-Pandemic Era. </w:t>
      </w:r>
      <w:r>
        <w:rPr>
          <w:i/>
          <w:iCs/>
        </w:rPr>
        <w:t>Critical Sociology</w:t>
      </w:r>
      <w:r>
        <w:t>. doi:https://doi.org/10.1177/08969205241239872.</w:t>
      </w:r>
    </w:p>
    <w:p>
      <w:pPr>
        <w:pStyle w:val="style0"/>
        <w:rPr/>
      </w:pPr>
      <w:r>
        <w:t xml:space="preserve">Ceipek, R., Hautz, J., Mayer, M.C.J. and Matzler, K. (2019). Technological Diversification: A Systematic Review of Antecedents, Outcomes and Moderating Effects. </w:t>
      </w:r>
      <w:r>
        <w:rPr>
          <w:i/>
          <w:iCs/>
        </w:rPr>
        <w:t>International Journal of Management Reviews</w:t>
      </w:r>
      <w:r>
        <w:t>, 21(4). doi:https://doi.org/10.1111/ijmr.12205.</w:t>
      </w:r>
    </w:p>
    <w:p>
      <w:pPr>
        <w:pStyle w:val="style0"/>
        <w:rPr>
          <w:rFonts w:cs="Times New Roman"/>
        </w:rPr>
      </w:pPr>
      <w:r>
        <w:rPr>
          <w:rFonts w:cs="Times New Roman"/>
          <w:lang w:val="sv-SE"/>
        </w:rPr>
        <w:t xml:space="preserve">Chauhan, V.K., Perera, S. and Brintrup, A. (2020). </w:t>
      </w:r>
      <w:r>
        <w:rPr>
          <w:rFonts w:cs="Times New Roman"/>
        </w:rPr>
        <w:t xml:space="preserve">The relationship between nested patterns and the ripple effect in complex supply networks. </w:t>
      </w:r>
      <w:r>
        <w:rPr>
          <w:rFonts w:cs="Times New Roman"/>
          <w:i/>
          <w:iCs/>
        </w:rPr>
        <w:t>International Journal of Production Research</w:t>
      </w:r>
      <w:r>
        <w:rPr>
          <w:rFonts w:cs="Times New Roman"/>
        </w:rPr>
        <w:t xml:space="preserve">, 59(1), pp.325–341. </w:t>
      </w:r>
      <w:r>
        <w:rPr/>
        <w:fldChar w:fldCharType="begin"/>
      </w:r>
      <w:r>
        <w:instrText xml:space="preserve"> HYPERLINK "https://doi.org/10.1080/00207543.2020.1831096" </w:instrText>
      </w:r>
      <w:r>
        <w:rPr/>
        <w:fldChar w:fldCharType="separate"/>
      </w:r>
      <w:r>
        <w:rPr>
          <w:rStyle w:val="style85"/>
          <w:rFonts w:cs="Times New Roman"/>
        </w:rPr>
        <w:t>https://doi.org/10.1080/00207543.2020.1831096</w:t>
      </w:r>
      <w:r>
        <w:rPr/>
        <w:fldChar w:fldCharType="end"/>
      </w:r>
      <w:r>
        <w:rPr>
          <w:rFonts w:cs="Times New Roman"/>
        </w:rPr>
        <w:t>.</w:t>
      </w:r>
      <w:r>
        <w:rPr>
          <w:rFonts w:cs="Times New Roman"/>
        </w:rPr>
        <w:t xml:space="preserve"> </w:t>
      </w:r>
    </w:p>
    <w:p>
      <w:pPr>
        <w:pStyle w:val="style0"/>
        <w:rPr/>
      </w:pPr>
      <w:r>
        <w:t xml:space="preserve">Chauhan, V.K., Perera, S. and Brintrup, A. (2020). </w:t>
      </w:r>
      <w:r>
        <w:t xml:space="preserve">The relationship between nested patterns and the ripple effect in complex supply networks. </w:t>
      </w:r>
      <w:r>
        <w:rPr>
          <w:i/>
          <w:iCs/>
        </w:rPr>
        <w:t>International Journal of Production Research</w:t>
      </w:r>
      <w:r>
        <w:t>, 59(1), pp.325–341. doi:https://doi.org/10.1080/00207543.2020.1831096.</w:t>
      </w:r>
    </w:p>
    <w:p>
      <w:pPr>
        <w:pStyle w:val="style0"/>
        <w:rPr>
          <w:rFonts w:cs="Times New Roman"/>
        </w:rPr>
      </w:pPr>
      <w:r>
        <w:rPr>
          <w:rFonts w:cs="Times New Roman"/>
        </w:rPr>
        <w:t xml:space="preserve">Cheong, H., Lyons, A., Houghton, R. and Majumdar, A. (2023). Secondary Qualitative Research Methodology Using Online Data within the Context of Social Sciences. </w:t>
      </w:r>
      <w:r>
        <w:rPr>
          <w:rFonts w:cs="Times New Roman"/>
          <w:i/>
          <w:iCs/>
        </w:rPr>
        <w:t>International Journal of Qualitative Methods</w:t>
      </w:r>
      <w:r>
        <w:rPr>
          <w:rFonts w:cs="Times New Roman"/>
        </w:rPr>
        <w:t>, 22(1), pp.1–19.</w:t>
      </w:r>
    </w:p>
    <w:p>
      <w:pPr>
        <w:pStyle w:val="style0"/>
        <w:rPr/>
      </w:pPr>
      <w:r>
        <w:t xml:space="preserve">Cheong, H., Lyons, A., Houghton, R. and Majumdar, A. (2023). Secondary Qualitative Research Methodology Using Online Data within the Context of Social Sciences. </w:t>
      </w:r>
      <w:r>
        <w:rPr>
          <w:i/>
          <w:iCs/>
        </w:rPr>
        <w:t>International Journal of Qualitative Methods</w:t>
      </w:r>
      <w:r>
        <w:t>, 22(1), pp.1–19.</w:t>
      </w:r>
    </w:p>
    <w:p>
      <w:pPr>
        <w:pStyle w:val="style0"/>
        <w:rPr/>
      </w:pPr>
      <w:r>
        <w:t xml:space="preserve">Christofi, K., Chourides, P. and Papageorgiou, G. (2023). Cultivating strategic agility – An empirical investigation into best practice. </w:t>
      </w:r>
      <w:r>
        <w:rPr>
          <w:i/>
          <w:iCs/>
        </w:rPr>
        <w:t>Global Business and Organizational Excellence</w:t>
      </w:r>
      <w:r>
        <w:t>, 43(3). doi:https://doi.org/10.1002/joe.22241.</w:t>
      </w:r>
    </w:p>
    <w:p>
      <w:pPr>
        <w:pStyle w:val="style0"/>
        <w:rPr/>
      </w:pPr>
      <w:r>
        <w:t xml:space="preserve">Daou, T., Mansour, F., Abdul Sater, Z., Naal, H., Jaber, L., Gnaedinger, A., Abu Sittah, G. and Saleh, S. (2025). Bridging the data divide: challenges and opportunities for trauma registries in conflict-affected MENA countries: a qualitative analysis of key informant interviews. </w:t>
      </w:r>
      <w:r>
        <w:rPr>
          <w:i/>
          <w:iCs/>
        </w:rPr>
        <w:t>Conflict and Health</w:t>
      </w:r>
      <w:r>
        <w:t>, 19(1). doi:https://doi.org/10.1186/s13031-025-00701-0.</w:t>
      </w:r>
    </w:p>
    <w:p>
      <w:pPr>
        <w:pStyle w:val="style0"/>
        <w:rPr/>
      </w:pPr>
      <w:r>
        <w:t xml:space="preserve">Dawadi, S., Shrestha, S. and Giri, R.A. (2021). Mixed-Methods research: A discussion on its types, challenges, and criticisms. </w:t>
      </w:r>
      <w:r>
        <w:rPr>
          <w:i/>
          <w:iCs/>
        </w:rPr>
        <w:t>Journal of Practical Studies in Education</w:t>
      </w:r>
      <w:r>
        <w:t>, [online] 2(2), pp.25–36. Available at: https://oro.open.ac.uk/75449/.</w:t>
      </w:r>
    </w:p>
    <w:p>
      <w:pPr>
        <w:pStyle w:val="style0"/>
        <w:rPr/>
      </w:pPr>
      <w:r>
        <w:t xml:space="preserve">Dawson, P. and Sykes, C. (2018). Concepts of Time and Temporality in the Storytelling and Sensemaking Literatures: A Review and Critique. </w:t>
      </w:r>
      <w:r>
        <w:rPr>
          <w:i/>
          <w:iCs/>
        </w:rPr>
        <w:t>International Journal of Management Reviews</w:t>
      </w:r>
      <w:r>
        <w:t>, 21(1), pp.97–114. doi:https://doi.org/10.1111/ijmr.12178.</w:t>
      </w:r>
    </w:p>
    <w:p>
      <w:pPr>
        <w:pStyle w:val="style0"/>
        <w:rPr>
          <w:rFonts w:cs="Times New Roman"/>
        </w:rPr>
      </w:pPr>
      <w:r>
        <w:rPr>
          <w:rFonts w:cs="Times New Roman"/>
        </w:rPr>
        <w:t xml:space="preserve">De Villiers, C. and Molinari, M. (2021). How to communicate and use accounting to ensure buy-in from stakeholders: lessons for organizations from governments’ COVID-19 strategies. </w:t>
      </w:r>
      <w:r>
        <w:rPr>
          <w:rFonts w:cs="Times New Roman"/>
          <w:i/>
          <w:iCs/>
        </w:rPr>
        <w:t>Accounting, Auditing &amp; Accountability Journal</w:t>
      </w:r>
      <w:r>
        <w:rPr>
          <w:rFonts w:cs="Times New Roman"/>
        </w:rPr>
        <w:t xml:space="preserve">, ahead-of-print(ahead-of-print). </w:t>
      </w:r>
      <w:r>
        <w:rPr/>
        <w:fldChar w:fldCharType="begin"/>
      </w:r>
      <w:r>
        <w:instrText xml:space="preserve"> HYPERLINK "https://doi.org/10.1108/aaaj-08-2020-4791" </w:instrText>
      </w:r>
      <w:r>
        <w:rPr/>
        <w:fldChar w:fldCharType="separate"/>
      </w:r>
      <w:r>
        <w:rPr>
          <w:rStyle w:val="style85"/>
          <w:rFonts w:cs="Times New Roman"/>
        </w:rPr>
        <w:t>https://doi.org/10.1108/aaaj-08-2020-4791</w:t>
      </w:r>
      <w:r>
        <w:rPr/>
        <w:fldChar w:fldCharType="end"/>
      </w:r>
      <w:r>
        <w:rPr>
          <w:rFonts w:cs="Times New Roman"/>
        </w:rPr>
        <w:t>.</w:t>
      </w:r>
      <w:r>
        <w:rPr>
          <w:rFonts w:cs="Times New Roman"/>
        </w:rPr>
        <w:t xml:space="preserve"> </w:t>
      </w:r>
    </w:p>
    <w:p>
      <w:pPr>
        <w:pStyle w:val="style0"/>
        <w:rPr/>
      </w:pPr>
      <w:r>
        <w:t xml:space="preserve">De Villiers, C. and Molinari, M. (2021). How to communicate and use accounting to ensure buy-in from stakeholders: lessons for organizations from governments’ COVID-19 strategies. </w:t>
      </w:r>
      <w:r>
        <w:rPr>
          <w:i/>
          <w:iCs/>
        </w:rPr>
        <w:t>Accounting, Auditing &amp; Accountability Journal</w:t>
      </w:r>
      <w:r>
        <w:t>, ahead-of-print(ahead-of-print). doi:https://doi.org/10.1108/aaaj-08-2020-4791.</w:t>
      </w:r>
    </w:p>
    <w:p>
      <w:pPr>
        <w:pStyle w:val="style0"/>
        <w:rPr/>
      </w:pPr>
      <w:r>
        <w:t xml:space="preserve">Di Tullio, P., Valentinetti, D., Nielsen, C. and Rea, M.A. (2019). In search of legitimacy: a semiotic analysis of business model disclosure practices. </w:t>
      </w:r>
      <w:r>
        <w:rPr>
          <w:i/>
          <w:iCs/>
        </w:rPr>
        <w:t>Meditari Accountancy Research</w:t>
      </w:r>
      <w:r>
        <w:t>, 28(5), pp.863–887. doi:https://doi.org/10.1108/medar-02-2019-0449.</w:t>
      </w:r>
    </w:p>
    <w:p>
      <w:pPr>
        <w:pStyle w:val="style0"/>
        <w:rPr/>
      </w:pPr>
      <w:r>
        <w:t xml:space="preserve">Dzreke, S.S. and Dzreke, S.E. (2025). The ‘just-in-case’ inventory rebound: Post-pandemic trade-offs between resilience and working capital. </w:t>
      </w:r>
      <w:r>
        <w:rPr>
          <w:i/>
          <w:iCs/>
        </w:rPr>
        <w:t>Frontiers in Research</w:t>
      </w:r>
      <w:r>
        <w:t>, 4(1), pp.20–39. doi:https://doi.org/10.71350/30624533117.</w:t>
      </w:r>
    </w:p>
    <w:p>
      <w:pPr>
        <w:pStyle w:val="style0"/>
        <w:rPr>
          <w:rFonts w:cs="Times New Roman"/>
        </w:rPr>
      </w:pPr>
      <w:r>
        <w:rPr>
          <w:rFonts w:cs="Times New Roman"/>
        </w:rPr>
        <w:t xml:space="preserve">Elgin, C. (2025). Anticipatory macroeconomic governance: exploring future-oriented strategies for economic resilience and sustainability. </w:t>
      </w:r>
      <w:r>
        <w:rPr>
          <w:rFonts w:cs="Times New Roman"/>
          <w:i/>
          <w:iCs/>
        </w:rPr>
        <w:t>European Journal of Futures Research</w:t>
      </w:r>
      <w:r>
        <w:rPr>
          <w:rFonts w:cs="Times New Roman"/>
        </w:rPr>
        <w:t xml:space="preserve">, 13(1). </w:t>
      </w:r>
      <w:r>
        <w:rPr/>
        <w:fldChar w:fldCharType="begin"/>
      </w:r>
      <w:r>
        <w:instrText xml:space="preserve"> HYPERLINK "https://doi.org/10.1186/s40309-025-00248-6" </w:instrText>
      </w:r>
      <w:r>
        <w:rPr/>
        <w:fldChar w:fldCharType="separate"/>
      </w:r>
      <w:r>
        <w:rPr>
          <w:rStyle w:val="style85"/>
          <w:rFonts w:cs="Times New Roman"/>
        </w:rPr>
        <w:t>https://doi.org/10.1186/s40309-025-00248-6</w:t>
      </w:r>
      <w:r>
        <w:rPr/>
        <w:fldChar w:fldCharType="end"/>
      </w:r>
      <w:r>
        <w:rPr>
          <w:rFonts w:cs="Times New Roman"/>
        </w:rPr>
        <w:t>.</w:t>
      </w:r>
      <w:r>
        <w:rPr>
          <w:rFonts w:cs="Times New Roman"/>
        </w:rPr>
        <w:t xml:space="preserve"> </w:t>
      </w:r>
    </w:p>
    <w:p>
      <w:pPr>
        <w:pStyle w:val="style0"/>
        <w:rPr/>
      </w:pPr>
      <w:r>
        <w:t xml:space="preserve">Elgin, C. (2025). Anticipatory macroeconomic governance: exploring future-oriented strategies for economic resilience and sustainability. </w:t>
      </w:r>
      <w:r>
        <w:rPr>
          <w:i/>
          <w:iCs/>
        </w:rPr>
        <w:t>European Journal of Futures Research</w:t>
      </w:r>
      <w:r>
        <w:t>, 13(1). doi:https://doi.org/10.1186/s40309-025-00248-6.</w:t>
      </w:r>
    </w:p>
    <w:p>
      <w:pPr>
        <w:pStyle w:val="style0"/>
        <w:rPr>
          <w:rFonts w:cs="Times New Roman"/>
        </w:rPr>
      </w:pPr>
      <w:r>
        <w:rPr>
          <w:rFonts w:cs="Times New Roman"/>
        </w:rPr>
        <w:t xml:space="preserve">El-Haj, M., Alves, P., Rayson, P., Walker, M. and Young, S. (2019). Retrieving, classifying and analysing narrative commentary in unstructured (glossy) annual reports published as PDF files. </w:t>
      </w:r>
      <w:r>
        <w:rPr>
          <w:rFonts w:cs="Times New Roman"/>
          <w:i/>
          <w:iCs/>
        </w:rPr>
        <w:t>Accounting and Business Research</w:t>
      </w:r>
      <w:r>
        <w:rPr>
          <w:rFonts w:cs="Times New Roman"/>
        </w:rPr>
        <w:t xml:space="preserve">, 50(1), pp.1–29. </w:t>
      </w:r>
      <w:r>
        <w:rPr/>
        <w:fldChar w:fldCharType="begin"/>
      </w:r>
      <w:r>
        <w:instrText xml:space="preserve"> HYPERLINK "https://doi.org/10.1080/00014788.2019.1609346" </w:instrText>
      </w:r>
      <w:r>
        <w:rPr/>
        <w:fldChar w:fldCharType="separate"/>
      </w:r>
      <w:r>
        <w:rPr>
          <w:rStyle w:val="style85"/>
          <w:rFonts w:cs="Times New Roman"/>
        </w:rPr>
        <w:t>https://doi.org/10.1080/00014788.2019.1609346</w:t>
      </w:r>
      <w:r>
        <w:rPr/>
        <w:fldChar w:fldCharType="end"/>
      </w:r>
      <w:r>
        <w:rPr>
          <w:rFonts w:cs="Times New Roman"/>
        </w:rPr>
        <w:t>.</w:t>
      </w:r>
      <w:r>
        <w:rPr>
          <w:rFonts w:cs="Times New Roman"/>
        </w:rPr>
        <w:t xml:space="preserve"> </w:t>
      </w:r>
    </w:p>
    <w:p>
      <w:pPr>
        <w:pStyle w:val="style0"/>
        <w:rPr/>
      </w:pPr>
      <w:r>
        <w:t xml:space="preserve">El-Haj, M., Alves, P., Rayson, P., Walker, M. and Young, S. (2019). Retrieving, classifying and analysing narrative commentary in unstructured (glossy) annual reports published as PDF files. </w:t>
      </w:r>
      <w:r>
        <w:rPr>
          <w:i/>
          <w:iCs/>
        </w:rPr>
        <w:t>Accounting and Business Research</w:t>
      </w:r>
      <w:r>
        <w:t>, 50(1), pp.1–29. doi:https://doi.org/10.1080/00014788.2019.1609346.</w:t>
      </w:r>
    </w:p>
    <w:p>
      <w:pPr>
        <w:pStyle w:val="style0"/>
        <w:rPr/>
      </w:pPr>
      <w:r>
        <w:t xml:space="preserve">Enyejo, J.O., Ololade Peter Fajana, Jok, I.S., Chidimma Judith Ihejirika, Babatunde Olusola Awotiwon and Toyosi Motilola Olola (2024). Digital Twin Technology, Predictive Analytics, and Sustainable Project Management in Global Supply Chains for Risk Mitigation, Optimization, and Carbon Footprint Reduction through Green Initiatives. </w:t>
      </w:r>
      <w:r>
        <w:rPr>
          <w:i/>
          <w:iCs/>
        </w:rPr>
        <w:t>International Journal of Innovative Science and Research Technology (IJISRT)</w:t>
      </w:r>
      <w:r>
        <w:t>, [online] pp.609–630. doi:https://doi.org/10.38124/ijisrt/ijisrt24nov1344.</w:t>
      </w:r>
    </w:p>
    <w:p>
      <w:pPr>
        <w:pStyle w:val="style0"/>
        <w:rPr>
          <w:rFonts w:cs="Times New Roman"/>
        </w:rPr>
      </w:pPr>
      <w:r>
        <w:rPr>
          <w:rFonts w:cs="Times New Roman"/>
        </w:rPr>
        <w:t xml:space="preserve">Ernst, D. (2021). </w:t>
      </w:r>
      <w:r>
        <w:rPr>
          <w:rFonts w:cs="Times New Roman"/>
          <w:i/>
          <w:iCs/>
        </w:rPr>
        <w:t>Supply chain regulation in the service of geopolitics: What’s happening in semiconductors?</w:t>
      </w:r>
      <w:r>
        <w:rPr>
          <w:rFonts w:cs="Times New Roman"/>
        </w:rPr>
        <w:t xml:space="preserve"> [online] www.econstor.eu. Available at: </w:t>
      </w:r>
      <w:r>
        <w:rPr/>
        <w:fldChar w:fldCharType="begin"/>
      </w:r>
      <w:r>
        <w:instrText xml:space="preserve"> HYPERLINK "https://www.econstor.eu/handle/10419/299728" </w:instrText>
      </w:r>
      <w:r>
        <w:rPr/>
        <w:fldChar w:fldCharType="separate"/>
      </w:r>
      <w:r>
        <w:rPr>
          <w:rStyle w:val="style85"/>
          <w:rFonts w:cs="Times New Roman"/>
        </w:rPr>
        <w:t>https://www.econstor.eu/handle/10419/299728</w:t>
      </w:r>
      <w:r>
        <w:rPr/>
        <w:fldChar w:fldCharType="end"/>
      </w:r>
      <w:r>
        <w:rPr>
          <w:rFonts w:cs="Times New Roman"/>
        </w:rPr>
        <w:t>.</w:t>
      </w:r>
      <w:r>
        <w:rPr>
          <w:rFonts w:cs="Times New Roman"/>
        </w:rPr>
        <w:t xml:space="preserve"> </w:t>
      </w:r>
    </w:p>
    <w:p>
      <w:pPr>
        <w:pStyle w:val="style0"/>
        <w:rPr/>
      </w:pPr>
      <w:r>
        <w:t xml:space="preserve">Ernst, D. (2021). </w:t>
      </w:r>
      <w:r>
        <w:rPr>
          <w:i/>
          <w:iCs/>
        </w:rPr>
        <w:t>Supply chain regulation in the service of geopolitics: What’s happening in semiconductors?</w:t>
      </w:r>
      <w:r>
        <w:t xml:space="preserve"> [online] www.econstor.eu. Available at: https://www.econstor.eu/handle/10419/299728.</w:t>
      </w:r>
    </w:p>
    <w:p>
      <w:pPr>
        <w:pStyle w:val="style0"/>
        <w:rPr>
          <w:rFonts w:cs="Times New Roman"/>
        </w:rPr>
      </w:pPr>
      <w:r>
        <w:rPr>
          <w:rFonts w:cs="Times New Roman"/>
        </w:rPr>
        <w:t xml:space="preserve">Feng, P., Zhou, X., Zhang, D., Chen, Z. and Wang, S. (2022). The Impact of Trade Policy on Global Supply Chain Network equilibrium: a New Perspective of product-market Chain Competition. </w:t>
      </w:r>
      <w:r>
        <w:rPr>
          <w:rFonts w:cs="Times New Roman"/>
          <w:i/>
          <w:iCs/>
        </w:rPr>
        <w:t>Omega</w:t>
      </w:r>
      <w:r>
        <w:rPr>
          <w:rFonts w:cs="Times New Roman"/>
        </w:rPr>
        <w:t xml:space="preserve">, 109(109), p.102612. </w:t>
      </w:r>
      <w:r>
        <w:rPr/>
        <w:fldChar w:fldCharType="begin"/>
      </w:r>
      <w:r>
        <w:instrText xml:space="preserve"> HYPERLINK "https://doi.org/10.1016/j.omega.2022.102612" </w:instrText>
      </w:r>
      <w:r>
        <w:rPr/>
        <w:fldChar w:fldCharType="separate"/>
      </w:r>
      <w:r>
        <w:rPr>
          <w:rStyle w:val="style85"/>
          <w:rFonts w:cs="Times New Roman"/>
        </w:rPr>
        <w:t>https://doi.org/10.1016/j.omega.2022.102612</w:t>
      </w:r>
      <w:r>
        <w:rPr/>
        <w:fldChar w:fldCharType="end"/>
      </w:r>
      <w:r>
        <w:rPr>
          <w:rFonts w:cs="Times New Roman"/>
        </w:rPr>
        <w:t xml:space="preserve">. </w:t>
      </w:r>
    </w:p>
    <w:p>
      <w:pPr>
        <w:pStyle w:val="style0"/>
        <w:rPr/>
      </w:pPr>
      <w:r>
        <w:t xml:space="preserve">Feng, P., Zhou, X., Zhang, D., Chen, Z. and Wang, S. (2022). The Impact of Trade Policy on Global Supply Chain Network equilibrium: a New Perspective of product-market Chain Competition. </w:t>
      </w:r>
      <w:r>
        <w:rPr>
          <w:i/>
          <w:iCs/>
        </w:rPr>
        <w:t>Omega</w:t>
      </w:r>
      <w:r>
        <w:t>, 109(109), p.102612. doi:https://doi.org/10.1016/j.omega.2022.102612.</w:t>
      </w:r>
    </w:p>
    <w:p>
      <w:pPr>
        <w:pStyle w:val="style0"/>
        <w:rPr/>
      </w:pPr>
      <w:r>
        <w:t xml:space="preserve">Figueira, A. roder, Jr, F. and Baesso, L. (2024). Navigating Uncertainty: Effectuation as a Strategic Approach for Mncs in Armed Conflict Contexts. </w:t>
      </w:r>
      <w:r>
        <w:rPr>
          <w:i/>
          <w:iCs/>
        </w:rPr>
        <w:t>SSRN Electronic Journal</w:t>
      </w:r>
      <w:r>
        <w:t>. [online] doi:https://doi.org/10.2139/ssrn.4779021.</w:t>
      </w:r>
    </w:p>
    <w:p>
      <w:pPr>
        <w:pStyle w:val="style0"/>
        <w:rPr>
          <w:rFonts w:cs="Times New Roman"/>
        </w:rPr>
      </w:pPr>
      <w:r>
        <w:rPr>
          <w:rFonts w:cs="Times New Roman"/>
        </w:rPr>
        <w:t xml:space="preserve">Garcia Herrero, A. (2023). </w:t>
      </w:r>
      <w:r>
        <w:rPr>
          <w:rFonts w:cs="Times New Roman"/>
        </w:rPr>
        <w:t xml:space="preserve">Resilience of Global Supply Chain: Facts and Implications. [online] </w:t>
      </w:r>
      <w:r>
        <w:rPr/>
        <w:fldChar w:fldCharType="begin"/>
      </w:r>
      <w:r>
        <w:instrText xml:space="preserve"> HYPERLINK "https://doi.org/10.56506/ukpk2510" </w:instrText>
      </w:r>
      <w:r>
        <w:rPr/>
        <w:fldChar w:fldCharType="separate"/>
      </w:r>
      <w:r>
        <w:rPr>
          <w:rStyle w:val="style85"/>
          <w:rFonts w:cs="Times New Roman"/>
        </w:rPr>
        <w:t>https://doi.org/10.56506/ukpk2510</w:t>
      </w:r>
      <w:r>
        <w:rPr/>
        <w:fldChar w:fldCharType="end"/>
      </w:r>
      <w:r>
        <w:rPr>
          <w:rFonts w:cs="Times New Roman"/>
        </w:rPr>
        <w:t>.</w:t>
      </w:r>
      <w:r>
        <w:rPr>
          <w:rFonts w:cs="Times New Roman"/>
        </w:rPr>
        <w:t xml:space="preserve"> </w:t>
      </w:r>
    </w:p>
    <w:p>
      <w:pPr>
        <w:pStyle w:val="style0"/>
        <w:rPr>
          <w:rFonts w:cs="Times New Roman"/>
        </w:rPr>
      </w:pPr>
      <w:r>
        <w:rPr>
          <w:rFonts w:cs="Times New Roman"/>
        </w:rPr>
        <w:t>Garcia Herrero, A. (2023). Resilience of Global Supply Chain: Facts and Implications. [online] doi:https://doi.org/10.56506/ukpk2510.</w:t>
      </w:r>
    </w:p>
    <w:p>
      <w:pPr>
        <w:pStyle w:val="style0"/>
        <w:rPr/>
      </w:pPr>
      <w:r>
        <w:t xml:space="preserve">Gereffi, G. (2019). Economic upgrading in global value chains. </w:t>
      </w:r>
      <w:r>
        <w:rPr>
          <w:i/>
          <w:iCs/>
        </w:rPr>
        <w:t>Handbook on Global Value Chains</w:t>
      </w:r>
      <w:r>
        <w:t>, [online] pp.240–254. Available at: https://www.elgaronline.com/abstract/edcoll/9781788113762/9781788113762.00022.xml.</w:t>
      </w:r>
    </w:p>
    <w:p>
      <w:pPr>
        <w:pStyle w:val="style0"/>
        <w:rPr/>
      </w:pPr>
      <w:r>
        <w:t xml:space="preserve">Gereffi, G., Humphrey, J. and Sturgeon, T. (2005). The Governance of Global Value Chains. </w:t>
      </w:r>
      <w:r>
        <w:rPr>
          <w:i/>
          <w:iCs/>
        </w:rPr>
        <w:t>Review of International Political Economy</w:t>
      </w:r>
      <w:r>
        <w:t>, 12(1), pp.78–104. doi:https://doi.org/10.1080/09692290500049805.</w:t>
      </w:r>
    </w:p>
    <w:p>
      <w:pPr>
        <w:pStyle w:val="style0"/>
        <w:rPr>
          <w:rFonts w:cs="Times New Roman"/>
        </w:rPr>
      </w:pPr>
      <w:r>
        <w:rPr>
          <w:rFonts w:cs="Times New Roman"/>
        </w:rPr>
        <w:t xml:space="preserve">Gilson, J. (2020). EU-ASEAN relations in the 2020s: pragmatic inter-regionalism? </w:t>
      </w:r>
      <w:r>
        <w:rPr>
          <w:rFonts w:cs="Times New Roman"/>
          <w:i/>
          <w:iCs/>
        </w:rPr>
        <w:t>International Economics and Economic Policy</w:t>
      </w:r>
      <w:r>
        <w:rPr>
          <w:rFonts w:cs="Times New Roman"/>
        </w:rPr>
        <w:t xml:space="preserve">, 17. </w:t>
      </w:r>
      <w:r>
        <w:rPr/>
        <w:fldChar w:fldCharType="begin"/>
      </w:r>
      <w:r>
        <w:instrText xml:space="preserve"> HYPERLINK "https://doi.org/10.1007/s10368-020-00474-2" </w:instrText>
      </w:r>
      <w:r>
        <w:rPr/>
        <w:fldChar w:fldCharType="separate"/>
      </w:r>
      <w:r>
        <w:rPr>
          <w:rStyle w:val="style85"/>
          <w:rFonts w:cs="Times New Roman"/>
        </w:rPr>
        <w:t>https://doi.org/10.1007/s10368-020-00474-2</w:t>
      </w:r>
      <w:r>
        <w:rPr/>
        <w:fldChar w:fldCharType="end"/>
      </w:r>
      <w:r>
        <w:rPr>
          <w:rFonts w:cs="Times New Roman"/>
        </w:rPr>
        <w:t>.</w:t>
      </w:r>
      <w:r>
        <w:rPr>
          <w:rFonts w:cs="Times New Roman"/>
        </w:rPr>
        <w:t xml:space="preserve"> </w:t>
      </w:r>
    </w:p>
    <w:p>
      <w:pPr>
        <w:pStyle w:val="style0"/>
        <w:rPr/>
      </w:pPr>
      <w:r>
        <w:t xml:space="preserve">Gilson, J. (2020). EU-ASEAN relations in the 2020s: pragmatic inter-regionalism? </w:t>
      </w:r>
      <w:r>
        <w:rPr>
          <w:i/>
          <w:iCs/>
        </w:rPr>
        <w:t>International Economics and Economic Policy</w:t>
      </w:r>
      <w:r>
        <w:t>, 17. doi:https://doi.org/10.1007/s10368-020-00474-2.</w:t>
      </w:r>
    </w:p>
    <w:p>
      <w:pPr>
        <w:pStyle w:val="style0"/>
        <w:rPr>
          <w:rFonts w:cs="Times New Roman"/>
        </w:rPr>
      </w:pPr>
      <w:r>
        <w:rPr>
          <w:rFonts w:cs="Times New Roman"/>
        </w:rPr>
        <w:t xml:space="preserve">Hassan, J. (2025). Sourcing Under Pressure: Geoeconomic Risk, Firm Dependence, and the US-China Trade Conflict. [online] </w:t>
      </w:r>
      <w:r>
        <w:rPr/>
        <w:fldChar w:fldCharType="begin"/>
      </w:r>
      <w:r>
        <w:instrText xml:space="preserve"> HYPERLINK "https://doi.org/10.26686/wgtn.29177102" </w:instrText>
      </w:r>
      <w:r>
        <w:rPr/>
        <w:fldChar w:fldCharType="separate"/>
      </w:r>
      <w:r>
        <w:rPr>
          <w:rStyle w:val="style85"/>
          <w:rFonts w:cs="Times New Roman"/>
        </w:rPr>
        <w:t>https://doi.org/10.26686/wgtn.29177102</w:t>
      </w:r>
      <w:r>
        <w:rPr/>
        <w:fldChar w:fldCharType="end"/>
      </w:r>
      <w:r>
        <w:rPr>
          <w:rFonts w:cs="Times New Roman"/>
        </w:rPr>
        <w:t>.</w:t>
      </w:r>
      <w:r>
        <w:rPr>
          <w:rFonts w:cs="Times New Roman"/>
        </w:rPr>
        <w:t xml:space="preserve"> </w:t>
      </w:r>
    </w:p>
    <w:p>
      <w:pPr>
        <w:pStyle w:val="style0"/>
        <w:rPr/>
      </w:pPr>
      <w:r>
        <w:t>Hassan, J. (2025). Sourcing Under Pressure: Geoeconomic Risk, Firm Dependence, and the US-China Trade Conflict. [online] doi:https://doi.org/10.26686/wgtn.29177102.</w:t>
      </w:r>
    </w:p>
    <w:p>
      <w:pPr>
        <w:pStyle w:val="style0"/>
        <w:rPr>
          <w:rFonts w:cs="Times New Roman"/>
        </w:rPr>
      </w:pPr>
      <w:r>
        <w:rPr>
          <w:rFonts w:cs="Times New Roman"/>
        </w:rPr>
        <w:t xml:space="preserve">Hosseini, A., Mavi, R.K. and Macau, F.R. (2025). Supply Chain Resilience: A Critical Review of Risk Mitigation, Robust Optimisation, and Technological Solutions and Future Research Directions. </w:t>
      </w:r>
      <w:r>
        <w:rPr>
          <w:rFonts w:cs="Times New Roman"/>
          <w:i/>
          <w:iCs/>
        </w:rPr>
        <w:t>Global Journal of Flexible Systems Management</w:t>
      </w:r>
      <w:r>
        <w:rPr>
          <w:rFonts w:cs="Times New Roman"/>
        </w:rPr>
        <w:t xml:space="preserve">, 26. </w:t>
      </w:r>
      <w:r>
        <w:rPr/>
        <w:fldChar w:fldCharType="begin"/>
      </w:r>
      <w:r>
        <w:instrText xml:space="preserve"> HYPERLINK "https://doi.org/10.1007/s40171-025-00458-8" </w:instrText>
      </w:r>
      <w:r>
        <w:rPr/>
        <w:fldChar w:fldCharType="separate"/>
      </w:r>
      <w:r>
        <w:rPr>
          <w:rStyle w:val="style85"/>
          <w:rFonts w:cs="Times New Roman"/>
        </w:rPr>
        <w:t>https://doi.org/10.1007/s40171-025-00458-8</w:t>
      </w:r>
      <w:r>
        <w:rPr/>
        <w:fldChar w:fldCharType="end"/>
      </w:r>
      <w:r>
        <w:rPr>
          <w:rFonts w:cs="Times New Roman"/>
        </w:rPr>
        <w:t>.</w:t>
      </w:r>
      <w:r>
        <w:rPr>
          <w:rFonts w:cs="Times New Roman"/>
        </w:rPr>
        <w:t xml:space="preserve"> </w:t>
      </w:r>
    </w:p>
    <w:p>
      <w:pPr>
        <w:pStyle w:val="style0"/>
        <w:rPr/>
      </w:pPr>
      <w:r>
        <w:t xml:space="preserve">Hosseini, A., Mavi, R.K. and Macau, F.R. (2025). Supply Chain Resilience: A Critical Review of Risk Mitigation, Robust Optimisation, and Technological Solutions and Future Research Directions. </w:t>
      </w:r>
      <w:r>
        <w:rPr>
          <w:i/>
          <w:iCs/>
        </w:rPr>
        <w:t>Global Journal of Flexible Systems Management</w:t>
      </w:r>
      <w:r>
        <w:t>, 26. doi:https://doi.org/10.1007/s40171-025-00458-8.</w:t>
      </w:r>
    </w:p>
    <w:p>
      <w:pPr>
        <w:pStyle w:val="style0"/>
        <w:rPr>
          <w:rFonts w:cs="Times New Roman"/>
        </w:rPr>
      </w:pPr>
      <w:r>
        <w:rPr>
          <w:rFonts w:cs="Times New Roman"/>
        </w:rPr>
        <w:t xml:space="preserve">Hosseini, A., Mavi, R.K. and Macau, F.R. (2025). Supply Chain Resilience: A Critical Review of Risk Mitigation, Robust Optimisation, and Technological Solutions and Future Research Directions. </w:t>
      </w:r>
      <w:r>
        <w:rPr>
          <w:rFonts w:cs="Times New Roman"/>
          <w:i/>
          <w:iCs/>
        </w:rPr>
        <w:t>Global Journal of Flexible Systems Management</w:t>
      </w:r>
      <w:r>
        <w:rPr>
          <w:rFonts w:cs="Times New Roman"/>
        </w:rPr>
        <w:t>, 26. doi:https://doi.org/10.1007/s40171-025-00458-8.</w:t>
      </w:r>
    </w:p>
    <w:p>
      <w:pPr>
        <w:pStyle w:val="style0"/>
        <w:rPr/>
      </w:pPr>
      <w:r>
        <w:t xml:space="preserve">Hynes, W., Trump, B., Love, P. and Linkov, I. (2020). Bouncing forward: a resilience approach to dealing with COVID-19 and future systemic shocks. </w:t>
      </w:r>
      <w:r>
        <w:rPr>
          <w:i/>
          <w:iCs/>
        </w:rPr>
        <w:t>Environment Systems and Decisions</w:t>
      </w:r>
      <w:r>
        <w:t>, [online] 40(2), pp.174–184. doi:https://doi.org/10.1007/s10669-020-09776-x.</w:t>
      </w:r>
    </w:p>
    <w:p>
      <w:pPr>
        <w:pStyle w:val="style0"/>
        <w:rPr>
          <w:rFonts w:cs="Times New Roman"/>
        </w:rPr>
      </w:pPr>
      <w:r>
        <w:rPr>
          <w:rFonts w:cs="Times New Roman"/>
        </w:rPr>
        <w:t xml:space="preserve">Ivanov, D. and Dolgui, A. (2021). A digital supply chain twin for managing the disruption risks and resilience in the era of industry 4.0. </w:t>
      </w:r>
      <w:r>
        <w:rPr>
          <w:rFonts w:cs="Times New Roman"/>
          <w:i/>
          <w:iCs/>
        </w:rPr>
        <w:t>Production Planning &amp; Control</w:t>
      </w:r>
      <w:r>
        <w:rPr>
          <w:rFonts w:cs="Times New Roman"/>
        </w:rPr>
        <w:t xml:space="preserve">, 32(9), pp.775–788. </w:t>
      </w:r>
      <w:r>
        <w:rPr/>
        <w:fldChar w:fldCharType="begin"/>
      </w:r>
      <w:r>
        <w:instrText xml:space="preserve"> HYPERLINK "https://doi.org/10.1080/09537287.2020.1768450" </w:instrText>
      </w:r>
      <w:r>
        <w:rPr/>
        <w:fldChar w:fldCharType="separate"/>
      </w:r>
      <w:r>
        <w:rPr>
          <w:rStyle w:val="style85"/>
          <w:rFonts w:cs="Times New Roman"/>
        </w:rPr>
        <w:t>https://doi.org/10.1080/09537287.2020.1768450</w:t>
      </w:r>
      <w:r>
        <w:rPr/>
        <w:fldChar w:fldCharType="end"/>
      </w:r>
      <w:r>
        <w:rPr>
          <w:rFonts w:cs="Times New Roman"/>
        </w:rPr>
        <w:t>.</w:t>
      </w:r>
      <w:r>
        <w:rPr>
          <w:rFonts w:cs="Times New Roman"/>
        </w:rPr>
        <w:t xml:space="preserve"> </w:t>
      </w:r>
    </w:p>
    <w:p>
      <w:pPr>
        <w:pStyle w:val="style0"/>
        <w:rPr/>
      </w:pPr>
      <w:r>
        <w:t xml:space="preserve">Ivanov, D. and Dolgui, A. (2021). A digital supply chain twin for managing the disruption risks and resilience in the era of industry 4.0. </w:t>
      </w:r>
      <w:r>
        <w:rPr>
          <w:i/>
          <w:iCs/>
        </w:rPr>
        <w:t>Production Planning &amp; Control</w:t>
      </w:r>
      <w:r>
        <w:t>, 32(9), pp.775–788. doi:https://doi.org/10.1080/09537287.2020.1768450.</w:t>
      </w:r>
    </w:p>
    <w:p>
      <w:pPr>
        <w:pStyle w:val="style0"/>
        <w:rPr>
          <w:rFonts w:cs="Times New Roman"/>
        </w:rPr>
      </w:pPr>
      <w:r>
        <w:rPr>
          <w:rFonts w:cs="Times New Roman"/>
        </w:rPr>
        <w:t xml:space="preserve">Jones, J. and Murray, A. (2025). Contending with Perceived Legitimacy Tensions: Impact Investing in Pluralistic Institutional Environments. </w:t>
      </w:r>
      <w:r>
        <w:rPr>
          <w:rFonts w:cs="Times New Roman"/>
          <w:i/>
          <w:iCs/>
        </w:rPr>
        <w:t>Journal of Management Studies</w:t>
      </w:r>
      <w:r>
        <w:rPr>
          <w:rFonts w:cs="Times New Roman"/>
        </w:rPr>
        <w:t xml:space="preserve">. </w:t>
      </w:r>
      <w:r>
        <w:rPr/>
        <w:fldChar w:fldCharType="begin"/>
      </w:r>
      <w:r>
        <w:instrText xml:space="preserve"> HYPERLINK "https://doi.org/10.1111/joms.13233" </w:instrText>
      </w:r>
      <w:r>
        <w:rPr/>
        <w:fldChar w:fldCharType="separate"/>
      </w:r>
      <w:r>
        <w:rPr>
          <w:rStyle w:val="style85"/>
          <w:rFonts w:cs="Times New Roman"/>
        </w:rPr>
        <w:t>https://doi.org/10.1111/joms.13233</w:t>
      </w:r>
      <w:r>
        <w:rPr/>
        <w:fldChar w:fldCharType="end"/>
      </w:r>
      <w:r>
        <w:rPr>
          <w:rFonts w:cs="Times New Roman"/>
        </w:rPr>
        <w:t>.</w:t>
      </w:r>
      <w:r>
        <w:rPr>
          <w:rFonts w:cs="Times New Roman"/>
        </w:rPr>
        <w:t xml:space="preserve"> </w:t>
      </w:r>
    </w:p>
    <w:p>
      <w:pPr>
        <w:pStyle w:val="style0"/>
        <w:rPr/>
      </w:pPr>
      <w:r>
        <w:t xml:space="preserve">Jones, J. and Murray, A. (2025). Contending with Perceived Legitimacy Tensions: Impact Investing in Pluralistic Institutional Environments. </w:t>
      </w:r>
      <w:r>
        <w:rPr>
          <w:i/>
          <w:iCs/>
        </w:rPr>
        <w:t>Journal of Management Studies</w:t>
      </w:r>
      <w:r>
        <w:t>. doi:https://doi.org/10.1111/joms.13233.</w:t>
      </w:r>
    </w:p>
    <w:p>
      <w:pPr>
        <w:pStyle w:val="style0"/>
        <w:rPr/>
      </w:pPr>
      <w:r>
        <w:t xml:space="preserve">Joseph, J. and Gaba, V. (2020). Organizational Structure, Information Processing, and Decision-Making: a Retrospective and Road Map for Research. </w:t>
      </w:r>
      <w:r>
        <w:rPr>
          <w:i/>
          <w:iCs/>
        </w:rPr>
        <w:t>Academy of Management Annals</w:t>
      </w:r>
      <w:r>
        <w:t>, 14(1), pp.267–302.</w:t>
      </w:r>
    </w:p>
    <w:p>
      <w:pPr>
        <w:pStyle w:val="style0"/>
        <w:rPr/>
      </w:pPr>
      <w:r>
        <w:t>Joshi, S. and Brahmbhatt, G. (2025). Regulatory Challenges in Cross-Border Supply Chains. [online] doi:https://doi.org/10.2139/ssrn.5207622.</w:t>
      </w:r>
    </w:p>
    <w:p>
      <w:pPr>
        <w:pStyle w:val="style0"/>
        <w:rPr/>
      </w:pPr>
      <w:r>
        <w:t xml:space="preserve">Joussen, T.P., Kanbach, D.K. and Kraus, S. (2024). Enabling Strategic Change Toward Resilience: A Systematic Review From a Dynamic Capabilities Perspective. </w:t>
      </w:r>
      <w:r>
        <w:rPr>
          <w:i/>
          <w:iCs/>
        </w:rPr>
        <w:t>Strategic Change</w:t>
      </w:r>
      <w:r>
        <w:t>. doi:https://doi.org/10.1002/jsc.2626.</w:t>
      </w:r>
    </w:p>
    <w:p>
      <w:pPr>
        <w:pStyle w:val="style0"/>
        <w:rPr/>
      </w:pPr>
      <w:r>
        <w:t xml:space="preserve">Kano, L., Tsang, E.W.K. and Yeung, H.W. (2020). Global value chains: A review of the multi-disciplinary literature. </w:t>
      </w:r>
      <w:r>
        <w:rPr>
          <w:i/>
          <w:iCs/>
        </w:rPr>
        <w:t>Journal of International Business Studies</w:t>
      </w:r>
      <w:r>
        <w:t>, [online] 51(4), pp.577–622. doi:https://doi.org/10.1057/s41267-020-00304-2.</w:t>
      </w:r>
    </w:p>
    <w:p>
      <w:pPr>
        <w:pStyle w:val="style0"/>
        <w:rPr>
          <w:rFonts w:cs="Times New Roman"/>
        </w:rPr>
      </w:pPr>
      <w:r>
        <w:rPr>
          <w:rFonts w:cs="Times New Roman"/>
        </w:rPr>
        <w:t xml:space="preserve">Kaya, M. and Shahid, H. (2025). Cross-Border Data Flows and Digital Sovereignty: Legal Dilemmas in Transnational Governance. </w:t>
      </w:r>
      <w:r>
        <w:rPr>
          <w:rFonts w:cs="Times New Roman"/>
          <w:i/>
          <w:iCs/>
        </w:rPr>
        <w:t>Interdisciplinary Studies in Society, Law, and Politics</w:t>
      </w:r>
      <w:r>
        <w:rPr>
          <w:rFonts w:cs="Times New Roman"/>
        </w:rPr>
        <w:t xml:space="preserve">, [online] 4(2), pp.219–233. </w:t>
      </w:r>
      <w:r>
        <w:rPr/>
        <w:fldChar w:fldCharType="begin"/>
      </w:r>
      <w:r>
        <w:instrText xml:space="preserve"> HYPERLINK "https://doi.org/10.61838/kman.isslp.4.2.20" </w:instrText>
      </w:r>
      <w:r>
        <w:rPr/>
        <w:fldChar w:fldCharType="separate"/>
      </w:r>
      <w:r>
        <w:rPr>
          <w:rStyle w:val="style85"/>
          <w:rFonts w:cs="Times New Roman"/>
        </w:rPr>
        <w:t>https://doi.org/10.61838/kman.isslp.4.2.20</w:t>
      </w:r>
      <w:r>
        <w:rPr/>
        <w:fldChar w:fldCharType="end"/>
      </w:r>
      <w:r>
        <w:rPr>
          <w:rFonts w:cs="Times New Roman"/>
        </w:rPr>
        <w:t>.</w:t>
      </w:r>
    </w:p>
    <w:p>
      <w:pPr>
        <w:pStyle w:val="style0"/>
        <w:rPr/>
      </w:pPr>
      <w:r>
        <w:t xml:space="preserve">Kaya, M. and Shahid, H. (2025). Cross-Border Data Flows and Digital Sovereignty: Legal Dilemmas in Transnational Governance. </w:t>
      </w:r>
      <w:r>
        <w:rPr>
          <w:i/>
          <w:iCs/>
        </w:rPr>
        <w:t>Interdisciplinary Studies in Society, Law, and Politics</w:t>
      </w:r>
      <w:r>
        <w:t>, [online] 4(2), pp.219–233. doi:https://doi.org/10.61838/kman.isslp.4.2.20.</w:t>
      </w:r>
    </w:p>
    <w:p>
      <w:pPr>
        <w:pStyle w:val="style0"/>
        <w:rPr/>
      </w:pPr>
      <w:r>
        <w:t xml:space="preserve">Kazancoglu, Y., Lafci, C., Berberolgu, Y., Upadhyay, A., Rocha-Lona, L. and Kumar, V. (2023). The Effects of Globalization to Supply Chain Resilience: Outsourcing Techniques as Interventionism, Protectionism and Regionalization Strategies. </w:t>
      </w:r>
      <w:r>
        <w:rPr>
          <w:i/>
          <w:iCs/>
        </w:rPr>
        <w:t>Bcu.ac.uk</w:t>
      </w:r>
      <w:r>
        <w:t>. [online] doi:https://www.open-access.bcu.ac.uk/15029/1/OMRA-D-23-00058-R2.pdf.</w:t>
      </w:r>
    </w:p>
    <w:p>
      <w:pPr>
        <w:pStyle w:val="style0"/>
        <w:rPr/>
      </w:pPr>
      <w:r>
        <w:t xml:space="preserve">Kesebi, O. (2019). </w:t>
      </w:r>
      <w:r>
        <w:rPr>
          <w:i/>
          <w:iCs/>
        </w:rPr>
        <w:t>Disruption Ready: Building market resilience through ‘adapted foresight’, organizational agility, co-creative intelligence and employee engagement</w:t>
      </w:r>
      <w:r>
        <w:t>. [online] openresearch.ocadu.ca. Available at: https://openresearch.ocadu.ca/id/eprint/2707/.</w:t>
      </w:r>
    </w:p>
    <w:p>
      <w:pPr>
        <w:pStyle w:val="style0"/>
        <w:rPr/>
      </w:pPr>
      <w:r>
        <w:t xml:space="preserve">Kiti, K., Wang, G., Arku, J.K., Ankrah, S.T., Megi Gumashvili and Batista, D. (2025). The Impact of Leader Sensemaking Competence on Expatriate Agility During Economic Uncertainty: The Mediating Roles of Perceived Organisational Support and Self-Efficacy. </w:t>
      </w:r>
      <w:r>
        <w:rPr>
          <w:i/>
          <w:iCs/>
        </w:rPr>
        <w:t>SAGE Open</w:t>
      </w:r>
      <w:r>
        <w:t>, 15(2). doi:https://doi.org/10.1177/21582440251340756.</w:t>
      </w:r>
    </w:p>
    <w:p>
      <w:pPr>
        <w:pStyle w:val="style0"/>
        <w:rPr/>
      </w:pPr>
      <w:r>
        <w:t xml:space="preserve">Krantz, F. and Brusberg, J. (2024). </w:t>
      </w:r>
      <w:r>
        <w:t xml:space="preserve">Thriving Amidst Geopolitical Turmoil: Strategies for Trading Organizations to Sustain Competitiveness - Aqualitative study on how a trading company successfully adapts to the future and remains competitive in a changing market environment. </w:t>
      </w:r>
      <w:r>
        <w:rPr>
          <w:i/>
          <w:iCs/>
        </w:rPr>
        <w:t>gupea.ub.gu.se</w:t>
      </w:r>
      <w:r>
        <w:t>. [online] Available at: https://gupea.ub.gu.se/handle/2077/82412.</w:t>
      </w:r>
    </w:p>
    <w:p>
      <w:pPr>
        <w:pStyle w:val="style0"/>
        <w:rPr/>
      </w:pPr>
      <w:r>
        <w:t xml:space="preserve">Kulkarni, S., Cristofaro, M. and Ramamoorthy, N. (2024). Evolutionary sensemaking: a managerial metacognitive dynamic capability to reduce information asymmetry. </w:t>
      </w:r>
      <w:r>
        <w:rPr>
          <w:i/>
          <w:iCs/>
        </w:rPr>
        <w:t>Management decision</w:t>
      </w:r>
      <w:r>
        <w:t>, 62(13), pp.201–222. doi:https://doi.org/10.1108/md-10-2023-1858.</w:t>
      </w:r>
    </w:p>
    <w:p>
      <w:pPr>
        <w:pStyle w:val="style0"/>
        <w:rPr>
          <w:rFonts w:cs="Times New Roman"/>
        </w:rPr>
      </w:pPr>
      <w:r>
        <w:rPr>
          <w:rFonts w:cs="Times New Roman"/>
        </w:rPr>
        <w:t xml:space="preserve">Labra, O., Castro, C., Wright, R., &amp; Chamblas, I. (2019). Thematic Analysis in Social Work: A Case Study. In </w:t>
      </w:r>
      <w:r>
        <w:rPr>
          <w:rFonts w:cs="Times New Roman"/>
          <w:i/>
          <w:iCs/>
        </w:rPr>
        <w:t>www.intechopen.com</w:t>
      </w:r>
      <w:r>
        <w:rPr>
          <w:rFonts w:cs="Times New Roman"/>
        </w:rPr>
        <w:t xml:space="preserve">. IntechOpen. </w:t>
      </w:r>
      <w:r>
        <w:rPr/>
        <w:fldChar w:fldCharType="begin"/>
      </w:r>
      <w:r>
        <w:instrText xml:space="preserve"> HYPERLINK "https://www.intechopen.com/chapters/69520" </w:instrText>
      </w:r>
      <w:r>
        <w:rPr/>
        <w:fldChar w:fldCharType="separate"/>
      </w:r>
      <w:r>
        <w:rPr>
          <w:rStyle w:val="style85"/>
          <w:rFonts w:cs="Times New Roman"/>
        </w:rPr>
        <w:t>https://www.intechopen.com/chapters/69520</w:t>
      </w:r>
      <w:r>
        <w:rPr/>
        <w:fldChar w:fldCharType="end"/>
      </w:r>
      <w:r>
        <w:rPr>
          <w:rFonts w:cs="Times New Roman"/>
        </w:rPr>
        <w:t xml:space="preserve"> </w:t>
      </w:r>
    </w:p>
    <w:p>
      <w:pPr>
        <w:pStyle w:val="style0"/>
        <w:rPr/>
      </w:pPr>
      <w:r>
        <w:t xml:space="preserve">Lim, W.M. (2024). What Is Qualitative research? an Overview and Guidelines. </w:t>
      </w:r>
      <w:r>
        <w:rPr>
          <w:i/>
          <w:iCs/>
        </w:rPr>
        <w:t>Australasian Marketing Journal (AMJ)</w:t>
      </w:r>
      <w:r>
        <w:t>, 33(2), pp.199–229. doi:https://doi.org/10.1177/14413582241264619.</w:t>
      </w:r>
    </w:p>
    <w:p>
      <w:pPr>
        <w:pStyle w:val="style0"/>
        <w:rPr/>
      </w:pPr>
      <w:r>
        <w:t xml:space="preserve">Linde, J. and Broman, R. (2025). </w:t>
      </w:r>
      <w:r>
        <w:rPr>
          <w:i/>
          <w:iCs/>
        </w:rPr>
        <w:t>Global Strategy, Local Words: Navigating Interpretation and Implementation in Decentralized MNCs</w:t>
      </w:r>
      <w:r>
        <w:t>. [online] Lub.lu.se. Available at: https://lup.lub.lu.se/student-papers/search/publication/9198761.</w:t>
      </w:r>
    </w:p>
    <w:p>
      <w:pPr>
        <w:pStyle w:val="style0"/>
        <w:rPr/>
      </w:pPr>
      <w:r>
        <w:t xml:space="preserve">Liu, Q. and Ma, H. (2020). Trade policy uncertainty and innovation: Firm level evidence from China’s WTO accession. </w:t>
      </w:r>
      <w:r>
        <w:rPr>
          <w:i/>
          <w:iCs/>
        </w:rPr>
        <w:t>Journal of International Economics</w:t>
      </w:r>
      <w:r>
        <w:t>, 127, p.103387. doi:https://doi.org/10.1016/j.jinteco.2020.103387.</w:t>
      </w:r>
    </w:p>
    <w:p>
      <w:pPr>
        <w:pStyle w:val="style0"/>
        <w:rPr>
          <w:rFonts w:cs="Times New Roman"/>
        </w:rPr>
      </w:pPr>
      <w:r>
        <w:rPr>
          <w:rFonts w:cs="Times New Roman"/>
        </w:rPr>
        <w:t xml:space="preserve">Lorenzen, M., Mudambi, R. and Schotter, A. (2020). International connectedness and local disconnectedness: MNE strategy, city-regions and disruption. </w:t>
      </w:r>
      <w:r>
        <w:rPr>
          <w:rFonts w:cs="Times New Roman"/>
          <w:i/>
          <w:iCs/>
        </w:rPr>
        <w:t>Journal of International Business Studies</w:t>
      </w:r>
      <w:r>
        <w:rPr>
          <w:rFonts w:cs="Times New Roman"/>
        </w:rPr>
        <w:t xml:space="preserve">, [online] 51(8), pp.1199–1222. </w:t>
      </w:r>
      <w:r>
        <w:rPr/>
        <w:fldChar w:fldCharType="begin"/>
      </w:r>
      <w:r>
        <w:instrText xml:space="preserve"> HYPERLINK "https://doi.org/10.1057/s41267-020-00339-5" </w:instrText>
      </w:r>
      <w:r>
        <w:rPr/>
        <w:fldChar w:fldCharType="separate"/>
      </w:r>
      <w:r>
        <w:rPr>
          <w:rStyle w:val="style85"/>
          <w:rFonts w:cs="Times New Roman"/>
        </w:rPr>
        <w:t>https://doi.org/10.1057/s41267-020-00339-5</w:t>
      </w:r>
      <w:r>
        <w:rPr/>
        <w:fldChar w:fldCharType="end"/>
      </w:r>
      <w:r>
        <w:rPr>
          <w:rFonts w:cs="Times New Roman"/>
        </w:rPr>
        <w:t>.</w:t>
      </w:r>
      <w:r>
        <w:rPr>
          <w:rFonts w:cs="Times New Roman"/>
        </w:rPr>
        <w:t xml:space="preserve"> </w:t>
      </w:r>
    </w:p>
    <w:p>
      <w:pPr>
        <w:pStyle w:val="style0"/>
        <w:rPr/>
      </w:pPr>
      <w:r>
        <w:t xml:space="preserve">Lorenzen, M., Mudambi, R. and Schotter, A. (2020). International connectedness and local disconnectedness: MNE strategy, city-regions and disruption. </w:t>
      </w:r>
      <w:r>
        <w:rPr>
          <w:i/>
          <w:iCs/>
        </w:rPr>
        <w:t>Journal of International Business Studies</w:t>
      </w:r>
      <w:r>
        <w:t>, [online] 51(8), pp.1199–1222. doi:https://doi.org/10.1057/s41267-020-00339-5.</w:t>
      </w:r>
    </w:p>
    <w:p>
      <w:pPr>
        <w:pStyle w:val="style0"/>
        <w:rPr>
          <w:rFonts w:cs="Times New Roman"/>
        </w:rPr>
      </w:pPr>
      <w:r>
        <w:rPr>
          <w:rFonts w:cs="Times New Roman"/>
        </w:rPr>
        <w:t xml:space="preserve">Lücker, F., Timonina-Farkas, A. and Seifert, R.W. (2024). Balancing Resilience and Efficiency: a Literature Review on Overcoming Supply Chain Disruptions. </w:t>
      </w:r>
      <w:r>
        <w:rPr>
          <w:rFonts w:cs="Times New Roman"/>
          <w:i/>
          <w:iCs/>
        </w:rPr>
        <w:t>Production and Operations Management</w:t>
      </w:r>
      <w:r>
        <w:rPr>
          <w:rFonts w:cs="Times New Roman"/>
        </w:rPr>
        <w:t>, 34(6). doi:https://doi.org/10.1177/10591478241302735.</w:t>
      </w:r>
    </w:p>
    <w:p>
      <w:pPr>
        <w:pStyle w:val="style0"/>
        <w:rPr>
          <w:rFonts w:cs="Times New Roman"/>
        </w:rPr>
      </w:pPr>
      <w:r>
        <w:rPr>
          <w:rFonts w:cs="Times New Roman"/>
        </w:rPr>
        <w:t xml:space="preserve">Luo, Y. (2023). Paradigm shift and theoretical implications for the era of global disorder. </w:t>
      </w:r>
      <w:r>
        <w:rPr>
          <w:rFonts w:cs="Times New Roman"/>
          <w:i/>
          <w:iCs/>
        </w:rPr>
        <w:t>Journal of International Business Studies</w:t>
      </w:r>
      <w:r>
        <w:rPr>
          <w:rFonts w:cs="Times New Roman"/>
        </w:rPr>
        <w:t xml:space="preserve">, 55. </w:t>
      </w:r>
      <w:r>
        <w:rPr/>
        <w:fldChar w:fldCharType="begin"/>
      </w:r>
      <w:r>
        <w:instrText xml:space="preserve"> HYPERLINK "https://doi.org/10.1057/s41267-023-00659-2" </w:instrText>
      </w:r>
      <w:r>
        <w:rPr/>
        <w:fldChar w:fldCharType="separate"/>
      </w:r>
      <w:r>
        <w:rPr>
          <w:rStyle w:val="style85"/>
          <w:rFonts w:cs="Times New Roman"/>
        </w:rPr>
        <w:t>https://doi.org/10.1057/s41267-023-00659-2</w:t>
      </w:r>
      <w:r>
        <w:rPr/>
        <w:fldChar w:fldCharType="end"/>
      </w:r>
      <w:r>
        <w:rPr>
          <w:rFonts w:cs="Times New Roman"/>
        </w:rPr>
        <w:t>.</w:t>
      </w:r>
      <w:r>
        <w:rPr>
          <w:rFonts w:cs="Times New Roman"/>
        </w:rPr>
        <w:t xml:space="preserve"> </w:t>
      </w:r>
    </w:p>
    <w:p>
      <w:pPr>
        <w:pStyle w:val="style0"/>
        <w:rPr/>
      </w:pPr>
      <w:r>
        <w:t xml:space="preserve">Luo, Y. (2023). Paradigm shift and theoretical implications for the era of global disorder. </w:t>
      </w:r>
      <w:r>
        <w:rPr>
          <w:i/>
          <w:iCs/>
        </w:rPr>
        <w:t>Journal of International Business Studies</w:t>
      </w:r>
      <w:r>
        <w:t>, 55. doi:https://doi.org/10.1057/s41267-023-00659-2.</w:t>
      </w:r>
    </w:p>
    <w:p>
      <w:pPr>
        <w:pStyle w:val="style0"/>
        <w:rPr>
          <w:rFonts w:cs="Times New Roman"/>
        </w:rPr>
      </w:pPr>
      <w:r>
        <w:rPr>
          <w:rFonts w:cs="Times New Roman"/>
        </w:rPr>
        <w:t xml:space="preserve">Luo, Y. and Tung, R.L. (2025). A multipolar geo-strategy for international business. </w:t>
      </w:r>
      <w:r>
        <w:rPr>
          <w:rFonts w:cs="Times New Roman"/>
          <w:i/>
          <w:iCs/>
        </w:rPr>
        <w:t>Journal of International Business Studies</w:t>
      </w:r>
      <w:r>
        <w:rPr>
          <w:rFonts w:cs="Times New Roman"/>
        </w:rPr>
        <w:t xml:space="preserve">. </w:t>
      </w:r>
      <w:r>
        <w:rPr/>
        <w:fldChar w:fldCharType="begin"/>
      </w:r>
      <w:r>
        <w:instrText xml:space="preserve"> HYPERLINK "https://doi.org/10.1057/s41267-025-00777-z" </w:instrText>
      </w:r>
      <w:r>
        <w:rPr/>
        <w:fldChar w:fldCharType="separate"/>
      </w:r>
      <w:r>
        <w:rPr>
          <w:rStyle w:val="style85"/>
          <w:rFonts w:cs="Times New Roman"/>
        </w:rPr>
        <w:t>https://doi.org/10.1057/s41267-025-00777-z</w:t>
      </w:r>
      <w:r>
        <w:rPr/>
        <w:fldChar w:fldCharType="end"/>
      </w:r>
      <w:r>
        <w:rPr>
          <w:rFonts w:cs="Times New Roman"/>
        </w:rPr>
        <w:t>.</w:t>
      </w:r>
      <w:r>
        <w:rPr>
          <w:rFonts w:cs="Times New Roman"/>
        </w:rPr>
        <w:t xml:space="preserve"> </w:t>
      </w:r>
    </w:p>
    <w:p>
      <w:pPr>
        <w:pStyle w:val="style0"/>
        <w:rPr/>
      </w:pPr>
      <w:r>
        <w:t xml:space="preserve">Luo, Y. and Tung, R.L. (2025). A multipolar geo-strategy for international business. </w:t>
      </w:r>
      <w:r>
        <w:rPr>
          <w:i/>
          <w:iCs/>
        </w:rPr>
        <w:t>Journal of International Business Studies</w:t>
      </w:r>
      <w:r>
        <w:t>. doi:https://doi.org/10.1057/s41267-025-00777-z.</w:t>
      </w:r>
    </w:p>
    <w:p>
      <w:pPr>
        <w:pStyle w:val="style0"/>
        <w:rPr/>
      </w:pPr>
      <w:r>
        <w:t xml:space="preserve">Lv, W.-D., Tian, D., Wei, Y. and Xi, R.-X. (2018). Innovation Resilience: A New Approach for Managing Uncertainties Concerned with Sustainable Innovation. </w:t>
      </w:r>
      <w:r>
        <w:rPr>
          <w:i/>
          <w:iCs/>
        </w:rPr>
        <w:t>Sustainability</w:t>
      </w:r>
      <w:r>
        <w:t>, 10(10), p.3641. doi:https://doi.org/10.3390/su10103641.</w:t>
      </w:r>
    </w:p>
    <w:p>
      <w:pPr>
        <w:pStyle w:val="style0"/>
        <w:rPr>
          <w:rFonts w:cs="Times New Roman"/>
        </w:rPr>
      </w:pPr>
      <w:r>
        <w:rPr>
          <w:rFonts w:cs="Times New Roman"/>
        </w:rPr>
        <w:t xml:space="preserve">Maihold, G. (2022). </w:t>
      </w:r>
      <w:r>
        <w:rPr>
          <w:rFonts w:cs="Times New Roman"/>
          <w:i/>
          <w:iCs/>
        </w:rPr>
        <w:t>A new geopolitics of supply chains: the rise of friend-shoring</w:t>
      </w:r>
      <w:r>
        <w:rPr>
          <w:rFonts w:cs="Times New Roman"/>
        </w:rPr>
        <w:t xml:space="preserve">. [online] </w:t>
      </w:r>
      <w:r>
        <w:rPr>
          <w:rFonts w:cs="Times New Roman"/>
          <w:i/>
          <w:iCs/>
        </w:rPr>
        <w:t>SSOAR</w:t>
      </w:r>
      <w:r>
        <w:rPr>
          <w:rFonts w:cs="Times New Roman"/>
        </w:rPr>
        <w:t xml:space="preserve">, Berlin: Stiftung Wissenschaft und Politik -SWP- Deutsches Institut für Internationale Politik und Sicherheit. Available at: </w:t>
      </w:r>
      <w:r>
        <w:rPr/>
        <w:fldChar w:fldCharType="begin"/>
      </w:r>
      <w:r>
        <w:instrText xml:space="preserve"> HYPERLINK "https://www.ssoar.info/ssoar/handle/document/81700" </w:instrText>
      </w:r>
      <w:r>
        <w:rPr/>
        <w:fldChar w:fldCharType="separate"/>
      </w:r>
      <w:r>
        <w:rPr>
          <w:rStyle w:val="style85"/>
          <w:rFonts w:cs="Times New Roman"/>
        </w:rPr>
        <w:t>https://www.ssoar.info/ssoar/handle/document/81700</w:t>
      </w:r>
      <w:r>
        <w:rPr/>
        <w:fldChar w:fldCharType="end"/>
      </w:r>
      <w:r>
        <w:rPr>
          <w:rFonts w:cs="Times New Roman"/>
        </w:rPr>
        <w:t>.</w:t>
      </w:r>
      <w:r>
        <w:rPr>
          <w:rFonts w:cs="Times New Roman"/>
        </w:rPr>
        <w:t xml:space="preserve"> </w:t>
      </w:r>
    </w:p>
    <w:p>
      <w:pPr>
        <w:pStyle w:val="style0"/>
        <w:rPr/>
      </w:pPr>
      <w:r>
        <w:t xml:space="preserve">Maihold, G. (2022). </w:t>
      </w:r>
      <w:r>
        <w:rPr>
          <w:i/>
          <w:iCs/>
        </w:rPr>
        <w:t>A new geopolitics of supply chains: the rise of friend-shoring</w:t>
      </w:r>
      <w:r>
        <w:t xml:space="preserve">. [online] </w:t>
      </w:r>
      <w:r>
        <w:rPr>
          <w:i/>
          <w:iCs/>
        </w:rPr>
        <w:t>SSOAR</w:t>
      </w:r>
      <w:r>
        <w:t>, Berlin: Stiftung Wissenschaft und Politik -SWP- Deutsches Institut für Internationale Politik und Sicherheit. Available at: https://www.ssoar.info/ssoar/handle/document/81700.</w:t>
      </w:r>
    </w:p>
    <w:p>
      <w:pPr>
        <w:pStyle w:val="style0"/>
        <w:rPr/>
      </w:pPr>
      <w:r>
        <w:t xml:space="preserve">McFadden, D. (2021). Quantitative Methods for Analysing Travel Behaviour of Individuals. </w:t>
      </w:r>
      <w:r>
        <w:rPr>
          <w:i/>
          <w:iCs/>
        </w:rPr>
        <w:t>Behavioural Travel Modelling</w:t>
      </w:r>
      <w:r>
        <w:t>, pp.279–318. doi:https://doi.org/10.4324/9781003156055-18.</w:t>
      </w:r>
    </w:p>
    <w:p>
      <w:pPr>
        <w:pStyle w:val="style0"/>
        <w:rPr/>
      </w:pPr>
      <w:r>
        <w:t xml:space="preserve">McKinsey &amp; Company (2017). </w:t>
      </w:r>
      <w:r>
        <w:rPr>
          <w:i/>
          <w:iCs/>
        </w:rPr>
        <w:t>The future of risk management in the digital era | McKinsey</w:t>
      </w:r>
      <w:r>
        <w:t>. [online] www.mckinsey.com. Available at: https://www.mckinsey.com/capabilities/risk-and-resilience/our-insights/the-future-of-risk-management-in-the-digital-era.</w:t>
      </w:r>
    </w:p>
    <w:p>
      <w:pPr>
        <w:pStyle w:val="style0"/>
        <w:rPr/>
      </w:pPr>
      <w:r>
        <w:t xml:space="preserve">Memon, M.A., Thurasamy, R., Ting, H. and Cheah, J.-H. (2025). PURPOSIVE SAMPLING: A REVIEW AND GUIDELINES FOR QUANTITATIVE RESEARCH. </w:t>
      </w:r>
      <w:r>
        <w:rPr>
          <w:i/>
          <w:iCs/>
        </w:rPr>
        <w:t>Journal of Applied Structural Equation Modeling</w:t>
      </w:r>
      <w:r>
        <w:t>, [online] 9(1), pp.1–23. Available at: https://jasemjournal.com/wp-content/uploads/2024/12/JASEM90101_Memonetal2025.pdf.</w:t>
      </w:r>
    </w:p>
    <w:p>
      <w:pPr>
        <w:pStyle w:val="style0"/>
        <w:rPr>
          <w:rFonts w:cs="Times New Roman"/>
        </w:rPr>
      </w:pPr>
      <w:r>
        <w:rPr>
          <w:rFonts w:cs="Times New Roman"/>
        </w:rPr>
        <w:t xml:space="preserve">Metallinou, A. (2025). Explaining EU Member States’ Engagement in Space Security and Defense: An Institutional Theory Perspective. </w:t>
      </w:r>
      <w:r>
        <w:rPr>
          <w:rFonts w:cs="Times New Roman"/>
          <w:i/>
          <w:iCs/>
        </w:rPr>
        <w:t>Cuni.cz</w:t>
      </w:r>
      <w:r>
        <w:rPr>
          <w:rFonts w:cs="Times New Roman"/>
        </w:rPr>
        <w:t xml:space="preserve">. [online] </w:t>
      </w:r>
      <w:r>
        <w:rPr/>
        <w:fldChar w:fldCharType="begin"/>
      </w:r>
      <w:r>
        <w:instrText xml:space="preserve"> HYPERLINK "http://hdl.handle.net/20.500.11956/205581" </w:instrText>
      </w:r>
      <w:r>
        <w:rPr/>
        <w:fldChar w:fldCharType="separate"/>
      </w:r>
      <w:r>
        <w:rPr>
          <w:rStyle w:val="style85"/>
          <w:rFonts w:cs="Times New Roman"/>
        </w:rPr>
        <w:t>http://hdl.handle.net/20.500.11956/205581</w:t>
      </w:r>
      <w:r>
        <w:rPr/>
        <w:fldChar w:fldCharType="end"/>
      </w:r>
      <w:r>
        <w:rPr>
          <w:rFonts w:cs="Times New Roman"/>
        </w:rPr>
        <w:t>.</w:t>
      </w:r>
      <w:r>
        <w:rPr>
          <w:rFonts w:cs="Times New Roman"/>
        </w:rPr>
        <w:t xml:space="preserve"> </w:t>
      </w:r>
    </w:p>
    <w:p>
      <w:pPr>
        <w:pStyle w:val="style0"/>
        <w:rPr/>
      </w:pPr>
      <w:r>
        <w:t xml:space="preserve">Metallinou, A. (2025). Explaining EU Member States’ Engagement in Space Security and Defense: An Institutional Theory Perspective. </w:t>
      </w:r>
      <w:r>
        <w:rPr>
          <w:i/>
          <w:iCs/>
        </w:rPr>
        <w:t>Cuni.cz</w:t>
      </w:r>
      <w:r>
        <w:t>. [online] doi:http://hdl.handle.net/20.500.11956/205581.</w:t>
      </w:r>
    </w:p>
    <w:p>
      <w:pPr>
        <w:pStyle w:val="style0"/>
        <w:rPr>
          <w:rFonts w:cs="Times New Roman"/>
        </w:rPr>
      </w:pPr>
      <w:r>
        <w:rPr>
          <w:rFonts w:cs="Times New Roman"/>
        </w:rPr>
        <w:t xml:space="preserve">Meyer, K.E. and Li, C. (2022). The MNE and its subsidiaries at times of global disruptions: An international relations perspective. </w:t>
      </w:r>
      <w:r>
        <w:rPr>
          <w:rFonts w:cs="Times New Roman"/>
          <w:i/>
          <w:iCs/>
        </w:rPr>
        <w:t>Global Strategy Journal</w:t>
      </w:r>
      <w:r>
        <w:rPr>
          <w:rFonts w:cs="Times New Roman"/>
        </w:rPr>
        <w:t xml:space="preserve">, [online] 12(3), pp.555–577. </w:t>
      </w:r>
      <w:r>
        <w:rPr/>
        <w:fldChar w:fldCharType="begin"/>
      </w:r>
      <w:r>
        <w:instrText xml:space="preserve"> HYPERLINK "https://doi.org/10.1002/gsj.1436" </w:instrText>
      </w:r>
      <w:r>
        <w:rPr/>
        <w:fldChar w:fldCharType="separate"/>
      </w:r>
      <w:r>
        <w:rPr>
          <w:rStyle w:val="style85"/>
          <w:rFonts w:cs="Times New Roman"/>
        </w:rPr>
        <w:t>https://doi.org/10.1002/gsj.1436</w:t>
      </w:r>
      <w:r>
        <w:rPr/>
        <w:fldChar w:fldCharType="end"/>
      </w:r>
      <w:r>
        <w:rPr>
          <w:rFonts w:cs="Times New Roman"/>
        </w:rPr>
        <w:t>.</w:t>
      </w:r>
      <w:r>
        <w:rPr>
          <w:rFonts w:cs="Times New Roman"/>
        </w:rPr>
        <w:t xml:space="preserve"> </w:t>
      </w:r>
    </w:p>
    <w:p>
      <w:pPr>
        <w:pStyle w:val="style0"/>
        <w:rPr/>
      </w:pPr>
      <w:r>
        <w:t xml:space="preserve">Meyer, K.E. and Li, C. (2022). The MNE and its subsidiaries at times of global disruptions: An international relations perspective. </w:t>
      </w:r>
      <w:r>
        <w:rPr>
          <w:i/>
          <w:iCs/>
        </w:rPr>
        <w:t>Global Strategy Journal</w:t>
      </w:r>
      <w:r>
        <w:t>, [online] 12(3), pp.555–577. doi:https://doi.org/10.1002/gsj.1436.</w:t>
      </w:r>
    </w:p>
    <w:p>
      <w:pPr>
        <w:pStyle w:val="style0"/>
        <w:rPr/>
      </w:pPr>
      <w:r>
        <w:t xml:space="preserve">Mikic, M., Alexander, P.T. and Gallagher, J.G. (2020). Healthcare products trade and external shocks: The US-China trade war and COVID-19 pandemics. </w:t>
      </w:r>
      <w:r>
        <w:rPr>
          <w:i/>
          <w:iCs/>
        </w:rPr>
        <w:t>Handle.net</w:t>
      </w:r>
      <w:r>
        <w:t>. [online] doi:http://hdl.handle.net/10419/217271.</w:t>
      </w:r>
    </w:p>
    <w:p>
      <w:pPr>
        <w:pStyle w:val="style0"/>
        <w:rPr/>
      </w:pPr>
      <w:r>
        <w:t xml:space="preserve">Mintrom, M. and O’Connor, R. (2020). The importance of policy narrative: effective government responses to Covid-19. </w:t>
      </w:r>
      <w:r>
        <w:rPr>
          <w:i/>
          <w:iCs/>
        </w:rPr>
        <w:t>Policy Design and Practice</w:t>
      </w:r>
      <w:r>
        <w:t>, 3(3), pp.1–23. doi:https://doi.org/10.1080/25741292.2020.1813358.</w:t>
      </w:r>
    </w:p>
    <w:p>
      <w:pPr>
        <w:pStyle w:val="style0"/>
        <w:rPr/>
      </w:pPr>
      <w:r>
        <w:t xml:space="preserve">Nardella, G., Narula, R. and Surdu, I. (2021). </w:t>
      </w:r>
      <w:r>
        <w:rPr>
          <w:i/>
          <w:iCs/>
        </w:rPr>
        <w:t>Behavioural theory and MNE decision-making: changing the narrative in international business management</w:t>
      </w:r>
      <w:r>
        <w:t>. [online] www.elgaronline.com. Available at: https://www.elgaronline.com/edcollchap/edcoll/9781789902037/9781789902037.00011.xml.</w:t>
      </w:r>
    </w:p>
    <w:p>
      <w:pPr>
        <w:pStyle w:val="style0"/>
        <w:rPr/>
      </w:pPr>
      <w:r>
        <w:t xml:space="preserve">Nasser, D.K. (2022). VU Research Repository. </w:t>
      </w:r>
      <w:r>
        <w:rPr>
          <w:i/>
          <w:iCs/>
        </w:rPr>
        <w:t>VU Research Repository | Victoria University | Melbourne Australia</w:t>
      </w:r>
      <w:r>
        <w:t>. [online] doi:https://vuir.vu.edu.au/44694/.</w:t>
      </w:r>
    </w:p>
    <w:p>
      <w:pPr>
        <w:pStyle w:val="style0"/>
        <w:rPr>
          <w:rFonts w:cs="Times New Roman"/>
        </w:rPr>
      </w:pPr>
      <w:r>
        <w:rPr>
          <w:rFonts w:cs="Times New Roman"/>
        </w:rPr>
        <w:t xml:space="preserve">Negri, M., Cagno, E., Colicchia, C. and Sarkis, J. (2021). Integrating Sustainability and Resilience in the Supply chain: a Systematic Literature Review and a Research Agenda. </w:t>
      </w:r>
      <w:r>
        <w:rPr>
          <w:rFonts w:cs="Times New Roman"/>
          <w:i/>
          <w:iCs/>
        </w:rPr>
        <w:t>Business Strategy and the Environment</w:t>
      </w:r>
      <w:r>
        <w:rPr>
          <w:rFonts w:cs="Times New Roman"/>
        </w:rPr>
        <w:t xml:space="preserve">, [online] 30(7), pp.2858–2886. </w:t>
      </w:r>
      <w:r>
        <w:rPr/>
        <w:fldChar w:fldCharType="begin"/>
      </w:r>
      <w:r>
        <w:instrText xml:space="preserve"> HYPERLINK "https://doi.org/10.1002/bse.2776" </w:instrText>
      </w:r>
      <w:r>
        <w:rPr/>
        <w:fldChar w:fldCharType="separate"/>
      </w:r>
      <w:r>
        <w:rPr>
          <w:rStyle w:val="style85"/>
          <w:rFonts w:cs="Times New Roman"/>
        </w:rPr>
        <w:t>https://doi.org/10.1002/bse.2776</w:t>
      </w:r>
      <w:r>
        <w:rPr/>
        <w:fldChar w:fldCharType="end"/>
      </w:r>
      <w:r>
        <w:rPr>
          <w:rFonts w:cs="Times New Roman"/>
        </w:rPr>
        <w:t>.</w:t>
      </w:r>
      <w:r>
        <w:rPr>
          <w:rFonts w:cs="Times New Roman"/>
        </w:rPr>
        <w:t xml:space="preserve"> </w:t>
      </w:r>
    </w:p>
    <w:p>
      <w:pPr>
        <w:pStyle w:val="style0"/>
        <w:rPr/>
      </w:pPr>
      <w:r>
        <w:t xml:space="preserve">Negri, M., Cagno, E., Colicchia, C. and Sarkis, J. (2021). Integrating Sustainability and Resilience in the Supply chain: a Systematic Literature Review and a Research Agenda. </w:t>
      </w:r>
      <w:r>
        <w:rPr>
          <w:i/>
          <w:iCs/>
        </w:rPr>
        <w:t>Business Strategy and the Environment</w:t>
      </w:r>
      <w:r>
        <w:t>, [online] 30(7), pp.2858–2886. doi:https://doi.org/10.1002/bse.2776.</w:t>
      </w:r>
    </w:p>
    <w:p>
      <w:pPr>
        <w:pStyle w:val="style0"/>
        <w:rPr>
          <w:rFonts w:cs="Times New Roman"/>
        </w:rPr>
      </w:pPr>
      <w:r>
        <w:rPr>
          <w:rFonts w:cs="Times New Roman"/>
        </w:rPr>
        <w:t xml:space="preserve">Ngandoh, A.M. (2024). Strategic Agility in Global Markets: A Review of Business Strategy and Policy. </w:t>
      </w:r>
      <w:r>
        <w:rPr>
          <w:rFonts w:cs="Times New Roman"/>
          <w:i/>
          <w:iCs/>
        </w:rPr>
        <w:t>Proceeding of Research and Civil Society Desemination</w:t>
      </w:r>
      <w:r>
        <w:rPr>
          <w:rFonts w:cs="Times New Roman"/>
        </w:rPr>
        <w:t xml:space="preserve">, [online] 2(1), pp.244–257. </w:t>
      </w:r>
      <w:r>
        <w:rPr/>
        <w:fldChar w:fldCharType="begin"/>
      </w:r>
      <w:r>
        <w:instrText xml:space="preserve"> HYPERLINK "https://doi.org/10.37476/presed.v2i1.75" </w:instrText>
      </w:r>
      <w:r>
        <w:rPr/>
        <w:fldChar w:fldCharType="separate"/>
      </w:r>
      <w:r>
        <w:rPr>
          <w:rStyle w:val="style85"/>
          <w:rFonts w:cs="Times New Roman"/>
        </w:rPr>
        <w:t>https://doi.org/10.37476/presed.v2i1.75</w:t>
      </w:r>
      <w:r>
        <w:rPr/>
        <w:fldChar w:fldCharType="end"/>
      </w:r>
      <w:r>
        <w:rPr>
          <w:rFonts w:cs="Times New Roman"/>
        </w:rPr>
        <w:t>.</w:t>
      </w:r>
      <w:r>
        <w:rPr>
          <w:rFonts w:cs="Times New Roman"/>
        </w:rPr>
        <w:t xml:space="preserve"> </w:t>
      </w:r>
    </w:p>
    <w:p>
      <w:pPr>
        <w:pStyle w:val="style0"/>
        <w:rPr/>
      </w:pPr>
      <w:r>
        <w:t xml:space="preserve">Ngandoh, A.M. (2024). Strategic Agility in Global Markets: A Review of Business Strategy and Policy. </w:t>
      </w:r>
      <w:r>
        <w:rPr>
          <w:i/>
          <w:iCs/>
        </w:rPr>
        <w:t>Proceeding of Research and Civil Society Desemination</w:t>
      </w:r>
      <w:r>
        <w:t>, [online] 2(1), pp.244–257. doi:https://doi.org/10.37476/presed.v2i1.75.</w:t>
      </w:r>
    </w:p>
    <w:p>
      <w:pPr>
        <w:pStyle w:val="style0"/>
        <w:rPr/>
      </w:pPr>
      <w:r>
        <w:rPr>
          <w:lang w:val="sv-SE"/>
        </w:rPr>
        <w:t xml:space="preserve">Nigar, N. and Kostogriz, A. (2025). </w:t>
      </w:r>
      <w:r>
        <w:t xml:space="preserve">Unraveling Professional Identity Through Lived Experiences Over Time: Employing Hermeneutic Phenomenology and Narrative Inquiry. </w:t>
      </w:r>
      <w:r>
        <w:rPr>
          <w:i/>
          <w:iCs/>
        </w:rPr>
        <w:t>SAGE Open</w:t>
      </w:r>
      <w:r>
        <w:t>, 15(3). doi:https://doi.org/10.1177/21582440251344922.</w:t>
      </w:r>
    </w:p>
    <w:p>
      <w:pPr>
        <w:pStyle w:val="style0"/>
        <w:rPr/>
      </w:pPr>
      <w:r>
        <w:t xml:space="preserve">Niu, Y., Werle, N., Cohen, M., Cui, S., Deshpande, V., Ernst, R., Huchzermeier, A., Tsay, A.A. and Wu, J. (2025). Restructuring Global Supply Chains: Navigating Challenges of the COVID-19 Pandemic and Beyond. </w:t>
      </w:r>
      <w:r>
        <w:rPr>
          <w:i/>
          <w:iCs/>
        </w:rPr>
        <w:t>Manufacturing &amp; Service Operations Management</w:t>
      </w:r>
      <w:r>
        <w:t>, 27(4). doi:https://doi.org/10.1287/msom.2024.0879.</w:t>
      </w:r>
    </w:p>
    <w:p>
      <w:pPr>
        <w:pStyle w:val="style0"/>
        <w:rPr/>
      </w:pPr>
      <w:r>
        <w:t xml:space="preserve">O’Kane, P., Smith, A. and Lerman, M.P. (2021). Building Transparency and Trustworthiness in Inductive Research Through Computer-Aided Qualitative Data Analysis Software. </w:t>
      </w:r>
      <w:r>
        <w:rPr>
          <w:i/>
          <w:iCs/>
        </w:rPr>
        <w:t>Organizational Research Methods</w:t>
      </w:r>
      <w:r>
        <w:t>, [online] 24(1), p.109442811986501. Available at: https://journals.sagepub.com/doi/abs/10.1177/1094428119865016.</w:t>
      </w:r>
    </w:p>
    <w:p>
      <w:pPr>
        <w:pStyle w:val="style0"/>
        <w:rPr>
          <w:rFonts w:cs="Times New Roman"/>
        </w:rPr>
      </w:pPr>
      <w:r>
        <w:rPr>
          <w:rFonts w:cs="Times New Roman"/>
        </w:rPr>
        <w:t xml:space="preserve">OECD (2025). </w:t>
      </w:r>
      <w:r>
        <w:rPr>
          <w:rFonts w:cs="Times New Roman"/>
          <w:i/>
          <w:iCs/>
        </w:rPr>
        <w:t>OECD Supply Chain Resilience Review</w:t>
      </w:r>
      <w:r>
        <w:rPr>
          <w:rFonts w:cs="Times New Roman"/>
        </w:rPr>
        <w:t xml:space="preserve">. [online] OECD. Available at: </w:t>
      </w:r>
      <w:r>
        <w:rPr/>
        <w:fldChar w:fldCharType="begin"/>
      </w:r>
      <w:r>
        <w:instrText xml:space="preserve"> HYPERLINK "https://www.oecd.org/en/publications/2025/06/oecd-supply-chain-resilience-review_9930d256.html" </w:instrText>
      </w:r>
      <w:r>
        <w:rPr/>
        <w:fldChar w:fldCharType="separate"/>
      </w:r>
      <w:r>
        <w:rPr>
          <w:rStyle w:val="style85"/>
          <w:rFonts w:cs="Times New Roman"/>
        </w:rPr>
        <w:t>https://www.oecd.org/en/publications/2025/06/oecd-supply-chain-resilience-review_9930d256.html</w:t>
      </w:r>
      <w:r>
        <w:rPr/>
        <w:fldChar w:fldCharType="end"/>
      </w:r>
      <w:r>
        <w:rPr>
          <w:rFonts w:cs="Times New Roman"/>
        </w:rPr>
        <w:t xml:space="preserve"> </w:t>
      </w:r>
      <w:r>
        <w:rPr>
          <w:rFonts w:cs="Times New Roman"/>
        </w:rPr>
        <w:t xml:space="preserve"> [Accessed 20 Nov. 2025].</w:t>
      </w:r>
    </w:p>
    <w:p>
      <w:pPr>
        <w:pStyle w:val="style0"/>
        <w:rPr>
          <w:rFonts w:cs="Times New Roman"/>
        </w:rPr>
      </w:pPr>
      <w:r>
        <w:rPr>
          <w:rFonts w:cs="Times New Roman"/>
        </w:rPr>
        <w:t xml:space="preserve">OECD (2025). </w:t>
      </w:r>
      <w:r>
        <w:rPr>
          <w:rFonts w:cs="Times New Roman"/>
          <w:i/>
          <w:iCs/>
        </w:rPr>
        <w:t>OECD Supply Chain Resilience Review</w:t>
      </w:r>
      <w:r>
        <w:rPr>
          <w:rFonts w:cs="Times New Roman"/>
        </w:rPr>
        <w:t>. [online] OECD. Available at: https://www.oecd.org/en/publications/2025/06/oecd-supply-chain-resilience-review_9930d256.html [Accessed 20 Nov. 2025].</w:t>
      </w:r>
    </w:p>
    <w:p>
      <w:pPr>
        <w:pStyle w:val="style0"/>
        <w:rPr>
          <w:rFonts w:cs="Times New Roman"/>
        </w:rPr>
      </w:pPr>
      <w:r>
        <w:rPr>
          <w:rFonts w:cs="Times New Roman"/>
        </w:rPr>
        <w:t xml:space="preserve">Oteri, O.J., Onukwulu, E.C., Igwe, A.N., Mikki Ewim, C.P. -, Ibeh, A.I. and Sobowale, A. (2023). Cost Optimization in Logistics Product Management: Strategies for Operational Efficiency and Profitability. </w:t>
      </w:r>
      <w:r>
        <w:rPr>
          <w:rFonts w:cs="Times New Roman"/>
          <w:i/>
          <w:iCs/>
        </w:rPr>
        <w:t>International Journal of Multidisciplinary Research and Growth Evaluation</w:t>
      </w:r>
      <w:r>
        <w:rPr>
          <w:rFonts w:cs="Times New Roman"/>
        </w:rPr>
        <w:t xml:space="preserve">, [online] 4(1), pp.852–860. </w:t>
      </w:r>
      <w:r>
        <w:rPr/>
        <w:fldChar w:fldCharType="begin"/>
      </w:r>
      <w:r>
        <w:instrText xml:space="preserve"> HYPERLINK "https://doi.org/10.54660/.ijmrge.2023.4.1-852-860" </w:instrText>
      </w:r>
      <w:r>
        <w:rPr/>
        <w:fldChar w:fldCharType="separate"/>
      </w:r>
      <w:r>
        <w:rPr>
          <w:rStyle w:val="style85"/>
          <w:rFonts w:cs="Times New Roman"/>
        </w:rPr>
        <w:t>https://doi.org/10.54660/.ijmrge.2023.4.1-852-860</w:t>
      </w:r>
      <w:r>
        <w:rPr/>
        <w:fldChar w:fldCharType="end"/>
      </w:r>
      <w:r>
        <w:rPr>
          <w:rFonts w:cs="Times New Roman"/>
        </w:rPr>
        <w:t>.</w:t>
      </w:r>
      <w:r>
        <w:rPr>
          <w:rFonts w:cs="Times New Roman"/>
        </w:rPr>
        <w:t xml:space="preserve"> </w:t>
      </w:r>
    </w:p>
    <w:p>
      <w:pPr>
        <w:pStyle w:val="style0"/>
        <w:rPr/>
      </w:pPr>
      <w:r>
        <w:t xml:space="preserve">Oteri, O.J., Onukwulu, E.C., Igwe, A.N., Mikki Ewim, C.P. -, Ibeh, A.I. and Sobowale, A. (2023). Cost Optimization in Logistics Product Management: Strategies for Operational Efficiency and Profitability. </w:t>
      </w:r>
      <w:r>
        <w:rPr>
          <w:i/>
          <w:iCs/>
        </w:rPr>
        <w:t>International Journal of Multidisciplinary Research and Growth Evaluation</w:t>
      </w:r>
      <w:r>
        <w:t>, [online] 4(1), pp.852–860. doi:https://doi.org/10.54660/.ijmrge.2023.4.1-852-860.</w:t>
      </w:r>
    </w:p>
    <w:p>
      <w:pPr>
        <w:pStyle w:val="style0"/>
        <w:rPr/>
      </w:pPr>
      <w:r>
        <w:t xml:space="preserve">Petricevic, O. and Teece, D.J. (2019). The structural reshaping of globalization: Implications for strategic sectors, profiting from innovation, and the multinational enterprise. </w:t>
      </w:r>
      <w:r>
        <w:rPr>
          <w:i/>
          <w:iCs/>
        </w:rPr>
        <w:t xml:space="preserve">Journal of </w:t>
      </w:r>
      <w:r>
        <w:rPr>
          <w:i/>
          <w:iCs/>
        </w:rPr>
        <w:t>International Business Studies</w:t>
      </w:r>
      <w:r>
        <w:t>, 50(1), pp.1487–1512. doi:https://doi.org/10.1057/s41267-019-00269-x.</w:t>
      </w:r>
    </w:p>
    <w:p>
      <w:pPr>
        <w:pStyle w:val="style0"/>
        <w:rPr/>
      </w:pPr>
      <w:r>
        <w:t xml:space="preserve">Petukhov, A. (2019). Non-diversifiable Risk and Endogenous Innovation. </w:t>
      </w:r>
      <w:r>
        <w:rPr>
          <w:i/>
          <w:iCs/>
        </w:rPr>
        <w:t>SSRN Electronic Journal</w:t>
      </w:r>
      <w:r>
        <w:t>. doi:https://doi.org/10.2139/ssrn.3386232.</w:t>
      </w:r>
    </w:p>
    <w:p>
      <w:pPr>
        <w:pStyle w:val="style0"/>
        <w:rPr/>
      </w:pPr>
      <w:r>
        <w:t xml:space="preserve">Ponte, S., Gereffi, G. and Raj-Reichert, G. (2019). Introduction to the Handbook on Global Value Chains. </w:t>
      </w:r>
      <w:r>
        <w:rPr>
          <w:i/>
          <w:iCs/>
        </w:rPr>
        <w:t>Handbook on Global Value Chains</w:t>
      </w:r>
      <w:r>
        <w:t>, [online] pp.1–27. Available at: https://www.elgaronline.com/abstract/edcoll/9781788113762/9781788113762.00005.xml.</w:t>
      </w:r>
    </w:p>
    <w:p>
      <w:pPr>
        <w:pStyle w:val="style0"/>
        <w:rPr>
          <w:rFonts w:cs="Times New Roman"/>
        </w:rPr>
      </w:pPr>
      <w:r>
        <w:rPr>
          <w:rFonts w:cs="Times New Roman"/>
        </w:rPr>
        <w:t xml:space="preserve">Pratono, A.H., Han, L. and Maharani, A. (2023). Global supply chain resilience with the flexible partnership. </w:t>
      </w:r>
      <w:r>
        <w:rPr>
          <w:rFonts w:cs="Times New Roman"/>
          <w:i/>
          <w:iCs/>
        </w:rPr>
        <w:t>Modern Supply Chain Research and Applications</w:t>
      </w:r>
      <w:r>
        <w:rPr>
          <w:rFonts w:cs="Times New Roman"/>
        </w:rPr>
        <w:t>. doi:https://doi.org/10.1108/mscra-05-2022-0014.</w:t>
      </w:r>
    </w:p>
    <w:p>
      <w:pPr>
        <w:pStyle w:val="style0"/>
        <w:rPr/>
      </w:pPr>
      <w:r>
        <w:t xml:space="preserve">Queiroz, M.M., Pereira, S.C.F., Telles, R. and Machado, M.C. (2021). Industry 4.0 and digital supply chain capabilities. </w:t>
      </w:r>
      <w:r>
        <w:rPr>
          <w:i/>
          <w:iCs/>
        </w:rPr>
        <w:t>Benchmarking: An International Journal</w:t>
      </w:r>
      <w:r>
        <w:t>, ahead-of-print(ahead-of-print). doi:https://doi.org/10.1108/bij-12-2018-0435.</w:t>
      </w:r>
    </w:p>
    <w:p>
      <w:pPr>
        <w:pStyle w:val="style0"/>
        <w:rPr>
          <w:rFonts w:cs="Times New Roman"/>
        </w:rPr>
      </w:pPr>
      <w:r>
        <w:rPr>
          <w:rFonts w:cs="Times New Roman"/>
        </w:rPr>
        <w:t xml:space="preserve">Rabinovych, M. and Pintsch, A. (2023). Sustainable Development: A Common Denominator for the EU’s Policy Towards the Eastern Partnership? </w:t>
      </w:r>
      <w:r>
        <w:rPr>
          <w:rFonts w:cs="Times New Roman"/>
          <w:i/>
          <w:iCs/>
        </w:rPr>
        <w:t>The International Spectator</w:t>
      </w:r>
      <w:r>
        <w:rPr>
          <w:rFonts w:cs="Times New Roman"/>
        </w:rPr>
        <w:t xml:space="preserve">, 58(1), pp.38–57. </w:t>
      </w:r>
      <w:r>
        <w:rPr/>
        <w:fldChar w:fldCharType="begin"/>
      </w:r>
      <w:r>
        <w:instrText xml:space="preserve"> HYPERLINK "https://doi.org/10.1080/03932729.2023.2165774" </w:instrText>
      </w:r>
      <w:r>
        <w:rPr/>
        <w:fldChar w:fldCharType="separate"/>
      </w:r>
      <w:r>
        <w:rPr>
          <w:rStyle w:val="style85"/>
          <w:rFonts w:cs="Times New Roman"/>
        </w:rPr>
        <w:t>https://doi.org/10.1080/03932729.2023.2165774</w:t>
      </w:r>
      <w:r>
        <w:rPr/>
        <w:fldChar w:fldCharType="end"/>
      </w:r>
      <w:r>
        <w:rPr>
          <w:rFonts w:cs="Times New Roman"/>
        </w:rPr>
        <w:t>.</w:t>
      </w:r>
      <w:r>
        <w:rPr>
          <w:rFonts w:cs="Times New Roman"/>
        </w:rPr>
        <w:t xml:space="preserve"> </w:t>
      </w:r>
    </w:p>
    <w:p>
      <w:pPr>
        <w:pStyle w:val="style0"/>
        <w:rPr/>
      </w:pPr>
      <w:r>
        <w:t xml:space="preserve">Rabinovych, M. and Pintsch, A. (2023). Sustainable Development: A Common Denominator for the EU’s Policy Towards the Eastern Partnership? </w:t>
      </w:r>
      <w:r>
        <w:rPr>
          <w:i/>
          <w:iCs/>
        </w:rPr>
        <w:t>The International Spectator</w:t>
      </w:r>
      <w:r>
        <w:t>, 58(1), pp.38–57. doi:https://doi.org/10.1080/03932729.2023.2165774.</w:t>
      </w:r>
    </w:p>
    <w:p>
      <w:pPr>
        <w:pStyle w:val="style0"/>
        <w:rPr>
          <w:rFonts w:cs="Times New Roman"/>
        </w:rPr>
      </w:pPr>
      <w:r>
        <w:rPr>
          <w:rFonts w:cs="Times New Roman"/>
        </w:rPr>
        <w:t xml:space="preserve">Rehman, M.U. (2025). Integrating AI, Blockchain, and IoT for Sustainable and Resilient Global Supply Chains. </w:t>
      </w:r>
      <w:r>
        <w:rPr>
          <w:rFonts w:cs="Times New Roman"/>
          <w:i/>
          <w:iCs/>
        </w:rPr>
        <w:t>Bulletin of Management Review</w:t>
      </w:r>
      <w:r>
        <w:rPr>
          <w:rFonts w:cs="Times New Roman"/>
        </w:rPr>
        <w:t xml:space="preserve">, [online] 2(3), pp.150–168. Available at: </w:t>
      </w:r>
      <w:r>
        <w:rPr/>
        <w:fldChar w:fldCharType="begin"/>
      </w:r>
      <w:r>
        <w:instrText xml:space="preserve"> HYPERLINK "https://bulletinofmanagementreview.com/index.php/Journal/article/view/209" </w:instrText>
      </w:r>
      <w:r>
        <w:rPr/>
        <w:fldChar w:fldCharType="separate"/>
      </w:r>
      <w:r>
        <w:rPr>
          <w:rStyle w:val="style85"/>
          <w:rFonts w:cs="Times New Roman"/>
        </w:rPr>
        <w:t>https://bulletinofmanagementreview.com/index.php/Journal/article/view/209</w:t>
      </w:r>
      <w:r>
        <w:rPr/>
        <w:fldChar w:fldCharType="end"/>
      </w:r>
      <w:r>
        <w:rPr>
          <w:rFonts w:cs="Times New Roman"/>
        </w:rPr>
        <w:t>.</w:t>
      </w:r>
      <w:r>
        <w:rPr>
          <w:rFonts w:cs="Times New Roman"/>
        </w:rPr>
        <w:t xml:space="preserve"> </w:t>
      </w:r>
    </w:p>
    <w:p>
      <w:pPr>
        <w:pStyle w:val="style0"/>
        <w:rPr/>
      </w:pPr>
      <w:r>
        <w:t xml:space="preserve">Rehman, M.U. (2025). Integrating AI, Blockchain, and IoT for Sustainable and Resilient Global Supply Chains. </w:t>
      </w:r>
      <w:r>
        <w:rPr>
          <w:i/>
          <w:iCs/>
        </w:rPr>
        <w:t>Bulletin of Management Review</w:t>
      </w:r>
      <w:r>
        <w:t>, [online] 2(3), pp.150–168. Available at: https://bulletinofmanagementreview.com/index.php/Journal/article/view/209.</w:t>
      </w:r>
    </w:p>
    <w:p>
      <w:pPr>
        <w:pStyle w:val="style0"/>
        <w:rPr/>
      </w:pPr>
      <w:r>
        <w:t xml:space="preserve">Rheinhardt, A. and Gioia, D.A. (2021). Upside-Down Organizational Change. </w:t>
      </w:r>
      <w:r>
        <w:rPr>
          <w:i/>
          <w:iCs/>
        </w:rPr>
        <w:t>The Oxford Handbook of Organizational Change and Innovation</w:t>
      </w:r>
      <w:r>
        <w:t>, [online] pp.77–105. doi:https://doi.org/10.1093/oxfordhb/9780198845973.013.4.</w:t>
      </w:r>
    </w:p>
    <w:p>
      <w:pPr>
        <w:pStyle w:val="style0"/>
        <w:rPr/>
      </w:pPr>
      <w:r>
        <w:rPr>
          <w:lang w:val="sv-SE"/>
        </w:rPr>
        <w:t xml:space="preserve">Röell, C., Arndt, F. and Kumar, V. (2022). </w:t>
      </w:r>
      <w:r>
        <w:t xml:space="preserve">A Blessing and a Curse: Institutional Embeddedness of Longstanding MNE Subsidiaries in Emerging Markets. </w:t>
      </w:r>
      <w:r>
        <w:rPr>
          <w:i/>
          <w:iCs/>
        </w:rPr>
        <w:t>Journal of Management Studies</w:t>
      </w:r>
      <w:r>
        <w:t>, 61(2). doi:https://doi.org/10.1111/joms.12817.</w:t>
      </w:r>
    </w:p>
    <w:p>
      <w:pPr>
        <w:pStyle w:val="style0"/>
        <w:rPr>
          <w:rFonts w:cs="Times New Roman"/>
        </w:rPr>
      </w:pPr>
      <w:r>
        <w:rPr>
          <w:rFonts w:cs="Times New Roman"/>
        </w:rPr>
        <w:t xml:space="preserve">Rudnik, R., Kalinin, A., Korovkin, V. and Lazariva, A. (2025). </w:t>
      </w:r>
      <w:r>
        <w:rPr>
          <w:rFonts w:cs="Times New Roman"/>
        </w:rPr>
        <w:t xml:space="preserve">Dots and Lines: The Changing Pattern of Global Logistics. </w:t>
      </w:r>
      <w:r>
        <w:rPr>
          <w:rFonts w:cs="Times New Roman"/>
          <w:i/>
          <w:iCs/>
        </w:rPr>
        <w:t>SSRN Electronic Journal</w:t>
      </w:r>
      <w:r>
        <w:rPr>
          <w:rFonts w:cs="Times New Roman"/>
        </w:rPr>
        <w:t xml:space="preserve">. [online] </w:t>
      </w:r>
      <w:r>
        <w:rPr/>
        <w:fldChar w:fldCharType="begin"/>
      </w:r>
      <w:r>
        <w:instrText xml:space="preserve"> HYPERLINK "https://doi.org/10.2139/ssrn.5328620" </w:instrText>
      </w:r>
      <w:r>
        <w:rPr/>
        <w:fldChar w:fldCharType="separate"/>
      </w:r>
      <w:r>
        <w:rPr>
          <w:rStyle w:val="style85"/>
          <w:rFonts w:cs="Times New Roman"/>
        </w:rPr>
        <w:t>https://doi.org/10.2139/ssrn.5328620</w:t>
      </w:r>
      <w:r>
        <w:rPr/>
        <w:fldChar w:fldCharType="end"/>
      </w:r>
      <w:r>
        <w:rPr>
          <w:rFonts w:cs="Times New Roman"/>
        </w:rPr>
        <w:t>.</w:t>
      </w:r>
      <w:r>
        <w:rPr>
          <w:rFonts w:cs="Times New Roman"/>
        </w:rPr>
        <w:t xml:space="preserve"> </w:t>
      </w:r>
    </w:p>
    <w:p>
      <w:pPr>
        <w:pStyle w:val="style0"/>
        <w:rPr/>
      </w:pPr>
      <w:r>
        <w:t xml:space="preserve">Rudnik, R., Kalinin, A., Korovkin, V. and Lazariva, A. (2025). </w:t>
      </w:r>
      <w:r>
        <w:t xml:space="preserve">Dots and Lines: The Changing Pattern of Global Logistics. </w:t>
      </w:r>
      <w:r>
        <w:rPr>
          <w:i/>
          <w:iCs/>
        </w:rPr>
        <w:t>SSRN Electronic Journal</w:t>
      </w:r>
      <w:r>
        <w:t>. [online] doi:https://doi.org/10.2139/ssrn.5328620.</w:t>
      </w:r>
    </w:p>
    <w:p>
      <w:pPr>
        <w:pStyle w:val="style0"/>
        <w:rPr>
          <w:rFonts w:cs="Times New Roman"/>
        </w:rPr>
      </w:pPr>
      <w:r>
        <w:rPr>
          <w:rFonts w:cs="Times New Roman"/>
        </w:rPr>
        <w:t xml:space="preserve">Sacco, F. (2024). Resilience building mechanisms within Global Value Chains: coping with uncertainty and addressing sustainability opportunities. </w:t>
      </w:r>
      <w:r>
        <w:rPr>
          <w:rFonts w:cs="Times New Roman"/>
          <w:i/>
          <w:iCs/>
        </w:rPr>
        <w:t>Depositolegale.it</w:t>
      </w:r>
      <w:r>
        <w:rPr>
          <w:rFonts w:cs="Times New Roman"/>
        </w:rPr>
        <w:t xml:space="preserve">. [online] </w:t>
      </w:r>
      <w:r>
        <w:rPr/>
        <w:fldChar w:fldCharType="begin"/>
      </w:r>
      <w:r>
        <w:instrText xml:space="preserve"> HYPERLINK "https://hdl.handle.net/20.500.14242/158476" </w:instrText>
      </w:r>
      <w:r>
        <w:rPr/>
        <w:fldChar w:fldCharType="separate"/>
      </w:r>
      <w:r>
        <w:rPr>
          <w:rStyle w:val="style85"/>
          <w:rFonts w:cs="Times New Roman"/>
        </w:rPr>
        <w:t>https://hdl.handle.net/20.500.14242/158476</w:t>
      </w:r>
      <w:r>
        <w:rPr/>
        <w:fldChar w:fldCharType="end"/>
      </w:r>
      <w:r>
        <w:rPr>
          <w:rFonts w:cs="Times New Roman"/>
        </w:rPr>
        <w:t>.</w:t>
      </w:r>
      <w:r>
        <w:rPr>
          <w:rFonts w:cs="Times New Roman"/>
        </w:rPr>
        <w:t xml:space="preserve"> </w:t>
      </w:r>
    </w:p>
    <w:p>
      <w:pPr>
        <w:pStyle w:val="style0"/>
        <w:rPr/>
      </w:pPr>
      <w:r>
        <w:t xml:space="preserve">Sacco, F. (2024). Resilience building mechanisms within Global Value Chains: coping with uncertainty and addressing sustainability opportunities. </w:t>
      </w:r>
      <w:r>
        <w:rPr>
          <w:i/>
          <w:iCs/>
        </w:rPr>
        <w:t>Depositolegale.it</w:t>
      </w:r>
      <w:r>
        <w:t>. [online] doi:https://hdl.handle.net/20.500.14242/158476.</w:t>
      </w:r>
    </w:p>
    <w:p>
      <w:pPr>
        <w:pStyle w:val="style0"/>
        <w:rPr>
          <w:rFonts w:cs="Times New Roman"/>
          <w:lang w:val="sv-SE"/>
        </w:rPr>
      </w:pPr>
      <w:r>
        <w:rPr>
          <w:rFonts w:cs="Times New Roman"/>
        </w:rPr>
        <w:t xml:space="preserve">Samara, E., Pavlos Kilintzis, Nicos Komninos, Anastasiou, A. and Martinidis, G. (2024). </w:t>
      </w:r>
      <w:r>
        <w:rPr>
          <w:rFonts w:cs="Times New Roman"/>
        </w:rPr>
        <w:t xml:space="preserve">Assessment of Smart Technologies in Regional Innovation Systems: A Novel Methodological Approach to the Regionalisation of National Indicators. </w:t>
      </w:r>
      <w:r>
        <w:rPr>
          <w:rFonts w:cs="Times New Roman"/>
          <w:i/>
          <w:iCs/>
          <w:lang w:val="sv-SE"/>
        </w:rPr>
        <w:t>Systems</w:t>
      </w:r>
      <w:r>
        <w:rPr>
          <w:rFonts w:cs="Times New Roman"/>
          <w:lang w:val="sv-SE"/>
        </w:rPr>
        <w:t xml:space="preserve">, 12(1), pp.12–12. </w:t>
      </w:r>
      <w:r>
        <w:rPr/>
        <w:fldChar w:fldCharType="begin"/>
      </w:r>
      <w:r>
        <w:instrText xml:space="preserve"> HYPERLINK "https://doi.org/10.3390/systems12010012" </w:instrText>
      </w:r>
      <w:r>
        <w:rPr/>
        <w:fldChar w:fldCharType="separate"/>
      </w:r>
      <w:r>
        <w:rPr>
          <w:rStyle w:val="style85"/>
          <w:rFonts w:cs="Times New Roman"/>
          <w:lang w:val="sv-SE"/>
        </w:rPr>
        <w:t>https://doi.org/10.3390/systems12010012</w:t>
      </w:r>
      <w:r>
        <w:rPr/>
        <w:fldChar w:fldCharType="end"/>
      </w:r>
      <w:r>
        <w:rPr>
          <w:rFonts w:cs="Times New Roman"/>
          <w:lang w:val="sv-SE"/>
        </w:rPr>
        <w:t xml:space="preserve">. </w:t>
      </w:r>
    </w:p>
    <w:p>
      <w:pPr>
        <w:pStyle w:val="style0"/>
        <w:rPr/>
      </w:pPr>
      <w:r>
        <w:rPr>
          <w:lang w:val="sv-SE"/>
        </w:rPr>
        <w:t xml:space="preserve">Samara, E., Pavlos Kilintzis, Nicos Komninos, Anastasiou, A. and Martinidis, G. (2024). </w:t>
      </w:r>
      <w:r>
        <w:t xml:space="preserve">Assessment of Smart Technologies in Regional Innovation Systems: A Novel Methodological Approach to the Regionalisation of National Indicators. </w:t>
      </w:r>
      <w:r>
        <w:rPr>
          <w:i/>
          <w:iCs/>
        </w:rPr>
        <w:t>Systems</w:t>
      </w:r>
      <w:r>
        <w:t>, 12(1), pp.12–12. doi:https://doi.org/10.3390/systems12010012.</w:t>
      </w:r>
    </w:p>
    <w:p>
      <w:pPr>
        <w:pStyle w:val="style0"/>
        <w:rPr>
          <w:rFonts w:cs="Times New Roman"/>
        </w:rPr>
      </w:pPr>
      <w:r>
        <w:rPr>
          <w:rFonts w:cs="Times New Roman"/>
        </w:rPr>
        <w:t xml:space="preserve">Sandberg, J. and Tsoukas, H. (2020). Sensemaking Reconsidered: Towards a broader understanding through phenomenology. </w:t>
      </w:r>
      <w:r>
        <w:rPr>
          <w:rFonts w:cs="Times New Roman"/>
          <w:i/>
          <w:iCs/>
        </w:rPr>
        <w:t>Organization Theory</w:t>
      </w:r>
      <w:r>
        <w:rPr>
          <w:rFonts w:cs="Times New Roman"/>
        </w:rPr>
        <w:t xml:space="preserve">, 1(1), p.263178771987993. </w:t>
      </w:r>
      <w:r>
        <w:rPr/>
        <w:fldChar w:fldCharType="begin"/>
      </w:r>
      <w:r>
        <w:instrText xml:space="preserve"> HYPERLINK "https://doi.org/10.1177/2631787719879937" </w:instrText>
      </w:r>
      <w:r>
        <w:rPr/>
        <w:fldChar w:fldCharType="separate"/>
      </w:r>
      <w:r>
        <w:rPr>
          <w:rStyle w:val="style85"/>
          <w:rFonts w:cs="Times New Roman"/>
        </w:rPr>
        <w:t>https://doi.org/10.1177/2631787719879937</w:t>
      </w:r>
      <w:r>
        <w:rPr/>
        <w:fldChar w:fldCharType="end"/>
      </w:r>
      <w:r>
        <w:rPr>
          <w:rFonts w:cs="Times New Roman"/>
        </w:rPr>
        <w:t>.</w:t>
      </w:r>
    </w:p>
    <w:p>
      <w:pPr>
        <w:pStyle w:val="style0"/>
        <w:rPr/>
      </w:pPr>
      <w:r>
        <w:t xml:space="preserve">Sandberg, J. and Tsoukas, H. (2020). Sensemaking Reconsidered: Towards a broader understanding through phenomenology. </w:t>
      </w:r>
      <w:r>
        <w:rPr>
          <w:i/>
          <w:iCs/>
        </w:rPr>
        <w:t>Organization Theory</w:t>
      </w:r>
      <w:r>
        <w:t>, 1(1), p.263178771987993. doi:https://doi.org/10.1177/2631787719879937.</w:t>
      </w:r>
    </w:p>
    <w:p>
      <w:pPr>
        <w:pStyle w:val="style0"/>
        <w:rPr/>
      </w:pPr>
      <w:r>
        <w:t xml:space="preserve">Sardo, S., Kuppler, S. and Scheer, D. (2025). Beyond short-termism: Strategies and perspectives for the long-term governance of socio-technical change. </w:t>
      </w:r>
      <w:r>
        <w:rPr>
          <w:i/>
          <w:iCs/>
        </w:rPr>
        <w:t>TATuP - Zeitschrift für Technikfolgenabschätzung in Theorie und Praxis</w:t>
      </w:r>
      <w:r>
        <w:t>, [online] 34(2), pp.8–60. doi:https://doi.org/10.14512/tatup.7196.</w:t>
      </w:r>
    </w:p>
    <w:p>
      <w:pPr>
        <w:pStyle w:val="style0"/>
        <w:rPr>
          <w:rFonts w:cs="Times New Roman"/>
        </w:rPr>
      </w:pPr>
      <w:r>
        <w:rPr>
          <w:rFonts w:cs="Times New Roman"/>
        </w:rPr>
        <w:t xml:space="preserve">Saunders, M., Lewis, P. &amp; Thornhill, A., 2019. </w:t>
      </w:r>
      <w:r>
        <w:rPr>
          <w:rFonts w:cs="Times New Roman"/>
          <w:i/>
          <w:iCs/>
        </w:rPr>
        <w:t>Research Methods for Business Students</w:t>
      </w:r>
      <w:r>
        <w:rPr>
          <w:rFonts w:cs="Times New Roman"/>
        </w:rPr>
        <w:t>. 8th ed. Harlow: Pearson Education.</w:t>
      </w:r>
    </w:p>
    <w:p>
      <w:pPr>
        <w:pStyle w:val="style0"/>
        <w:rPr>
          <w:rFonts w:cs="Times New Roman"/>
        </w:rPr>
      </w:pPr>
      <w:r>
        <w:rPr>
          <w:rFonts w:cs="Times New Roman"/>
        </w:rPr>
        <w:t xml:space="preserve">Schmidt, J. and Foss, N.J. (2023). Modularity, Adaptation Problems, and the Governance and Problem-Solving Capabilities of Core Firms in Ecosystems. </w:t>
      </w:r>
      <w:r>
        <w:rPr>
          <w:rFonts w:cs="Times New Roman"/>
          <w:i/>
          <w:iCs/>
        </w:rPr>
        <w:t>Journal of Management</w:t>
      </w:r>
      <w:r>
        <w:rPr>
          <w:rFonts w:cs="Times New Roman"/>
        </w:rPr>
        <w:t xml:space="preserve">. </w:t>
      </w:r>
      <w:r>
        <w:rPr/>
        <w:fldChar w:fldCharType="begin"/>
      </w:r>
      <w:r>
        <w:instrText xml:space="preserve"> HYPERLINK "https://doi.org/10.1177/01492063231215023" </w:instrText>
      </w:r>
      <w:r>
        <w:rPr/>
        <w:fldChar w:fldCharType="separate"/>
      </w:r>
      <w:r>
        <w:rPr>
          <w:rStyle w:val="style85"/>
          <w:rFonts w:cs="Times New Roman"/>
        </w:rPr>
        <w:t>https://doi.org/10.1177/01492063231215023</w:t>
      </w:r>
      <w:r>
        <w:rPr/>
        <w:fldChar w:fldCharType="end"/>
      </w:r>
      <w:r>
        <w:rPr>
          <w:rFonts w:cs="Times New Roman"/>
        </w:rPr>
        <w:t>.</w:t>
      </w:r>
      <w:r>
        <w:rPr>
          <w:rFonts w:cs="Times New Roman"/>
        </w:rPr>
        <w:t xml:space="preserve"> </w:t>
      </w:r>
    </w:p>
    <w:p>
      <w:pPr>
        <w:pStyle w:val="style0"/>
        <w:rPr/>
      </w:pPr>
      <w:r>
        <w:t xml:space="preserve">Schmidt, J. and Foss, N.J. (2023). Modularity, Adaptation Problems, and the Governance and Problem-Solving Capabilities of Core Firms in Ecosystems. </w:t>
      </w:r>
      <w:r>
        <w:rPr>
          <w:i/>
          <w:iCs/>
        </w:rPr>
        <w:t>Journal of Management</w:t>
      </w:r>
      <w:r>
        <w:t>. doi:https://doi.org/10.1177/01492063231215023.</w:t>
      </w:r>
    </w:p>
    <w:p>
      <w:pPr>
        <w:pStyle w:val="style0"/>
        <w:rPr/>
      </w:pPr>
      <w:r>
        <w:t xml:space="preserve">Sen, S., Kotlarsky, J. and Budhwar, P. (2020). Extending Organizational Boundaries Through Outsourcing: Toward a Dynamic Risk-Management Capability Framework. </w:t>
      </w:r>
      <w:r>
        <w:rPr>
          <w:i/>
          <w:iCs/>
        </w:rPr>
        <w:t>Academy of Management Perspectives</w:t>
      </w:r>
      <w:r>
        <w:t>, 34(1), pp.97–113. doi:https://doi.org/10.5465/amp.2015.0191.</w:t>
      </w:r>
    </w:p>
    <w:p>
      <w:pPr>
        <w:pStyle w:val="style0"/>
        <w:rPr>
          <w:rFonts w:cs="Times New Roman"/>
        </w:rPr>
      </w:pPr>
      <w:r>
        <w:rPr>
          <w:rFonts w:cs="Times New Roman"/>
        </w:rPr>
        <w:t xml:space="preserve">Şerbetçioğlu, C. and Oflaç, B.S. (2024). Emerging Trends in Supply Chain Resilience: A Systematic Literature Review. </w:t>
      </w:r>
      <w:r>
        <w:rPr>
          <w:rFonts w:cs="Times New Roman"/>
          <w:i/>
          <w:iCs/>
        </w:rPr>
        <w:t>Markets, Globalization &amp; Development Review</w:t>
      </w:r>
      <w:r>
        <w:rPr>
          <w:rFonts w:cs="Times New Roman"/>
        </w:rPr>
        <w:t>, 9(4). doi:https://doi.org/10.23860/mgdr-2024-09-04-04.</w:t>
      </w:r>
    </w:p>
    <w:p>
      <w:pPr>
        <w:pStyle w:val="style0"/>
        <w:rPr/>
      </w:pPr>
      <w:r>
        <w:t xml:space="preserve">Shams, R., Vrontis, D., Belyaeva, Z., Ferraris, A. and Czinkota, M.R. (2020). Strategic agility in international business: A conceptual framework for ‘agile’ multinationals. </w:t>
      </w:r>
      <w:r>
        <w:rPr>
          <w:i/>
          <w:iCs/>
        </w:rPr>
        <w:t>Journal of International Management</w:t>
      </w:r>
      <w:r>
        <w:t>, 27(1), p.100737. doi:https://doi.org/10.1016/j.intman.2020.100737.</w:t>
      </w:r>
    </w:p>
    <w:p>
      <w:pPr>
        <w:pStyle w:val="style0"/>
        <w:rPr/>
      </w:pPr>
      <w:r>
        <w:t xml:space="preserve">Siems, E., Seuring, S. and Schilling, L. (2022). Stakeholder roles in sustainable supply chain management: a literature review. </w:t>
      </w:r>
      <w:r>
        <w:rPr>
          <w:i/>
          <w:iCs/>
        </w:rPr>
        <w:t>Journal of Business Economics</w:t>
      </w:r>
      <w:r>
        <w:t>, [online] 93(4), pp.747–775. doi:https://doi.org/10.1007/s11573-022-01117-5.</w:t>
      </w:r>
    </w:p>
    <w:p>
      <w:pPr>
        <w:pStyle w:val="style0"/>
        <w:rPr/>
      </w:pPr>
      <w:r>
        <w:t xml:space="preserve">Smith, P. and Beretta, M. (2020). The Gordian Knot of Practicing Digital Transformation: Coping with Emergent Paradoxes in Ambidextrous Organizing Structures*. </w:t>
      </w:r>
      <w:r>
        <w:rPr>
          <w:i/>
          <w:iCs/>
        </w:rPr>
        <w:t>Journal of Product Innovation Management</w:t>
      </w:r>
      <w:r>
        <w:t>, 38(1). doi:https://doi.org/10.1111/jpim.12548.</w:t>
      </w:r>
    </w:p>
    <w:p>
      <w:pPr>
        <w:pStyle w:val="style0"/>
        <w:rPr>
          <w:rFonts w:cs="Times New Roman"/>
        </w:rPr>
      </w:pPr>
      <w:r>
        <w:rPr>
          <w:rFonts w:cs="Times New Roman"/>
        </w:rPr>
        <w:t xml:space="preserve">Sultana, S., Paul, N., Tasmin, M., Dutta, A.K. and Khan, S.A. (2024). Analyzing Supply Chain Risks and Resilience Strategies: A Systematic Literature Review. </w:t>
      </w:r>
      <w:r>
        <w:rPr>
          <w:rFonts w:cs="Times New Roman"/>
          <w:i/>
          <w:iCs/>
        </w:rPr>
        <w:t>Engineering Proceedings</w:t>
      </w:r>
      <w:r>
        <w:rPr>
          <w:rFonts w:cs="Times New Roman"/>
        </w:rPr>
        <w:t>, 76(1), pp.41–41. doi:https://doi.org/10.3390/engproc2024076041.</w:t>
      </w:r>
    </w:p>
    <w:p>
      <w:pPr>
        <w:pStyle w:val="style0"/>
        <w:rPr>
          <w:rFonts w:cs="Times New Roman"/>
        </w:rPr>
      </w:pPr>
      <w:r>
        <w:rPr>
          <w:rFonts w:cs="Times New Roman"/>
        </w:rPr>
        <w:t xml:space="preserve">Teece, D.J. (2022). The Evolution of the Dynamic Capabilities Framework. </w:t>
      </w:r>
      <w:r>
        <w:rPr>
          <w:rFonts w:cs="Times New Roman"/>
          <w:i/>
          <w:iCs/>
        </w:rPr>
        <w:t>FGF Studies in Small Business and Entrepreneurship</w:t>
      </w:r>
      <w:r>
        <w:rPr>
          <w:rFonts w:cs="Times New Roman"/>
        </w:rPr>
        <w:t xml:space="preserve">, pp.113–129. </w:t>
      </w:r>
      <w:r>
        <w:rPr/>
        <w:fldChar w:fldCharType="begin"/>
      </w:r>
      <w:r>
        <w:instrText xml:space="preserve"> HYPERLINK "https://doi.org/10.1007/978-3-031-11371-0_6" </w:instrText>
      </w:r>
      <w:r>
        <w:rPr/>
        <w:fldChar w:fldCharType="separate"/>
      </w:r>
      <w:r>
        <w:rPr>
          <w:rStyle w:val="style85"/>
          <w:rFonts w:cs="Times New Roman"/>
        </w:rPr>
        <w:t>https://doi.org/10.1007/978-3-031-11371-0_6</w:t>
      </w:r>
      <w:r>
        <w:rPr/>
        <w:fldChar w:fldCharType="end"/>
      </w:r>
      <w:r>
        <w:rPr>
          <w:rFonts w:cs="Times New Roman"/>
        </w:rPr>
        <w:t>.</w:t>
      </w:r>
      <w:r>
        <w:rPr>
          <w:rFonts w:cs="Times New Roman"/>
        </w:rPr>
        <w:t xml:space="preserve"> </w:t>
      </w:r>
    </w:p>
    <w:p>
      <w:pPr>
        <w:pStyle w:val="style0"/>
        <w:rPr/>
      </w:pPr>
      <w:r>
        <w:t xml:space="preserve">Teece, D.J. (2022). The Evolution of the Dynamic Capabilities Framework. </w:t>
      </w:r>
      <w:r>
        <w:rPr>
          <w:i/>
          <w:iCs/>
        </w:rPr>
        <w:t>FGF Studies in Small Business and Entrepreneurship</w:t>
      </w:r>
      <w:r>
        <w:t>, pp.113–129. doi:https://doi.org/10.1007/978-3-031-11371-0_6.</w:t>
      </w:r>
    </w:p>
    <w:p>
      <w:pPr>
        <w:pStyle w:val="style0"/>
        <w:rPr/>
      </w:pPr>
      <w:r>
        <w:t xml:space="preserve">Terzi, A., Sherwood, M. and Singh, A. (2023). European industrial policy for the green and digital revolution. </w:t>
      </w:r>
      <w:r>
        <w:rPr>
          <w:i/>
          <w:iCs/>
        </w:rPr>
        <w:t>Science &amp; public policy</w:t>
      </w:r>
      <w:r>
        <w:t>. doi:https://doi.org/10.1093/scipol/scad018.</w:t>
      </w:r>
    </w:p>
    <w:p>
      <w:pPr>
        <w:pStyle w:val="style0"/>
        <w:rPr/>
      </w:pPr>
      <w:r>
        <w:t xml:space="preserve">Tulasa Devi Dulal (2025). Application of Positivism and Post Positivism approach in Contemporary Research. </w:t>
      </w:r>
      <w:r>
        <w:rPr>
          <w:i/>
          <w:iCs/>
        </w:rPr>
        <w:t>International Journal of Applied Research and Sustainable Sciences</w:t>
      </w:r>
      <w:r>
        <w:t>, [online] 3(4), pp.305–314. doi:https://doi.org/10.59890/ijarss.v3i4.22.</w:t>
      </w:r>
    </w:p>
    <w:p>
      <w:pPr>
        <w:pStyle w:val="style0"/>
        <w:rPr>
          <w:rFonts w:cs="Times New Roman"/>
        </w:rPr>
      </w:pPr>
      <w:r>
        <w:rPr>
          <w:rFonts w:cs="Times New Roman"/>
        </w:rPr>
        <w:t xml:space="preserve">Tumewang, Y., Ntim, Collins G. and Haque, F. (2025). Task Force on Climate‐Related Financial Disclosures: A Systematic Literature Review and Future Research Agenda. </w:t>
      </w:r>
      <w:r>
        <w:rPr>
          <w:rFonts w:cs="Times New Roman"/>
          <w:i/>
          <w:iCs/>
        </w:rPr>
        <w:t>Business Strategy and the Environment</w:t>
      </w:r>
      <w:r>
        <w:rPr>
          <w:rFonts w:cs="Times New Roman"/>
        </w:rPr>
        <w:t xml:space="preserve">. </w:t>
      </w:r>
      <w:r>
        <w:rPr/>
        <w:fldChar w:fldCharType="begin"/>
      </w:r>
      <w:r>
        <w:instrText xml:space="preserve"> HYPERLINK "https://doi.org/10.1002/bse.70112" </w:instrText>
      </w:r>
      <w:r>
        <w:rPr/>
        <w:fldChar w:fldCharType="separate"/>
      </w:r>
      <w:r>
        <w:rPr>
          <w:rStyle w:val="style85"/>
          <w:rFonts w:cs="Times New Roman"/>
        </w:rPr>
        <w:t>https://doi.org/10.1002/bse.70112</w:t>
      </w:r>
      <w:r>
        <w:rPr/>
        <w:fldChar w:fldCharType="end"/>
      </w:r>
      <w:r>
        <w:rPr>
          <w:rFonts w:cs="Times New Roman"/>
        </w:rPr>
        <w:t>.</w:t>
      </w:r>
      <w:r>
        <w:rPr>
          <w:rFonts w:cs="Times New Roman"/>
        </w:rPr>
        <w:t xml:space="preserve"> </w:t>
      </w:r>
    </w:p>
    <w:p>
      <w:pPr>
        <w:pStyle w:val="style0"/>
        <w:rPr/>
      </w:pPr>
      <w:r>
        <w:t xml:space="preserve">Tumewang, Y., Ntim, Collins G. and Haque, F. (2025). Task Force on Climate‐Related Financial Disclosures: A Systematic Literature Review and Future Research Agenda. </w:t>
      </w:r>
      <w:r>
        <w:rPr>
          <w:i/>
          <w:iCs/>
        </w:rPr>
        <w:t>Business Strategy and the Environment</w:t>
      </w:r>
      <w:r>
        <w:t>. doi:https://doi.org/10.1002/bse.70112.</w:t>
      </w:r>
    </w:p>
    <w:p>
      <w:pPr>
        <w:pStyle w:val="style0"/>
        <w:rPr>
          <w:rFonts w:cs="Times New Roman"/>
        </w:rPr>
      </w:pPr>
      <w:r>
        <w:rPr>
          <w:rFonts w:cs="Times New Roman"/>
        </w:rPr>
        <w:t xml:space="preserve">UNCTAD (2024). </w:t>
      </w:r>
      <w:r>
        <w:rPr>
          <w:rFonts w:cs="Times New Roman"/>
          <w:i/>
          <w:iCs/>
        </w:rPr>
        <w:t>Enhancing supply chain resilience amid rising global risks</w:t>
      </w:r>
      <w:r>
        <w:rPr>
          <w:rFonts w:cs="Times New Roman"/>
        </w:rPr>
        <w:t xml:space="preserve">. [online] UN Trade and Development (UNCTAD). Available at: </w:t>
      </w:r>
      <w:r>
        <w:rPr/>
        <w:fldChar w:fldCharType="begin"/>
      </w:r>
      <w:r>
        <w:instrText xml:space="preserve"> HYPERLINK "https://unctad.org/news/enhancing-supply-chain-resilience-amid-rising-global-risks" </w:instrText>
      </w:r>
      <w:r>
        <w:rPr/>
        <w:fldChar w:fldCharType="separate"/>
      </w:r>
      <w:r>
        <w:rPr>
          <w:rStyle w:val="style85"/>
          <w:rFonts w:cs="Times New Roman"/>
        </w:rPr>
        <w:t>https://unctad.org/news/enhancing-supply-chain-resilience-amid-rising-global-risks</w:t>
      </w:r>
      <w:r>
        <w:rPr/>
        <w:fldChar w:fldCharType="end"/>
      </w:r>
      <w:r>
        <w:rPr>
          <w:rFonts w:cs="Times New Roman"/>
        </w:rPr>
        <w:t xml:space="preserve"> </w:t>
      </w:r>
      <w:r>
        <w:rPr>
          <w:rFonts w:cs="Times New Roman"/>
        </w:rPr>
        <w:t xml:space="preserve">[Accessed </w:t>
      </w:r>
      <w:r>
        <w:rPr>
          <w:rFonts w:cs="Times New Roman"/>
        </w:rPr>
        <w:t>15 Jan</w:t>
      </w:r>
      <w:r>
        <w:rPr>
          <w:rFonts w:cs="Times New Roman"/>
        </w:rPr>
        <w:t>. 202</w:t>
      </w:r>
      <w:r>
        <w:rPr>
          <w:rFonts w:cs="Times New Roman"/>
        </w:rPr>
        <w:t>6</w:t>
      </w:r>
      <w:r>
        <w:rPr>
          <w:rFonts w:cs="Times New Roman"/>
        </w:rPr>
        <w:t>].</w:t>
      </w:r>
    </w:p>
    <w:p>
      <w:pPr>
        <w:pStyle w:val="style0"/>
        <w:rPr>
          <w:rFonts w:cs="Times New Roman"/>
        </w:rPr>
      </w:pPr>
      <w:r>
        <w:rPr>
          <w:rFonts w:cs="Times New Roman"/>
        </w:rPr>
        <w:t xml:space="preserve">UNCTAD (2024). </w:t>
      </w:r>
      <w:r>
        <w:rPr>
          <w:rFonts w:cs="Times New Roman"/>
          <w:i/>
          <w:iCs/>
        </w:rPr>
        <w:t>Enhancing supply chain resilience amid rising global risks</w:t>
      </w:r>
      <w:r>
        <w:rPr>
          <w:rFonts w:cs="Times New Roman"/>
        </w:rPr>
        <w:t>. [online] UN Trade and Development (UNCTAD). Available at: https://unctad.org/news/enhancing-supply-chain-resilience-amid-rising-global-risks [Accessed 20 Nov. 2025].</w:t>
      </w:r>
    </w:p>
    <w:p>
      <w:pPr>
        <w:pStyle w:val="style0"/>
        <w:rPr>
          <w:rFonts w:cs="Times New Roman"/>
        </w:rPr>
      </w:pPr>
      <w:r>
        <w:rPr>
          <w:rFonts w:cs="Times New Roman"/>
        </w:rPr>
        <w:t xml:space="preserve">Vivoda, V. and Matthews, R. (2023). ‘Friend-shoring’ as a panacea to Western critical mineral supply chain vulnerabilities. </w:t>
      </w:r>
      <w:r>
        <w:rPr>
          <w:rFonts w:cs="Times New Roman"/>
          <w:i/>
          <w:iCs/>
        </w:rPr>
        <w:t>Mineral Economics</w:t>
      </w:r>
      <w:r>
        <w:rPr>
          <w:rFonts w:cs="Times New Roman"/>
        </w:rPr>
        <w:t xml:space="preserve">, 37. </w:t>
      </w:r>
      <w:r>
        <w:rPr/>
        <w:fldChar w:fldCharType="begin"/>
      </w:r>
      <w:r>
        <w:instrText xml:space="preserve"> HYPERLINK "https://doi.org/10.1007/s13563-023-00402-1" </w:instrText>
      </w:r>
      <w:r>
        <w:rPr/>
        <w:fldChar w:fldCharType="separate"/>
      </w:r>
      <w:r>
        <w:rPr>
          <w:rStyle w:val="style85"/>
          <w:rFonts w:cs="Times New Roman"/>
        </w:rPr>
        <w:t>https://doi.org/10.1007/s13563-023-00402-1</w:t>
      </w:r>
      <w:r>
        <w:rPr/>
        <w:fldChar w:fldCharType="end"/>
      </w:r>
      <w:r>
        <w:rPr>
          <w:rFonts w:cs="Times New Roman"/>
        </w:rPr>
        <w:t>.</w:t>
      </w:r>
      <w:r>
        <w:rPr>
          <w:rFonts w:cs="Times New Roman"/>
        </w:rPr>
        <w:t xml:space="preserve"> </w:t>
      </w:r>
    </w:p>
    <w:p>
      <w:pPr>
        <w:pStyle w:val="style0"/>
        <w:rPr/>
      </w:pPr>
      <w:r>
        <w:t xml:space="preserve">Vivoda, V. and Matthews, R. (2023). ‘Friend-shoring’ as a panacea to Western critical mineral supply chain vulnerabilities. </w:t>
      </w:r>
      <w:r>
        <w:rPr>
          <w:i/>
          <w:iCs/>
        </w:rPr>
        <w:t>Mineral Economics</w:t>
      </w:r>
      <w:r>
        <w:t>, 37. doi:https://doi.org/10.1007/s13563-023-00402-1.</w:t>
      </w:r>
    </w:p>
    <w:p>
      <w:pPr>
        <w:pStyle w:val="style0"/>
        <w:rPr/>
      </w:pPr>
      <w:r>
        <w:t xml:space="preserve">Wehde, W. and Perreault, M. (2022). Developing Survey Methods for Collecting Individual Policy Narratives: A case study of climate change narratives using an engaged convenience sample. </w:t>
      </w:r>
      <w:r>
        <w:rPr>
          <w:i/>
          <w:iCs/>
        </w:rPr>
        <w:t>International Review of Public Policy</w:t>
      </w:r>
      <w:r>
        <w:t>, 4(1). doi:https://doi.org/10.4000/irpp.2480.</w:t>
      </w:r>
    </w:p>
    <w:p>
      <w:pPr>
        <w:pStyle w:val="style0"/>
        <w:rPr/>
      </w:pPr>
      <w:r>
        <w:t xml:space="preserve">Weick, K.E. (1995). </w:t>
      </w:r>
      <w:r>
        <w:rPr>
          <w:i/>
          <w:iCs/>
        </w:rPr>
        <w:t>Sensemaking in Organizations</w:t>
      </w:r>
      <w:r>
        <w:t>. [online] SAGE Publications Inc. Available at: https://us.sagepub.com/en-us/nam/sensemaking-in-organizations/book4988.</w:t>
      </w:r>
    </w:p>
    <w:p>
      <w:pPr>
        <w:pStyle w:val="style0"/>
        <w:rPr>
          <w:rFonts w:cs="Times New Roman"/>
        </w:rPr>
      </w:pPr>
      <w:r>
        <w:rPr>
          <w:rFonts w:cs="Times New Roman"/>
        </w:rPr>
        <w:t xml:space="preserve">WTO (2023). </w:t>
      </w:r>
      <w:r>
        <w:rPr>
          <w:rFonts w:cs="Times New Roman"/>
          <w:i/>
          <w:iCs/>
        </w:rPr>
        <w:t>GLOBAL VALUE CHAIN DEVELOPMENT REPORT 2023 RESILIENT AND SUSTAINABLE GVCS IN TURBULENT TIMES</w:t>
      </w:r>
      <w:r>
        <w:rPr>
          <w:rFonts w:cs="Times New Roman"/>
        </w:rPr>
        <w:t xml:space="preserve">. [online] wto.org. Available at: </w:t>
      </w:r>
      <w:r>
        <w:rPr/>
        <w:fldChar w:fldCharType="begin"/>
      </w:r>
      <w:r>
        <w:instrText xml:space="preserve"> HYPERLINK "https://www.wto.org/english/res_e/booksp_e/gvc_dev_rep23_e.pdf" </w:instrText>
      </w:r>
      <w:r>
        <w:rPr/>
        <w:fldChar w:fldCharType="separate"/>
      </w:r>
      <w:r>
        <w:rPr>
          <w:rStyle w:val="style85"/>
          <w:rFonts w:cs="Times New Roman"/>
        </w:rPr>
        <w:t>https://www.wto.org/english/res_e/booksp_e/gvc_dev_rep23_e.pdf</w:t>
      </w:r>
      <w:r>
        <w:rPr/>
        <w:fldChar w:fldCharType="end"/>
      </w:r>
      <w:r>
        <w:rPr>
          <w:rFonts w:cs="Times New Roman"/>
        </w:rPr>
        <w:t xml:space="preserve"> </w:t>
      </w:r>
      <w:r>
        <w:rPr>
          <w:rFonts w:cs="Times New Roman"/>
        </w:rPr>
        <w:t xml:space="preserve"> [Accessed </w:t>
      </w:r>
      <w:r>
        <w:rPr>
          <w:rFonts w:cs="Times New Roman"/>
        </w:rPr>
        <w:t>15 Jan</w:t>
      </w:r>
      <w:r>
        <w:rPr>
          <w:rFonts w:cs="Times New Roman"/>
        </w:rPr>
        <w:t>. 202</w:t>
      </w:r>
      <w:r>
        <w:rPr>
          <w:rFonts w:cs="Times New Roman"/>
        </w:rPr>
        <w:t>6</w:t>
      </w:r>
      <w:r>
        <w:rPr>
          <w:rFonts w:cs="Times New Roman"/>
        </w:rPr>
        <w:t>].</w:t>
      </w:r>
    </w:p>
    <w:p>
      <w:pPr>
        <w:pStyle w:val="style0"/>
        <w:rPr>
          <w:rFonts w:cs="Times New Roman"/>
        </w:rPr>
      </w:pPr>
      <w:r>
        <w:rPr>
          <w:rFonts w:cs="Times New Roman"/>
        </w:rPr>
        <w:t xml:space="preserve">WTO (2023). </w:t>
      </w:r>
      <w:r>
        <w:rPr>
          <w:rFonts w:cs="Times New Roman"/>
          <w:i/>
          <w:iCs/>
        </w:rPr>
        <w:t>GLOBAL VALUE CHAIN DEVELOPMENT REPORT 2023 RESILIENT AND SUSTAINABLE GVCS IN TURBULENT TIMES</w:t>
      </w:r>
      <w:r>
        <w:rPr>
          <w:rFonts w:cs="Times New Roman"/>
        </w:rPr>
        <w:t>. [online] wto.org. Available at: https://www.wto.org/english/res_e/booksp_e/gvc_dev_rep23_e.pdf [Accessed 20 Nov. 2025].</w:t>
      </w:r>
    </w:p>
    <w:p>
      <w:pPr>
        <w:pStyle w:val="style0"/>
        <w:rPr>
          <w:rFonts w:cs="Times New Roman"/>
        </w:rPr>
      </w:pPr>
      <w:r>
        <w:rPr>
          <w:rFonts w:cs="Times New Roman"/>
        </w:rPr>
        <w:t xml:space="preserve">Wu, J. and Park, S.H. (2017). The role of international institutional complexity on emerging market multinational companies’ innovation. </w:t>
      </w:r>
      <w:r>
        <w:rPr>
          <w:rFonts w:cs="Times New Roman"/>
          <w:i/>
          <w:iCs/>
        </w:rPr>
        <w:t>Global Strategy Journal</w:t>
      </w:r>
      <w:r>
        <w:rPr>
          <w:rFonts w:cs="Times New Roman"/>
        </w:rPr>
        <w:t xml:space="preserve">, 9(2), pp.333–353. </w:t>
      </w:r>
      <w:r>
        <w:rPr/>
        <w:fldChar w:fldCharType="begin"/>
      </w:r>
      <w:r>
        <w:instrText xml:space="preserve"> HYPERLINK "https://doi.org/10.1002/gsj.1166" </w:instrText>
      </w:r>
      <w:r>
        <w:rPr/>
        <w:fldChar w:fldCharType="separate"/>
      </w:r>
      <w:r>
        <w:rPr>
          <w:rStyle w:val="style85"/>
          <w:rFonts w:cs="Times New Roman"/>
        </w:rPr>
        <w:t>https://doi.org/10.1002/gsj.1166</w:t>
      </w:r>
      <w:r>
        <w:rPr/>
        <w:fldChar w:fldCharType="end"/>
      </w:r>
      <w:r>
        <w:rPr>
          <w:rFonts w:cs="Times New Roman"/>
        </w:rPr>
        <w:t>.</w:t>
      </w:r>
      <w:r>
        <w:rPr>
          <w:rFonts w:cs="Times New Roman"/>
        </w:rPr>
        <w:t xml:space="preserve"> </w:t>
      </w:r>
    </w:p>
    <w:p>
      <w:pPr>
        <w:pStyle w:val="style0"/>
        <w:rPr/>
      </w:pPr>
      <w:r>
        <w:t xml:space="preserve">Wu, J. and Park, S.H. (2017). The role of international institutional complexity on emerging market multinational companies’ innovation. </w:t>
      </w:r>
      <w:r>
        <w:rPr>
          <w:i/>
          <w:iCs/>
        </w:rPr>
        <w:t>Global Strategy Journal</w:t>
      </w:r>
      <w:r>
        <w:t>, 9(2), pp.333–353. doi:https://doi.org/10.1002/gsj.1166.</w:t>
      </w:r>
    </w:p>
    <w:p>
      <w:pPr>
        <w:pStyle w:val="style0"/>
        <w:rPr/>
      </w:pPr>
      <w:r>
        <w:t xml:space="preserve">Zahra, S.A., Petricevic, O. and Luo, Y. (2022). Toward an action-based view of dynamic capabilities for international business. </w:t>
      </w:r>
      <w:r>
        <w:rPr>
          <w:i/>
          <w:iCs/>
        </w:rPr>
        <w:t>Journal of International Business Studies</w:t>
      </w:r>
      <w:r>
        <w:t>, [online] 53, pp.583–600. doi:https://doi.org/10.1057/s41267-021-00487-2.</w:t>
      </w:r>
    </w:p>
    <w:p>
      <w:pPr>
        <w:pStyle w:val="style0"/>
        <w:rPr/>
      </w:pPr>
      <w:r>
        <w:t xml:space="preserve">Zarea, H. and zhan, S. (2024). </w:t>
      </w:r>
      <w:r>
        <w:rPr>
          <w:i/>
          <w:iCs/>
        </w:rPr>
        <w:t>Friendshoring in International Business: How Friendship Impact on Business-State Relationships</w:t>
      </w:r>
      <w:r>
        <w:t>. [online] Ssrn.com. Available at: https://papers.ssrn.com/sol3/papers.cfm?abstract_id=4926414.</w:t>
      </w:r>
    </w:p>
    <w:p>
      <w:pPr>
        <w:pStyle w:val="style0"/>
        <w:rPr>
          <w:rFonts w:cs="Times New Roman"/>
        </w:rPr>
      </w:pPr>
      <w:r>
        <w:rPr>
          <w:rFonts w:cs="Times New Roman"/>
        </w:rPr>
        <w:t xml:space="preserve">Zheng, L.J., Islam, N., Zhang, J.Z., Behl, A., Wang, X. and Papadopoulos, T. (2025). Aligning risk and value creation: a process model of supply chain risk management in geopolitical disruptions. </w:t>
      </w:r>
      <w:r>
        <w:rPr>
          <w:rFonts w:cs="Times New Roman"/>
          <w:i/>
          <w:iCs/>
        </w:rPr>
        <w:t>International Journal of Operations &amp; Production Management</w:t>
      </w:r>
      <w:r>
        <w:rPr>
          <w:rFonts w:cs="Times New Roman"/>
        </w:rPr>
        <w:t xml:space="preserve">, 45(5). </w:t>
      </w:r>
      <w:r>
        <w:rPr/>
        <w:fldChar w:fldCharType="begin"/>
      </w:r>
      <w:r>
        <w:instrText xml:space="preserve"> HYPERLINK "https://doi.org/10.1108/ijopm-03-2024-0271" </w:instrText>
      </w:r>
      <w:r>
        <w:rPr/>
        <w:fldChar w:fldCharType="separate"/>
      </w:r>
      <w:r>
        <w:rPr>
          <w:rStyle w:val="style85"/>
          <w:rFonts w:cs="Times New Roman"/>
        </w:rPr>
        <w:t>https://doi.org/10.1108/ijopm-03-2024-0271</w:t>
      </w:r>
      <w:r>
        <w:rPr/>
        <w:fldChar w:fldCharType="end"/>
      </w:r>
      <w:r>
        <w:rPr>
          <w:rFonts w:cs="Times New Roman"/>
        </w:rPr>
        <w:t>.</w:t>
      </w:r>
      <w:r>
        <w:rPr>
          <w:rFonts w:cs="Times New Roman"/>
        </w:rPr>
        <w:t xml:space="preserve"> </w:t>
      </w:r>
    </w:p>
    <w:p>
      <w:pPr>
        <w:pStyle w:val="style0"/>
        <w:rPr/>
      </w:pPr>
      <w:r>
        <w:t xml:space="preserve">Zheng, L.J., Islam, N., Zhang, J.Z., Behl, A., Wang, X. and Papadopoulos, T. (2025). Aligning risk and value creation: a process model of supply chain risk management in geopolitical disruptions. </w:t>
      </w:r>
      <w:r>
        <w:rPr>
          <w:i/>
          <w:iCs/>
        </w:rPr>
        <w:t>International Journal of Operations &amp; Production Management</w:t>
      </w:r>
      <w:r>
        <w:t>, 45(5). doi:https://doi.org/10.1108/ijopm-03-2024-0271.</w:t>
      </w:r>
    </w:p>
    <w:p>
      <w:pPr>
        <w:pStyle w:val="style0"/>
        <w:rPr/>
      </w:pPr>
      <w:r>
        <w:t xml:space="preserve">Zheng, Z. (2023). </w:t>
      </w:r>
      <w:r>
        <w:rPr>
          <w:i/>
          <w:iCs/>
        </w:rPr>
        <w:t>Interrogating ‘critical regionalism’: how do architects today articulate the global and the regional?</w:t>
      </w:r>
      <w:r>
        <w:t xml:space="preserve"> [online] repository.lboro.ac.uk. Available at: https://repository.lboro.ac.uk/articles/thesis/Interrogating_critical_regionalism_how_do_architects_today_articulate_the_global_and_the_regional_/23560710.</w:t>
      </w:r>
    </w:p>
    <w:p>
      <w:pPr>
        <w:pStyle w:val="style0"/>
        <w:rPr/>
      </w:pPr>
      <w:r>
        <w:t xml:space="preserve">Zungu, Z. and Laryea, S. (2025). Leveraging Sensing as a Dynamic Capability: A Strategy-as-Practice Approach to Enhancing Organizational Resilience in Construction Firms. </w:t>
      </w:r>
      <w:r>
        <w:rPr>
          <w:i/>
          <w:iCs/>
        </w:rPr>
        <w:t>CIB Conferences</w:t>
      </w:r>
      <w:r>
        <w:t>, 1(1). doi:https://doi.org/10.7771/3067-4883.1784.</w:t>
      </w:r>
    </w:p>
    <w:p>
      <w:pPr>
        <w:pStyle w:val="style0"/>
        <w:rPr>
          <w:rFonts w:cs="Times New Roman"/>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bookmarkStart w:id="60" w:name="_Toc220305411"/>
    <w:p>
      <w:pPr>
        <w:pStyle w:val="style1"/>
        <w:rPr/>
      </w:pPr>
      <w:r>
        <w:t>Appendix</w:t>
      </w:r>
      <w:bookmarkEnd w:id="60"/>
    </w:p>
    <w:bookmarkStart w:id="61" w:name="_Toc220305412"/>
    <w:p>
      <w:pPr>
        <w:pStyle w:val="style2"/>
        <w:rPr/>
      </w:pPr>
      <w:r>
        <w:t>Ethic Form</w:t>
      </w:r>
      <w:bookmarkEnd w:id="61"/>
    </w:p>
    <w:p>
      <w:pPr>
        <w:pStyle w:val="style0"/>
        <w:rPr/>
      </w:pPr>
      <w:r>
        <w:rPr>
          <w:noProof/>
        </w:rPr>
        <w:drawing>
          <wp:inline distL="0" distT="0" distB="0" distR="0">
            <wp:extent cx="5943600" cy="2588260"/>
            <wp:effectExtent l="0" t="0" r="0" b="2540"/>
            <wp:docPr id="1028"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5" cstate="print"/>
                    <a:srcRect l="0" t="0" r="0" b="0"/>
                    <a:stretch/>
                  </pic:blipFill>
                  <pic:spPr>
                    <a:xfrm rot="0">
                      <a:off x="0" y="0"/>
                      <a:ext cx="5943600" cy="2588260"/>
                    </a:xfrm>
                    <a:prstGeom prst="rect"/>
                  </pic:spPr>
                </pic:pic>
              </a:graphicData>
            </a:graphic>
          </wp:inline>
        </w:drawing>
      </w:r>
    </w:p>
    <w:p>
      <w:pPr>
        <w:pStyle w:val="style0"/>
        <w:rPr/>
      </w:pPr>
      <w:r>
        <w:rPr>
          <w:noProof/>
        </w:rPr>
        <w:drawing>
          <wp:inline distL="0" distT="0" distB="0" distR="0">
            <wp:extent cx="5943600" cy="2649220"/>
            <wp:effectExtent l="0" t="0" r="0" b="0"/>
            <wp:docPr id="1029"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3" name="Picture 1"/>
                    <pic:cNvPicPr/>
                  </pic:nvPicPr>
                  <pic:blipFill>
                    <a:blip r:embed="rId6" cstate="print"/>
                    <a:srcRect l="0" t="0" r="0" b="0"/>
                    <a:stretch/>
                  </pic:blipFill>
                  <pic:spPr>
                    <a:xfrm rot="0">
                      <a:off x="0" y="0"/>
                      <a:ext cx="5943600" cy="2649220"/>
                    </a:xfrm>
                    <a:prstGeom prst="rect"/>
                  </pic:spPr>
                </pic:pic>
              </a:graphicData>
            </a:graphic>
          </wp:inline>
        </w:drawing>
      </w:r>
    </w:p>
    <w:p>
      <w:pPr>
        <w:pStyle w:val="style0"/>
        <w:rPr/>
      </w:pPr>
      <w:r>
        <w:rPr>
          <w:noProof/>
        </w:rPr>
        <w:drawing>
          <wp:inline distL="0" distT="0" distB="0" distR="0">
            <wp:extent cx="5943600" cy="2651760"/>
            <wp:effectExtent l="0" t="0" r="0" b="0"/>
            <wp:docPr id="1030"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4" name="Picture 1"/>
                    <pic:cNvPicPr/>
                  </pic:nvPicPr>
                  <pic:blipFill>
                    <a:blip r:embed="rId7" cstate="print"/>
                    <a:srcRect l="0" t="0" r="0" b="0"/>
                    <a:stretch/>
                  </pic:blipFill>
                  <pic:spPr>
                    <a:xfrm rot="0">
                      <a:off x="0" y="0"/>
                      <a:ext cx="5943600" cy="2651760"/>
                    </a:xfrm>
                    <a:prstGeom prst="rect"/>
                  </pic:spPr>
                </pic:pic>
              </a:graphicData>
            </a:graphic>
          </wp:inline>
        </w:drawing>
      </w:r>
    </w:p>
    <w:p>
      <w:pPr>
        <w:pStyle w:val="style0"/>
        <w:rPr/>
      </w:pPr>
      <w:r>
        <w:rPr>
          <w:noProof/>
        </w:rPr>
        <w:drawing>
          <wp:inline distL="0" distT="0" distB="0" distR="0">
            <wp:extent cx="5943600" cy="2674620"/>
            <wp:effectExtent l="0" t="0" r="0" b="0"/>
            <wp:docPr id="1031"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5" name="Picture 1"/>
                    <pic:cNvPicPr/>
                  </pic:nvPicPr>
                  <pic:blipFill>
                    <a:blip r:embed="rId8" cstate="print"/>
                    <a:srcRect l="0" t="0" r="0" b="0"/>
                    <a:stretch/>
                  </pic:blipFill>
                  <pic:spPr>
                    <a:xfrm rot="0">
                      <a:off x="0" y="0"/>
                      <a:ext cx="5943600" cy="2674620"/>
                    </a:xfrm>
                    <a:prstGeom prst="rect"/>
                  </pic:spPr>
                </pic:pic>
              </a:graphicData>
            </a:graphic>
          </wp:inline>
        </w:drawing>
      </w:r>
    </w:p>
    <w:p>
      <w:pPr>
        <w:pStyle w:val="style0"/>
        <w:rPr/>
      </w:pPr>
      <w:r>
        <w:rPr>
          <w:noProof/>
        </w:rPr>
        <w:drawing>
          <wp:inline distL="0" distT="0" distB="0" distR="0">
            <wp:extent cx="5943600" cy="2641600"/>
            <wp:effectExtent l="0" t="0" r="0" b="6350"/>
            <wp:docPr id="1032"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6" name="Picture 1"/>
                    <pic:cNvPicPr/>
                  </pic:nvPicPr>
                  <pic:blipFill>
                    <a:blip r:embed="rId9" cstate="print"/>
                    <a:srcRect l="0" t="0" r="0" b="0"/>
                    <a:stretch/>
                  </pic:blipFill>
                  <pic:spPr>
                    <a:xfrm rot="0">
                      <a:off x="0" y="0"/>
                      <a:ext cx="5943600" cy="2641600"/>
                    </a:xfrm>
                    <a:prstGeom prst="rect"/>
                  </pic:spPr>
                </pic:pic>
              </a:graphicData>
            </a:graphic>
          </wp:inline>
        </w:drawing>
      </w:r>
    </w:p>
    <w:p>
      <w:pPr>
        <w:pStyle w:val="style0"/>
        <w:rPr/>
      </w:pPr>
      <w:r>
        <w:rPr>
          <w:noProof/>
        </w:rPr>
        <w:drawing>
          <wp:inline distL="0" distT="0" distB="0" distR="0">
            <wp:extent cx="5943600" cy="2647315"/>
            <wp:effectExtent l="0" t="0" r="0" b="635"/>
            <wp:docPr id="1033"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7" name="Picture 1"/>
                    <pic:cNvPicPr/>
                  </pic:nvPicPr>
                  <pic:blipFill>
                    <a:blip r:embed="rId10" cstate="print"/>
                    <a:srcRect l="0" t="0" r="0" b="0"/>
                    <a:stretch/>
                  </pic:blipFill>
                  <pic:spPr>
                    <a:xfrm rot="0">
                      <a:off x="0" y="0"/>
                      <a:ext cx="5943600" cy="2647315"/>
                    </a:xfrm>
                    <a:prstGeom prst="rect"/>
                  </pic:spPr>
                </pic:pic>
              </a:graphicData>
            </a:graphic>
          </wp:inline>
        </w:drawing>
      </w:r>
    </w:p>
    <w:p>
      <w:pPr>
        <w:pStyle w:val="style0"/>
        <w:rPr/>
      </w:pPr>
      <w:r>
        <w:rPr>
          <w:noProof/>
        </w:rPr>
        <w:drawing>
          <wp:inline distL="0" distT="0" distB="0" distR="0">
            <wp:extent cx="5943600" cy="2559050"/>
            <wp:effectExtent l="0" t="0" r="0" b="0"/>
            <wp:docPr id="1034"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8" name="Picture 1"/>
                    <pic:cNvPicPr/>
                  </pic:nvPicPr>
                  <pic:blipFill>
                    <a:blip r:embed="rId11" cstate="print"/>
                    <a:srcRect l="0" t="0" r="0" b="0"/>
                    <a:stretch/>
                  </pic:blipFill>
                  <pic:spPr>
                    <a:xfrm rot="0">
                      <a:off x="0" y="0"/>
                      <a:ext cx="5943600" cy="2559050"/>
                    </a:xfrm>
                    <a:prstGeom prst="rect"/>
                  </pic:spPr>
                </pic:pic>
              </a:graphicData>
            </a:graphic>
          </wp:inline>
        </w:drawing>
      </w:r>
    </w:p>
    <w:p>
      <w:pPr>
        <w:pStyle w:val="style0"/>
        <w:rPr/>
      </w:pPr>
      <w:r>
        <w:rPr>
          <w:noProof/>
        </w:rPr>
        <w:drawing>
          <wp:inline distL="0" distT="0" distB="0" distR="0">
            <wp:extent cx="5943600" cy="2552700"/>
            <wp:effectExtent l="0" t="0" r="0" b="0"/>
            <wp:docPr id="1035"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9" name="Picture 1"/>
                    <pic:cNvPicPr/>
                  </pic:nvPicPr>
                  <pic:blipFill>
                    <a:blip r:embed="rId12" cstate="print"/>
                    <a:srcRect l="0" t="0" r="0" b="0"/>
                    <a:stretch/>
                  </pic:blipFill>
                  <pic:spPr>
                    <a:xfrm rot="0">
                      <a:off x="0" y="0"/>
                      <a:ext cx="5943600" cy="2552700"/>
                    </a:xfrm>
                    <a:prstGeom prst="rect"/>
                  </pic:spPr>
                </pic:pic>
              </a:graphicData>
            </a:graphic>
          </wp:inline>
        </w:drawing>
      </w:r>
    </w:p>
    <w:p>
      <w:pPr>
        <w:pStyle w:val="style0"/>
        <w:rPr/>
      </w:pPr>
      <w:r>
        <w:rPr>
          <w:noProof/>
        </w:rPr>
        <w:drawing>
          <wp:inline distL="0" distT="0" distB="0" distR="0">
            <wp:extent cx="5943600" cy="2506345"/>
            <wp:effectExtent l="0" t="0" r="0" b="8255"/>
            <wp:docPr id="1036"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0" name="Picture 1"/>
                    <pic:cNvPicPr/>
                  </pic:nvPicPr>
                  <pic:blipFill>
                    <a:blip r:embed="rId13" cstate="print"/>
                    <a:srcRect l="0" t="0" r="0" b="0"/>
                    <a:stretch/>
                  </pic:blipFill>
                  <pic:spPr>
                    <a:xfrm rot="0">
                      <a:off x="0" y="0"/>
                      <a:ext cx="5943600" cy="2506345"/>
                    </a:xfrm>
                    <a:prstGeom prst="rect"/>
                  </pic:spPr>
                </pic:pic>
              </a:graphicData>
            </a:graphic>
          </wp:inline>
        </w:drawing>
      </w:r>
    </w:p>
    <w:p>
      <w:pPr>
        <w:pStyle w:val="style0"/>
        <w:rPr/>
      </w:pPr>
      <w:r>
        <w:rPr>
          <w:noProof/>
        </w:rPr>
        <w:drawing>
          <wp:inline distL="0" distT="0" distB="0" distR="0">
            <wp:extent cx="5943600" cy="3996055"/>
            <wp:effectExtent l="0" t="0" r="0" b="4445"/>
            <wp:docPr id="1037"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1" name="Picture 1"/>
                    <pic:cNvPicPr/>
                  </pic:nvPicPr>
                  <pic:blipFill>
                    <a:blip r:embed="rId14" cstate="print"/>
                    <a:srcRect l="0" t="0" r="0" b="0"/>
                    <a:stretch/>
                  </pic:blipFill>
                  <pic:spPr>
                    <a:xfrm rot="0">
                      <a:off x="0" y="0"/>
                      <a:ext cx="5943600" cy="3996055"/>
                    </a:xfrm>
                    <a:prstGeom prst="rect"/>
                  </pic:spPr>
                </pic:pic>
              </a:graphicData>
            </a:graphic>
          </wp:inline>
        </w:drawing>
      </w:r>
    </w:p>
    <w:sectPr>
      <w:pgSz w:w="12240" w:h="15840" w:orient="portrait"/>
      <w:pgMar w:top="1440" w:right="1440" w:bottom="1440" w:left="1440" w:header="720" w:footer="720" w:gutter="0"/>
      <w:pgBorders w:zOrder="front" w:display="allPages" w:offsetFrom="page">
        <w:top w:val="single" w:sz="4" w:space="24" w:color="auto"/>
        <w:left w:val="single" w:sz="4" w:space="24" w:color="auto"/>
        <w:bottom w:val="single" w:sz="4" w:space="24" w:color="auto"/>
        <w:right w:val="single" w:sz="4" w:space="24" w:color="auto"/>
      </w:pgBorders>
      <w:pgNumType w:start="1"/>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altName w:val="Symbol"/>
    <w:panose1 w:val="05050102010000020507"/>
    <w:charset w:val="02"/>
    <w:family w:val="roman"/>
    <w:pitch w:val="variable"/>
    <w:sig w:usb0="00000000" w:usb1="10000000" w:usb2="00000000" w:usb3="00000000" w:csb0="80000000" w:csb1="00000000"/>
  </w:font>
  <w:font w:name="Times New Roman">
    <w:altName w:val="Times New Roman"/>
    <w:panose1 w:val="02020603050000020304"/>
    <w:charset w:val="00"/>
    <w:family w:val="roman"/>
    <w:pitch w:val="variable"/>
    <w:sig w:usb0="E0002EFF" w:usb1="C000785B" w:usb2="00000009" w:usb3="00000000" w:csb0="000001FF" w:csb1="00000000"/>
  </w:font>
  <w:font w:name="Courier New">
    <w:altName w:val="Courier New"/>
    <w:panose1 w:val="02070309020000020404"/>
    <w:charset w:val="00"/>
    <w:family w:val="modern"/>
    <w:pitch w:val="fixed"/>
    <w:sig w:usb0="E0002EFF" w:usb1="C0007843" w:usb2="00000009" w:usb3="00000000" w:csb0="000001FF" w:csb1="00000000"/>
  </w:font>
  <w:font w:name="Wingdings">
    <w:altName w:val="Wingdings"/>
    <w:panose1 w:val="05000000000000000000"/>
    <w:charset w:val="02"/>
    <w:family w:val="auto"/>
    <w:pitch w:val="variable"/>
    <w:sig w:usb0="00000000" w:usb1="10000000" w:usb2="00000000" w:usb3="00000000" w:csb0="80000000" w:csb1="00000000"/>
  </w:font>
  <w:font w:name="Aptos">
    <w:altName w:val="Aptos"/>
    <w:panose1 w:val="00000000000000000000"/>
    <w:charset w:val="00"/>
    <w:family w:val="swiss"/>
    <w:pitch w:val="variable"/>
    <w:sig w:usb0="20000287" w:usb1="00000003" w:usb2="00000000" w:usb3="00000000" w:csb0="0000019F" w:csb1="00000000"/>
  </w:font>
  <w:font w:name="Aptos Display">
    <w:altName w:val="Aptos Display"/>
    <w:panose1 w:val="00000000000000000000"/>
    <w:charset w:val="00"/>
    <w:family w:val="swiss"/>
    <w:pitch w:val="variable"/>
    <w:sig w:usb0="20000287" w:usb1="00000003" w:usb2="00000000" w:usb3="00000000" w:csb0="0000019F" w:csb1="00000000"/>
  </w:font>
  <w:font w:name="宋体">
    <w:altName w:val="Wingdings 2"/>
    <w:panose1 w:val="05020102010000070707"/>
    <w:charset w:val="02"/>
    <w:family w:val="roman"/>
    <w:pitch w:val="default"/>
    <w:sig w:usb0="00000000" w:usb1="10000000" w:usb2="00000000" w:usb3="00000000" w:csb0="80000000" w:csb1="00000000"/>
  </w:font>
</w:fonts>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32"/>
      <w:jc w:val="center"/>
      <w:rPr/>
    </w:pPr>
    <w:r>
      <w:rPr/>
      <w:fldChar w:fldCharType="begin"/>
    </w:r>
    <w:r>
      <w:instrText xml:space="preserve"> PAGE   \* MERGEFORMAT </w:instrText>
    </w:r>
    <w:r>
      <w:rPr/>
      <w:fldChar w:fldCharType="separate"/>
    </w:r>
    <w:r>
      <w:rPr>
        <w:noProof/>
      </w:rPr>
      <w:t>2</w:t>
    </w:r>
    <w:r>
      <w:rPr>
        <w:noProof/>
      </w:rPr>
      <w:fldChar w:fldCharType="end"/>
    </w:r>
  </w:p>
  <w:p>
    <w:pPr>
      <w:pStyle w:val="style32"/>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hybridMultilevel"/>
    <w:tmpl w:val="BD0868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0000001"/>
    <w:multiLevelType w:val="hybridMultilevel"/>
    <w:tmpl w:val="A1000C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0000002"/>
    <w:multiLevelType w:val="multilevel"/>
    <w:tmpl w:val="623E63E0"/>
    <w:lvl w:ilvl="0">
      <w:start w:val="1"/>
      <w:numFmt w:val="bullet"/>
      <w:lvlText w:val=""/>
      <w:lvlJc w:val="left"/>
      <w:pPr>
        <w:tabs>
          <w:tab w:val="left" w:leader="none" w:pos="720"/>
        </w:tabs>
        <w:ind w:left="720" w:hanging="360"/>
      </w:pPr>
      <w:rPr>
        <w:rFonts w:ascii="Symbol" w:hAnsi="Symbol" w:hint="default"/>
      </w:rPr>
    </w:lvl>
    <w:lvl w:ilvl="1">
      <w:start w:val="1"/>
      <w:numFmt w:val="decimal"/>
      <w:lvlText w:val="%2."/>
      <w:lvlJc w:val="left"/>
      <w:pPr>
        <w:tabs>
          <w:tab w:val="left" w:leader="none" w:pos="1440"/>
        </w:tabs>
        <w:ind w:left="1440" w:hanging="360"/>
      </w:pPr>
    </w:lvl>
    <w:lvl w:ilvl="2">
      <w:start w:val="1"/>
      <w:numFmt w:val="decimal"/>
      <w:lvlText w:val="%3."/>
      <w:lvlJc w:val="left"/>
      <w:pPr>
        <w:tabs>
          <w:tab w:val="left" w:leader="none" w:pos="2160"/>
        </w:tabs>
        <w:ind w:left="2160" w:hanging="360"/>
      </w:pPr>
    </w:lvl>
    <w:lvl w:ilvl="3">
      <w:start w:val="1"/>
      <w:numFmt w:val="decimal"/>
      <w:lvlText w:val="%4."/>
      <w:lvlJc w:val="left"/>
      <w:pPr>
        <w:tabs>
          <w:tab w:val="left" w:leader="none" w:pos="2880"/>
        </w:tabs>
        <w:ind w:left="2880" w:hanging="360"/>
      </w:pPr>
    </w:lvl>
    <w:lvl w:ilvl="4">
      <w:start w:val="1"/>
      <w:numFmt w:val="decimal"/>
      <w:lvlText w:val="%5."/>
      <w:lvlJc w:val="left"/>
      <w:pPr>
        <w:tabs>
          <w:tab w:val="left" w:leader="none" w:pos="3600"/>
        </w:tabs>
        <w:ind w:left="3600" w:hanging="360"/>
      </w:pPr>
    </w:lvl>
    <w:lvl w:ilvl="5">
      <w:start w:val="1"/>
      <w:numFmt w:val="decimal"/>
      <w:lvlText w:val="%6."/>
      <w:lvlJc w:val="left"/>
      <w:pPr>
        <w:tabs>
          <w:tab w:val="left" w:leader="none" w:pos="4320"/>
        </w:tabs>
        <w:ind w:left="4320" w:hanging="360"/>
      </w:pPr>
    </w:lvl>
    <w:lvl w:ilvl="6">
      <w:start w:val="1"/>
      <w:numFmt w:val="decimal"/>
      <w:lvlText w:val="%7."/>
      <w:lvlJc w:val="left"/>
      <w:pPr>
        <w:tabs>
          <w:tab w:val="left" w:leader="none" w:pos="5040"/>
        </w:tabs>
        <w:ind w:left="5040" w:hanging="360"/>
      </w:pPr>
    </w:lvl>
    <w:lvl w:ilvl="7">
      <w:start w:val="1"/>
      <w:numFmt w:val="decimal"/>
      <w:lvlText w:val="%8."/>
      <w:lvlJc w:val="left"/>
      <w:pPr>
        <w:tabs>
          <w:tab w:val="left" w:leader="none" w:pos="5760"/>
        </w:tabs>
        <w:ind w:left="5760" w:hanging="360"/>
      </w:pPr>
    </w:lvl>
    <w:lvl w:ilvl="8">
      <w:start w:val="1"/>
      <w:numFmt w:val="decimal"/>
      <w:lvlText w:val="%9."/>
      <w:lvlJc w:val="left"/>
      <w:pPr>
        <w:tabs>
          <w:tab w:val="left" w:leader="none" w:pos="6480"/>
        </w:tabs>
        <w:ind w:left="6480" w:hanging="360"/>
      </w:pPr>
    </w:lvl>
  </w:abstractNum>
  <w:abstractNum w:abstractNumId="3">
    <w:nsid w:val="00000003"/>
    <w:multiLevelType w:val="multilevel"/>
    <w:tmpl w:val="062AE372"/>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4">
    <w:nsid w:val="00000004"/>
    <w:multiLevelType w:val="hybridMultilevel"/>
    <w:tmpl w:val="B1F46D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00000005"/>
    <w:multiLevelType w:val="multilevel"/>
    <w:tmpl w:val="D2E05830"/>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6">
    <w:nsid w:val="00000006"/>
    <w:multiLevelType w:val="multilevel"/>
    <w:tmpl w:val="36BC38C6"/>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7">
    <w:nsid w:val="00000007"/>
    <w:multiLevelType w:val="multilevel"/>
    <w:tmpl w:val="13E477D8"/>
    <w:lvl w:ilvl="0">
      <w:start w:val="1"/>
      <w:numFmt w:val="decimal"/>
      <w:lvlText w:val="%1."/>
      <w:lvlJc w:val="left"/>
      <w:pPr>
        <w:tabs>
          <w:tab w:val="left" w:leader="none" w:pos="720"/>
        </w:tabs>
        <w:ind w:left="720" w:hanging="360"/>
      </w:pPr>
    </w:lvl>
    <w:lvl w:ilvl="1" w:tentative="1">
      <w:start w:val="1"/>
      <w:numFmt w:val="decimal"/>
      <w:lvlText w:val="%2."/>
      <w:lvlJc w:val="left"/>
      <w:pPr>
        <w:tabs>
          <w:tab w:val="left" w:leader="none" w:pos="1440"/>
        </w:tabs>
        <w:ind w:left="1440" w:hanging="360"/>
      </w:pPr>
    </w:lvl>
    <w:lvl w:ilvl="2" w:tentative="1">
      <w:start w:val="1"/>
      <w:numFmt w:val="decimal"/>
      <w:lvlText w:val="%3."/>
      <w:lvlJc w:val="left"/>
      <w:pPr>
        <w:tabs>
          <w:tab w:val="left" w:leader="none" w:pos="2160"/>
        </w:tabs>
        <w:ind w:left="2160" w:hanging="360"/>
      </w:pPr>
    </w:lvl>
    <w:lvl w:ilvl="3" w:tentative="1">
      <w:start w:val="1"/>
      <w:numFmt w:val="decimal"/>
      <w:lvlText w:val="%4."/>
      <w:lvlJc w:val="left"/>
      <w:pPr>
        <w:tabs>
          <w:tab w:val="left" w:leader="none" w:pos="2880"/>
        </w:tabs>
        <w:ind w:left="2880" w:hanging="360"/>
      </w:pPr>
    </w:lvl>
    <w:lvl w:ilvl="4" w:tentative="1">
      <w:start w:val="1"/>
      <w:numFmt w:val="decimal"/>
      <w:lvlText w:val="%5."/>
      <w:lvlJc w:val="left"/>
      <w:pPr>
        <w:tabs>
          <w:tab w:val="left" w:leader="none" w:pos="3600"/>
        </w:tabs>
        <w:ind w:left="3600" w:hanging="360"/>
      </w:pPr>
    </w:lvl>
    <w:lvl w:ilvl="5" w:tentative="1">
      <w:start w:val="1"/>
      <w:numFmt w:val="decimal"/>
      <w:lvlText w:val="%6."/>
      <w:lvlJc w:val="left"/>
      <w:pPr>
        <w:tabs>
          <w:tab w:val="left" w:leader="none" w:pos="4320"/>
        </w:tabs>
        <w:ind w:left="4320" w:hanging="360"/>
      </w:pPr>
    </w:lvl>
    <w:lvl w:ilvl="6" w:tentative="1">
      <w:start w:val="1"/>
      <w:numFmt w:val="decimal"/>
      <w:lvlText w:val="%7."/>
      <w:lvlJc w:val="left"/>
      <w:pPr>
        <w:tabs>
          <w:tab w:val="left" w:leader="none" w:pos="5040"/>
        </w:tabs>
        <w:ind w:left="5040" w:hanging="360"/>
      </w:pPr>
    </w:lvl>
    <w:lvl w:ilvl="7" w:tentative="1">
      <w:start w:val="1"/>
      <w:numFmt w:val="decimal"/>
      <w:lvlText w:val="%8."/>
      <w:lvlJc w:val="left"/>
      <w:pPr>
        <w:tabs>
          <w:tab w:val="left" w:leader="none" w:pos="5760"/>
        </w:tabs>
        <w:ind w:left="5760" w:hanging="360"/>
      </w:pPr>
    </w:lvl>
    <w:lvl w:ilvl="8" w:tentative="1">
      <w:start w:val="1"/>
      <w:numFmt w:val="decimal"/>
      <w:lvlText w:val="%9."/>
      <w:lvlJc w:val="left"/>
      <w:pPr>
        <w:tabs>
          <w:tab w:val="left" w:leader="none" w:pos="6480"/>
        </w:tabs>
        <w:ind w:left="6480" w:hanging="360"/>
      </w:pPr>
    </w:lvl>
  </w:abstractNum>
  <w:abstractNum w:abstractNumId="8">
    <w:nsid w:val="00000008"/>
    <w:multiLevelType w:val="multilevel"/>
    <w:tmpl w:val="8B8E2D70"/>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9">
    <w:nsid w:val="00000009"/>
    <w:multiLevelType w:val="multilevel"/>
    <w:tmpl w:val="5D4A5608"/>
    <w:lvl w:ilvl="0">
      <w:start w:val="1"/>
      <w:numFmt w:val="decimal"/>
      <w:lvlText w:val="%1."/>
      <w:lvlJc w:val="left"/>
      <w:pPr>
        <w:tabs>
          <w:tab w:val="left" w:leader="none" w:pos="720"/>
        </w:tabs>
        <w:ind w:left="720" w:hanging="360"/>
      </w:pPr>
    </w:lvl>
    <w:lvl w:ilvl="1" w:tentative="1">
      <w:start w:val="1"/>
      <w:numFmt w:val="decimal"/>
      <w:lvlText w:val="%2."/>
      <w:lvlJc w:val="left"/>
      <w:pPr>
        <w:tabs>
          <w:tab w:val="left" w:leader="none" w:pos="1440"/>
        </w:tabs>
        <w:ind w:left="1440" w:hanging="360"/>
      </w:pPr>
    </w:lvl>
    <w:lvl w:ilvl="2" w:tentative="1">
      <w:start w:val="1"/>
      <w:numFmt w:val="decimal"/>
      <w:lvlText w:val="%3."/>
      <w:lvlJc w:val="left"/>
      <w:pPr>
        <w:tabs>
          <w:tab w:val="left" w:leader="none" w:pos="2160"/>
        </w:tabs>
        <w:ind w:left="2160" w:hanging="360"/>
      </w:pPr>
    </w:lvl>
    <w:lvl w:ilvl="3" w:tentative="1">
      <w:start w:val="1"/>
      <w:numFmt w:val="decimal"/>
      <w:lvlText w:val="%4."/>
      <w:lvlJc w:val="left"/>
      <w:pPr>
        <w:tabs>
          <w:tab w:val="left" w:leader="none" w:pos="2880"/>
        </w:tabs>
        <w:ind w:left="2880" w:hanging="360"/>
      </w:pPr>
    </w:lvl>
    <w:lvl w:ilvl="4" w:tentative="1">
      <w:start w:val="1"/>
      <w:numFmt w:val="decimal"/>
      <w:lvlText w:val="%5."/>
      <w:lvlJc w:val="left"/>
      <w:pPr>
        <w:tabs>
          <w:tab w:val="left" w:leader="none" w:pos="3600"/>
        </w:tabs>
        <w:ind w:left="3600" w:hanging="360"/>
      </w:pPr>
    </w:lvl>
    <w:lvl w:ilvl="5" w:tentative="1">
      <w:start w:val="1"/>
      <w:numFmt w:val="decimal"/>
      <w:lvlText w:val="%6."/>
      <w:lvlJc w:val="left"/>
      <w:pPr>
        <w:tabs>
          <w:tab w:val="left" w:leader="none" w:pos="4320"/>
        </w:tabs>
        <w:ind w:left="4320" w:hanging="360"/>
      </w:pPr>
    </w:lvl>
    <w:lvl w:ilvl="6" w:tentative="1">
      <w:start w:val="1"/>
      <w:numFmt w:val="decimal"/>
      <w:lvlText w:val="%7."/>
      <w:lvlJc w:val="left"/>
      <w:pPr>
        <w:tabs>
          <w:tab w:val="left" w:leader="none" w:pos="5040"/>
        </w:tabs>
        <w:ind w:left="5040" w:hanging="360"/>
      </w:pPr>
    </w:lvl>
    <w:lvl w:ilvl="7" w:tentative="1">
      <w:start w:val="1"/>
      <w:numFmt w:val="decimal"/>
      <w:lvlText w:val="%8."/>
      <w:lvlJc w:val="left"/>
      <w:pPr>
        <w:tabs>
          <w:tab w:val="left" w:leader="none" w:pos="5760"/>
        </w:tabs>
        <w:ind w:left="5760" w:hanging="360"/>
      </w:pPr>
    </w:lvl>
    <w:lvl w:ilvl="8" w:tentative="1">
      <w:start w:val="1"/>
      <w:numFmt w:val="decimal"/>
      <w:lvlText w:val="%9."/>
      <w:lvlJc w:val="left"/>
      <w:pPr>
        <w:tabs>
          <w:tab w:val="left" w:leader="none" w:pos="6480"/>
        </w:tabs>
        <w:ind w:left="6480" w:hanging="360"/>
      </w:pPr>
    </w:lvl>
  </w:abstractNum>
  <w:abstractNum w:abstractNumId="10">
    <w:nsid w:val="0000000A"/>
    <w:multiLevelType w:val="hybridMultilevel"/>
    <w:tmpl w:val="52A4D2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0000000B"/>
    <w:multiLevelType w:val="multilevel"/>
    <w:tmpl w:val="59A47620"/>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12">
    <w:nsid w:val="0000000C"/>
    <w:multiLevelType w:val="multilevel"/>
    <w:tmpl w:val="FA8204F6"/>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13">
    <w:nsid w:val="0000000D"/>
    <w:multiLevelType w:val="multilevel"/>
    <w:tmpl w:val="A7CA787A"/>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14">
    <w:nsid w:val="0000000E"/>
    <w:multiLevelType w:val="multilevel"/>
    <w:tmpl w:val="04090025"/>
    <w:lvl w:ilvl="0">
      <w:start w:val="1"/>
      <w:numFmt w:val="decimal"/>
      <w:pStyle w:val="style1"/>
      <w:lvlText w:val="%1"/>
      <w:lvlJc w:val="left"/>
      <w:pPr>
        <w:ind w:left="432" w:hanging="432"/>
      </w:pPr>
    </w:lvl>
    <w:lvl w:ilvl="1">
      <w:start w:val="1"/>
      <w:numFmt w:val="decimal"/>
      <w:pStyle w:val="style2"/>
      <w:lvlText w:val="%1.%2"/>
      <w:lvlJc w:val="left"/>
      <w:pPr>
        <w:ind w:left="576" w:hanging="576"/>
      </w:pPr>
    </w:lvl>
    <w:lvl w:ilvl="2">
      <w:start w:val="1"/>
      <w:numFmt w:val="decimal"/>
      <w:pStyle w:val="style3"/>
      <w:lvlText w:val="%1.%2.%3"/>
      <w:lvlJc w:val="left"/>
      <w:pPr>
        <w:ind w:left="720" w:hanging="720"/>
      </w:pPr>
    </w:lvl>
    <w:lvl w:ilvl="3">
      <w:start w:val="1"/>
      <w:numFmt w:val="decimal"/>
      <w:pStyle w:val="style4"/>
      <w:lvlText w:val="%1.%2.%3.%4"/>
      <w:lvlJc w:val="left"/>
      <w:pPr>
        <w:ind w:left="864" w:hanging="864"/>
      </w:pPr>
    </w:lvl>
    <w:lvl w:ilvl="4">
      <w:start w:val="1"/>
      <w:numFmt w:val="decimal"/>
      <w:pStyle w:val="style5"/>
      <w:lvlText w:val="%1.%2.%3.%4.%5"/>
      <w:lvlJc w:val="left"/>
      <w:pPr>
        <w:ind w:left="1008" w:hanging="1008"/>
      </w:pPr>
    </w:lvl>
    <w:lvl w:ilvl="5">
      <w:start w:val="1"/>
      <w:numFmt w:val="decimal"/>
      <w:pStyle w:val="style6"/>
      <w:lvlText w:val="%1.%2.%3.%4.%5.%6"/>
      <w:lvlJc w:val="left"/>
      <w:pPr>
        <w:ind w:left="1152" w:hanging="1152"/>
      </w:pPr>
    </w:lvl>
    <w:lvl w:ilvl="6">
      <w:start w:val="1"/>
      <w:numFmt w:val="decimal"/>
      <w:pStyle w:val="style7"/>
      <w:lvlText w:val="%1.%2.%3.%4.%5.%6.%7"/>
      <w:lvlJc w:val="left"/>
      <w:pPr>
        <w:ind w:left="1296" w:hanging="1296"/>
      </w:pPr>
    </w:lvl>
    <w:lvl w:ilvl="7">
      <w:start w:val="1"/>
      <w:numFmt w:val="decimal"/>
      <w:pStyle w:val="style8"/>
      <w:lvlText w:val="%1.%2.%3.%4.%5.%6.%7.%8"/>
      <w:lvlJc w:val="left"/>
      <w:pPr>
        <w:ind w:left="1440" w:hanging="1440"/>
      </w:pPr>
    </w:lvl>
    <w:lvl w:ilvl="8">
      <w:start w:val="1"/>
      <w:numFmt w:val="decimal"/>
      <w:pStyle w:val="style9"/>
      <w:lvlText w:val="%1.%2.%3.%4.%5.%6.%7.%8.%9"/>
      <w:lvlJc w:val="left"/>
      <w:pPr>
        <w:ind w:left="1584" w:hanging="1584"/>
      </w:pPr>
    </w:lvl>
  </w:abstractNum>
  <w:abstractNum w:abstractNumId="15">
    <w:nsid w:val="0000000F"/>
    <w:multiLevelType w:val="multilevel"/>
    <w:tmpl w:val="1520E508"/>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num w:numId="1">
    <w:abstractNumId w:val="14"/>
  </w:num>
  <w:num w:numId="2">
    <w:abstractNumId w:val="7"/>
  </w:num>
  <w:num w:numId="3">
    <w:abstractNumId w:val="5"/>
  </w:num>
  <w:num w:numId="4">
    <w:abstractNumId w:val="3"/>
  </w:num>
  <w:num w:numId="5">
    <w:abstractNumId w:val="12"/>
  </w:num>
  <w:num w:numId="6">
    <w:abstractNumId w:val="13"/>
  </w:num>
  <w:num w:numId="7">
    <w:abstractNumId w:val="15"/>
  </w:num>
  <w:num w:numId="8">
    <w:abstractNumId w:val="11"/>
  </w:num>
  <w:num w:numId="9">
    <w:abstractNumId w:val="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6"/>
  </w:num>
  <w:num w:numId="11">
    <w:abstractNumId w:val="8"/>
  </w:num>
  <w:num w:numId="12">
    <w:abstractNumId w:val="9"/>
  </w:num>
  <w:num w:numId="13">
    <w:abstractNumId w:val="4"/>
  </w:num>
  <w:num w:numId="14">
    <w:abstractNumId w:val="0"/>
  </w:num>
  <w:num w:numId="15">
    <w:abstractNumId w:val="10"/>
  </w:num>
  <w:num w:numId="16">
    <w:abstractNumId w:val="1"/>
  </w:num>
</w:numbering>
</file>

<file path=word/settings.xml><?xml version="1.0" encoding="utf-8"?>
<w:settings xmlns:w="http://schemas.openxmlformats.org/wordprocessingml/2006/main" xmlns:r="http://schemas.openxmlformats.org/officeDocument/2006/relationships" xmlns:m="http://schemas.openxmlformats.org/officeDocument/2006/math">
  <w:zoom w:percent="100"/>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Aptos" w:cs="宋体" w:eastAsia="Aptos" w:hAnsi="Aptos"/>
        <w:kern w:val="2"/>
        <w:sz w:val="24"/>
        <w:szCs w:val="24"/>
        <w:lang w:val="en-GB" w:bidi="ar-SA" w:eastAsia="en-US"/>
        <w14:ligatures xmlns:w14="http://schemas.microsoft.com/office/word/2010/wordml" w14:val="standardContextual"/>
      </w:rPr>
    </w:rPrDefault>
    <w:pPrDefault>
      <w:pPr>
        <w:spacing w:after="160" w:lineRule="auto" w:line="278"/>
      </w:pPr>
    </w:pPrDefault>
  </w:docDefaults>
  <w:style w:type="paragraph" w:default="1" w:styleId="style0">
    <w:name w:val="Normal"/>
    <w:next w:val="style0"/>
    <w:qFormat/>
    <w:pPr>
      <w:spacing w:lineRule="auto" w:line="360"/>
      <w:jc w:val="both"/>
    </w:pPr>
    <w:rPr>
      <w:rFonts w:ascii="Times New Roman" w:hAnsi="Times New Roman"/>
    </w:rPr>
  </w:style>
  <w:style w:type="paragraph" w:styleId="style1">
    <w:name w:val="heading 1"/>
    <w:basedOn w:val="style0"/>
    <w:next w:val="style0"/>
    <w:link w:val="style4097"/>
    <w:qFormat/>
    <w:uiPriority w:val="9"/>
    <w:pPr>
      <w:keepNext/>
      <w:keepLines/>
      <w:numPr>
        <w:ilvl w:val="0"/>
        <w:numId w:val="1"/>
      </w:numPr>
      <w:spacing w:before="360" w:after="80"/>
      <w:outlineLvl w:val="0"/>
    </w:pPr>
    <w:rPr>
      <w:rFonts w:cs="宋体" w:eastAsia="宋体"/>
      <w:b/>
      <w:color w:val="000000"/>
      <w:sz w:val="32"/>
      <w:szCs w:val="40"/>
    </w:rPr>
  </w:style>
  <w:style w:type="paragraph" w:styleId="style2">
    <w:name w:val="heading 2"/>
    <w:basedOn w:val="style0"/>
    <w:next w:val="style0"/>
    <w:link w:val="style4098"/>
    <w:qFormat/>
    <w:uiPriority w:val="9"/>
    <w:pPr>
      <w:keepNext/>
      <w:keepLines/>
      <w:numPr>
        <w:ilvl w:val="1"/>
        <w:numId w:val="1"/>
      </w:numPr>
      <w:spacing w:before="160" w:after="80"/>
      <w:outlineLvl w:val="1"/>
    </w:pPr>
    <w:rPr>
      <w:rFonts w:cs="宋体" w:eastAsia="宋体"/>
      <w:b/>
      <w:color w:val="000000"/>
      <w:sz w:val="28"/>
      <w:szCs w:val="32"/>
    </w:rPr>
  </w:style>
  <w:style w:type="paragraph" w:styleId="style3">
    <w:name w:val="heading 3"/>
    <w:basedOn w:val="style0"/>
    <w:next w:val="style0"/>
    <w:link w:val="style4099"/>
    <w:qFormat/>
    <w:uiPriority w:val="9"/>
    <w:pPr>
      <w:keepNext/>
      <w:keepLines/>
      <w:numPr>
        <w:ilvl w:val="2"/>
        <w:numId w:val="1"/>
      </w:numPr>
      <w:spacing w:before="160" w:after="80"/>
      <w:outlineLvl w:val="2"/>
    </w:pPr>
    <w:rPr>
      <w:rFonts w:cs="宋体" w:eastAsia="宋体"/>
      <w:b/>
      <w:color w:val="000000"/>
      <w:szCs w:val="28"/>
    </w:rPr>
  </w:style>
  <w:style w:type="paragraph" w:styleId="style4">
    <w:name w:val="heading 4"/>
    <w:basedOn w:val="style0"/>
    <w:next w:val="style0"/>
    <w:link w:val="style4100"/>
    <w:qFormat/>
    <w:uiPriority w:val="9"/>
    <w:pPr>
      <w:keepNext/>
      <w:keepLines/>
      <w:numPr>
        <w:ilvl w:val="3"/>
        <w:numId w:val="1"/>
      </w:numPr>
      <w:spacing w:before="80" w:after="40"/>
      <w:outlineLvl w:val="3"/>
    </w:pPr>
    <w:rPr>
      <w:rFonts w:ascii="Aptos" w:cs="宋体" w:eastAsia="宋体" w:hAnsi="Aptos"/>
      <w:i/>
      <w:iCs/>
      <w:color w:val="0f4761"/>
    </w:rPr>
  </w:style>
  <w:style w:type="paragraph" w:styleId="style5">
    <w:name w:val="heading 5"/>
    <w:basedOn w:val="style0"/>
    <w:next w:val="style0"/>
    <w:link w:val="style4101"/>
    <w:qFormat/>
    <w:uiPriority w:val="9"/>
    <w:pPr>
      <w:keepNext/>
      <w:keepLines/>
      <w:numPr>
        <w:ilvl w:val="4"/>
        <w:numId w:val="1"/>
      </w:numPr>
      <w:spacing w:before="80" w:after="40"/>
      <w:outlineLvl w:val="4"/>
    </w:pPr>
    <w:rPr>
      <w:rFonts w:ascii="Aptos" w:cs="宋体" w:eastAsia="宋体" w:hAnsi="Aptos"/>
      <w:color w:val="0f4761"/>
    </w:rPr>
  </w:style>
  <w:style w:type="paragraph" w:styleId="style6">
    <w:name w:val="heading 6"/>
    <w:basedOn w:val="style0"/>
    <w:next w:val="style0"/>
    <w:link w:val="style4102"/>
    <w:qFormat/>
    <w:uiPriority w:val="9"/>
    <w:pPr>
      <w:keepNext/>
      <w:keepLines/>
      <w:numPr>
        <w:ilvl w:val="5"/>
        <w:numId w:val="1"/>
      </w:numPr>
      <w:spacing w:before="40" w:after="0"/>
      <w:outlineLvl w:val="5"/>
    </w:pPr>
    <w:rPr>
      <w:rFonts w:ascii="Aptos" w:cs="宋体" w:eastAsia="宋体" w:hAnsi="Aptos"/>
      <w:i/>
      <w:iCs/>
      <w:color w:val="595959"/>
    </w:rPr>
  </w:style>
  <w:style w:type="paragraph" w:styleId="style7">
    <w:name w:val="heading 7"/>
    <w:basedOn w:val="style0"/>
    <w:next w:val="style0"/>
    <w:link w:val="style4103"/>
    <w:qFormat/>
    <w:uiPriority w:val="9"/>
    <w:pPr>
      <w:keepNext/>
      <w:keepLines/>
      <w:numPr>
        <w:ilvl w:val="6"/>
        <w:numId w:val="1"/>
      </w:numPr>
      <w:spacing w:before="40" w:after="0"/>
      <w:outlineLvl w:val="6"/>
    </w:pPr>
    <w:rPr>
      <w:rFonts w:ascii="Aptos" w:cs="宋体" w:eastAsia="宋体" w:hAnsi="Aptos"/>
      <w:color w:val="595959"/>
    </w:rPr>
  </w:style>
  <w:style w:type="paragraph" w:styleId="style8">
    <w:name w:val="heading 8"/>
    <w:basedOn w:val="style0"/>
    <w:next w:val="style0"/>
    <w:link w:val="style4104"/>
    <w:qFormat/>
    <w:uiPriority w:val="9"/>
    <w:pPr>
      <w:keepNext/>
      <w:keepLines/>
      <w:numPr>
        <w:ilvl w:val="7"/>
        <w:numId w:val="1"/>
      </w:numPr>
      <w:spacing w:after="0"/>
      <w:outlineLvl w:val="7"/>
    </w:pPr>
    <w:rPr>
      <w:rFonts w:ascii="Aptos" w:cs="宋体" w:eastAsia="宋体" w:hAnsi="Aptos"/>
      <w:i/>
      <w:iCs/>
      <w:color w:val="272727"/>
    </w:rPr>
  </w:style>
  <w:style w:type="paragraph" w:styleId="style9">
    <w:name w:val="heading 9"/>
    <w:basedOn w:val="style0"/>
    <w:next w:val="style0"/>
    <w:link w:val="style4105"/>
    <w:qFormat/>
    <w:uiPriority w:val="9"/>
    <w:pPr>
      <w:keepNext/>
      <w:keepLines/>
      <w:numPr>
        <w:ilvl w:val="8"/>
        <w:numId w:val="1"/>
      </w:numPr>
      <w:spacing w:after="0"/>
      <w:outlineLvl w:val="8"/>
    </w:pPr>
    <w:rPr>
      <w:rFonts w:ascii="Aptos" w:cs="宋体" w:eastAsia="宋体" w:hAnsi="Aptos"/>
      <w:color w:val="272727"/>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character" w:customStyle="1" w:styleId="style4097">
    <w:name w:val="Heading 1 Char_545a77bf-effa-497a-8aaa-e21ac279ed42"/>
    <w:basedOn w:val="style65"/>
    <w:next w:val="style4097"/>
    <w:link w:val="style1"/>
    <w:uiPriority w:val="9"/>
    <w:rPr>
      <w:rFonts w:ascii="Times New Roman" w:cs="宋体" w:eastAsia="宋体" w:hAnsi="Times New Roman"/>
      <w:b/>
      <w:color w:val="000000"/>
      <w:sz w:val="32"/>
      <w:szCs w:val="40"/>
    </w:rPr>
  </w:style>
  <w:style w:type="character" w:customStyle="1" w:styleId="style4098">
    <w:name w:val="Heading 2 Char_04d350ea-09fe-4e8a-bac2-9b1673bd8a05"/>
    <w:basedOn w:val="style65"/>
    <w:next w:val="style4098"/>
    <w:link w:val="style2"/>
    <w:uiPriority w:val="9"/>
    <w:rPr>
      <w:rFonts w:ascii="Times New Roman" w:cs="宋体" w:eastAsia="宋体" w:hAnsi="Times New Roman"/>
      <w:b/>
      <w:color w:val="000000"/>
      <w:sz w:val="28"/>
      <w:szCs w:val="32"/>
    </w:rPr>
  </w:style>
  <w:style w:type="character" w:customStyle="1" w:styleId="style4099">
    <w:name w:val="Heading 3 Char_c24620cd-e2f0-4ffd-809e-3d39955a577e"/>
    <w:basedOn w:val="style65"/>
    <w:next w:val="style4099"/>
    <w:link w:val="style3"/>
    <w:uiPriority w:val="9"/>
    <w:rPr>
      <w:rFonts w:ascii="Times New Roman" w:cs="宋体" w:eastAsia="宋体" w:hAnsi="Times New Roman"/>
      <w:b/>
      <w:color w:val="000000"/>
      <w:szCs w:val="28"/>
    </w:rPr>
  </w:style>
  <w:style w:type="character" w:customStyle="1" w:styleId="style4100">
    <w:name w:val="Heading 4 Char_be1796ce-47bc-486d-80ca-7afe9e3dc995"/>
    <w:basedOn w:val="style65"/>
    <w:next w:val="style4100"/>
    <w:link w:val="style4"/>
    <w:uiPriority w:val="9"/>
    <w:rPr>
      <w:rFonts w:cs="宋体" w:eastAsia="宋体"/>
      <w:i/>
      <w:iCs/>
      <w:color w:val="0f4761"/>
    </w:rPr>
  </w:style>
  <w:style w:type="character" w:customStyle="1" w:styleId="style4101">
    <w:name w:val="Heading 5 Char_059c44a4-ab0e-4842-b598-ca8e6a957124"/>
    <w:basedOn w:val="style65"/>
    <w:next w:val="style4101"/>
    <w:link w:val="style5"/>
    <w:uiPriority w:val="9"/>
    <w:rPr>
      <w:rFonts w:cs="宋体" w:eastAsia="宋体"/>
      <w:color w:val="0f4761"/>
    </w:rPr>
  </w:style>
  <w:style w:type="character" w:customStyle="1" w:styleId="style4102">
    <w:name w:val="Heading 6 Char_a153b3b3-96dd-4eba-8b1b-e144f326a8d3"/>
    <w:basedOn w:val="style65"/>
    <w:next w:val="style4102"/>
    <w:link w:val="style6"/>
    <w:uiPriority w:val="9"/>
    <w:rPr>
      <w:rFonts w:cs="宋体" w:eastAsia="宋体"/>
      <w:i/>
      <w:iCs/>
      <w:color w:val="595959"/>
    </w:rPr>
  </w:style>
  <w:style w:type="character" w:customStyle="1" w:styleId="style4103">
    <w:name w:val="Heading 7 Char_54e0347f-0b68-4bba-8d04-f459aba8dfda"/>
    <w:basedOn w:val="style65"/>
    <w:next w:val="style4103"/>
    <w:link w:val="style7"/>
    <w:uiPriority w:val="9"/>
    <w:rPr>
      <w:rFonts w:cs="宋体" w:eastAsia="宋体"/>
      <w:color w:val="595959"/>
    </w:rPr>
  </w:style>
  <w:style w:type="character" w:customStyle="1" w:styleId="style4104">
    <w:name w:val="Heading 8 Char_de2bbcad-b0eb-457c-98c2-6d43407f9b7b"/>
    <w:basedOn w:val="style65"/>
    <w:next w:val="style4104"/>
    <w:link w:val="style8"/>
    <w:uiPriority w:val="9"/>
    <w:rPr>
      <w:rFonts w:cs="宋体" w:eastAsia="宋体"/>
      <w:i/>
      <w:iCs/>
      <w:color w:val="272727"/>
    </w:rPr>
  </w:style>
  <w:style w:type="character" w:customStyle="1" w:styleId="style4105">
    <w:name w:val="Heading 9 Char_1ad7724a-ec03-4efd-8ae9-abbf84f1318d"/>
    <w:basedOn w:val="style65"/>
    <w:next w:val="style4105"/>
    <w:link w:val="style9"/>
    <w:uiPriority w:val="9"/>
    <w:rPr>
      <w:rFonts w:cs="宋体" w:eastAsia="宋体"/>
      <w:color w:val="272727"/>
    </w:rPr>
  </w:style>
  <w:style w:type="paragraph" w:styleId="style62">
    <w:name w:val="Title"/>
    <w:basedOn w:val="style0"/>
    <w:next w:val="style0"/>
    <w:link w:val="style4106"/>
    <w:qFormat/>
    <w:uiPriority w:val="10"/>
    <w:pPr>
      <w:spacing w:after="80" w:lineRule="auto" w:line="240"/>
      <w:contextualSpacing/>
    </w:pPr>
    <w:rPr>
      <w:rFonts w:ascii="Aptos Display" w:cs="宋体" w:eastAsia="宋体" w:hAnsi="Aptos Display"/>
      <w:spacing w:val="-10"/>
      <w:kern w:val="28"/>
      <w:sz w:val="56"/>
      <w:szCs w:val="56"/>
    </w:rPr>
  </w:style>
  <w:style w:type="character" w:customStyle="1" w:styleId="style4106">
    <w:name w:val="Title Char_e9967c0b-0cc4-426e-a142-42988a378960"/>
    <w:basedOn w:val="style65"/>
    <w:next w:val="style4106"/>
    <w:link w:val="style62"/>
    <w:uiPriority w:val="10"/>
    <w:rPr>
      <w:rFonts w:ascii="Aptos Display" w:cs="宋体" w:eastAsia="宋体" w:hAnsi="Aptos Display"/>
      <w:spacing w:val="-10"/>
      <w:kern w:val="28"/>
      <w:sz w:val="56"/>
      <w:szCs w:val="56"/>
    </w:rPr>
  </w:style>
  <w:style w:type="paragraph" w:styleId="style74">
    <w:name w:val="Subtitle"/>
    <w:basedOn w:val="style0"/>
    <w:next w:val="style0"/>
    <w:link w:val="style4107"/>
    <w:qFormat/>
    <w:uiPriority w:val="11"/>
    <w:pPr>
      <w:numPr>
        <w:ilvl w:val="1"/>
        <w:numId w:val="0"/>
      </w:numPr>
    </w:pPr>
    <w:rPr>
      <w:rFonts w:ascii="Aptos" w:cs="宋体" w:eastAsia="宋体" w:hAnsi="Aptos"/>
      <w:color w:val="595959"/>
      <w:spacing w:val="15"/>
      <w:sz w:val="28"/>
      <w:szCs w:val="28"/>
    </w:rPr>
  </w:style>
  <w:style w:type="character" w:customStyle="1" w:styleId="style4107">
    <w:name w:val="Subtitle Char"/>
    <w:basedOn w:val="style65"/>
    <w:next w:val="style4107"/>
    <w:link w:val="style74"/>
    <w:uiPriority w:val="11"/>
    <w:rPr>
      <w:rFonts w:cs="宋体" w:eastAsia="宋体"/>
      <w:color w:val="595959"/>
      <w:spacing w:val="15"/>
      <w:sz w:val="28"/>
      <w:szCs w:val="28"/>
    </w:rPr>
  </w:style>
  <w:style w:type="paragraph" w:styleId="style180">
    <w:name w:val="Quote"/>
    <w:basedOn w:val="style0"/>
    <w:next w:val="style0"/>
    <w:link w:val="style4108"/>
    <w:qFormat/>
    <w:uiPriority w:val="29"/>
    <w:pPr>
      <w:spacing w:before="160"/>
      <w:jc w:val="center"/>
    </w:pPr>
    <w:rPr>
      <w:i/>
      <w:iCs/>
      <w:color w:val="404040"/>
    </w:rPr>
  </w:style>
  <w:style w:type="character" w:customStyle="1" w:styleId="style4108">
    <w:name w:val="Quote Char_8c8e0d11-8c22-4b70-938e-31a59d9adb3b"/>
    <w:basedOn w:val="style65"/>
    <w:next w:val="style4108"/>
    <w:link w:val="style180"/>
    <w:uiPriority w:val="29"/>
    <w:rPr>
      <w:rFonts w:ascii="Times New Roman" w:hAnsi="Times New Roman"/>
      <w:i/>
      <w:iCs/>
      <w:color w:val="404040"/>
    </w:rPr>
  </w:style>
  <w:style w:type="paragraph" w:styleId="style179">
    <w:name w:val="List Paragraph"/>
    <w:basedOn w:val="style0"/>
    <w:next w:val="style179"/>
    <w:qFormat/>
    <w:uiPriority w:val="34"/>
    <w:pPr>
      <w:ind w:left="720"/>
      <w:contextualSpacing/>
    </w:pPr>
    <w:rPr/>
  </w:style>
  <w:style w:type="character" w:styleId="style261">
    <w:name w:val="Intense Emphasis"/>
    <w:basedOn w:val="style65"/>
    <w:next w:val="style261"/>
    <w:qFormat/>
    <w:uiPriority w:val="21"/>
    <w:rPr>
      <w:i/>
      <w:iCs/>
      <w:color w:val="0f4761"/>
    </w:rPr>
  </w:style>
  <w:style w:type="paragraph" w:styleId="style181">
    <w:name w:val="Intense Quote"/>
    <w:basedOn w:val="style0"/>
    <w:next w:val="style0"/>
    <w:link w:val="style4109"/>
    <w:qFormat/>
    <w:uiPriority w:val="30"/>
    <w:pPr>
      <w:pBdr>
        <w:top w:val="single" w:sz="4" w:space="10" w:color="0f4761"/>
        <w:bottom w:val="single" w:sz="4" w:space="10" w:color="0f4761"/>
      </w:pBdr>
      <w:spacing w:before="360" w:after="360"/>
      <w:ind w:left="864" w:right="864"/>
      <w:jc w:val="center"/>
    </w:pPr>
    <w:rPr>
      <w:i/>
      <w:iCs/>
      <w:color w:val="0f4761"/>
    </w:rPr>
  </w:style>
  <w:style w:type="character" w:customStyle="1" w:styleId="style4109">
    <w:name w:val="Intense Quote Char_5f80db56-6d39-4060-a906-3e99c8fcfdff"/>
    <w:basedOn w:val="style65"/>
    <w:next w:val="style4109"/>
    <w:link w:val="style181"/>
    <w:uiPriority w:val="30"/>
    <w:rPr>
      <w:rFonts w:ascii="Times New Roman" w:hAnsi="Times New Roman"/>
      <w:i/>
      <w:iCs/>
      <w:color w:val="0f4761"/>
    </w:rPr>
  </w:style>
  <w:style w:type="character" w:styleId="style263">
    <w:name w:val="Intense Reference"/>
    <w:basedOn w:val="style65"/>
    <w:next w:val="style263"/>
    <w:qFormat/>
    <w:uiPriority w:val="32"/>
    <w:rPr>
      <w:b/>
      <w:bCs/>
      <w:smallCaps/>
      <w:color w:val="0f4761"/>
      <w:spacing w:val="5"/>
    </w:rPr>
  </w:style>
  <w:style w:type="paragraph" w:styleId="style94">
    <w:name w:val="Normal (Web)"/>
    <w:basedOn w:val="style0"/>
    <w:next w:val="style94"/>
    <w:uiPriority w:val="99"/>
    <w:pPr>
      <w:spacing w:before="100" w:beforeAutospacing="true" w:after="100" w:afterAutospacing="true" w:lineRule="auto" w:line="240"/>
      <w:jc w:val="left"/>
    </w:pPr>
    <w:rPr>
      <w:rFonts w:cs="Times New Roman" w:eastAsia="Times New Roman"/>
      <w:kern w:val="0"/>
      <w:lang w:eastAsia="en-GB"/>
      <w14:ligatures xmlns:w14="http://schemas.microsoft.com/office/word/2010/wordml" w14:val="none"/>
    </w:rPr>
  </w:style>
  <w:style w:type="character" w:styleId="style87">
    <w:name w:val="Strong"/>
    <w:basedOn w:val="style65"/>
    <w:next w:val="style87"/>
    <w:qFormat/>
    <w:uiPriority w:val="22"/>
    <w:rPr>
      <w:b/>
      <w:bCs/>
    </w:rPr>
  </w:style>
  <w:style w:type="table" w:customStyle="1" w:styleId="style4110">
    <w:name w:val="Plain Table 3"/>
    <w:basedOn w:val="style105"/>
    <w:next w:val="style4110"/>
    <w:uiPriority w:val="43"/>
    <w:pPr>
      <w:spacing w:after="0" w:lineRule="auto" w:line="240"/>
    </w:pPr>
    <w:rPr>
      <w:lang w:val="en-US"/>
    </w:rPr>
    <w:tblPr>
      <w:tblStyleRowBandSize w:val="1"/>
      <w:tblStyleColBandSize w:val="1"/>
    </w:tblPr>
    <w:tblStylePr w:type="firstRow">
      <w:pPr/>
      <w:rPr>
        <w:b/>
        <w:bCs/>
        <w:caps/>
      </w:rPr>
      <w:tblPr/>
      <w:tcPr>
        <w:tcBorders>
          <w:bottom w:val="single" w:sz="4" w:space="0" w:color="7f7f7f"/>
        </w:tcBorders>
      </w:tcPr>
    </w:tblStylePr>
    <w:tblStylePr w:type="lastRow">
      <w:pPr/>
      <w:rPr>
        <w:b/>
        <w:bCs/>
        <w:caps/>
      </w:rPr>
      <w:tblPr/>
      <w:tcPr>
        <w:tcBorders>
          <w:top w:val="nil"/>
        </w:tcBorders>
      </w:tcPr>
    </w:tblStylePr>
    <w:tblStylePr w:type="band1Horz">
      <w:pPr/>
      <w:tblPr/>
      <w:tcPr>
        <w:tcBorders/>
        <w:shd w:val="clear" w:color="auto" w:fill="f2f2f2"/>
      </w:tcPr>
    </w:tblStylePr>
    <w:tblStylePr w:type="firstCol">
      <w:pPr/>
      <w:rPr>
        <w:b/>
        <w:bCs/>
        <w:caps/>
      </w:rPr>
      <w:tblPr/>
      <w:tcPr>
        <w:tcBorders>
          <w:right w:val="single" w:sz="4" w:space="0" w:color="7f7f7f"/>
        </w:tcBorders>
      </w:tcPr>
    </w:tblStylePr>
    <w:tblStylePr w:type="lastCol">
      <w:pPr/>
      <w:rPr>
        <w:b/>
        <w:bCs/>
        <w:caps/>
      </w:rPr>
      <w:tblPr/>
      <w:tcPr>
        <w:tcBorders>
          <w:left w:val="nil"/>
        </w:tcBorders>
      </w:tcPr>
    </w:tblStylePr>
    <w:tblStylePr w:type="band1Vert">
      <w:pPr/>
      <w:tblPr/>
      <w:tcPr>
        <w:tcBorders/>
        <w:shd w:val="clear" w:color="auto" w:fill="f2f2f2"/>
      </w:tcPr>
    </w:tblStylePr>
    <w:tblStylePr w:type="neCell">
      <w:pPr/>
      <w:tblPr/>
      <w:tcPr>
        <w:tcBorders>
          <w:left w:val="nil"/>
        </w:tcBorders>
      </w:tcPr>
    </w:tblStylePr>
    <w:tblStylePr w:type="nwCell">
      <w:pPr/>
      <w:tblPr/>
      <w:tcPr>
        <w:tcBorders>
          <w:right w:val="nil"/>
        </w:tcBorders>
      </w:tcPr>
    </w:tblStylePr>
    <w:tcPr>
      <w:tcBorders/>
    </w:tcPr>
  </w:style>
  <w:style w:type="character" w:styleId="style85">
    <w:name w:val="Hyperlink"/>
    <w:basedOn w:val="style65"/>
    <w:next w:val="style85"/>
    <w:uiPriority w:val="99"/>
    <w:rPr>
      <w:color w:val="467886"/>
      <w:u w:val="single"/>
    </w:rPr>
  </w:style>
  <w:style w:type="paragraph" w:styleId="style34">
    <w:name w:val="caption"/>
    <w:basedOn w:val="style0"/>
    <w:next w:val="style0"/>
    <w:qFormat/>
    <w:uiPriority w:val="35"/>
    <w:pPr>
      <w:spacing w:after="200" w:lineRule="auto" w:line="240"/>
    </w:pPr>
    <w:rPr>
      <w:i/>
      <w:iCs/>
      <w:color w:val="0e2841"/>
      <w:sz w:val="18"/>
      <w:szCs w:val="18"/>
    </w:rPr>
  </w:style>
  <w:style w:type="paragraph" w:styleId="style31">
    <w:name w:val="header"/>
    <w:basedOn w:val="style0"/>
    <w:next w:val="style31"/>
    <w:link w:val="style4111"/>
    <w:uiPriority w:val="99"/>
    <w:pPr>
      <w:tabs>
        <w:tab w:val="center" w:leader="none" w:pos="4513"/>
        <w:tab w:val="right" w:leader="none" w:pos="9026"/>
      </w:tabs>
      <w:spacing w:after="0" w:lineRule="auto" w:line="240"/>
    </w:pPr>
    <w:rPr/>
  </w:style>
  <w:style w:type="character" w:customStyle="1" w:styleId="style4111">
    <w:name w:val="Header Char_b5fa5034-9e50-4163-89e3-2188a16f702a"/>
    <w:basedOn w:val="style65"/>
    <w:next w:val="style4111"/>
    <w:link w:val="style31"/>
    <w:uiPriority w:val="99"/>
    <w:rPr>
      <w:rFonts w:ascii="Times New Roman" w:hAnsi="Times New Roman"/>
    </w:rPr>
  </w:style>
  <w:style w:type="paragraph" w:styleId="style32">
    <w:name w:val="footer"/>
    <w:basedOn w:val="style0"/>
    <w:next w:val="style32"/>
    <w:link w:val="style4112"/>
    <w:uiPriority w:val="99"/>
    <w:pPr>
      <w:tabs>
        <w:tab w:val="center" w:leader="none" w:pos="4513"/>
        <w:tab w:val="right" w:leader="none" w:pos="9026"/>
      </w:tabs>
      <w:spacing w:after="0" w:lineRule="auto" w:line="240"/>
    </w:pPr>
    <w:rPr/>
  </w:style>
  <w:style w:type="character" w:customStyle="1" w:styleId="style4112">
    <w:name w:val="Footer Char_59487c89-0ee7-4da3-a468-77784bec0388"/>
    <w:basedOn w:val="style65"/>
    <w:next w:val="style4112"/>
    <w:link w:val="style32"/>
    <w:uiPriority w:val="99"/>
    <w:rPr>
      <w:rFonts w:ascii="Times New Roman" w:hAnsi="Times New Roman"/>
    </w:rPr>
  </w:style>
  <w:style w:type="paragraph" w:styleId="style266">
    <w:name w:val="TOC Heading"/>
    <w:basedOn w:val="style1"/>
    <w:next w:val="style0"/>
    <w:qFormat/>
    <w:uiPriority w:val="39"/>
    <w:pPr>
      <w:numPr>
        <w:ilvl w:val="0"/>
        <w:numId w:val="0"/>
      </w:numPr>
      <w:spacing w:before="240" w:after="0" w:lineRule="auto" w:line="259"/>
      <w:jc w:val="left"/>
      <w:outlineLvl w:val="9"/>
    </w:pPr>
    <w:rPr>
      <w:rFonts w:ascii="Aptos Display" w:hAnsi="Aptos Display"/>
      <w:b w:val="false"/>
      <w:color w:val="0f4761"/>
      <w:kern w:val="0"/>
      <w:szCs w:val="32"/>
      <w:lang w:val="en-US"/>
      <w14:ligatures xmlns:w14="http://schemas.microsoft.com/office/word/2010/wordml" w14:val="none"/>
    </w:rPr>
  </w:style>
  <w:style w:type="paragraph" w:styleId="style19">
    <w:name w:val="toc 1"/>
    <w:basedOn w:val="style0"/>
    <w:next w:val="style0"/>
    <w:uiPriority w:val="39"/>
    <w:pPr>
      <w:spacing w:after="100"/>
    </w:pPr>
    <w:rPr/>
  </w:style>
  <w:style w:type="paragraph" w:styleId="style20">
    <w:name w:val="toc 2"/>
    <w:basedOn w:val="style0"/>
    <w:next w:val="style0"/>
    <w:uiPriority w:val="39"/>
    <w:pPr>
      <w:spacing w:after="100"/>
      <w:ind w:left="240"/>
    </w:pPr>
    <w:rPr/>
  </w:style>
  <w:style w:type="paragraph" w:styleId="style21">
    <w:name w:val="toc 3"/>
    <w:basedOn w:val="style0"/>
    <w:next w:val="style0"/>
    <w:uiPriority w:val="39"/>
    <w:pPr>
      <w:spacing w:after="100"/>
      <w:ind w:left="480"/>
    </w:pPr>
    <w:rPr/>
  </w:style>
  <w:style w:type="paragraph" w:styleId="style35">
    <w:name w:val="table of figures"/>
    <w:basedOn w:val="style0"/>
    <w:next w:val="style0"/>
    <w:uiPriority w:val="99"/>
    <w:pPr>
      <w:spacing w:after="0"/>
    </w:pPr>
    <w:rPr/>
  </w:style>
</w:styles>
</file>

<file path=word/_rels/document.xml.rels><?xml version="1.0" encoding="UTF-8"?>
<Relationships xmlns="http://schemas.openxmlformats.org/package/2006/relationships"><Relationship Id="rId11" Type="http://schemas.openxmlformats.org/officeDocument/2006/relationships/image" Target="media/image9.png"/><Relationship Id="rId10" Type="http://schemas.openxmlformats.org/officeDocument/2006/relationships/image" Target="media/image8.png"/><Relationship Id="rId13" Type="http://schemas.openxmlformats.org/officeDocument/2006/relationships/image" Target="media/image11.png"/><Relationship Id="rId12" Type="http://schemas.openxmlformats.org/officeDocument/2006/relationships/image" Target="media/image10.png"/><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footer" Target="footer1.xml"/><Relationship Id="rId4" Type="http://schemas.openxmlformats.org/officeDocument/2006/relationships/image" Target="media/image2.png"/><Relationship Id="rId9" Type="http://schemas.openxmlformats.org/officeDocument/2006/relationships/image" Target="media/image7.png"/><Relationship Id="rId15" Type="http://schemas.openxmlformats.org/officeDocument/2006/relationships/styles" Target="styles.xml"/><Relationship Id="rId14" Type="http://schemas.openxmlformats.org/officeDocument/2006/relationships/image" Target="media/image12.png"/><Relationship Id="rId17" Type="http://schemas.openxmlformats.org/officeDocument/2006/relationships/settings" Target="settings.xml"/><Relationship Id="rId16" Type="http://schemas.openxmlformats.org/officeDocument/2006/relationships/fontTable" Target="fontTable.xml"/><Relationship Id="rId5" Type="http://schemas.openxmlformats.org/officeDocument/2006/relationships/image" Target="media/image3.png"/><Relationship Id="rId6" Type="http://schemas.openxmlformats.org/officeDocument/2006/relationships/image" Target="media/image4.png"/><Relationship Id="rId18" Type="http://schemas.openxmlformats.org/officeDocument/2006/relationships/theme" Target="theme/theme1.xml"/><Relationship Id="rId7" Type="http://schemas.openxmlformats.org/officeDocument/2006/relationships/image" Target="media/image5.png"/><Relationship Id="rId8"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50</TotalTime>
  <Words>19858</Words>
  <Pages>79</Pages>
  <Characters>131701</Characters>
  <Application>WPS Office</Application>
  <DocSecurity>0</DocSecurity>
  <Paragraphs>808</Paragraphs>
  <ScaleCrop>false</ScaleCrop>
  <LinksUpToDate>false</LinksUpToDate>
  <CharactersWithSpaces>150973</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2026-01-26T15:25:00Z</dcterms:created>
  <dc:creator>WPS Office</dc:creator>
  <lastModifiedBy>vivo 1920</lastModifiedBy>
  <dcterms:modified xsi:type="dcterms:W3CDTF">2026-02-01T12:47:15Z</dcterms:modified>
  <revision>48</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2025-11-28T19:23:47Z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e0e5b249-75ed-41df-b9f9-e9cbe438b206</vt:lpwstr>
  </property>
  <property fmtid="{D5CDD505-2E9C-101B-9397-08002B2CF9AE}" pid="7" name="MSIP_Label_defa4170-0d19-0005-0004-bc88714345d2_ActionId">
    <vt:lpwstr>621ad586-1ba0-4c90-86b7-475863c7ff5e</vt:lpwstr>
  </property>
  <property fmtid="{D5CDD505-2E9C-101B-9397-08002B2CF9AE}" pid="8" name="MSIP_Label_defa4170-0d19-0005-0004-bc88714345d2_ContentBits">
    <vt:lpwstr>0</vt:lpwstr>
  </property>
  <property fmtid="{D5CDD505-2E9C-101B-9397-08002B2CF9AE}" pid="9" name="MSIP_Label_defa4170-0d19-0005-0004-bc88714345d2_Tag">
    <vt:lpwstr>10, 3, 0, 1</vt:lpwstr>
  </property>
  <property fmtid="{D5CDD505-2E9C-101B-9397-08002B2CF9AE}" pid="10" name="ICV">
    <vt:lpwstr>6650750a19e047088302f3ece491e0c4</vt:lpwstr>
  </property>
</Properties>
</file>