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A68FD8E" w:rsidR="7908378C" w:rsidRDefault="7908378C" w:rsidP="33572C6E">
            <w:pPr>
              <w:ind w:right="237"/>
              <w:rPr>
                <w:b/>
                <w:bCs/>
                <w:color w:val="auto"/>
                <w:sz w:val="32"/>
                <w:szCs w:val="32"/>
              </w:rPr>
            </w:pPr>
            <w:r w:rsidRPr="33572C6E">
              <w:rPr>
                <w:b/>
                <w:bCs/>
                <w:color w:val="auto"/>
                <w:sz w:val="32"/>
                <w:szCs w:val="32"/>
              </w:rPr>
              <w:t>Learner name:</w:t>
            </w:r>
            <w:r w:rsidR="00833495">
              <w:rPr>
                <w:b/>
                <w:bCs/>
                <w:color w:val="auto"/>
                <w:sz w:val="32"/>
                <w:szCs w:val="32"/>
              </w:rPr>
              <w:t xml:space="preserve"> </w:t>
            </w:r>
            <w:r w:rsidR="00833495" w:rsidRPr="00833495">
              <w:rPr>
                <w:b/>
                <w:bCs/>
                <w:color w:val="auto"/>
                <w:sz w:val="32"/>
                <w:szCs w:val="32"/>
                <w:u w:val="single"/>
              </w:rPr>
              <w:t>Joe Rees</w:t>
            </w:r>
            <w:r w:rsidR="00833495">
              <w:rPr>
                <w:b/>
                <w:bCs/>
                <w:color w:val="auto"/>
                <w:sz w:val="32"/>
                <w:szCs w:val="32"/>
              </w:rPr>
              <w:t xml:space="preserve"> </w:t>
            </w:r>
          </w:p>
          <w:p w14:paraId="3A3A802D" w14:textId="77777777" w:rsidR="33572C6E" w:rsidRDefault="33572C6E" w:rsidP="33572C6E">
            <w:pPr>
              <w:ind w:right="237"/>
              <w:rPr>
                <w:b/>
                <w:bCs/>
                <w:color w:val="auto"/>
                <w:sz w:val="32"/>
                <w:szCs w:val="32"/>
              </w:rPr>
            </w:pPr>
          </w:p>
          <w:p w14:paraId="1D86F74A" w14:textId="00C8BFF6" w:rsidR="33572C6E" w:rsidRPr="00833495" w:rsidRDefault="7908378C" w:rsidP="33572C6E">
            <w:pPr>
              <w:ind w:right="237"/>
              <w:rPr>
                <w:b/>
                <w:bCs/>
                <w:color w:val="auto"/>
                <w:sz w:val="32"/>
                <w:szCs w:val="32"/>
              </w:rPr>
            </w:pPr>
            <w:r w:rsidRPr="33572C6E">
              <w:rPr>
                <w:b/>
                <w:bCs/>
                <w:color w:val="auto"/>
                <w:sz w:val="32"/>
                <w:szCs w:val="32"/>
              </w:rPr>
              <w:t>Learner’s University Registration Number:</w:t>
            </w:r>
            <w:r w:rsidR="00833495">
              <w:rPr>
                <w:b/>
                <w:bCs/>
                <w:color w:val="auto"/>
                <w:sz w:val="32"/>
                <w:szCs w:val="32"/>
              </w:rPr>
              <w:t xml:space="preserve"> </w:t>
            </w:r>
            <w:r w:rsidR="00833495" w:rsidRPr="00833495">
              <w:rPr>
                <w:b/>
                <w:bCs/>
                <w:color w:val="auto"/>
                <w:sz w:val="32"/>
                <w:szCs w:val="32"/>
                <w:u w:val="single"/>
              </w:rPr>
              <w:t>2222461</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066BF2AB" w14:textId="77777777" w:rsidR="000D7CCF" w:rsidRPr="00EB4A5C" w:rsidRDefault="000D7CCF" w:rsidP="5B843AF0">
      <w:pPr>
        <w:ind w:right="237"/>
        <w:jc w:val="both"/>
        <w:rPr>
          <w:rFonts w:asciiTheme="minorHAnsi" w:eastAsia="Arial" w:hAnsiTheme="minorHAnsi" w:cstheme="minorHAnsi"/>
          <w:b/>
          <w:bCs/>
          <w:color w:val="000000" w:themeColor="text1"/>
          <w:sz w:val="28"/>
          <w:szCs w:val="28"/>
        </w:rPr>
      </w:pPr>
    </w:p>
    <w:p w14:paraId="768DB052" w14:textId="77777777" w:rsidR="00EB4A5C" w:rsidRP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 xml:space="preserve">A community is best defined as a group of people living in the same place or a group of people that share a common characteristic or nationality (Cambridge Dictionary, 2024). This is most easily identified in racial groups or religious groups. Despite living in a modernised society where multi-cultural communities are now the norm, there are still the select few who continue to demonstrate racist tendencies, such as committing hate crimes again those from an ethnic minority. A hate crime, as defined by the Metropolitan Police is any act of criminality that is perceived by the victim as prejudice or fuelled by hate, in relation to their disability, race, religion or sexual orientation (Metropolitan Police, 2024). Section 29 of the Crime and Disorder Act 1998 states that a crime such as an assault, becomes aggravated by a racial element. Due to this type of behaviour that ethnic minorities are subjected to, this may make them vulnerable. Vulnerability is defined as any person, who as a result of their circumstances, is unable to protect themselves from, criminality, harm or from being exploited (College of Policing, 2021). </w:t>
      </w:r>
    </w:p>
    <w:p w14:paraId="515433FC" w14:textId="77777777" w:rsidR="00EB4A5C" w:rsidRPr="00EB4A5C" w:rsidRDefault="00EB4A5C" w:rsidP="00EB4A5C">
      <w:pPr>
        <w:rPr>
          <w:rFonts w:asciiTheme="minorHAnsi" w:hAnsiTheme="minorHAnsi" w:cstheme="minorHAnsi"/>
          <w:sz w:val="24"/>
          <w:szCs w:val="24"/>
        </w:rPr>
      </w:pPr>
    </w:p>
    <w:p w14:paraId="34B239B1" w14:textId="77777777" w:rsidR="00EB4A5C" w:rsidRP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 xml:space="preserve">Racism in society, both community based and institutional, remains a staple issue and the police are especially scrutinised for the way investigations are handled. There are a multitude of factors that need to be taken into account when investigations of such an important nature arise. These include understanding of legislation and social constructs, as well as the identification of barriers such as language and mental capacity. This will be discussed below. </w:t>
      </w:r>
    </w:p>
    <w:p w14:paraId="35AC24DA" w14:textId="77777777" w:rsidR="00EB4A5C" w:rsidRPr="00EB4A5C" w:rsidRDefault="00EB4A5C" w:rsidP="00EB4A5C">
      <w:pPr>
        <w:rPr>
          <w:rFonts w:asciiTheme="minorHAnsi" w:hAnsiTheme="minorHAnsi" w:cstheme="minorHAnsi"/>
          <w:sz w:val="24"/>
          <w:szCs w:val="24"/>
        </w:rPr>
      </w:pPr>
    </w:p>
    <w:p w14:paraId="345C178A" w14:textId="77777777" w:rsidR="00EB4A5C" w:rsidRP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lastRenderedPageBreak/>
        <w:t>In my local area, there is a facility that homes those of an extremely vulnerable nature – those who are not deemed to have the capacity to cope with the outside world and require around the clock support from staff. Working closely with staff, combined with the cognitive inability to comprehend actions can create a particularly hostile environment. This facility is often the source of ‘slow time’ call demand, meaning the threat, risk and harm is often low enough for appointments to be made for police attendance. The facility’s work force is also diverse with applicants from multiple cultural backgrounds employed there. I have recently attended a call, categorised as a hate crime, whereby the subject has been shouting extremely derogatory racial abuse at one of the staff members. Whilst staff have attempted to restrain the subject, she has also lashed out and assaulted him. Unfortunately, the details of this call are not unfamiliar as this type of crime regularly occurs at this facility. The staff have seemingly become accustomed to the abuse they receive from the patients, and only tend to contact police after being advised to by their employer. I have conducted a risk assessment on the police occurrence recording system to determine the severity, as per policy. This risk assessment helps me determine the level of support that is required for the victim, in order to handle this investigation effectively and efficiently. That being said, on this occasion and like many other occasions, the staff member did not want to provide a statement of complaint to the police. On speaking with the victim, it was easy to identify the lack of faith he had in the progression of the investigation. He would follow his answers with a nonchalant comment, as if his answers did not matter. I had to ensure that I was clear and concise in my communication due to the language barrier, and by doing so, I have explained the options available to him in a way that he could understand. I also explained that new Gwent policy dictates that even without a complaint to support the investigation, I am able to continue to progress by means of an evidence led investigation – A personal favourited policy brought in by Gwent police.</w:t>
      </w:r>
    </w:p>
    <w:p w14:paraId="52654D2A" w14:textId="77777777" w:rsidR="00EB4A5C" w:rsidRPr="00EB4A5C" w:rsidRDefault="00EB4A5C" w:rsidP="00EB4A5C">
      <w:pPr>
        <w:rPr>
          <w:rFonts w:asciiTheme="minorHAnsi" w:hAnsiTheme="minorHAnsi" w:cstheme="minorHAnsi"/>
          <w:sz w:val="24"/>
          <w:szCs w:val="24"/>
        </w:rPr>
      </w:pPr>
    </w:p>
    <w:p w14:paraId="4BFFD39C" w14:textId="77777777" w:rsidR="00EB4A5C" w:rsidRP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 xml:space="preserve">In 2022, College of Policing alongside the National Police Chief’s Council (NPCC) have developed a plan to improve outcomes for people of an ethnic minority, when the investigation is being handled by Police. The plan aims to accelerate trust and confidence in the police from the black community, by ensuring that investigations are taken seriously as well as implementing the possibility for police to progress an investigation, without the support most often needed to do so (College of Policing, 2022). This is important because it creates a sense of urgency and significance, a demonstration to the public that hate crime is not tolerable. There are multiple studies that support the hypothesis of a somewhat cracked relationship between the police and black minority ethnicity communities (BME), and how there remain significant improvements to be made to rebuild this relationship (Arwan </w:t>
      </w:r>
      <w:r w:rsidRPr="00EB4A5C">
        <w:rPr>
          <w:rFonts w:asciiTheme="minorHAnsi" w:hAnsiTheme="minorHAnsi" w:cstheme="minorHAnsi"/>
          <w:i/>
          <w:iCs/>
          <w:sz w:val="24"/>
          <w:szCs w:val="24"/>
        </w:rPr>
        <w:t>et al.</w:t>
      </w:r>
      <w:r w:rsidRPr="00EB4A5C">
        <w:rPr>
          <w:rFonts w:asciiTheme="minorHAnsi" w:hAnsiTheme="minorHAnsi" w:cstheme="minorHAnsi"/>
          <w:sz w:val="24"/>
          <w:szCs w:val="24"/>
        </w:rPr>
        <w:t xml:space="preserve"> 2019). </w:t>
      </w:r>
    </w:p>
    <w:p w14:paraId="7AC2A45A" w14:textId="77777777" w:rsidR="00EB4A5C" w:rsidRPr="00EB4A5C" w:rsidRDefault="00EB4A5C" w:rsidP="00EB4A5C">
      <w:pPr>
        <w:rPr>
          <w:rFonts w:asciiTheme="minorHAnsi" w:hAnsiTheme="minorHAnsi" w:cstheme="minorHAnsi"/>
          <w:sz w:val="24"/>
          <w:szCs w:val="24"/>
        </w:rPr>
      </w:pPr>
    </w:p>
    <w:p w14:paraId="3065F6A4" w14:textId="77777777" w:rsidR="00EB4A5C" w:rsidRP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One of the methods that is used to establish what support is best suited for a victim is identified through the use of a Public Protection Notification (PPN). A PPN is a document purposed to multi-agency practices and social services, identifying any safeguarding concerns in reference to adults or children in contact with the police (HMICFRS, 2023). This referral is made by the police so that outside agencies can review the assessment and determine what support is to be offered to the victim. There is current research that shows social services do not always provide support to the victim (Patterson and Swan, 2019)</w:t>
      </w:r>
      <w:r w:rsidRPr="00EB4A5C">
        <w:rPr>
          <w:rFonts w:asciiTheme="minorHAnsi" w:hAnsiTheme="minorHAnsi" w:cstheme="minorHAnsi"/>
          <w:b/>
          <w:bCs/>
          <w:sz w:val="24"/>
          <w:szCs w:val="24"/>
        </w:rPr>
        <w:t xml:space="preserve"> </w:t>
      </w:r>
      <w:r w:rsidRPr="00EB4A5C">
        <w:rPr>
          <w:rFonts w:asciiTheme="minorHAnsi" w:hAnsiTheme="minorHAnsi" w:cstheme="minorHAnsi"/>
          <w:sz w:val="24"/>
          <w:szCs w:val="24"/>
        </w:rPr>
        <w:t xml:space="preserve">and this allows the victim to carry on being vulnerable to any offending behaviour that they may be subjected to. This is a drawback of PPNs as this is not what they should be used for. They </w:t>
      </w:r>
      <w:r w:rsidRPr="00EB4A5C">
        <w:rPr>
          <w:rFonts w:asciiTheme="minorHAnsi" w:hAnsiTheme="minorHAnsi" w:cstheme="minorHAnsi"/>
          <w:sz w:val="24"/>
          <w:szCs w:val="24"/>
        </w:rPr>
        <w:lastRenderedPageBreak/>
        <w:t>should be used for helping the victim, not putting them back into a position of vulnerability. Not only can the PPN be sent on behalf of the victim, but it can also include the subject and their vulnerabilities or needs to ensure that their behaviour is recognised and ways to help them are considered. This can be as a means of countering reoffending by the subject as they may be a repeat offender. As in the incident that I attended, the subject had been involved in numerous previous incidents that also involved a racially aggravated element to it. A repeat offender is described as someone who continues to commit the same offence even after conviction (Audenaert and De Bont, 2021)</w:t>
      </w:r>
      <w:r w:rsidRPr="00EB4A5C">
        <w:rPr>
          <w:rFonts w:asciiTheme="minorHAnsi" w:hAnsiTheme="minorHAnsi" w:cstheme="minorHAnsi"/>
          <w:b/>
          <w:bCs/>
          <w:sz w:val="24"/>
          <w:szCs w:val="24"/>
        </w:rPr>
        <w:t xml:space="preserve">. </w:t>
      </w:r>
      <w:r w:rsidRPr="00EB4A5C">
        <w:rPr>
          <w:rFonts w:asciiTheme="minorHAnsi" w:hAnsiTheme="minorHAnsi" w:cstheme="minorHAnsi"/>
          <w:sz w:val="24"/>
          <w:szCs w:val="24"/>
        </w:rPr>
        <w:t>As a result of the subject having been reported for racism in the past, out of court disposals were not longer optional for a me to use when dealing with the subject. The subject had exhausted her out of court options, and now other avenues had to be explored to target harden her offending behaviour. This may have been a silver lining as it meant that the soft approach of a community resolution was no longer being tolerated, and a more severe outcome is necessary.</w:t>
      </w:r>
    </w:p>
    <w:p w14:paraId="52B3CBCA" w14:textId="77777777" w:rsidR="00EB4A5C" w:rsidRP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Further to this, studies have also indicated that individuals who have been diagnosed with psychiatric illness are more likely to reoffend, when compared to a group of individuals that have not been diagnosed (Fazel and Yu, 2011). A study such as this is relevant when approaching an appropriate method of disposal or crime outcome, as it shows that there are multiple factors to be considered. Such as, the capacity of the offender to comprehend the consequences of their actions, which further questions the element of criminality if their intention is put it into question.</w:t>
      </w:r>
    </w:p>
    <w:p w14:paraId="7F49A71F" w14:textId="77777777" w:rsidR="00EB4A5C" w:rsidRPr="00EB4A5C" w:rsidRDefault="00EB4A5C" w:rsidP="00EB4A5C">
      <w:pPr>
        <w:rPr>
          <w:rFonts w:asciiTheme="minorHAnsi" w:hAnsiTheme="minorHAnsi" w:cstheme="minorHAnsi"/>
          <w:sz w:val="24"/>
          <w:szCs w:val="24"/>
        </w:rPr>
      </w:pPr>
    </w:p>
    <w:p w14:paraId="569DF8E5" w14:textId="77777777" w:rsidR="00EB4A5C" w:rsidRP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With offences that are racially aggravated, the subject is usually arrested under section 24 of the Police and Criminal Evidence Act 1984. However, due to the subject being detained in the mental health facility, there are complications and further considerations to be made. In this instance, I did not consider an arrest of the subject would be appropriate because it was established that the female did not have mental capacity at the time of the offence. Second to this, the facility that she is currently detained is more than capable of preventing further incidents from occurring, by implementing measures to keep the parties separate. This responsibility falls on the health facility, and these sorts of practices were discussed upon my attendance. The female is a section 3 mental health patient whereby she has had to be admitted to an appropriate facility, namely a psychiatric facility, to receive treatment. This emphasises the fact that the female was unable to see the appropriate treatment herself due to her capacity. This female has protected characteristics that need to be taking into consideration when deciding on the proportionality of investigation. The female also has protections by the Mental Capacity Act 2005 to ensure that her decision making is in her best interests, and aid in her decisions is she is unable to.</w:t>
      </w:r>
    </w:p>
    <w:p w14:paraId="428B866C" w14:textId="77777777" w:rsidR="00EB4A5C" w:rsidRPr="00EB4A5C" w:rsidRDefault="00EB4A5C" w:rsidP="00EB4A5C">
      <w:pPr>
        <w:rPr>
          <w:rFonts w:asciiTheme="minorHAnsi" w:hAnsiTheme="minorHAnsi" w:cstheme="minorHAnsi"/>
          <w:sz w:val="24"/>
          <w:szCs w:val="24"/>
        </w:rPr>
      </w:pPr>
    </w:p>
    <w:p w14:paraId="05625458" w14:textId="77777777" w:rsidR="00EB4A5C" w:rsidRP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 xml:space="preserve">The victim also did not provide a formal complaint as (Abraham, 2022) shows that many people of an ethnic minority do not report hate crimes they experience to the police due to a lack of trust and the feeling of unfair treatment. This creates issues in crime identification, making it even more difficult to provide a service that can help to rebuild this trust. </w:t>
      </w:r>
    </w:p>
    <w:p w14:paraId="275EE75C" w14:textId="77777777" w:rsidR="00EB4A5C" w:rsidRPr="00EB4A5C" w:rsidRDefault="00EB4A5C" w:rsidP="00EB4A5C">
      <w:pPr>
        <w:rPr>
          <w:rFonts w:asciiTheme="minorHAnsi" w:hAnsiTheme="minorHAnsi" w:cstheme="minorHAnsi"/>
          <w:sz w:val="24"/>
          <w:szCs w:val="24"/>
        </w:rPr>
      </w:pPr>
    </w:p>
    <w:p w14:paraId="284A5DB5" w14:textId="77777777" w:rsidR="00EB4A5C" w:rsidRP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 xml:space="preserve">As stated above, due to the subject being detained in the mental health facility, and the victim being employed there, the victim was now in a more vulnerable position, making the risk of repeat victimisation a real possibility. A term introduced into policing known as repeat victimisation whereby a single individual or victim, is the common denominator of criminal activity (Fisher and Lab, 2010). Repeat victimisation is common amongst those who </w:t>
      </w:r>
      <w:r w:rsidRPr="00EB4A5C">
        <w:rPr>
          <w:rFonts w:asciiTheme="minorHAnsi" w:hAnsiTheme="minorHAnsi" w:cstheme="minorHAnsi"/>
          <w:sz w:val="24"/>
          <w:szCs w:val="24"/>
        </w:rPr>
        <w:lastRenderedPageBreak/>
        <w:t xml:space="preserve">are ethnic minorities due to the inherent vulnerability of their protected characteristic, combined with the research that suggest a lack of reporting (Arwal </w:t>
      </w:r>
      <w:r w:rsidRPr="00EB4A5C">
        <w:rPr>
          <w:rFonts w:asciiTheme="minorHAnsi" w:hAnsiTheme="minorHAnsi" w:cstheme="minorHAnsi"/>
          <w:i/>
          <w:iCs/>
          <w:sz w:val="24"/>
          <w:szCs w:val="24"/>
        </w:rPr>
        <w:t>et al</w:t>
      </w:r>
      <w:r w:rsidRPr="00EB4A5C">
        <w:rPr>
          <w:rFonts w:asciiTheme="minorHAnsi" w:hAnsiTheme="minorHAnsi" w:cstheme="minorHAnsi"/>
          <w:sz w:val="24"/>
          <w:szCs w:val="24"/>
        </w:rPr>
        <w:t>, 2019). As such, this needed to be considered from the victim’s side and what could be done to ensure their safety and make sure that they did not experience any further racist incidents, both from the subject and other individuals. To further reduce repeat victimisation as well as repeat offending, an educative approach could be utilised. This could be done by means of liaising with the Crime And Disorder Reduction Officer (CADRO) and the management team at the mental health institute to facilitate workshops that highlight the intolerable nature of racism. Studies have shown that those with who have invested in forms of higher education do not tend to form part of the data that are associated with the commission of crime (Ford and Schroeder 2010).</w:t>
      </w:r>
    </w:p>
    <w:p w14:paraId="5C5D0837" w14:textId="77777777" w:rsidR="00EB4A5C" w:rsidRPr="00EB4A5C" w:rsidRDefault="00EB4A5C" w:rsidP="00EB4A5C">
      <w:pPr>
        <w:rPr>
          <w:rFonts w:asciiTheme="minorHAnsi" w:hAnsiTheme="minorHAnsi" w:cstheme="minorHAnsi"/>
          <w:b/>
          <w:bCs/>
          <w:sz w:val="24"/>
          <w:szCs w:val="24"/>
        </w:rPr>
      </w:pPr>
    </w:p>
    <w:p w14:paraId="47F9A2E6" w14:textId="77777777" w:rsidR="00EB4A5C" w:rsidRPr="00EB4A5C" w:rsidRDefault="00EB4A5C" w:rsidP="00EB4A5C">
      <w:pPr>
        <w:rPr>
          <w:rFonts w:asciiTheme="minorHAnsi" w:hAnsiTheme="minorHAnsi" w:cstheme="minorHAnsi"/>
          <w:b/>
          <w:bCs/>
          <w:sz w:val="24"/>
          <w:szCs w:val="24"/>
        </w:rPr>
      </w:pPr>
      <w:r w:rsidRPr="00EB4A5C">
        <w:rPr>
          <w:rFonts w:asciiTheme="minorHAnsi" w:hAnsiTheme="minorHAnsi" w:cstheme="minorHAnsi"/>
          <w:sz w:val="24"/>
          <w:szCs w:val="24"/>
        </w:rPr>
        <w:t>In conclusion, it is important to consider the mental health of the subject may undermine the way in which an investigation is carried out, as their mental capacity at the time of the incident is crucial as it determines whether an investigation can take place. It also determines the proportionality of the investigation. The introduction of evidence led prosecution is a valuable tool in instilling trust from the community into the police, as well as the creation of a sense of competency. Officers should strive to provide the highest level of service to their communities and the utilisation of this tool should always be considered. Further considerations are to be made into the level of education and the effectiveness of the communication that officers provide the victims. It is reasonable to suggest that should victims be made more aware, particularly in the setting described above, of the meanings of legislation and by what method that criminality can be dealt with ethically. A combination of an evidence led approach and the use of education may serve to be a fundamental approach to building and maintaining relationships between the police and the community, and ultimately serving justice.</w:t>
      </w:r>
    </w:p>
    <w:p w14:paraId="3269B171" w14:textId="2E1B3661" w:rsidR="00EB4A5C" w:rsidRPr="002839BE" w:rsidRDefault="00EB4A5C" w:rsidP="00EB4A5C"/>
    <w:p w14:paraId="72BBA907" w14:textId="77777777" w:rsidR="000D7CCF" w:rsidRPr="00E676F7" w:rsidRDefault="000D7CCF" w:rsidP="5B843AF0">
      <w:pPr>
        <w:ind w:right="237"/>
        <w:jc w:val="both"/>
        <w:rPr>
          <w:rFonts w:eastAsia="Arial"/>
          <w:color w:val="000000" w:themeColor="text1"/>
          <w:sz w:val="24"/>
          <w:szCs w:val="24"/>
        </w:rPr>
      </w:pPr>
    </w:p>
    <w:p w14:paraId="4BBC525A" w14:textId="0BDDF0B2" w:rsidR="5B843AF0" w:rsidRPr="00E676F7" w:rsidRDefault="00EB4A5C" w:rsidP="5B843AF0">
      <w:pPr>
        <w:ind w:right="237"/>
        <w:jc w:val="both"/>
        <w:rPr>
          <w:rFonts w:eastAsia="Arial"/>
          <w:color w:val="000000" w:themeColor="text1"/>
          <w:sz w:val="24"/>
          <w:szCs w:val="24"/>
        </w:rPr>
      </w:pPr>
      <w:r>
        <w:rPr>
          <w:rFonts w:eastAsia="Arial"/>
          <w:color w:val="000000" w:themeColor="text1"/>
          <w:sz w:val="24"/>
          <w:szCs w:val="24"/>
        </w:rPr>
        <w:t>Word Count: 1911</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6D638DF8" w14:textId="77777777" w:rsidR="00C02F78" w:rsidRDefault="00C02F78" w:rsidP="5CE196A1">
      <w:pPr>
        <w:ind w:right="237"/>
        <w:jc w:val="both"/>
        <w:rPr>
          <w:b/>
          <w:bCs/>
          <w:sz w:val="24"/>
          <w:szCs w:val="24"/>
        </w:rPr>
      </w:pPr>
    </w:p>
    <w:p w14:paraId="6299D591"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 xml:space="preserve">Domestic abuse related crime can be extremely dangerous due to the unpredictable nature it poses, and it is one of the more regular reports a police officer will be expected to deal with on response. This is reflected in the Office of National Statistics (ONS), whereby statistics illustrate that domestic abuse is a crime that affected on average 5% of adults, women 6.9% and men approximately 3%, and current statistics suggest that the number of recorded domestic abuse related crimes has increased as of March 2022 by approximately 7.7% in England and Wales (ONS, 2023). Though, this does not factor domestic abuse related crime that remains unreported, the most important is that it is increasing. With that in mind, it is vital that a police officer’s approach to domestic abuse related reports entails vigilance and thorough investigation to ensure the safety of victims in the community. </w:t>
      </w:r>
    </w:p>
    <w:p w14:paraId="42A2F452" w14:textId="77777777" w:rsidR="00C02F78" w:rsidRPr="009E09FE" w:rsidRDefault="00C02F78" w:rsidP="00C02F78">
      <w:pPr>
        <w:rPr>
          <w:rFonts w:asciiTheme="minorHAnsi" w:hAnsiTheme="minorHAnsi" w:cstheme="minorHAnsi"/>
          <w:sz w:val="24"/>
          <w:szCs w:val="24"/>
        </w:rPr>
      </w:pPr>
    </w:p>
    <w:p w14:paraId="0083B3B4"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 xml:space="preserve">The above identified statistics show that women as being more prone to domestic abuse. Considerations need to be made into the possibility that male victims of domestic abuse are less likely to report it, when compared to reports made by female victims. An interesting study conducted into health care highlighted just one of the many reasons that may account for this statistic. The study found that health professionals very rarely consider and very rarely ask about male victim’s domestic relationships (Huntley et al., 2019). It is often perceived that males are not expressive of their personal circumstances through choice or through embarrassment. This study suggests that there is also a lack of opportunity for males to voice their circumstances. </w:t>
      </w:r>
    </w:p>
    <w:p w14:paraId="57919F8F" w14:textId="77777777" w:rsidR="00C02F78" w:rsidRPr="009E09FE" w:rsidRDefault="00C02F78" w:rsidP="00C02F78">
      <w:pPr>
        <w:rPr>
          <w:rFonts w:asciiTheme="minorHAnsi" w:hAnsiTheme="minorHAnsi" w:cstheme="minorHAnsi"/>
          <w:sz w:val="24"/>
          <w:szCs w:val="24"/>
        </w:rPr>
      </w:pPr>
    </w:p>
    <w:p w14:paraId="08A3205F"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Research has intensified over the years, with the advancements in identifying flags and characteristics that can assist officers in recognising the signs of a domestic abuse aggressor. For example, sociologist Albert Biderman developed the Biderman Chart of Coercion in the 1950’s that outlines various techniques used to coerce or manipulate potential victims (Biderman, 1957). The cycle was developed after Biderman conducted research into prisoners of war, and how captors would demonstrate psychological coercion. It is broken down into 8 stages and highlights methods used by captors with the aim of breaking down the victim. The 8 stages are isolation, monopolisation, humiliation and degradation, exhaustion, threats, occasional indulgencies, omnipotence and finally, forcing trivial demands (Peterson-Sparks and Gruelle, 2016). The stages of this cycle can be applied when dealing with victims of domestic abuse, to help officers identify crucial periods of a domestic abuse a relationship.</w:t>
      </w:r>
    </w:p>
    <w:p w14:paraId="751D9F45" w14:textId="77777777" w:rsidR="00C02F78" w:rsidRPr="009E09FE" w:rsidRDefault="00C02F78" w:rsidP="00C02F78">
      <w:pPr>
        <w:rPr>
          <w:rFonts w:asciiTheme="minorHAnsi" w:hAnsiTheme="minorHAnsi" w:cstheme="minorHAnsi"/>
          <w:sz w:val="24"/>
          <w:szCs w:val="24"/>
        </w:rPr>
      </w:pPr>
    </w:p>
    <w:p w14:paraId="0C741434"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 xml:space="preserve">In my short time as a response police officer, I have attended a multitude of domestic abuse related reports ranging from the most basic reports to much more serious reports. Each call, I have ensured that I have made use of the National Decision-Making Model (NDM) as a means of identifying the offences through the gathering of information, assessing the risk, the potential risk and justification of the decisions I have made (College of Policing, 2013). The benefit of using such a model is that it ensures a clear and concise thought process, that is structured and can be applied during the attendance of any call. An officer should also be aware that there are multiple forms of domestic abuse and therefore a different approach may be necessary with each investigation. For example, the use of the Betari’s Box model, whereby a police constable will bear in mind the theorised relationship between perceived </w:t>
      </w:r>
      <w:r w:rsidRPr="009E09FE">
        <w:rPr>
          <w:rFonts w:asciiTheme="minorHAnsi" w:hAnsiTheme="minorHAnsi" w:cstheme="minorHAnsi"/>
          <w:sz w:val="24"/>
          <w:szCs w:val="24"/>
        </w:rPr>
        <w:lastRenderedPageBreak/>
        <w:t xml:space="preserve">attitude and behavioural response when dealing with particularly aggressive subjects or emotional victims (Pepper, 2011). </w:t>
      </w:r>
    </w:p>
    <w:p w14:paraId="5C37C55D" w14:textId="77777777" w:rsidR="00C02F78" w:rsidRPr="009E09FE" w:rsidRDefault="00C02F78" w:rsidP="00C02F78">
      <w:pPr>
        <w:rPr>
          <w:rFonts w:asciiTheme="minorHAnsi" w:hAnsiTheme="minorHAnsi" w:cstheme="minorHAnsi"/>
          <w:sz w:val="24"/>
          <w:szCs w:val="24"/>
        </w:rPr>
      </w:pPr>
    </w:p>
    <w:p w14:paraId="629B5CA5"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I have attended a call local in my area in which it was reported that a male was outside the home address of the reporting person, screaming and shouting abuse. The address is an assisted living accommodation that houses a range of vulnerable people, those who have been released from prison, refugees, and domestic abuse victims. Fortunately, the male did not know the exact location of the female’s room and was around the other side of the building and therefore, she was not directly impacted by it. They do, however, have a young child together who lives with the mother in the assisted living. On arrival, the male was not present. I have identified the room in which the female resides by speaking to witnesses and a member of staff. The female had disclosed that over the last year or so, she has made numerous reports of stalking and harassment-based reports to the police, that have largely resulted in no further action. She had also reported that on this occasion, the perpetrator had sent text messages of a vile nature, in which he had called her names and labelled her as useless. This is representative of the ‘</w:t>
      </w:r>
      <w:r w:rsidRPr="009E09FE">
        <w:rPr>
          <w:rFonts w:asciiTheme="minorHAnsi" w:hAnsiTheme="minorHAnsi" w:cstheme="minorHAnsi"/>
          <w:i/>
          <w:iCs/>
          <w:sz w:val="24"/>
          <w:szCs w:val="24"/>
        </w:rPr>
        <w:t xml:space="preserve">humiliation and degradation’ </w:t>
      </w:r>
      <w:r w:rsidRPr="009E09FE">
        <w:rPr>
          <w:rFonts w:asciiTheme="minorHAnsi" w:hAnsiTheme="minorHAnsi" w:cstheme="minorHAnsi"/>
          <w:sz w:val="24"/>
          <w:szCs w:val="24"/>
        </w:rPr>
        <w:t>stage of the cycle, from The Biderman Chart of Coercion. This is the first time I had met the female, yet there had been multiple previous reports made by her to police. Upon her disclosures, it was clear that there were offences and necessities to effect an arrest for the male. The female was happy to provide a statement at the time, however, she then changed her mind and refused to provide a statement. I had explained to the victim that with or out without her support for police action, the Gwent domestic violence policy allows us officers to continue an evidence led prosecution. I believe this policy poses a huge benefit in crime a such as domestic abuse. This is because it can assist in the prevention of repeat victimisation.</w:t>
      </w:r>
    </w:p>
    <w:p w14:paraId="7D3E1A4D" w14:textId="77777777" w:rsidR="00C02F78" w:rsidRPr="009E09FE" w:rsidRDefault="00C02F78" w:rsidP="00C02F78">
      <w:pPr>
        <w:rPr>
          <w:rFonts w:asciiTheme="minorHAnsi" w:hAnsiTheme="minorHAnsi" w:cstheme="minorHAnsi"/>
          <w:sz w:val="24"/>
          <w:szCs w:val="24"/>
        </w:rPr>
      </w:pPr>
    </w:p>
    <w:p w14:paraId="5283FF8C"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Developed as an umbrella term in 1973, Stockholm Syndrome is a psychological phenomenon that the American Psychiatric Association (APA) considers to be a mental and emotional response from victims, in which an attachment or bond is formed toward their captor (APA Dictionary of Psychology, 2023). This also inclusive of relationships. An often overlooked and misunderstood term, even by the victims themselves, represented mostly by those ask, “</w:t>
      </w:r>
      <w:r w:rsidRPr="009E09FE">
        <w:rPr>
          <w:rFonts w:asciiTheme="minorHAnsi" w:hAnsiTheme="minorHAnsi" w:cstheme="minorHAnsi"/>
          <w:i/>
          <w:iCs/>
          <w:sz w:val="24"/>
          <w:szCs w:val="24"/>
        </w:rPr>
        <w:t>why don’t you just leave?</w:t>
      </w:r>
      <w:r w:rsidRPr="009E09FE">
        <w:rPr>
          <w:rFonts w:asciiTheme="minorHAnsi" w:hAnsiTheme="minorHAnsi" w:cstheme="minorHAnsi"/>
          <w:sz w:val="24"/>
          <w:szCs w:val="24"/>
        </w:rPr>
        <w:t xml:space="preserve">”. Unfortunately, for victims of domestic abuse, it is not as simple as ‘just leave’ and this can become a considerable indicator for danger. Victims at the time of the report have often decided that enough is enough, however, that bond that is formed is powerful and victims often begin to consider dropping charges or withdraw statements. It is at this point where I believe evidence-lead prosecution plays its most significant role in investigation. It allows officers to take a more informed approach at progressing investigation, significantly increasing the safety of victims. In relation to the situation described above, the victim had not provided a statement in any of the previous 3 statements. She had insisted to officers that she felt the male would and could change.  </w:t>
      </w:r>
    </w:p>
    <w:p w14:paraId="2CEF7634" w14:textId="77777777" w:rsidR="00C02F78" w:rsidRPr="009E09FE" w:rsidRDefault="00C02F78" w:rsidP="00C02F78">
      <w:pPr>
        <w:rPr>
          <w:rFonts w:asciiTheme="minorHAnsi" w:hAnsiTheme="minorHAnsi" w:cstheme="minorHAnsi"/>
          <w:sz w:val="24"/>
          <w:szCs w:val="24"/>
        </w:rPr>
      </w:pPr>
    </w:p>
    <w:p w14:paraId="79966248"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Therefore, my priority shifted to effecting the arrest of the male. This allowed for bail conditions to be implemented that mitigate the risk to victim significantly and for us to conduct an evidence led prosecution. Within the bail conditions, we can implement contact with the child under supervision from solicitors or a 3</w:t>
      </w:r>
      <w:r w:rsidRPr="009E09FE">
        <w:rPr>
          <w:rFonts w:asciiTheme="minorHAnsi" w:hAnsiTheme="minorHAnsi" w:cstheme="minorHAnsi"/>
          <w:sz w:val="24"/>
          <w:szCs w:val="24"/>
          <w:vertAlign w:val="superscript"/>
        </w:rPr>
        <w:t>rd</w:t>
      </w:r>
      <w:r w:rsidRPr="009E09FE">
        <w:rPr>
          <w:rFonts w:asciiTheme="minorHAnsi" w:hAnsiTheme="minorHAnsi" w:cstheme="minorHAnsi"/>
          <w:sz w:val="24"/>
          <w:szCs w:val="24"/>
        </w:rPr>
        <w:t xml:space="preserve"> party, creating a safe environment for the child. The implementation of bail conditions has proved to be a valuable tactic in preventing re-offending. One study reviewed the statistics of re-offending whilst on bail and, interestingly, highlighted that the longer an offender is on, the more likely there would </w:t>
      </w:r>
      <w:r w:rsidRPr="009E09FE">
        <w:rPr>
          <w:rFonts w:asciiTheme="minorHAnsi" w:hAnsiTheme="minorHAnsi" w:cstheme="minorHAnsi"/>
          <w:sz w:val="24"/>
          <w:szCs w:val="24"/>
        </w:rPr>
        <w:lastRenderedPageBreak/>
        <w:t xml:space="preserve">be an offence (Whyte, 2021). Though, there are references in this study that suggest COVID-19 restrictions could be a factor for the reduction in re-offending. On the other hand, the table suggests, in spite of these restrictions, there was a gradual increase in re-offending, measured over a month-by-month period. In relation to child protection, a study conducted in the journal of Paediatrics and Child Health 2018, explains how adverse childhood experiences or ACEs, have been identified as a risk factor of the development of physiological illness, such as diabetes and cancers, as well as mental illness (Boullier and Blair, 2018). By implementing these conditions in the bail, I can mitigate the likelihood of ACEs and protect the child in the future. </w:t>
      </w:r>
    </w:p>
    <w:p w14:paraId="1945699B" w14:textId="77777777" w:rsidR="00C02F78" w:rsidRPr="009E09FE" w:rsidRDefault="00C02F78" w:rsidP="00C02F78">
      <w:pPr>
        <w:rPr>
          <w:rFonts w:asciiTheme="minorHAnsi" w:hAnsiTheme="minorHAnsi" w:cstheme="minorHAnsi"/>
          <w:sz w:val="24"/>
          <w:szCs w:val="24"/>
        </w:rPr>
      </w:pPr>
    </w:p>
    <w:p w14:paraId="16F1261E"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 xml:space="preserve">An evidence led prosecution, best defined by His Majesty’s Inspectorate of Constabulary and Fire and Rescue Services, whereby a victim of a crime such as domestic abuse chooses not support means of prosecution. Given this, police can continue down the line of prosecution by gathering sufficient evidence to provide to the courts to allow for a potential prosecution (HMICFRS, 2020). Research surrounding the effectiveness of evidence led, however, is substantially low and inaccurate. A report from His Majesty’s Crown Prosecution Service Inspectorate (HMICPSI) published from an investigation into evidence led prosecution in Nottinghamshire Police force was inconclusive in it’s findings into the value and success rate of purely evidence led trial (HMICPSI, 2020). This was deemed down to the fact that there is no way to identify which trails or which cases have been solely evidence led. Though the report shows a relatively high conviction rate in domestic abuse cases, where 98.2% of 160 cases resulting in charging decisions (HMICPSI 2020). Whether or not the results are inconclusive of purely evidence led trial, the basis that these trials can still go ahead and charging decisions are still able to be made rooted around some aspect of progressing the case through evidence led investigation, proves to be effective in itself by assisting those cases in progressing to trial. </w:t>
      </w:r>
    </w:p>
    <w:p w14:paraId="3C501953" w14:textId="77777777" w:rsidR="00C02F78" w:rsidRPr="009E09FE" w:rsidRDefault="00C02F78" w:rsidP="00C02F78">
      <w:pPr>
        <w:rPr>
          <w:rFonts w:asciiTheme="minorHAnsi" w:hAnsiTheme="minorHAnsi" w:cstheme="minorHAnsi"/>
          <w:sz w:val="24"/>
          <w:szCs w:val="24"/>
        </w:rPr>
      </w:pPr>
    </w:p>
    <w:p w14:paraId="67E8697B"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The importance of preventing repeat victimisation is paramount. It will restore faith in the police system by those who have been or felt let down in the past and ensure that victims feel as if they are being taken seriously (Bradford and Jackson, 2010). However, there may be newer and more accurate data available, given that this research is 14 years old. A more orthodox approach, and perhaps most importantly, is the implementation of safeguarding advice. A study has been conducted into evaluating the relationship in implementing safeguarding advice effectively. The research factored in developmental and implementation issues, inclusive of tailoring advice, communication breakdowns and reception by the victim. The results showed that failure to recognise the importance and conduct a thorough job, places the victims at risk of repeat victimisation (Thompson et al., 2008). To further progress this and guarantee officers do not fall short of expectation, the development of preventative tactics need to be considered. These tactics need not be complicated, illustrated by the research conducted whereby the suggestion of the use of a checklist can be used as a tactic to help (Sidebottom et al., 2012).</w:t>
      </w:r>
    </w:p>
    <w:p w14:paraId="5A2375D7" w14:textId="77777777" w:rsidR="00C02F78" w:rsidRPr="009E09FE" w:rsidRDefault="00C02F78" w:rsidP="00C02F78">
      <w:pPr>
        <w:rPr>
          <w:rFonts w:asciiTheme="minorHAnsi" w:hAnsiTheme="minorHAnsi" w:cstheme="minorHAnsi"/>
          <w:sz w:val="24"/>
          <w:szCs w:val="24"/>
        </w:rPr>
      </w:pPr>
    </w:p>
    <w:p w14:paraId="1D6C9100"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 xml:space="preserve">In conclusion, there are multiple factors and considerations that officers must be aware of when finding themselves dealing with domestic abuse victims. Research has suggested that empathy and a thorough investigation are some of the most important and effective factors for preventing repeat victimisation. It suggests that there is much more to the eye when investigating domestic violence, and that decisions need to me be made carefully and </w:t>
      </w:r>
      <w:r w:rsidRPr="009E09FE">
        <w:rPr>
          <w:rFonts w:asciiTheme="minorHAnsi" w:hAnsiTheme="minorHAnsi" w:cstheme="minorHAnsi"/>
          <w:sz w:val="24"/>
          <w:szCs w:val="24"/>
        </w:rPr>
        <w:lastRenderedPageBreak/>
        <w:t xml:space="preserve">concisely once all possibilities have been considered. Research has also highlighted the importance of appropriate safeguarding advice as a method of preventing a reoccurrence, it is important that this advice is tailored, ensuring the victim understands the advice and is clear and concise to the situation to become effective. Further research needs to be conducted into the development of crime preventative tactics, whether through invention or investment, to ensure that the police are able to carry out effective protective measures against victims of crime. Which, as a result, creates a greater relationship between the police and the public. Further to this, more extensive research is required into the effectiveness of evidence led prosecution. At current there are no means of measuring the effectiveness as it is not possible to isolate cases that were not entirely evidence led. </w:t>
      </w:r>
    </w:p>
    <w:p w14:paraId="690362F2" w14:textId="77777777" w:rsidR="00C02F78" w:rsidRPr="009E09FE" w:rsidRDefault="00C02F78" w:rsidP="00C02F78">
      <w:pPr>
        <w:rPr>
          <w:rFonts w:asciiTheme="minorHAnsi" w:hAnsiTheme="minorHAnsi" w:cstheme="minorHAnsi"/>
          <w:sz w:val="24"/>
          <w:szCs w:val="24"/>
        </w:rPr>
      </w:pPr>
    </w:p>
    <w:p w14:paraId="41F7D5B9"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Word Count: 1938</w:t>
      </w:r>
    </w:p>
    <w:p w14:paraId="01F301D4" w14:textId="77777777" w:rsidR="00C02F78" w:rsidRPr="00E676F7" w:rsidRDefault="00C02F78" w:rsidP="5CE196A1">
      <w:pPr>
        <w:ind w:right="237"/>
        <w:jc w:val="both"/>
        <w:rPr>
          <w:b/>
          <w:bCs/>
          <w:sz w:val="24"/>
          <w:szCs w:val="24"/>
        </w:rPr>
      </w:pP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6E6531F" w14:textId="77777777" w:rsidR="00AD54D3" w:rsidRPr="00E676F7" w:rsidRDefault="00AD54D3"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0AF8C7DA" w:rsidR="0FF883D4" w:rsidRDefault="5CE196A1" w:rsidP="5CE196A1">
      <w:r w:rsidRPr="5CE196A1">
        <w:rPr>
          <w:rFonts w:eastAsia="Arial"/>
          <w:b/>
          <w:bCs/>
          <w:color w:val="000000" w:themeColor="text1"/>
          <w:sz w:val="24"/>
          <w:szCs w:val="24"/>
        </w:rPr>
        <w:t xml:space="preserve">Signed: </w:t>
      </w:r>
      <w:r w:rsidR="00FB6EEC">
        <w:rPr>
          <w:rFonts w:eastAsia="Arial"/>
          <w:b/>
          <w:bCs/>
          <w:color w:val="000000" w:themeColor="text1"/>
          <w:sz w:val="24"/>
          <w:szCs w:val="24"/>
        </w:rPr>
        <w:t>J.Rees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1F555BA9" w:rsidR="0FF883D4" w:rsidRPr="00FB6EEC" w:rsidRDefault="5CE196A1" w:rsidP="00FB6EEC">
      <w:pPr>
        <w:sectPr w:rsidR="0FF883D4" w:rsidRPr="00FB6EEC"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FB6EEC">
        <w:t xml:space="preserve"> </w:t>
      </w:r>
      <w:r w:rsidR="00FB6EEC">
        <w:rPr>
          <w:b/>
          <w:bCs/>
          <w:sz w:val="24"/>
          <w:szCs w:val="24"/>
          <w:lang w:eastAsia="zh-TW"/>
        </w:rPr>
        <w:t>29/04/2024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1A72D486" w14:textId="65F57F50" w:rsidR="00EB4A5C" w:rsidRPr="00EB4A5C" w:rsidRDefault="000F7ECD" w:rsidP="00EB4A5C">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24FC842" w14:textId="77777777" w:rsidR="00EB4A5C" w:rsidRPr="00EB4A5C" w:rsidRDefault="00EB4A5C" w:rsidP="00EB4A5C">
      <w:pPr>
        <w:rPr>
          <w:rFonts w:asciiTheme="minorHAnsi" w:hAnsiTheme="minorHAnsi" w:cstheme="minorHAnsi"/>
          <w:sz w:val="24"/>
          <w:szCs w:val="24"/>
        </w:rPr>
      </w:pPr>
    </w:p>
    <w:p w14:paraId="09C272EF" w14:textId="77777777" w:rsid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 xml:space="preserve">Abraham, T., (2022). Trust in the Police has Fallen Amongst Ethnic Minority Britons. Available at </w:t>
      </w:r>
      <w:hyperlink r:id="rId16" w:history="1">
        <w:r w:rsidRPr="00EB4A5C">
          <w:rPr>
            <w:rStyle w:val="Hyperlink"/>
            <w:rFonts w:asciiTheme="minorHAnsi" w:hAnsiTheme="minorHAnsi" w:cstheme="minorHAnsi"/>
            <w:sz w:val="24"/>
            <w:szCs w:val="24"/>
          </w:rPr>
          <w:t>Trust in the police has fallen amongst ethnic minority Britons | YouGov</w:t>
        </w:r>
      </w:hyperlink>
      <w:r w:rsidRPr="00EB4A5C">
        <w:rPr>
          <w:rFonts w:asciiTheme="minorHAnsi" w:hAnsiTheme="minorHAnsi" w:cstheme="minorHAnsi"/>
          <w:sz w:val="24"/>
          <w:szCs w:val="24"/>
        </w:rPr>
        <w:t>. (Accessed 25</w:t>
      </w:r>
      <w:r w:rsidRPr="00EB4A5C">
        <w:rPr>
          <w:rFonts w:asciiTheme="minorHAnsi" w:hAnsiTheme="minorHAnsi" w:cstheme="minorHAnsi"/>
          <w:sz w:val="24"/>
          <w:szCs w:val="24"/>
          <w:vertAlign w:val="superscript"/>
        </w:rPr>
        <w:t>th</w:t>
      </w:r>
      <w:r w:rsidRPr="00EB4A5C">
        <w:rPr>
          <w:rFonts w:asciiTheme="minorHAnsi" w:hAnsiTheme="minorHAnsi" w:cstheme="minorHAnsi"/>
          <w:sz w:val="24"/>
          <w:szCs w:val="24"/>
        </w:rPr>
        <w:t xml:space="preserve"> April 2024).</w:t>
      </w:r>
    </w:p>
    <w:p w14:paraId="3131FC72" w14:textId="77777777" w:rsidR="00EB4A5C" w:rsidRPr="00EB4A5C" w:rsidRDefault="00EB4A5C" w:rsidP="00EB4A5C">
      <w:pPr>
        <w:rPr>
          <w:rFonts w:asciiTheme="minorHAnsi" w:hAnsiTheme="minorHAnsi" w:cstheme="minorHAnsi"/>
          <w:sz w:val="24"/>
          <w:szCs w:val="24"/>
        </w:rPr>
      </w:pPr>
    </w:p>
    <w:p w14:paraId="03BFDDF8" w14:textId="77777777" w:rsidR="00EB4A5C" w:rsidRDefault="00EB4A5C" w:rsidP="004847EF">
      <w:pPr>
        <w:rPr>
          <w:rFonts w:asciiTheme="minorHAnsi" w:hAnsiTheme="minorHAnsi" w:cstheme="minorHAnsi"/>
          <w:sz w:val="24"/>
          <w:szCs w:val="24"/>
        </w:rPr>
      </w:pPr>
      <w:r w:rsidRPr="00EB4A5C">
        <w:rPr>
          <w:rFonts w:asciiTheme="minorHAnsi" w:hAnsiTheme="minorHAnsi" w:cstheme="minorHAnsi"/>
          <w:sz w:val="24"/>
          <w:szCs w:val="24"/>
        </w:rPr>
        <w:t xml:space="preserve">APA Dictionary of Psychology, (2023). </w:t>
      </w:r>
      <w:r w:rsidRPr="00EB4A5C">
        <w:rPr>
          <w:rFonts w:asciiTheme="minorHAnsi" w:hAnsiTheme="minorHAnsi" w:cstheme="minorHAnsi"/>
          <w:i/>
          <w:iCs/>
          <w:sz w:val="24"/>
          <w:szCs w:val="24"/>
        </w:rPr>
        <w:t xml:space="preserve">APA Dictionary of Psychology. </w:t>
      </w:r>
      <w:r w:rsidRPr="00EB4A5C">
        <w:rPr>
          <w:rFonts w:asciiTheme="minorHAnsi" w:hAnsiTheme="minorHAnsi" w:cstheme="minorHAnsi"/>
          <w:sz w:val="24"/>
          <w:szCs w:val="24"/>
        </w:rPr>
        <w:t>Stockholm Syndrome</w:t>
      </w:r>
    </w:p>
    <w:p w14:paraId="6D4051E2" w14:textId="77777777" w:rsidR="00EB4A5C" w:rsidRPr="00EB4A5C" w:rsidRDefault="00EB4A5C" w:rsidP="004847EF">
      <w:pPr>
        <w:rPr>
          <w:rFonts w:asciiTheme="minorHAnsi" w:hAnsiTheme="minorHAnsi" w:cstheme="minorHAnsi"/>
          <w:sz w:val="24"/>
          <w:szCs w:val="24"/>
        </w:rPr>
      </w:pPr>
    </w:p>
    <w:p w14:paraId="72B32DD6" w14:textId="77777777" w:rsid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Audenaert, N., and De Bont, W., (2021). Prosecuting and Punishing Multi-Offenders in the EU: A Comparative Analysis of the Legal Frameworks Regarding Offenders of a Multitude of Offences. Gompel &amp; Scavina, pp.290.</w:t>
      </w:r>
    </w:p>
    <w:p w14:paraId="21826B1E" w14:textId="77777777" w:rsidR="00EB4A5C" w:rsidRPr="00EB4A5C" w:rsidRDefault="00EB4A5C" w:rsidP="00EB4A5C">
      <w:pPr>
        <w:rPr>
          <w:rFonts w:asciiTheme="minorHAnsi" w:hAnsiTheme="minorHAnsi" w:cstheme="minorHAnsi"/>
          <w:sz w:val="24"/>
          <w:szCs w:val="24"/>
        </w:rPr>
      </w:pPr>
    </w:p>
    <w:p w14:paraId="5EF2542A" w14:textId="77777777" w:rsid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 xml:space="preserve">Awan, I., Brookes, M., Powell, M., and Stanwell, S., (2019). </w:t>
      </w:r>
      <w:r w:rsidRPr="00EB4A5C">
        <w:rPr>
          <w:rFonts w:asciiTheme="minorHAnsi" w:hAnsiTheme="minorHAnsi" w:cstheme="minorHAnsi"/>
          <w:i/>
          <w:iCs/>
          <w:sz w:val="24"/>
          <w:szCs w:val="24"/>
        </w:rPr>
        <w:t xml:space="preserve">Understanding the Public Perception and Satisfaction of a UK Police Constabulary. </w:t>
      </w:r>
      <w:r w:rsidRPr="00EB4A5C">
        <w:rPr>
          <w:rFonts w:asciiTheme="minorHAnsi" w:hAnsiTheme="minorHAnsi" w:cstheme="minorHAnsi"/>
          <w:sz w:val="24"/>
          <w:szCs w:val="24"/>
        </w:rPr>
        <w:t>Police Practice and Research.</w:t>
      </w:r>
      <w:r w:rsidRPr="00EB4A5C">
        <w:rPr>
          <w:rFonts w:asciiTheme="minorHAnsi" w:hAnsiTheme="minorHAnsi" w:cstheme="minorHAnsi"/>
          <w:b/>
          <w:bCs/>
          <w:sz w:val="24"/>
          <w:szCs w:val="24"/>
        </w:rPr>
        <w:t xml:space="preserve"> 20</w:t>
      </w:r>
      <w:r w:rsidRPr="00EB4A5C">
        <w:rPr>
          <w:rFonts w:asciiTheme="minorHAnsi" w:hAnsiTheme="minorHAnsi" w:cstheme="minorHAnsi"/>
          <w:sz w:val="24"/>
          <w:szCs w:val="24"/>
        </w:rPr>
        <w:t>(2), pp.172-184.</w:t>
      </w:r>
    </w:p>
    <w:p w14:paraId="6EC0584A" w14:textId="77777777" w:rsidR="00EB4A5C" w:rsidRPr="00EB4A5C" w:rsidRDefault="00EB4A5C" w:rsidP="00EB4A5C">
      <w:pPr>
        <w:rPr>
          <w:rFonts w:asciiTheme="minorHAnsi" w:hAnsiTheme="minorHAnsi" w:cstheme="minorHAnsi"/>
          <w:sz w:val="24"/>
          <w:szCs w:val="24"/>
        </w:rPr>
      </w:pPr>
    </w:p>
    <w:p w14:paraId="1193BEFB" w14:textId="77777777" w:rsidR="00EB4A5C" w:rsidRDefault="00EB4A5C" w:rsidP="004847EF">
      <w:pPr>
        <w:rPr>
          <w:rFonts w:asciiTheme="minorHAnsi" w:hAnsiTheme="minorHAnsi" w:cstheme="minorHAnsi"/>
          <w:sz w:val="24"/>
          <w:szCs w:val="24"/>
        </w:rPr>
      </w:pPr>
      <w:r w:rsidRPr="00EB4A5C">
        <w:rPr>
          <w:rFonts w:asciiTheme="minorHAnsi" w:hAnsiTheme="minorHAnsi" w:cstheme="minorHAnsi"/>
          <w:sz w:val="24"/>
          <w:szCs w:val="24"/>
        </w:rPr>
        <w:t xml:space="preserve">Biderman, A., (1957). </w:t>
      </w:r>
      <w:r w:rsidRPr="00EB4A5C">
        <w:rPr>
          <w:rFonts w:asciiTheme="minorHAnsi" w:hAnsiTheme="minorHAnsi" w:cstheme="minorHAnsi"/>
          <w:i/>
          <w:iCs/>
          <w:sz w:val="24"/>
          <w:szCs w:val="24"/>
        </w:rPr>
        <w:t xml:space="preserve">Communist Attempts to Elicit False Confessions from Air Force Prisoners of War. </w:t>
      </w:r>
      <w:r w:rsidRPr="00EB4A5C">
        <w:rPr>
          <w:rFonts w:asciiTheme="minorHAnsi" w:hAnsiTheme="minorHAnsi" w:cstheme="minorHAnsi"/>
          <w:sz w:val="24"/>
          <w:szCs w:val="24"/>
        </w:rPr>
        <w:t xml:space="preserve">National Library of Medicine. </w:t>
      </w:r>
      <w:r w:rsidRPr="00EB4A5C">
        <w:rPr>
          <w:rFonts w:asciiTheme="minorHAnsi" w:hAnsiTheme="minorHAnsi" w:cstheme="minorHAnsi"/>
          <w:b/>
          <w:bCs/>
          <w:sz w:val="24"/>
          <w:szCs w:val="24"/>
        </w:rPr>
        <w:t>33</w:t>
      </w:r>
      <w:r w:rsidRPr="00EB4A5C">
        <w:rPr>
          <w:rFonts w:asciiTheme="minorHAnsi" w:hAnsiTheme="minorHAnsi" w:cstheme="minorHAnsi"/>
          <w:sz w:val="24"/>
          <w:szCs w:val="24"/>
        </w:rPr>
        <w:t>(9).</w:t>
      </w:r>
    </w:p>
    <w:p w14:paraId="229C8329" w14:textId="77777777" w:rsidR="00EB4A5C" w:rsidRPr="00EB4A5C" w:rsidRDefault="00EB4A5C" w:rsidP="004847EF">
      <w:pPr>
        <w:rPr>
          <w:rFonts w:asciiTheme="minorHAnsi" w:hAnsiTheme="minorHAnsi" w:cstheme="minorHAnsi"/>
          <w:sz w:val="24"/>
          <w:szCs w:val="24"/>
        </w:rPr>
      </w:pPr>
    </w:p>
    <w:p w14:paraId="6C124FFD" w14:textId="77777777" w:rsidR="00EB4A5C" w:rsidRDefault="00EB4A5C" w:rsidP="004847EF">
      <w:pPr>
        <w:rPr>
          <w:rFonts w:asciiTheme="minorHAnsi" w:hAnsiTheme="minorHAnsi" w:cstheme="minorHAnsi"/>
          <w:sz w:val="24"/>
          <w:szCs w:val="24"/>
        </w:rPr>
      </w:pPr>
      <w:r w:rsidRPr="00EB4A5C">
        <w:rPr>
          <w:rFonts w:asciiTheme="minorHAnsi" w:hAnsiTheme="minorHAnsi" w:cstheme="minorHAnsi"/>
          <w:sz w:val="24"/>
          <w:szCs w:val="24"/>
        </w:rPr>
        <w:t xml:space="preserve">Boullier, M., and Blair, M., (2018). </w:t>
      </w:r>
      <w:r w:rsidRPr="00EB4A5C">
        <w:rPr>
          <w:rFonts w:asciiTheme="minorHAnsi" w:hAnsiTheme="minorHAnsi" w:cstheme="minorHAnsi"/>
          <w:i/>
          <w:iCs/>
          <w:sz w:val="24"/>
          <w:szCs w:val="24"/>
        </w:rPr>
        <w:t>Adverse Childhood Experiences</w:t>
      </w:r>
      <w:r w:rsidRPr="00EB4A5C">
        <w:rPr>
          <w:rFonts w:asciiTheme="minorHAnsi" w:hAnsiTheme="minorHAnsi" w:cstheme="minorHAnsi"/>
          <w:sz w:val="24"/>
          <w:szCs w:val="24"/>
        </w:rPr>
        <w:t>. Paediatrics and Child Health</w:t>
      </w:r>
      <w:r w:rsidRPr="00EB4A5C">
        <w:rPr>
          <w:rFonts w:asciiTheme="minorHAnsi" w:hAnsiTheme="minorHAnsi" w:cstheme="minorHAnsi"/>
          <w:i/>
          <w:iCs/>
          <w:sz w:val="24"/>
          <w:szCs w:val="24"/>
        </w:rPr>
        <w:t xml:space="preserve">. </w:t>
      </w:r>
      <w:r w:rsidRPr="00EB4A5C">
        <w:rPr>
          <w:rFonts w:asciiTheme="minorHAnsi" w:hAnsiTheme="minorHAnsi" w:cstheme="minorHAnsi"/>
          <w:b/>
          <w:bCs/>
          <w:sz w:val="24"/>
          <w:szCs w:val="24"/>
        </w:rPr>
        <w:t>28</w:t>
      </w:r>
      <w:r w:rsidRPr="00EB4A5C">
        <w:rPr>
          <w:rFonts w:asciiTheme="minorHAnsi" w:hAnsiTheme="minorHAnsi" w:cstheme="minorHAnsi"/>
          <w:sz w:val="24"/>
          <w:szCs w:val="24"/>
        </w:rPr>
        <w:t>(3), pp 132-137.</w:t>
      </w:r>
    </w:p>
    <w:p w14:paraId="359FEA09" w14:textId="77777777" w:rsidR="00EB4A5C" w:rsidRPr="00EB4A5C" w:rsidRDefault="00EB4A5C" w:rsidP="004847EF">
      <w:pPr>
        <w:rPr>
          <w:rFonts w:asciiTheme="minorHAnsi" w:hAnsiTheme="minorHAnsi" w:cstheme="minorHAnsi"/>
          <w:sz w:val="24"/>
          <w:szCs w:val="24"/>
        </w:rPr>
      </w:pPr>
    </w:p>
    <w:p w14:paraId="15938E94" w14:textId="77777777" w:rsidR="00EB4A5C" w:rsidRDefault="00EB4A5C" w:rsidP="004847EF">
      <w:pPr>
        <w:rPr>
          <w:rFonts w:asciiTheme="minorHAnsi" w:hAnsiTheme="minorHAnsi" w:cstheme="minorHAnsi"/>
          <w:sz w:val="24"/>
          <w:szCs w:val="24"/>
        </w:rPr>
      </w:pPr>
      <w:r w:rsidRPr="00EB4A5C">
        <w:rPr>
          <w:rFonts w:asciiTheme="minorHAnsi" w:hAnsiTheme="minorHAnsi" w:cstheme="minorHAnsi"/>
          <w:sz w:val="24"/>
          <w:szCs w:val="24"/>
        </w:rPr>
        <w:t xml:space="preserve">Bradford, B., and Jackson, J., (2010). </w:t>
      </w:r>
      <w:r w:rsidRPr="00EB4A5C">
        <w:rPr>
          <w:rFonts w:asciiTheme="minorHAnsi" w:hAnsiTheme="minorHAnsi" w:cstheme="minorHAnsi"/>
          <w:i/>
          <w:iCs/>
          <w:sz w:val="24"/>
          <w:szCs w:val="24"/>
        </w:rPr>
        <w:t xml:space="preserve">Trust and Confidence in the Police: A Conceptual Review. </w:t>
      </w:r>
      <w:r w:rsidRPr="00EB4A5C">
        <w:rPr>
          <w:rFonts w:asciiTheme="minorHAnsi" w:hAnsiTheme="minorHAnsi" w:cstheme="minorHAnsi"/>
          <w:sz w:val="24"/>
          <w:szCs w:val="24"/>
        </w:rPr>
        <w:t>SSRN. Pp 7-11.</w:t>
      </w:r>
    </w:p>
    <w:p w14:paraId="49BAB4C0" w14:textId="77777777" w:rsidR="00EB4A5C" w:rsidRPr="00EB4A5C" w:rsidRDefault="00EB4A5C" w:rsidP="004847EF">
      <w:pPr>
        <w:rPr>
          <w:rFonts w:asciiTheme="minorHAnsi" w:hAnsiTheme="minorHAnsi" w:cstheme="minorHAnsi"/>
          <w:sz w:val="24"/>
          <w:szCs w:val="24"/>
        </w:rPr>
      </w:pPr>
    </w:p>
    <w:p w14:paraId="58D18C5F" w14:textId="77777777" w:rsid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 xml:space="preserve">College of Policing (2022). Police Race Action Plan. Available at </w:t>
      </w:r>
      <w:hyperlink r:id="rId17" w:history="1">
        <w:r w:rsidRPr="00EB4A5C">
          <w:rPr>
            <w:rStyle w:val="Hyperlink"/>
            <w:rFonts w:asciiTheme="minorHAnsi" w:hAnsiTheme="minorHAnsi" w:cstheme="minorHAnsi"/>
            <w:sz w:val="24"/>
            <w:szCs w:val="24"/>
          </w:rPr>
          <w:t>Police Race Action Plan | College of Policing</w:t>
        </w:r>
      </w:hyperlink>
      <w:r w:rsidRPr="00EB4A5C">
        <w:rPr>
          <w:rFonts w:asciiTheme="minorHAnsi" w:hAnsiTheme="minorHAnsi" w:cstheme="minorHAnsi"/>
          <w:sz w:val="24"/>
          <w:szCs w:val="24"/>
        </w:rPr>
        <w:t xml:space="preserve"> (Accessed January 15</w:t>
      </w:r>
      <w:r w:rsidRPr="00EB4A5C">
        <w:rPr>
          <w:rFonts w:asciiTheme="minorHAnsi" w:hAnsiTheme="minorHAnsi" w:cstheme="minorHAnsi"/>
          <w:sz w:val="24"/>
          <w:szCs w:val="24"/>
          <w:vertAlign w:val="superscript"/>
        </w:rPr>
        <w:t>th</w:t>
      </w:r>
      <w:r w:rsidRPr="00EB4A5C">
        <w:rPr>
          <w:rFonts w:asciiTheme="minorHAnsi" w:hAnsiTheme="minorHAnsi" w:cstheme="minorHAnsi"/>
          <w:sz w:val="24"/>
          <w:szCs w:val="24"/>
        </w:rPr>
        <w:t xml:space="preserve"> 2024).</w:t>
      </w:r>
    </w:p>
    <w:p w14:paraId="2E7F9C35" w14:textId="77777777" w:rsidR="00EB4A5C" w:rsidRPr="00EB4A5C" w:rsidRDefault="00EB4A5C" w:rsidP="00EB4A5C">
      <w:pPr>
        <w:rPr>
          <w:rFonts w:asciiTheme="minorHAnsi" w:hAnsiTheme="minorHAnsi" w:cstheme="minorHAnsi"/>
          <w:sz w:val="24"/>
          <w:szCs w:val="24"/>
        </w:rPr>
      </w:pPr>
    </w:p>
    <w:p w14:paraId="7A02F2B9" w14:textId="77777777" w:rsidR="00EB4A5C" w:rsidRDefault="00EB4A5C" w:rsidP="004847EF">
      <w:pPr>
        <w:rPr>
          <w:rFonts w:asciiTheme="minorHAnsi" w:hAnsiTheme="minorHAnsi" w:cstheme="minorHAnsi"/>
          <w:sz w:val="24"/>
          <w:szCs w:val="24"/>
        </w:rPr>
      </w:pPr>
      <w:r w:rsidRPr="00EB4A5C">
        <w:rPr>
          <w:rFonts w:asciiTheme="minorHAnsi" w:hAnsiTheme="minorHAnsi" w:cstheme="minorHAnsi"/>
          <w:sz w:val="24"/>
          <w:szCs w:val="24"/>
        </w:rPr>
        <w:t xml:space="preserve">College of Policing, (2013). </w:t>
      </w:r>
      <w:r w:rsidRPr="00EB4A5C">
        <w:rPr>
          <w:rFonts w:asciiTheme="minorHAnsi" w:hAnsiTheme="minorHAnsi" w:cstheme="minorHAnsi"/>
          <w:i/>
          <w:iCs/>
          <w:sz w:val="24"/>
          <w:szCs w:val="24"/>
        </w:rPr>
        <w:t xml:space="preserve">National Decision Model. </w:t>
      </w:r>
      <w:r w:rsidRPr="00EB4A5C">
        <w:rPr>
          <w:rFonts w:asciiTheme="minorHAnsi" w:hAnsiTheme="minorHAnsi" w:cstheme="minorHAnsi"/>
          <w:sz w:val="24"/>
          <w:szCs w:val="24"/>
        </w:rPr>
        <w:t xml:space="preserve">Available at: </w:t>
      </w:r>
      <w:hyperlink r:id="rId18" w:history="1">
        <w:r w:rsidRPr="00EB4A5C">
          <w:rPr>
            <w:rStyle w:val="Hyperlink"/>
            <w:rFonts w:asciiTheme="minorHAnsi" w:hAnsiTheme="minorHAnsi" w:cstheme="minorHAnsi"/>
            <w:sz w:val="24"/>
            <w:szCs w:val="24"/>
          </w:rPr>
          <w:t>https://www.college.police.uk/app/national-decision-model/national-decision-model</w:t>
        </w:r>
      </w:hyperlink>
      <w:r w:rsidRPr="00EB4A5C">
        <w:rPr>
          <w:rFonts w:asciiTheme="minorHAnsi" w:hAnsiTheme="minorHAnsi" w:cstheme="minorHAnsi"/>
          <w:sz w:val="24"/>
          <w:szCs w:val="24"/>
        </w:rPr>
        <w:t xml:space="preserve"> (Accessed on 2nd November 2023)</w:t>
      </w:r>
    </w:p>
    <w:p w14:paraId="23AD8A70" w14:textId="77777777" w:rsidR="00EB4A5C" w:rsidRPr="00EB4A5C" w:rsidRDefault="00EB4A5C" w:rsidP="004847EF">
      <w:pPr>
        <w:rPr>
          <w:rFonts w:asciiTheme="minorHAnsi" w:hAnsiTheme="minorHAnsi" w:cstheme="minorHAnsi"/>
          <w:sz w:val="24"/>
          <w:szCs w:val="24"/>
        </w:rPr>
      </w:pPr>
    </w:p>
    <w:p w14:paraId="5E2697B8" w14:textId="77777777" w:rsid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 xml:space="preserve">College of Policing, (2021). Introduction to Vulnerability-Related Risk. Available at </w:t>
      </w:r>
      <w:hyperlink r:id="rId19" w:history="1">
        <w:r w:rsidRPr="00EB4A5C">
          <w:rPr>
            <w:rStyle w:val="Hyperlink"/>
            <w:rFonts w:asciiTheme="minorHAnsi" w:hAnsiTheme="minorHAnsi" w:cstheme="minorHAnsi"/>
            <w:sz w:val="24"/>
            <w:szCs w:val="24"/>
          </w:rPr>
          <w:t>What is hate crime? | Metropolitan Police</w:t>
        </w:r>
      </w:hyperlink>
      <w:r w:rsidRPr="00EB4A5C">
        <w:rPr>
          <w:rFonts w:asciiTheme="minorHAnsi" w:hAnsiTheme="minorHAnsi" w:cstheme="minorHAnsi"/>
          <w:sz w:val="24"/>
          <w:szCs w:val="24"/>
        </w:rPr>
        <w:t>. (Accessed 20</w:t>
      </w:r>
      <w:r w:rsidRPr="00EB4A5C">
        <w:rPr>
          <w:rFonts w:asciiTheme="minorHAnsi" w:hAnsiTheme="minorHAnsi" w:cstheme="minorHAnsi"/>
          <w:sz w:val="24"/>
          <w:szCs w:val="24"/>
          <w:vertAlign w:val="superscript"/>
        </w:rPr>
        <w:t>th</w:t>
      </w:r>
      <w:r w:rsidRPr="00EB4A5C">
        <w:rPr>
          <w:rFonts w:asciiTheme="minorHAnsi" w:hAnsiTheme="minorHAnsi" w:cstheme="minorHAnsi"/>
          <w:sz w:val="24"/>
          <w:szCs w:val="24"/>
        </w:rPr>
        <w:t xml:space="preserve"> February 2024).</w:t>
      </w:r>
    </w:p>
    <w:p w14:paraId="6E5CF707" w14:textId="77777777" w:rsidR="00EB4A5C" w:rsidRPr="00EB4A5C" w:rsidRDefault="00EB4A5C" w:rsidP="00EB4A5C">
      <w:pPr>
        <w:rPr>
          <w:rFonts w:asciiTheme="minorHAnsi" w:hAnsiTheme="minorHAnsi" w:cstheme="minorHAnsi"/>
          <w:sz w:val="24"/>
          <w:szCs w:val="24"/>
        </w:rPr>
      </w:pPr>
    </w:p>
    <w:p w14:paraId="09975912" w14:textId="77777777" w:rsid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 xml:space="preserve">Crime and Disorder Act 1998, c, 29., available at </w:t>
      </w:r>
      <w:hyperlink r:id="rId20" w:anchor=":~:text=29%20Racially%2Daggravated%20assaults.&amp;text=(a)on%20summary%20conviction%2C,a%20fine%2C%20or%20to%20both." w:history="1">
        <w:r w:rsidRPr="00EB4A5C">
          <w:rPr>
            <w:rStyle w:val="Hyperlink"/>
            <w:rFonts w:asciiTheme="minorHAnsi" w:hAnsiTheme="minorHAnsi" w:cstheme="minorHAnsi"/>
            <w:sz w:val="24"/>
            <w:szCs w:val="24"/>
          </w:rPr>
          <w:t>Crime and Disorder Act 1998 (legislation.gov.uk)</w:t>
        </w:r>
      </w:hyperlink>
      <w:r w:rsidRPr="00EB4A5C">
        <w:rPr>
          <w:rFonts w:asciiTheme="minorHAnsi" w:hAnsiTheme="minorHAnsi" w:cstheme="minorHAnsi"/>
          <w:sz w:val="24"/>
          <w:szCs w:val="24"/>
        </w:rPr>
        <w:t xml:space="preserve"> (Accessed on February 28</w:t>
      </w:r>
      <w:r w:rsidRPr="00EB4A5C">
        <w:rPr>
          <w:rFonts w:asciiTheme="minorHAnsi" w:hAnsiTheme="minorHAnsi" w:cstheme="minorHAnsi"/>
          <w:sz w:val="24"/>
          <w:szCs w:val="24"/>
          <w:vertAlign w:val="superscript"/>
        </w:rPr>
        <w:t>th</w:t>
      </w:r>
      <w:r w:rsidRPr="00EB4A5C">
        <w:rPr>
          <w:rFonts w:asciiTheme="minorHAnsi" w:hAnsiTheme="minorHAnsi" w:cstheme="minorHAnsi"/>
          <w:sz w:val="24"/>
          <w:szCs w:val="24"/>
        </w:rPr>
        <w:t xml:space="preserve"> 2024).</w:t>
      </w:r>
    </w:p>
    <w:p w14:paraId="17FFF527" w14:textId="77777777" w:rsidR="00EB4A5C" w:rsidRPr="00EB4A5C" w:rsidRDefault="00EB4A5C" w:rsidP="00EB4A5C">
      <w:pPr>
        <w:rPr>
          <w:rFonts w:asciiTheme="minorHAnsi" w:hAnsiTheme="minorHAnsi" w:cstheme="minorHAnsi"/>
          <w:sz w:val="24"/>
          <w:szCs w:val="24"/>
        </w:rPr>
      </w:pPr>
    </w:p>
    <w:p w14:paraId="0E40B83F" w14:textId="77777777" w:rsid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 xml:space="preserve">Fazel, S., and Yu, R., (2011). </w:t>
      </w:r>
      <w:r w:rsidRPr="00EB4A5C">
        <w:rPr>
          <w:rFonts w:asciiTheme="minorHAnsi" w:hAnsiTheme="minorHAnsi" w:cstheme="minorHAnsi"/>
          <w:i/>
          <w:iCs/>
          <w:sz w:val="24"/>
          <w:szCs w:val="24"/>
        </w:rPr>
        <w:t xml:space="preserve">Psychotic Disorders and Repeat Offending: Systematic review and Meta-Analysis. </w:t>
      </w:r>
      <w:r w:rsidRPr="00EB4A5C">
        <w:rPr>
          <w:rFonts w:asciiTheme="minorHAnsi" w:hAnsiTheme="minorHAnsi" w:cstheme="minorHAnsi"/>
          <w:sz w:val="24"/>
          <w:szCs w:val="24"/>
        </w:rPr>
        <w:t xml:space="preserve">Schizophrenia Bulletin. </w:t>
      </w:r>
      <w:r w:rsidRPr="00EB4A5C">
        <w:rPr>
          <w:rFonts w:asciiTheme="minorHAnsi" w:hAnsiTheme="minorHAnsi" w:cstheme="minorHAnsi"/>
          <w:b/>
          <w:bCs/>
          <w:sz w:val="24"/>
          <w:szCs w:val="24"/>
        </w:rPr>
        <w:t>37</w:t>
      </w:r>
      <w:r w:rsidRPr="00EB4A5C">
        <w:rPr>
          <w:rFonts w:asciiTheme="minorHAnsi" w:hAnsiTheme="minorHAnsi" w:cstheme="minorHAnsi"/>
          <w:sz w:val="24"/>
          <w:szCs w:val="24"/>
        </w:rPr>
        <w:t>(4), pp.800-810.</w:t>
      </w:r>
    </w:p>
    <w:p w14:paraId="4E7E8F0A" w14:textId="77777777" w:rsidR="00EB4A5C" w:rsidRPr="00EB4A5C" w:rsidRDefault="00EB4A5C" w:rsidP="00EB4A5C">
      <w:pPr>
        <w:rPr>
          <w:rFonts w:asciiTheme="minorHAnsi" w:hAnsiTheme="minorHAnsi" w:cstheme="minorHAnsi"/>
          <w:sz w:val="24"/>
          <w:szCs w:val="24"/>
        </w:rPr>
      </w:pPr>
    </w:p>
    <w:p w14:paraId="63E8FEE8" w14:textId="77777777" w:rsid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Fisher, B., and Lab, S., (2010). Encyclopaedia of Victimology and Crime Prevention. SAGE publications, pp.767-768</w:t>
      </w:r>
    </w:p>
    <w:p w14:paraId="55CF6959" w14:textId="77777777" w:rsidR="00EB4A5C" w:rsidRPr="00EB4A5C" w:rsidRDefault="00EB4A5C" w:rsidP="00EB4A5C">
      <w:pPr>
        <w:rPr>
          <w:rFonts w:asciiTheme="minorHAnsi" w:hAnsiTheme="minorHAnsi" w:cstheme="minorHAnsi"/>
          <w:sz w:val="24"/>
          <w:szCs w:val="24"/>
        </w:rPr>
      </w:pPr>
    </w:p>
    <w:p w14:paraId="7C88090E" w14:textId="77777777" w:rsid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 xml:space="preserve">Ford, J., and Schroeder, R., (2010). </w:t>
      </w:r>
      <w:r w:rsidRPr="00EB4A5C">
        <w:rPr>
          <w:rFonts w:asciiTheme="minorHAnsi" w:hAnsiTheme="minorHAnsi" w:cstheme="minorHAnsi"/>
          <w:i/>
          <w:iCs/>
          <w:sz w:val="24"/>
          <w:szCs w:val="24"/>
        </w:rPr>
        <w:t xml:space="preserve">Higher Education and Criminal Offending Over the Life Course. </w:t>
      </w:r>
      <w:r w:rsidRPr="00EB4A5C">
        <w:rPr>
          <w:rFonts w:asciiTheme="minorHAnsi" w:hAnsiTheme="minorHAnsi" w:cstheme="minorHAnsi"/>
          <w:sz w:val="24"/>
          <w:szCs w:val="24"/>
        </w:rPr>
        <w:t xml:space="preserve">Sociological Spectrum, </w:t>
      </w:r>
      <w:r w:rsidRPr="00EB4A5C">
        <w:rPr>
          <w:rFonts w:asciiTheme="minorHAnsi" w:hAnsiTheme="minorHAnsi" w:cstheme="minorHAnsi"/>
          <w:b/>
          <w:bCs/>
          <w:sz w:val="24"/>
          <w:szCs w:val="24"/>
        </w:rPr>
        <w:t>31</w:t>
      </w:r>
      <w:r w:rsidRPr="00EB4A5C">
        <w:rPr>
          <w:rFonts w:asciiTheme="minorHAnsi" w:hAnsiTheme="minorHAnsi" w:cstheme="minorHAnsi"/>
          <w:sz w:val="24"/>
          <w:szCs w:val="24"/>
        </w:rPr>
        <w:t>(1), pp.32-52.</w:t>
      </w:r>
    </w:p>
    <w:p w14:paraId="2F2EFDFC" w14:textId="77777777" w:rsidR="00EB4A5C" w:rsidRPr="00EB4A5C" w:rsidRDefault="00EB4A5C" w:rsidP="00EB4A5C">
      <w:pPr>
        <w:rPr>
          <w:rFonts w:asciiTheme="minorHAnsi" w:hAnsiTheme="minorHAnsi" w:cstheme="minorHAnsi"/>
          <w:sz w:val="24"/>
          <w:szCs w:val="24"/>
        </w:rPr>
      </w:pPr>
    </w:p>
    <w:p w14:paraId="09D06B2E" w14:textId="77777777" w:rsidR="00EB4A5C" w:rsidRDefault="00EB4A5C" w:rsidP="004847EF">
      <w:pPr>
        <w:rPr>
          <w:rFonts w:asciiTheme="minorHAnsi" w:hAnsiTheme="minorHAnsi" w:cstheme="minorHAnsi"/>
          <w:sz w:val="24"/>
          <w:szCs w:val="24"/>
        </w:rPr>
      </w:pPr>
      <w:r w:rsidRPr="00EB4A5C">
        <w:rPr>
          <w:rFonts w:asciiTheme="minorHAnsi" w:hAnsiTheme="minorHAnsi" w:cstheme="minorHAnsi"/>
          <w:sz w:val="24"/>
          <w:szCs w:val="24"/>
        </w:rPr>
        <w:t xml:space="preserve">HMICFRS, (2020). </w:t>
      </w:r>
      <w:r w:rsidRPr="00EB4A5C">
        <w:rPr>
          <w:rFonts w:asciiTheme="minorHAnsi" w:hAnsiTheme="minorHAnsi" w:cstheme="minorHAnsi"/>
          <w:i/>
          <w:iCs/>
          <w:sz w:val="24"/>
          <w:szCs w:val="24"/>
        </w:rPr>
        <w:t xml:space="preserve">Evidence Led Domestic Abuse Prosecutions. </w:t>
      </w:r>
      <w:r w:rsidRPr="00EB4A5C">
        <w:rPr>
          <w:rFonts w:asciiTheme="minorHAnsi" w:hAnsiTheme="minorHAnsi" w:cstheme="minorHAnsi"/>
          <w:sz w:val="24"/>
          <w:szCs w:val="24"/>
        </w:rPr>
        <w:t xml:space="preserve">Available at </w:t>
      </w:r>
      <w:hyperlink r:id="rId21" w:history="1">
        <w:r w:rsidRPr="00EB4A5C">
          <w:rPr>
            <w:rStyle w:val="Hyperlink"/>
            <w:rFonts w:asciiTheme="minorHAnsi" w:hAnsiTheme="minorHAnsi" w:cstheme="minorHAnsi"/>
            <w:sz w:val="24"/>
            <w:szCs w:val="24"/>
          </w:rPr>
          <w:t>Evidence led domestic abuse prosecutions - His Majesty’s Inspectorate of Constabulary and Fire &amp; Rescue Services (justiceinspectorates.gov.uk)</w:t>
        </w:r>
      </w:hyperlink>
      <w:r w:rsidRPr="00EB4A5C">
        <w:rPr>
          <w:rFonts w:asciiTheme="minorHAnsi" w:hAnsiTheme="minorHAnsi" w:cstheme="minorHAnsi"/>
          <w:sz w:val="24"/>
          <w:szCs w:val="24"/>
        </w:rPr>
        <w:t>, (Accessed 2</w:t>
      </w:r>
      <w:r w:rsidRPr="00EB4A5C">
        <w:rPr>
          <w:rFonts w:asciiTheme="minorHAnsi" w:hAnsiTheme="minorHAnsi" w:cstheme="minorHAnsi"/>
          <w:sz w:val="24"/>
          <w:szCs w:val="24"/>
          <w:vertAlign w:val="superscript"/>
        </w:rPr>
        <w:t>nd</w:t>
      </w:r>
      <w:r w:rsidRPr="00EB4A5C">
        <w:rPr>
          <w:rFonts w:asciiTheme="minorHAnsi" w:hAnsiTheme="minorHAnsi" w:cstheme="minorHAnsi"/>
          <w:sz w:val="24"/>
          <w:szCs w:val="24"/>
        </w:rPr>
        <w:t xml:space="preserve"> April 2024).</w:t>
      </w:r>
    </w:p>
    <w:p w14:paraId="7C60F954" w14:textId="77777777" w:rsidR="00EB4A5C" w:rsidRPr="00EB4A5C" w:rsidRDefault="00EB4A5C" w:rsidP="004847EF">
      <w:pPr>
        <w:rPr>
          <w:rFonts w:asciiTheme="minorHAnsi" w:hAnsiTheme="minorHAnsi" w:cstheme="minorHAnsi"/>
          <w:sz w:val="24"/>
          <w:szCs w:val="24"/>
        </w:rPr>
      </w:pPr>
    </w:p>
    <w:p w14:paraId="1BAC7863" w14:textId="77777777" w:rsid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 xml:space="preserve">HMICFRS, (2023). Public Protection Notice (PPN). Available at </w:t>
      </w:r>
      <w:hyperlink r:id="rId22" w:anchor=":~:text=A%20PPN%20is%20an%20information,inform%20a%20multi%2Dagency%20response." w:history="1">
        <w:r w:rsidRPr="00EB4A5C">
          <w:rPr>
            <w:rStyle w:val="Hyperlink"/>
            <w:rFonts w:asciiTheme="minorHAnsi" w:hAnsiTheme="minorHAnsi" w:cstheme="minorHAnsi"/>
            <w:sz w:val="24"/>
            <w:szCs w:val="24"/>
          </w:rPr>
          <w:t>Public protection notice (PPN) - His Majesty’s Inspectorate of Constabulary and Fire &amp; Rescue Services (justiceinspectorates.gov.uk)</w:t>
        </w:r>
      </w:hyperlink>
      <w:r w:rsidRPr="00EB4A5C">
        <w:rPr>
          <w:rFonts w:asciiTheme="minorHAnsi" w:hAnsiTheme="minorHAnsi" w:cstheme="minorHAnsi"/>
          <w:sz w:val="24"/>
          <w:szCs w:val="24"/>
        </w:rPr>
        <w:t>. (Accessed 18</w:t>
      </w:r>
      <w:r w:rsidRPr="00EB4A5C">
        <w:rPr>
          <w:rFonts w:asciiTheme="minorHAnsi" w:hAnsiTheme="minorHAnsi" w:cstheme="minorHAnsi"/>
          <w:sz w:val="24"/>
          <w:szCs w:val="24"/>
          <w:vertAlign w:val="superscript"/>
        </w:rPr>
        <w:t>th</w:t>
      </w:r>
      <w:r w:rsidRPr="00EB4A5C">
        <w:rPr>
          <w:rFonts w:asciiTheme="minorHAnsi" w:hAnsiTheme="minorHAnsi" w:cstheme="minorHAnsi"/>
          <w:sz w:val="24"/>
          <w:szCs w:val="24"/>
        </w:rPr>
        <w:t xml:space="preserve"> March 2024).</w:t>
      </w:r>
    </w:p>
    <w:p w14:paraId="4499BBA5" w14:textId="77777777" w:rsidR="00EB4A5C" w:rsidRPr="00EB4A5C" w:rsidRDefault="00EB4A5C" w:rsidP="00EB4A5C">
      <w:pPr>
        <w:rPr>
          <w:rFonts w:asciiTheme="minorHAnsi" w:hAnsiTheme="minorHAnsi" w:cstheme="minorHAnsi"/>
          <w:sz w:val="24"/>
          <w:szCs w:val="24"/>
        </w:rPr>
      </w:pPr>
    </w:p>
    <w:p w14:paraId="42933C0A" w14:textId="77777777" w:rsidR="00EB4A5C" w:rsidRDefault="00EB4A5C" w:rsidP="004847EF">
      <w:pPr>
        <w:rPr>
          <w:rFonts w:asciiTheme="minorHAnsi" w:hAnsiTheme="minorHAnsi" w:cstheme="minorHAnsi"/>
          <w:sz w:val="24"/>
          <w:szCs w:val="24"/>
        </w:rPr>
      </w:pPr>
      <w:r w:rsidRPr="00EB4A5C">
        <w:rPr>
          <w:rFonts w:asciiTheme="minorHAnsi" w:hAnsiTheme="minorHAnsi" w:cstheme="minorHAnsi"/>
          <w:sz w:val="24"/>
          <w:szCs w:val="24"/>
        </w:rPr>
        <w:t xml:space="preserve">HMICPSI, (2020). </w:t>
      </w:r>
      <w:r w:rsidRPr="00EB4A5C">
        <w:rPr>
          <w:rFonts w:asciiTheme="minorHAnsi" w:hAnsiTheme="minorHAnsi" w:cstheme="minorHAnsi"/>
          <w:i/>
          <w:iCs/>
          <w:sz w:val="24"/>
          <w:szCs w:val="24"/>
        </w:rPr>
        <w:t>Evidence Led Domestic Abuse Prosecutions.</w:t>
      </w:r>
      <w:r w:rsidRPr="00EB4A5C">
        <w:rPr>
          <w:rFonts w:asciiTheme="minorHAnsi" w:hAnsiTheme="minorHAnsi" w:cstheme="minorHAnsi"/>
          <w:sz w:val="24"/>
          <w:szCs w:val="24"/>
        </w:rPr>
        <w:t xml:space="preserve"> Available at </w:t>
      </w:r>
      <w:hyperlink r:id="rId23" w:history="1">
        <w:r w:rsidRPr="00EB4A5C">
          <w:rPr>
            <w:rStyle w:val="Hyperlink"/>
            <w:rFonts w:asciiTheme="minorHAnsi" w:hAnsiTheme="minorHAnsi" w:cstheme="minorHAnsi"/>
            <w:sz w:val="24"/>
            <w:szCs w:val="24"/>
          </w:rPr>
          <w:t>HMICFRS HMCIPS Report - Evidence led domestic abuse prosecutions (pcc.police.uk)</w:t>
        </w:r>
      </w:hyperlink>
      <w:r w:rsidRPr="00EB4A5C">
        <w:rPr>
          <w:rFonts w:asciiTheme="minorHAnsi" w:hAnsiTheme="minorHAnsi" w:cstheme="minorHAnsi"/>
          <w:sz w:val="24"/>
          <w:szCs w:val="24"/>
        </w:rPr>
        <w:t xml:space="preserve"> (Accessed on 6</w:t>
      </w:r>
      <w:r w:rsidRPr="00EB4A5C">
        <w:rPr>
          <w:rFonts w:asciiTheme="minorHAnsi" w:hAnsiTheme="minorHAnsi" w:cstheme="minorHAnsi"/>
          <w:sz w:val="24"/>
          <w:szCs w:val="24"/>
          <w:vertAlign w:val="superscript"/>
        </w:rPr>
        <w:t>th</w:t>
      </w:r>
      <w:r w:rsidRPr="00EB4A5C">
        <w:rPr>
          <w:rFonts w:asciiTheme="minorHAnsi" w:hAnsiTheme="minorHAnsi" w:cstheme="minorHAnsi"/>
          <w:sz w:val="24"/>
          <w:szCs w:val="24"/>
        </w:rPr>
        <w:t xml:space="preserve"> April 2024).</w:t>
      </w:r>
    </w:p>
    <w:p w14:paraId="6D435A5E" w14:textId="77777777" w:rsidR="00EB4A5C" w:rsidRPr="00EB4A5C" w:rsidRDefault="00EB4A5C" w:rsidP="004847EF">
      <w:pPr>
        <w:rPr>
          <w:rFonts w:asciiTheme="minorHAnsi" w:hAnsiTheme="minorHAnsi" w:cstheme="minorHAnsi"/>
          <w:sz w:val="24"/>
          <w:szCs w:val="24"/>
        </w:rPr>
      </w:pPr>
    </w:p>
    <w:p w14:paraId="25732FD0" w14:textId="77777777" w:rsidR="00EB4A5C" w:rsidRDefault="00EB4A5C" w:rsidP="004847EF">
      <w:pPr>
        <w:rPr>
          <w:rFonts w:asciiTheme="minorHAnsi" w:hAnsiTheme="minorHAnsi" w:cstheme="minorHAnsi"/>
          <w:sz w:val="24"/>
          <w:szCs w:val="24"/>
        </w:rPr>
      </w:pPr>
      <w:r w:rsidRPr="00EB4A5C">
        <w:rPr>
          <w:rFonts w:asciiTheme="minorHAnsi" w:hAnsiTheme="minorHAnsi" w:cstheme="minorHAnsi"/>
          <w:sz w:val="24"/>
          <w:szCs w:val="24"/>
        </w:rPr>
        <w:t xml:space="preserve">Huntley, A., Potter, L., Williamson, E., Malpass, A., Szilassy, E., and Feder, G (2019). </w:t>
      </w:r>
      <w:r w:rsidRPr="00EB4A5C">
        <w:rPr>
          <w:rFonts w:asciiTheme="minorHAnsi" w:hAnsiTheme="minorHAnsi" w:cstheme="minorHAnsi"/>
          <w:i/>
          <w:iCs/>
          <w:sz w:val="24"/>
          <w:szCs w:val="24"/>
        </w:rPr>
        <w:t xml:space="preserve">Help Seeking by Male Victims of Domestic Violence and Abuse: A systematic Review and Qualitative Evidence Synthesis. </w:t>
      </w:r>
      <w:r w:rsidRPr="00EB4A5C">
        <w:rPr>
          <w:rFonts w:asciiTheme="minorHAnsi" w:hAnsiTheme="minorHAnsi" w:cstheme="minorHAnsi"/>
          <w:sz w:val="24"/>
          <w:szCs w:val="24"/>
        </w:rPr>
        <w:t xml:space="preserve">BMJ Journals. </w:t>
      </w:r>
      <w:r w:rsidRPr="00EB4A5C">
        <w:rPr>
          <w:rFonts w:asciiTheme="minorHAnsi" w:hAnsiTheme="minorHAnsi" w:cstheme="minorHAnsi"/>
          <w:b/>
          <w:bCs/>
          <w:sz w:val="24"/>
          <w:szCs w:val="24"/>
        </w:rPr>
        <w:t>9</w:t>
      </w:r>
      <w:r w:rsidRPr="00EB4A5C">
        <w:rPr>
          <w:rFonts w:asciiTheme="minorHAnsi" w:hAnsiTheme="minorHAnsi" w:cstheme="minorHAnsi"/>
          <w:sz w:val="24"/>
          <w:szCs w:val="24"/>
        </w:rPr>
        <w:t>(6). Pp 9-11.</w:t>
      </w:r>
    </w:p>
    <w:p w14:paraId="20E82945" w14:textId="77777777" w:rsidR="00EB4A5C" w:rsidRPr="00EB4A5C" w:rsidRDefault="00EB4A5C" w:rsidP="004847EF">
      <w:pPr>
        <w:rPr>
          <w:rFonts w:asciiTheme="minorHAnsi" w:hAnsiTheme="minorHAnsi" w:cstheme="minorHAnsi"/>
          <w:sz w:val="24"/>
          <w:szCs w:val="24"/>
        </w:rPr>
      </w:pPr>
    </w:p>
    <w:p w14:paraId="4EFE12C8" w14:textId="77777777" w:rsid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 xml:space="preserve">Mental Capacity Act 2005, available at </w:t>
      </w:r>
      <w:hyperlink r:id="rId24" w:anchor=":~:text=The%20Mental%20Capacity%20Act%202005,their%20own%20decisions%20wherever%20possible.&amp;text=Easy%20Read%20is%20a%20way%20of%20making%20written%20information%20easier%20to%20understand." w:history="1">
        <w:r w:rsidRPr="00EB4A5C">
          <w:rPr>
            <w:rStyle w:val="Hyperlink"/>
            <w:rFonts w:asciiTheme="minorHAnsi" w:hAnsiTheme="minorHAnsi" w:cstheme="minorHAnsi"/>
            <w:sz w:val="24"/>
            <w:szCs w:val="24"/>
          </w:rPr>
          <w:t>What is The Mental Capacity Act? | Mencap</w:t>
        </w:r>
      </w:hyperlink>
      <w:r w:rsidRPr="00EB4A5C">
        <w:rPr>
          <w:rFonts w:asciiTheme="minorHAnsi" w:hAnsiTheme="minorHAnsi" w:cstheme="minorHAnsi"/>
          <w:sz w:val="24"/>
          <w:szCs w:val="24"/>
        </w:rPr>
        <w:t xml:space="preserve"> (Accessed 26</w:t>
      </w:r>
      <w:r w:rsidRPr="00EB4A5C">
        <w:rPr>
          <w:rFonts w:asciiTheme="minorHAnsi" w:hAnsiTheme="minorHAnsi" w:cstheme="minorHAnsi"/>
          <w:sz w:val="24"/>
          <w:szCs w:val="24"/>
          <w:vertAlign w:val="superscript"/>
        </w:rPr>
        <w:t>th</w:t>
      </w:r>
      <w:r w:rsidRPr="00EB4A5C">
        <w:rPr>
          <w:rFonts w:asciiTheme="minorHAnsi" w:hAnsiTheme="minorHAnsi" w:cstheme="minorHAnsi"/>
          <w:sz w:val="24"/>
          <w:szCs w:val="24"/>
        </w:rPr>
        <w:t xml:space="preserve"> April 2024).</w:t>
      </w:r>
    </w:p>
    <w:p w14:paraId="36DEDBBD" w14:textId="77777777" w:rsidR="00EB4A5C" w:rsidRPr="00EB4A5C" w:rsidRDefault="00EB4A5C" w:rsidP="00EB4A5C">
      <w:pPr>
        <w:rPr>
          <w:rFonts w:asciiTheme="minorHAnsi" w:hAnsiTheme="minorHAnsi" w:cstheme="minorHAnsi"/>
          <w:sz w:val="24"/>
          <w:szCs w:val="24"/>
        </w:rPr>
      </w:pPr>
    </w:p>
    <w:p w14:paraId="042362CB" w14:textId="77777777" w:rsid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 xml:space="preserve">Metropolitan Police, (2024). What Is A Hate Crime?. Available at </w:t>
      </w:r>
      <w:hyperlink r:id="rId25" w:history="1">
        <w:r w:rsidRPr="00EB4A5C">
          <w:rPr>
            <w:rStyle w:val="Hyperlink"/>
            <w:rFonts w:asciiTheme="minorHAnsi" w:hAnsiTheme="minorHAnsi" w:cstheme="minorHAnsi"/>
            <w:sz w:val="24"/>
            <w:szCs w:val="24"/>
          </w:rPr>
          <w:t>What is hate crime? | Metropolitan Police</w:t>
        </w:r>
      </w:hyperlink>
      <w:r w:rsidRPr="00EB4A5C">
        <w:rPr>
          <w:rFonts w:asciiTheme="minorHAnsi" w:hAnsiTheme="minorHAnsi" w:cstheme="minorHAnsi"/>
          <w:sz w:val="24"/>
          <w:szCs w:val="24"/>
        </w:rPr>
        <w:t>. (Accessed February 20</w:t>
      </w:r>
      <w:r w:rsidRPr="00EB4A5C">
        <w:rPr>
          <w:rFonts w:asciiTheme="minorHAnsi" w:hAnsiTheme="minorHAnsi" w:cstheme="minorHAnsi"/>
          <w:sz w:val="24"/>
          <w:szCs w:val="24"/>
          <w:vertAlign w:val="superscript"/>
        </w:rPr>
        <w:t>th</w:t>
      </w:r>
      <w:r w:rsidRPr="00EB4A5C">
        <w:rPr>
          <w:rFonts w:asciiTheme="minorHAnsi" w:hAnsiTheme="minorHAnsi" w:cstheme="minorHAnsi"/>
          <w:sz w:val="24"/>
          <w:szCs w:val="24"/>
        </w:rPr>
        <w:t xml:space="preserve"> 2024).</w:t>
      </w:r>
    </w:p>
    <w:p w14:paraId="170F51A2" w14:textId="77777777" w:rsidR="00EB4A5C" w:rsidRPr="00EB4A5C" w:rsidRDefault="00EB4A5C" w:rsidP="00EB4A5C">
      <w:pPr>
        <w:rPr>
          <w:rFonts w:asciiTheme="minorHAnsi" w:hAnsiTheme="minorHAnsi" w:cstheme="minorHAnsi"/>
          <w:sz w:val="24"/>
          <w:szCs w:val="24"/>
        </w:rPr>
      </w:pPr>
    </w:p>
    <w:p w14:paraId="5C91BAF2" w14:textId="7F0DE62F" w:rsidR="00EB4A5C" w:rsidRDefault="00EB4A5C" w:rsidP="004847EF">
      <w:pPr>
        <w:rPr>
          <w:rFonts w:asciiTheme="minorHAnsi" w:hAnsiTheme="minorHAnsi" w:cstheme="minorHAnsi"/>
          <w:sz w:val="24"/>
          <w:szCs w:val="24"/>
        </w:rPr>
      </w:pPr>
      <w:r w:rsidRPr="00EB4A5C">
        <w:rPr>
          <w:rFonts w:asciiTheme="minorHAnsi" w:hAnsiTheme="minorHAnsi" w:cstheme="minorHAnsi"/>
          <w:sz w:val="24"/>
          <w:szCs w:val="24"/>
        </w:rPr>
        <w:t xml:space="preserve">Office for National Statistics, (2022). </w:t>
      </w:r>
      <w:r w:rsidRPr="00EB4A5C">
        <w:rPr>
          <w:rFonts w:asciiTheme="minorHAnsi" w:hAnsiTheme="minorHAnsi" w:cstheme="minorHAnsi"/>
          <w:i/>
          <w:iCs/>
          <w:sz w:val="24"/>
          <w:szCs w:val="24"/>
        </w:rPr>
        <w:t>Domestic abuse in England and Wales overview: November 2022</w:t>
      </w:r>
      <w:r w:rsidRPr="00EB4A5C">
        <w:rPr>
          <w:rFonts w:asciiTheme="minorHAnsi" w:hAnsiTheme="minorHAnsi" w:cstheme="minorHAnsi"/>
          <w:sz w:val="24"/>
          <w:szCs w:val="24"/>
        </w:rPr>
        <w:t xml:space="preserve">. Available at </w:t>
      </w:r>
      <w:hyperlink r:id="rId26" w:anchor="domestic-abuse-in-england-and-wales-data" w:history="1">
        <w:r w:rsidRPr="00EB4A5C">
          <w:rPr>
            <w:rStyle w:val="Hyperlink"/>
            <w:rFonts w:asciiTheme="minorHAnsi" w:hAnsiTheme="minorHAnsi" w:cstheme="minorHAnsi"/>
            <w:sz w:val="24"/>
            <w:szCs w:val="24"/>
          </w:rPr>
          <w:t>Domestic abuse in England and Wales overview - Office for National Statistics (ons.gov.uk)</w:t>
        </w:r>
      </w:hyperlink>
      <w:r w:rsidRPr="00EB4A5C">
        <w:rPr>
          <w:rFonts w:asciiTheme="minorHAnsi" w:hAnsiTheme="minorHAnsi" w:cstheme="minorHAnsi"/>
          <w:sz w:val="24"/>
          <w:szCs w:val="24"/>
        </w:rPr>
        <w:t>, (accessed 2</w:t>
      </w:r>
      <w:r w:rsidRPr="00EB4A5C">
        <w:rPr>
          <w:rFonts w:asciiTheme="minorHAnsi" w:hAnsiTheme="minorHAnsi" w:cstheme="minorHAnsi"/>
          <w:sz w:val="24"/>
          <w:szCs w:val="24"/>
          <w:vertAlign w:val="superscript"/>
        </w:rPr>
        <w:t>nd</w:t>
      </w:r>
      <w:r w:rsidRPr="00EB4A5C">
        <w:rPr>
          <w:rFonts w:asciiTheme="minorHAnsi" w:hAnsiTheme="minorHAnsi" w:cstheme="minorHAnsi"/>
          <w:sz w:val="24"/>
          <w:szCs w:val="24"/>
        </w:rPr>
        <w:t xml:space="preserve"> November 2023)</w:t>
      </w:r>
      <w:r>
        <w:rPr>
          <w:rFonts w:asciiTheme="minorHAnsi" w:hAnsiTheme="minorHAnsi" w:cstheme="minorHAnsi"/>
          <w:sz w:val="24"/>
          <w:szCs w:val="24"/>
        </w:rPr>
        <w:t>.</w:t>
      </w:r>
    </w:p>
    <w:p w14:paraId="4DA2F13F" w14:textId="77777777" w:rsidR="00EB4A5C" w:rsidRPr="00EB4A5C" w:rsidRDefault="00EB4A5C" w:rsidP="004847EF">
      <w:pPr>
        <w:rPr>
          <w:rFonts w:asciiTheme="minorHAnsi" w:hAnsiTheme="minorHAnsi" w:cstheme="minorHAnsi"/>
          <w:sz w:val="24"/>
          <w:szCs w:val="24"/>
        </w:rPr>
      </w:pPr>
    </w:p>
    <w:p w14:paraId="5DBDAE67" w14:textId="53449348" w:rsid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 xml:space="preserve">Patterson, G., and Swan, P., (2019). </w:t>
      </w:r>
      <w:r w:rsidRPr="00EB4A5C">
        <w:rPr>
          <w:rFonts w:asciiTheme="minorHAnsi" w:hAnsiTheme="minorHAnsi" w:cstheme="minorHAnsi"/>
          <w:i/>
          <w:iCs/>
          <w:sz w:val="24"/>
          <w:szCs w:val="24"/>
        </w:rPr>
        <w:t xml:space="preserve">Police Social Work and Social Service Collaboration Strategies One Hundred Years after Vollmer: A Systematic Review. </w:t>
      </w:r>
      <w:r w:rsidRPr="00EB4A5C">
        <w:rPr>
          <w:rFonts w:asciiTheme="minorHAnsi" w:hAnsiTheme="minorHAnsi" w:cstheme="minorHAnsi"/>
          <w:sz w:val="24"/>
          <w:szCs w:val="24"/>
        </w:rPr>
        <w:t xml:space="preserve">Policing: An International Journal. Emerald Group Publishing Limited. </w:t>
      </w:r>
      <w:r w:rsidRPr="00EB4A5C">
        <w:rPr>
          <w:rFonts w:asciiTheme="minorHAnsi" w:hAnsiTheme="minorHAnsi" w:cstheme="minorHAnsi"/>
          <w:b/>
          <w:bCs/>
          <w:sz w:val="24"/>
          <w:szCs w:val="24"/>
        </w:rPr>
        <w:t>42</w:t>
      </w:r>
      <w:r w:rsidRPr="00EB4A5C">
        <w:rPr>
          <w:rFonts w:asciiTheme="minorHAnsi" w:hAnsiTheme="minorHAnsi" w:cstheme="minorHAnsi"/>
          <w:sz w:val="24"/>
          <w:szCs w:val="24"/>
        </w:rPr>
        <w:t>(5), pp.863-886</w:t>
      </w:r>
      <w:r>
        <w:rPr>
          <w:rFonts w:asciiTheme="minorHAnsi" w:hAnsiTheme="minorHAnsi" w:cstheme="minorHAnsi"/>
          <w:sz w:val="24"/>
          <w:szCs w:val="24"/>
        </w:rPr>
        <w:t>.</w:t>
      </w:r>
    </w:p>
    <w:p w14:paraId="24D5193D" w14:textId="77777777" w:rsidR="00EB4A5C" w:rsidRPr="00EB4A5C" w:rsidRDefault="00EB4A5C" w:rsidP="00EB4A5C">
      <w:pPr>
        <w:rPr>
          <w:rFonts w:asciiTheme="minorHAnsi" w:hAnsiTheme="minorHAnsi" w:cstheme="minorHAnsi"/>
          <w:sz w:val="24"/>
          <w:szCs w:val="24"/>
        </w:rPr>
      </w:pPr>
    </w:p>
    <w:p w14:paraId="50D8931D" w14:textId="77777777" w:rsidR="00EB4A5C" w:rsidRPr="00EB4A5C" w:rsidRDefault="00EB4A5C" w:rsidP="004847EF">
      <w:pPr>
        <w:rPr>
          <w:rFonts w:asciiTheme="minorHAnsi" w:hAnsiTheme="minorHAnsi" w:cstheme="minorHAnsi"/>
          <w:sz w:val="24"/>
          <w:szCs w:val="24"/>
        </w:rPr>
      </w:pPr>
      <w:r w:rsidRPr="00EB4A5C">
        <w:rPr>
          <w:rFonts w:asciiTheme="minorHAnsi" w:hAnsiTheme="minorHAnsi" w:cstheme="minorHAnsi"/>
          <w:sz w:val="24"/>
          <w:szCs w:val="24"/>
        </w:rPr>
        <w:t xml:space="preserve">Pepper, I., (2011). </w:t>
      </w:r>
      <w:r w:rsidRPr="00EB4A5C">
        <w:rPr>
          <w:rFonts w:asciiTheme="minorHAnsi" w:hAnsiTheme="minorHAnsi" w:cstheme="minorHAnsi"/>
          <w:i/>
          <w:iCs/>
          <w:sz w:val="24"/>
          <w:szCs w:val="24"/>
        </w:rPr>
        <w:t xml:space="preserve">Working In Policing. </w:t>
      </w:r>
      <w:r w:rsidRPr="00EB4A5C">
        <w:rPr>
          <w:rFonts w:asciiTheme="minorHAnsi" w:hAnsiTheme="minorHAnsi" w:cstheme="minorHAnsi"/>
          <w:sz w:val="24"/>
          <w:szCs w:val="24"/>
        </w:rPr>
        <w:t>SAGE Publications. United Kingdom</w:t>
      </w:r>
    </w:p>
    <w:p w14:paraId="1F909661" w14:textId="77777777" w:rsidR="00EB4A5C" w:rsidRDefault="00EB4A5C" w:rsidP="00EB4A5C">
      <w:pPr>
        <w:rPr>
          <w:rFonts w:asciiTheme="minorHAnsi" w:hAnsiTheme="minorHAnsi" w:cstheme="minorHAnsi"/>
          <w:sz w:val="24"/>
          <w:szCs w:val="24"/>
        </w:rPr>
      </w:pPr>
      <w:r w:rsidRPr="00EB4A5C">
        <w:rPr>
          <w:rFonts w:asciiTheme="minorHAnsi" w:hAnsiTheme="minorHAnsi" w:cstheme="minorHAnsi"/>
          <w:sz w:val="24"/>
          <w:szCs w:val="24"/>
        </w:rPr>
        <w:t xml:space="preserve">Police and Criminal Evidence Act 1984, c, 24. Available at </w:t>
      </w:r>
      <w:hyperlink r:id="rId27" w:history="1">
        <w:r w:rsidRPr="00EB4A5C">
          <w:rPr>
            <w:rStyle w:val="Hyperlink"/>
            <w:rFonts w:asciiTheme="minorHAnsi" w:hAnsiTheme="minorHAnsi" w:cstheme="minorHAnsi"/>
            <w:sz w:val="24"/>
            <w:szCs w:val="24"/>
          </w:rPr>
          <w:t>Police and Criminal Evidence Act 1984 (legislation.gov.uk)</w:t>
        </w:r>
      </w:hyperlink>
      <w:r w:rsidRPr="00EB4A5C">
        <w:rPr>
          <w:rFonts w:asciiTheme="minorHAnsi" w:hAnsiTheme="minorHAnsi" w:cstheme="minorHAnsi"/>
          <w:sz w:val="24"/>
          <w:szCs w:val="24"/>
        </w:rPr>
        <w:t xml:space="preserve"> (Accessed 25</w:t>
      </w:r>
      <w:r w:rsidRPr="00EB4A5C">
        <w:rPr>
          <w:rFonts w:asciiTheme="minorHAnsi" w:hAnsiTheme="minorHAnsi" w:cstheme="minorHAnsi"/>
          <w:sz w:val="24"/>
          <w:szCs w:val="24"/>
          <w:vertAlign w:val="superscript"/>
        </w:rPr>
        <w:t>th</w:t>
      </w:r>
      <w:r w:rsidRPr="00EB4A5C">
        <w:rPr>
          <w:rFonts w:asciiTheme="minorHAnsi" w:hAnsiTheme="minorHAnsi" w:cstheme="minorHAnsi"/>
          <w:sz w:val="24"/>
          <w:szCs w:val="24"/>
        </w:rPr>
        <w:t xml:space="preserve"> March 2024).</w:t>
      </w:r>
    </w:p>
    <w:p w14:paraId="1A6A0559" w14:textId="77777777" w:rsidR="00EB4A5C" w:rsidRPr="00EB4A5C" w:rsidRDefault="00EB4A5C" w:rsidP="00EB4A5C">
      <w:pPr>
        <w:rPr>
          <w:rFonts w:asciiTheme="minorHAnsi" w:hAnsiTheme="minorHAnsi" w:cstheme="minorHAnsi"/>
          <w:sz w:val="24"/>
          <w:szCs w:val="24"/>
        </w:rPr>
      </w:pPr>
    </w:p>
    <w:p w14:paraId="08E5CEB9" w14:textId="77777777" w:rsidR="00EB4A5C" w:rsidRDefault="00EB4A5C" w:rsidP="004847EF">
      <w:pPr>
        <w:rPr>
          <w:rFonts w:asciiTheme="minorHAnsi" w:hAnsiTheme="minorHAnsi" w:cstheme="minorHAnsi"/>
          <w:sz w:val="24"/>
          <w:szCs w:val="24"/>
        </w:rPr>
      </w:pPr>
      <w:r w:rsidRPr="00EB4A5C">
        <w:rPr>
          <w:rFonts w:asciiTheme="minorHAnsi" w:hAnsiTheme="minorHAnsi" w:cstheme="minorHAnsi"/>
          <w:sz w:val="24"/>
          <w:szCs w:val="24"/>
        </w:rPr>
        <w:t xml:space="preserve">Sidebottom, A., Tilley, N., and Eck, J. (2012). </w:t>
      </w:r>
      <w:r w:rsidRPr="00EB4A5C">
        <w:rPr>
          <w:rFonts w:asciiTheme="minorHAnsi" w:hAnsiTheme="minorHAnsi" w:cstheme="minorHAnsi"/>
          <w:i/>
          <w:iCs/>
          <w:sz w:val="24"/>
          <w:szCs w:val="24"/>
        </w:rPr>
        <w:t xml:space="preserve">Towards Checklists to Reduce Common Sources of Problem-Solving Failure. </w:t>
      </w:r>
      <w:r w:rsidRPr="00EB4A5C">
        <w:rPr>
          <w:rFonts w:asciiTheme="minorHAnsi" w:hAnsiTheme="minorHAnsi" w:cstheme="minorHAnsi"/>
          <w:sz w:val="24"/>
          <w:szCs w:val="24"/>
        </w:rPr>
        <w:t>Policing: A Journal of Policy and Practice.</w:t>
      </w:r>
    </w:p>
    <w:p w14:paraId="11DCE6BB" w14:textId="77777777" w:rsidR="00EB4A5C" w:rsidRPr="00EB4A5C" w:rsidRDefault="00EB4A5C" w:rsidP="004847EF">
      <w:pPr>
        <w:rPr>
          <w:rFonts w:asciiTheme="minorHAnsi" w:hAnsiTheme="minorHAnsi" w:cstheme="minorHAnsi"/>
          <w:sz w:val="24"/>
          <w:szCs w:val="24"/>
        </w:rPr>
      </w:pPr>
    </w:p>
    <w:p w14:paraId="73384D9F" w14:textId="77777777" w:rsidR="00EB4A5C" w:rsidRDefault="00EB4A5C" w:rsidP="004847EF">
      <w:pPr>
        <w:rPr>
          <w:rFonts w:asciiTheme="minorHAnsi" w:hAnsiTheme="minorHAnsi" w:cstheme="minorHAnsi"/>
          <w:sz w:val="24"/>
          <w:szCs w:val="24"/>
        </w:rPr>
      </w:pPr>
      <w:r w:rsidRPr="00EB4A5C">
        <w:rPr>
          <w:rFonts w:asciiTheme="minorHAnsi" w:hAnsiTheme="minorHAnsi" w:cstheme="minorHAnsi"/>
          <w:sz w:val="24"/>
          <w:szCs w:val="24"/>
        </w:rPr>
        <w:t xml:space="preserve">Thompson, S., Townsley, M., and Pease, K. (2008). </w:t>
      </w:r>
      <w:r w:rsidRPr="00EB4A5C">
        <w:rPr>
          <w:rFonts w:asciiTheme="minorHAnsi" w:hAnsiTheme="minorHAnsi" w:cstheme="minorHAnsi"/>
          <w:i/>
          <w:iCs/>
          <w:sz w:val="24"/>
          <w:szCs w:val="24"/>
        </w:rPr>
        <w:t xml:space="preserve">Repeat Burglary Victimisation: Analysis of a Partial Failure. </w:t>
      </w:r>
      <w:r w:rsidRPr="00EB4A5C">
        <w:rPr>
          <w:rFonts w:asciiTheme="minorHAnsi" w:hAnsiTheme="minorHAnsi" w:cstheme="minorHAnsi"/>
          <w:sz w:val="24"/>
          <w:szCs w:val="24"/>
        </w:rPr>
        <w:t xml:space="preserve">Irish Journal of Psychology. </w:t>
      </w:r>
      <w:r w:rsidRPr="00EB4A5C">
        <w:rPr>
          <w:rFonts w:asciiTheme="minorHAnsi" w:hAnsiTheme="minorHAnsi" w:cstheme="minorHAnsi"/>
          <w:b/>
          <w:bCs/>
          <w:sz w:val="24"/>
          <w:szCs w:val="24"/>
        </w:rPr>
        <w:t>29</w:t>
      </w:r>
      <w:r w:rsidRPr="00EB4A5C">
        <w:rPr>
          <w:rFonts w:asciiTheme="minorHAnsi" w:hAnsiTheme="minorHAnsi" w:cstheme="minorHAnsi"/>
          <w:sz w:val="24"/>
          <w:szCs w:val="24"/>
        </w:rPr>
        <w:t>. Pp 129-137.</w:t>
      </w:r>
    </w:p>
    <w:p w14:paraId="3E3FAEEA" w14:textId="77777777" w:rsidR="00EB4A5C" w:rsidRPr="00EB4A5C" w:rsidRDefault="00EB4A5C" w:rsidP="004847EF">
      <w:pPr>
        <w:rPr>
          <w:rFonts w:asciiTheme="minorHAnsi" w:hAnsiTheme="minorHAnsi" w:cstheme="minorHAnsi"/>
          <w:sz w:val="24"/>
          <w:szCs w:val="24"/>
        </w:rPr>
      </w:pPr>
    </w:p>
    <w:p w14:paraId="5206B25D" w14:textId="77777777" w:rsidR="00EB4A5C" w:rsidRPr="00EB4A5C" w:rsidRDefault="00EB4A5C" w:rsidP="004847EF">
      <w:pPr>
        <w:rPr>
          <w:rFonts w:asciiTheme="minorHAnsi" w:hAnsiTheme="minorHAnsi" w:cstheme="minorHAnsi"/>
          <w:sz w:val="24"/>
          <w:szCs w:val="24"/>
        </w:rPr>
      </w:pPr>
      <w:r w:rsidRPr="00EB4A5C">
        <w:rPr>
          <w:rFonts w:asciiTheme="minorHAnsi" w:hAnsiTheme="minorHAnsi" w:cstheme="minorHAnsi"/>
          <w:sz w:val="24"/>
          <w:szCs w:val="24"/>
        </w:rPr>
        <w:lastRenderedPageBreak/>
        <w:t xml:space="preserve">Whyte, C., (2021). </w:t>
      </w:r>
      <w:r w:rsidRPr="00EB4A5C">
        <w:rPr>
          <w:rFonts w:asciiTheme="minorHAnsi" w:hAnsiTheme="minorHAnsi" w:cstheme="minorHAnsi"/>
          <w:i/>
          <w:iCs/>
          <w:sz w:val="24"/>
          <w:szCs w:val="24"/>
        </w:rPr>
        <w:t xml:space="preserve">Reoffending While on Bail: Analyses of Adult and Youth Defendants. </w:t>
      </w:r>
      <w:r w:rsidRPr="00EB4A5C">
        <w:rPr>
          <w:rFonts w:asciiTheme="minorHAnsi" w:hAnsiTheme="minorHAnsi" w:cstheme="minorHAnsi"/>
          <w:sz w:val="24"/>
          <w:szCs w:val="24"/>
        </w:rPr>
        <w:t>Criminal Justice and Statistics Unit. Northern Territory Government. Pp 12-15.</w:t>
      </w:r>
    </w:p>
    <w:p w14:paraId="49EAEDD3" w14:textId="77777777" w:rsidR="00EB4A5C" w:rsidRPr="009E09FE" w:rsidRDefault="00EB4A5C" w:rsidP="004847EF">
      <w:pPr>
        <w:rPr>
          <w:rFonts w:asciiTheme="minorHAnsi" w:hAnsiTheme="minorHAnsi" w:cstheme="minorHAnsi"/>
          <w:sz w:val="24"/>
          <w:szCs w:val="24"/>
        </w:rPr>
      </w:pPr>
    </w:p>
    <w:p w14:paraId="3CE00498" w14:textId="77777777" w:rsidR="004847EF" w:rsidRDefault="004847EF" w:rsidP="00EA28F1">
      <w:pPr>
        <w:keepNext/>
        <w:spacing w:before="240" w:after="60"/>
        <w:ind w:right="237"/>
        <w:jc w:val="both"/>
      </w:pPr>
    </w:p>
    <w:sectPr w:rsidR="004847E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6E2A3" w14:textId="77777777" w:rsidR="008E49F5" w:rsidRDefault="008E49F5">
      <w:r>
        <w:separator/>
      </w:r>
    </w:p>
  </w:endnote>
  <w:endnote w:type="continuationSeparator" w:id="0">
    <w:p w14:paraId="22E43F8E" w14:textId="77777777" w:rsidR="008E49F5" w:rsidRDefault="008E49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5DC299" w14:textId="77777777" w:rsidR="008E49F5" w:rsidRDefault="008E49F5">
      <w:r>
        <w:separator/>
      </w:r>
    </w:p>
  </w:footnote>
  <w:footnote w:type="continuationSeparator" w:id="0">
    <w:p w14:paraId="37F146C6" w14:textId="77777777" w:rsidR="008E49F5" w:rsidRDefault="008E49F5">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7E8"/>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CCF"/>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27B55"/>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5983"/>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47EF"/>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115D"/>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3495"/>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49F5"/>
    <w:rsid w:val="008F22BD"/>
    <w:rsid w:val="008F4BEE"/>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9FE"/>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54D3"/>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02F78"/>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B6D"/>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5507E"/>
    <w:rsid w:val="00E56516"/>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4A5C"/>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B6EEC"/>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www.ons.gov.uk/peoplepopulationandcommunity/crimeandjustice/bulletins/domesticabuseinenglandandwalesoverview/november2022" TargetMode="External"/><Relationship Id="rId3" Type="http://schemas.openxmlformats.org/officeDocument/2006/relationships/customXml" Target="../customXml/item3.xml"/><Relationship Id="rId21" Type="http://schemas.openxmlformats.org/officeDocument/2006/relationships/hyperlink" Target="https://hmicfrs.justiceinspectorates.gov.uk/publications/evidence-led-domestic-abuse-prosecution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support-forces/diversity-and-inclusion/action-plan" TargetMode="External"/><Relationship Id="rId25" Type="http://schemas.openxmlformats.org/officeDocument/2006/relationships/hyperlink" Target="https://www.met.police.uk/advice/advice-and-information/hco/hate-crime/what-is-hate-crime/" TargetMode="External"/><Relationship Id="rId2" Type="http://schemas.openxmlformats.org/officeDocument/2006/relationships/customXml" Target="../customXml/item2.xml"/><Relationship Id="rId16" Type="http://schemas.openxmlformats.org/officeDocument/2006/relationships/hyperlink" Target="https://yougov.co.uk/politics/articles/40005-trust-police-has-fallen-amongst-ethnic-minority-br" TargetMode="External"/><Relationship Id="rId20" Type="http://schemas.openxmlformats.org/officeDocument/2006/relationships/hyperlink" Target="https://www.legislation.gov.uk/ukpga/1998/37/section/29/1998-09-3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encap.org.uk/advice-and-support/mental-capacity-act"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nottinghamshire.pcc.police.uk/Document-Library/Public-Information/HMIC-Reports/HMICFRS-HMCIPS-Report-Evidence-led-domestic-abuse-prosecutions.pdf"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met.police.uk/advice/advice-and-information/hco/hate-crime/what-is-hate-crim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hmicfrs.justiceinspectorates.gov.uk/glossary/public-protection-notice/" TargetMode="External"/><Relationship Id="rId27" Type="http://schemas.openxmlformats.org/officeDocument/2006/relationships/hyperlink" Target="https://www.legislation.gov.uk/ukpga/1984/60/section/24"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2" ma:contentTypeDescription="Create a new document." ma:contentTypeScope="" ma:versionID="2ca0c8a78dd7796e5d46c7c8e775cb8c">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d0f938f8960d3db7005f850ab0be1b11"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_activity"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6f089012-3fae-42a8-bbe5-94e46e1467ea">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_activity xmlns="e20b08b0-acc6-4f95-a80d-0f14bda3809b" xsi:nil="true"/>
  </documentManagement>
</p:properties>
</file>

<file path=customXml/itemProps1.xml><?xml version="1.0" encoding="utf-8"?>
<ds:datastoreItem xmlns:ds="http://schemas.openxmlformats.org/officeDocument/2006/customXml" ds:itemID="{52A57469-A45C-4758-9DE0-C92638DEDA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6f089012-3fae-42a8-bbe5-94e46e1467ea"/>
    <ds:schemaRef ds:uri="e20b08b0-acc6-4f95-a80d-0f14bda3809b"/>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6226</Words>
  <Characters>35489</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 Joe</cp:lastModifiedBy>
  <cp:revision>3</cp:revision>
  <cp:lastPrinted>2014-08-26T08:55:00Z</cp:lastPrinted>
  <dcterms:created xsi:type="dcterms:W3CDTF">2024-04-29T21:41:00Z</dcterms:created>
  <dcterms:modified xsi:type="dcterms:W3CDTF">2024-04-29T21:43:00Z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0x010100306DDCA45F035B4587096974C1C49017</vt:lpwstr>
  </property>
  <property fmtid="{D5CDD505-2E9C-101B-9397-08002B2CF9AE}" pid="3" name="MSIP_Label_f2acd28b-79a3-4a0f-b0ff-4b75658b1549_Enabled">
    <vt:lpwstr>true</vt:lpwstr>
  </property>
  <property fmtid="{D5CDD505-2E9C-101B-9397-08002B2CF9AE}" pid="4" name="MSIP_Label_f2acd28b-79a3-4a0f-b0ff-4b75658b1549_SetDate">
    <vt:lpwstr>2023-11-02T08:33:59Z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e8ff2871-f991-48d2-8ad2-13b647b2c2db</vt:lpwstr>
  </property>
  <property fmtid="{D5CDD505-2E9C-101B-9397-08002B2CF9AE}" pid="9" name="MSIP_Label_f2acd28b-79a3-4a0f-b0ff-4b75658b1549_ContentBits">
    <vt:lpwstr>0</vt:lpwstr>
  </property>
</Properties>
</file>