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33"/>
          <w:szCs w:val="33"/>
        </w:rPr>
      </w:pPr>
      <w:r w:rsidDel="00000000" w:rsidR="00000000" w:rsidRPr="00000000">
        <w:rPr>
          <w:rtl w:val="0"/>
        </w:rPr>
      </w:r>
    </w:p>
    <w:p w:rsidR="00000000" w:rsidDel="00000000" w:rsidP="00000000" w:rsidRDefault="00000000" w:rsidRPr="00000000" w14:paraId="00000002">
      <w:pPr>
        <w:spacing w:line="360" w:lineRule="auto"/>
        <w:jc w:val="center"/>
        <w:rPr>
          <w:b w:val="1"/>
          <w:sz w:val="33"/>
          <w:szCs w:val="33"/>
        </w:rPr>
      </w:pPr>
      <w:r w:rsidDel="00000000" w:rsidR="00000000" w:rsidRPr="00000000">
        <w:rPr>
          <w:rtl w:val="0"/>
        </w:rPr>
      </w:r>
    </w:p>
    <w:p w:rsidR="00000000" w:rsidDel="00000000" w:rsidP="00000000" w:rsidRDefault="00000000" w:rsidRPr="00000000" w14:paraId="00000003">
      <w:pPr>
        <w:spacing w:line="360" w:lineRule="auto"/>
        <w:jc w:val="center"/>
        <w:rPr>
          <w:b w:val="1"/>
          <w:sz w:val="33"/>
          <w:szCs w:val="33"/>
        </w:rPr>
      </w:pPr>
      <w:r w:rsidDel="00000000" w:rsidR="00000000" w:rsidRPr="00000000">
        <w:rPr>
          <w:rtl w:val="0"/>
        </w:rPr>
      </w:r>
    </w:p>
    <w:p w:rsidR="00000000" w:rsidDel="00000000" w:rsidP="00000000" w:rsidRDefault="00000000" w:rsidRPr="00000000" w14:paraId="00000004">
      <w:pPr>
        <w:spacing w:line="360" w:lineRule="auto"/>
        <w:jc w:val="center"/>
        <w:rPr>
          <w:b w:val="1"/>
          <w:sz w:val="33"/>
          <w:szCs w:val="33"/>
        </w:rPr>
      </w:pPr>
      <w:r w:rsidDel="00000000" w:rsidR="00000000" w:rsidRPr="00000000">
        <w:rPr>
          <w:rtl w:val="0"/>
        </w:rPr>
      </w:r>
    </w:p>
    <w:p w:rsidR="00000000" w:rsidDel="00000000" w:rsidP="00000000" w:rsidRDefault="00000000" w:rsidRPr="00000000" w14:paraId="00000005">
      <w:pPr>
        <w:spacing w:line="360" w:lineRule="auto"/>
        <w:jc w:val="center"/>
        <w:rPr>
          <w:b w:val="1"/>
          <w:sz w:val="33"/>
          <w:szCs w:val="33"/>
        </w:rPr>
      </w:pPr>
      <w:r w:rsidDel="00000000" w:rsidR="00000000" w:rsidRPr="00000000">
        <w:rPr>
          <w:rtl w:val="0"/>
        </w:rPr>
      </w:r>
    </w:p>
    <w:p w:rsidR="00000000" w:rsidDel="00000000" w:rsidP="00000000" w:rsidRDefault="00000000" w:rsidRPr="00000000" w14:paraId="00000006">
      <w:pPr>
        <w:spacing w:line="360" w:lineRule="auto"/>
        <w:jc w:val="center"/>
        <w:rPr>
          <w:b w:val="1"/>
          <w:sz w:val="33"/>
          <w:szCs w:val="33"/>
        </w:rPr>
      </w:pPr>
      <w:r w:rsidDel="00000000" w:rsidR="00000000" w:rsidRPr="00000000">
        <w:rPr>
          <w:rtl w:val="0"/>
        </w:rPr>
      </w:r>
    </w:p>
    <w:p w:rsidR="00000000" w:rsidDel="00000000" w:rsidP="00000000" w:rsidRDefault="00000000" w:rsidRPr="00000000" w14:paraId="00000007">
      <w:pPr>
        <w:spacing w:line="360" w:lineRule="auto"/>
        <w:rPr>
          <w:b w:val="1"/>
          <w:sz w:val="33"/>
          <w:szCs w:val="33"/>
        </w:rPr>
      </w:pPr>
      <w:r w:rsidDel="00000000" w:rsidR="00000000" w:rsidRPr="00000000">
        <w:rPr>
          <w:rtl w:val="0"/>
        </w:rPr>
      </w:r>
    </w:p>
    <w:p w:rsidR="00000000" w:rsidDel="00000000" w:rsidP="00000000" w:rsidRDefault="00000000" w:rsidRPr="00000000" w14:paraId="00000008">
      <w:pPr>
        <w:spacing w:line="360" w:lineRule="auto"/>
        <w:jc w:val="center"/>
        <w:rPr>
          <w:b w:val="1"/>
          <w:sz w:val="33"/>
          <w:szCs w:val="33"/>
        </w:rPr>
      </w:pPr>
      <w:r w:rsidDel="00000000" w:rsidR="00000000" w:rsidRPr="00000000">
        <w:rPr>
          <w:b w:val="1"/>
          <w:sz w:val="33"/>
          <w:szCs w:val="33"/>
          <w:rtl w:val="0"/>
        </w:rPr>
        <w:t xml:space="preserve">Management Accounting </w:t>
      </w:r>
    </w:p>
    <w:p w:rsidR="00000000" w:rsidDel="00000000" w:rsidP="00000000" w:rsidRDefault="00000000" w:rsidRPr="00000000" w14:paraId="00000009">
      <w:pPr>
        <w:spacing w:line="360" w:lineRule="auto"/>
        <w:jc w:val="center"/>
        <w:rPr>
          <w:b w:val="1"/>
          <w:sz w:val="33"/>
          <w:szCs w:val="33"/>
        </w:rPr>
      </w:pPr>
      <w:r w:rsidDel="00000000" w:rsidR="00000000" w:rsidRPr="00000000">
        <w:rPr>
          <w:b w:val="1"/>
          <w:sz w:val="33"/>
          <w:szCs w:val="33"/>
          <w:rtl w:val="0"/>
        </w:rPr>
        <w:t xml:space="preserve">(LCBB5002)</w:t>
      </w:r>
    </w:p>
    <w:p w:rsidR="00000000" w:rsidDel="00000000" w:rsidP="00000000" w:rsidRDefault="00000000" w:rsidRPr="00000000" w14:paraId="0000000A">
      <w:pPr>
        <w:spacing w:line="360" w:lineRule="auto"/>
        <w:jc w:val="center"/>
        <w:rPr>
          <w:b w:val="1"/>
          <w:sz w:val="50"/>
          <w:szCs w:val="50"/>
        </w:rPr>
      </w:pPr>
      <w:r w:rsidDel="00000000" w:rsidR="00000000" w:rsidRPr="00000000">
        <w:rPr>
          <w:b w:val="1"/>
          <w:sz w:val="50"/>
          <w:szCs w:val="50"/>
          <w:rtl w:val="0"/>
        </w:rPr>
        <w:t xml:space="preserve">Mirela L Andrei</w:t>
      </w:r>
    </w:p>
    <w:p w:rsidR="00000000" w:rsidDel="00000000" w:rsidP="00000000" w:rsidRDefault="00000000" w:rsidRPr="00000000" w14:paraId="0000000B">
      <w:pPr>
        <w:spacing w:line="360" w:lineRule="auto"/>
        <w:jc w:val="center"/>
        <w:rPr>
          <w:b w:val="1"/>
          <w:sz w:val="50"/>
          <w:szCs w:val="50"/>
        </w:rPr>
      </w:pPr>
      <w:r w:rsidDel="00000000" w:rsidR="00000000" w:rsidRPr="00000000">
        <w:rPr>
          <w:b w:val="1"/>
          <w:sz w:val="50"/>
          <w:szCs w:val="50"/>
          <w:rtl w:val="0"/>
        </w:rPr>
        <w:t xml:space="preserve">1914800</w:t>
      </w:r>
    </w:p>
    <w:p w:rsidR="00000000" w:rsidDel="00000000" w:rsidP="00000000" w:rsidRDefault="00000000" w:rsidRPr="00000000" w14:paraId="0000000C">
      <w:pPr>
        <w:spacing w:line="360" w:lineRule="auto"/>
        <w:jc w:val="center"/>
        <w:rPr>
          <w:b w:val="1"/>
          <w:sz w:val="50"/>
          <w:szCs w:val="50"/>
        </w:rPr>
      </w:pPr>
      <w:r w:rsidDel="00000000" w:rsidR="00000000" w:rsidRPr="00000000">
        <w:rPr>
          <w:rtl w:val="0"/>
        </w:rPr>
      </w:r>
    </w:p>
    <w:p w:rsidR="00000000" w:rsidDel="00000000" w:rsidP="00000000" w:rsidRDefault="00000000" w:rsidRPr="00000000" w14:paraId="0000000D">
      <w:pPr>
        <w:spacing w:line="360" w:lineRule="auto"/>
        <w:jc w:val="center"/>
        <w:rPr/>
      </w:pPr>
      <w:r w:rsidDel="00000000" w:rsidR="00000000" w:rsidRPr="00000000">
        <w:rPr>
          <w:rtl w:val="0"/>
        </w:rPr>
      </w:r>
    </w:p>
    <w:p w:rsidR="00000000" w:rsidDel="00000000" w:rsidP="00000000" w:rsidRDefault="00000000" w:rsidRPr="00000000" w14:paraId="0000000E">
      <w:pPr>
        <w:spacing w:line="360" w:lineRule="auto"/>
        <w:jc w:val="center"/>
        <w:rPr/>
      </w:pPr>
      <w:r w:rsidDel="00000000" w:rsidR="00000000" w:rsidRPr="00000000">
        <w:rPr>
          <w:rtl w:val="0"/>
        </w:rPr>
      </w:r>
    </w:p>
    <w:p w:rsidR="00000000" w:rsidDel="00000000" w:rsidP="00000000" w:rsidRDefault="00000000" w:rsidRPr="00000000" w14:paraId="0000000F">
      <w:pPr>
        <w:spacing w:line="360" w:lineRule="auto"/>
        <w:jc w:val="center"/>
        <w:rPr/>
      </w:pPr>
      <w:r w:rsidDel="00000000" w:rsidR="00000000" w:rsidRPr="00000000">
        <w:rPr>
          <w:rtl w:val="0"/>
        </w:rPr>
      </w:r>
    </w:p>
    <w:p w:rsidR="00000000" w:rsidDel="00000000" w:rsidP="00000000" w:rsidRDefault="00000000" w:rsidRPr="00000000" w14:paraId="00000010">
      <w:pPr>
        <w:spacing w:line="360" w:lineRule="auto"/>
        <w:jc w:val="center"/>
        <w:rPr/>
      </w:pPr>
      <w:r w:rsidDel="00000000" w:rsidR="00000000" w:rsidRPr="00000000">
        <w:rPr>
          <w:rtl w:val="0"/>
        </w:rPr>
      </w:r>
    </w:p>
    <w:p w:rsidR="00000000" w:rsidDel="00000000" w:rsidP="00000000" w:rsidRDefault="00000000" w:rsidRPr="00000000" w14:paraId="00000011">
      <w:pPr>
        <w:spacing w:line="360" w:lineRule="auto"/>
        <w:jc w:val="center"/>
        <w:rPr/>
      </w:pPr>
      <w:r w:rsidDel="00000000" w:rsidR="00000000" w:rsidRPr="00000000">
        <w:rPr>
          <w:rtl w:val="0"/>
        </w:rPr>
      </w:r>
    </w:p>
    <w:p w:rsidR="00000000" w:rsidDel="00000000" w:rsidP="00000000" w:rsidRDefault="00000000" w:rsidRPr="00000000" w14:paraId="00000012">
      <w:pPr>
        <w:spacing w:line="360" w:lineRule="auto"/>
        <w:jc w:val="center"/>
        <w:rPr/>
      </w:pPr>
      <w:r w:rsidDel="00000000" w:rsidR="00000000" w:rsidRPr="00000000">
        <w:rPr>
          <w:rtl w:val="0"/>
        </w:rPr>
      </w:r>
    </w:p>
    <w:p w:rsidR="00000000" w:rsidDel="00000000" w:rsidP="00000000" w:rsidRDefault="00000000" w:rsidRPr="00000000" w14:paraId="00000013">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line="360" w:lineRule="auto"/>
        <w:jc w:val="center"/>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 A</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Control Report of Amana Ltd.</w:t>
              <w:tab/>
              <w:t xml:space="preserve">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Performance Report</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 B</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Cost of Online shop</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Cost for Amazon Sales</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pStyle w:val="Heading2"/>
        <w:spacing w:after="240" w:line="360" w:lineRule="auto"/>
        <w:jc w:val="both"/>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F">
      <w:pPr>
        <w:spacing w:after="240" w:line="360" w:lineRule="auto"/>
        <w:rPr/>
      </w:pPr>
      <w:r w:rsidDel="00000000" w:rsidR="00000000" w:rsidRPr="00000000">
        <w:rPr>
          <w:rtl w:val="0"/>
        </w:rPr>
        <w:t xml:space="preserve">Management accounting is concerned with all accountancy activities that are intended to provide information to management regarding business operations parameters. It makes use of the information about the cost of the product or services that the company has procured. Budgets are frequently utilized in operational planning to evaluate the decisions that have been made (Atkinson, Kaplan, Matsumura, and Young, 2015). Progress reports are used by accounting professionals to track the difference between the actual outcomes and projected results. This paper, which is based on the case of Amana Ltd., focuses on the most significant aspects of management accounting. According to their real budget and flexed budget, this report will provide detailed insight into the control and performance report of Amana Ltd., which will be useful to them. Additionally, a recommendation is made based on the control and performance report, and the second part of this report contains an analysis of a decision that Amana Ltd. needs to make regarding whether or not they should go online based on their relevant costs presented. </w:t>
      </w:r>
    </w:p>
    <w:p w:rsidR="00000000" w:rsidDel="00000000" w:rsidP="00000000" w:rsidRDefault="00000000" w:rsidRPr="00000000" w14:paraId="00000030">
      <w:pPr>
        <w:spacing w:after="240" w:line="360" w:lineRule="auto"/>
        <w:rPr/>
      </w:pPr>
      <w:r w:rsidDel="00000000" w:rsidR="00000000" w:rsidRPr="00000000">
        <w:rPr>
          <w:rtl w:val="0"/>
        </w:rPr>
      </w:r>
    </w:p>
    <w:p w:rsidR="00000000" w:rsidDel="00000000" w:rsidP="00000000" w:rsidRDefault="00000000" w:rsidRPr="00000000" w14:paraId="00000031">
      <w:pPr>
        <w:spacing w:after="240" w:line="360" w:lineRule="auto"/>
        <w:rPr/>
      </w:pPr>
      <w:r w:rsidDel="00000000" w:rsidR="00000000" w:rsidRPr="00000000">
        <w:rPr>
          <w:rtl w:val="0"/>
        </w:rPr>
      </w:r>
    </w:p>
    <w:p w:rsidR="00000000" w:rsidDel="00000000" w:rsidP="00000000" w:rsidRDefault="00000000" w:rsidRPr="00000000" w14:paraId="00000032">
      <w:pPr>
        <w:spacing w:after="240" w:line="360" w:lineRule="auto"/>
        <w:rPr/>
      </w:pPr>
      <w:r w:rsidDel="00000000" w:rsidR="00000000" w:rsidRPr="00000000">
        <w:rPr>
          <w:rtl w:val="0"/>
        </w:rPr>
      </w:r>
    </w:p>
    <w:p w:rsidR="00000000" w:rsidDel="00000000" w:rsidP="00000000" w:rsidRDefault="00000000" w:rsidRPr="00000000" w14:paraId="00000033">
      <w:pPr>
        <w:spacing w:after="240" w:line="360" w:lineRule="auto"/>
        <w:rPr/>
      </w:pPr>
      <w:r w:rsidDel="00000000" w:rsidR="00000000" w:rsidRPr="00000000">
        <w:rPr>
          <w:rtl w:val="0"/>
        </w:rPr>
      </w:r>
    </w:p>
    <w:p w:rsidR="00000000" w:rsidDel="00000000" w:rsidP="00000000" w:rsidRDefault="00000000" w:rsidRPr="00000000" w14:paraId="00000034">
      <w:pPr>
        <w:spacing w:after="240" w:line="360" w:lineRule="auto"/>
        <w:rPr/>
      </w:pPr>
      <w:r w:rsidDel="00000000" w:rsidR="00000000" w:rsidRPr="00000000">
        <w:rPr>
          <w:rtl w:val="0"/>
        </w:rPr>
      </w:r>
    </w:p>
    <w:p w:rsidR="00000000" w:rsidDel="00000000" w:rsidP="00000000" w:rsidRDefault="00000000" w:rsidRPr="00000000" w14:paraId="00000035">
      <w:pPr>
        <w:spacing w:after="240" w:line="360" w:lineRule="auto"/>
        <w:rPr/>
      </w:pPr>
      <w:r w:rsidDel="00000000" w:rsidR="00000000" w:rsidRPr="00000000">
        <w:rPr>
          <w:rtl w:val="0"/>
        </w:rPr>
      </w:r>
    </w:p>
    <w:p w:rsidR="00000000" w:rsidDel="00000000" w:rsidP="00000000" w:rsidRDefault="00000000" w:rsidRPr="00000000" w14:paraId="00000036">
      <w:pPr>
        <w:spacing w:after="240" w:line="360" w:lineRule="auto"/>
        <w:rPr/>
      </w:pPr>
      <w:r w:rsidDel="00000000" w:rsidR="00000000" w:rsidRPr="00000000">
        <w:rPr>
          <w:rtl w:val="0"/>
        </w:rPr>
      </w:r>
    </w:p>
    <w:p w:rsidR="00000000" w:rsidDel="00000000" w:rsidP="00000000" w:rsidRDefault="00000000" w:rsidRPr="00000000" w14:paraId="00000037">
      <w:pPr>
        <w:spacing w:after="240" w:line="360" w:lineRule="auto"/>
        <w:rPr/>
      </w:pPr>
      <w:r w:rsidDel="00000000" w:rsidR="00000000" w:rsidRPr="00000000">
        <w:rPr>
          <w:rtl w:val="0"/>
        </w:rPr>
      </w:r>
    </w:p>
    <w:p w:rsidR="00000000" w:rsidDel="00000000" w:rsidP="00000000" w:rsidRDefault="00000000" w:rsidRPr="00000000" w14:paraId="00000038">
      <w:pPr>
        <w:spacing w:after="240" w:line="360" w:lineRule="auto"/>
        <w:rPr/>
      </w:pPr>
      <w:r w:rsidDel="00000000" w:rsidR="00000000" w:rsidRPr="00000000">
        <w:rPr>
          <w:rtl w:val="0"/>
        </w:rPr>
      </w:r>
    </w:p>
    <w:p w:rsidR="00000000" w:rsidDel="00000000" w:rsidP="00000000" w:rsidRDefault="00000000" w:rsidRPr="00000000" w14:paraId="00000039">
      <w:pPr>
        <w:spacing w:after="240" w:line="360" w:lineRule="auto"/>
        <w:rPr/>
      </w:pPr>
      <w:r w:rsidDel="00000000" w:rsidR="00000000" w:rsidRPr="00000000">
        <w:rPr>
          <w:rtl w:val="0"/>
        </w:rPr>
      </w:r>
    </w:p>
    <w:p w:rsidR="00000000" w:rsidDel="00000000" w:rsidP="00000000" w:rsidRDefault="00000000" w:rsidRPr="00000000" w14:paraId="0000003A">
      <w:pPr>
        <w:spacing w:after="240" w:line="360" w:lineRule="auto"/>
        <w:rPr/>
      </w:pPr>
      <w:r w:rsidDel="00000000" w:rsidR="00000000" w:rsidRPr="00000000">
        <w:rPr>
          <w:rtl w:val="0"/>
        </w:rPr>
      </w:r>
    </w:p>
    <w:p w:rsidR="00000000" w:rsidDel="00000000" w:rsidP="00000000" w:rsidRDefault="00000000" w:rsidRPr="00000000" w14:paraId="0000003B">
      <w:pPr>
        <w:spacing w:after="240" w:line="360" w:lineRule="auto"/>
        <w:rPr/>
      </w:pPr>
      <w:r w:rsidDel="00000000" w:rsidR="00000000" w:rsidRPr="00000000">
        <w:rPr>
          <w:rtl w:val="0"/>
        </w:rPr>
      </w:r>
    </w:p>
    <w:p w:rsidR="00000000" w:rsidDel="00000000" w:rsidP="00000000" w:rsidRDefault="00000000" w:rsidRPr="00000000" w14:paraId="0000003C">
      <w:pPr>
        <w:pStyle w:val="Heading2"/>
        <w:spacing w:after="240" w:line="360" w:lineRule="auto"/>
        <w:jc w:val="both"/>
        <w:rPr/>
      </w:pPr>
      <w:bookmarkStart w:colFirst="0" w:colLast="0" w:name="_heading=h.30j0zll" w:id="1"/>
      <w:bookmarkEnd w:id="1"/>
      <w:r w:rsidDel="00000000" w:rsidR="00000000" w:rsidRPr="00000000">
        <w:rPr>
          <w:rtl w:val="0"/>
        </w:rPr>
        <w:t xml:space="preserve">Part A</w:t>
      </w:r>
    </w:p>
    <w:p w:rsidR="00000000" w:rsidDel="00000000" w:rsidP="00000000" w:rsidRDefault="00000000" w:rsidRPr="00000000" w14:paraId="0000003D">
      <w:pPr>
        <w:pStyle w:val="Heading3"/>
        <w:spacing w:after="240" w:line="360" w:lineRule="auto"/>
        <w:rPr/>
      </w:pPr>
      <w:bookmarkStart w:colFirst="0" w:colLast="0" w:name="_heading=h.1fob9te" w:id="2"/>
      <w:bookmarkEnd w:id="2"/>
      <w:r w:rsidDel="00000000" w:rsidR="00000000" w:rsidRPr="00000000">
        <w:rPr>
          <w:rtl w:val="0"/>
        </w:rPr>
        <w:t xml:space="preserve">Control Report of Amana Ltd.</w:t>
      </w:r>
    </w:p>
    <w:p w:rsidR="00000000" w:rsidDel="00000000" w:rsidP="00000000" w:rsidRDefault="00000000" w:rsidRPr="00000000" w14:paraId="0000003E">
      <w:pPr>
        <w:spacing w:after="240" w:line="360" w:lineRule="auto"/>
        <w:rPr>
          <w:b w:val="1"/>
        </w:rPr>
      </w:pPr>
      <w:r w:rsidDel="00000000" w:rsidR="00000000" w:rsidRPr="00000000">
        <w:rPr>
          <w:b w:val="1"/>
          <w:rtl w:val="0"/>
        </w:rPr>
        <w:t xml:space="preserve">Amana Ltd.</w:t>
      </w:r>
    </w:p>
    <w:p w:rsidR="00000000" w:rsidDel="00000000" w:rsidP="00000000" w:rsidRDefault="00000000" w:rsidRPr="00000000" w14:paraId="0000003F">
      <w:pPr>
        <w:spacing w:after="240" w:line="360" w:lineRule="auto"/>
        <w:rPr>
          <w:b w:val="1"/>
        </w:rPr>
      </w:pPr>
      <w:r w:rsidDel="00000000" w:rsidR="00000000" w:rsidRPr="00000000">
        <w:rPr>
          <w:b w:val="1"/>
          <w:rtl w:val="0"/>
        </w:rPr>
        <w:t xml:space="preserve">Control Report of the year 2020</w:t>
      </w:r>
    </w:p>
    <w:tbl>
      <w:tblPr>
        <w:tblStyle w:val="Table1"/>
        <w:tblW w:w="9016.0" w:type="dxa"/>
        <w:jc w:val="left"/>
        <w:tblInd w:w="0.0" w:type="dxa"/>
        <w:tblBorders>
          <w:top w:color="c9c9c9" w:space="0" w:sz="4" w:val="single"/>
          <w:left w:color="c9c9c9" w:space="0" w:sz="4" w:val="single"/>
          <w:bottom w:color="c9c9c9" w:space="0" w:sz="4" w:val="single"/>
          <w:right w:color="c9c9c9" w:space="0" w:sz="4" w:val="single"/>
          <w:insideH w:color="c9c9c9" w:space="0" w:sz="4" w:val="single"/>
          <w:insideV w:color="c9c9c9" w:space="0" w:sz="4" w:val="single"/>
        </w:tblBorders>
        <w:tblLayout w:type="fixed"/>
        <w:tblLook w:val="04A0"/>
      </w:tblPr>
      <w:tblGrid>
        <w:gridCol w:w="2543"/>
        <w:gridCol w:w="1646"/>
        <w:gridCol w:w="1646"/>
        <w:gridCol w:w="1568"/>
        <w:gridCol w:w="1613"/>
        <w:tblGridChange w:id="0">
          <w:tblGrid>
            <w:gridCol w:w="2543"/>
            <w:gridCol w:w="1646"/>
            <w:gridCol w:w="1646"/>
            <w:gridCol w:w="1568"/>
            <w:gridCol w:w="1613"/>
          </w:tblGrid>
        </w:tblGridChange>
      </w:tblGrid>
      <w:tr>
        <w:trPr>
          <w:cantSplit w:val="0"/>
          <w:tblHeader w:val="0"/>
        </w:trPr>
        <w:tc>
          <w:tcPr>
            <w:vAlign w:val="center"/>
          </w:tcPr>
          <w:p w:rsidR="00000000" w:rsidDel="00000000" w:rsidP="00000000" w:rsidRDefault="00000000" w:rsidRPr="00000000" w14:paraId="00000040">
            <w:pPr>
              <w:spacing w:after="240" w:line="360" w:lineRule="auto"/>
              <w:rPr>
                <w:color w:val="000000"/>
              </w:rPr>
            </w:pPr>
            <w:r w:rsidDel="00000000" w:rsidR="00000000" w:rsidRPr="00000000">
              <w:rPr>
                <w:color w:val="000000"/>
                <w:rtl w:val="0"/>
              </w:rPr>
              <w:t xml:space="preserve">Description</w:t>
            </w:r>
          </w:p>
        </w:tc>
        <w:tc>
          <w:tcPr>
            <w:vAlign w:val="center"/>
          </w:tcPr>
          <w:p w:rsidR="00000000" w:rsidDel="00000000" w:rsidP="00000000" w:rsidRDefault="00000000" w:rsidRPr="00000000" w14:paraId="00000041">
            <w:pPr>
              <w:spacing w:after="240" w:line="360" w:lineRule="auto"/>
              <w:rPr>
                <w:color w:val="000000"/>
              </w:rPr>
            </w:pPr>
            <w:r w:rsidDel="00000000" w:rsidR="00000000" w:rsidRPr="00000000">
              <w:rPr>
                <w:color w:val="000000"/>
                <w:rtl w:val="0"/>
              </w:rPr>
              <w:t xml:space="preserve">Actual Budget</w:t>
            </w:r>
          </w:p>
        </w:tc>
        <w:tc>
          <w:tcPr>
            <w:vAlign w:val="center"/>
          </w:tcPr>
          <w:p w:rsidR="00000000" w:rsidDel="00000000" w:rsidP="00000000" w:rsidRDefault="00000000" w:rsidRPr="00000000" w14:paraId="00000042">
            <w:pPr>
              <w:spacing w:after="240" w:line="360" w:lineRule="auto"/>
              <w:rPr>
                <w:color w:val="000000"/>
              </w:rPr>
            </w:pPr>
            <w:r w:rsidDel="00000000" w:rsidR="00000000" w:rsidRPr="00000000">
              <w:rPr>
                <w:color w:val="000000"/>
                <w:rtl w:val="0"/>
              </w:rPr>
              <w:t xml:space="preserve">Flexed Budget</w:t>
            </w:r>
          </w:p>
        </w:tc>
        <w:tc>
          <w:tcPr>
            <w:vAlign w:val="center"/>
          </w:tcPr>
          <w:p w:rsidR="00000000" w:rsidDel="00000000" w:rsidP="00000000" w:rsidRDefault="00000000" w:rsidRPr="00000000" w14:paraId="00000043">
            <w:pPr>
              <w:spacing w:after="240" w:line="360" w:lineRule="auto"/>
              <w:rPr>
                <w:color w:val="000000"/>
              </w:rPr>
            </w:pPr>
            <w:r w:rsidDel="00000000" w:rsidR="00000000" w:rsidRPr="00000000">
              <w:rPr>
                <w:color w:val="000000"/>
                <w:rtl w:val="0"/>
              </w:rPr>
              <w:t xml:space="preserve">Variances</w:t>
            </w:r>
          </w:p>
        </w:tc>
        <w:tc>
          <w:tcPr>
            <w:vAlign w:val="center"/>
          </w:tcPr>
          <w:p w:rsidR="00000000" w:rsidDel="00000000" w:rsidP="00000000" w:rsidRDefault="00000000" w:rsidRPr="00000000" w14:paraId="00000044">
            <w:pPr>
              <w:spacing w:after="240" w:line="360" w:lineRule="auto"/>
              <w:rPr>
                <w:color w:val="000000"/>
              </w:rPr>
            </w:pPr>
            <w:r w:rsidDel="00000000" w:rsidR="00000000" w:rsidRPr="00000000">
              <w:rPr>
                <w:color w:val="000000"/>
                <w:rtl w:val="0"/>
              </w:rPr>
              <w:t xml:space="preserve">Favourable/ Unfavorable</w:t>
            </w:r>
          </w:p>
        </w:tc>
      </w:tr>
      <w:tr>
        <w:trPr>
          <w:cantSplit w:val="0"/>
          <w:tblHeader w:val="0"/>
        </w:trPr>
        <w:tc>
          <w:tcPr>
            <w:vAlign w:val="center"/>
          </w:tcPr>
          <w:p w:rsidR="00000000" w:rsidDel="00000000" w:rsidP="00000000" w:rsidRDefault="00000000" w:rsidRPr="00000000" w14:paraId="00000045">
            <w:pPr>
              <w:spacing w:after="240" w:line="360" w:lineRule="auto"/>
              <w:rPr>
                <w:b w:val="0"/>
                <w:color w:val="000000"/>
              </w:rPr>
            </w:pPr>
            <w:r w:rsidDel="00000000" w:rsidR="00000000" w:rsidRPr="00000000">
              <w:rPr>
                <w:b w:val="0"/>
                <w:color w:val="000000"/>
                <w:rtl w:val="0"/>
              </w:rPr>
              <w:t xml:space="preserve">Production (Units)</w:t>
            </w:r>
          </w:p>
        </w:tc>
        <w:tc>
          <w:tcPr>
            <w:tcBorders>
              <w:top w:color="c9c9c9" w:space="0" w:sz="12" w:val="single"/>
              <w:bottom w:color="000000" w:space="0" w:sz="12" w:val="single"/>
            </w:tcBorders>
            <w:vAlign w:val="center"/>
          </w:tcPr>
          <w:p w:rsidR="00000000" w:rsidDel="00000000" w:rsidP="00000000" w:rsidRDefault="00000000" w:rsidRPr="00000000" w14:paraId="00000046">
            <w:pPr>
              <w:spacing w:after="240" w:line="360" w:lineRule="auto"/>
              <w:rPr>
                <w:color w:val="000000"/>
              </w:rPr>
            </w:pPr>
            <w:r w:rsidDel="00000000" w:rsidR="00000000" w:rsidRPr="00000000">
              <w:rPr>
                <w:color w:val="000000"/>
                <w:rtl w:val="0"/>
              </w:rPr>
              <w:t xml:space="preserve">100,00</w:t>
            </w:r>
          </w:p>
        </w:tc>
        <w:tc>
          <w:tcPr>
            <w:tcBorders>
              <w:top w:color="c9c9c9" w:space="0" w:sz="12" w:val="single"/>
              <w:bottom w:color="000000" w:space="0" w:sz="12" w:val="single"/>
            </w:tcBorders>
            <w:vAlign w:val="center"/>
          </w:tcPr>
          <w:p w:rsidR="00000000" w:rsidDel="00000000" w:rsidP="00000000" w:rsidRDefault="00000000" w:rsidRPr="00000000" w14:paraId="00000047">
            <w:pPr>
              <w:spacing w:after="240" w:line="360" w:lineRule="auto"/>
              <w:rPr>
                <w:color w:val="000000"/>
              </w:rPr>
            </w:pPr>
            <w:r w:rsidDel="00000000" w:rsidR="00000000" w:rsidRPr="00000000">
              <w:rPr>
                <w:color w:val="000000"/>
                <w:rtl w:val="0"/>
              </w:rPr>
              <w:t xml:space="preserve">80,000</w:t>
            </w:r>
          </w:p>
        </w:tc>
        <w:tc>
          <w:tcPr>
            <w:vAlign w:val="center"/>
          </w:tcPr>
          <w:p w:rsidR="00000000" w:rsidDel="00000000" w:rsidP="00000000" w:rsidRDefault="00000000" w:rsidRPr="00000000" w14:paraId="00000048">
            <w:pPr>
              <w:spacing w:after="240" w:line="360" w:lineRule="auto"/>
              <w:rPr>
                <w:color w:val="000000"/>
              </w:rPr>
            </w:pPr>
            <w:r w:rsidDel="00000000" w:rsidR="00000000" w:rsidRPr="00000000">
              <w:rPr>
                <w:rtl w:val="0"/>
              </w:rPr>
            </w:r>
          </w:p>
        </w:tc>
        <w:tc>
          <w:tcPr>
            <w:vAlign w:val="center"/>
          </w:tcPr>
          <w:p w:rsidR="00000000" w:rsidDel="00000000" w:rsidP="00000000" w:rsidRDefault="00000000" w:rsidRPr="00000000" w14:paraId="00000049">
            <w:pPr>
              <w:spacing w:after="240" w:line="360" w:lineRule="auto"/>
              <w:rPr>
                <w:color w:val="000000"/>
              </w:rPr>
            </w:pPr>
            <w:r w:rsidDel="00000000" w:rsidR="00000000" w:rsidRPr="00000000">
              <w:rPr>
                <w:rtl w:val="0"/>
              </w:rPr>
            </w:r>
          </w:p>
        </w:tc>
      </w:tr>
      <w:tr>
        <w:trPr>
          <w:cantSplit w:val="0"/>
          <w:tblHeader w:val="0"/>
        </w:trPr>
        <w:tc>
          <w:tcPr>
            <w:tcBorders>
              <w:bottom w:color="000000" w:space="0" w:sz="4" w:val="single"/>
            </w:tcBorders>
            <w:vAlign w:val="center"/>
          </w:tcPr>
          <w:p w:rsidR="00000000" w:rsidDel="00000000" w:rsidP="00000000" w:rsidRDefault="00000000" w:rsidRPr="00000000" w14:paraId="0000004A">
            <w:pPr>
              <w:spacing w:after="240" w:line="360" w:lineRule="auto"/>
              <w:rPr>
                <w:b w:val="0"/>
                <w:color w:val="000000"/>
              </w:rPr>
            </w:pPr>
            <w:r w:rsidDel="00000000" w:rsidR="00000000" w:rsidRPr="00000000">
              <w:rPr>
                <w:b w:val="0"/>
                <w:color w:val="000000"/>
                <w:rtl w:val="0"/>
              </w:rPr>
              <w:t xml:space="preserve">Sales</w:t>
            </w:r>
          </w:p>
        </w:tc>
        <w:tc>
          <w:tcPr>
            <w:tcBorders>
              <w:top w:color="000000" w:space="0" w:sz="12" w:val="single"/>
              <w:bottom w:color="000000" w:space="0" w:sz="4" w:val="single"/>
            </w:tcBorders>
            <w:vAlign w:val="center"/>
          </w:tcPr>
          <w:p w:rsidR="00000000" w:rsidDel="00000000" w:rsidP="00000000" w:rsidRDefault="00000000" w:rsidRPr="00000000" w14:paraId="0000004B">
            <w:pPr>
              <w:spacing w:after="240" w:line="360" w:lineRule="auto"/>
              <w:rPr>
                <w:color w:val="000000"/>
              </w:rPr>
            </w:pPr>
            <w:r w:rsidDel="00000000" w:rsidR="00000000" w:rsidRPr="00000000">
              <w:rPr>
                <w:color w:val="000000"/>
                <w:rtl w:val="0"/>
              </w:rPr>
              <w:t xml:space="preserve">25,00,000</w:t>
            </w:r>
          </w:p>
        </w:tc>
        <w:tc>
          <w:tcPr>
            <w:tcBorders>
              <w:top w:color="000000" w:space="0" w:sz="12" w:val="single"/>
              <w:bottom w:color="000000" w:space="0" w:sz="4" w:val="single"/>
            </w:tcBorders>
            <w:vAlign w:val="center"/>
          </w:tcPr>
          <w:p w:rsidR="00000000" w:rsidDel="00000000" w:rsidP="00000000" w:rsidRDefault="00000000" w:rsidRPr="00000000" w14:paraId="0000004C">
            <w:pPr>
              <w:spacing w:after="240" w:line="360" w:lineRule="auto"/>
              <w:rPr>
                <w:color w:val="000000"/>
              </w:rPr>
            </w:pPr>
            <w:r w:rsidDel="00000000" w:rsidR="00000000" w:rsidRPr="00000000">
              <w:rPr>
                <w:color w:val="000000"/>
                <w:rtl w:val="0"/>
              </w:rPr>
              <w:t xml:space="preserve">16,00,000</w:t>
            </w:r>
          </w:p>
        </w:tc>
        <w:tc>
          <w:tcPr>
            <w:tcBorders>
              <w:bottom w:color="000000" w:space="0" w:sz="4" w:val="single"/>
            </w:tcBorders>
            <w:vAlign w:val="center"/>
          </w:tcPr>
          <w:p w:rsidR="00000000" w:rsidDel="00000000" w:rsidP="00000000" w:rsidRDefault="00000000" w:rsidRPr="00000000" w14:paraId="0000004D">
            <w:pPr>
              <w:spacing w:after="240" w:line="360" w:lineRule="auto"/>
              <w:rPr>
                <w:color w:val="000000"/>
              </w:rPr>
            </w:pPr>
            <w:r w:rsidDel="00000000" w:rsidR="00000000" w:rsidRPr="00000000">
              <w:rPr>
                <w:color w:val="000000"/>
                <w:rtl w:val="0"/>
              </w:rPr>
              <w:t xml:space="preserve">(900,000)</w:t>
            </w:r>
          </w:p>
        </w:tc>
        <w:tc>
          <w:tcPr>
            <w:tcBorders>
              <w:bottom w:color="000000" w:space="0" w:sz="4" w:val="single"/>
            </w:tcBorders>
            <w:vAlign w:val="center"/>
          </w:tcPr>
          <w:p w:rsidR="00000000" w:rsidDel="00000000" w:rsidP="00000000" w:rsidRDefault="00000000" w:rsidRPr="00000000" w14:paraId="0000004E">
            <w:pPr>
              <w:spacing w:after="240" w:line="360" w:lineRule="auto"/>
              <w:rPr>
                <w:color w:val="000000"/>
              </w:rPr>
            </w:pPr>
            <w:r w:rsidDel="00000000" w:rsidR="00000000" w:rsidRPr="00000000">
              <w:rPr>
                <w:color w:val="000000"/>
                <w:rtl w:val="0"/>
              </w:rPr>
              <w:t xml:space="preserve">Unfavorable</w:t>
            </w:r>
          </w:p>
        </w:tc>
      </w:tr>
      <w:tr>
        <w:trPr>
          <w:cantSplit w:val="0"/>
          <w:tblHeader w:val="0"/>
        </w:trPr>
        <w:tc>
          <w:tcPr>
            <w:tcBorders>
              <w:top w:color="000000" w:space="0" w:sz="4" w:val="single"/>
            </w:tcBorders>
            <w:vAlign w:val="center"/>
          </w:tcPr>
          <w:p w:rsidR="00000000" w:rsidDel="00000000" w:rsidP="00000000" w:rsidRDefault="00000000" w:rsidRPr="00000000" w14:paraId="0000004F">
            <w:pPr>
              <w:spacing w:after="240" w:line="360" w:lineRule="auto"/>
              <w:rPr>
                <w:color w:val="000000"/>
              </w:rPr>
            </w:pPr>
            <w:r w:rsidDel="00000000" w:rsidR="00000000" w:rsidRPr="00000000">
              <w:rPr>
                <w:color w:val="000000"/>
                <w:rtl w:val="0"/>
              </w:rPr>
              <w:t xml:space="preserve">Variable Costs</w:t>
            </w:r>
          </w:p>
        </w:tc>
        <w:tc>
          <w:tcPr>
            <w:tcBorders>
              <w:top w:color="000000" w:space="0" w:sz="4" w:val="single"/>
            </w:tcBorders>
            <w:vAlign w:val="center"/>
          </w:tcPr>
          <w:p w:rsidR="00000000" w:rsidDel="00000000" w:rsidP="00000000" w:rsidRDefault="00000000" w:rsidRPr="00000000" w14:paraId="00000050">
            <w:pPr>
              <w:spacing w:after="240" w:line="360" w:lineRule="auto"/>
              <w:rPr>
                <w:color w:val="000000"/>
              </w:rPr>
            </w:pPr>
            <w:r w:rsidDel="00000000" w:rsidR="00000000" w:rsidRPr="00000000">
              <w:rPr>
                <w:rtl w:val="0"/>
              </w:rPr>
            </w:r>
          </w:p>
        </w:tc>
        <w:tc>
          <w:tcPr>
            <w:tcBorders>
              <w:top w:color="000000" w:space="0" w:sz="4" w:val="single"/>
            </w:tcBorders>
            <w:vAlign w:val="center"/>
          </w:tcPr>
          <w:p w:rsidR="00000000" w:rsidDel="00000000" w:rsidP="00000000" w:rsidRDefault="00000000" w:rsidRPr="00000000" w14:paraId="00000051">
            <w:pPr>
              <w:spacing w:after="240" w:line="360" w:lineRule="auto"/>
              <w:rPr>
                <w:color w:val="000000"/>
              </w:rPr>
            </w:pPr>
            <w:r w:rsidDel="00000000" w:rsidR="00000000" w:rsidRPr="00000000">
              <w:rPr>
                <w:rtl w:val="0"/>
              </w:rPr>
            </w:r>
          </w:p>
        </w:tc>
        <w:tc>
          <w:tcPr>
            <w:tcBorders>
              <w:top w:color="000000" w:space="0" w:sz="4" w:val="single"/>
            </w:tcBorders>
            <w:vAlign w:val="center"/>
          </w:tcPr>
          <w:p w:rsidR="00000000" w:rsidDel="00000000" w:rsidP="00000000" w:rsidRDefault="00000000" w:rsidRPr="00000000" w14:paraId="00000052">
            <w:pPr>
              <w:spacing w:after="240" w:line="360" w:lineRule="auto"/>
              <w:rPr>
                <w:color w:val="000000"/>
              </w:rPr>
            </w:pPr>
            <w:r w:rsidDel="00000000" w:rsidR="00000000" w:rsidRPr="00000000">
              <w:rPr>
                <w:rtl w:val="0"/>
              </w:rPr>
            </w:r>
          </w:p>
        </w:tc>
        <w:tc>
          <w:tcPr>
            <w:tcBorders>
              <w:top w:color="000000" w:space="0" w:sz="4" w:val="single"/>
            </w:tcBorders>
            <w:vAlign w:val="center"/>
          </w:tcPr>
          <w:p w:rsidR="00000000" w:rsidDel="00000000" w:rsidP="00000000" w:rsidRDefault="00000000" w:rsidRPr="00000000" w14:paraId="00000053">
            <w:pPr>
              <w:spacing w:after="240" w:line="360" w:lineRule="auto"/>
              <w:rPr>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4">
            <w:pPr>
              <w:spacing w:after="240" w:line="360" w:lineRule="auto"/>
              <w:rPr>
                <w:b w:val="0"/>
                <w:color w:val="000000"/>
              </w:rPr>
            </w:pPr>
            <w:r w:rsidDel="00000000" w:rsidR="00000000" w:rsidRPr="00000000">
              <w:rPr>
                <w:b w:val="0"/>
                <w:color w:val="000000"/>
                <w:rtl w:val="0"/>
              </w:rPr>
              <w:t xml:space="preserve">Materials</w:t>
            </w:r>
          </w:p>
        </w:tc>
        <w:tc>
          <w:tcPr>
            <w:vAlign w:val="center"/>
          </w:tcPr>
          <w:p w:rsidR="00000000" w:rsidDel="00000000" w:rsidP="00000000" w:rsidRDefault="00000000" w:rsidRPr="00000000" w14:paraId="00000055">
            <w:pPr>
              <w:spacing w:after="240" w:line="360" w:lineRule="auto"/>
              <w:rPr>
                <w:color w:val="000000"/>
              </w:rPr>
            </w:pPr>
            <w:r w:rsidDel="00000000" w:rsidR="00000000" w:rsidRPr="00000000">
              <w:rPr>
                <w:color w:val="000000"/>
                <w:rtl w:val="0"/>
              </w:rPr>
              <w:t xml:space="preserve">250,000</w:t>
            </w:r>
          </w:p>
        </w:tc>
        <w:tc>
          <w:tcPr>
            <w:vAlign w:val="center"/>
          </w:tcPr>
          <w:p w:rsidR="00000000" w:rsidDel="00000000" w:rsidP="00000000" w:rsidRDefault="00000000" w:rsidRPr="00000000" w14:paraId="00000056">
            <w:pPr>
              <w:spacing w:after="240" w:line="360" w:lineRule="auto"/>
              <w:rPr>
                <w:color w:val="000000"/>
              </w:rPr>
            </w:pPr>
            <w:r w:rsidDel="00000000" w:rsidR="00000000" w:rsidRPr="00000000">
              <w:rPr>
                <w:color w:val="000000"/>
                <w:rtl w:val="0"/>
              </w:rPr>
              <w:t xml:space="preserve">280,000</w:t>
            </w:r>
          </w:p>
        </w:tc>
        <w:tc>
          <w:tcPr>
            <w:vAlign w:val="center"/>
          </w:tcPr>
          <w:p w:rsidR="00000000" w:rsidDel="00000000" w:rsidP="00000000" w:rsidRDefault="00000000" w:rsidRPr="00000000" w14:paraId="00000057">
            <w:pPr>
              <w:spacing w:after="240" w:line="360" w:lineRule="auto"/>
              <w:rPr>
                <w:color w:val="000000"/>
              </w:rPr>
            </w:pPr>
            <w:r w:rsidDel="00000000" w:rsidR="00000000" w:rsidRPr="00000000">
              <w:rPr>
                <w:color w:val="000000"/>
                <w:rtl w:val="0"/>
              </w:rPr>
              <w:t xml:space="preserve">(30,000)</w:t>
            </w:r>
          </w:p>
        </w:tc>
        <w:tc>
          <w:tcPr>
            <w:vAlign w:val="center"/>
          </w:tcPr>
          <w:p w:rsidR="00000000" w:rsidDel="00000000" w:rsidP="00000000" w:rsidRDefault="00000000" w:rsidRPr="00000000" w14:paraId="00000058">
            <w:pPr>
              <w:spacing w:after="240" w:line="360" w:lineRule="auto"/>
              <w:rPr>
                <w:color w:val="000000"/>
              </w:rPr>
            </w:pPr>
            <w:r w:rsidDel="00000000" w:rsidR="00000000" w:rsidRPr="00000000">
              <w:rPr>
                <w:color w:val="000000"/>
                <w:rtl w:val="0"/>
              </w:rPr>
              <w:t xml:space="preserve">Unfavourable</w:t>
            </w:r>
          </w:p>
        </w:tc>
      </w:tr>
      <w:tr>
        <w:trPr>
          <w:cantSplit w:val="0"/>
          <w:tblHeader w:val="0"/>
        </w:trPr>
        <w:tc>
          <w:tcPr>
            <w:vAlign w:val="center"/>
          </w:tcPr>
          <w:p w:rsidR="00000000" w:rsidDel="00000000" w:rsidP="00000000" w:rsidRDefault="00000000" w:rsidRPr="00000000" w14:paraId="00000059">
            <w:pPr>
              <w:spacing w:after="240" w:line="360" w:lineRule="auto"/>
              <w:rPr>
                <w:b w:val="0"/>
                <w:color w:val="000000"/>
              </w:rPr>
            </w:pPr>
            <w:r w:rsidDel="00000000" w:rsidR="00000000" w:rsidRPr="00000000">
              <w:rPr>
                <w:b w:val="0"/>
                <w:color w:val="000000"/>
                <w:rtl w:val="0"/>
              </w:rPr>
              <w:t xml:space="preserve">Labour</w:t>
            </w:r>
          </w:p>
        </w:tc>
        <w:tc>
          <w:tcPr>
            <w:vAlign w:val="center"/>
          </w:tcPr>
          <w:p w:rsidR="00000000" w:rsidDel="00000000" w:rsidP="00000000" w:rsidRDefault="00000000" w:rsidRPr="00000000" w14:paraId="0000005A">
            <w:pPr>
              <w:spacing w:after="240" w:line="360" w:lineRule="auto"/>
              <w:rPr>
                <w:color w:val="000000"/>
              </w:rPr>
            </w:pPr>
            <w:r w:rsidDel="00000000" w:rsidR="00000000" w:rsidRPr="00000000">
              <w:rPr>
                <w:color w:val="000000"/>
                <w:rtl w:val="0"/>
              </w:rPr>
              <w:t xml:space="preserve">400,000</w:t>
            </w:r>
          </w:p>
        </w:tc>
        <w:tc>
          <w:tcPr>
            <w:vAlign w:val="center"/>
          </w:tcPr>
          <w:p w:rsidR="00000000" w:rsidDel="00000000" w:rsidP="00000000" w:rsidRDefault="00000000" w:rsidRPr="00000000" w14:paraId="0000005B">
            <w:pPr>
              <w:spacing w:after="240" w:line="360" w:lineRule="auto"/>
              <w:rPr>
                <w:color w:val="000000"/>
              </w:rPr>
            </w:pPr>
            <w:r w:rsidDel="00000000" w:rsidR="00000000" w:rsidRPr="00000000">
              <w:rPr>
                <w:color w:val="000000"/>
                <w:rtl w:val="0"/>
              </w:rPr>
              <w:t xml:space="preserve">440,000</w:t>
            </w:r>
          </w:p>
        </w:tc>
        <w:tc>
          <w:tcPr>
            <w:vAlign w:val="center"/>
          </w:tcPr>
          <w:p w:rsidR="00000000" w:rsidDel="00000000" w:rsidP="00000000" w:rsidRDefault="00000000" w:rsidRPr="00000000" w14:paraId="0000005C">
            <w:pPr>
              <w:spacing w:after="240" w:line="360" w:lineRule="auto"/>
              <w:rPr>
                <w:color w:val="000000"/>
              </w:rPr>
            </w:pPr>
            <w:r w:rsidDel="00000000" w:rsidR="00000000" w:rsidRPr="00000000">
              <w:rPr>
                <w:color w:val="000000"/>
                <w:rtl w:val="0"/>
              </w:rPr>
              <w:t xml:space="preserve">(40,000)</w:t>
            </w:r>
          </w:p>
        </w:tc>
        <w:tc>
          <w:tcPr>
            <w:vAlign w:val="center"/>
          </w:tcPr>
          <w:p w:rsidR="00000000" w:rsidDel="00000000" w:rsidP="00000000" w:rsidRDefault="00000000" w:rsidRPr="00000000" w14:paraId="0000005D">
            <w:pPr>
              <w:spacing w:after="240" w:line="360" w:lineRule="auto"/>
              <w:rPr>
                <w:color w:val="000000"/>
              </w:rPr>
            </w:pPr>
            <w:r w:rsidDel="00000000" w:rsidR="00000000" w:rsidRPr="00000000">
              <w:rPr>
                <w:color w:val="000000"/>
                <w:rtl w:val="0"/>
              </w:rPr>
              <w:t xml:space="preserve">Unfavourable</w:t>
            </w:r>
          </w:p>
        </w:tc>
      </w:tr>
      <w:tr>
        <w:trPr>
          <w:cantSplit w:val="0"/>
          <w:tblHeader w:val="0"/>
        </w:trPr>
        <w:tc>
          <w:tcPr>
            <w:vAlign w:val="center"/>
          </w:tcPr>
          <w:p w:rsidR="00000000" w:rsidDel="00000000" w:rsidP="00000000" w:rsidRDefault="00000000" w:rsidRPr="00000000" w14:paraId="0000005E">
            <w:pPr>
              <w:spacing w:after="240" w:line="360" w:lineRule="auto"/>
              <w:rPr>
                <w:b w:val="0"/>
                <w:color w:val="000000"/>
              </w:rPr>
            </w:pPr>
            <w:r w:rsidDel="00000000" w:rsidR="00000000" w:rsidRPr="00000000">
              <w:rPr>
                <w:b w:val="0"/>
                <w:color w:val="000000"/>
                <w:rtl w:val="0"/>
              </w:rPr>
              <w:t xml:space="preserve">Overhead</w:t>
            </w:r>
          </w:p>
        </w:tc>
        <w:tc>
          <w:tcPr>
            <w:vAlign w:val="center"/>
          </w:tcPr>
          <w:p w:rsidR="00000000" w:rsidDel="00000000" w:rsidP="00000000" w:rsidRDefault="00000000" w:rsidRPr="00000000" w14:paraId="0000005F">
            <w:pPr>
              <w:spacing w:after="240" w:line="360" w:lineRule="auto"/>
              <w:rPr>
                <w:color w:val="000000"/>
              </w:rPr>
            </w:pPr>
            <w:r w:rsidDel="00000000" w:rsidR="00000000" w:rsidRPr="00000000">
              <w:rPr>
                <w:color w:val="000000"/>
                <w:rtl w:val="0"/>
              </w:rPr>
              <w:t xml:space="preserve">150,000</w:t>
            </w:r>
          </w:p>
        </w:tc>
        <w:tc>
          <w:tcPr>
            <w:vAlign w:val="center"/>
          </w:tcPr>
          <w:p w:rsidR="00000000" w:rsidDel="00000000" w:rsidP="00000000" w:rsidRDefault="00000000" w:rsidRPr="00000000" w14:paraId="00000060">
            <w:pPr>
              <w:spacing w:after="240" w:line="360" w:lineRule="auto"/>
              <w:rPr>
                <w:color w:val="000000"/>
              </w:rPr>
            </w:pPr>
            <w:r w:rsidDel="00000000" w:rsidR="00000000" w:rsidRPr="00000000">
              <w:rPr>
                <w:color w:val="000000"/>
                <w:rtl w:val="0"/>
              </w:rPr>
              <w:t xml:space="preserve">120,000</w:t>
            </w:r>
          </w:p>
        </w:tc>
        <w:tc>
          <w:tcPr>
            <w:vAlign w:val="center"/>
          </w:tcPr>
          <w:p w:rsidR="00000000" w:rsidDel="00000000" w:rsidP="00000000" w:rsidRDefault="00000000" w:rsidRPr="00000000" w14:paraId="00000061">
            <w:pPr>
              <w:spacing w:after="240" w:line="360" w:lineRule="auto"/>
              <w:rPr>
                <w:color w:val="000000"/>
              </w:rPr>
            </w:pPr>
            <w:r w:rsidDel="00000000" w:rsidR="00000000" w:rsidRPr="00000000">
              <w:rPr>
                <w:color w:val="000000"/>
                <w:rtl w:val="0"/>
              </w:rPr>
              <w:t xml:space="preserve">30,000</w:t>
            </w:r>
          </w:p>
        </w:tc>
        <w:tc>
          <w:tcPr>
            <w:vAlign w:val="center"/>
          </w:tcPr>
          <w:p w:rsidR="00000000" w:rsidDel="00000000" w:rsidP="00000000" w:rsidRDefault="00000000" w:rsidRPr="00000000" w14:paraId="00000062">
            <w:pPr>
              <w:spacing w:after="240" w:line="360" w:lineRule="auto"/>
              <w:rPr>
                <w:color w:val="000000"/>
              </w:rPr>
            </w:pPr>
            <w:r w:rsidDel="00000000" w:rsidR="00000000" w:rsidRPr="00000000">
              <w:rPr>
                <w:color w:val="000000"/>
                <w:rtl w:val="0"/>
              </w:rPr>
              <w:t xml:space="preserve">Favourable</w:t>
            </w:r>
          </w:p>
        </w:tc>
      </w:tr>
      <w:tr>
        <w:trPr>
          <w:cantSplit w:val="0"/>
          <w:tblHeader w:val="0"/>
        </w:trPr>
        <w:tc>
          <w:tcPr>
            <w:vAlign w:val="center"/>
          </w:tcPr>
          <w:p w:rsidR="00000000" w:rsidDel="00000000" w:rsidP="00000000" w:rsidRDefault="00000000" w:rsidRPr="00000000" w14:paraId="00000063">
            <w:pPr>
              <w:spacing w:after="240" w:line="360" w:lineRule="auto"/>
              <w:rPr>
                <w:b w:val="0"/>
                <w:color w:val="000000"/>
              </w:rPr>
            </w:pPr>
            <w:r w:rsidDel="00000000" w:rsidR="00000000" w:rsidRPr="00000000">
              <w:rPr>
                <w:b w:val="0"/>
                <w:color w:val="000000"/>
                <w:rtl w:val="0"/>
              </w:rPr>
              <w:t xml:space="preserve">Contribution</w:t>
            </w:r>
          </w:p>
        </w:tc>
        <w:tc>
          <w:tcPr>
            <w:vAlign w:val="center"/>
          </w:tcPr>
          <w:p w:rsidR="00000000" w:rsidDel="00000000" w:rsidP="00000000" w:rsidRDefault="00000000" w:rsidRPr="00000000" w14:paraId="00000064">
            <w:pPr>
              <w:spacing w:after="240" w:line="360" w:lineRule="auto"/>
              <w:rPr>
                <w:color w:val="000000"/>
              </w:rPr>
            </w:pPr>
            <w:r w:rsidDel="00000000" w:rsidR="00000000" w:rsidRPr="00000000">
              <w:rPr>
                <w:color w:val="000000"/>
                <w:rtl w:val="0"/>
              </w:rPr>
              <w:t xml:space="preserve">17,00,000</w:t>
            </w:r>
          </w:p>
        </w:tc>
        <w:tc>
          <w:tcPr>
            <w:vAlign w:val="center"/>
          </w:tcPr>
          <w:p w:rsidR="00000000" w:rsidDel="00000000" w:rsidP="00000000" w:rsidRDefault="00000000" w:rsidRPr="00000000" w14:paraId="00000065">
            <w:pPr>
              <w:spacing w:after="240" w:line="360" w:lineRule="auto"/>
              <w:rPr>
                <w:color w:val="000000"/>
              </w:rPr>
            </w:pPr>
            <w:r w:rsidDel="00000000" w:rsidR="00000000" w:rsidRPr="00000000">
              <w:rPr>
                <w:color w:val="000000"/>
                <w:rtl w:val="0"/>
              </w:rPr>
              <w:t xml:space="preserve">760,000</w:t>
            </w:r>
          </w:p>
        </w:tc>
        <w:tc>
          <w:tcPr>
            <w:vAlign w:val="center"/>
          </w:tcPr>
          <w:p w:rsidR="00000000" w:rsidDel="00000000" w:rsidP="00000000" w:rsidRDefault="00000000" w:rsidRPr="00000000" w14:paraId="00000066">
            <w:pPr>
              <w:spacing w:after="240" w:line="360" w:lineRule="auto"/>
              <w:rPr>
                <w:color w:val="000000"/>
              </w:rPr>
            </w:pPr>
            <w:r w:rsidDel="00000000" w:rsidR="00000000" w:rsidRPr="00000000">
              <w:rPr>
                <w:color w:val="000000"/>
                <w:rtl w:val="0"/>
              </w:rPr>
              <w:t xml:space="preserve">940,000</w:t>
            </w:r>
          </w:p>
        </w:tc>
        <w:tc>
          <w:tcPr>
            <w:vAlign w:val="center"/>
          </w:tcPr>
          <w:p w:rsidR="00000000" w:rsidDel="00000000" w:rsidP="00000000" w:rsidRDefault="00000000" w:rsidRPr="00000000" w14:paraId="00000067">
            <w:pPr>
              <w:spacing w:after="240" w:line="360" w:lineRule="auto"/>
              <w:rPr>
                <w:color w:val="000000"/>
              </w:rPr>
            </w:pPr>
            <w:r w:rsidDel="00000000" w:rsidR="00000000" w:rsidRPr="00000000">
              <w:rPr>
                <w:color w:val="000000"/>
                <w:rtl w:val="0"/>
              </w:rPr>
              <w:t xml:space="preserve">Favourable</w:t>
            </w:r>
          </w:p>
        </w:tc>
      </w:tr>
      <w:tr>
        <w:trPr>
          <w:cantSplit w:val="0"/>
          <w:tblHeader w:val="0"/>
        </w:trPr>
        <w:tc>
          <w:tcPr>
            <w:vAlign w:val="center"/>
          </w:tcPr>
          <w:p w:rsidR="00000000" w:rsidDel="00000000" w:rsidP="00000000" w:rsidRDefault="00000000" w:rsidRPr="00000000" w14:paraId="00000068">
            <w:pPr>
              <w:spacing w:after="240" w:line="360" w:lineRule="auto"/>
              <w:rPr>
                <w:color w:val="000000"/>
              </w:rPr>
            </w:pPr>
            <w:r w:rsidDel="00000000" w:rsidR="00000000" w:rsidRPr="00000000">
              <w:rPr>
                <w:color w:val="000000"/>
                <w:rtl w:val="0"/>
              </w:rPr>
              <w:t xml:space="preserve">Fixed Overheads</w:t>
            </w:r>
          </w:p>
        </w:tc>
        <w:tc>
          <w:tcPr>
            <w:vAlign w:val="center"/>
          </w:tcPr>
          <w:p w:rsidR="00000000" w:rsidDel="00000000" w:rsidP="00000000" w:rsidRDefault="00000000" w:rsidRPr="00000000" w14:paraId="00000069">
            <w:pPr>
              <w:spacing w:after="240" w:line="360" w:lineRule="auto"/>
              <w:rPr>
                <w:color w:val="000000"/>
              </w:rPr>
            </w:pPr>
            <w:r w:rsidDel="00000000" w:rsidR="00000000" w:rsidRPr="00000000">
              <w:rPr>
                <w:rtl w:val="0"/>
              </w:rPr>
            </w:r>
          </w:p>
        </w:tc>
        <w:tc>
          <w:tcPr>
            <w:vAlign w:val="center"/>
          </w:tcPr>
          <w:p w:rsidR="00000000" w:rsidDel="00000000" w:rsidP="00000000" w:rsidRDefault="00000000" w:rsidRPr="00000000" w14:paraId="0000006A">
            <w:pPr>
              <w:spacing w:after="240" w:line="360" w:lineRule="auto"/>
              <w:rPr>
                <w:color w:val="000000"/>
              </w:rPr>
            </w:pPr>
            <w:r w:rsidDel="00000000" w:rsidR="00000000" w:rsidRPr="00000000">
              <w:rPr>
                <w:rtl w:val="0"/>
              </w:rPr>
            </w:r>
          </w:p>
        </w:tc>
        <w:tc>
          <w:tcPr>
            <w:vAlign w:val="center"/>
          </w:tcPr>
          <w:p w:rsidR="00000000" w:rsidDel="00000000" w:rsidP="00000000" w:rsidRDefault="00000000" w:rsidRPr="00000000" w14:paraId="0000006B">
            <w:pPr>
              <w:spacing w:after="240" w:line="360" w:lineRule="auto"/>
              <w:rPr>
                <w:color w:val="000000"/>
              </w:rPr>
            </w:pPr>
            <w:r w:rsidDel="00000000" w:rsidR="00000000" w:rsidRPr="00000000">
              <w:rPr>
                <w:rtl w:val="0"/>
              </w:rPr>
            </w:r>
          </w:p>
        </w:tc>
        <w:tc>
          <w:tcPr>
            <w:vAlign w:val="center"/>
          </w:tcPr>
          <w:p w:rsidR="00000000" w:rsidDel="00000000" w:rsidP="00000000" w:rsidRDefault="00000000" w:rsidRPr="00000000" w14:paraId="0000006C">
            <w:pPr>
              <w:spacing w:after="240" w:line="360" w:lineRule="auto"/>
              <w:rPr>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D">
            <w:pPr>
              <w:spacing w:after="240" w:line="360" w:lineRule="auto"/>
              <w:rPr>
                <w:b w:val="0"/>
                <w:color w:val="000000"/>
              </w:rPr>
            </w:pPr>
            <w:bookmarkStart w:colFirst="0" w:colLast="0" w:name="_heading=h.3znysh7" w:id="3"/>
            <w:bookmarkEnd w:id="3"/>
            <w:r w:rsidDel="00000000" w:rsidR="00000000" w:rsidRPr="00000000">
              <w:rPr>
                <w:b w:val="0"/>
                <w:color w:val="000000"/>
                <w:rtl w:val="0"/>
              </w:rPr>
              <w:t xml:space="preserve">Warehouse rental</w:t>
            </w:r>
          </w:p>
        </w:tc>
        <w:tc>
          <w:tcPr>
            <w:vAlign w:val="center"/>
          </w:tcPr>
          <w:p w:rsidR="00000000" w:rsidDel="00000000" w:rsidP="00000000" w:rsidRDefault="00000000" w:rsidRPr="00000000" w14:paraId="0000006E">
            <w:pPr>
              <w:spacing w:after="240" w:line="360" w:lineRule="auto"/>
              <w:rPr>
                <w:color w:val="000000"/>
              </w:rPr>
            </w:pPr>
            <w:r w:rsidDel="00000000" w:rsidR="00000000" w:rsidRPr="00000000">
              <w:rPr>
                <w:color w:val="000000"/>
                <w:rtl w:val="0"/>
              </w:rPr>
              <w:t xml:space="preserve">200,000</w:t>
            </w:r>
          </w:p>
        </w:tc>
        <w:tc>
          <w:tcPr>
            <w:vAlign w:val="center"/>
          </w:tcPr>
          <w:p w:rsidR="00000000" w:rsidDel="00000000" w:rsidP="00000000" w:rsidRDefault="00000000" w:rsidRPr="00000000" w14:paraId="0000006F">
            <w:pPr>
              <w:spacing w:after="240" w:line="360" w:lineRule="auto"/>
              <w:rPr>
                <w:color w:val="000000"/>
              </w:rPr>
            </w:pPr>
            <w:r w:rsidDel="00000000" w:rsidR="00000000" w:rsidRPr="00000000">
              <w:rPr>
                <w:color w:val="000000"/>
                <w:rtl w:val="0"/>
              </w:rPr>
              <w:t xml:space="preserve">170,000</w:t>
            </w:r>
          </w:p>
        </w:tc>
        <w:tc>
          <w:tcPr>
            <w:vAlign w:val="center"/>
          </w:tcPr>
          <w:p w:rsidR="00000000" w:rsidDel="00000000" w:rsidP="00000000" w:rsidRDefault="00000000" w:rsidRPr="00000000" w14:paraId="00000070">
            <w:pPr>
              <w:spacing w:after="240" w:line="360" w:lineRule="auto"/>
              <w:rPr>
                <w:color w:val="000000"/>
              </w:rPr>
            </w:pPr>
            <w:r w:rsidDel="00000000" w:rsidR="00000000" w:rsidRPr="00000000">
              <w:rPr>
                <w:color w:val="000000"/>
                <w:rtl w:val="0"/>
              </w:rPr>
              <w:t xml:space="preserve">30,000</w:t>
            </w:r>
          </w:p>
        </w:tc>
        <w:tc>
          <w:tcPr>
            <w:vAlign w:val="center"/>
          </w:tcPr>
          <w:p w:rsidR="00000000" w:rsidDel="00000000" w:rsidP="00000000" w:rsidRDefault="00000000" w:rsidRPr="00000000" w14:paraId="00000071">
            <w:pPr>
              <w:spacing w:after="240" w:line="360" w:lineRule="auto"/>
              <w:rPr>
                <w:color w:val="000000"/>
              </w:rPr>
            </w:pPr>
            <w:r w:rsidDel="00000000" w:rsidR="00000000" w:rsidRPr="00000000">
              <w:rPr>
                <w:color w:val="000000"/>
                <w:rtl w:val="0"/>
              </w:rPr>
              <w:t xml:space="preserve">Favourable</w:t>
            </w:r>
          </w:p>
        </w:tc>
      </w:tr>
      <w:tr>
        <w:trPr>
          <w:cantSplit w:val="0"/>
          <w:tblHeader w:val="0"/>
        </w:trPr>
        <w:tc>
          <w:tcPr>
            <w:vAlign w:val="center"/>
          </w:tcPr>
          <w:p w:rsidR="00000000" w:rsidDel="00000000" w:rsidP="00000000" w:rsidRDefault="00000000" w:rsidRPr="00000000" w14:paraId="00000072">
            <w:pPr>
              <w:spacing w:after="240" w:line="360" w:lineRule="auto"/>
              <w:rPr>
                <w:b w:val="0"/>
                <w:color w:val="000000"/>
              </w:rPr>
            </w:pPr>
            <w:r w:rsidDel="00000000" w:rsidR="00000000" w:rsidRPr="00000000">
              <w:rPr>
                <w:b w:val="0"/>
                <w:color w:val="000000"/>
                <w:rtl w:val="0"/>
              </w:rPr>
              <w:t xml:space="preserve">Insurance</w:t>
            </w:r>
          </w:p>
        </w:tc>
        <w:tc>
          <w:tcPr>
            <w:vAlign w:val="center"/>
          </w:tcPr>
          <w:p w:rsidR="00000000" w:rsidDel="00000000" w:rsidP="00000000" w:rsidRDefault="00000000" w:rsidRPr="00000000" w14:paraId="00000073">
            <w:pPr>
              <w:spacing w:after="240" w:line="360" w:lineRule="auto"/>
              <w:rPr>
                <w:color w:val="000000"/>
              </w:rPr>
            </w:pPr>
            <w:r w:rsidDel="00000000" w:rsidR="00000000" w:rsidRPr="00000000">
              <w:rPr>
                <w:color w:val="000000"/>
                <w:rtl w:val="0"/>
              </w:rPr>
              <w:t xml:space="preserve">100,000</w:t>
            </w:r>
          </w:p>
        </w:tc>
        <w:tc>
          <w:tcPr>
            <w:vAlign w:val="center"/>
          </w:tcPr>
          <w:p w:rsidR="00000000" w:rsidDel="00000000" w:rsidP="00000000" w:rsidRDefault="00000000" w:rsidRPr="00000000" w14:paraId="00000074">
            <w:pPr>
              <w:spacing w:after="240" w:line="360" w:lineRule="auto"/>
              <w:rPr>
                <w:color w:val="000000"/>
              </w:rPr>
            </w:pPr>
            <w:r w:rsidDel="00000000" w:rsidR="00000000" w:rsidRPr="00000000">
              <w:rPr>
                <w:color w:val="000000"/>
                <w:rtl w:val="0"/>
              </w:rPr>
              <w:t xml:space="preserve">100,000</w:t>
            </w:r>
          </w:p>
        </w:tc>
        <w:tc>
          <w:tcPr>
            <w:vAlign w:val="center"/>
          </w:tcPr>
          <w:p w:rsidR="00000000" w:rsidDel="00000000" w:rsidP="00000000" w:rsidRDefault="00000000" w:rsidRPr="00000000" w14:paraId="00000075">
            <w:pPr>
              <w:spacing w:after="240" w:line="360" w:lineRule="auto"/>
              <w:rPr>
                <w:color w:val="000000"/>
              </w:rPr>
            </w:pPr>
            <w:r w:rsidDel="00000000" w:rsidR="00000000" w:rsidRPr="00000000">
              <w:rPr>
                <w:color w:val="000000"/>
                <w:rtl w:val="0"/>
              </w:rPr>
              <w:t xml:space="preserve">-</w:t>
            </w:r>
          </w:p>
        </w:tc>
        <w:tc>
          <w:tcPr>
            <w:vAlign w:val="center"/>
          </w:tcPr>
          <w:p w:rsidR="00000000" w:rsidDel="00000000" w:rsidP="00000000" w:rsidRDefault="00000000" w:rsidRPr="00000000" w14:paraId="00000076">
            <w:pPr>
              <w:spacing w:after="240" w:line="360" w:lineRule="auto"/>
              <w:rPr>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7">
            <w:pPr>
              <w:spacing w:after="240" w:line="360" w:lineRule="auto"/>
              <w:rPr>
                <w:b w:val="0"/>
                <w:color w:val="000000"/>
              </w:rPr>
            </w:pPr>
            <w:r w:rsidDel="00000000" w:rsidR="00000000" w:rsidRPr="00000000">
              <w:rPr>
                <w:b w:val="0"/>
                <w:color w:val="000000"/>
                <w:rtl w:val="0"/>
              </w:rPr>
              <w:t xml:space="preserve">Fulltime warehouse supervisor’s salary</w:t>
            </w:r>
          </w:p>
        </w:tc>
        <w:tc>
          <w:tcPr>
            <w:vAlign w:val="center"/>
          </w:tcPr>
          <w:p w:rsidR="00000000" w:rsidDel="00000000" w:rsidP="00000000" w:rsidRDefault="00000000" w:rsidRPr="00000000" w14:paraId="00000078">
            <w:pPr>
              <w:spacing w:after="240" w:line="360" w:lineRule="auto"/>
              <w:rPr>
                <w:color w:val="000000"/>
              </w:rPr>
            </w:pPr>
            <w:r w:rsidDel="00000000" w:rsidR="00000000" w:rsidRPr="00000000">
              <w:rPr>
                <w:color w:val="000000"/>
                <w:rtl w:val="0"/>
              </w:rPr>
              <w:t xml:space="preserve">50,000</w:t>
            </w:r>
          </w:p>
        </w:tc>
        <w:tc>
          <w:tcPr>
            <w:vAlign w:val="center"/>
          </w:tcPr>
          <w:p w:rsidR="00000000" w:rsidDel="00000000" w:rsidP="00000000" w:rsidRDefault="00000000" w:rsidRPr="00000000" w14:paraId="00000079">
            <w:pPr>
              <w:spacing w:after="240" w:line="360" w:lineRule="auto"/>
              <w:rPr>
                <w:color w:val="000000"/>
              </w:rPr>
            </w:pPr>
            <w:r w:rsidDel="00000000" w:rsidR="00000000" w:rsidRPr="00000000">
              <w:rPr>
                <w:color w:val="000000"/>
                <w:rtl w:val="0"/>
              </w:rPr>
              <w:t xml:space="preserve">35,000</w:t>
            </w:r>
          </w:p>
        </w:tc>
        <w:tc>
          <w:tcPr>
            <w:vAlign w:val="center"/>
          </w:tcPr>
          <w:p w:rsidR="00000000" w:rsidDel="00000000" w:rsidP="00000000" w:rsidRDefault="00000000" w:rsidRPr="00000000" w14:paraId="0000007A">
            <w:pPr>
              <w:spacing w:after="240" w:line="360" w:lineRule="auto"/>
              <w:rPr>
                <w:color w:val="000000"/>
              </w:rPr>
            </w:pPr>
            <w:r w:rsidDel="00000000" w:rsidR="00000000" w:rsidRPr="00000000">
              <w:rPr>
                <w:color w:val="000000"/>
                <w:rtl w:val="0"/>
              </w:rPr>
              <w:t xml:space="preserve">15,000</w:t>
            </w:r>
          </w:p>
        </w:tc>
        <w:tc>
          <w:tcPr>
            <w:vAlign w:val="center"/>
          </w:tcPr>
          <w:p w:rsidR="00000000" w:rsidDel="00000000" w:rsidP="00000000" w:rsidRDefault="00000000" w:rsidRPr="00000000" w14:paraId="0000007B">
            <w:pPr>
              <w:spacing w:after="240" w:line="360" w:lineRule="auto"/>
              <w:rPr>
                <w:color w:val="000000"/>
              </w:rPr>
            </w:pPr>
            <w:r w:rsidDel="00000000" w:rsidR="00000000" w:rsidRPr="00000000">
              <w:rPr>
                <w:color w:val="000000"/>
                <w:rtl w:val="0"/>
              </w:rPr>
              <w:t xml:space="preserve">Favourable</w:t>
            </w:r>
          </w:p>
        </w:tc>
      </w:tr>
      <w:tr>
        <w:trPr>
          <w:cantSplit w:val="0"/>
          <w:tblHeader w:val="0"/>
        </w:trPr>
        <w:tc>
          <w:tcPr>
            <w:vAlign w:val="center"/>
          </w:tcPr>
          <w:p w:rsidR="00000000" w:rsidDel="00000000" w:rsidP="00000000" w:rsidRDefault="00000000" w:rsidRPr="00000000" w14:paraId="0000007C">
            <w:pPr>
              <w:spacing w:after="240" w:line="360" w:lineRule="auto"/>
              <w:rPr>
                <w:color w:val="000000"/>
              </w:rPr>
            </w:pPr>
            <w:r w:rsidDel="00000000" w:rsidR="00000000" w:rsidRPr="00000000">
              <w:rPr>
                <w:color w:val="000000"/>
                <w:rtl w:val="0"/>
              </w:rPr>
              <w:t xml:space="preserve">Total Overhead</w:t>
            </w:r>
          </w:p>
        </w:tc>
        <w:tc>
          <w:tcPr>
            <w:vAlign w:val="center"/>
          </w:tcPr>
          <w:p w:rsidR="00000000" w:rsidDel="00000000" w:rsidP="00000000" w:rsidRDefault="00000000" w:rsidRPr="00000000" w14:paraId="0000007D">
            <w:pPr>
              <w:spacing w:after="240" w:line="360" w:lineRule="auto"/>
              <w:rPr>
                <w:b w:val="1"/>
                <w:color w:val="000000"/>
              </w:rPr>
            </w:pPr>
            <w:bookmarkStart w:colFirst="0" w:colLast="0" w:name="_heading=h.2et92p0" w:id="4"/>
            <w:bookmarkEnd w:id="4"/>
            <w:r w:rsidDel="00000000" w:rsidR="00000000" w:rsidRPr="00000000">
              <w:rPr>
                <w:b w:val="1"/>
                <w:color w:val="000000"/>
                <w:rtl w:val="0"/>
              </w:rPr>
              <w:t xml:space="preserve">28,50,000</w:t>
            </w:r>
          </w:p>
        </w:tc>
        <w:tc>
          <w:tcPr>
            <w:vAlign w:val="center"/>
          </w:tcPr>
          <w:p w:rsidR="00000000" w:rsidDel="00000000" w:rsidP="00000000" w:rsidRDefault="00000000" w:rsidRPr="00000000" w14:paraId="0000007E">
            <w:pPr>
              <w:spacing w:after="240" w:line="360" w:lineRule="auto"/>
              <w:rPr>
                <w:b w:val="1"/>
                <w:color w:val="000000"/>
              </w:rPr>
            </w:pPr>
            <w:bookmarkStart w:colFirst="0" w:colLast="0" w:name="_heading=h.tyjcwt" w:id="5"/>
            <w:bookmarkEnd w:id="5"/>
            <w:r w:rsidDel="00000000" w:rsidR="00000000" w:rsidRPr="00000000">
              <w:rPr>
                <w:b w:val="1"/>
                <w:color w:val="000000"/>
                <w:rtl w:val="0"/>
              </w:rPr>
              <w:t xml:space="preserve">19,05,000</w:t>
            </w:r>
          </w:p>
        </w:tc>
        <w:tc>
          <w:tcPr>
            <w:vAlign w:val="center"/>
          </w:tcPr>
          <w:p w:rsidR="00000000" w:rsidDel="00000000" w:rsidP="00000000" w:rsidRDefault="00000000" w:rsidRPr="00000000" w14:paraId="0000007F">
            <w:pPr>
              <w:spacing w:after="240" w:line="360" w:lineRule="auto"/>
              <w:rPr>
                <w:b w:val="1"/>
                <w:color w:val="000000"/>
              </w:rPr>
            </w:pPr>
            <w:r w:rsidDel="00000000" w:rsidR="00000000" w:rsidRPr="00000000">
              <w:rPr>
                <w:b w:val="1"/>
                <w:color w:val="000000"/>
                <w:rtl w:val="0"/>
              </w:rPr>
              <w:t xml:space="preserve">945,000</w:t>
            </w:r>
          </w:p>
        </w:tc>
        <w:tc>
          <w:tcPr>
            <w:vAlign w:val="center"/>
          </w:tcPr>
          <w:p w:rsidR="00000000" w:rsidDel="00000000" w:rsidP="00000000" w:rsidRDefault="00000000" w:rsidRPr="00000000" w14:paraId="00000080">
            <w:pPr>
              <w:spacing w:after="240" w:line="360" w:lineRule="auto"/>
              <w:rPr>
                <w:b w:val="1"/>
                <w:color w:val="000000"/>
              </w:rPr>
            </w:pPr>
            <w:r w:rsidDel="00000000" w:rsidR="00000000" w:rsidRPr="00000000">
              <w:rPr>
                <w:b w:val="1"/>
                <w:color w:val="000000"/>
                <w:rtl w:val="0"/>
              </w:rPr>
              <w:t xml:space="preserve">Favourable</w:t>
            </w:r>
          </w:p>
        </w:tc>
      </w:tr>
    </w:tbl>
    <w:p w:rsidR="00000000" w:rsidDel="00000000" w:rsidP="00000000" w:rsidRDefault="00000000" w:rsidRPr="00000000" w14:paraId="00000081">
      <w:pPr>
        <w:spacing w:after="240" w:line="360" w:lineRule="auto"/>
        <w:rPr/>
      </w:pPr>
      <w:r w:rsidDel="00000000" w:rsidR="00000000" w:rsidRPr="00000000">
        <w:rPr>
          <w:rtl w:val="0"/>
        </w:rPr>
      </w:r>
    </w:p>
    <w:p w:rsidR="00000000" w:rsidDel="00000000" w:rsidP="00000000" w:rsidRDefault="00000000" w:rsidRPr="00000000" w14:paraId="00000082">
      <w:pPr>
        <w:spacing w:after="240" w:line="360" w:lineRule="auto"/>
        <w:rPr/>
      </w:pPr>
      <w:r w:rsidDel="00000000" w:rsidR="00000000" w:rsidRPr="00000000">
        <w:rPr>
          <w:rtl w:val="0"/>
        </w:rPr>
        <w:t xml:space="preserve">Control is one of the most important factors in achieving a specific objective and goals in an organization. Management creates control reports to assess and analyze the overall performance of the organization over a specified period to find areas for development and put those improvements into action (Thomas, 2017).</w:t>
      </w:r>
    </w:p>
    <w:p w:rsidR="00000000" w:rsidDel="00000000" w:rsidP="00000000" w:rsidRDefault="00000000" w:rsidRPr="00000000" w14:paraId="00000083">
      <w:pPr>
        <w:spacing w:after="240" w:line="360" w:lineRule="auto"/>
        <w:rPr/>
      </w:pPr>
      <w:r w:rsidDel="00000000" w:rsidR="00000000" w:rsidRPr="00000000">
        <w:rPr>
          <w:rtl w:val="0"/>
        </w:rPr>
        <w:t xml:space="preserve">The control report of Amana Ltd. is showing that Amana Ltd. is in a favorable position as they made a budget of dollars 53,50,000 but the flexed budget came out as the dollars 35,05,000 which indicates that all the costs that have been occurred in the budget.  </w:t>
      </w:r>
    </w:p>
    <w:p w:rsidR="00000000" w:rsidDel="00000000" w:rsidP="00000000" w:rsidRDefault="00000000" w:rsidRPr="00000000" w14:paraId="00000084">
      <w:pPr>
        <w:pStyle w:val="Heading3"/>
        <w:spacing w:after="240" w:line="360" w:lineRule="auto"/>
        <w:rPr/>
      </w:pPr>
      <w:bookmarkStart w:colFirst="0" w:colLast="0" w:name="_heading=h.3dy6vkm" w:id="6"/>
      <w:bookmarkEnd w:id="6"/>
      <w:r w:rsidDel="00000000" w:rsidR="00000000" w:rsidRPr="00000000">
        <w:rPr>
          <w:rtl w:val="0"/>
        </w:rPr>
        <w:t xml:space="preserve">Performance Report</w:t>
      </w:r>
    </w:p>
    <w:p w:rsidR="00000000" w:rsidDel="00000000" w:rsidP="00000000" w:rsidRDefault="00000000" w:rsidRPr="00000000" w14:paraId="00000085">
      <w:pPr>
        <w:spacing w:after="240" w:line="360" w:lineRule="auto"/>
        <w:rPr/>
      </w:pPr>
      <w:r w:rsidDel="00000000" w:rsidR="00000000" w:rsidRPr="00000000">
        <w:rPr>
          <w:rtl w:val="0"/>
        </w:rPr>
        <w:t xml:space="preserve">A performance report refers to a document that describes the achievements of a project or work. A report of this kind comprises a comparison of the actual outcomes of a target or budget. Such a report also includes a description that discusses the difference between the two values involved. When an unfavorable variance is found in a performance report, the person who received the report is supposed to take measures. The benchmark, from which variations are determined, is an important component of a performance evaluation. The validity of any results that are generated from the benchmark will be questioned if the benchmark is deemed unreasonable (Van, 2016).</w:t>
      </w:r>
    </w:p>
    <w:p w:rsidR="00000000" w:rsidDel="00000000" w:rsidP="00000000" w:rsidRDefault="00000000" w:rsidRPr="00000000" w14:paraId="00000086">
      <w:pPr>
        <w:spacing w:after="240" w:line="360" w:lineRule="auto"/>
        <w:rPr/>
      </w:pPr>
      <w:r w:rsidDel="00000000" w:rsidR="00000000" w:rsidRPr="00000000">
        <w:rPr>
          <w:rtl w:val="0"/>
        </w:rPr>
        <w:t xml:space="preserve">Not only will a very well-documented and evaluated performance report serve to monitor the performance of the company, but it will also help to determine the areas in need of improvement and aid in the decision-making procedure in its entire context.</w:t>
      </w:r>
    </w:p>
    <w:p w:rsidR="00000000" w:rsidDel="00000000" w:rsidP="00000000" w:rsidRDefault="00000000" w:rsidRPr="00000000" w14:paraId="00000087">
      <w:pPr>
        <w:spacing w:after="240" w:line="360" w:lineRule="auto"/>
        <w:rPr/>
      </w:pPr>
      <w:r w:rsidDel="00000000" w:rsidR="00000000" w:rsidRPr="00000000">
        <w:rPr>
          <w:rtl w:val="0"/>
        </w:rPr>
        <w:t xml:space="preserve">Even though performance reports differ from one firm to another, they all have the same basic parts of data and information processing in common. These are some examples:</w:t>
      </w:r>
    </w:p>
    <w:p w:rsidR="00000000" w:rsidDel="00000000" w:rsidP="00000000" w:rsidRDefault="00000000" w:rsidRPr="00000000" w14:paraId="00000088">
      <w:pPr>
        <w:spacing w:after="240" w:line="360" w:lineRule="auto"/>
        <w:rPr/>
      </w:pPr>
      <w:r w:rsidDel="00000000" w:rsidR="00000000" w:rsidRPr="00000000">
        <w:rPr>
          <w:rtl w:val="0"/>
        </w:rPr>
        <w:t xml:space="preserve">The objectives and goals of a corporation are outlined in its mission statement. For example,</w:t>
      </w:r>
    </w:p>
    <w:p w:rsidR="00000000" w:rsidDel="00000000" w:rsidP="00000000" w:rsidRDefault="00000000" w:rsidRPr="00000000" w14:paraId="00000089">
      <w:pPr>
        <w:spacing w:after="240" w:line="360" w:lineRule="auto"/>
        <w:rPr/>
      </w:pPr>
      <w:r w:rsidDel="00000000" w:rsidR="00000000" w:rsidRPr="00000000">
        <w:rPr>
          <w:rtl w:val="0"/>
        </w:rPr>
        <w:t xml:space="preserve">The goal for another 5 to 10 years is as follows:</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most important key performance indicators (KPI)</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frequency with which key performance indicators (KPIs) are measured</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data collection point for the information that will be utilized for monitoring and billing</w:t>
      </w:r>
    </w:p>
    <w:p w:rsidR="00000000" w:rsidDel="00000000" w:rsidP="00000000" w:rsidRDefault="00000000" w:rsidRPr="00000000" w14:paraId="0000008D">
      <w:pPr>
        <w:spacing w:after="240" w:line="360" w:lineRule="auto"/>
        <w:rPr>
          <w:b w:val="1"/>
        </w:rPr>
      </w:pPr>
      <w:r w:rsidDel="00000000" w:rsidR="00000000" w:rsidRPr="00000000">
        <w:rPr>
          <w:b w:val="1"/>
          <w:rtl w:val="0"/>
        </w:rPr>
        <w:t xml:space="preserve">The performance report of Amana Ltd.:</w:t>
      </w:r>
    </w:p>
    <w:p w:rsidR="00000000" w:rsidDel="00000000" w:rsidP="00000000" w:rsidRDefault="00000000" w:rsidRPr="00000000" w14:paraId="0000008E">
      <w:pPr>
        <w:spacing w:after="240" w:line="360" w:lineRule="auto"/>
        <w:rPr/>
      </w:pPr>
      <w:r w:rsidDel="00000000" w:rsidR="00000000" w:rsidRPr="00000000">
        <w:rPr>
          <w:rtl w:val="0"/>
        </w:rPr>
        <w:t xml:space="preserve">The total performance of Amana Ltd. is fairly acceptable since they were able to complete their entire 2020 operation within the allocated budget. According to the control report, Amana Ltd.'s actual budget for 2020 was $53,50,000, indicating that they intended to complete all of their activities with the sum of $53,50,000. However, an evaluation conducted at the end of the year 2020 revealed that they only required $35,05,000 to run their entire business within the year 2020. This signifies that the situation is positive (Mass, 2016). </w:t>
      </w:r>
    </w:p>
    <w:p w:rsidR="00000000" w:rsidDel="00000000" w:rsidP="00000000" w:rsidRDefault="00000000" w:rsidRPr="00000000" w14:paraId="0000008F">
      <w:pPr>
        <w:spacing w:after="240" w:line="360" w:lineRule="auto"/>
        <w:rPr>
          <w:color w:val="000000"/>
        </w:rPr>
      </w:pPr>
      <w:r w:rsidDel="00000000" w:rsidR="00000000" w:rsidRPr="00000000">
        <w:rPr>
          <w:rtl w:val="0"/>
        </w:rPr>
        <w:t xml:space="preserve">In-depth analysis will show that the sales were not up to the mark. Amana Ltd. set a target to sell 100,000 units of products with a per-unit price of $25 which will generate a revenue of $</w:t>
      </w:r>
      <w:r w:rsidDel="00000000" w:rsidR="00000000" w:rsidRPr="00000000">
        <w:rPr>
          <w:color w:val="000000"/>
          <w:rtl w:val="0"/>
        </w:rPr>
        <w:t xml:space="preserve">25,00,000 but this was not the actual scenario of the sales of Amana Ltd. in the year 2020. In 2020, Amana Ltd. sold 80,000 units of products with a per-unit price of $20 which has generated a revenue of $16,00,000 which is less than the actual budget. Sales are the main source of generating profit. One of the main goals of a budget is to achieve the sales target and in the year 2020, Amana Ltd. failed to achieve the goal which is not a favorable situation.</w:t>
      </w:r>
    </w:p>
    <w:p w:rsidR="00000000" w:rsidDel="00000000" w:rsidP="00000000" w:rsidRDefault="00000000" w:rsidRPr="00000000" w14:paraId="00000090">
      <w:pPr>
        <w:spacing w:after="240" w:line="360" w:lineRule="auto"/>
        <w:rPr>
          <w:color w:val="000000"/>
        </w:rPr>
      </w:pPr>
      <w:r w:rsidDel="00000000" w:rsidR="00000000" w:rsidRPr="00000000">
        <w:rPr>
          <w:color w:val="000000"/>
          <w:rtl w:val="0"/>
        </w:rPr>
        <w:t xml:space="preserve">The cost portion, on the other hand, has some room for improvement as well. Along with a reduced level of sales, the cost of materials and labor exceeded the actual budget. For example, Amana Ltd. expected to spend $250,000 on materials in 2020, but the real cost of materials for Amana Ltd. was $280,000 in the same year. The same can be said for labor costs. For example, Amana Ltd. expected to spend $400,000 on materials in the year 2020, but the company spent $440,000 on supplies in the same year. This overspending will eventually affect the selling price, and the profit margin will be reduced even further (Pike, 2009).</w:t>
      </w:r>
    </w:p>
    <w:p w:rsidR="00000000" w:rsidDel="00000000" w:rsidP="00000000" w:rsidRDefault="00000000" w:rsidRPr="00000000" w14:paraId="00000091">
      <w:pPr>
        <w:spacing w:after="240" w:line="360" w:lineRule="auto"/>
        <w:rPr>
          <w:color w:val="000000"/>
        </w:rPr>
      </w:pPr>
      <w:r w:rsidDel="00000000" w:rsidR="00000000" w:rsidRPr="00000000">
        <w:rPr>
          <w:color w:val="000000"/>
          <w:rtl w:val="0"/>
        </w:rPr>
        <w:t xml:space="preserve">As well to its performance in the aforementioned areas of overhead costs and contribution costs, the Amana Ltd. also had some very impressive results in the other areas of the business, such as some fixed costs, such as warehouse rental costs, insurance costs, and the salary of a full-time warehouse supervisor. All of these costs were within budget, and Amana Ltd. handled these costs with professionalism during the fiscal year 2020.</w:t>
      </w:r>
    </w:p>
    <w:p w:rsidR="00000000" w:rsidDel="00000000" w:rsidP="00000000" w:rsidRDefault="00000000" w:rsidRPr="00000000" w14:paraId="00000092">
      <w:pPr>
        <w:pStyle w:val="Heading3"/>
        <w:spacing w:after="240" w:line="360" w:lineRule="auto"/>
        <w:rPr/>
      </w:pPr>
      <w:bookmarkStart w:colFirst="0" w:colLast="0" w:name="_heading=h.1t3h5sf" w:id="7"/>
      <w:bookmarkEnd w:id="7"/>
      <w:r w:rsidDel="00000000" w:rsidR="00000000" w:rsidRPr="00000000">
        <w:rPr>
          <w:rtl w:val="0"/>
        </w:rPr>
        <w:t xml:space="preserve">Recommendations</w:t>
      </w:r>
    </w:p>
    <w:p w:rsidR="00000000" w:rsidDel="00000000" w:rsidP="00000000" w:rsidRDefault="00000000" w:rsidRPr="00000000" w14:paraId="00000093">
      <w:pPr>
        <w:spacing w:after="240" w:line="360" w:lineRule="auto"/>
        <w:rPr/>
      </w:pPr>
      <w:r w:rsidDel="00000000" w:rsidR="00000000" w:rsidRPr="00000000">
        <w:rPr>
          <w:rtl w:val="0"/>
        </w:rPr>
        <w:t xml:space="preserve">Referring back to the performance report of Amana Ltd., one can be quite certain that the company finished its operations in 2020 within the $53,50,000 budget that was set aside for them. Their actual spending that year was $35,05,000, which gave them a great deal more wiggle room with which to work. Always having money on hand at the end of the year will ultimately benefit the firm in the event of an emergency or allow it to start the following year on the right foot. If they can keep inside their budget consistently, the company's financial status should remain stable (Burke, 2009).</w:t>
      </w:r>
    </w:p>
    <w:p w:rsidR="00000000" w:rsidDel="00000000" w:rsidP="00000000" w:rsidRDefault="00000000" w:rsidRPr="00000000" w14:paraId="00000094">
      <w:pPr>
        <w:spacing w:after="240" w:line="360" w:lineRule="auto"/>
        <w:rPr/>
      </w:pPr>
      <w:r w:rsidDel="00000000" w:rsidR="00000000" w:rsidRPr="00000000">
        <w:rPr>
          <w:rtl w:val="0"/>
        </w:rPr>
        <w:t xml:space="preserve">Amana Ltd., on the other hand, must achieve its target sales at the target per-unit price to be profitable. Amana Ltd. must grow both the number of units sold and the price at which they are sold; otherwise, the entire firm would gradually incur losses, which may eventually result in its liquidation. Amana Ltd. must first reduce its expenditure budget as well as its labor costs to accomplish this. They had planned to spend $250,000 on supplies in 2020, but they ended up paying $280,000, which is $30,000 more than they had anticipated. On the other hand, their labor costs were originally estimated to be $400,000, but they ended up spending $440,000 on labor, which was $40,000 more than they had planned to spend and $40,000 more than they had anticipated. As a result, they have already spent $70,000 more in 2020 than they had originally budgeted for. To avoid long-term financial consequences, it is recommended that the corporation reduce labor and material expenditures while maintaining the target budget set forth earlier in the year (Schmidle, 2011).</w:t>
      </w:r>
    </w:p>
    <w:p w:rsidR="00000000" w:rsidDel="00000000" w:rsidP="00000000" w:rsidRDefault="00000000" w:rsidRPr="00000000" w14:paraId="00000095">
      <w:pPr>
        <w:spacing w:after="240" w:line="360" w:lineRule="auto"/>
        <w:rPr/>
      </w:pPr>
      <w:r w:rsidDel="00000000" w:rsidR="00000000" w:rsidRPr="00000000">
        <w:rPr>
          <w:rtl w:val="0"/>
        </w:rPr>
        <w:t xml:space="preserve">Now assuming that they can follow their budget and not exceed it, Amana Ltd. can now focus on matching their target sales and target per unit price. Lowering the labor cost and material cost and matching it with the budget or trying to go even lower than the budget is the best thing to do because that gives the company leeway to increase the price of the units and also sell more units. In 2020, Amana Ltd. targeted they wanted to sell 100,000 units of products with a $25 per unit price, which was supposed to generate a revenue of $25,00,000. But the actual sales figures for Amana Ltd. were nowhere close to this. They only 80,000 units which is 20,000 units less than what they had planned for and they sold those for $20 per unit which is 5$ less than their target. They ultimately generated only $16,00,000 which is much less than their actual plan. So, they failed to achieve their goal of $900,000. This is a huge loss and part of the reason why they could not achieve this is because of their exceeding amount of materials cost and labor cost. So, to ultimately fix this issue, they will have to first reduce the cost of labor and materials and match their target budget first. Then they can increase the price per unit and also sell more units which will help them achieve their target sales. </w:t>
      </w:r>
    </w:p>
    <w:p w:rsidR="00000000" w:rsidDel="00000000" w:rsidP="00000000" w:rsidRDefault="00000000" w:rsidRPr="00000000" w14:paraId="00000096">
      <w:pPr>
        <w:pStyle w:val="Heading2"/>
        <w:spacing w:after="240" w:line="360" w:lineRule="auto"/>
        <w:jc w:val="both"/>
        <w:rPr/>
      </w:pPr>
      <w:bookmarkStart w:colFirst="0" w:colLast="0" w:name="_heading=h.4d34og8" w:id="8"/>
      <w:bookmarkEnd w:id="8"/>
      <w:r w:rsidDel="00000000" w:rsidR="00000000" w:rsidRPr="00000000">
        <w:rPr>
          <w:rtl w:val="0"/>
        </w:rPr>
        <w:t xml:space="preserve">Part B</w:t>
      </w:r>
    </w:p>
    <w:p w:rsidR="00000000" w:rsidDel="00000000" w:rsidP="00000000" w:rsidRDefault="00000000" w:rsidRPr="00000000" w14:paraId="00000097">
      <w:pPr>
        <w:spacing w:after="240" w:before="240" w:line="360" w:lineRule="auto"/>
        <w:rPr/>
      </w:pPr>
      <w:r w:rsidDel="00000000" w:rsidR="00000000" w:rsidRPr="00000000">
        <w:rPr>
          <w:rtl w:val="0"/>
        </w:rPr>
        <w:t xml:space="preserve">On the Internet, there are over 110,000 e-commerce businesses and online businesses that generate significant income on a huge scale. Commercial e-commerce sales in the United Kingdom alone are likely to reach over $461 billion this year... and are anticipated to achieve $638 billion by 2022, according to forecasts. Ecommerce plays a very important role in global business and commerce as it does in domestic trade and industry. The total value of international e-commerce revenues is anticipated to rise by $4.5 trillion by 2021, with hundreds or even thousands of new online enterprises potentially opening up (Ozer, 2012).</w:t>
      </w:r>
    </w:p>
    <w:p w:rsidR="00000000" w:rsidDel="00000000" w:rsidP="00000000" w:rsidRDefault="00000000" w:rsidRPr="00000000" w14:paraId="00000098">
      <w:pPr>
        <w:spacing w:after="240" w:before="240" w:line="360" w:lineRule="auto"/>
        <w:rPr/>
      </w:pPr>
      <w:r w:rsidDel="00000000" w:rsidR="00000000" w:rsidRPr="00000000">
        <w:rPr>
          <w:rtl w:val="0"/>
        </w:rPr>
        <w:t xml:space="preserve">Recently, Amana determined that she would like to do half of her business online. Several thousand customers from nine developing and industrialized nations participated in a poll that found that the COVID-19 epidemic had an irreversible impact on their online purchase habits. The survey found that more than half of those polled indicated they make more purchases of products and services online than they did in the previous year. When it comes to going online, Amana has two alternatives. She has two options for selling her products: she can sell them directly from her website or she can sell them with the help of the retailing behemoth Amazon. Instead of selling on Amazon, Amana may try selling on her website. This report contains the reasons that were used to make the decision. </w:t>
      </w:r>
    </w:p>
    <w:p w:rsidR="00000000" w:rsidDel="00000000" w:rsidP="00000000" w:rsidRDefault="00000000" w:rsidRPr="00000000" w14:paraId="00000099">
      <w:pPr>
        <w:pStyle w:val="Heading2"/>
        <w:spacing w:after="240" w:line="360" w:lineRule="auto"/>
        <w:jc w:val="both"/>
        <w:rPr/>
      </w:pPr>
      <w:bookmarkStart w:colFirst="0" w:colLast="0" w:name="_heading=h.2s8eyo1" w:id="9"/>
      <w:bookmarkEnd w:id="9"/>
      <w:r w:rsidDel="00000000" w:rsidR="00000000" w:rsidRPr="00000000">
        <w:rPr>
          <w:rtl w:val="0"/>
        </w:rPr>
        <w:t xml:space="preserve">Cost of Online shop</w:t>
      </w:r>
    </w:p>
    <w:p w:rsidR="00000000" w:rsidDel="00000000" w:rsidP="00000000" w:rsidRDefault="00000000" w:rsidRPr="00000000" w14:paraId="0000009A">
      <w:pPr>
        <w:spacing w:after="240" w:before="240" w:line="360" w:lineRule="auto"/>
        <w:rPr/>
      </w:pPr>
      <w:r w:rsidDel="00000000" w:rsidR="00000000" w:rsidRPr="00000000">
        <w:rPr>
          <w:rtl w:val="0"/>
        </w:rPr>
        <w:t xml:space="preserve">Online shopping represents the purchasing of services or products using the Internet. It revolves around the activities or processes including appearing online, exploring the websites of sellers, picking desired products, and arranging delivery of the selected items with proper transportation (Gaudel, 2019).</w:t>
      </w:r>
    </w:p>
    <w:p w:rsidR="00000000" w:rsidDel="00000000" w:rsidP="00000000" w:rsidRDefault="00000000" w:rsidRPr="00000000" w14:paraId="0000009B">
      <w:pPr>
        <w:spacing w:after="240" w:before="240" w:line="360" w:lineRule="auto"/>
        <w:rPr/>
      </w:pPr>
      <w:r w:rsidDel="00000000" w:rsidR="00000000" w:rsidRPr="00000000">
        <w:rPr>
          <w:rtl w:val="0"/>
        </w:rPr>
        <w:t xml:space="preserve">The cost of online shopping refers to the initial costs that are to occur for Amana. The costs are mostly one-time costs for starting and fixed costs for the online website. </w:t>
      </w:r>
    </w:p>
    <w:p w:rsidR="00000000" w:rsidDel="00000000" w:rsidP="00000000" w:rsidRDefault="00000000" w:rsidRPr="00000000" w14:paraId="0000009C">
      <w:pPr>
        <w:spacing w:after="240" w:before="240" w:line="360" w:lineRule="auto"/>
        <w:rPr/>
      </w:pPr>
      <w:r w:rsidDel="00000000" w:rsidR="00000000" w:rsidRPr="00000000">
        <w:rPr>
          <w:b w:val="1"/>
          <w:rtl w:val="0"/>
        </w:rPr>
        <w:t xml:space="preserve">Delivery network cost:</w:t>
      </w:r>
      <w:r w:rsidDel="00000000" w:rsidR="00000000" w:rsidRPr="00000000">
        <w:rPr>
          <w:rtl w:val="0"/>
        </w:rPr>
        <w:t xml:space="preserve"> The delivery network setup expenses are the charges that will be incurred when a company has decided on its online store design and functionality. Because Amana services consumers throughout the United Kingdom, Europe, and the United States, the delivery network is critical to her success. The cost of establishing the network would be £150,000, which is a significant sum of money. Because the network is global, the initial investment is more expensive. </w:t>
      </w:r>
    </w:p>
    <w:p w:rsidR="00000000" w:rsidDel="00000000" w:rsidP="00000000" w:rsidRDefault="00000000" w:rsidRPr="00000000" w14:paraId="0000009D">
      <w:pPr>
        <w:spacing w:after="240" w:before="240" w:line="360" w:lineRule="auto"/>
        <w:rPr/>
      </w:pPr>
      <w:r w:rsidDel="00000000" w:rsidR="00000000" w:rsidRPr="00000000">
        <w:rPr>
          <w:b w:val="1"/>
          <w:rtl w:val="0"/>
        </w:rPr>
        <w:t xml:space="preserve">Cost of Website Development:</w:t>
      </w:r>
      <w:r w:rsidDel="00000000" w:rsidR="00000000" w:rsidRPr="00000000">
        <w:rPr>
          <w:rtl w:val="0"/>
        </w:rPr>
        <w:t xml:space="preserve"> Website development is the expense that will be incurred to ensure that the company's website is capable of handling the volume of traffic that is projected to be generated by it. The development of a website will cost £50,000 in total. The cost is one-time, and the corporation will not be required to incur this expense again in the foreseeable future. </w:t>
      </w:r>
    </w:p>
    <w:p w:rsidR="00000000" w:rsidDel="00000000" w:rsidP="00000000" w:rsidRDefault="00000000" w:rsidRPr="00000000" w14:paraId="0000009E">
      <w:pPr>
        <w:spacing w:after="240" w:before="240" w:line="360" w:lineRule="auto"/>
        <w:rPr/>
      </w:pPr>
      <w:r w:rsidDel="00000000" w:rsidR="00000000" w:rsidRPr="00000000">
        <w:rPr>
          <w:b w:val="1"/>
          <w:rtl w:val="0"/>
        </w:rPr>
        <w:t xml:space="preserve">Salary of IT programmer:</w:t>
      </w:r>
      <w:r w:rsidDel="00000000" w:rsidR="00000000" w:rsidRPr="00000000">
        <w:rPr>
          <w:rtl w:val="0"/>
        </w:rPr>
        <w:t xml:space="preserve"> When the website is live, one of the most ongoing costs will be the IT programmer, who will be one of the most visible costs. As a result of the employee's compensation package, the website's upkeep would be carried out as efficiently as possible. The salary is £35,000 per annum, which is considered to be a low salary (Kämäräinen, 2010).  </w:t>
      </w:r>
    </w:p>
    <w:p w:rsidR="00000000" w:rsidDel="00000000" w:rsidP="00000000" w:rsidRDefault="00000000" w:rsidRPr="00000000" w14:paraId="0000009F">
      <w:pPr>
        <w:spacing w:after="240" w:before="240" w:line="360" w:lineRule="auto"/>
        <w:rPr/>
      </w:pPr>
      <w:r w:rsidDel="00000000" w:rsidR="00000000" w:rsidRPr="00000000">
        <w:rPr>
          <w:b w:val="1"/>
          <w:rtl w:val="0"/>
        </w:rPr>
        <w:t xml:space="preserve">Expected Sales:</w:t>
      </w:r>
      <w:r w:rsidDel="00000000" w:rsidR="00000000" w:rsidRPr="00000000">
        <w:rPr>
          <w:rtl w:val="0"/>
        </w:rPr>
        <w:t xml:space="preserve"> The sales expected from the online shop for Amana are guaranteed 100,000 units. The sales are high and with proper advertising, the sales would increase. </w:t>
      </w:r>
    </w:p>
    <w:p w:rsidR="00000000" w:rsidDel="00000000" w:rsidP="00000000" w:rsidRDefault="00000000" w:rsidRPr="00000000" w14:paraId="000000A0">
      <w:pPr>
        <w:pStyle w:val="Heading2"/>
        <w:spacing w:after="240" w:line="360" w:lineRule="auto"/>
        <w:jc w:val="both"/>
        <w:rPr/>
      </w:pPr>
      <w:bookmarkStart w:colFirst="0" w:colLast="0" w:name="_heading=h.17dp8vu" w:id="10"/>
      <w:bookmarkEnd w:id="10"/>
      <w:r w:rsidDel="00000000" w:rsidR="00000000" w:rsidRPr="00000000">
        <w:rPr>
          <w:rtl w:val="0"/>
        </w:rPr>
        <w:t xml:space="preserve">Cost for Amazon Sales</w:t>
      </w:r>
    </w:p>
    <w:p w:rsidR="00000000" w:rsidDel="00000000" w:rsidP="00000000" w:rsidRDefault="00000000" w:rsidRPr="00000000" w14:paraId="000000A1">
      <w:pPr>
        <w:spacing w:after="240" w:before="240" w:line="360" w:lineRule="auto"/>
        <w:rPr/>
      </w:pPr>
      <w:r w:rsidDel="00000000" w:rsidR="00000000" w:rsidRPr="00000000">
        <w:rPr>
          <w:rtl w:val="0"/>
        </w:rPr>
        <w:t xml:space="preserve">As an Internet-based merchant, Amazon.com sells a wide range of products, including ebooks, movies and music; appliances; gadgets; games; and a variety of other items, either straight to the customer or as an intermediary between all the other shops and Amazon.com's millions of users. One of the company's Web services businesses is the rental of data communication and processing capabilities over the Internet, a practice known as "cloud computing." Amazon.com has such a significant online presence that, in 2017, one percent of all Internet activity in the United Kingdom passed through or out of Amazon.com computer servers (Wells, 2018).</w:t>
      </w:r>
    </w:p>
    <w:p w:rsidR="00000000" w:rsidDel="00000000" w:rsidP="00000000" w:rsidRDefault="00000000" w:rsidRPr="00000000" w14:paraId="000000A2">
      <w:pPr>
        <w:spacing w:after="240" w:before="240" w:line="360" w:lineRule="auto"/>
        <w:rPr/>
      </w:pPr>
      <w:r w:rsidDel="00000000" w:rsidR="00000000" w:rsidRPr="00000000">
        <w:rPr>
          <w:rtl w:val="0"/>
        </w:rPr>
        <w:t xml:space="preserve">The cost of Amazon sales is the cost that will incur if Amana is planning to sell her products on Amazon’s platform. </w:t>
      </w:r>
    </w:p>
    <w:p w:rsidR="00000000" w:rsidDel="00000000" w:rsidP="00000000" w:rsidRDefault="00000000" w:rsidRPr="00000000" w14:paraId="000000A3">
      <w:pPr>
        <w:spacing w:after="240" w:before="240" w:line="360" w:lineRule="auto"/>
        <w:rPr/>
      </w:pPr>
      <w:r w:rsidDel="00000000" w:rsidR="00000000" w:rsidRPr="00000000">
        <w:rPr>
          <w:b w:val="1"/>
          <w:rtl w:val="0"/>
        </w:rPr>
        <w:t xml:space="preserve">Amazon fulfillment fees:</w:t>
      </w:r>
      <w:r w:rsidDel="00000000" w:rsidR="00000000" w:rsidRPr="00000000">
        <w:rPr>
          <w:rtl w:val="0"/>
        </w:rPr>
        <w:t xml:space="preserve"> The inclusion of the products on Amazon is subject to a fee charged by the company. The Amazon fees are £50,000, which means that Amana will not be able to guarantee any sales. Even though the fees are very cheap, they serve a very limited role for the corporation. </w:t>
      </w:r>
    </w:p>
    <w:p w:rsidR="00000000" w:rsidDel="00000000" w:rsidP="00000000" w:rsidRDefault="00000000" w:rsidRPr="00000000" w14:paraId="000000A4">
      <w:pPr>
        <w:spacing w:after="240" w:before="240" w:line="360" w:lineRule="auto"/>
        <w:rPr/>
      </w:pPr>
      <w:r w:rsidDel="00000000" w:rsidR="00000000" w:rsidRPr="00000000">
        <w:rPr>
          <w:b w:val="1"/>
          <w:rtl w:val="0"/>
        </w:rPr>
        <w:t xml:space="preserve">High Competition:</w:t>
      </w:r>
      <w:r w:rsidDel="00000000" w:rsidR="00000000" w:rsidRPr="00000000">
        <w:rPr>
          <w:rtl w:val="0"/>
        </w:rPr>
        <w:t xml:space="preserve"> Amazon is the home to a plethora of businesses that sell a variety of products to customers. Customers have the option of comparing two or more products that are similar. Because of the intense rivalry, Amana's company's sales would be reduced to 65,000 per unit (Ritala, 2014). </w:t>
      </w:r>
    </w:p>
    <w:p w:rsidR="00000000" w:rsidDel="00000000" w:rsidP="00000000" w:rsidRDefault="00000000" w:rsidRPr="00000000" w14:paraId="000000A5">
      <w:pPr>
        <w:spacing w:after="240" w:before="240" w:line="360" w:lineRule="auto"/>
        <w:rPr/>
      </w:pPr>
      <w:r w:rsidDel="00000000" w:rsidR="00000000" w:rsidRPr="00000000">
        <w:rPr>
          <w:b w:val="1"/>
          <w:rtl w:val="0"/>
        </w:rPr>
        <w:t xml:space="preserve">Lack of control:</w:t>
      </w:r>
      <w:r w:rsidDel="00000000" w:rsidR="00000000" w:rsidRPr="00000000">
        <w:rPr>
          <w:rtl w:val="0"/>
        </w:rPr>
        <w:t xml:space="preserve"> Amazon does not provide any control over the product it sells or distributes. Because the prices of similar products on Amazon are used to establish their prices, Amana has no control over the prices of the products. Furthermore, by utilizing Amazon's delivery services, the company is required to have no control over the return policy for Amana's business.</w:t>
      </w:r>
    </w:p>
    <w:p w:rsidR="00000000" w:rsidDel="00000000" w:rsidP="00000000" w:rsidRDefault="00000000" w:rsidRPr="00000000" w14:paraId="000000A6">
      <w:pPr>
        <w:spacing w:after="240" w:before="240" w:line="360" w:lineRule="auto"/>
        <w:rPr/>
      </w:pPr>
      <w:r w:rsidDel="00000000" w:rsidR="00000000" w:rsidRPr="00000000">
        <w:rPr>
          <w:rtl w:val="0"/>
        </w:rPr>
        <w:t xml:space="preserve">As has been mentioned above Amana Ltd. has two options to enter the online market one of those is opening an online shop for the business and the other option is to sell the products on Amazon.com. After analyzing all the costs, it can be stated that the better option for Amana Ltd. will be building its website and open an online shop. </w:t>
      </w:r>
    </w:p>
    <w:p w:rsidR="00000000" w:rsidDel="00000000" w:rsidP="00000000" w:rsidRDefault="00000000" w:rsidRPr="00000000" w14:paraId="000000A7">
      <w:pPr>
        <w:spacing w:after="240" w:before="240" w:line="360" w:lineRule="auto"/>
        <w:rPr/>
      </w:pPr>
      <w:r w:rsidDel="00000000" w:rsidR="00000000" w:rsidRPr="00000000">
        <w:rPr>
          <w:rtl w:val="0"/>
        </w:rPr>
      </w:r>
    </w:p>
    <w:p w:rsidR="00000000" w:rsidDel="00000000" w:rsidP="00000000" w:rsidRDefault="00000000" w:rsidRPr="00000000" w14:paraId="000000A8">
      <w:pPr>
        <w:spacing w:after="240" w:before="240" w:line="360" w:lineRule="auto"/>
        <w:rPr/>
      </w:pPr>
      <w:r w:rsidDel="00000000" w:rsidR="00000000" w:rsidRPr="00000000">
        <w:rPr>
          <w:rtl w:val="0"/>
        </w:rPr>
      </w:r>
    </w:p>
    <w:p w:rsidR="00000000" w:rsidDel="00000000" w:rsidP="00000000" w:rsidRDefault="00000000" w:rsidRPr="00000000" w14:paraId="000000A9">
      <w:pPr>
        <w:spacing w:after="240" w:before="240" w:line="360" w:lineRule="auto"/>
        <w:rPr/>
      </w:pPr>
      <w:r w:rsidDel="00000000" w:rsidR="00000000" w:rsidRPr="00000000">
        <w:rPr>
          <w:rtl w:val="0"/>
        </w:rPr>
      </w:r>
    </w:p>
    <w:p w:rsidR="00000000" w:rsidDel="00000000" w:rsidP="00000000" w:rsidRDefault="00000000" w:rsidRPr="00000000" w14:paraId="000000AA">
      <w:pPr>
        <w:spacing w:after="240" w:before="240" w:line="360" w:lineRule="auto"/>
        <w:rPr/>
      </w:pPr>
      <w:r w:rsidDel="00000000" w:rsidR="00000000" w:rsidRPr="00000000">
        <w:rPr>
          <w:rtl w:val="0"/>
        </w:rPr>
      </w:r>
    </w:p>
    <w:p w:rsidR="00000000" w:rsidDel="00000000" w:rsidP="00000000" w:rsidRDefault="00000000" w:rsidRPr="00000000" w14:paraId="000000AB">
      <w:pPr>
        <w:spacing w:after="240" w:before="240" w:line="360" w:lineRule="auto"/>
        <w:rPr/>
      </w:pPr>
      <w:r w:rsidDel="00000000" w:rsidR="00000000" w:rsidRPr="00000000">
        <w:rPr>
          <w:rtl w:val="0"/>
        </w:rPr>
      </w:r>
    </w:p>
    <w:p w:rsidR="00000000" w:rsidDel="00000000" w:rsidP="00000000" w:rsidRDefault="00000000" w:rsidRPr="00000000" w14:paraId="000000AC">
      <w:pPr>
        <w:spacing w:after="240" w:before="240" w:line="360" w:lineRule="auto"/>
        <w:rPr/>
      </w:pPr>
      <w:r w:rsidDel="00000000" w:rsidR="00000000" w:rsidRPr="00000000">
        <w:rPr>
          <w:rtl w:val="0"/>
        </w:rPr>
      </w:r>
    </w:p>
    <w:p w:rsidR="00000000" w:rsidDel="00000000" w:rsidP="00000000" w:rsidRDefault="00000000" w:rsidRPr="00000000" w14:paraId="000000AD">
      <w:pPr>
        <w:spacing w:after="240" w:before="240" w:line="360" w:lineRule="auto"/>
        <w:rPr/>
      </w:pPr>
      <w:r w:rsidDel="00000000" w:rsidR="00000000" w:rsidRPr="00000000">
        <w:rPr>
          <w:rtl w:val="0"/>
        </w:rPr>
      </w:r>
    </w:p>
    <w:p w:rsidR="00000000" w:rsidDel="00000000" w:rsidP="00000000" w:rsidRDefault="00000000" w:rsidRPr="00000000" w14:paraId="000000AE">
      <w:pPr>
        <w:spacing w:after="240" w:before="240" w:line="360" w:lineRule="auto"/>
        <w:rPr/>
      </w:pPr>
      <w:r w:rsidDel="00000000" w:rsidR="00000000" w:rsidRPr="00000000">
        <w:rPr>
          <w:rtl w:val="0"/>
        </w:rPr>
      </w:r>
    </w:p>
    <w:p w:rsidR="00000000" w:rsidDel="00000000" w:rsidP="00000000" w:rsidRDefault="00000000" w:rsidRPr="00000000" w14:paraId="000000AF">
      <w:pPr>
        <w:spacing w:after="240" w:before="240" w:line="360" w:lineRule="auto"/>
        <w:rPr/>
      </w:pPr>
      <w:r w:rsidDel="00000000" w:rsidR="00000000" w:rsidRPr="00000000">
        <w:rPr>
          <w:rtl w:val="0"/>
        </w:rPr>
      </w:r>
    </w:p>
    <w:p w:rsidR="00000000" w:rsidDel="00000000" w:rsidP="00000000" w:rsidRDefault="00000000" w:rsidRPr="00000000" w14:paraId="000000B0">
      <w:pPr>
        <w:spacing w:after="240" w:before="240" w:line="360" w:lineRule="auto"/>
        <w:rPr/>
      </w:pPr>
      <w:r w:rsidDel="00000000" w:rsidR="00000000" w:rsidRPr="00000000">
        <w:rPr>
          <w:rtl w:val="0"/>
        </w:rPr>
      </w:r>
    </w:p>
    <w:p w:rsidR="00000000" w:rsidDel="00000000" w:rsidP="00000000" w:rsidRDefault="00000000" w:rsidRPr="00000000" w14:paraId="000000B1">
      <w:pPr>
        <w:spacing w:after="240" w:before="240" w:line="360" w:lineRule="auto"/>
        <w:rPr/>
      </w:pPr>
      <w:r w:rsidDel="00000000" w:rsidR="00000000" w:rsidRPr="00000000">
        <w:rPr>
          <w:rtl w:val="0"/>
        </w:rPr>
      </w:r>
    </w:p>
    <w:p w:rsidR="00000000" w:rsidDel="00000000" w:rsidP="00000000" w:rsidRDefault="00000000" w:rsidRPr="00000000" w14:paraId="000000B2">
      <w:pPr>
        <w:spacing w:after="240" w:before="240" w:line="360" w:lineRule="auto"/>
        <w:rPr/>
      </w:pPr>
      <w:r w:rsidDel="00000000" w:rsidR="00000000" w:rsidRPr="00000000">
        <w:rPr>
          <w:rtl w:val="0"/>
        </w:rPr>
      </w:r>
    </w:p>
    <w:p w:rsidR="00000000" w:rsidDel="00000000" w:rsidP="00000000" w:rsidRDefault="00000000" w:rsidRPr="00000000" w14:paraId="000000B3">
      <w:pPr>
        <w:spacing w:after="240" w:before="240" w:line="360" w:lineRule="auto"/>
        <w:rPr/>
      </w:pPr>
      <w:r w:rsidDel="00000000" w:rsidR="00000000" w:rsidRPr="00000000">
        <w:rPr>
          <w:rtl w:val="0"/>
        </w:rPr>
      </w:r>
    </w:p>
    <w:p w:rsidR="00000000" w:rsidDel="00000000" w:rsidP="00000000" w:rsidRDefault="00000000" w:rsidRPr="00000000" w14:paraId="000000B4">
      <w:pPr>
        <w:spacing w:after="240" w:before="240" w:line="360" w:lineRule="auto"/>
        <w:rPr/>
      </w:pPr>
      <w:r w:rsidDel="00000000" w:rsidR="00000000" w:rsidRPr="00000000">
        <w:rPr>
          <w:rtl w:val="0"/>
        </w:rPr>
      </w:r>
    </w:p>
    <w:p w:rsidR="00000000" w:rsidDel="00000000" w:rsidP="00000000" w:rsidRDefault="00000000" w:rsidRPr="00000000" w14:paraId="000000B5">
      <w:pPr>
        <w:spacing w:after="240" w:before="240" w:line="360" w:lineRule="auto"/>
        <w:rPr/>
      </w:pPr>
      <w:r w:rsidDel="00000000" w:rsidR="00000000" w:rsidRPr="00000000">
        <w:rPr>
          <w:rtl w:val="0"/>
        </w:rPr>
      </w:r>
    </w:p>
    <w:p w:rsidR="00000000" w:rsidDel="00000000" w:rsidP="00000000" w:rsidRDefault="00000000" w:rsidRPr="00000000" w14:paraId="000000B6">
      <w:pPr>
        <w:spacing w:after="240" w:before="240" w:line="360" w:lineRule="auto"/>
        <w:rPr/>
      </w:pPr>
      <w:r w:rsidDel="00000000" w:rsidR="00000000" w:rsidRPr="00000000">
        <w:rPr>
          <w:rtl w:val="0"/>
        </w:rPr>
      </w:r>
    </w:p>
    <w:p w:rsidR="00000000" w:rsidDel="00000000" w:rsidP="00000000" w:rsidRDefault="00000000" w:rsidRPr="00000000" w14:paraId="000000B7">
      <w:pPr>
        <w:pStyle w:val="Heading2"/>
        <w:spacing w:after="240" w:line="360" w:lineRule="auto"/>
        <w:jc w:val="both"/>
        <w:rPr/>
      </w:pPr>
      <w:bookmarkStart w:colFirst="0" w:colLast="0" w:name="_heading=h.3rdcrjn" w:id="11"/>
      <w:bookmarkEnd w:id="11"/>
      <w:r w:rsidDel="00000000" w:rsidR="00000000" w:rsidRPr="00000000">
        <w:rPr>
          <w:rtl w:val="0"/>
        </w:rPr>
        <w:t xml:space="preserve">Conclusion</w:t>
      </w:r>
    </w:p>
    <w:p w:rsidR="00000000" w:rsidDel="00000000" w:rsidP="00000000" w:rsidRDefault="00000000" w:rsidRPr="00000000" w14:paraId="000000B8">
      <w:pPr>
        <w:spacing w:after="240" w:line="360" w:lineRule="auto"/>
        <w:rPr/>
      </w:pPr>
      <w:r w:rsidDel="00000000" w:rsidR="00000000" w:rsidRPr="00000000">
        <w:rPr>
          <w:rtl w:val="0"/>
        </w:rPr>
        <w:t xml:space="preserve">Management accounting is one of the most important aspects of a business because it assists the administration and managers in analyzing and evaluating the current situation and performance of a company, which in turn assists them in managing their subordinates and guiding them in the right direction to achieve the organizational objectives and goals (Atkinson, Kaplan, Matsumura and Young, 2015). Amana Ltd. made it a point to practice management accounting in the most effective manner possible, which not only assisted them in dealing with the pandemic but also enabled them to produce a satisfactory outcome. Additionally, expanding their business through their online shop will enable them to grow even further in the future.</w:t>
      </w:r>
    </w:p>
    <w:p w:rsidR="00000000" w:rsidDel="00000000" w:rsidP="00000000" w:rsidRDefault="00000000" w:rsidRPr="00000000" w14:paraId="000000B9">
      <w:pPr>
        <w:spacing w:after="240" w:line="360" w:lineRule="auto"/>
        <w:rPr/>
      </w:pPr>
      <w:r w:rsidDel="00000000" w:rsidR="00000000" w:rsidRPr="00000000">
        <w:rPr>
          <w:rtl w:val="0"/>
        </w:rPr>
      </w:r>
    </w:p>
    <w:p w:rsidR="00000000" w:rsidDel="00000000" w:rsidP="00000000" w:rsidRDefault="00000000" w:rsidRPr="00000000" w14:paraId="000000BA">
      <w:pPr>
        <w:spacing w:line="360" w:lineRule="auto"/>
        <w:rPr/>
      </w:pPr>
      <w:r w:rsidDel="00000000" w:rsidR="00000000" w:rsidRPr="00000000">
        <w:rPr>
          <w:rtl w:val="0"/>
        </w:rPr>
      </w:r>
    </w:p>
    <w:p w:rsidR="00000000" w:rsidDel="00000000" w:rsidP="00000000" w:rsidRDefault="00000000" w:rsidRPr="00000000" w14:paraId="000000BB">
      <w:pPr>
        <w:spacing w:line="360" w:lineRule="auto"/>
        <w:rPr/>
      </w:pPr>
      <w:r w:rsidDel="00000000" w:rsidR="00000000" w:rsidRPr="00000000">
        <w:rPr>
          <w:rtl w:val="0"/>
        </w:rPr>
      </w:r>
    </w:p>
    <w:p w:rsidR="00000000" w:rsidDel="00000000" w:rsidP="00000000" w:rsidRDefault="00000000" w:rsidRPr="00000000" w14:paraId="000000BC">
      <w:pPr>
        <w:spacing w:line="360" w:lineRule="auto"/>
        <w:rPr/>
      </w:pPr>
      <w:r w:rsidDel="00000000" w:rsidR="00000000" w:rsidRPr="00000000">
        <w:rPr>
          <w:rtl w:val="0"/>
        </w:rPr>
      </w:r>
    </w:p>
    <w:p w:rsidR="00000000" w:rsidDel="00000000" w:rsidP="00000000" w:rsidRDefault="00000000" w:rsidRPr="00000000" w14:paraId="000000BD">
      <w:pPr>
        <w:spacing w:line="360" w:lineRule="auto"/>
        <w:rPr/>
      </w:pPr>
      <w:r w:rsidDel="00000000" w:rsidR="00000000" w:rsidRPr="00000000">
        <w:rPr>
          <w:rtl w:val="0"/>
        </w:rPr>
      </w:r>
    </w:p>
    <w:p w:rsidR="00000000" w:rsidDel="00000000" w:rsidP="00000000" w:rsidRDefault="00000000" w:rsidRPr="00000000" w14:paraId="000000BE">
      <w:pPr>
        <w:spacing w:line="360" w:lineRule="auto"/>
        <w:rPr/>
      </w:pPr>
      <w:r w:rsidDel="00000000" w:rsidR="00000000" w:rsidRPr="00000000">
        <w:rPr>
          <w:rtl w:val="0"/>
        </w:rPr>
      </w:r>
    </w:p>
    <w:p w:rsidR="00000000" w:rsidDel="00000000" w:rsidP="00000000" w:rsidRDefault="00000000" w:rsidRPr="00000000" w14:paraId="000000BF">
      <w:pPr>
        <w:spacing w:line="360" w:lineRule="auto"/>
        <w:rPr/>
      </w:pPr>
      <w:r w:rsidDel="00000000" w:rsidR="00000000" w:rsidRPr="00000000">
        <w:rPr>
          <w:rtl w:val="0"/>
        </w:rPr>
      </w:r>
    </w:p>
    <w:p w:rsidR="00000000" w:rsidDel="00000000" w:rsidP="00000000" w:rsidRDefault="00000000" w:rsidRPr="00000000" w14:paraId="000000C0">
      <w:pPr>
        <w:spacing w:line="360" w:lineRule="auto"/>
        <w:rPr/>
      </w:pPr>
      <w:r w:rsidDel="00000000" w:rsidR="00000000" w:rsidRPr="00000000">
        <w:rPr>
          <w:rtl w:val="0"/>
        </w:rPr>
      </w:r>
    </w:p>
    <w:p w:rsidR="00000000" w:rsidDel="00000000" w:rsidP="00000000" w:rsidRDefault="00000000" w:rsidRPr="00000000" w14:paraId="000000C1">
      <w:pPr>
        <w:spacing w:line="360" w:lineRule="auto"/>
        <w:rPr/>
      </w:pPr>
      <w:r w:rsidDel="00000000" w:rsidR="00000000" w:rsidRPr="00000000">
        <w:rPr>
          <w:rtl w:val="0"/>
        </w:rPr>
      </w:r>
    </w:p>
    <w:p w:rsidR="00000000" w:rsidDel="00000000" w:rsidP="00000000" w:rsidRDefault="00000000" w:rsidRPr="00000000" w14:paraId="000000C2">
      <w:pPr>
        <w:spacing w:line="360" w:lineRule="auto"/>
        <w:rPr/>
      </w:pPr>
      <w:r w:rsidDel="00000000" w:rsidR="00000000" w:rsidRPr="00000000">
        <w:rPr>
          <w:rtl w:val="0"/>
        </w:rPr>
      </w:r>
    </w:p>
    <w:p w:rsidR="00000000" w:rsidDel="00000000" w:rsidP="00000000" w:rsidRDefault="00000000" w:rsidRPr="00000000" w14:paraId="000000C3">
      <w:pPr>
        <w:spacing w:line="360" w:lineRule="auto"/>
        <w:rPr/>
      </w:pPr>
      <w:r w:rsidDel="00000000" w:rsidR="00000000" w:rsidRPr="00000000">
        <w:rPr>
          <w:rtl w:val="0"/>
        </w:rPr>
      </w:r>
    </w:p>
    <w:p w:rsidR="00000000" w:rsidDel="00000000" w:rsidP="00000000" w:rsidRDefault="00000000" w:rsidRPr="00000000" w14:paraId="000000C4">
      <w:pPr>
        <w:spacing w:line="360" w:lineRule="auto"/>
        <w:rPr/>
      </w:pPr>
      <w:r w:rsidDel="00000000" w:rsidR="00000000" w:rsidRPr="00000000">
        <w:rPr>
          <w:rtl w:val="0"/>
        </w:rPr>
      </w:r>
    </w:p>
    <w:p w:rsidR="00000000" w:rsidDel="00000000" w:rsidP="00000000" w:rsidRDefault="00000000" w:rsidRPr="00000000" w14:paraId="000000C5">
      <w:pPr>
        <w:spacing w:line="360" w:lineRule="auto"/>
        <w:rPr/>
      </w:pPr>
      <w:r w:rsidDel="00000000" w:rsidR="00000000" w:rsidRPr="00000000">
        <w:rPr>
          <w:rtl w:val="0"/>
        </w:rPr>
      </w:r>
    </w:p>
    <w:p w:rsidR="00000000" w:rsidDel="00000000" w:rsidP="00000000" w:rsidRDefault="00000000" w:rsidRPr="00000000" w14:paraId="000000C6">
      <w:pPr>
        <w:spacing w:line="360" w:lineRule="auto"/>
        <w:rPr/>
      </w:pPr>
      <w:r w:rsidDel="00000000" w:rsidR="00000000" w:rsidRPr="00000000">
        <w:rPr>
          <w:rtl w:val="0"/>
        </w:rPr>
      </w:r>
    </w:p>
    <w:p w:rsidR="00000000" w:rsidDel="00000000" w:rsidP="00000000" w:rsidRDefault="00000000" w:rsidRPr="00000000" w14:paraId="000000C7">
      <w:pPr>
        <w:spacing w:line="360" w:lineRule="auto"/>
        <w:rPr/>
      </w:pPr>
      <w:r w:rsidDel="00000000" w:rsidR="00000000" w:rsidRPr="00000000">
        <w:rPr>
          <w:rtl w:val="0"/>
        </w:rPr>
      </w:r>
    </w:p>
    <w:p w:rsidR="00000000" w:rsidDel="00000000" w:rsidP="00000000" w:rsidRDefault="00000000" w:rsidRPr="00000000" w14:paraId="000000C8">
      <w:pPr>
        <w:spacing w:line="360" w:lineRule="auto"/>
        <w:rPr/>
      </w:pPr>
      <w:r w:rsidDel="00000000" w:rsidR="00000000" w:rsidRPr="00000000">
        <w:rPr>
          <w:rtl w:val="0"/>
        </w:rPr>
      </w:r>
    </w:p>
    <w:p w:rsidR="00000000" w:rsidDel="00000000" w:rsidP="00000000" w:rsidRDefault="00000000" w:rsidRPr="00000000" w14:paraId="000000C9">
      <w:pPr>
        <w:pStyle w:val="Heading2"/>
        <w:spacing w:line="360" w:lineRule="auto"/>
        <w:jc w:val="both"/>
        <w:rPr/>
      </w:pPr>
      <w:bookmarkStart w:colFirst="0" w:colLast="0" w:name="_heading=h.26in1rg" w:id="12"/>
      <w:bookmarkEnd w:id="12"/>
      <w:r w:rsidDel="00000000" w:rsidR="00000000" w:rsidRPr="00000000">
        <w:rPr>
          <w:rtl w:val="0"/>
        </w:rPr>
        <w:t xml:space="preserve">References</w:t>
      </w:r>
    </w:p>
    <w:p w:rsidR="00000000" w:rsidDel="00000000" w:rsidP="00000000" w:rsidRDefault="00000000" w:rsidRPr="00000000" w14:paraId="000000CA">
      <w:pPr>
        <w:spacing w:line="360" w:lineRule="auto"/>
        <w:rPr/>
      </w:pPr>
      <w:r w:rsidDel="00000000" w:rsidR="00000000" w:rsidRPr="00000000">
        <w:rPr>
          <w:rtl w:val="0"/>
        </w:rPr>
        <w:t xml:space="preserve">Atkinson, A., Kaplan, R., Matsumura, E. and Young, S., 2015. </w:t>
      </w:r>
      <w:r w:rsidDel="00000000" w:rsidR="00000000" w:rsidRPr="00000000">
        <w:rPr>
          <w:i w:val="1"/>
          <w:rtl w:val="0"/>
        </w:rPr>
        <w:t xml:space="preserve">Management accounting</w:t>
      </w:r>
      <w:r w:rsidDel="00000000" w:rsidR="00000000" w:rsidRPr="00000000">
        <w:rPr>
          <w:rtl w:val="0"/>
        </w:rPr>
        <w:t xml:space="preserve">. 2nd ed. The United Kingdom.</w:t>
      </w:r>
    </w:p>
    <w:p w:rsidR="00000000" w:rsidDel="00000000" w:rsidP="00000000" w:rsidRDefault="00000000" w:rsidRPr="00000000" w14:paraId="000000CB">
      <w:pPr>
        <w:spacing w:line="360" w:lineRule="auto"/>
        <w:rPr/>
      </w:pPr>
      <w:r w:rsidDel="00000000" w:rsidR="00000000" w:rsidRPr="00000000">
        <w:rPr>
          <w:rtl w:val="0"/>
        </w:rPr>
        <w:t xml:space="preserve">Burke, R., 2009. Team Performance Management. </w:t>
      </w:r>
      <w:r w:rsidDel="00000000" w:rsidR="00000000" w:rsidRPr="00000000">
        <w:rPr>
          <w:i w:val="1"/>
          <w:rtl w:val="0"/>
        </w:rPr>
        <w:t xml:space="preserve">Team Performance Management: An International Journal</w:t>
      </w:r>
      <w:r w:rsidDel="00000000" w:rsidR="00000000" w:rsidRPr="00000000">
        <w:rPr>
          <w:rtl w:val="0"/>
        </w:rPr>
        <w:t xml:space="preserve">, 15(5/6).</w:t>
      </w:r>
    </w:p>
    <w:p w:rsidR="00000000" w:rsidDel="00000000" w:rsidP="00000000" w:rsidRDefault="00000000" w:rsidRPr="00000000" w14:paraId="000000CC">
      <w:pPr>
        <w:spacing w:line="360" w:lineRule="auto"/>
        <w:rPr/>
      </w:pPr>
      <w:r w:rsidDel="00000000" w:rsidR="00000000" w:rsidRPr="00000000">
        <w:rPr>
          <w:rtl w:val="0"/>
        </w:rPr>
        <w:t xml:space="preserve">Gaudel, D., 2019. Consumers’ Attitude towards Online Shopping: Factors influencing British Consumers to Shop.</w:t>
      </w:r>
    </w:p>
    <w:p w:rsidR="00000000" w:rsidDel="00000000" w:rsidP="00000000" w:rsidRDefault="00000000" w:rsidRPr="00000000" w14:paraId="000000CD">
      <w:pPr>
        <w:spacing w:line="360" w:lineRule="auto"/>
        <w:rPr/>
      </w:pPr>
      <w:r w:rsidDel="00000000" w:rsidR="00000000" w:rsidRPr="00000000">
        <w:rPr>
          <w:rtl w:val="0"/>
        </w:rPr>
        <w:t xml:space="preserve">Kämäräinen, V., Småros, J., Holmström, J. and Jaakola, T., 2010. Cost‐effectiveness in the e‐grocery business. </w:t>
      </w:r>
      <w:r w:rsidDel="00000000" w:rsidR="00000000" w:rsidRPr="00000000">
        <w:rPr>
          <w:i w:val="1"/>
          <w:rtl w:val="0"/>
        </w:rPr>
        <w:t xml:space="preserve">International Journal of Retail &amp; Distribution Management</w:t>
      </w:r>
      <w:r w:rsidDel="00000000" w:rsidR="00000000" w:rsidRPr="00000000">
        <w:rPr>
          <w:rtl w:val="0"/>
        </w:rPr>
        <w:t xml:space="preserve">.</w:t>
      </w:r>
    </w:p>
    <w:p w:rsidR="00000000" w:rsidDel="00000000" w:rsidP="00000000" w:rsidRDefault="00000000" w:rsidRPr="00000000" w14:paraId="000000CE">
      <w:pPr>
        <w:spacing w:line="360" w:lineRule="auto"/>
        <w:rPr/>
      </w:pPr>
      <w:r w:rsidDel="00000000" w:rsidR="00000000" w:rsidRPr="00000000">
        <w:rPr>
          <w:rtl w:val="0"/>
        </w:rPr>
        <w:t xml:space="preserve">Maas, K., Schaltegger, S. and Crutzen, N., 2016. Integrating corporate sustainability assessment, management accounting, control, and reporting. </w:t>
      </w:r>
      <w:r w:rsidDel="00000000" w:rsidR="00000000" w:rsidRPr="00000000">
        <w:rPr>
          <w:i w:val="1"/>
          <w:rtl w:val="0"/>
        </w:rPr>
        <w:t xml:space="preserve">Journal of Cleaner Production</w:t>
      </w:r>
      <w:r w:rsidDel="00000000" w:rsidR="00000000" w:rsidRPr="00000000">
        <w:rPr>
          <w:rtl w:val="0"/>
        </w:rPr>
        <w:t xml:space="preserve">, </w:t>
      </w:r>
      <w:r w:rsidDel="00000000" w:rsidR="00000000" w:rsidRPr="00000000">
        <w:rPr>
          <w:i w:val="1"/>
          <w:rtl w:val="0"/>
        </w:rPr>
        <w:t xml:space="preserve">136</w:t>
      </w:r>
      <w:r w:rsidDel="00000000" w:rsidR="00000000" w:rsidRPr="00000000">
        <w:rPr>
          <w:rtl w:val="0"/>
        </w:rPr>
        <w:t xml:space="preserve">, pp.237-248.</w:t>
      </w:r>
    </w:p>
    <w:p w:rsidR="00000000" w:rsidDel="00000000" w:rsidP="00000000" w:rsidRDefault="00000000" w:rsidRPr="00000000" w14:paraId="000000CF">
      <w:pPr>
        <w:spacing w:line="360" w:lineRule="auto"/>
        <w:rPr/>
      </w:pPr>
      <w:r w:rsidDel="00000000" w:rsidR="00000000" w:rsidRPr="00000000">
        <w:rPr>
          <w:rtl w:val="0"/>
        </w:rPr>
        <w:t xml:space="preserve">Ozer, M., 2012. The role of flexibility in online business. </w:t>
      </w:r>
      <w:r w:rsidDel="00000000" w:rsidR="00000000" w:rsidRPr="00000000">
        <w:rPr>
          <w:i w:val="1"/>
          <w:rtl w:val="0"/>
        </w:rPr>
        <w:t xml:space="preserve">Business Horizons</w:t>
      </w:r>
      <w:r w:rsidDel="00000000" w:rsidR="00000000" w:rsidRPr="00000000">
        <w:rPr>
          <w:rtl w:val="0"/>
        </w:rPr>
        <w:t xml:space="preserve">, 45(1), pp.61-69.</w:t>
      </w:r>
    </w:p>
    <w:p w:rsidR="00000000" w:rsidDel="00000000" w:rsidP="00000000" w:rsidRDefault="00000000" w:rsidRPr="00000000" w14:paraId="000000D0">
      <w:pPr>
        <w:spacing w:line="360" w:lineRule="auto"/>
        <w:rPr/>
      </w:pPr>
      <w:r w:rsidDel="00000000" w:rsidR="00000000" w:rsidRPr="00000000">
        <w:rPr>
          <w:rtl w:val="0"/>
        </w:rPr>
        <w:t xml:space="preserve">Ritala, P., Golnam, A. and Wegmann, A., 2014. Coopetition-based business models: The case of Amazon. com. </w:t>
      </w:r>
      <w:r w:rsidDel="00000000" w:rsidR="00000000" w:rsidRPr="00000000">
        <w:rPr>
          <w:i w:val="1"/>
          <w:rtl w:val="0"/>
        </w:rPr>
        <w:t xml:space="preserve">Industrial marketing management</w:t>
      </w:r>
      <w:r w:rsidDel="00000000" w:rsidR="00000000" w:rsidRPr="00000000">
        <w:rPr>
          <w:rtl w:val="0"/>
        </w:rPr>
        <w:t xml:space="preserve">, </w:t>
      </w:r>
      <w:r w:rsidDel="00000000" w:rsidR="00000000" w:rsidRPr="00000000">
        <w:rPr>
          <w:i w:val="1"/>
          <w:rtl w:val="0"/>
        </w:rPr>
        <w:t xml:space="preserve">43</w:t>
      </w:r>
      <w:r w:rsidDel="00000000" w:rsidR="00000000" w:rsidRPr="00000000">
        <w:rPr>
          <w:rtl w:val="0"/>
        </w:rPr>
        <w:t xml:space="preserve">(2), pp.236-249.</w:t>
      </w:r>
    </w:p>
    <w:p w:rsidR="00000000" w:rsidDel="00000000" w:rsidP="00000000" w:rsidRDefault="00000000" w:rsidRPr="00000000" w14:paraId="000000D1">
      <w:pPr>
        <w:spacing w:line="360" w:lineRule="auto"/>
        <w:rPr/>
      </w:pPr>
      <w:r w:rsidDel="00000000" w:rsidR="00000000" w:rsidRPr="00000000">
        <w:rPr>
          <w:rtl w:val="0"/>
        </w:rPr>
        <w:t xml:space="preserve">Schmidle, T., 2011. Performance Management. </w:t>
      </w:r>
      <w:r w:rsidDel="00000000" w:rsidR="00000000" w:rsidRPr="00000000">
        <w:rPr>
          <w:i w:val="1"/>
          <w:rtl w:val="0"/>
        </w:rPr>
        <w:t xml:space="preserve">Public Performance &amp;amp; Management Review</w:t>
      </w:r>
      <w:r w:rsidDel="00000000" w:rsidR="00000000" w:rsidRPr="00000000">
        <w:rPr>
          <w:rtl w:val="0"/>
        </w:rPr>
        <w:t xml:space="preserve">, 35(2), pp.370-389.</w:t>
      </w:r>
    </w:p>
    <w:p w:rsidR="00000000" w:rsidDel="00000000" w:rsidP="00000000" w:rsidRDefault="00000000" w:rsidRPr="00000000" w14:paraId="000000D2">
      <w:pPr>
        <w:spacing w:line="360" w:lineRule="auto"/>
        <w:rPr/>
      </w:pPr>
      <w:r w:rsidDel="00000000" w:rsidR="00000000" w:rsidRPr="00000000">
        <w:rPr>
          <w:rtl w:val="0"/>
        </w:rPr>
        <w:t xml:space="preserve">Tayles, M., Pike, R.H. and Sofian, S., 2007. Intellectual capital, management accounting practices and corporate performance: Perceptions of managers. </w:t>
      </w:r>
      <w:r w:rsidDel="00000000" w:rsidR="00000000" w:rsidRPr="00000000">
        <w:rPr>
          <w:i w:val="1"/>
          <w:rtl w:val="0"/>
        </w:rPr>
        <w:t xml:space="preserve">Accounting, Auditing &amp; Accountability Journal</w:t>
      </w:r>
      <w:r w:rsidDel="00000000" w:rsidR="00000000" w:rsidRPr="00000000">
        <w:rPr>
          <w:rtl w:val="0"/>
        </w:rPr>
        <w:t xml:space="preserve">.</w:t>
      </w:r>
    </w:p>
    <w:p w:rsidR="00000000" w:rsidDel="00000000" w:rsidP="00000000" w:rsidRDefault="00000000" w:rsidRPr="00000000" w14:paraId="000000D3">
      <w:pPr>
        <w:spacing w:line="360" w:lineRule="auto"/>
        <w:jc w:val="left"/>
        <w:rPr/>
      </w:pPr>
      <w:r w:rsidDel="00000000" w:rsidR="00000000" w:rsidRPr="00000000">
        <w:rPr>
          <w:rtl w:val="0"/>
        </w:rPr>
        <w:t xml:space="preserve">Thomas, K., 2017. Weekly Management Report Helps Manage Your Time, Others'. </w:t>
      </w:r>
      <w:r w:rsidDel="00000000" w:rsidR="00000000" w:rsidRPr="00000000">
        <w:rPr>
          <w:i w:val="1"/>
          <w:rtl w:val="0"/>
        </w:rPr>
        <w:t xml:space="preserve">The Volunteer Management Report</w:t>
      </w:r>
      <w:r w:rsidDel="00000000" w:rsidR="00000000" w:rsidRPr="00000000">
        <w:rPr>
          <w:rtl w:val="0"/>
        </w:rPr>
        <w:t xml:space="preserve">, 22(4), pp.5-5.</w:t>
      </w:r>
    </w:p>
    <w:p w:rsidR="00000000" w:rsidDel="00000000" w:rsidP="00000000" w:rsidRDefault="00000000" w:rsidRPr="00000000" w14:paraId="000000D4">
      <w:pPr>
        <w:spacing w:line="360" w:lineRule="auto"/>
        <w:rPr/>
      </w:pPr>
      <w:r w:rsidDel="00000000" w:rsidR="00000000" w:rsidRPr="00000000">
        <w:rPr>
          <w:rtl w:val="0"/>
        </w:rPr>
        <w:t xml:space="preserve">Van de Walle, S. and Cornelissen, F., 2016. Performance reporting.</w:t>
      </w:r>
    </w:p>
    <w:p w:rsidR="00000000" w:rsidDel="00000000" w:rsidP="00000000" w:rsidRDefault="00000000" w:rsidRPr="00000000" w14:paraId="000000D5">
      <w:pPr>
        <w:spacing w:line="360" w:lineRule="auto"/>
        <w:rPr/>
      </w:pPr>
      <w:r w:rsidDel="00000000" w:rsidR="00000000" w:rsidRPr="00000000">
        <w:rPr>
          <w:rtl w:val="0"/>
        </w:rPr>
        <w:t xml:space="preserve">Wells, J.R., Danskin, G. and Ellsworth, G., 2018. Amazon. com, 2018. </w:t>
      </w:r>
      <w:r w:rsidDel="00000000" w:rsidR="00000000" w:rsidRPr="00000000">
        <w:rPr>
          <w:i w:val="1"/>
          <w:rtl w:val="0"/>
        </w:rPr>
        <w:t xml:space="preserve">Harvard Business School Case Study</w:t>
      </w:r>
      <w:r w:rsidDel="00000000" w:rsidR="00000000" w:rsidRPr="00000000">
        <w:rPr>
          <w:rtl w:val="0"/>
        </w:rPr>
        <w:t xml:space="preserve">, (716-402).</w:t>
      </w:r>
    </w:p>
    <w:sectPr>
      <w:footerReference r:id="rId7"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jc w:val="center"/>
    </w:pPr>
    <w:rPr>
      <w:b w:val="1"/>
      <w:color w:val="2f5496"/>
      <w:sz w:val="32"/>
      <w:szCs w:val="32"/>
    </w:rPr>
  </w:style>
  <w:style w:type="paragraph" w:styleId="Heading3">
    <w:name w:val="heading 3"/>
    <w:basedOn w:val="Normal"/>
    <w:next w:val="Normal"/>
    <w:pPr>
      <w:keepNext w:val="1"/>
      <w:keepLines w:val="1"/>
      <w:spacing w:after="0" w:before="40" w:lineRule="auto"/>
    </w:pPr>
    <w:rPr>
      <w:color w:val="2f5496"/>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b w:val="1"/>
      <w:color w:val="4472c4"/>
      <w:sz w:val="26"/>
      <w:szCs w:val="26"/>
    </w:rPr>
  </w:style>
  <w:style w:type="paragraph" w:styleId="Normal" w:default="1">
    <w:name w:val="Normal"/>
    <w:qFormat w:val="1"/>
    <w:rsid w:val="00406667"/>
    <w:pPr>
      <w:jc w:val="both"/>
    </w:pPr>
    <w:rPr>
      <w:rFonts w:ascii="Times New Roman" w:hAnsi="Times New Roman"/>
      <w:sz w:val="24"/>
    </w:rPr>
  </w:style>
  <w:style w:type="paragraph" w:styleId="Heading1">
    <w:name w:val="heading 1"/>
    <w:basedOn w:val="Normal"/>
    <w:next w:val="Normal"/>
    <w:link w:val="Heading1Char"/>
    <w:autoRedefine w:val="1"/>
    <w:uiPriority w:val="9"/>
    <w:rsid w:val="00406667"/>
    <w:pPr>
      <w:keepNext w:val="1"/>
      <w:keepLines w:val="1"/>
      <w:spacing w:after="0" w:before="240"/>
      <w:outlineLvl w:val="0"/>
    </w:pPr>
    <w:rPr>
      <w:rFonts w:cstheme="majorBidi" w:eastAsiaTheme="majorEastAsia"/>
      <w:b w:val="1"/>
      <w:color w:val="2f5496" w:themeColor="accent1" w:themeShade="0000BF"/>
      <w:sz w:val="32"/>
      <w:szCs w:val="32"/>
    </w:rPr>
  </w:style>
  <w:style w:type="paragraph" w:styleId="Heading2">
    <w:name w:val="heading 2"/>
    <w:aliases w:val="Head 1"/>
    <w:basedOn w:val="Normal"/>
    <w:next w:val="Normal"/>
    <w:link w:val="Heading2Char"/>
    <w:autoRedefine w:val="1"/>
    <w:uiPriority w:val="9"/>
    <w:unhideWhenUsed w:val="1"/>
    <w:qFormat w:val="1"/>
    <w:rsid w:val="005865F4"/>
    <w:pPr>
      <w:keepNext w:val="1"/>
      <w:keepLines w:val="1"/>
      <w:spacing w:after="0" w:before="40"/>
      <w:jc w:val="center"/>
      <w:outlineLvl w:val="1"/>
    </w:pPr>
    <w:rPr>
      <w:rFonts w:cstheme="majorBidi" w:eastAsiaTheme="majorEastAsia"/>
      <w:b w:val="1"/>
      <w:color w:val="2f5496" w:themeColor="accent1" w:themeShade="0000BF"/>
      <w:sz w:val="32"/>
      <w:szCs w:val="26"/>
    </w:rPr>
  </w:style>
  <w:style w:type="paragraph" w:styleId="Heading3">
    <w:name w:val="heading 3"/>
    <w:basedOn w:val="Normal"/>
    <w:next w:val="Normal"/>
    <w:link w:val="Heading3Char"/>
    <w:autoRedefine w:val="1"/>
    <w:uiPriority w:val="9"/>
    <w:unhideWhenUsed w:val="1"/>
    <w:qFormat w:val="1"/>
    <w:rsid w:val="00301CB1"/>
    <w:pPr>
      <w:keepNext w:val="1"/>
      <w:keepLines w:val="1"/>
      <w:spacing w:after="0" w:before="40"/>
      <w:outlineLvl w:val="2"/>
    </w:pPr>
    <w:rPr>
      <w:rFonts w:cstheme="majorBidi" w:eastAsiaTheme="majorEastAsia"/>
      <w:color w:val="2f5496" w:themeColor="accent1" w:themeShade="0000BF"/>
      <w:sz w:val="26"/>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06667"/>
    <w:rPr>
      <w:rFonts w:ascii="Times New Roman" w:hAnsi="Times New Roman" w:cstheme="majorBidi" w:eastAsiaTheme="majorEastAsia"/>
      <w:b w:val="1"/>
      <w:color w:val="2f5496" w:themeColor="accent1" w:themeShade="0000BF"/>
      <w:sz w:val="32"/>
      <w:szCs w:val="32"/>
    </w:rPr>
  </w:style>
  <w:style w:type="character" w:styleId="Heading3Char" w:customStyle="1">
    <w:name w:val="Heading 3 Char"/>
    <w:basedOn w:val="DefaultParagraphFont"/>
    <w:link w:val="Heading3"/>
    <w:uiPriority w:val="9"/>
    <w:rsid w:val="00301CB1"/>
    <w:rPr>
      <w:rFonts w:ascii="Times New Roman" w:hAnsi="Times New Roman" w:cstheme="majorBidi" w:eastAsiaTheme="majorEastAsia"/>
      <w:color w:val="2f5496" w:themeColor="accent1" w:themeShade="0000BF"/>
      <w:sz w:val="26"/>
      <w:szCs w:val="24"/>
    </w:rPr>
  </w:style>
  <w:style w:type="paragraph" w:styleId="NoSpacing">
    <w:name w:val="No Spacing"/>
    <w:autoRedefine w:val="1"/>
    <w:uiPriority w:val="1"/>
    <w:rsid w:val="00486AB9"/>
    <w:pPr>
      <w:spacing w:after="0" w:line="240" w:lineRule="auto"/>
      <w:jc w:val="both"/>
    </w:pPr>
    <w:rPr>
      <w:rFonts w:ascii="Times New Roman" w:hAnsi="Times New Roman"/>
      <w:sz w:val="24"/>
    </w:rPr>
  </w:style>
  <w:style w:type="character" w:styleId="Heading2Char" w:customStyle="1">
    <w:name w:val="Heading 2 Char"/>
    <w:aliases w:val="Head 1 Char"/>
    <w:basedOn w:val="DefaultParagraphFont"/>
    <w:link w:val="Heading2"/>
    <w:uiPriority w:val="9"/>
    <w:rsid w:val="005865F4"/>
    <w:rPr>
      <w:rFonts w:ascii="Times New Roman" w:hAnsi="Times New Roman" w:cstheme="majorBidi" w:eastAsiaTheme="majorEastAsia"/>
      <w:b w:val="1"/>
      <w:color w:val="2f5496" w:themeColor="accent1" w:themeShade="0000BF"/>
      <w:sz w:val="32"/>
      <w:szCs w:val="26"/>
    </w:rPr>
  </w:style>
  <w:style w:type="paragraph" w:styleId="Title">
    <w:name w:val="Title"/>
    <w:aliases w:val="Head 2"/>
    <w:basedOn w:val="Normal"/>
    <w:next w:val="Normal"/>
    <w:link w:val="TitleChar"/>
    <w:uiPriority w:val="10"/>
    <w:qFormat w:val="1"/>
    <w:rsid w:val="00486AB9"/>
    <w:pPr>
      <w:spacing w:after="0" w:line="240" w:lineRule="auto"/>
      <w:contextualSpacing w:val="1"/>
    </w:pPr>
    <w:rPr>
      <w:rFonts w:cstheme="majorBidi" w:eastAsiaTheme="majorEastAsia"/>
      <w:b w:val="1"/>
      <w:color w:val="4472c4" w:themeColor="accent1"/>
      <w:spacing w:val="-10"/>
      <w:kern w:val="28"/>
      <w:sz w:val="26"/>
      <w:szCs w:val="56"/>
    </w:rPr>
  </w:style>
  <w:style w:type="character" w:styleId="TitleChar" w:customStyle="1">
    <w:name w:val="Title Char"/>
    <w:aliases w:val="Head 2 Char"/>
    <w:basedOn w:val="DefaultParagraphFont"/>
    <w:link w:val="Title"/>
    <w:uiPriority w:val="10"/>
    <w:rsid w:val="00486AB9"/>
    <w:rPr>
      <w:rFonts w:ascii="Times New Roman" w:hAnsi="Times New Roman" w:cstheme="majorBidi" w:eastAsiaTheme="majorEastAsia"/>
      <w:b w:val="1"/>
      <w:color w:val="4472c4" w:themeColor="accent1"/>
      <w:spacing w:val="-10"/>
      <w:kern w:val="28"/>
      <w:sz w:val="26"/>
      <w:szCs w:val="56"/>
    </w:rPr>
  </w:style>
  <w:style w:type="paragraph" w:styleId="TOCHeading">
    <w:name w:val="TOC Heading"/>
    <w:basedOn w:val="Heading1"/>
    <w:next w:val="Normal"/>
    <w:uiPriority w:val="39"/>
    <w:unhideWhenUsed w:val="1"/>
    <w:qFormat w:val="1"/>
    <w:rsid w:val="0076072A"/>
    <w:pPr>
      <w:jc w:val="left"/>
      <w:outlineLvl w:val="9"/>
    </w:pPr>
    <w:rPr>
      <w:rFonts w:asciiTheme="majorHAnsi" w:hAnsiTheme="majorHAnsi"/>
      <w:b w:val="0"/>
    </w:rPr>
  </w:style>
  <w:style w:type="paragraph" w:styleId="TOC2">
    <w:name w:val="toc 2"/>
    <w:basedOn w:val="Normal"/>
    <w:next w:val="Normal"/>
    <w:autoRedefine w:val="1"/>
    <w:uiPriority w:val="39"/>
    <w:unhideWhenUsed w:val="1"/>
    <w:rsid w:val="005865F4"/>
    <w:pPr>
      <w:spacing w:after="100"/>
      <w:ind w:left="240"/>
    </w:pPr>
  </w:style>
  <w:style w:type="paragraph" w:styleId="TOC3">
    <w:name w:val="toc 3"/>
    <w:basedOn w:val="Normal"/>
    <w:next w:val="Normal"/>
    <w:autoRedefine w:val="1"/>
    <w:uiPriority w:val="39"/>
    <w:unhideWhenUsed w:val="1"/>
    <w:rsid w:val="005865F4"/>
    <w:pPr>
      <w:spacing w:after="100"/>
      <w:ind w:left="480"/>
    </w:pPr>
  </w:style>
  <w:style w:type="character" w:styleId="Hyperlink">
    <w:name w:val="Hyperlink"/>
    <w:basedOn w:val="DefaultParagraphFont"/>
    <w:uiPriority w:val="99"/>
    <w:unhideWhenUsed w:val="1"/>
    <w:rsid w:val="005865F4"/>
    <w:rPr>
      <w:color w:val="0563c1" w:themeColor="hyperlink"/>
      <w:u w:val="single"/>
    </w:rPr>
  </w:style>
  <w:style w:type="table" w:styleId="TableGrid">
    <w:name w:val="Table Grid"/>
    <w:basedOn w:val="TableNormal"/>
    <w:uiPriority w:val="39"/>
    <w:rsid w:val="00E01AF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GridTable6Colorful-Accent3">
    <w:name w:val="Grid Table 6 Colorful Accent 3"/>
    <w:basedOn w:val="TableNormal"/>
    <w:uiPriority w:val="51"/>
    <w:rsid w:val="00E01AFF"/>
    <w:pPr>
      <w:spacing w:after="0" w:line="240" w:lineRule="auto"/>
    </w:pPr>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paragraph" w:styleId="ListParagraph">
    <w:name w:val="List Paragraph"/>
    <w:basedOn w:val="Normal"/>
    <w:uiPriority w:val="34"/>
    <w:qFormat w:val="1"/>
    <w:rsid w:val="00A06F1C"/>
    <w:pPr>
      <w:ind w:left="720"/>
      <w:contextualSpacing w:val="1"/>
    </w:pPr>
  </w:style>
  <w:style w:type="paragraph" w:styleId="Header">
    <w:name w:val="header"/>
    <w:basedOn w:val="Normal"/>
    <w:link w:val="HeaderChar"/>
    <w:uiPriority w:val="99"/>
    <w:unhideWhenUsed w:val="1"/>
    <w:rsid w:val="006B4998"/>
    <w:pPr>
      <w:tabs>
        <w:tab w:val="center" w:pos="4680"/>
        <w:tab w:val="right" w:pos="9360"/>
      </w:tabs>
      <w:spacing w:after="0" w:line="240" w:lineRule="auto"/>
    </w:pPr>
  </w:style>
  <w:style w:type="character" w:styleId="HeaderChar" w:customStyle="1">
    <w:name w:val="Header Char"/>
    <w:basedOn w:val="DefaultParagraphFont"/>
    <w:link w:val="Header"/>
    <w:uiPriority w:val="99"/>
    <w:rsid w:val="006B4998"/>
    <w:rPr>
      <w:rFonts w:ascii="Times New Roman" w:hAnsi="Times New Roman"/>
      <w:sz w:val="24"/>
    </w:rPr>
  </w:style>
  <w:style w:type="paragraph" w:styleId="Footer">
    <w:name w:val="footer"/>
    <w:basedOn w:val="Normal"/>
    <w:link w:val="FooterChar"/>
    <w:uiPriority w:val="99"/>
    <w:unhideWhenUsed w:val="1"/>
    <w:rsid w:val="006B4998"/>
    <w:pPr>
      <w:tabs>
        <w:tab w:val="center" w:pos="4680"/>
        <w:tab w:val="right" w:pos="9360"/>
      </w:tabs>
      <w:spacing w:after="0" w:line="240" w:lineRule="auto"/>
    </w:pPr>
  </w:style>
  <w:style w:type="character" w:styleId="FooterChar" w:customStyle="1">
    <w:name w:val="Footer Char"/>
    <w:basedOn w:val="DefaultParagraphFont"/>
    <w:link w:val="Footer"/>
    <w:uiPriority w:val="99"/>
    <w:rsid w:val="006B4998"/>
    <w:rPr>
      <w:rFonts w:ascii="Times New Roman" w:hAnsi="Times New Roman"/>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color w:val="7b7b7b"/>
    </w:rPr>
    <w:tblPr>
      <w:tblStyleRowBandSize w:val="1"/>
      <w:tblStyleColBandSize w:val="1"/>
      <w:tblCellMar>
        <w:top w:w="0.0" w:type="dxa"/>
        <w:left w:w="108.0" w:type="dxa"/>
        <w:bottom w:w="0.0" w:type="dxa"/>
        <w:right w:w="108.0" w:type="dxa"/>
      </w:tblCellMar>
    </w:tblPr>
    <w:tblStylePr w:type="band1Horz">
      <w:tcPr>
        <w:shd w:fill="ededed" w:val="clear"/>
      </w:tcPr>
    </w:tblStylePr>
    <w:tblStylePr w:type="band1Vert">
      <w:tcPr>
        <w:shd w:fill="ededed" w:val="clear"/>
      </w:tcPr>
    </w:tblStylePr>
    <w:tblStylePr w:type="firstCol">
      <w:rPr>
        <w:b w:val="1"/>
      </w:rPr>
    </w:tblStylePr>
    <w:tblStylePr w:type="firstRow">
      <w:rPr>
        <w:b w:val="1"/>
      </w:rPr>
      <w:tcPr>
        <w:tcBorders>
          <w:bottom w:color="c9c9c9" w:space="0" w:sz="12" w:val="single"/>
        </w:tcBorders>
      </w:tcPr>
    </w:tblStylePr>
    <w:tblStylePr w:type="lastCol">
      <w:rPr>
        <w:b w:val="1"/>
      </w:rPr>
    </w:tblStylePr>
    <w:tblStylePr w:type="lastRow">
      <w:rPr>
        <w:b w:val="1"/>
      </w:rPr>
      <w:tcPr>
        <w:tcBorders>
          <w:top w:color="c9c9c9"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Tw1tXZksfhE8gZiuG0mJmMmTUA==">AMUW2mUS1YcldtDlnutMUeV1IJK54G9xHmgaayHP4tIAyciT9qismxoWANEiQ4JWLUca1ITTbsn0utd7sB+nRCAkSopMbcUpVjklHBOSx825eersHgFl3272Nex++VgdZvdjiA8sINcdwUv/IVj5lc8/c/c+qq4mNroCG9dBxpQlLO9oCbNOritzecgiseloR+wCI3ffQQTMkOsuI9fDgVRKqUxouJuZpGD+8hmrrAF/AyyHuj3WEk10kM7/PcIvW2JolfVxAZ897vvwacCw8ao1F5nT0TsdFWliW5pgzhuHow1DsYsgX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2022-04-20T06:28:00Z</dcterms:created>
</cp:coreProperties>
</file>