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E4CA0" w14:textId="77777777" w:rsidR="001B3A90" w:rsidRPr="00A85BFE" w:rsidRDefault="001B3A90" w:rsidP="001B3A90">
      <w:pPr>
        <w:pStyle w:val="Header"/>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59264" behindDoc="0" locked="0" layoutInCell="1" allowOverlap="1" wp14:anchorId="53411F49" wp14:editId="045A0B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0B0E8A1E" w14:textId="77777777" w:rsidR="001B3A90" w:rsidRPr="00A406E5" w:rsidRDefault="001B3A90" w:rsidP="001B3A9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B3A90" w:rsidRPr="00A406E5" w14:paraId="5F1B2CA6" w14:textId="77777777" w:rsidTr="009B22F0">
        <w:tc>
          <w:tcPr>
            <w:tcW w:w="9922" w:type="dxa"/>
            <w:shd w:val="clear" w:color="auto" w:fill="C0C0C0"/>
          </w:tcPr>
          <w:p w14:paraId="47D55B44" w14:textId="77777777" w:rsidR="001B3A90" w:rsidRPr="00A406E5" w:rsidRDefault="001B3A90" w:rsidP="009B22F0">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08CBA31" w14:textId="77777777" w:rsidR="001B3A90" w:rsidRPr="00A406E5" w:rsidRDefault="001B3A90" w:rsidP="001B3A90">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B3A90" w:rsidRPr="00A406E5" w14:paraId="1D1BDE35" w14:textId="77777777" w:rsidTr="001B3A90">
        <w:tc>
          <w:tcPr>
            <w:tcW w:w="2093" w:type="dxa"/>
            <w:shd w:val="pct15" w:color="auto" w:fill="auto"/>
          </w:tcPr>
          <w:p w14:paraId="21CFB422" w14:textId="77777777" w:rsidR="001B3A90" w:rsidRPr="00A406E5" w:rsidRDefault="001B3A90" w:rsidP="009B22F0">
            <w:pPr>
              <w:spacing w:before="120" w:after="120"/>
              <w:jc w:val="both"/>
              <w:rPr>
                <w:rFonts w:ascii="Arial" w:hAnsi="Arial" w:cs="Arial"/>
                <w:b/>
              </w:rPr>
            </w:pPr>
            <w:r w:rsidRPr="00A406E5">
              <w:rPr>
                <w:rFonts w:ascii="Arial" w:hAnsi="Arial" w:cs="Arial"/>
                <w:b/>
              </w:rPr>
              <w:t>Student name:</w:t>
            </w:r>
          </w:p>
        </w:tc>
        <w:tc>
          <w:tcPr>
            <w:tcW w:w="3293" w:type="dxa"/>
          </w:tcPr>
          <w:p w14:paraId="383E3705" w14:textId="77777777" w:rsidR="001B3A90" w:rsidRPr="00A406E5" w:rsidRDefault="001B3A90" w:rsidP="009B22F0">
            <w:pPr>
              <w:spacing w:before="120" w:after="120"/>
              <w:jc w:val="both"/>
              <w:rPr>
                <w:rFonts w:ascii="Arial" w:hAnsi="Arial" w:cs="Arial"/>
                <w:b/>
              </w:rPr>
            </w:pPr>
            <w:r>
              <w:rPr>
                <w:rFonts w:ascii="Arial" w:hAnsi="Arial" w:cs="Arial"/>
                <w:b/>
              </w:rPr>
              <w:t>Rebecca Mountstephens</w:t>
            </w:r>
          </w:p>
        </w:tc>
        <w:tc>
          <w:tcPr>
            <w:tcW w:w="2268" w:type="dxa"/>
            <w:shd w:val="clear" w:color="auto" w:fill="D9D9D9"/>
          </w:tcPr>
          <w:p w14:paraId="45D19D46" w14:textId="77777777" w:rsidR="001B3A90" w:rsidRPr="00A406E5" w:rsidRDefault="001B3A90" w:rsidP="009B22F0">
            <w:pPr>
              <w:spacing w:before="120" w:after="120"/>
              <w:jc w:val="both"/>
              <w:rPr>
                <w:rFonts w:ascii="Arial" w:hAnsi="Arial" w:cs="Arial"/>
                <w:b/>
              </w:rPr>
            </w:pPr>
            <w:r w:rsidRPr="00A406E5">
              <w:rPr>
                <w:rFonts w:ascii="Arial" w:hAnsi="Arial" w:cs="Arial"/>
                <w:b/>
              </w:rPr>
              <w:t>Student ID number:</w:t>
            </w:r>
          </w:p>
        </w:tc>
        <w:tc>
          <w:tcPr>
            <w:tcW w:w="2268" w:type="dxa"/>
          </w:tcPr>
          <w:p w14:paraId="158B53D5" w14:textId="77777777" w:rsidR="001B3A90" w:rsidRPr="00A406E5" w:rsidRDefault="001B3A90" w:rsidP="009B22F0">
            <w:pPr>
              <w:spacing w:before="120" w:after="120"/>
              <w:jc w:val="both"/>
              <w:rPr>
                <w:rFonts w:ascii="Arial" w:hAnsi="Arial" w:cs="Arial"/>
                <w:b/>
              </w:rPr>
            </w:pPr>
            <w:r>
              <w:rPr>
                <w:rFonts w:ascii="Arial" w:hAnsi="Arial" w:cs="Arial"/>
                <w:b/>
              </w:rPr>
              <w:t>1800961</w:t>
            </w:r>
          </w:p>
        </w:tc>
      </w:tr>
      <w:tr w:rsidR="001B3A90" w:rsidRPr="00A406E5" w14:paraId="21AE02C7" w14:textId="77777777" w:rsidTr="001B3A90">
        <w:tc>
          <w:tcPr>
            <w:tcW w:w="2093" w:type="dxa"/>
            <w:shd w:val="pct15" w:color="auto" w:fill="auto"/>
          </w:tcPr>
          <w:p w14:paraId="51286A33" w14:textId="77777777" w:rsidR="001B3A90" w:rsidRPr="00A406E5" w:rsidRDefault="001B3A90" w:rsidP="009B22F0">
            <w:pPr>
              <w:spacing w:before="120" w:after="120"/>
              <w:jc w:val="both"/>
              <w:rPr>
                <w:rFonts w:ascii="Arial" w:hAnsi="Arial" w:cs="Arial"/>
                <w:b/>
              </w:rPr>
            </w:pPr>
            <w:r w:rsidRPr="00A406E5">
              <w:rPr>
                <w:rFonts w:ascii="Arial" w:hAnsi="Arial" w:cs="Arial"/>
                <w:b/>
              </w:rPr>
              <w:t>Programme:</w:t>
            </w:r>
          </w:p>
        </w:tc>
        <w:tc>
          <w:tcPr>
            <w:tcW w:w="7829" w:type="dxa"/>
            <w:gridSpan w:val="3"/>
          </w:tcPr>
          <w:p w14:paraId="167F034B" w14:textId="77777777" w:rsidR="001B3A90" w:rsidRPr="00A406E5" w:rsidRDefault="001B3A90" w:rsidP="009B22F0">
            <w:pPr>
              <w:spacing w:before="120" w:after="120"/>
              <w:jc w:val="both"/>
              <w:rPr>
                <w:rFonts w:ascii="Arial" w:hAnsi="Arial" w:cs="Arial"/>
                <w:b/>
              </w:rPr>
            </w:pPr>
            <w:r>
              <w:rPr>
                <w:rFonts w:ascii="Arial" w:hAnsi="Arial" w:cs="Arial"/>
                <w:b/>
              </w:rPr>
              <w:t>Secondary PGCE</w:t>
            </w:r>
          </w:p>
        </w:tc>
      </w:tr>
      <w:tr w:rsidR="001B3A90" w:rsidRPr="00A406E5" w14:paraId="246A3CD5" w14:textId="77777777" w:rsidTr="001B3A90">
        <w:tc>
          <w:tcPr>
            <w:tcW w:w="2093" w:type="dxa"/>
            <w:shd w:val="pct15" w:color="auto" w:fill="auto"/>
          </w:tcPr>
          <w:p w14:paraId="2BAD5E6A" w14:textId="77777777" w:rsidR="001B3A90" w:rsidRPr="00A406E5" w:rsidRDefault="001B3A90" w:rsidP="009B22F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350BE558" w14:textId="77777777" w:rsidR="001B3A90" w:rsidRPr="00003938" w:rsidRDefault="001B3A90" w:rsidP="009B22F0">
            <w:pPr>
              <w:spacing w:before="100" w:beforeAutospacing="1" w:after="100" w:afterAutospacing="1"/>
            </w:pPr>
            <w:r>
              <w:rPr>
                <w:rFonts w:ascii="Arial" w:hAnsi="Arial" w:cs="Arial"/>
                <w:b/>
                <w:bCs/>
              </w:rPr>
              <w:t>Investigating Contemporary Issues in Secondary Education</w:t>
            </w:r>
          </w:p>
        </w:tc>
      </w:tr>
      <w:tr w:rsidR="001B3A90" w:rsidRPr="00A406E5" w14:paraId="415F791E" w14:textId="77777777" w:rsidTr="001B3A90">
        <w:tc>
          <w:tcPr>
            <w:tcW w:w="2093" w:type="dxa"/>
            <w:shd w:val="pct15" w:color="auto" w:fill="auto"/>
          </w:tcPr>
          <w:p w14:paraId="1AAC8562" w14:textId="77777777" w:rsidR="001B3A90" w:rsidRPr="00A406E5" w:rsidRDefault="001B3A90" w:rsidP="009B22F0">
            <w:pPr>
              <w:spacing w:before="120" w:after="120"/>
              <w:jc w:val="both"/>
              <w:rPr>
                <w:rFonts w:ascii="Arial" w:hAnsi="Arial" w:cs="Arial"/>
                <w:b/>
              </w:rPr>
            </w:pPr>
            <w:r w:rsidRPr="00A406E5">
              <w:rPr>
                <w:rFonts w:ascii="Arial" w:hAnsi="Arial" w:cs="Arial"/>
                <w:b/>
              </w:rPr>
              <w:t>Module code:</w:t>
            </w:r>
          </w:p>
        </w:tc>
        <w:tc>
          <w:tcPr>
            <w:tcW w:w="3293" w:type="dxa"/>
          </w:tcPr>
          <w:p w14:paraId="6785B772" w14:textId="77777777" w:rsidR="001B3A90" w:rsidRPr="00A406E5" w:rsidRDefault="001B3A90" w:rsidP="009B22F0">
            <w:pPr>
              <w:spacing w:before="120" w:after="120"/>
              <w:jc w:val="both"/>
              <w:rPr>
                <w:rFonts w:ascii="Arial" w:hAnsi="Arial" w:cs="Arial"/>
                <w:b/>
              </w:rPr>
            </w:pPr>
            <w:r>
              <w:rPr>
                <w:rFonts w:ascii="Arial" w:hAnsi="Arial" w:cs="Arial"/>
                <w:b/>
              </w:rPr>
              <w:t>ECSP7001</w:t>
            </w:r>
          </w:p>
        </w:tc>
        <w:tc>
          <w:tcPr>
            <w:tcW w:w="2268" w:type="dxa"/>
            <w:shd w:val="clear" w:color="auto" w:fill="D9D9D9"/>
          </w:tcPr>
          <w:p w14:paraId="0FDB8F1F" w14:textId="77777777" w:rsidR="001B3A90" w:rsidRPr="004D5E9B" w:rsidRDefault="001B3A90" w:rsidP="009B22F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0E51A7" w14:textId="77777777" w:rsidR="001B3A90" w:rsidRPr="00A406E5" w:rsidRDefault="001B3A90" w:rsidP="009B22F0">
            <w:pPr>
              <w:spacing w:before="120" w:after="120"/>
              <w:jc w:val="both"/>
              <w:rPr>
                <w:rFonts w:ascii="Arial" w:hAnsi="Arial" w:cs="Arial"/>
                <w:b/>
              </w:rPr>
            </w:pPr>
            <w:r>
              <w:rPr>
                <w:rFonts w:ascii="Arial" w:hAnsi="Arial" w:cs="Arial"/>
                <w:b/>
              </w:rPr>
              <w:t>100%</w:t>
            </w:r>
          </w:p>
        </w:tc>
      </w:tr>
      <w:tr w:rsidR="001B3A90" w:rsidRPr="00A406E5" w14:paraId="2EFB216D" w14:textId="77777777" w:rsidTr="001B3A90">
        <w:tc>
          <w:tcPr>
            <w:tcW w:w="2093" w:type="dxa"/>
            <w:shd w:val="pct15" w:color="auto" w:fill="auto"/>
          </w:tcPr>
          <w:p w14:paraId="06B63AB6" w14:textId="77777777" w:rsidR="001B3A90" w:rsidRPr="00A406E5" w:rsidRDefault="001B3A90" w:rsidP="009B22F0">
            <w:pPr>
              <w:spacing w:before="120" w:after="120"/>
              <w:jc w:val="both"/>
              <w:rPr>
                <w:rFonts w:ascii="Arial" w:hAnsi="Arial" w:cs="Arial"/>
                <w:b/>
              </w:rPr>
            </w:pPr>
            <w:r w:rsidRPr="00A406E5">
              <w:rPr>
                <w:rFonts w:ascii="Arial" w:hAnsi="Arial" w:cs="Arial"/>
                <w:b/>
              </w:rPr>
              <w:t>Lecturer:</w:t>
            </w:r>
          </w:p>
        </w:tc>
        <w:tc>
          <w:tcPr>
            <w:tcW w:w="3293" w:type="dxa"/>
          </w:tcPr>
          <w:p w14:paraId="17F6FE2F" w14:textId="77777777" w:rsidR="001B3A90" w:rsidRPr="00A406E5" w:rsidRDefault="001B3A90" w:rsidP="009B22F0">
            <w:pPr>
              <w:spacing w:before="120" w:after="120"/>
              <w:jc w:val="both"/>
              <w:rPr>
                <w:rFonts w:ascii="Arial" w:hAnsi="Arial" w:cs="Arial"/>
                <w:b/>
              </w:rPr>
            </w:pPr>
            <w:r>
              <w:rPr>
                <w:rFonts w:ascii="Arial" w:hAnsi="Arial" w:cs="Arial"/>
                <w:b/>
              </w:rPr>
              <w:t>Shân Samuel-Thomas</w:t>
            </w:r>
          </w:p>
        </w:tc>
        <w:tc>
          <w:tcPr>
            <w:tcW w:w="2268" w:type="dxa"/>
            <w:shd w:val="clear" w:color="auto" w:fill="D9D9D9"/>
          </w:tcPr>
          <w:p w14:paraId="79820F09" w14:textId="77777777" w:rsidR="001B3A90" w:rsidRPr="00A406E5" w:rsidRDefault="001B3A90" w:rsidP="009B22F0">
            <w:pPr>
              <w:spacing w:before="120" w:after="120"/>
              <w:jc w:val="both"/>
              <w:rPr>
                <w:rFonts w:ascii="Arial" w:hAnsi="Arial" w:cs="Arial"/>
                <w:b/>
              </w:rPr>
            </w:pPr>
            <w:r w:rsidRPr="00A406E5">
              <w:rPr>
                <w:rFonts w:ascii="Arial" w:hAnsi="Arial" w:cs="Arial"/>
                <w:b/>
              </w:rPr>
              <w:t>Internal Verifier:</w:t>
            </w:r>
          </w:p>
        </w:tc>
        <w:tc>
          <w:tcPr>
            <w:tcW w:w="2268" w:type="dxa"/>
          </w:tcPr>
          <w:p w14:paraId="0D87D4CB" w14:textId="77777777" w:rsidR="001B3A90" w:rsidRPr="00A406E5" w:rsidRDefault="001B3A90" w:rsidP="009B22F0">
            <w:pPr>
              <w:spacing w:before="120" w:after="120"/>
              <w:jc w:val="both"/>
              <w:rPr>
                <w:rFonts w:ascii="Arial" w:hAnsi="Arial" w:cs="Arial"/>
                <w:b/>
              </w:rPr>
            </w:pPr>
          </w:p>
        </w:tc>
      </w:tr>
      <w:tr w:rsidR="001B3A90" w:rsidRPr="00A406E5" w14:paraId="00EF1550" w14:textId="77777777" w:rsidTr="001B3A90">
        <w:tc>
          <w:tcPr>
            <w:tcW w:w="2093" w:type="dxa"/>
            <w:shd w:val="pct15" w:color="auto" w:fill="auto"/>
          </w:tcPr>
          <w:p w14:paraId="733E167B" w14:textId="77777777" w:rsidR="001B3A90" w:rsidRPr="00A406E5" w:rsidRDefault="001B3A90" w:rsidP="009B22F0">
            <w:pPr>
              <w:spacing w:before="120" w:after="120"/>
              <w:jc w:val="both"/>
              <w:rPr>
                <w:rFonts w:ascii="Arial" w:hAnsi="Arial" w:cs="Arial"/>
                <w:b/>
              </w:rPr>
            </w:pPr>
            <w:r w:rsidRPr="00A406E5">
              <w:rPr>
                <w:rFonts w:ascii="Arial" w:hAnsi="Arial" w:cs="Arial"/>
                <w:b/>
              </w:rPr>
              <w:t>Assignment Title:</w:t>
            </w:r>
          </w:p>
        </w:tc>
        <w:tc>
          <w:tcPr>
            <w:tcW w:w="3293" w:type="dxa"/>
          </w:tcPr>
          <w:p w14:paraId="2FF15C41" w14:textId="77777777" w:rsidR="001B3A90" w:rsidRDefault="001B3A90" w:rsidP="009B22F0">
            <w:pPr>
              <w:spacing w:before="100" w:beforeAutospacing="1" w:after="100" w:afterAutospacing="1"/>
            </w:pPr>
            <w:r>
              <w:rPr>
                <w:rFonts w:ascii="Arial" w:hAnsi="Arial" w:cs="Arial"/>
                <w:b/>
                <w:bCs/>
              </w:rPr>
              <w:t>Investigating Contemporary Issues in Secondary Education</w:t>
            </w:r>
          </w:p>
          <w:p w14:paraId="596CEEEC" w14:textId="77777777" w:rsidR="001B3A90" w:rsidRPr="00A406E5" w:rsidRDefault="001B3A90" w:rsidP="009B22F0">
            <w:pPr>
              <w:spacing w:before="120" w:after="120"/>
              <w:jc w:val="both"/>
              <w:rPr>
                <w:rFonts w:ascii="Arial" w:hAnsi="Arial" w:cs="Arial"/>
                <w:b/>
              </w:rPr>
            </w:pPr>
          </w:p>
        </w:tc>
        <w:tc>
          <w:tcPr>
            <w:tcW w:w="2268" w:type="dxa"/>
            <w:shd w:val="pct15" w:color="auto" w:fill="auto"/>
          </w:tcPr>
          <w:p w14:paraId="4316AE3F" w14:textId="77777777" w:rsidR="001B3A90" w:rsidRPr="00A406E5" w:rsidRDefault="001B3A90" w:rsidP="009B22F0">
            <w:pPr>
              <w:spacing w:before="120" w:after="120"/>
              <w:jc w:val="both"/>
              <w:rPr>
                <w:rFonts w:ascii="Arial" w:hAnsi="Arial" w:cs="Arial"/>
                <w:b/>
              </w:rPr>
            </w:pPr>
            <w:r>
              <w:rPr>
                <w:rFonts w:ascii="Arial" w:hAnsi="Arial" w:cs="Arial"/>
                <w:b/>
              </w:rPr>
              <w:t>Word count (or equivalent):</w:t>
            </w:r>
          </w:p>
        </w:tc>
        <w:tc>
          <w:tcPr>
            <w:tcW w:w="2268" w:type="dxa"/>
          </w:tcPr>
          <w:p w14:paraId="582790E9" w14:textId="77777777" w:rsidR="001B3A90" w:rsidRPr="00A406E5" w:rsidRDefault="001B3A90" w:rsidP="009B22F0">
            <w:pPr>
              <w:spacing w:before="120" w:after="120"/>
              <w:jc w:val="both"/>
              <w:rPr>
                <w:rFonts w:ascii="Arial" w:hAnsi="Arial" w:cs="Arial"/>
                <w:b/>
              </w:rPr>
            </w:pPr>
            <w:r>
              <w:rPr>
                <w:rFonts w:ascii="Arial" w:hAnsi="Arial" w:cs="Arial"/>
                <w:b/>
              </w:rPr>
              <w:t>5,000 words</w:t>
            </w:r>
          </w:p>
        </w:tc>
      </w:tr>
      <w:tr w:rsidR="001B3A90" w:rsidRPr="00A406E5" w14:paraId="054D1C90" w14:textId="77777777" w:rsidTr="001B3A90">
        <w:tc>
          <w:tcPr>
            <w:tcW w:w="2093" w:type="dxa"/>
            <w:shd w:val="pct15" w:color="auto" w:fill="auto"/>
          </w:tcPr>
          <w:p w14:paraId="6F11494B" w14:textId="77777777" w:rsidR="001B3A90" w:rsidRPr="00A406E5" w:rsidRDefault="001B3A90" w:rsidP="009B22F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535BB09" w14:textId="77777777" w:rsidR="001B3A90" w:rsidRDefault="001B3A90" w:rsidP="009B22F0">
            <w:pPr>
              <w:spacing w:before="120" w:after="120"/>
              <w:jc w:val="both"/>
              <w:rPr>
                <w:rFonts w:ascii="Arial" w:hAnsi="Arial" w:cs="Arial"/>
                <w:b/>
              </w:rPr>
            </w:pPr>
            <w:r>
              <w:rPr>
                <w:rFonts w:ascii="Arial" w:hAnsi="Arial" w:cs="Arial"/>
                <w:b/>
              </w:rPr>
              <w:t>January 28th 2019</w:t>
            </w:r>
          </w:p>
          <w:p w14:paraId="7954FFCA" w14:textId="77777777" w:rsidR="001B3A90" w:rsidRPr="00A406E5" w:rsidRDefault="001B3A90" w:rsidP="009B22F0">
            <w:pPr>
              <w:spacing w:before="120" w:after="120"/>
              <w:jc w:val="both"/>
              <w:rPr>
                <w:rFonts w:ascii="Arial" w:hAnsi="Arial" w:cs="Arial"/>
                <w:b/>
              </w:rPr>
            </w:pPr>
          </w:p>
        </w:tc>
        <w:tc>
          <w:tcPr>
            <w:tcW w:w="2268" w:type="dxa"/>
            <w:shd w:val="pct15" w:color="auto" w:fill="auto"/>
          </w:tcPr>
          <w:p w14:paraId="4CE5D913" w14:textId="77777777" w:rsidR="001B3A90" w:rsidRPr="00A406E5" w:rsidRDefault="001B3A90" w:rsidP="009B22F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28C58EF0" w14:textId="77777777" w:rsidR="001B3A90" w:rsidRDefault="001B3A90" w:rsidP="009B22F0">
            <w:pPr>
              <w:spacing w:before="120" w:after="120"/>
              <w:jc w:val="both"/>
              <w:rPr>
                <w:rFonts w:ascii="Arial" w:hAnsi="Arial" w:cs="Arial"/>
                <w:b/>
              </w:rPr>
            </w:pPr>
            <w:r>
              <w:rPr>
                <w:rFonts w:ascii="Arial" w:hAnsi="Arial" w:cs="Arial"/>
                <w:b/>
              </w:rPr>
              <w:t>February 19th 2019</w:t>
            </w:r>
          </w:p>
          <w:p w14:paraId="3E094948" w14:textId="77777777" w:rsidR="001B3A90" w:rsidRPr="00A406E5" w:rsidRDefault="001B3A90" w:rsidP="009B22F0">
            <w:pPr>
              <w:spacing w:before="120" w:after="120"/>
              <w:jc w:val="both"/>
              <w:rPr>
                <w:rFonts w:ascii="Arial" w:hAnsi="Arial" w:cs="Arial"/>
                <w:b/>
              </w:rPr>
            </w:pPr>
          </w:p>
        </w:tc>
      </w:tr>
      <w:tr w:rsidR="001B3A90" w:rsidRPr="00A406E5" w14:paraId="082F3481" w14:textId="77777777" w:rsidTr="001B3A90">
        <w:tc>
          <w:tcPr>
            <w:tcW w:w="2093" w:type="dxa"/>
            <w:shd w:val="pct15" w:color="auto" w:fill="auto"/>
          </w:tcPr>
          <w:p w14:paraId="7A4D65C6" w14:textId="77777777" w:rsidR="001B3A90" w:rsidRPr="00A406E5" w:rsidRDefault="001B3A90" w:rsidP="009B22F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646563E" w14:textId="77777777" w:rsidR="001B3A90" w:rsidRPr="00A406E5" w:rsidRDefault="001B3A90" w:rsidP="009B22F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673EFF" w14:textId="77777777" w:rsidR="001B3A90" w:rsidRPr="00A406E5" w:rsidRDefault="001B3A90" w:rsidP="009B22F0">
            <w:pPr>
              <w:spacing w:before="120" w:after="120"/>
              <w:jc w:val="both"/>
              <w:rPr>
                <w:rFonts w:ascii="Arial" w:hAnsi="Arial" w:cs="Arial"/>
                <w:b/>
              </w:rPr>
            </w:pPr>
            <w:r w:rsidRPr="00A406E5">
              <w:rPr>
                <w:rFonts w:ascii="Arial" w:hAnsi="Arial" w:cs="Arial"/>
                <w:b/>
              </w:rPr>
              <w:t xml:space="preserve">Alternative submission method (if applicable): </w:t>
            </w:r>
          </w:p>
          <w:p w14:paraId="3AE89880" w14:textId="77777777" w:rsidR="001B3A90" w:rsidRPr="00A406E5" w:rsidRDefault="001B3A90" w:rsidP="009B22F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1B3A90" w:rsidRPr="00A406E5" w14:paraId="7BF8F542" w14:textId="77777777" w:rsidTr="001B3A90">
        <w:tc>
          <w:tcPr>
            <w:tcW w:w="2093" w:type="dxa"/>
            <w:shd w:val="pct15" w:color="auto" w:fill="auto"/>
          </w:tcPr>
          <w:p w14:paraId="15FDEFB7" w14:textId="77777777" w:rsidR="001B3A90" w:rsidRPr="00A406E5" w:rsidRDefault="001B3A90" w:rsidP="009B22F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9E1F175" w14:textId="77777777" w:rsidR="001B3A90" w:rsidRPr="00A406E5" w:rsidRDefault="001B3A90" w:rsidP="009B22F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8E5EA6D" w14:textId="77777777" w:rsidR="001B3A90" w:rsidRPr="00A406E5" w:rsidRDefault="001B3A90" w:rsidP="001B3A90">
      <w:pPr>
        <w:rPr>
          <w:rFonts w:ascii="Arial" w:hAnsi="Arial" w:cs="Arial"/>
          <w:sz w:val="32"/>
        </w:rPr>
      </w:pPr>
    </w:p>
    <w:p w14:paraId="475F1E68" w14:textId="77777777" w:rsidR="001B3A90" w:rsidRPr="00A406E5" w:rsidRDefault="001B3A90" w:rsidP="001B3A90">
      <w:pPr>
        <w:rPr>
          <w:rFonts w:ascii="Arial" w:hAnsi="Arial" w:cs="Arial"/>
          <w:sz w:val="32"/>
        </w:rPr>
      </w:pPr>
    </w:p>
    <w:p w14:paraId="33F56A97" w14:textId="77777777" w:rsidR="00DB154B" w:rsidRDefault="00E52CDA" w:rsidP="001B3A90">
      <w:pPr>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Investigating Contemporary Issues in Secondary Education: Literacy and the Attainment Gap between Boys and Girls</w:t>
      </w:r>
    </w:p>
    <w:p w14:paraId="672A6659" w14:textId="77777777" w:rsidR="000641C4" w:rsidRDefault="000641C4" w:rsidP="00E52CDA">
      <w:pPr>
        <w:jc w:val="center"/>
        <w:rPr>
          <w:rFonts w:ascii="Times New Roman" w:hAnsi="Times New Roman" w:cs="Times New Roman"/>
          <w:sz w:val="24"/>
          <w:szCs w:val="24"/>
          <w:u w:val="single"/>
        </w:rPr>
      </w:pPr>
    </w:p>
    <w:p w14:paraId="3E7A9F1C" w14:textId="77777777" w:rsidR="00E52CDA" w:rsidRDefault="000641C4" w:rsidP="000641C4">
      <w:pPr>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2D1D91A9" w14:textId="0CECDFEF" w:rsidR="00E52CDA" w:rsidRDefault="00E52CDA" w:rsidP="18C6E72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According to the Welsh Assembly Government (2006), “in order to maintain the improvement in standards achieved in our schools, it will be necessary to focus increasingly on the relative under-achievement of boys compared to girls” (Estyn, 2008; Welsh Assembly Government, 2006).  </w:t>
      </w:r>
      <w:r w:rsidR="0008143C">
        <w:rPr>
          <w:rFonts w:ascii="Times New Roman" w:hAnsi="Times New Roman" w:cs="Times New Roman"/>
          <w:sz w:val="24"/>
          <w:szCs w:val="24"/>
        </w:rPr>
        <w:t xml:space="preserve">This was a key feature of the </w:t>
      </w:r>
      <w:r w:rsidR="0008143C" w:rsidRPr="18C6E729">
        <w:rPr>
          <w:rFonts w:ascii="Times New Roman" w:hAnsi="Times New Roman" w:cs="Times New Roman"/>
          <w:i/>
          <w:iCs/>
          <w:sz w:val="24"/>
          <w:szCs w:val="24"/>
        </w:rPr>
        <w:t xml:space="preserve">Learning Country: Vision into Action </w:t>
      </w:r>
      <w:r w:rsidR="0008143C">
        <w:rPr>
          <w:rFonts w:ascii="Times New Roman" w:hAnsi="Times New Roman" w:cs="Times New Roman"/>
          <w:sz w:val="24"/>
          <w:szCs w:val="24"/>
        </w:rPr>
        <w:t>report (2006) which highlighted the steps that schools need to take in order to improve performance in pupils and close the attainment gap between boys and girls in secondary education.  This issue, however, is not exclusive to education in Wales.  The attainment gap between boys and girls is evident across the United Kingdom, and most of the developed world, and has continued to be a significant issue in secondary education (Estyn, 2008).  This report will be focusing on the attainment gap in Welsh secondary schools, focusing on the development plan of School X; an English medium secondary school based in Swansea (</w:t>
      </w:r>
      <w:r w:rsidR="00DF76DB">
        <w:rPr>
          <w:rFonts w:ascii="Times New Roman" w:hAnsi="Times New Roman" w:cs="Times New Roman"/>
          <w:sz w:val="24"/>
          <w:szCs w:val="24"/>
        </w:rPr>
        <w:t>Estyn, 2015</w:t>
      </w:r>
      <w:r w:rsidR="0008143C">
        <w:rPr>
          <w:rFonts w:ascii="Times New Roman" w:hAnsi="Times New Roman" w:cs="Times New Roman"/>
          <w:sz w:val="24"/>
          <w:szCs w:val="24"/>
        </w:rPr>
        <w:t xml:space="preserve">).  </w:t>
      </w:r>
      <w:r w:rsidR="000641C4">
        <w:rPr>
          <w:rFonts w:ascii="Times New Roman" w:hAnsi="Times New Roman" w:cs="Times New Roman"/>
          <w:sz w:val="24"/>
          <w:szCs w:val="24"/>
        </w:rPr>
        <w:t xml:space="preserve">There needs to be a focus on the gender attainment gap in Wales because, despite a marked improvement in the overall attainment levels of pupils in assessments, GCSEs, and A levels over the last twenty years, Estyn reports still state that girls are continuing to outperform boys in most subjects (Estyn, 2008).  According to Estyn, boys in Wales are consistently gaining fewer GCSEs compared to girls (Estyn, 2008).  Therefore, a key focus of this report will be what School X can do in order to improve the progress of boys and reduce the gap in attainment between boys and girls across all key stages.  This is because the gap has been widening recently, and there has been less evidence of efforts to help reduce the gap in Wales, showing that more steps need to be taken to make progress on improving this issue (Estyn, 2008). </w:t>
      </w:r>
    </w:p>
    <w:p w14:paraId="52DD8347" w14:textId="6BF6E923" w:rsidR="000641C4" w:rsidRDefault="000641C4" w:rsidP="32D3F82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E71663">
        <w:rPr>
          <w:rFonts w:ascii="Times New Roman" w:hAnsi="Times New Roman" w:cs="Times New Roman"/>
          <w:sz w:val="24"/>
          <w:szCs w:val="24"/>
        </w:rPr>
        <w:t xml:space="preserve">A key factor which needs to be addressed when assessing the attainment gap between boys and girls is literacy.  </w:t>
      </w:r>
      <w:r w:rsidR="00053F01">
        <w:rPr>
          <w:rFonts w:ascii="Times New Roman" w:hAnsi="Times New Roman" w:cs="Times New Roman"/>
          <w:sz w:val="24"/>
          <w:szCs w:val="24"/>
        </w:rPr>
        <w:t xml:space="preserve">While a lesson common factor compared to others such as race, disability, and socioeconomic backgrounds, gender must be considered as to one of the biggest contributors to the gap in literacy proficiency and attainment between boys and girls (Lexia Learning, 2017).  Estyn (2008) consider literacy to be the most significant reason for boys struggling in secondary education, and they attribute the attainment gap to fewer boys achieving the level of literacy required for them to succeed, hence why girls continue to outperform boys across the key stages (Estyn, 2008).  </w:t>
      </w:r>
      <w:r w:rsidR="00F42A22">
        <w:rPr>
          <w:rFonts w:ascii="Times New Roman" w:hAnsi="Times New Roman" w:cs="Times New Roman"/>
          <w:sz w:val="24"/>
          <w:szCs w:val="24"/>
        </w:rPr>
        <w:t xml:space="preserve">This is particularly the case when it comes to written communication, and reading, although there is more focus on boys struggling with written literacy meaning they can encounter problems in accessing the whole of the school curriculum (Estyn, 2008; University of Bristol, 2016).  This can have a significant impact on boys’ ability to progress not only in language-based subjects in particular, such as English and History, but in all curriculum subjects because a degree of reading and communication skills are necessary for pupils to progress in school (Estyn, 2008).  Therefore, this report will be using the development of literacy in boys in School X as an example of the measures the school needs to take in reducing the attainment gap in boys and girls.  The report will mostly focus on the whole school approach using the school development plan, but in parts will draw on individual department plans, using the school’s history department as an example.  </w:t>
      </w:r>
    </w:p>
    <w:p w14:paraId="11386F13" w14:textId="24813A0D" w:rsidR="10E49924" w:rsidRDefault="10E49924" w:rsidP="10E49924">
      <w:pPr>
        <w:spacing w:line="480" w:lineRule="auto"/>
        <w:rPr>
          <w:rFonts w:ascii="Times New Roman" w:hAnsi="Times New Roman" w:cs="Times New Roman"/>
          <w:sz w:val="24"/>
          <w:szCs w:val="24"/>
        </w:rPr>
      </w:pPr>
      <w:r w:rsidRPr="10E49924">
        <w:rPr>
          <w:rFonts w:ascii="Times New Roman" w:hAnsi="Times New Roman" w:cs="Times New Roman"/>
          <w:sz w:val="24"/>
          <w:szCs w:val="24"/>
          <w:u w:val="single"/>
        </w:rPr>
        <w:t>School X and the School Development Plant</w:t>
      </w:r>
    </w:p>
    <w:p w14:paraId="69857DDB" w14:textId="48F579C3" w:rsidR="10E49924" w:rsidRDefault="18C6E729" w:rsidP="18C6E729">
      <w:pPr>
        <w:spacing w:line="480" w:lineRule="auto"/>
        <w:ind w:firstLine="720"/>
        <w:rPr>
          <w:rFonts w:ascii="Times New Roman" w:hAnsi="Times New Roman" w:cs="Times New Roman"/>
          <w:sz w:val="24"/>
          <w:szCs w:val="24"/>
        </w:rPr>
      </w:pPr>
      <w:r w:rsidRPr="18C6E729">
        <w:rPr>
          <w:rFonts w:ascii="Times New Roman" w:hAnsi="Times New Roman" w:cs="Times New Roman"/>
          <w:sz w:val="24"/>
          <w:szCs w:val="24"/>
        </w:rPr>
        <w:t>School X is an English medium, mixed, 11-19 secondary school based in Swansea (</w:t>
      </w:r>
      <w:r w:rsidR="00DF76DB">
        <w:rPr>
          <w:rFonts w:ascii="Times New Roman" w:hAnsi="Times New Roman" w:cs="Times New Roman"/>
          <w:sz w:val="24"/>
          <w:szCs w:val="24"/>
        </w:rPr>
        <w:t>Estyn, 2015</w:t>
      </w:r>
      <w:r w:rsidRPr="18C6E729">
        <w:rPr>
          <w:rFonts w:ascii="Times New Roman" w:hAnsi="Times New Roman" w:cs="Times New Roman"/>
          <w:sz w:val="24"/>
          <w:szCs w:val="24"/>
        </w:rPr>
        <w:t>).  The school published its most recent development plan in September 2018, which details its planned projects to aid the development of the school across the 2018-2019 academic year (</w:t>
      </w:r>
      <w:r w:rsidR="00DF76DB">
        <w:rPr>
          <w:rFonts w:ascii="Times New Roman" w:hAnsi="Times New Roman" w:cs="Times New Roman"/>
          <w:sz w:val="24"/>
          <w:szCs w:val="24"/>
        </w:rPr>
        <w:t>Appendix 1</w:t>
      </w:r>
      <w:r w:rsidRPr="18C6E729">
        <w:rPr>
          <w:rFonts w:ascii="Times New Roman" w:hAnsi="Times New Roman" w:cs="Times New Roman"/>
          <w:sz w:val="24"/>
          <w:szCs w:val="24"/>
        </w:rPr>
        <w:t xml:space="preserve">).  The projects are divided into three key areas of focus: achieving outstanding pupil outcomes, provision that inspires and enthuses, and highly </w:t>
      </w:r>
      <w:r w:rsidRPr="18C6E729">
        <w:rPr>
          <w:rFonts w:ascii="Times New Roman" w:hAnsi="Times New Roman" w:cs="Times New Roman"/>
          <w:sz w:val="24"/>
          <w:szCs w:val="24"/>
        </w:rPr>
        <w:lastRenderedPageBreak/>
        <w:t>effective leadership and teaching (</w:t>
      </w:r>
      <w:r w:rsidR="00DF76DB">
        <w:rPr>
          <w:rFonts w:ascii="Times New Roman" w:hAnsi="Times New Roman" w:cs="Times New Roman"/>
          <w:sz w:val="24"/>
          <w:szCs w:val="24"/>
        </w:rPr>
        <w:t>Appendix 1</w:t>
      </w:r>
      <w:r w:rsidRPr="18C6E729">
        <w:rPr>
          <w:rFonts w:ascii="Times New Roman" w:hAnsi="Times New Roman" w:cs="Times New Roman"/>
          <w:sz w:val="24"/>
          <w:szCs w:val="24"/>
        </w:rPr>
        <w:t xml:space="preserve">).  This report will be focusing on the projects related to achieving outstanding pupil outcomes, as this section is where the school will be highlighting issues concerning the attainment gap between boys and girls and developing pupils’ literacy using the most effective strategies to improve the gap in literacy skills between boys and girls.  Each project is assigned to a dedicated team of staff who will continue to work towards achieving the solutions outlined in the school development plan throughout the course of the academic year.  </w:t>
      </w:r>
    </w:p>
    <w:p w14:paraId="14A11B9D" w14:textId="02322FA1" w:rsidR="10E49924" w:rsidRDefault="10E49924" w:rsidP="10E49924">
      <w:pPr>
        <w:spacing w:line="480" w:lineRule="auto"/>
        <w:ind w:firstLine="720"/>
        <w:rPr>
          <w:rFonts w:ascii="Times New Roman" w:hAnsi="Times New Roman" w:cs="Times New Roman"/>
          <w:sz w:val="24"/>
          <w:szCs w:val="24"/>
        </w:rPr>
      </w:pPr>
      <w:r w:rsidRPr="10E49924">
        <w:rPr>
          <w:rFonts w:ascii="Times New Roman" w:hAnsi="Times New Roman" w:cs="Times New Roman"/>
          <w:sz w:val="24"/>
          <w:szCs w:val="24"/>
        </w:rPr>
        <w:t>Reducing the attainment gap between boys and girls is highlighted in the first section of the school’s development plan, which focuses on attainment in pupils with additional learning needs (ALN) and boys; the focus of this report will be solely on the attainment in boys compared to girls.  This project will involve working with all departments across the school to ensure that there is enough provision for boys to continue working towards reducing the attainment gap and building upon progress made in previous years.  There will be continued monitoring of the progress of boys throughout the school to enable them to reach the level 1, level 2 and level 2+ thresholds (</w:t>
      </w:r>
      <w:r w:rsidR="00DF76DB">
        <w:rPr>
          <w:rFonts w:ascii="Times New Roman" w:hAnsi="Times New Roman" w:cs="Times New Roman"/>
          <w:sz w:val="24"/>
          <w:szCs w:val="24"/>
        </w:rPr>
        <w:t>Appendix 1</w:t>
      </w:r>
      <w:r w:rsidRPr="10E49924">
        <w:rPr>
          <w:rFonts w:ascii="Times New Roman" w:hAnsi="Times New Roman" w:cs="Times New Roman"/>
          <w:sz w:val="24"/>
          <w:szCs w:val="24"/>
        </w:rPr>
        <w:t xml:space="preserve">).  The school aims to reduce the attainment between boys and girls to 8% from around 15%.  In order for the school to achieve these aims by the end of the current academic year, the main focus for the project team will be to review current strategies adopted by individual departments which aim to support boys and improve their attainment, something which has been reviewed in the school over the first term (September-November).  There will also be a degree of emphasis on ensuring that pedagogical strategies that are suitable for boys (for example, kinaesthetic learning) are used effectively in schemes of work in order to assess which methods of learning work better for boys and can be implemented across the school in order to develop their progress across all areas of the curriculum.  Curriculum leaders will identify areas of best practice in order for the project to run effectively and for the success criteria outlined in </w:t>
      </w:r>
      <w:r w:rsidRPr="10E49924">
        <w:rPr>
          <w:rFonts w:ascii="Times New Roman" w:hAnsi="Times New Roman" w:cs="Times New Roman"/>
          <w:sz w:val="24"/>
          <w:szCs w:val="24"/>
        </w:rPr>
        <w:lastRenderedPageBreak/>
        <w:t xml:space="preserve">the plan to be achieved and assess the impact of various strategies when implemented in the classroom.  The school aims to complete the projects being introduced to improve the attainment of boys in comparison with girls by the end of the academic year, working continuously to achieve these aims through to July 2019.  </w:t>
      </w:r>
    </w:p>
    <w:p w14:paraId="11D7AA5E" w14:textId="4CD2D733" w:rsidR="10E49924" w:rsidRDefault="10E49924" w:rsidP="10E49924">
      <w:pPr>
        <w:spacing w:line="480" w:lineRule="auto"/>
        <w:ind w:firstLine="720"/>
        <w:rPr>
          <w:rFonts w:ascii="Times New Roman" w:hAnsi="Times New Roman" w:cs="Times New Roman"/>
          <w:sz w:val="24"/>
          <w:szCs w:val="24"/>
        </w:rPr>
      </w:pPr>
      <w:r w:rsidRPr="10E49924">
        <w:rPr>
          <w:rFonts w:ascii="Times New Roman" w:hAnsi="Times New Roman" w:cs="Times New Roman"/>
          <w:sz w:val="24"/>
          <w:szCs w:val="24"/>
        </w:rPr>
        <w:t>Further to aiming to close the overall attainment gap between boys and girls, School X is placing significant focus on the improvement of literacy across the school in order to achieve outstanding outcomes in pupil progress (</w:t>
      </w:r>
      <w:r w:rsidR="00DF76DB">
        <w:rPr>
          <w:rFonts w:ascii="Times New Roman" w:hAnsi="Times New Roman" w:cs="Times New Roman"/>
          <w:sz w:val="24"/>
          <w:szCs w:val="24"/>
        </w:rPr>
        <w:t>Appendix 1</w:t>
      </w:r>
      <w:r w:rsidRPr="10E49924">
        <w:rPr>
          <w:rFonts w:ascii="Times New Roman" w:hAnsi="Times New Roman" w:cs="Times New Roman"/>
          <w:sz w:val="24"/>
          <w:szCs w:val="24"/>
        </w:rPr>
        <w:t xml:space="preserve">).  The development projects outlined in this section aim to develop oral literacy, reading and written literacy skills of pupils across the school and the curriculum over the course of the academic year, and ensuring the provision of the most effective strategies for literacy improvement across all areas, including during tutor time or registration at the start of the day.  School X operates a vertical tutoring system, where tutor groups are mixed, which encourages pupils in senior years at the school are, along with the form tutors, able to support pupils in the lower school in a range of skills such as literacy through the activities coordinated during tutor time.  This links to a suggested strategy through which the school suggests developing methods for improving writing and reading in pupils that can be carried out in short periods of time, such as the tutor time sessions.  For the school to identify what strategies can be introduced and how to implement them, the development team first need to identify the key areas of weakness in pupils’ literacy </w:t>
      </w:r>
      <w:r w:rsidR="00D61BD3">
        <w:rPr>
          <w:rFonts w:ascii="Times New Roman" w:hAnsi="Times New Roman" w:cs="Times New Roman"/>
          <w:sz w:val="24"/>
          <w:szCs w:val="24"/>
        </w:rPr>
        <w:t>in order for them to achieve the success criteria included in the development plan; clear improvement shown in end of key stage assessments and norm-referenced tests (NRTs), as well as ensuring 90% level 5 attainment for pupils at key stage 3 (</w:t>
      </w:r>
      <w:r w:rsidR="00DF76DB">
        <w:rPr>
          <w:rFonts w:ascii="Times New Roman" w:hAnsi="Times New Roman" w:cs="Times New Roman"/>
          <w:sz w:val="24"/>
          <w:szCs w:val="24"/>
        </w:rPr>
        <w:t>Appendix 1</w:t>
      </w:r>
      <w:r w:rsidR="00D61BD3">
        <w:rPr>
          <w:rFonts w:ascii="Times New Roman" w:hAnsi="Times New Roman" w:cs="Times New Roman"/>
          <w:sz w:val="24"/>
          <w:szCs w:val="24"/>
        </w:rPr>
        <w:t xml:space="preserve">).  </w:t>
      </w:r>
    </w:p>
    <w:p w14:paraId="089EA849" w14:textId="614408C6" w:rsidR="00C064EB" w:rsidRDefault="00D61BD3" w:rsidP="00C064EB">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terms of developing literacy skills to help reduce the attainment gap between boys and girls, this section of the development plan identifies activities which can be used to develop literacy in boys in order to aid their levels of attainment (</w:t>
      </w:r>
      <w:r w:rsidR="00DF76DB">
        <w:rPr>
          <w:rFonts w:ascii="Times New Roman" w:hAnsi="Times New Roman" w:cs="Times New Roman"/>
          <w:sz w:val="24"/>
          <w:szCs w:val="24"/>
        </w:rPr>
        <w:t>Appendix 1</w:t>
      </w:r>
      <w:r>
        <w:rPr>
          <w:rFonts w:ascii="Times New Roman" w:hAnsi="Times New Roman" w:cs="Times New Roman"/>
          <w:sz w:val="24"/>
          <w:szCs w:val="24"/>
        </w:rPr>
        <w:t xml:space="preserve">).  Developing </w:t>
      </w:r>
      <w:r>
        <w:rPr>
          <w:rFonts w:ascii="Times New Roman" w:hAnsi="Times New Roman" w:cs="Times New Roman"/>
          <w:sz w:val="24"/>
          <w:szCs w:val="24"/>
        </w:rPr>
        <w:lastRenderedPageBreak/>
        <w:t xml:space="preserve">literacy skills in boys starts from the moment they start in secondary school, with a dedicated Literacy Coordinator who will work with the project team to help develop oral literacy skills in boys in year 7, in order to set them up for the rest of their time in secondary school.  </w:t>
      </w:r>
      <w:r w:rsidR="009B0DE8">
        <w:rPr>
          <w:rFonts w:ascii="Times New Roman" w:hAnsi="Times New Roman" w:cs="Times New Roman"/>
          <w:sz w:val="24"/>
          <w:szCs w:val="24"/>
        </w:rPr>
        <w:t xml:space="preserve">Developing oral literacy can improve pupils’ written literacy and makes them more confident in articulating their ideas orally which can then be translated into their written work (Kitson et al., 2011).  School X aims to do this by introducing speaking and writing frames in order to provide support and scaffolding for boys to ensure they are able to effectively articulate ideas and improve their oral and written literacy.  The project team will work in collaboration with the English department in the school to help the development of boys’ writing skills, focusing on their development at key stage 3. Speaking and writing frames will be developed as advised by the English department to support boys in their extended writing and work towards improving attainment levels across the curriculum to ensure high attainment in their end of key stage 3 assessments in all subjects.   </w:t>
      </w:r>
    </w:p>
    <w:p w14:paraId="4AC22417" w14:textId="69D23104" w:rsidR="006D79D0" w:rsidRDefault="00C064EB" w:rsidP="000F226C">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history department in School X also makes reference to its plans for the improvement of pupil attainment at key stage 3, which links to the whole school approach to reducing the attainment gap between boys and girls.  The history development plan (</w:t>
      </w:r>
      <w:r w:rsidR="00DF76DB">
        <w:rPr>
          <w:rFonts w:ascii="Times New Roman" w:hAnsi="Times New Roman" w:cs="Times New Roman"/>
          <w:sz w:val="24"/>
          <w:szCs w:val="24"/>
        </w:rPr>
        <w:t>Appendix 2</w:t>
      </w:r>
      <w:r>
        <w:rPr>
          <w:rFonts w:ascii="Times New Roman" w:hAnsi="Times New Roman" w:cs="Times New Roman"/>
          <w:sz w:val="24"/>
          <w:szCs w:val="24"/>
        </w:rPr>
        <w:t xml:space="preserve">) places focus on improving pupil progress across key stage 3, 4 and 5 by using end of term and end of key stage assessments to effectively measure pupil progress throughout the 2018-2019 academic year to evaluate improvement compared to 2017-2018.  The main focus is on key stage 3, as this is where pupils need to develop their literacy more in order to help them progress to GCSE and beyond, and the gender attainment gap is often at its widest at key stage 3 going into key stage 4 (Department for Education and Skills, 2007).  </w:t>
      </w:r>
      <w:r w:rsidR="000F226C">
        <w:rPr>
          <w:rFonts w:ascii="Times New Roman" w:hAnsi="Times New Roman" w:cs="Times New Roman"/>
          <w:sz w:val="24"/>
          <w:szCs w:val="24"/>
        </w:rPr>
        <w:t xml:space="preserve">School X’s history department aims to increase the number of pupils by percentage who are achieving level 5 or above at key stage 3 by examining the assessment process and considering the best methods of assessment which can have an influence on improving pupil </w:t>
      </w:r>
      <w:r w:rsidR="000F226C">
        <w:rPr>
          <w:rFonts w:ascii="Times New Roman" w:hAnsi="Times New Roman" w:cs="Times New Roman"/>
          <w:sz w:val="24"/>
          <w:szCs w:val="24"/>
        </w:rPr>
        <w:lastRenderedPageBreak/>
        <w:t>progress and give a more accurate indication of this (</w:t>
      </w:r>
      <w:r w:rsidR="00DF76DB">
        <w:rPr>
          <w:rFonts w:ascii="Times New Roman" w:hAnsi="Times New Roman" w:cs="Times New Roman"/>
          <w:sz w:val="24"/>
          <w:szCs w:val="24"/>
        </w:rPr>
        <w:t>Appendix 2</w:t>
      </w:r>
      <w:r w:rsidR="000F226C">
        <w:rPr>
          <w:rFonts w:ascii="Times New Roman" w:hAnsi="Times New Roman" w:cs="Times New Roman"/>
          <w:sz w:val="24"/>
          <w:szCs w:val="24"/>
        </w:rPr>
        <w:t>).  In terms of improving literacy, the department aims to implement more oral assessment for lower ability pupils in order to improve their oral literacy, which in turn will help them to progress their written literacy.  This links to the school development plan to use speaking frames as a basis for assessments so that pupils can use oral skills to help their writing skills (</w:t>
      </w:r>
      <w:r w:rsidR="00DF76DB">
        <w:rPr>
          <w:rFonts w:ascii="Times New Roman" w:hAnsi="Times New Roman" w:cs="Times New Roman"/>
          <w:sz w:val="24"/>
          <w:szCs w:val="24"/>
        </w:rPr>
        <w:t>Appendix 1</w:t>
      </w:r>
      <w:r w:rsidR="000F226C">
        <w:rPr>
          <w:rFonts w:ascii="Times New Roman" w:hAnsi="Times New Roman" w:cs="Times New Roman"/>
          <w:sz w:val="24"/>
          <w:szCs w:val="24"/>
        </w:rPr>
        <w:t xml:space="preserve">; </w:t>
      </w:r>
      <w:r w:rsidR="00DF76DB">
        <w:rPr>
          <w:rFonts w:ascii="Times New Roman" w:hAnsi="Times New Roman" w:cs="Times New Roman"/>
          <w:sz w:val="24"/>
          <w:szCs w:val="24"/>
        </w:rPr>
        <w:t>Appendix 2</w:t>
      </w:r>
      <w:r w:rsidR="000F226C">
        <w:rPr>
          <w:rFonts w:ascii="Times New Roman" w:hAnsi="Times New Roman" w:cs="Times New Roman"/>
          <w:sz w:val="24"/>
          <w:szCs w:val="24"/>
        </w:rPr>
        <w:t xml:space="preserve">).  For written assessments, the history department plans to use a range of new assessment method, each with clear and focused success criteria.  An example of these methods </w:t>
      </w:r>
      <w:r w:rsidR="006D79D0">
        <w:rPr>
          <w:rFonts w:ascii="Times New Roman" w:hAnsi="Times New Roman" w:cs="Times New Roman"/>
          <w:sz w:val="24"/>
          <w:szCs w:val="24"/>
        </w:rPr>
        <w:t>is to shorten assessments and increase their frequency, therefore giving teachers and progress leaders a more accurate interpretation of pupil progress in history.  This is referenced in the whole school development plan’s aims for clear improvement in end of key stage assessments and NRTs, which will help work towards improving the percentage of pupils achieving level 5 and above at key stage 3 (</w:t>
      </w:r>
      <w:r w:rsidR="00DF76DB">
        <w:rPr>
          <w:rFonts w:ascii="Times New Roman" w:hAnsi="Times New Roman" w:cs="Times New Roman"/>
          <w:sz w:val="24"/>
          <w:szCs w:val="24"/>
        </w:rPr>
        <w:t>Appendix 1</w:t>
      </w:r>
      <w:r w:rsidR="006D79D0">
        <w:rPr>
          <w:rFonts w:ascii="Times New Roman" w:hAnsi="Times New Roman" w:cs="Times New Roman"/>
          <w:sz w:val="24"/>
          <w:szCs w:val="24"/>
        </w:rPr>
        <w:t xml:space="preserve">; </w:t>
      </w:r>
      <w:r w:rsidR="00DF76DB">
        <w:rPr>
          <w:rFonts w:ascii="Times New Roman" w:hAnsi="Times New Roman" w:cs="Times New Roman"/>
          <w:sz w:val="24"/>
          <w:szCs w:val="24"/>
        </w:rPr>
        <w:t>Appendix 2</w:t>
      </w:r>
      <w:r w:rsidR="006D79D0">
        <w:rPr>
          <w:rFonts w:ascii="Times New Roman" w:hAnsi="Times New Roman" w:cs="Times New Roman"/>
          <w:sz w:val="24"/>
          <w:szCs w:val="24"/>
        </w:rPr>
        <w:t xml:space="preserve">). </w:t>
      </w:r>
    </w:p>
    <w:p w14:paraId="0A37501D" w14:textId="2FF7BC95" w:rsidR="00053F01" w:rsidRDefault="006D79D0" w:rsidP="00E52CDA">
      <w:p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 </w:t>
      </w:r>
      <w:r>
        <w:rPr>
          <w:rFonts w:ascii="Times New Roman" w:hAnsi="Times New Roman" w:cs="Times New Roman"/>
          <w:sz w:val="24"/>
          <w:szCs w:val="24"/>
          <w:u w:val="single"/>
        </w:rPr>
        <w:t>Strategic Planning</w:t>
      </w:r>
    </w:p>
    <w:p w14:paraId="5DAB6C7B" w14:textId="12851DCD" w:rsidR="00053F01" w:rsidRDefault="006D79D0" w:rsidP="4412541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There has been strong emphasis placed on the necessity of strategic planning </w:t>
      </w:r>
      <w:r w:rsidR="00E1126C">
        <w:rPr>
          <w:rFonts w:ascii="Times New Roman" w:hAnsi="Times New Roman" w:cs="Times New Roman"/>
          <w:sz w:val="24"/>
          <w:szCs w:val="24"/>
        </w:rPr>
        <w:t>in recent years, and there have been constant calls to review the process of pupil success in schools and the methods that are applied in order to effectively measure progress (Rutherford, 2009; Tyack and Cuban, 1995).  “Those who plan to learn must learn to plan” says Camille Rutherford (2009), suggesting that schools must be prepared to devise detailed development and improvement plans if they want to succeed in improving the achievements of their pupils, and must prepare for a long planning process in order to assess the best methods for school improvement.  It is highly imperative for teachers to gain a clear understanding of the need for strategic planning in schools</w:t>
      </w:r>
      <w:r w:rsidR="00F73113">
        <w:rPr>
          <w:rFonts w:ascii="Times New Roman" w:hAnsi="Times New Roman" w:cs="Times New Roman"/>
          <w:sz w:val="24"/>
          <w:szCs w:val="24"/>
        </w:rPr>
        <w:t xml:space="preserve"> and the process of educational change in order for their planned changes to happen effectively (Rutherford, 2009).  While the ideas of change have been available to schools for decades, very few institutions have made a conscious effort to apply these methods in order to put theory into practice and aid significant change in schools </w:t>
      </w:r>
      <w:r w:rsidR="00F73113">
        <w:rPr>
          <w:rFonts w:ascii="Times New Roman" w:hAnsi="Times New Roman" w:cs="Times New Roman"/>
          <w:sz w:val="24"/>
          <w:szCs w:val="24"/>
        </w:rPr>
        <w:lastRenderedPageBreak/>
        <w:t xml:space="preserve">(Joyner, 1998; Tyack and Cuban, 1995).  Therefore there is clearly a need for the development of strategic planning in schools today.  </w:t>
      </w:r>
      <w:r w:rsidR="004D73FD">
        <w:rPr>
          <w:rFonts w:ascii="Times New Roman" w:hAnsi="Times New Roman" w:cs="Times New Roman"/>
          <w:sz w:val="24"/>
          <w:szCs w:val="24"/>
        </w:rPr>
        <w:t xml:space="preserve">For schools to make effective use of strategic planning and get as much as they can out of it, school development plans need to be based on initial planning frameworks and build a foundation for change (Rutherford, 2009; Berman and McLaughlin, 1976).  The initiation stage is integral to the success of strategic planning, as it can only work effectively if there is an emphasis on planning activities which demonstrate a school’s ability to welcome and implement change, and the school’s commitment to the changed outlined in a development plan (Berman and McLaughlin, 1976). </w:t>
      </w:r>
    </w:p>
    <w:p w14:paraId="7DC0F0B8" w14:textId="2326D977" w:rsidR="00780620" w:rsidRPr="00E1126C" w:rsidRDefault="00780620" w:rsidP="44125411">
      <w:pPr>
        <w:spacing w:line="480" w:lineRule="auto"/>
        <w:rPr>
          <w:rFonts w:ascii="Times New Roman" w:hAnsi="Times New Roman" w:cs="Times New Roman"/>
          <w:sz w:val="24"/>
          <w:szCs w:val="24"/>
        </w:rPr>
      </w:pPr>
      <w:r>
        <w:rPr>
          <w:rFonts w:ascii="Times New Roman" w:hAnsi="Times New Roman" w:cs="Times New Roman"/>
          <w:sz w:val="24"/>
          <w:szCs w:val="24"/>
        </w:rPr>
        <w:tab/>
        <w:t>The necessity of strategic planning and an evaluation of the</w:t>
      </w:r>
      <w:r w:rsidR="003E2315">
        <w:rPr>
          <w:rFonts w:ascii="Times New Roman" w:hAnsi="Times New Roman" w:cs="Times New Roman"/>
          <w:sz w:val="24"/>
          <w:szCs w:val="24"/>
        </w:rPr>
        <w:t xml:space="preserve"> methods used by schools in their</w:t>
      </w:r>
      <w:r>
        <w:rPr>
          <w:rFonts w:ascii="Times New Roman" w:hAnsi="Times New Roman" w:cs="Times New Roman"/>
          <w:sz w:val="24"/>
          <w:szCs w:val="24"/>
        </w:rPr>
        <w:t xml:space="preserve"> development plans is highlighted by Brent Davies and Linda Ellison (2003), who argue that in order to develop and improve school performance to a high standard, schools need to move away from short term planning and move their focus to a more strategic method of planning and development (Davies and Ellison, 2003).  </w:t>
      </w:r>
      <w:r w:rsidR="00F566B8">
        <w:rPr>
          <w:rFonts w:ascii="Times New Roman" w:hAnsi="Times New Roman" w:cs="Times New Roman"/>
          <w:sz w:val="24"/>
          <w:szCs w:val="24"/>
        </w:rPr>
        <w:t>They also highlight the importance of basing strategic planning on a “futures perspective,” which means the school should base its strategic development planning model on medium- to long-term planning and link it directly to pupils (Davies and Ellison, 2003.)  Put simply, this means considering what the school will be doing for a year 7 when they first come to the school, and how the school improvement plan is going to help the development of the pupil by the time they reach the sixth form.  While both authors claim that short-term development plans do often work well in most schools, there is now evidence which suggests planning needs to be set out in a broader framework, therefore highlighting the need for long-term strategic development plans in sc</w:t>
      </w:r>
      <w:r w:rsidR="004D73FD">
        <w:rPr>
          <w:rFonts w:ascii="Times New Roman" w:hAnsi="Times New Roman" w:cs="Times New Roman"/>
          <w:sz w:val="24"/>
          <w:szCs w:val="24"/>
        </w:rPr>
        <w:t>hools (Davies and Ellison, 2003</w:t>
      </w:r>
      <w:r w:rsidR="00F566B8">
        <w:rPr>
          <w:rFonts w:ascii="Times New Roman" w:hAnsi="Times New Roman" w:cs="Times New Roman"/>
          <w:sz w:val="24"/>
          <w:szCs w:val="24"/>
        </w:rPr>
        <w:t>)</w:t>
      </w:r>
      <w:r w:rsidR="004D73FD">
        <w:rPr>
          <w:rFonts w:ascii="Times New Roman" w:hAnsi="Times New Roman" w:cs="Times New Roman"/>
          <w:sz w:val="24"/>
          <w:szCs w:val="24"/>
        </w:rPr>
        <w:t>.</w:t>
      </w:r>
      <w:r w:rsidR="00F566B8">
        <w:rPr>
          <w:rFonts w:ascii="Times New Roman" w:hAnsi="Times New Roman" w:cs="Times New Roman"/>
          <w:sz w:val="24"/>
          <w:szCs w:val="24"/>
        </w:rPr>
        <w:t xml:space="preserve"> </w:t>
      </w:r>
      <w:r w:rsidR="00534792">
        <w:rPr>
          <w:rFonts w:ascii="Times New Roman" w:hAnsi="Times New Roman" w:cs="Times New Roman"/>
          <w:sz w:val="24"/>
          <w:szCs w:val="24"/>
        </w:rPr>
        <w:t xml:space="preserve"> Furthermore, Davies and Ellison (2003) explain that strategic planning needs to be based on strategic intent, meaning that schools must be aware of things that need to be changed and where they want to be in, for example, three years.  </w:t>
      </w:r>
      <w:r w:rsidR="004D73FD">
        <w:rPr>
          <w:rFonts w:ascii="Times New Roman" w:hAnsi="Times New Roman" w:cs="Times New Roman"/>
          <w:sz w:val="24"/>
          <w:szCs w:val="24"/>
        </w:rPr>
        <w:t xml:space="preserve">This is similar to Rutherford’s (2009) approach that highlights the need for initial planning </w:t>
      </w:r>
      <w:r w:rsidR="004D73FD">
        <w:rPr>
          <w:rFonts w:ascii="Times New Roman" w:hAnsi="Times New Roman" w:cs="Times New Roman"/>
          <w:sz w:val="24"/>
          <w:szCs w:val="24"/>
        </w:rPr>
        <w:lastRenderedPageBreak/>
        <w:t>frameworks and activities to make the strategic planning process easier for schools (Rutherford, 2009).  For Davies and Ellison (2003)</w:t>
      </w:r>
      <w:r w:rsidR="00534792">
        <w:rPr>
          <w:rFonts w:ascii="Times New Roman" w:hAnsi="Times New Roman" w:cs="Times New Roman"/>
          <w:sz w:val="24"/>
          <w:szCs w:val="24"/>
        </w:rPr>
        <w:t xml:space="preserve"> school is an example of an environment with low to medium rates of change, therefore strategic planning helps schools to react to change and develop effective plans to deal with and implement effective changes to aid the progression of pupils (Davies and Ellison, 2003).  Strategic plans are a “benchmark” for school progress, making it easier to assess if change is being made successfully to develop school performance, and existing data can be used to ensure the school is meeting the success criteria detailed in its school development plan (Davies and Ellison, 2003).   </w:t>
      </w:r>
    </w:p>
    <w:p w14:paraId="1855CC1D" w14:textId="149E7B63" w:rsidR="44125411" w:rsidRDefault="18C6E729" w:rsidP="18C6E729">
      <w:pPr>
        <w:spacing w:line="480" w:lineRule="auto"/>
        <w:ind w:firstLine="720"/>
        <w:rPr>
          <w:rFonts w:ascii="Times New Roman" w:hAnsi="Times New Roman" w:cs="Times New Roman"/>
          <w:sz w:val="24"/>
          <w:szCs w:val="24"/>
        </w:rPr>
      </w:pPr>
      <w:r w:rsidRPr="18C6E729">
        <w:rPr>
          <w:rFonts w:ascii="Times New Roman" w:hAnsi="Times New Roman" w:cs="Times New Roman"/>
          <w:sz w:val="24"/>
          <w:szCs w:val="24"/>
        </w:rPr>
        <w:t xml:space="preserve">Further to this, Eric Cheng (2013) identifies the application of knowledge management as a key factor in the success of strategic planning in schools.  Knowledge management means the use of relevant knowledge and information in the school development process and assessing critical success factors to further improve the quality of the school’s strategic planning potential (Cheng, 2013).  Cheng’s article agrees with the claims of Davies and Ellison (2003) that initial planning activities are integral in strategic planning in schools and the application of knowledge management had a positive impact on the success of development plans in schools where strategic planning methods were implemented, thus highlighting the need for extensive, long-term development plans if schools are to succeed in delivering change (Cheng, 2013).  The article focused on a case study with a selection of teachers from primary and secondary schools, using a survey to identify the most effective methods of knowledge management that had the most significant impact on the success rate of strategic planning in schools.  The study found that the most effective methods of knowledge management in schools were knowledge management vision, knowledge sharing culture and the use of Information Technology (IT) (Cheng, 2013).  According to Cheng (2013), the use of knowledge management can improve school development in several areas, including the development of pupil performance and literacy, something which will be </w:t>
      </w:r>
      <w:r w:rsidRPr="18C6E729">
        <w:rPr>
          <w:rFonts w:ascii="Times New Roman" w:hAnsi="Times New Roman" w:cs="Times New Roman"/>
          <w:sz w:val="24"/>
          <w:szCs w:val="24"/>
        </w:rPr>
        <w:lastRenderedPageBreak/>
        <w:t xml:space="preserve">integral for School X’s development.  Knowledge management and planning strategies need to be shared amongst school staff for the school’s potential to effectively plan and implement change to be maximised (Cheng, 2013). </w:t>
      </w:r>
    </w:p>
    <w:p w14:paraId="6D2A90D7" w14:textId="15B0743E" w:rsidR="29510022" w:rsidRDefault="29510022" w:rsidP="29510022">
      <w:pPr>
        <w:spacing w:line="480" w:lineRule="auto"/>
        <w:rPr>
          <w:rFonts w:ascii="Times New Roman" w:hAnsi="Times New Roman" w:cs="Times New Roman"/>
          <w:sz w:val="24"/>
          <w:szCs w:val="24"/>
        </w:rPr>
      </w:pPr>
      <w:r w:rsidRPr="29510022">
        <w:rPr>
          <w:rFonts w:ascii="Times New Roman" w:hAnsi="Times New Roman" w:cs="Times New Roman"/>
          <w:sz w:val="24"/>
          <w:szCs w:val="24"/>
          <w:u w:val="single"/>
        </w:rPr>
        <w:t xml:space="preserve">Improving Literacy and Closing the Gender Attainment Gap </w:t>
      </w:r>
    </w:p>
    <w:p w14:paraId="4739C834" w14:textId="0A1C7734" w:rsidR="29510022" w:rsidRDefault="32D3F827" w:rsidP="32D3F827">
      <w:pPr>
        <w:spacing w:line="480" w:lineRule="auto"/>
        <w:ind w:firstLine="720"/>
        <w:rPr>
          <w:rFonts w:ascii="Times New Roman" w:hAnsi="Times New Roman" w:cs="Times New Roman"/>
          <w:sz w:val="24"/>
          <w:szCs w:val="24"/>
        </w:rPr>
      </w:pPr>
      <w:r w:rsidRPr="32D3F827">
        <w:rPr>
          <w:rFonts w:ascii="Times New Roman" w:hAnsi="Times New Roman" w:cs="Times New Roman"/>
          <w:sz w:val="24"/>
          <w:szCs w:val="24"/>
        </w:rPr>
        <w:t xml:space="preserve">It is not surprising that literacy has increased in priority for schools to focus on when considering change and development (Ofsted, 2013).  In recent years, some efforts to improve school literacy have not been as successful as they should have been, according to Ofsted (2013) and more needs to be done in order to improve literacy as a whole, not just when it comes to closing the attainment gap between boys and girls.  The Department for Education (DfE) highlights key features within the curriculum which schools should offer in order for pupils to improve their literacy skills effectively across all key stages, particularly when transitioning between key stages (Ofsted, 2013).  In summary, the school curriculum should offer a range of activities to pupils which help them to develop speaking and listening skills, which can then act as a catalyst for improving their reading and written literacy.  Furthermore, another important factor highlighted by Ofsted (2013) is ensuring cross-curricular links between subjects so that pupils have the opportunity to work on literacy, including oral and written literacy, in all subjects.  Literacy is more than simply reading, writing and speaking, and schools need to develop long term development plans for the improvement of literacy attainment in schools, rather than just “quick fixes,” hence the importance of a development plan such as the one presented by School X to develop literacy (Ofsted, 2013, p3; </w:t>
      </w:r>
      <w:r w:rsidR="00DF76DB">
        <w:rPr>
          <w:rFonts w:ascii="Times New Roman" w:hAnsi="Times New Roman" w:cs="Times New Roman"/>
          <w:sz w:val="24"/>
          <w:szCs w:val="24"/>
        </w:rPr>
        <w:t>Appendix 1</w:t>
      </w:r>
      <w:r w:rsidRPr="32D3F827">
        <w:rPr>
          <w:rFonts w:ascii="Times New Roman" w:hAnsi="Times New Roman" w:cs="Times New Roman"/>
          <w:sz w:val="24"/>
          <w:szCs w:val="24"/>
        </w:rPr>
        <w:t xml:space="preserve">).  This section of the report will introduce scholarly literature which presents key arguments on the best methods for improving literacy in schools and closing the gender attainment gap.  This will then be compared with School X’s action plan and be used to develop an action plan for the future of the schools’ development.  </w:t>
      </w:r>
    </w:p>
    <w:p w14:paraId="4B1CB357" w14:textId="3755D544" w:rsidR="2010D9B4" w:rsidRDefault="34B4E3A4" w:rsidP="34B4E3A4">
      <w:pPr>
        <w:spacing w:line="480" w:lineRule="auto"/>
        <w:ind w:firstLine="720"/>
        <w:rPr>
          <w:rFonts w:ascii="Times New Roman" w:eastAsia="Times New Roman" w:hAnsi="Times New Roman" w:cs="Times New Roman"/>
          <w:sz w:val="24"/>
          <w:szCs w:val="24"/>
        </w:rPr>
      </w:pPr>
      <w:r w:rsidRPr="34B4E3A4">
        <w:rPr>
          <w:rFonts w:ascii="Times New Roman" w:hAnsi="Times New Roman" w:cs="Times New Roman"/>
          <w:sz w:val="24"/>
          <w:szCs w:val="24"/>
        </w:rPr>
        <w:lastRenderedPageBreak/>
        <w:t xml:space="preserve">The biggest problem faced by educators when it comes to attempting to improve children’s literacy skills is the pupils’ reluctancy to read, something which is more apparent in boys, hence the considerable gap in attainment between boys and girls (Lexia Learning, 2017; Genlott and </w:t>
      </w:r>
      <w:r w:rsidRPr="34B4E3A4">
        <w:rPr>
          <w:rFonts w:ascii="Times New Roman" w:eastAsia="Times New Roman" w:hAnsi="Times New Roman" w:cs="Times New Roman"/>
          <w:sz w:val="24"/>
          <w:szCs w:val="24"/>
        </w:rPr>
        <w:t>Grönlund, 2016).   It is particularly noted that boys are less inclined to read than girls, hence the apparent widening of the gender attainment gap and why boys seem to be falling behind in literacy skills (</w:t>
      </w:r>
      <w:r w:rsidRPr="34B4E3A4">
        <w:rPr>
          <w:rFonts w:ascii="Times New Roman" w:hAnsi="Times New Roman" w:cs="Times New Roman"/>
          <w:sz w:val="24"/>
          <w:szCs w:val="24"/>
        </w:rPr>
        <w:t xml:space="preserve">Genlott and </w:t>
      </w:r>
      <w:r w:rsidRPr="34B4E3A4">
        <w:rPr>
          <w:rFonts w:ascii="Times New Roman" w:eastAsia="Times New Roman" w:hAnsi="Times New Roman" w:cs="Times New Roman"/>
          <w:sz w:val="24"/>
          <w:szCs w:val="24"/>
        </w:rPr>
        <w:t>Grönlund, 2016).  A simple reason for this identified by Katya Henry et al. (2012) is that do not enjoy education as much as girls do and are more reluctant to read and, therefore, be able to make progress in literacy.  Henry et al. (2012) suggest that introducing male mentors for boys in literacy can encourage them to take more of an interest in reading and give them the incentive to work on their literacy (Henry et al., 2012).  Boys become more positive about literacy, which in turn helps them develop their oral and written communication skills (Henry et al., 2012).  Therefore, this can help motivate boys to read and start to lead to an improvement in their literacy progress and the closing of the gender attainment gap.  This links to School X’s development plan as a suggested method for strategies to improve reading and writing, and the necessary support for boys when they start secondary school (</w:t>
      </w:r>
      <w:r w:rsidR="00DF76DB">
        <w:rPr>
          <w:rFonts w:ascii="Times New Roman" w:eastAsia="Times New Roman" w:hAnsi="Times New Roman" w:cs="Times New Roman"/>
          <w:sz w:val="24"/>
          <w:szCs w:val="24"/>
        </w:rPr>
        <w:t>Appendix 1</w:t>
      </w:r>
      <w:r w:rsidRPr="34B4E3A4">
        <w:rPr>
          <w:rFonts w:ascii="Times New Roman" w:eastAsia="Times New Roman" w:hAnsi="Times New Roman" w:cs="Times New Roman"/>
          <w:sz w:val="24"/>
          <w:szCs w:val="24"/>
        </w:rPr>
        <w:t>). However, there are arguments which highlight some of the dangers when addressing the problems with boys’ literacy.  It is difficult to identify all of the challenges faced by boys in literacy-based lessons, but educators need to place some focus on conceptual and practical resources to help with boys’ literacy progress (Rowan et al., 2002).</w:t>
      </w:r>
    </w:p>
    <w:p w14:paraId="7AC51323" w14:textId="67991BF1" w:rsidR="32D3F827" w:rsidRDefault="34B4E3A4" w:rsidP="34B4E3A4">
      <w:pPr>
        <w:spacing w:line="480" w:lineRule="auto"/>
        <w:ind w:firstLine="720"/>
        <w:rPr>
          <w:rFonts w:ascii="Times New Roman" w:eastAsia="Times New Roman" w:hAnsi="Times New Roman" w:cs="Times New Roman"/>
          <w:sz w:val="24"/>
          <w:szCs w:val="24"/>
        </w:rPr>
      </w:pPr>
      <w:r w:rsidRPr="34B4E3A4">
        <w:rPr>
          <w:rFonts w:ascii="Times New Roman" w:hAnsi="Times New Roman" w:cs="Times New Roman"/>
          <w:sz w:val="24"/>
          <w:szCs w:val="24"/>
        </w:rPr>
        <w:t xml:space="preserve">Genlott and </w:t>
      </w:r>
      <w:r w:rsidRPr="34B4E3A4">
        <w:rPr>
          <w:rFonts w:ascii="Times New Roman" w:eastAsia="Times New Roman" w:hAnsi="Times New Roman" w:cs="Times New Roman"/>
          <w:sz w:val="24"/>
          <w:szCs w:val="24"/>
        </w:rPr>
        <w:t xml:space="preserve">Grönlund (2016) also present some suggestions for methods to improve literacy progress in schools, with links to the gender attainment gap, by carrying out a case study which tested Information and Communication Technology (ICT) and non-ICT collaboration in formative assessments to examine whether the inclusion of ICT had a positive effect on pupils’ literacy skills.  This links to the recent development of the Digital </w:t>
      </w:r>
      <w:r w:rsidRPr="34B4E3A4">
        <w:rPr>
          <w:rFonts w:ascii="Times New Roman" w:eastAsia="Times New Roman" w:hAnsi="Times New Roman" w:cs="Times New Roman"/>
          <w:sz w:val="24"/>
          <w:szCs w:val="24"/>
        </w:rPr>
        <w:lastRenderedPageBreak/>
        <w:t xml:space="preserve">Competence Framework (DCF) in schools, which sees an emphasis on implementing ICT on a cross curricular scale to aid in other aspects of the curriculum, such as literacy (Education Wales, 2018; Donaldson, 2015).  The method of introducing more ICT to the curriculum as outlined in </w:t>
      </w:r>
      <w:r w:rsidRPr="34B4E3A4">
        <w:rPr>
          <w:rFonts w:ascii="Times New Roman" w:hAnsi="Times New Roman" w:cs="Times New Roman"/>
          <w:sz w:val="24"/>
          <w:szCs w:val="24"/>
        </w:rPr>
        <w:t xml:space="preserve">Genlott and </w:t>
      </w:r>
      <w:r w:rsidRPr="34B4E3A4">
        <w:rPr>
          <w:rFonts w:ascii="Times New Roman" w:eastAsia="Times New Roman" w:hAnsi="Times New Roman" w:cs="Times New Roman"/>
          <w:sz w:val="24"/>
          <w:szCs w:val="24"/>
        </w:rPr>
        <w:t>Grönlund’s (2016) article combines formative assessment with the use of ICT in order to improve pupil progress and develop literacy.  The results showed that the pupils using ICT in their formative written assessments improved their attainment in literacy compared to those who used a traditional method with no ICT use (</w:t>
      </w:r>
      <w:r w:rsidRPr="34B4E3A4">
        <w:rPr>
          <w:rFonts w:ascii="Times New Roman" w:hAnsi="Times New Roman" w:cs="Times New Roman"/>
          <w:sz w:val="24"/>
          <w:szCs w:val="24"/>
        </w:rPr>
        <w:t xml:space="preserve">Genlott and </w:t>
      </w:r>
      <w:r w:rsidRPr="34B4E3A4">
        <w:rPr>
          <w:rFonts w:ascii="Times New Roman" w:eastAsia="Times New Roman" w:hAnsi="Times New Roman" w:cs="Times New Roman"/>
          <w:sz w:val="24"/>
          <w:szCs w:val="24"/>
        </w:rPr>
        <w:t xml:space="preserve">Grönlund, 2016).  Furthermore, not only did the implementation of ICT in written assessments lead to an increase in results in literacy overall, but it closed the attainment gap between boys and girls, something which </w:t>
      </w:r>
      <w:r w:rsidRPr="34B4E3A4">
        <w:rPr>
          <w:rFonts w:ascii="Times New Roman" w:hAnsi="Times New Roman" w:cs="Times New Roman"/>
          <w:sz w:val="24"/>
          <w:szCs w:val="24"/>
        </w:rPr>
        <w:t xml:space="preserve">Genlott and </w:t>
      </w:r>
      <w:r w:rsidRPr="34B4E3A4">
        <w:rPr>
          <w:rFonts w:ascii="Times New Roman" w:eastAsia="Times New Roman" w:hAnsi="Times New Roman" w:cs="Times New Roman"/>
          <w:sz w:val="24"/>
          <w:szCs w:val="24"/>
        </w:rPr>
        <w:t>Grönlund (2016) identify as a key issue in education.  Both this article and the DCF highlight the importance of cross-curricular use of ICT in schools in order to aid progress in literacy, and ICT must be carefully applied to pedagogy to be most effective (</w:t>
      </w:r>
      <w:r w:rsidRPr="34B4E3A4">
        <w:rPr>
          <w:rFonts w:ascii="Times New Roman" w:hAnsi="Times New Roman" w:cs="Times New Roman"/>
          <w:sz w:val="24"/>
          <w:szCs w:val="24"/>
        </w:rPr>
        <w:t xml:space="preserve">Genlott and </w:t>
      </w:r>
      <w:r w:rsidRPr="34B4E3A4">
        <w:rPr>
          <w:rFonts w:ascii="Times New Roman" w:eastAsia="Times New Roman" w:hAnsi="Times New Roman" w:cs="Times New Roman"/>
          <w:sz w:val="24"/>
          <w:szCs w:val="24"/>
        </w:rPr>
        <w:t xml:space="preserve">Grönlund, 2016; Education Wales, 2018).  Therefore, this evidence suggests that, when it is effectively used in collaboration with pedagogical methods, ICT can have a positive impact on pupils’ literacy skills, as well as the attainment gap between boys and girls.  </w:t>
      </w:r>
    </w:p>
    <w:p w14:paraId="21644465" w14:textId="2459FC52" w:rsidR="0E193D1D" w:rsidRDefault="34B4E3A4" w:rsidP="34B4E3A4">
      <w:pPr>
        <w:spacing w:line="480" w:lineRule="auto"/>
        <w:ind w:firstLine="720"/>
        <w:rPr>
          <w:rFonts w:ascii="Times New Roman" w:eastAsia="Times New Roman" w:hAnsi="Times New Roman" w:cs="Times New Roman"/>
          <w:sz w:val="24"/>
          <w:szCs w:val="24"/>
        </w:rPr>
      </w:pPr>
      <w:r w:rsidRPr="34B4E3A4">
        <w:rPr>
          <w:rFonts w:ascii="Times New Roman" w:eastAsia="Times New Roman" w:hAnsi="Times New Roman" w:cs="Times New Roman"/>
          <w:sz w:val="24"/>
          <w:szCs w:val="24"/>
        </w:rPr>
        <w:t xml:space="preserve">The use of ICT is also recommended by Andrew Goodwyn and Kate Findlay (2002) who include it as a key component for schools to implement in their evaluation of the National Literacy Strategy (NLS).  The NLS, however, can be met with some criticism, as it is rather outdated having been first implemented in 1997 (Goodwyn and Findlay, 2002). While the NLS does not place too much focus on the use of ICT, Goodwyn and Findlay (2002) claim that there is potential for ICT to benefit schools aiming to improve their literacy attainment, particularly in discussions regarding gender and literacy skills.  However, there are still other strategies recommended by Goodwyn and Findlay which can be adopted by </w:t>
      </w:r>
      <w:r w:rsidRPr="34B4E3A4">
        <w:rPr>
          <w:rFonts w:ascii="Times New Roman" w:eastAsia="Times New Roman" w:hAnsi="Times New Roman" w:cs="Times New Roman"/>
          <w:sz w:val="24"/>
          <w:szCs w:val="24"/>
        </w:rPr>
        <w:lastRenderedPageBreak/>
        <w:t xml:space="preserve">schools in their attempts to reduce the gender attainment gap, particularly when it comes to literacy.  </w:t>
      </w:r>
    </w:p>
    <w:p w14:paraId="0E9A33E1" w14:textId="4070C745" w:rsidR="0E193D1D" w:rsidRDefault="4C6D3728" w:rsidP="4C6D3728">
      <w:pPr>
        <w:spacing w:line="480" w:lineRule="auto"/>
        <w:ind w:firstLine="720"/>
        <w:rPr>
          <w:rFonts w:ascii="Times New Roman" w:eastAsia="Times New Roman" w:hAnsi="Times New Roman" w:cs="Times New Roman"/>
          <w:sz w:val="24"/>
          <w:szCs w:val="24"/>
        </w:rPr>
      </w:pPr>
      <w:r w:rsidRPr="4C6D3728">
        <w:rPr>
          <w:rFonts w:ascii="Times New Roman" w:eastAsia="Times New Roman" w:hAnsi="Times New Roman" w:cs="Times New Roman"/>
          <w:sz w:val="24"/>
          <w:szCs w:val="24"/>
        </w:rPr>
        <w:t xml:space="preserve">Firstly, they highlight expectations for year 9 pupils when it comes to literacy, something which can be useful for development plans such as School X’s where their focus is improving literacy by the end of key stage 3.  These expectations include: becoming a fluent and independent reader, being able to read for various purpose, evaluating texts, and being able to write coherently and confidently (Goodwyn and Findlay, 2002).  Literacy should be a school-centric focus, and all teachers should be prepared to include it in their planning and teaching for pupils to be able to effectively improve their literacy across the curriculum (Goodwyn and Findlay, 2002).  This can be done by using speaking and writing frames to enable pupils to improve oral literacy which then leads to improvement in written work (Kitson et al., 2011; Wray and Lewis, 1998).  Once pupils become competent in school-centric literacy planning such as this, standards should have the potential to rise significantly across the curriculum (Goodwyn and Findlay, 2002).  The danger with this approach, however, is that literacy is a constantly changing component of the curriculum, so there is no simple, quick fix to improve it and educators must be mindful of this.  But there are suggestions from Goodwyn and Findlay (2002) which are imperative to the improvement of literacy in secondary schools.  In summary, schools must continue to strive to improve literacy by focusing on the transition from primary school, ensuring there is sufficient support for pupils right from year 7, particularly boys as they are the most vulnerable to falling behind in literacy during transition (Goodwyn and Findlay, 2002).  Schools must also pay some attention to national trends in literacy, hence the NLS, in order to effectively measure the best strategies for improving literacy in secondary schools (Goodwyn and Findlay, 2002).  While this is an effective strategy for improving literacy in schools, there is some criticism for approaches which focus heavily on improving literacy in boys.  This is highlighted by </w:t>
      </w:r>
      <w:r w:rsidRPr="4C6D3728">
        <w:rPr>
          <w:rFonts w:ascii="Times New Roman" w:eastAsia="Times New Roman" w:hAnsi="Times New Roman" w:cs="Times New Roman"/>
          <w:sz w:val="24"/>
          <w:szCs w:val="24"/>
        </w:rPr>
        <w:lastRenderedPageBreak/>
        <w:t xml:space="preserve">Rowan et al. (2002) who state that, while it is important to improve literacy in boys, the needs of girls must not be forgotten.  Even though girls often outperform boys, there still needs to be support in place to ensure the continued high performance of girls and making sure they are not at risk of becoming complacent and falling behind when more emphasis is placed on boys (Rowan et al., 2002).  </w:t>
      </w:r>
    </w:p>
    <w:p w14:paraId="4635A3D8" w14:textId="2DBDE0C5" w:rsidR="7F89056D" w:rsidRDefault="4C6D3728" w:rsidP="4C6D3728">
      <w:pPr>
        <w:spacing w:line="480" w:lineRule="auto"/>
        <w:rPr>
          <w:rFonts w:ascii="Times New Roman" w:eastAsia="Times New Roman" w:hAnsi="Times New Roman" w:cs="Times New Roman"/>
          <w:sz w:val="24"/>
          <w:szCs w:val="24"/>
          <w:u w:val="single"/>
        </w:rPr>
      </w:pPr>
      <w:r w:rsidRPr="4C6D3728">
        <w:rPr>
          <w:rFonts w:ascii="Times New Roman" w:eastAsia="Times New Roman" w:hAnsi="Times New Roman" w:cs="Times New Roman"/>
          <w:sz w:val="24"/>
          <w:szCs w:val="24"/>
          <w:u w:val="single"/>
        </w:rPr>
        <w:t>Conclusion: School X’s Progress and Action Plan</w:t>
      </w:r>
    </w:p>
    <w:p w14:paraId="2FE6C2C4" w14:textId="068C40A4" w:rsidR="7F89056D" w:rsidRDefault="4C6D3728" w:rsidP="7F89056D">
      <w:pPr>
        <w:spacing w:line="480" w:lineRule="auto"/>
        <w:ind w:firstLine="720"/>
        <w:rPr>
          <w:rFonts w:ascii="Times New Roman" w:eastAsia="Times New Roman" w:hAnsi="Times New Roman" w:cs="Times New Roman"/>
          <w:sz w:val="24"/>
          <w:szCs w:val="24"/>
          <w:u w:val="single"/>
        </w:rPr>
      </w:pPr>
      <w:r w:rsidRPr="4C6D3728">
        <w:rPr>
          <w:rFonts w:ascii="Times New Roman" w:eastAsia="Times New Roman" w:hAnsi="Times New Roman" w:cs="Times New Roman"/>
          <w:sz w:val="24"/>
          <w:szCs w:val="24"/>
        </w:rPr>
        <w:t xml:space="preserve">Having examined key literature and suggestions for improving literacy in schools, this section of the report will assess the progress of School X’s development plan and link its progress with the literature previously discussed.  This section will also suggest further strategies for School X to use in its development of literacy and reducing the attainment gap in boys, based on the strategies suggested by scholars in the previous section.  </w:t>
      </w:r>
    </w:p>
    <w:p w14:paraId="0E49C344" w14:textId="6D7A711B" w:rsidR="4C6D3728" w:rsidRDefault="4C6D3728" w:rsidP="4C6D3728">
      <w:pPr>
        <w:spacing w:line="480" w:lineRule="auto"/>
        <w:ind w:firstLine="720"/>
        <w:rPr>
          <w:rFonts w:ascii="Times New Roman" w:eastAsia="Times New Roman" w:hAnsi="Times New Roman" w:cs="Times New Roman"/>
          <w:sz w:val="24"/>
          <w:szCs w:val="24"/>
        </w:rPr>
      </w:pPr>
      <w:r w:rsidRPr="4C6D3728">
        <w:rPr>
          <w:rFonts w:ascii="Times New Roman" w:eastAsia="Times New Roman" w:hAnsi="Times New Roman" w:cs="Times New Roman"/>
          <w:sz w:val="24"/>
          <w:szCs w:val="24"/>
        </w:rPr>
        <w:t>School X is beginning to make good progress in its development of literacy and reducing the attainment gap between boys and girls during the current academic year, according to evidence outlined in its development plan (</w:t>
      </w:r>
      <w:r w:rsidR="00DF76DB">
        <w:rPr>
          <w:rFonts w:ascii="Times New Roman" w:eastAsia="Times New Roman" w:hAnsi="Times New Roman" w:cs="Times New Roman"/>
          <w:sz w:val="24"/>
          <w:szCs w:val="24"/>
        </w:rPr>
        <w:t>Appendix 1</w:t>
      </w:r>
      <w:r w:rsidRPr="4C6D3728">
        <w:rPr>
          <w:rFonts w:ascii="Times New Roman" w:eastAsia="Times New Roman" w:hAnsi="Times New Roman" w:cs="Times New Roman"/>
          <w:sz w:val="24"/>
          <w:szCs w:val="24"/>
        </w:rPr>
        <w:t>).  The strategies listed in the school development plan show a high level of focus on developing solutions to these issues and promise good progress in terms of achieving the success criteria of reducing the attainment gap to 8% (</w:t>
      </w:r>
      <w:r w:rsidR="00DF76DB">
        <w:rPr>
          <w:rFonts w:ascii="Times New Roman" w:eastAsia="Times New Roman" w:hAnsi="Times New Roman" w:cs="Times New Roman"/>
          <w:sz w:val="24"/>
          <w:szCs w:val="24"/>
        </w:rPr>
        <w:t>Appendix 1</w:t>
      </w:r>
      <w:r w:rsidRPr="4C6D3728">
        <w:rPr>
          <w:rFonts w:ascii="Times New Roman" w:eastAsia="Times New Roman" w:hAnsi="Times New Roman" w:cs="Times New Roman"/>
          <w:sz w:val="24"/>
          <w:szCs w:val="24"/>
        </w:rPr>
        <w:t xml:space="preserve">).  The school’s focus on adopting strategies to support boys and including boy-friendly pedagogical strategies in the school’s curriculum can be useful in tackling the problem of boys falling behind in education, as outlined in the strategies suggested by Rowan et al. (2002) who emphasise the necessity for practical and conceptual resources to improve boys’ attainment by focusing on their literacy.  These strategies are being implemented across the whole academic year, and will be assessed in July 2019 to examine if they have been successful in reducing the attainment gap between boys and girls in School X.  Despite this promising progress in developing progress in boys, School X’s </w:t>
      </w:r>
      <w:r w:rsidRPr="4C6D3728">
        <w:rPr>
          <w:rFonts w:ascii="Times New Roman" w:eastAsia="Times New Roman" w:hAnsi="Times New Roman" w:cs="Times New Roman"/>
          <w:sz w:val="24"/>
          <w:szCs w:val="24"/>
        </w:rPr>
        <w:lastRenderedPageBreak/>
        <w:t>development team need to make sure that they are not in danger of neglecting female pupils, as also explained by Rowan et al. (2002).  The school development plan (</w:t>
      </w:r>
      <w:r w:rsidR="00DF76DB">
        <w:rPr>
          <w:rFonts w:ascii="Times New Roman" w:eastAsia="Times New Roman" w:hAnsi="Times New Roman" w:cs="Times New Roman"/>
          <w:sz w:val="24"/>
          <w:szCs w:val="24"/>
        </w:rPr>
        <w:t>Appendix 1</w:t>
      </w:r>
      <w:r w:rsidRPr="4C6D3728">
        <w:rPr>
          <w:rFonts w:ascii="Times New Roman" w:eastAsia="Times New Roman" w:hAnsi="Times New Roman" w:cs="Times New Roman"/>
          <w:sz w:val="24"/>
          <w:szCs w:val="24"/>
        </w:rPr>
        <w:t xml:space="preserve">) places a high emphasis on what the school plans to do to help boys but there is little mention of what they will do to ensure girls do not fall behind as well.  School X need to make sure they are supporting all their pupils to effectively improve overall progress.  </w:t>
      </w:r>
    </w:p>
    <w:p w14:paraId="734DA7F9" w14:textId="1D74896E" w:rsidR="4C6D3728" w:rsidRDefault="4C6D3728" w:rsidP="4C6D3728">
      <w:pPr>
        <w:spacing w:line="480" w:lineRule="auto"/>
        <w:ind w:firstLine="720"/>
        <w:rPr>
          <w:rFonts w:ascii="Times New Roman" w:eastAsia="Times New Roman" w:hAnsi="Times New Roman" w:cs="Times New Roman"/>
          <w:sz w:val="24"/>
          <w:szCs w:val="24"/>
        </w:rPr>
      </w:pPr>
      <w:r w:rsidRPr="4C6D3728">
        <w:rPr>
          <w:rFonts w:ascii="Times New Roman" w:eastAsia="Times New Roman" w:hAnsi="Times New Roman" w:cs="Times New Roman"/>
          <w:sz w:val="24"/>
          <w:szCs w:val="24"/>
        </w:rPr>
        <w:t>School X’s plans for developing literacy are also showing promise of good progress.  It is important for them to first address where the key problems are in literacy for them to implement the best strategies (Francis, 2000).  This is emphasised in their development plan, showing that School X is aware of key problems and can establish effective methods of dealing with these issues (</w:t>
      </w:r>
      <w:r w:rsidR="00DF76DB">
        <w:rPr>
          <w:rFonts w:ascii="Times New Roman" w:eastAsia="Times New Roman" w:hAnsi="Times New Roman" w:cs="Times New Roman"/>
          <w:sz w:val="24"/>
          <w:szCs w:val="24"/>
        </w:rPr>
        <w:t>Appendix 1</w:t>
      </w:r>
      <w:r w:rsidRPr="4C6D3728">
        <w:rPr>
          <w:rFonts w:ascii="Times New Roman" w:eastAsia="Times New Roman" w:hAnsi="Times New Roman" w:cs="Times New Roman"/>
          <w:sz w:val="24"/>
          <w:szCs w:val="24"/>
        </w:rPr>
        <w:t xml:space="preserve">). They are making effective use of speaking and writing frames across all departments to ensure pupils grow in confidence in both oral and written literacy.  This supports Kitson et al. (2002) who claim that improving a pupil’s oral literacy skills can shape them into confident, coherent speakers which is then translated into their written work and shows progress in their written literacy.  The use of speaking frames also links to School X’s plan to work with a literacy coordinator to focus on the improvement of oral literacy in boys.  They can also use this strategy to reduce the literacy attainment gap between boys and girls, as the main purpose of this is so that the school can effectively assess boys’ progress in their ability to articulate understanding in a subject through using speaking and writing frames as scaffolding. Wray and Lewis (1998) emphasise the importance of writing frames in developing pupils progress and effective teaching models, showing that the use of this process in School X’s development plan can be effective in improving boys’ literacy and prevent them from falling behind compared to girls.  This will also help the school to enable boys to develop their extended writing skills if they have access to models and scaffolding in the form of speaking and writing frames.  Using these strategies together </w:t>
      </w:r>
      <w:r w:rsidRPr="4C6D3728">
        <w:rPr>
          <w:rFonts w:ascii="Times New Roman" w:eastAsia="Times New Roman" w:hAnsi="Times New Roman" w:cs="Times New Roman"/>
          <w:sz w:val="24"/>
          <w:szCs w:val="24"/>
        </w:rPr>
        <w:lastRenderedPageBreak/>
        <w:t xml:space="preserve">can help create an effective learning environment and ensure the correct scaffolding is available for boys to achieve their maximum potential.  </w:t>
      </w:r>
    </w:p>
    <w:p w14:paraId="0A206759" w14:textId="70764389" w:rsidR="4C6D3728" w:rsidRDefault="4C6D3728" w:rsidP="4C6D3728">
      <w:pPr>
        <w:spacing w:line="480" w:lineRule="auto"/>
        <w:ind w:firstLine="720"/>
        <w:rPr>
          <w:rFonts w:ascii="Times New Roman" w:eastAsia="Times New Roman" w:hAnsi="Times New Roman" w:cs="Times New Roman"/>
          <w:sz w:val="24"/>
          <w:szCs w:val="24"/>
        </w:rPr>
      </w:pPr>
      <w:r w:rsidRPr="4C6D3728">
        <w:rPr>
          <w:rFonts w:ascii="Times New Roman" w:eastAsia="Times New Roman" w:hAnsi="Times New Roman" w:cs="Times New Roman"/>
          <w:sz w:val="24"/>
          <w:szCs w:val="24"/>
        </w:rPr>
        <w:t xml:space="preserve">In terms of what further suggestions can be made for School X to add to their development plan when it comes to literacy and boys, there could be some emphasis on the use of ICT in the improvement of literacy skills.  </w:t>
      </w:r>
      <w:r w:rsidRPr="4C6D3728">
        <w:rPr>
          <w:rFonts w:ascii="Times New Roman" w:hAnsi="Times New Roman" w:cs="Times New Roman"/>
          <w:sz w:val="24"/>
          <w:szCs w:val="24"/>
        </w:rPr>
        <w:t xml:space="preserve">Genlott and </w:t>
      </w:r>
      <w:r w:rsidRPr="4C6D3728">
        <w:rPr>
          <w:rFonts w:ascii="Times New Roman" w:eastAsia="Times New Roman" w:hAnsi="Times New Roman" w:cs="Times New Roman"/>
          <w:sz w:val="24"/>
          <w:szCs w:val="24"/>
        </w:rPr>
        <w:t xml:space="preserve">Grönlund (2016) highlight how effective ICT can be in improving literacy in schools, with evidence that suggests those who used ICT as a support tool in their written assessments showed a marked improvement in comparison with those who used a traditional method without ICT.  This could be linked to School X’s plan to investigate potential effective short-term strategies to improve reading and writing.  These strategies need to be applied across the curriculum, and ICT is something that can be used quickly and easily in all subjects in order to improve literacy skills, as proven by the evidence examined by </w:t>
      </w:r>
      <w:r w:rsidRPr="4C6D3728">
        <w:rPr>
          <w:rFonts w:ascii="Times New Roman" w:hAnsi="Times New Roman" w:cs="Times New Roman"/>
          <w:sz w:val="24"/>
          <w:szCs w:val="24"/>
        </w:rPr>
        <w:t xml:space="preserve">Genlott and </w:t>
      </w:r>
      <w:r w:rsidRPr="4C6D3728">
        <w:rPr>
          <w:rFonts w:ascii="Times New Roman" w:eastAsia="Times New Roman" w:hAnsi="Times New Roman" w:cs="Times New Roman"/>
          <w:sz w:val="24"/>
          <w:szCs w:val="24"/>
        </w:rPr>
        <w:t xml:space="preserve">Grönlund, (2016).  </w:t>
      </w:r>
    </w:p>
    <w:p w14:paraId="161D2348" w14:textId="0C96E025" w:rsidR="34B4E3A4" w:rsidRDefault="34B4E3A4" w:rsidP="00160259">
      <w:pPr>
        <w:spacing w:line="480" w:lineRule="auto"/>
        <w:ind w:firstLine="720"/>
        <w:rPr>
          <w:rFonts w:ascii="Times New Roman" w:eastAsia="Times New Roman" w:hAnsi="Times New Roman" w:cs="Times New Roman"/>
          <w:sz w:val="24"/>
          <w:szCs w:val="24"/>
        </w:rPr>
      </w:pPr>
      <w:r w:rsidRPr="34B4E3A4">
        <w:rPr>
          <w:rFonts w:ascii="Times New Roman" w:eastAsia="Times New Roman" w:hAnsi="Times New Roman" w:cs="Times New Roman"/>
          <w:sz w:val="24"/>
          <w:szCs w:val="24"/>
        </w:rPr>
        <w:t xml:space="preserve">Another possible suggestion to aid literacy progress, particularly in boys to reduce the gender attainment gap is the use of male mentors to encourage boys to improve on their reading.  One of the biggest contributing factors to the lower attainment of boys in literacy is their </w:t>
      </w:r>
      <w:r w:rsidR="00160259" w:rsidRPr="34B4E3A4">
        <w:rPr>
          <w:rFonts w:ascii="Times New Roman" w:eastAsia="Times New Roman" w:hAnsi="Times New Roman" w:cs="Times New Roman"/>
          <w:sz w:val="24"/>
          <w:szCs w:val="24"/>
        </w:rPr>
        <w:t>reluctance</w:t>
      </w:r>
      <w:r w:rsidRPr="34B4E3A4">
        <w:rPr>
          <w:rFonts w:ascii="Times New Roman" w:eastAsia="Times New Roman" w:hAnsi="Times New Roman" w:cs="Times New Roman"/>
          <w:sz w:val="24"/>
          <w:szCs w:val="24"/>
        </w:rPr>
        <w:t xml:space="preserve"> to read, as outlined by Henry et al. (2012).  They suggest that the use of male mentors in literacy coaching can encourage them to read more and in turn improve upon their literacy skills and help them to reduce the literacy attainment gap between boys and girls (Henry et al., 2012).  This strategy could be suggested to the literacy coordinator to help develop literacy skills in boys in year 7, in order to assess what the specific needs of boys are when it comes to literacy.  It can also be linked to the plan of implementing more short-term strategies to develop the literacy of boys across the curriculum and can be effective in improving boys’ reading skills which can then lead to improvement in their oral and written literacy.  </w:t>
      </w:r>
    </w:p>
    <w:p w14:paraId="00F1FE02" w14:textId="57DBFE2B" w:rsidR="34B4E3A4" w:rsidRDefault="00160259" w:rsidP="34B4E3A4">
      <w:r>
        <w:rPr>
          <w:rFonts w:ascii="Times New Roman" w:eastAsia="Times New Roman" w:hAnsi="Times New Roman" w:cs="Times New Roman"/>
          <w:sz w:val="24"/>
          <w:szCs w:val="24"/>
          <w:u w:val="single"/>
        </w:rPr>
        <w:lastRenderedPageBreak/>
        <w:t xml:space="preserve">List of </w:t>
      </w:r>
      <w:r w:rsidR="34B4E3A4" w:rsidRPr="34B4E3A4">
        <w:rPr>
          <w:rFonts w:ascii="Times New Roman" w:eastAsia="Times New Roman" w:hAnsi="Times New Roman" w:cs="Times New Roman"/>
          <w:sz w:val="24"/>
          <w:szCs w:val="24"/>
          <w:u w:val="single"/>
        </w:rPr>
        <w:t>Appendices</w:t>
      </w:r>
    </w:p>
    <w:p w14:paraId="35903D57" w14:textId="2E5E2FEF" w:rsidR="34B4E3A4" w:rsidRDefault="00DF76DB" w:rsidP="34B4E3A4">
      <w:r>
        <w:rPr>
          <w:rFonts w:ascii="Times New Roman" w:eastAsia="Times New Roman" w:hAnsi="Times New Roman" w:cs="Times New Roman"/>
          <w:sz w:val="24"/>
          <w:szCs w:val="24"/>
        </w:rPr>
        <w:t>Appendix 1</w:t>
      </w:r>
      <w:r w:rsidR="34B4E3A4" w:rsidRPr="34B4E3A4">
        <w:rPr>
          <w:rFonts w:ascii="Times New Roman" w:eastAsia="Times New Roman" w:hAnsi="Times New Roman" w:cs="Times New Roman"/>
          <w:sz w:val="24"/>
          <w:szCs w:val="24"/>
        </w:rPr>
        <w:t>: School Development Plan for School X</w:t>
      </w:r>
    </w:p>
    <w:p w14:paraId="03A3FC96" w14:textId="43505740" w:rsidR="34B4E3A4" w:rsidRDefault="00DF76DB" w:rsidP="34B4E3A4">
      <w:r>
        <w:rPr>
          <w:rFonts w:ascii="Times New Roman" w:eastAsia="Times New Roman" w:hAnsi="Times New Roman" w:cs="Times New Roman"/>
          <w:sz w:val="24"/>
          <w:szCs w:val="24"/>
        </w:rPr>
        <w:t>Appendix 2</w:t>
      </w:r>
      <w:r w:rsidR="34B4E3A4" w:rsidRPr="34B4E3A4">
        <w:rPr>
          <w:rFonts w:ascii="Times New Roman" w:eastAsia="Times New Roman" w:hAnsi="Times New Roman" w:cs="Times New Roman"/>
          <w:sz w:val="24"/>
          <w:szCs w:val="24"/>
        </w:rPr>
        <w:t xml:space="preserve">: Departmental Development Plan for School X’s History Department </w:t>
      </w:r>
    </w:p>
    <w:p w14:paraId="3ACAA7DA" w14:textId="1776736E" w:rsidR="34B4E3A4" w:rsidRDefault="34B4E3A4" w:rsidP="34B4E3A4">
      <w:r w:rsidRPr="34B4E3A4">
        <w:rPr>
          <w:rFonts w:ascii="Times New Roman" w:eastAsia="Times New Roman" w:hAnsi="Times New Roman" w:cs="Times New Roman"/>
          <w:sz w:val="24"/>
          <w:szCs w:val="24"/>
        </w:rPr>
        <w:t xml:space="preserve"> </w:t>
      </w:r>
    </w:p>
    <w:p w14:paraId="3D927710" w14:textId="206271E9" w:rsidR="34B4E3A4" w:rsidRDefault="34B4E3A4" w:rsidP="34B4E3A4">
      <w:r w:rsidRPr="34B4E3A4">
        <w:rPr>
          <w:rFonts w:ascii="Times New Roman" w:eastAsia="Times New Roman" w:hAnsi="Times New Roman" w:cs="Times New Roman"/>
          <w:sz w:val="24"/>
          <w:szCs w:val="24"/>
          <w:u w:val="single"/>
        </w:rPr>
        <w:t>Reference List</w:t>
      </w:r>
    </w:p>
    <w:p w14:paraId="619D5D70" w14:textId="293A93AD" w:rsidR="34B4E3A4" w:rsidRDefault="18C6E729" w:rsidP="34B4E3A4">
      <w:r w:rsidRPr="18C6E729">
        <w:rPr>
          <w:rFonts w:ascii="Times New Roman" w:eastAsia="Times New Roman" w:hAnsi="Times New Roman" w:cs="Times New Roman"/>
          <w:sz w:val="24"/>
          <w:szCs w:val="24"/>
        </w:rPr>
        <w:t xml:space="preserve">Berman, P. &amp; McLaughlin, M. W. (1976) Implementation of Educational Innovation. </w:t>
      </w:r>
      <w:r w:rsidRPr="18C6E729">
        <w:rPr>
          <w:rFonts w:ascii="Times New Roman" w:eastAsia="Times New Roman" w:hAnsi="Times New Roman" w:cs="Times New Roman"/>
          <w:i/>
          <w:iCs/>
          <w:sz w:val="24"/>
          <w:szCs w:val="24"/>
        </w:rPr>
        <w:t xml:space="preserve">The Educational Forum, </w:t>
      </w:r>
      <w:r w:rsidRPr="18C6E729">
        <w:rPr>
          <w:rFonts w:ascii="Times New Roman" w:eastAsia="Times New Roman" w:hAnsi="Times New Roman" w:cs="Times New Roman"/>
          <w:sz w:val="24"/>
          <w:szCs w:val="24"/>
        </w:rPr>
        <w:t>40(3), pp. 345-370.</w:t>
      </w:r>
    </w:p>
    <w:p w14:paraId="712D9789" w14:textId="2D582FFC" w:rsidR="34B4E3A4" w:rsidRDefault="18C6E729" w:rsidP="34B4E3A4">
      <w:r w:rsidRPr="18C6E729">
        <w:rPr>
          <w:rFonts w:ascii="Times New Roman" w:eastAsia="Times New Roman" w:hAnsi="Times New Roman" w:cs="Times New Roman"/>
          <w:sz w:val="24"/>
          <w:szCs w:val="24"/>
        </w:rPr>
        <w:t xml:space="preserve">Cheng, E. (2013) Applying knowledge management for school strategic planning. </w:t>
      </w:r>
      <w:r w:rsidRPr="18C6E729">
        <w:rPr>
          <w:rFonts w:ascii="Times New Roman" w:eastAsia="Times New Roman" w:hAnsi="Times New Roman" w:cs="Times New Roman"/>
          <w:i/>
          <w:iCs/>
          <w:sz w:val="24"/>
          <w:szCs w:val="24"/>
        </w:rPr>
        <w:t xml:space="preserve">KEDI Journal of Educational Policy, </w:t>
      </w:r>
      <w:r w:rsidRPr="18C6E729">
        <w:rPr>
          <w:rFonts w:ascii="Times New Roman" w:eastAsia="Times New Roman" w:hAnsi="Times New Roman" w:cs="Times New Roman"/>
          <w:sz w:val="24"/>
          <w:szCs w:val="24"/>
        </w:rPr>
        <w:t>10(2), pp. 339-356.</w:t>
      </w:r>
    </w:p>
    <w:p w14:paraId="5C565C39" w14:textId="601D636B" w:rsidR="34B4E3A4" w:rsidRDefault="18C6E729" w:rsidP="34B4E3A4">
      <w:r w:rsidRPr="18C6E729">
        <w:rPr>
          <w:rFonts w:ascii="Times New Roman" w:eastAsia="Times New Roman" w:hAnsi="Times New Roman" w:cs="Times New Roman"/>
          <w:sz w:val="24"/>
          <w:szCs w:val="24"/>
        </w:rPr>
        <w:t xml:space="preserve">Davies, B. &amp; Ellison, L. (eds.) (2003) </w:t>
      </w:r>
      <w:r w:rsidRPr="18C6E729">
        <w:rPr>
          <w:rFonts w:ascii="Times New Roman" w:eastAsia="Times New Roman" w:hAnsi="Times New Roman" w:cs="Times New Roman"/>
          <w:i/>
          <w:iCs/>
          <w:sz w:val="24"/>
          <w:szCs w:val="24"/>
        </w:rPr>
        <w:t xml:space="preserve">The New Strategic Direction and Development of the School. </w:t>
      </w:r>
      <w:r w:rsidRPr="18C6E729">
        <w:rPr>
          <w:rFonts w:ascii="Times New Roman" w:eastAsia="Times New Roman" w:hAnsi="Times New Roman" w:cs="Times New Roman"/>
          <w:sz w:val="24"/>
          <w:szCs w:val="24"/>
        </w:rPr>
        <w:t>2nd edition. London: Routledge.</w:t>
      </w:r>
    </w:p>
    <w:p w14:paraId="7389B735" w14:textId="39BF2D0F" w:rsidR="34B4E3A4" w:rsidRDefault="18C6E729" w:rsidP="34B4E3A4">
      <w:r w:rsidRPr="18C6E729">
        <w:rPr>
          <w:rFonts w:ascii="Times New Roman" w:eastAsia="Times New Roman" w:hAnsi="Times New Roman" w:cs="Times New Roman"/>
          <w:sz w:val="24"/>
          <w:szCs w:val="24"/>
        </w:rPr>
        <w:t xml:space="preserve">Department for Education and Skills (2007) </w:t>
      </w:r>
      <w:r w:rsidRPr="18C6E729">
        <w:rPr>
          <w:rFonts w:ascii="Times New Roman" w:eastAsia="Times New Roman" w:hAnsi="Times New Roman" w:cs="Times New Roman"/>
          <w:i/>
          <w:iCs/>
          <w:sz w:val="24"/>
          <w:szCs w:val="24"/>
        </w:rPr>
        <w:t xml:space="preserve">Gender and education: the evidence on pupils in England.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9">
        <w:r w:rsidRPr="18C6E729">
          <w:rPr>
            <w:rStyle w:val="Hyperlink"/>
            <w:rFonts w:ascii="Times New Roman" w:eastAsia="Times New Roman" w:hAnsi="Times New Roman" w:cs="Times New Roman"/>
            <w:sz w:val="24"/>
            <w:szCs w:val="24"/>
          </w:rPr>
          <w:t>https://webarchive.nationalarchives.gov.uk/20090108131527/http://www.dcsf.gov.uk/research/data/uploadfiles/RTP01-07.pdf</w:t>
        </w:r>
        <w:r w:rsidR="34B4E3A4">
          <w:br/>
        </w:r>
      </w:hyperlink>
      <w:r w:rsidRPr="18C6E729">
        <w:rPr>
          <w:rFonts w:ascii="Times New Roman" w:eastAsia="Times New Roman" w:hAnsi="Times New Roman" w:cs="Times New Roman"/>
          <w:sz w:val="24"/>
          <w:szCs w:val="24"/>
          <w:u w:val="single"/>
        </w:rPr>
        <w:t xml:space="preserve"> [Accessed 10 January 2019].</w:t>
      </w:r>
    </w:p>
    <w:p w14:paraId="086A6B82" w14:textId="1B6E28D1" w:rsidR="34B4E3A4" w:rsidRDefault="18C6E729" w:rsidP="34B4E3A4">
      <w:r w:rsidRPr="18C6E729">
        <w:rPr>
          <w:rFonts w:ascii="Times New Roman" w:eastAsia="Times New Roman" w:hAnsi="Times New Roman" w:cs="Times New Roman"/>
          <w:sz w:val="24"/>
          <w:szCs w:val="24"/>
        </w:rPr>
        <w:t xml:space="preserve">Donaldson, G. (2015) </w:t>
      </w:r>
      <w:r w:rsidRPr="18C6E729">
        <w:rPr>
          <w:rFonts w:ascii="Times New Roman" w:eastAsia="Times New Roman" w:hAnsi="Times New Roman" w:cs="Times New Roman"/>
          <w:i/>
          <w:iCs/>
          <w:sz w:val="24"/>
          <w:szCs w:val="24"/>
        </w:rPr>
        <w:t xml:space="preserve">Successful Futures: Independent Review of Curriculum and Assessment Arrangements in Wales.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0">
        <w:r w:rsidRPr="18C6E729">
          <w:rPr>
            <w:rStyle w:val="Hyperlink"/>
            <w:rFonts w:ascii="Times New Roman" w:eastAsia="Times New Roman" w:hAnsi="Times New Roman" w:cs="Times New Roman"/>
            <w:sz w:val="24"/>
            <w:szCs w:val="24"/>
          </w:rPr>
          <w:t>https://gov.wales/docs/dcells/publications/150225-successful-futures-en.pdf</w:t>
        </w:r>
        <w:r w:rsidR="34B4E3A4">
          <w:br/>
        </w:r>
      </w:hyperlink>
      <w:r w:rsidRPr="18C6E729">
        <w:rPr>
          <w:rFonts w:ascii="Times New Roman" w:eastAsia="Times New Roman" w:hAnsi="Times New Roman" w:cs="Times New Roman"/>
          <w:sz w:val="24"/>
          <w:szCs w:val="24"/>
          <w:u w:val="single"/>
        </w:rPr>
        <w:t xml:space="preserve"> [Accessed 16 January 2019].</w:t>
      </w:r>
    </w:p>
    <w:p w14:paraId="29EA175D" w14:textId="667C889D" w:rsidR="34B4E3A4" w:rsidRDefault="18C6E729" w:rsidP="34B4E3A4">
      <w:r w:rsidRPr="18C6E729">
        <w:rPr>
          <w:rFonts w:ascii="Times New Roman" w:eastAsia="Times New Roman" w:hAnsi="Times New Roman" w:cs="Times New Roman"/>
          <w:sz w:val="24"/>
          <w:szCs w:val="24"/>
        </w:rPr>
        <w:t xml:space="preserve">Education Wales (2018) </w:t>
      </w:r>
      <w:r w:rsidRPr="18C6E729">
        <w:rPr>
          <w:rFonts w:ascii="Times New Roman" w:eastAsia="Times New Roman" w:hAnsi="Times New Roman" w:cs="Times New Roman"/>
          <w:i/>
          <w:iCs/>
          <w:sz w:val="24"/>
          <w:szCs w:val="24"/>
        </w:rPr>
        <w:t xml:space="preserve">Digital Competence Framework guidance.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1">
        <w:r w:rsidRPr="18C6E729">
          <w:rPr>
            <w:rStyle w:val="Hyperlink"/>
            <w:rFonts w:ascii="Times New Roman" w:eastAsia="Times New Roman" w:hAnsi="Times New Roman" w:cs="Times New Roman"/>
            <w:sz w:val="24"/>
            <w:szCs w:val="24"/>
          </w:rPr>
          <w:t>http://learning.gov.wales/docs/learningwales/publications/180620-dcf-guidance-2018-en.pdf</w:t>
        </w:r>
        <w:r w:rsidR="34B4E3A4">
          <w:br/>
        </w:r>
      </w:hyperlink>
      <w:r w:rsidRPr="18C6E729">
        <w:rPr>
          <w:rFonts w:ascii="Times New Roman" w:eastAsia="Times New Roman" w:hAnsi="Times New Roman" w:cs="Times New Roman"/>
          <w:sz w:val="24"/>
          <w:szCs w:val="24"/>
          <w:u w:val="single"/>
        </w:rPr>
        <w:t xml:space="preserve"> [Accessed 18 January 2019].</w:t>
      </w:r>
    </w:p>
    <w:p w14:paraId="60EED014" w14:textId="4465515A" w:rsidR="34B4E3A4" w:rsidRDefault="18C6E729" w:rsidP="34B4E3A4">
      <w:pPr>
        <w:rPr>
          <w:rFonts w:ascii="Times New Roman" w:eastAsia="Times New Roman" w:hAnsi="Times New Roman" w:cs="Times New Roman"/>
          <w:sz w:val="24"/>
          <w:szCs w:val="24"/>
          <w:u w:val="single"/>
        </w:rPr>
      </w:pPr>
      <w:r w:rsidRPr="18C6E729">
        <w:rPr>
          <w:rFonts w:ascii="Times New Roman" w:eastAsia="Times New Roman" w:hAnsi="Times New Roman" w:cs="Times New Roman"/>
          <w:sz w:val="24"/>
          <w:szCs w:val="24"/>
        </w:rPr>
        <w:t xml:space="preserve">Estyn, (2008) </w:t>
      </w:r>
      <w:r w:rsidRPr="18C6E729">
        <w:rPr>
          <w:rFonts w:ascii="Times New Roman" w:eastAsia="Times New Roman" w:hAnsi="Times New Roman" w:cs="Times New Roman"/>
          <w:i/>
          <w:iCs/>
          <w:sz w:val="24"/>
          <w:szCs w:val="24"/>
        </w:rPr>
        <w:t xml:space="preserve">Closing the gap between boys' and girls' attainment in schools.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2">
        <w:r w:rsidRPr="18C6E729">
          <w:rPr>
            <w:rStyle w:val="Hyperlink"/>
            <w:rFonts w:ascii="Times New Roman" w:eastAsia="Times New Roman" w:hAnsi="Times New Roman" w:cs="Times New Roman"/>
            <w:sz w:val="24"/>
            <w:szCs w:val="24"/>
          </w:rPr>
          <w:t>https://dera.ioe.ac.uk/7498/1/Gender_Gap_Report_March_2008.pdf</w:t>
        </w:r>
        <w:r w:rsidR="34B4E3A4">
          <w:br/>
        </w:r>
      </w:hyperlink>
      <w:r w:rsidRPr="18C6E729">
        <w:rPr>
          <w:rFonts w:ascii="Times New Roman" w:eastAsia="Times New Roman" w:hAnsi="Times New Roman" w:cs="Times New Roman"/>
          <w:sz w:val="24"/>
          <w:szCs w:val="24"/>
          <w:u w:val="single"/>
        </w:rPr>
        <w:t xml:space="preserve"> [Accessed 8 January 2019].</w:t>
      </w:r>
    </w:p>
    <w:p w14:paraId="7C3018C0" w14:textId="5C326A2B" w:rsidR="00DF76DB" w:rsidRPr="00DF76DB" w:rsidRDefault="00DF76DB" w:rsidP="34B4E3A4">
      <w:r>
        <w:rPr>
          <w:rFonts w:ascii="Times New Roman" w:eastAsia="Times New Roman" w:hAnsi="Times New Roman" w:cs="Times New Roman"/>
          <w:sz w:val="24"/>
          <w:szCs w:val="24"/>
        </w:rPr>
        <w:t xml:space="preserve">Estyn (2015) Report on School X </w:t>
      </w:r>
      <w:bookmarkStart w:id="0" w:name="_GoBack"/>
      <w:bookmarkEnd w:id="0"/>
    </w:p>
    <w:p w14:paraId="2EF0A665" w14:textId="1A5C980C" w:rsidR="34B4E3A4" w:rsidRDefault="18C6E729" w:rsidP="34B4E3A4">
      <w:r w:rsidRPr="18C6E729">
        <w:rPr>
          <w:rFonts w:ascii="Times New Roman" w:eastAsia="Times New Roman" w:hAnsi="Times New Roman" w:cs="Times New Roman"/>
          <w:sz w:val="24"/>
          <w:szCs w:val="24"/>
        </w:rPr>
        <w:t xml:space="preserve">Francis, B. (2000) </w:t>
      </w:r>
      <w:r w:rsidRPr="18C6E729">
        <w:rPr>
          <w:rFonts w:ascii="Times New Roman" w:eastAsia="Times New Roman" w:hAnsi="Times New Roman" w:cs="Times New Roman"/>
          <w:i/>
          <w:iCs/>
          <w:sz w:val="24"/>
          <w:szCs w:val="24"/>
        </w:rPr>
        <w:t xml:space="preserve">Boys, Girls and Achievement: Addressing the Classroom Issues. </w:t>
      </w:r>
      <w:r w:rsidRPr="18C6E729">
        <w:rPr>
          <w:rFonts w:ascii="Times New Roman" w:eastAsia="Times New Roman" w:hAnsi="Times New Roman" w:cs="Times New Roman"/>
          <w:sz w:val="24"/>
          <w:szCs w:val="24"/>
        </w:rPr>
        <w:t>Abingdon: RoutledgeFarmer.</w:t>
      </w:r>
    </w:p>
    <w:p w14:paraId="393BAD9E" w14:textId="3F021618" w:rsidR="34B4E3A4" w:rsidRDefault="18C6E729" w:rsidP="34B4E3A4">
      <w:r w:rsidRPr="18C6E729">
        <w:rPr>
          <w:rFonts w:ascii="Times New Roman" w:eastAsia="Times New Roman" w:hAnsi="Times New Roman" w:cs="Times New Roman"/>
          <w:sz w:val="24"/>
          <w:szCs w:val="24"/>
        </w:rPr>
        <w:t xml:space="preserve">Genlott, A. A. G. &amp; Grönlund, Å. (2016) Closing the gaps - Improving literacy and mathematics by ICT enhanced collaboaration. </w:t>
      </w:r>
      <w:r w:rsidRPr="18C6E729">
        <w:rPr>
          <w:rFonts w:ascii="Times New Roman" w:eastAsia="Times New Roman" w:hAnsi="Times New Roman" w:cs="Times New Roman"/>
          <w:i/>
          <w:iCs/>
          <w:sz w:val="24"/>
          <w:szCs w:val="24"/>
        </w:rPr>
        <w:t xml:space="preserve">Computers and Education, </w:t>
      </w:r>
      <w:r w:rsidRPr="18C6E729">
        <w:rPr>
          <w:rFonts w:ascii="Times New Roman" w:eastAsia="Times New Roman" w:hAnsi="Times New Roman" w:cs="Times New Roman"/>
          <w:sz w:val="24"/>
          <w:szCs w:val="24"/>
        </w:rPr>
        <w:t>Volume 99, pp. 68-80.</w:t>
      </w:r>
    </w:p>
    <w:p w14:paraId="3F876111" w14:textId="65F19949" w:rsidR="34B4E3A4" w:rsidRDefault="18C6E729" w:rsidP="34B4E3A4">
      <w:r w:rsidRPr="18C6E729">
        <w:rPr>
          <w:rFonts w:ascii="Times New Roman" w:eastAsia="Times New Roman" w:hAnsi="Times New Roman" w:cs="Times New Roman"/>
          <w:sz w:val="24"/>
          <w:szCs w:val="24"/>
        </w:rPr>
        <w:t xml:space="preserve">Goodwyn, A. &amp; Findlay, K. (2002) Secondary Schools and the National Literacy Strategy. In: A. Goodwyn, ed. </w:t>
      </w:r>
      <w:r w:rsidRPr="18C6E729">
        <w:rPr>
          <w:rFonts w:ascii="Times New Roman" w:eastAsia="Times New Roman" w:hAnsi="Times New Roman" w:cs="Times New Roman"/>
          <w:i/>
          <w:iCs/>
          <w:sz w:val="24"/>
          <w:szCs w:val="24"/>
        </w:rPr>
        <w:t xml:space="preserve">Improving Literacy at KS2 and KS3. </w:t>
      </w:r>
      <w:r w:rsidRPr="18C6E729">
        <w:rPr>
          <w:rFonts w:ascii="Times New Roman" w:eastAsia="Times New Roman" w:hAnsi="Times New Roman" w:cs="Times New Roman"/>
          <w:sz w:val="24"/>
          <w:szCs w:val="24"/>
        </w:rPr>
        <w:t>London: Paul Chapman Publishing, pp. 44-65.</w:t>
      </w:r>
    </w:p>
    <w:p w14:paraId="4750BD07" w14:textId="6AEB2CCF" w:rsidR="34B4E3A4" w:rsidRDefault="18C6E729" w:rsidP="34B4E3A4">
      <w:r w:rsidRPr="18C6E729">
        <w:rPr>
          <w:rFonts w:ascii="Times New Roman" w:eastAsia="Times New Roman" w:hAnsi="Times New Roman" w:cs="Times New Roman"/>
          <w:sz w:val="24"/>
          <w:szCs w:val="24"/>
        </w:rPr>
        <w:lastRenderedPageBreak/>
        <w:t xml:space="preserve">Henry, K., Lagos, A. &amp; Berndt, F. (2012) Bridging the literacy gap between boys and girls: An opportunity for the National Year of Reading 2012. </w:t>
      </w:r>
      <w:r w:rsidRPr="18C6E729">
        <w:rPr>
          <w:rFonts w:ascii="Times New Roman" w:eastAsia="Times New Roman" w:hAnsi="Times New Roman" w:cs="Times New Roman"/>
          <w:i/>
          <w:iCs/>
          <w:sz w:val="24"/>
          <w:szCs w:val="24"/>
        </w:rPr>
        <w:t xml:space="preserve">Australian Library Journal, </w:t>
      </w:r>
      <w:r w:rsidRPr="18C6E729">
        <w:rPr>
          <w:rFonts w:ascii="Times New Roman" w:eastAsia="Times New Roman" w:hAnsi="Times New Roman" w:cs="Times New Roman"/>
          <w:sz w:val="24"/>
          <w:szCs w:val="24"/>
        </w:rPr>
        <w:t>61(2), pp. 143-150.</w:t>
      </w:r>
    </w:p>
    <w:p w14:paraId="38A7D443" w14:textId="7D4A346D" w:rsidR="34B4E3A4" w:rsidRDefault="18C6E729" w:rsidP="34B4E3A4">
      <w:r w:rsidRPr="18C6E729">
        <w:rPr>
          <w:rFonts w:ascii="Times New Roman" w:eastAsia="Times New Roman" w:hAnsi="Times New Roman" w:cs="Times New Roman"/>
          <w:sz w:val="24"/>
          <w:szCs w:val="24"/>
        </w:rPr>
        <w:t xml:space="preserve">Joyner, E.  (1998) Large-scale change: The Comer perspective. In: A. Hargreaves, ed. </w:t>
      </w:r>
      <w:r w:rsidRPr="18C6E729">
        <w:rPr>
          <w:rFonts w:ascii="Times New Roman" w:eastAsia="Times New Roman" w:hAnsi="Times New Roman" w:cs="Times New Roman"/>
          <w:i/>
          <w:iCs/>
          <w:sz w:val="24"/>
          <w:szCs w:val="24"/>
        </w:rPr>
        <w:t xml:space="preserve">International Handbook of Educational Change. </w:t>
      </w:r>
      <w:r w:rsidRPr="18C6E729">
        <w:rPr>
          <w:rFonts w:ascii="Times New Roman" w:eastAsia="Times New Roman" w:hAnsi="Times New Roman" w:cs="Times New Roman"/>
          <w:sz w:val="24"/>
          <w:szCs w:val="24"/>
        </w:rPr>
        <w:t>Boston: Kluwer Academic Publishers, pp. 855-875.</w:t>
      </w:r>
    </w:p>
    <w:p w14:paraId="62B73112" w14:textId="6C6178AF" w:rsidR="34B4E3A4" w:rsidRDefault="18C6E729" w:rsidP="34B4E3A4">
      <w:r w:rsidRPr="18C6E729">
        <w:rPr>
          <w:rFonts w:ascii="Times New Roman" w:eastAsia="Times New Roman" w:hAnsi="Times New Roman" w:cs="Times New Roman"/>
          <w:sz w:val="24"/>
          <w:szCs w:val="24"/>
        </w:rPr>
        <w:t xml:space="preserve">Kitson, A., Husbands, C. &amp; Steward, S. (eds.) (2011) </w:t>
      </w:r>
      <w:r w:rsidRPr="18C6E729">
        <w:rPr>
          <w:rFonts w:ascii="Times New Roman" w:eastAsia="Times New Roman" w:hAnsi="Times New Roman" w:cs="Times New Roman"/>
          <w:i/>
          <w:iCs/>
          <w:sz w:val="24"/>
          <w:szCs w:val="24"/>
        </w:rPr>
        <w:t xml:space="preserve">Teaching and Learning History 11-18: Understanding the Past. </w:t>
      </w:r>
      <w:r w:rsidRPr="18C6E729">
        <w:rPr>
          <w:rFonts w:ascii="Times New Roman" w:eastAsia="Times New Roman" w:hAnsi="Times New Roman" w:cs="Times New Roman"/>
          <w:sz w:val="24"/>
          <w:szCs w:val="24"/>
        </w:rPr>
        <w:t>Maidenhead: Open University Press.</w:t>
      </w:r>
    </w:p>
    <w:p w14:paraId="76C5E798" w14:textId="125EF92D" w:rsidR="34B4E3A4" w:rsidRDefault="18C6E729" w:rsidP="34B4E3A4">
      <w:r w:rsidRPr="18C6E729">
        <w:rPr>
          <w:rFonts w:ascii="Times New Roman" w:eastAsia="Times New Roman" w:hAnsi="Times New Roman" w:cs="Times New Roman"/>
          <w:sz w:val="24"/>
          <w:szCs w:val="24"/>
        </w:rPr>
        <w:t xml:space="preserve">Lexia Learning, (2017) </w:t>
      </w:r>
      <w:r w:rsidRPr="18C6E729">
        <w:rPr>
          <w:rFonts w:ascii="Times New Roman" w:eastAsia="Times New Roman" w:hAnsi="Times New Roman" w:cs="Times New Roman"/>
          <w:i/>
          <w:iCs/>
          <w:sz w:val="24"/>
          <w:szCs w:val="24"/>
        </w:rPr>
        <w:t xml:space="preserve">Closing the Literacy Gender Gap: Top Tips for Motivating Boys to Read.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3">
        <w:r w:rsidRPr="18C6E729">
          <w:rPr>
            <w:rStyle w:val="Hyperlink"/>
            <w:rFonts w:ascii="Times New Roman" w:eastAsia="Times New Roman" w:hAnsi="Times New Roman" w:cs="Times New Roman"/>
            <w:sz w:val="24"/>
            <w:szCs w:val="24"/>
          </w:rPr>
          <w:t>https://www.lexialearning.com/blog/closing-literacy-gender-gap-top-tips-motivating-boys-read</w:t>
        </w:r>
        <w:r w:rsidR="34B4E3A4">
          <w:br/>
        </w:r>
      </w:hyperlink>
      <w:r w:rsidRPr="18C6E729">
        <w:rPr>
          <w:rFonts w:ascii="Times New Roman" w:eastAsia="Times New Roman" w:hAnsi="Times New Roman" w:cs="Times New Roman"/>
          <w:sz w:val="24"/>
          <w:szCs w:val="24"/>
          <w:u w:val="single"/>
        </w:rPr>
        <w:t xml:space="preserve"> [Accessed 8 January 2019].</w:t>
      </w:r>
    </w:p>
    <w:p w14:paraId="60FB83DB" w14:textId="4BCCFDC1" w:rsidR="34B4E3A4" w:rsidRDefault="18C6E729" w:rsidP="34B4E3A4">
      <w:r w:rsidRPr="18C6E729">
        <w:rPr>
          <w:rFonts w:ascii="Times New Roman" w:eastAsia="Times New Roman" w:hAnsi="Times New Roman" w:cs="Times New Roman"/>
          <w:sz w:val="24"/>
          <w:szCs w:val="24"/>
        </w:rPr>
        <w:t xml:space="preserve">Ofsted, (2013) </w:t>
      </w:r>
      <w:r w:rsidRPr="18C6E729">
        <w:rPr>
          <w:rFonts w:ascii="Times New Roman" w:eastAsia="Times New Roman" w:hAnsi="Times New Roman" w:cs="Times New Roman"/>
          <w:i/>
          <w:iCs/>
          <w:sz w:val="24"/>
          <w:szCs w:val="24"/>
        </w:rPr>
        <w:t xml:space="preserve">Improving literacy in secondary schools: a shared responsibility.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4">
        <w:r w:rsidRPr="18C6E729">
          <w:rPr>
            <w:rStyle w:val="Hyperlink"/>
            <w:rFonts w:ascii="Times New Roman" w:eastAsia="Times New Roman" w:hAnsi="Times New Roman" w:cs="Times New Roman"/>
            <w:sz w:val="24"/>
            <w:szCs w:val="24"/>
          </w:rPr>
          <w:t>https://assets.publishing.service.gov.uk/government/uploads/system/uploads/attachment_data/file/413184/Improving_literacy_in_secondary_schools_-_report_summary.pdf</w:t>
        </w:r>
        <w:r w:rsidR="34B4E3A4">
          <w:br/>
        </w:r>
      </w:hyperlink>
      <w:r w:rsidRPr="18C6E729">
        <w:rPr>
          <w:rFonts w:ascii="Times New Roman" w:eastAsia="Times New Roman" w:hAnsi="Times New Roman" w:cs="Times New Roman"/>
          <w:sz w:val="24"/>
          <w:szCs w:val="24"/>
          <w:u w:val="single"/>
        </w:rPr>
        <w:t xml:space="preserve"> [Accessed 15 January 2019].</w:t>
      </w:r>
    </w:p>
    <w:p w14:paraId="70ACC462" w14:textId="04EC9EBA" w:rsidR="34B4E3A4" w:rsidRDefault="18C6E729" w:rsidP="34B4E3A4">
      <w:r w:rsidRPr="18C6E729">
        <w:rPr>
          <w:rFonts w:ascii="Times New Roman" w:eastAsia="Times New Roman" w:hAnsi="Times New Roman" w:cs="Times New Roman"/>
          <w:sz w:val="24"/>
          <w:szCs w:val="24"/>
        </w:rPr>
        <w:t xml:space="preserve">Rowan, L., Knoble, M., Bigum, C. &amp; Lankshear, C. (eds.) (2002) </w:t>
      </w:r>
      <w:r w:rsidRPr="18C6E729">
        <w:rPr>
          <w:rFonts w:ascii="Times New Roman" w:eastAsia="Times New Roman" w:hAnsi="Times New Roman" w:cs="Times New Roman"/>
          <w:i/>
          <w:iCs/>
          <w:sz w:val="24"/>
          <w:szCs w:val="24"/>
        </w:rPr>
        <w:t xml:space="preserve">Boys, Literacies and Schooling. </w:t>
      </w:r>
      <w:r w:rsidRPr="18C6E729">
        <w:rPr>
          <w:rFonts w:ascii="Times New Roman" w:eastAsia="Times New Roman" w:hAnsi="Times New Roman" w:cs="Times New Roman"/>
          <w:sz w:val="24"/>
          <w:szCs w:val="24"/>
        </w:rPr>
        <w:t>Buckingham: Open University Press.</w:t>
      </w:r>
    </w:p>
    <w:p w14:paraId="1A1BB87B" w14:textId="112BC991" w:rsidR="34B4E3A4" w:rsidRDefault="18C6E729" w:rsidP="34B4E3A4">
      <w:r w:rsidRPr="18C6E729">
        <w:rPr>
          <w:rFonts w:ascii="Times New Roman" w:eastAsia="Times New Roman" w:hAnsi="Times New Roman" w:cs="Times New Roman"/>
          <w:sz w:val="24"/>
          <w:szCs w:val="24"/>
        </w:rPr>
        <w:t xml:space="preserve">Rutherford, C. (2009) Planning to Change: Strategic Planning and Comprehensive School Reform. </w:t>
      </w:r>
      <w:r w:rsidRPr="18C6E729">
        <w:rPr>
          <w:rFonts w:ascii="Times New Roman" w:eastAsia="Times New Roman" w:hAnsi="Times New Roman" w:cs="Times New Roman"/>
          <w:i/>
          <w:iCs/>
          <w:sz w:val="24"/>
          <w:szCs w:val="24"/>
        </w:rPr>
        <w:t xml:space="preserve">Educational Planning, </w:t>
      </w:r>
      <w:r w:rsidRPr="18C6E729">
        <w:rPr>
          <w:rFonts w:ascii="Times New Roman" w:eastAsia="Times New Roman" w:hAnsi="Times New Roman" w:cs="Times New Roman"/>
          <w:sz w:val="24"/>
          <w:szCs w:val="24"/>
        </w:rPr>
        <w:t>18(1), pp. 1-10.</w:t>
      </w:r>
    </w:p>
    <w:p w14:paraId="1779A720" w14:textId="5365F1EA" w:rsidR="34B4E3A4" w:rsidRDefault="18C6E729" w:rsidP="34B4E3A4">
      <w:r w:rsidRPr="18C6E729">
        <w:rPr>
          <w:rFonts w:ascii="Times New Roman" w:eastAsia="Times New Roman" w:hAnsi="Times New Roman" w:cs="Times New Roman"/>
          <w:sz w:val="24"/>
          <w:szCs w:val="24"/>
        </w:rPr>
        <w:t xml:space="preserve">Tyack, L. &amp; Cuban, D. (eds.) (1995) </w:t>
      </w:r>
      <w:r w:rsidRPr="18C6E729">
        <w:rPr>
          <w:rFonts w:ascii="Times New Roman" w:eastAsia="Times New Roman" w:hAnsi="Times New Roman" w:cs="Times New Roman"/>
          <w:i/>
          <w:iCs/>
          <w:sz w:val="24"/>
          <w:szCs w:val="24"/>
        </w:rPr>
        <w:t xml:space="preserve">Tinkering toward utopia: A century of public school reform. </w:t>
      </w:r>
      <w:r w:rsidRPr="18C6E729">
        <w:rPr>
          <w:rFonts w:ascii="Times New Roman" w:eastAsia="Times New Roman" w:hAnsi="Times New Roman" w:cs="Times New Roman"/>
          <w:sz w:val="24"/>
          <w:szCs w:val="24"/>
        </w:rPr>
        <w:t>Cambridge: Harvard University Press.</w:t>
      </w:r>
    </w:p>
    <w:p w14:paraId="53D2BF0F" w14:textId="41CD7CE6" w:rsidR="34B4E3A4" w:rsidRDefault="18C6E729" w:rsidP="34B4E3A4">
      <w:r w:rsidRPr="18C6E729">
        <w:rPr>
          <w:rFonts w:ascii="Times New Roman" w:eastAsia="Times New Roman" w:hAnsi="Times New Roman" w:cs="Times New Roman"/>
          <w:sz w:val="24"/>
          <w:szCs w:val="24"/>
        </w:rPr>
        <w:t xml:space="preserve">University of Bristol (2016) </w:t>
      </w:r>
      <w:r w:rsidRPr="18C6E729">
        <w:rPr>
          <w:rFonts w:ascii="Times New Roman" w:eastAsia="Times New Roman" w:hAnsi="Times New Roman" w:cs="Times New Roman"/>
          <w:i/>
          <w:iCs/>
          <w:sz w:val="24"/>
          <w:szCs w:val="24"/>
        </w:rPr>
        <w:t xml:space="preserve">Understanding the Gender Gap in Literacy and Language Development.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5">
        <w:r w:rsidRPr="18C6E729">
          <w:rPr>
            <w:rStyle w:val="Hyperlink"/>
            <w:rFonts w:ascii="Times New Roman" w:eastAsia="Times New Roman" w:hAnsi="Times New Roman" w:cs="Times New Roman"/>
            <w:sz w:val="24"/>
            <w:szCs w:val="24"/>
          </w:rPr>
          <w:t>https://www.bristol.ac.uk/media-library/sites/education/documents/bristol-working-papers-in-education/Understanding%20the%20Gender%20Gap%20working%20paper.pdf</w:t>
        </w:r>
        <w:r w:rsidR="34B4E3A4">
          <w:br/>
        </w:r>
      </w:hyperlink>
      <w:r w:rsidRPr="18C6E729">
        <w:rPr>
          <w:rFonts w:ascii="Times New Roman" w:eastAsia="Times New Roman" w:hAnsi="Times New Roman" w:cs="Times New Roman"/>
          <w:sz w:val="24"/>
          <w:szCs w:val="24"/>
          <w:u w:val="single"/>
        </w:rPr>
        <w:t xml:space="preserve"> [Accessed 9 January 2019].</w:t>
      </w:r>
    </w:p>
    <w:p w14:paraId="3FEFE82F" w14:textId="4ADE5A95" w:rsidR="34B4E3A4" w:rsidRDefault="18C6E729" w:rsidP="34B4E3A4">
      <w:r w:rsidRPr="18C6E729">
        <w:rPr>
          <w:rFonts w:ascii="Times New Roman" w:eastAsia="Times New Roman" w:hAnsi="Times New Roman" w:cs="Times New Roman"/>
          <w:sz w:val="24"/>
          <w:szCs w:val="24"/>
        </w:rPr>
        <w:t xml:space="preserve">Welsh Government (2006) </w:t>
      </w:r>
      <w:r w:rsidRPr="18C6E729">
        <w:rPr>
          <w:rFonts w:ascii="Times New Roman" w:eastAsia="Times New Roman" w:hAnsi="Times New Roman" w:cs="Times New Roman"/>
          <w:i/>
          <w:iCs/>
          <w:sz w:val="24"/>
          <w:szCs w:val="24"/>
        </w:rPr>
        <w:t xml:space="preserve">The Learning Country 2: Vision Into Action.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6">
        <w:r w:rsidRPr="18C6E729">
          <w:rPr>
            <w:rStyle w:val="Hyperlink"/>
            <w:rFonts w:ascii="Times New Roman" w:eastAsia="Times New Roman" w:hAnsi="Times New Roman" w:cs="Times New Roman"/>
            <w:sz w:val="24"/>
            <w:szCs w:val="24"/>
          </w:rPr>
          <w:t>https://dera.ioe.ac.uk/8834/3/A9R3F9F_Redacted.pdf</w:t>
        </w:r>
        <w:r w:rsidR="34B4E3A4">
          <w:br/>
        </w:r>
      </w:hyperlink>
      <w:r w:rsidRPr="18C6E729">
        <w:rPr>
          <w:rFonts w:ascii="Times New Roman" w:eastAsia="Times New Roman" w:hAnsi="Times New Roman" w:cs="Times New Roman"/>
          <w:sz w:val="24"/>
          <w:szCs w:val="24"/>
          <w:u w:val="single"/>
        </w:rPr>
        <w:t xml:space="preserve"> [Accessed 15 January 2019].</w:t>
      </w:r>
    </w:p>
    <w:p w14:paraId="5F30E52E" w14:textId="4002B4FA" w:rsidR="34B4E3A4" w:rsidRPr="00160259" w:rsidRDefault="18C6E729" w:rsidP="00160259">
      <w:r w:rsidRPr="18C6E729">
        <w:rPr>
          <w:rFonts w:ascii="Times New Roman" w:eastAsia="Times New Roman" w:hAnsi="Times New Roman" w:cs="Times New Roman"/>
          <w:sz w:val="24"/>
          <w:szCs w:val="24"/>
        </w:rPr>
        <w:t xml:space="preserve">Wray, D. &amp; Lewis, M. (1998) </w:t>
      </w:r>
      <w:r w:rsidRPr="18C6E729">
        <w:rPr>
          <w:rFonts w:ascii="Times New Roman" w:eastAsia="Times New Roman" w:hAnsi="Times New Roman" w:cs="Times New Roman"/>
          <w:i/>
          <w:iCs/>
          <w:sz w:val="24"/>
          <w:szCs w:val="24"/>
        </w:rPr>
        <w:t xml:space="preserve">An approach to scaffolding children's non-ficion writing: the use of writing frames. </w:t>
      </w:r>
      <w:r w:rsidRPr="18C6E729">
        <w:rPr>
          <w:rFonts w:ascii="Times New Roman" w:eastAsia="Times New Roman" w:hAnsi="Times New Roman" w:cs="Times New Roman"/>
          <w:sz w:val="24"/>
          <w:szCs w:val="24"/>
        </w:rPr>
        <w:t xml:space="preserve">[Online] </w:t>
      </w:r>
      <w:r w:rsidR="34B4E3A4">
        <w:br/>
      </w:r>
      <w:r w:rsidRPr="18C6E729">
        <w:rPr>
          <w:rFonts w:ascii="Times New Roman" w:eastAsia="Times New Roman" w:hAnsi="Times New Roman" w:cs="Times New Roman"/>
          <w:sz w:val="24"/>
          <w:szCs w:val="24"/>
        </w:rPr>
        <w:t xml:space="preserve">Available at: </w:t>
      </w:r>
      <w:hyperlink r:id="rId17">
        <w:r w:rsidRPr="18C6E729">
          <w:rPr>
            <w:rStyle w:val="Hyperlink"/>
            <w:rFonts w:ascii="Times New Roman" w:eastAsia="Times New Roman" w:hAnsi="Times New Roman" w:cs="Times New Roman"/>
            <w:sz w:val="24"/>
            <w:szCs w:val="24"/>
          </w:rPr>
          <w:t>http://learning.gov.wales/docs/learningwales/publications/140123-writing-frames-en.pdf</w:t>
        </w:r>
        <w:r w:rsidR="34B4E3A4">
          <w:br/>
        </w:r>
      </w:hyperlink>
      <w:r w:rsidRPr="18C6E729">
        <w:rPr>
          <w:rFonts w:ascii="Times New Roman" w:eastAsia="Times New Roman" w:hAnsi="Times New Roman" w:cs="Times New Roman"/>
          <w:sz w:val="24"/>
          <w:szCs w:val="24"/>
          <w:u w:val="single"/>
        </w:rPr>
        <w:t xml:space="preserve"> [Accessed 22 January 2019].</w:t>
      </w:r>
    </w:p>
    <w:sectPr w:rsidR="34B4E3A4" w:rsidRPr="00160259">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A303EB" w14:textId="77777777" w:rsidR="009D6DDA" w:rsidRDefault="009D6DDA" w:rsidP="0008143C">
      <w:pPr>
        <w:spacing w:after="0" w:line="240" w:lineRule="auto"/>
      </w:pPr>
      <w:r>
        <w:separator/>
      </w:r>
    </w:p>
  </w:endnote>
  <w:endnote w:type="continuationSeparator" w:id="0">
    <w:p w14:paraId="152B3B70" w14:textId="77777777" w:rsidR="009D6DDA" w:rsidRDefault="009D6DDA" w:rsidP="00081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0067683"/>
      <w:docPartObj>
        <w:docPartGallery w:val="Page Numbers (Bottom of Page)"/>
        <w:docPartUnique/>
      </w:docPartObj>
    </w:sdtPr>
    <w:sdtEndPr>
      <w:rPr>
        <w:noProof/>
      </w:rPr>
    </w:sdtEndPr>
    <w:sdtContent>
      <w:p w14:paraId="1F167899" w14:textId="4CCE9052" w:rsidR="00D61BD3" w:rsidRDefault="00D61BD3">
        <w:pPr>
          <w:pStyle w:val="Footer"/>
          <w:jc w:val="right"/>
        </w:pPr>
        <w:r>
          <w:fldChar w:fldCharType="begin"/>
        </w:r>
        <w:r>
          <w:instrText xml:space="preserve"> PAGE   \* MERGEFORMAT </w:instrText>
        </w:r>
        <w:r>
          <w:fldChar w:fldCharType="separate"/>
        </w:r>
        <w:r w:rsidR="00DF76DB">
          <w:rPr>
            <w:noProof/>
          </w:rPr>
          <w:t>18</w:t>
        </w:r>
        <w:r>
          <w:rPr>
            <w:noProof/>
          </w:rPr>
          <w:fldChar w:fldCharType="end"/>
        </w:r>
      </w:p>
    </w:sdtContent>
  </w:sdt>
  <w:p w14:paraId="3D47E3BC" w14:textId="266E142E" w:rsidR="10E49924" w:rsidRDefault="10E49924" w:rsidP="10E49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E01AC0" w14:textId="77777777" w:rsidR="009D6DDA" w:rsidRDefault="009D6DDA" w:rsidP="0008143C">
      <w:pPr>
        <w:spacing w:after="0" w:line="240" w:lineRule="auto"/>
      </w:pPr>
      <w:r>
        <w:separator/>
      </w:r>
    </w:p>
  </w:footnote>
  <w:footnote w:type="continuationSeparator" w:id="0">
    <w:p w14:paraId="030ECD0E" w14:textId="77777777" w:rsidR="009D6DDA" w:rsidRDefault="009D6DDA" w:rsidP="000814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62CD1" w14:textId="77777777" w:rsidR="0008143C" w:rsidRDefault="0008143C">
    <w:pPr>
      <w:pStyle w:val="Header"/>
    </w:pPr>
    <w:r>
      <w:t>ECSP7001</w:t>
    </w:r>
    <w:r>
      <w:ptab w:relativeTo="margin" w:alignment="center" w:leader="none"/>
    </w:r>
    <w:r>
      <w:ptab w:relativeTo="margin" w:alignment="right" w:leader="none"/>
    </w:r>
    <w:r>
      <w:t>Student number: 1800961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CDA"/>
    <w:rsid w:val="00053F01"/>
    <w:rsid w:val="000641C4"/>
    <w:rsid w:val="0008143C"/>
    <w:rsid w:val="000F226C"/>
    <w:rsid w:val="00160259"/>
    <w:rsid w:val="001B3A90"/>
    <w:rsid w:val="003E2315"/>
    <w:rsid w:val="004308B1"/>
    <w:rsid w:val="004D73FD"/>
    <w:rsid w:val="00534792"/>
    <w:rsid w:val="0065744A"/>
    <w:rsid w:val="006D79D0"/>
    <w:rsid w:val="006E760E"/>
    <w:rsid w:val="00780620"/>
    <w:rsid w:val="009B0DE8"/>
    <w:rsid w:val="009D6DDA"/>
    <w:rsid w:val="00AE0429"/>
    <w:rsid w:val="00C064EB"/>
    <w:rsid w:val="00D61BD3"/>
    <w:rsid w:val="00DB154B"/>
    <w:rsid w:val="00DF76DB"/>
    <w:rsid w:val="00E1126C"/>
    <w:rsid w:val="00E52CDA"/>
    <w:rsid w:val="00E71663"/>
    <w:rsid w:val="00F42A22"/>
    <w:rsid w:val="00F566B8"/>
    <w:rsid w:val="00F73113"/>
    <w:rsid w:val="0E193D1D"/>
    <w:rsid w:val="10E49924"/>
    <w:rsid w:val="18C6E729"/>
    <w:rsid w:val="2010D9B4"/>
    <w:rsid w:val="29510022"/>
    <w:rsid w:val="32D3F827"/>
    <w:rsid w:val="34B4E3A4"/>
    <w:rsid w:val="3D4B3344"/>
    <w:rsid w:val="44125411"/>
    <w:rsid w:val="47616553"/>
    <w:rsid w:val="4C6D3728"/>
    <w:rsid w:val="7F890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4BA3D3"/>
  <w15:chartTrackingRefBased/>
  <w15:docId w15:val="{EA9FFFF6-871F-42E9-9015-332688D0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1B3A9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B3A90"/>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8143C"/>
    <w:pPr>
      <w:tabs>
        <w:tab w:val="center" w:pos="4513"/>
        <w:tab w:val="right" w:pos="9026"/>
      </w:tabs>
      <w:spacing w:after="0" w:line="240" w:lineRule="auto"/>
    </w:pPr>
  </w:style>
  <w:style w:type="character" w:customStyle="1" w:styleId="HeaderChar">
    <w:name w:val="Header Char"/>
    <w:basedOn w:val="DefaultParagraphFont"/>
    <w:link w:val="Header"/>
    <w:rsid w:val="0008143C"/>
  </w:style>
  <w:style w:type="paragraph" w:styleId="Footer">
    <w:name w:val="footer"/>
    <w:basedOn w:val="Normal"/>
    <w:link w:val="FooterChar"/>
    <w:uiPriority w:val="99"/>
    <w:unhideWhenUsed/>
    <w:rsid w:val="00081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43C"/>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rsid w:val="001B3A9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B3A90"/>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408891">
      <w:bodyDiv w:val="1"/>
      <w:marLeft w:val="0"/>
      <w:marRight w:val="0"/>
      <w:marTop w:val="0"/>
      <w:marBottom w:val="0"/>
      <w:divBdr>
        <w:top w:val="none" w:sz="0" w:space="0" w:color="auto"/>
        <w:left w:val="none" w:sz="0" w:space="0" w:color="auto"/>
        <w:bottom w:val="none" w:sz="0" w:space="0" w:color="auto"/>
        <w:right w:val="none" w:sz="0" w:space="0" w:color="auto"/>
      </w:divBdr>
    </w:div>
    <w:div w:id="1623464117">
      <w:bodyDiv w:val="1"/>
      <w:marLeft w:val="0"/>
      <w:marRight w:val="0"/>
      <w:marTop w:val="0"/>
      <w:marBottom w:val="0"/>
      <w:divBdr>
        <w:top w:val="none" w:sz="0" w:space="0" w:color="auto"/>
        <w:left w:val="none" w:sz="0" w:space="0" w:color="auto"/>
        <w:bottom w:val="none" w:sz="0" w:space="0" w:color="auto"/>
        <w:right w:val="none" w:sz="0" w:space="0" w:color="auto"/>
      </w:divBdr>
      <w:divsChild>
        <w:div w:id="1215504538">
          <w:marLeft w:val="0"/>
          <w:marRight w:val="0"/>
          <w:marTop w:val="0"/>
          <w:marBottom w:val="0"/>
          <w:divBdr>
            <w:top w:val="none" w:sz="0" w:space="0" w:color="auto"/>
            <w:left w:val="none" w:sz="0" w:space="0" w:color="auto"/>
            <w:bottom w:val="none" w:sz="0" w:space="0" w:color="auto"/>
            <w:right w:val="none" w:sz="0" w:space="0" w:color="auto"/>
          </w:divBdr>
        </w:div>
        <w:div w:id="1163854849">
          <w:marLeft w:val="0"/>
          <w:marRight w:val="0"/>
          <w:marTop w:val="0"/>
          <w:marBottom w:val="0"/>
          <w:divBdr>
            <w:top w:val="none" w:sz="0" w:space="0" w:color="auto"/>
            <w:left w:val="none" w:sz="0" w:space="0" w:color="auto"/>
            <w:bottom w:val="none" w:sz="0" w:space="0" w:color="auto"/>
            <w:right w:val="none" w:sz="0" w:space="0" w:color="auto"/>
          </w:divBdr>
        </w:div>
        <w:div w:id="883714103">
          <w:marLeft w:val="0"/>
          <w:marRight w:val="0"/>
          <w:marTop w:val="0"/>
          <w:marBottom w:val="0"/>
          <w:divBdr>
            <w:top w:val="none" w:sz="0" w:space="0" w:color="auto"/>
            <w:left w:val="none" w:sz="0" w:space="0" w:color="auto"/>
            <w:bottom w:val="none" w:sz="0" w:space="0" w:color="auto"/>
            <w:right w:val="none" w:sz="0" w:space="0" w:color="auto"/>
          </w:divBdr>
        </w:div>
        <w:div w:id="870604844">
          <w:marLeft w:val="0"/>
          <w:marRight w:val="0"/>
          <w:marTop w:val="0"/>
          <w:marBottom w:val="0"/>
          <w:divBdr>
            <w:top w:val="none" w:sz="0" w:space="0" w:color="auto"/>
            <w:left w:val="none" w:sz="0" w:space="0" w:color="auto"/>
            <w:bottom w:val="none" w:sz="0" w:space="0" w:color="auto"/>
            <w:right w:val="none" w:sz="0" w:space="0" w:color="auto"/>
          </w:divBdr>
        </w:div>
        <w:div w:id="248201904">
          <w:marLeft w:val="0"/>
          <w:marRight w:val="0"/>
          <w:marTop w:val="0"/>
          <w:marBottom w:val="0"/>
          <w:divBdr>
            <w:top w:val="none" w:sz="0" w:space="0" w:color="auto"/>
            <w:left w:val="none" w:sz="0" w:space="0" w:color="auto"/>
            <w:bottom w:val="none" w:sz="0" w:space="0" w:color="auto"/>
            <w:right w:val="none" w:sz="0" w:space="0" w:color="auto"/>
          </w:divBdr>
        </w:div>
        <w:div w:id="33430384">
          <w:marLeft w:val="0"/>
          <w:marRight w:val="0"/>
          <w:marTop w:val="0"/>
          <w:marBottom w:val="0"/>
          <w:divBdr>
            <w:top w:val="none" w:sz="0" w:space="0" w:color="auto"/>
            <w:left w:val="none" w:sz="0" w:space="0" w:color="auto"/>
            <w:bottom w:val="none" w:sz="0" w:space="0" w:color="auto"/>
            <w:right w:val="none" w:sz="0" w:space="0" w:color="auto"/>
          </w:divBdr>
        </w:div>
        <w:div w:id="635306365">
          <w:marLeft w:val="0"/>
          <w:marRight w:val="0"/>
          <w:marTop w:val="0"/>
          <w:marBottom w:val="0"/>
          <w:divBdr>
            <w:top w:val="none" w:sz="0" w:space="0" w:color="auto"/>
            <w:left w:val="none" w:sz="0" w:space="0" w:color="auto"/>
            <w:bottom w:val="none" w:sz="0" w:space="0" w:color="auto"/>
            <w:right w:val="none" w:sz="0" w:space="0" w:color="auto"/>
          </w:divBdr>
        </w:div>
        <w:div w:id="324214129">
          <w:marLeft w:val="0"/>
          <w:marRight w:val="0"/>
          <w:marTop w:val="0"/>
          <w:marBottom w:val="0"/>
          <w:divBdr>
            <w:top w:val="none" w:sz="0" w:space="0" w:color="auto"/>
            <w:left w:val="none" w:sz="0" w:space="0" w:color="auto"/>
            <w:bottom w:val="none" w:sz="0" w:space="0" w:color="auto"/>
            <w:right w:val="none" w:sz="0" w:space="0" w:color="auto"/>
          </w:divBdr>
        </w:div>
        <w:div w:id="195657401">
          <w:marLeft w:val="0"/>
          <w:marRight w:val="0"/>
          <w:marTop w:val="0"/>
          <w:marBottom w:val="0"/>
          <w:divBdr>
            <w:top w:val="none" w:sz="0" w:space="0" w:color="auto"/>
            <w:left w:val="none" w:sz="0" w:space="0" w:color="auto"/>
            <w:bottom w:val="none" w:sz="0" w:space="0" w:color="auto"/>
            <w:right w:val="none" w:sz="0" w:space="0" w:color="auto"/>
          </w:divBdr>
        </w:div>
        <w:div w:id="629819199">
          <w:marLeft w:val="0"/>
          <w:marRight w:val="0"/>
          <w:marTop w:val="0"/>
          <w:marBottom w:val="0"/>
          <w:divBdr>
            <w:top w:val="none" w:sz="0" w:space="0" w:color="auto"/>
            <w:left w:val="none" w:sz="0" w:space="0" w:color="auto"/>
            <w:bottom w:val="none" w:sz="0" w:space="0" w:color="auto"/>
            <w:right w:val="none" w:sz="0" w:space="0" w:color="auto"/>
          </w:divBdr>
        </w:div>
        <w:div w:id="1483229242">
          <w:marLeft w:val="0"/>
          <w:marRight w:val="0"/>
          <w:marTop w:val="0"/>
          <w:marBottom w:val="0"/>
          <w:divBdr>
            <w:top w:val="none" w:sz="0" w:space="0" w:color="auto"/>
            <w:left w:val="none" w:sz="0" w:space="0" w:color="auto"/>
            <w:bottom w:val="none" w:sz="0" w:space="0" w:color="auto"/>
            <w:right w:val="none" w:sz="0" w:space="0" w:color="auto"/>
          </w:divBdr>
        </w:div>
        <w:div w:id="1852337077">
          <w:marLeft w:val="0"/>
          <w:marRight w:val="0"/>
          <w:marTop w:val="0"/>
          <w:marBottom w:val="0"/>
          <w:divBdr>
            <w:top w:val="none" w:sz="0" w:space="0" w:color="auto"/>
            <w:left w:val="none" w:sz="0" w:space="0" w:color="auto"/>
            <w:bottom w:val="none" w:sz="0" w:space="0" w:color="auto"/>
            <w:right w:val="none" w:sz="0" w:space="0" w:color="auto"/>
          </w:divBdr>
        </w:div>
        <w:div w:id="446000586">
          <w:marLeft w:val="0"/>
          <w:marRight w:val="0"/>
          <w:marTop w:val="0"/>
          <w:marBottom w:val="0"/>
          <w:divBdr>
            <w:top w:val="none" w:sz="0" w:space="0" w:color="auto"/>
            <w:left w:val="none" w:sz="0" w:space="0" w:color="auto"/>
            <w:bottom w:val="none" w:sz="0" w:space="0" w:color="auto"/>
            <w:right w:val="none" w:sz="0" w:space="0" w:color="auto"/>
          </w:divBdr>
        </w:div>
        <w:div w:id="258413806">
          <w:marLeft w:val="0"/>
          <w:marRight w:val="0"/>
          <w:marTop w:val="0"/>
          <w:marBottom w:val="0"/>
          <w:divBdr>
            <w:top w:val="none" w:sz="0" w:space="0" w:color="auto"/>
            <w:left w:val="none" w:sz="0" w:space="0" w:color="auto"/>
            <w:bottom w:val="none" w:sz="0" w:space="0" w:color="auto"/>
            <w:right w:val="none" w:sz="0" w:space="0" w:color="auto"/>
          </w:divBdr>
        </w:div>
        <w:div w:id="2104454274">
          <w:marLeft w:val="0"/>
          <w:marRight w:val="0"/>
          <w:marTop w:val="0"/>
          <w:marBottom w:val="0"/>
          <w:divBdr>
            <w:top w:val="none" w:sz="0" w:space="0" w:color="auto"/>
            <w:left w:val="none" w:sz="0" w:space="0" w:color="auto"/>
            <w:bottom w:val="none" w:sz="0" w:space="0" w:color="auto"/>
            <w:right w:val="none" w:sz="0" w:space="0" w:color="auto"/>
          </w:divBdr>
        </w:div>
        <w:div w:id="1290282226">
          <w:marLeft w:val="0"/>
          <w:marRight w:val="0"/>
          <w:marTop w:val="0"/>
          <w:marBottom w:val="0"/>
          <w:divBdr>
            <w:top w:val="none" w:sz="0" w:space="0" w:color="auto"/>
            <w:left w:val="none" w:sz="0" w:space="0" w:color="auto"/>
            <w:bottom w:val="none" w:sz="0" w:space="0" w:color="auto"/>
            <w:right w:val="none" w:sz="0" w:space="0" w:color="auto"/>
          </w:divBdr>
        </w:div>
        <w:div w:id="2079597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xialearning.com/blog/closing-literacy-gender-gap-top-tips-motivating-boys-read"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era.ioe.ac.uk/7498/1/Gender_Gap_Report_March_2008.pdf" TargetMode="External"/><Relationship Id="rId17" Type="http://schemas.openxmlformats.org/officeDocument/2006/relationships/hyperlink" Target="http://learning.gov.wales/docs/learningwales/publications/140123-writing-frames-en.pdf" TargetMode="External"/><Relationship Id="rId2" Type="http://schemas.openxmlformats.org/officeDocument/2006/relationships/styles" Target="styles.xml"/><Relationship Id="rId16" Type="http://schemas.openxmlformats.org/officeDocument/2006/relationships/hyperlink" Target="https://dera.ioe.ac.uk/8834/3/A9R3F9F_Redacted.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learning.gov.wales/docs/learningwales/publications/180620-dcf-guidance-2018-en.pdf" TargetMode="External"/><Relationship Id="rId5" Type="http://schemas.openxmlformats.org/officeDocument/2006/relationships/footnotes" Target="footnotes.xml"/><Relationship Id="rId15" Type="http://schemas.openxmlformats.org/officeDocument/2006/relationships/hyperlink" Target="https://www.bristol.ac.uk/media-library/sites/education/documents/bristol-working-papers-in-education/Understanding%20the%20Gender%20Gap%20working%20paper.pdf" TargetMode="External"/><Relationship Id="rId10" Type="http://schemas.openxmlformats.org/officeDocument/2006/relationships/hyperlink" Target="https://gov.wales/docs/dcells/publications/150225-successful-futures-en.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ebarchive.nationalarchives.gov.uk/20090108131527/http://www.dcsf.gov.uk/research/data/uploadfiles/RTP01-07.pdf" TargetMode="External"/><Relationship Id="rId14" Type="http://schemas.openxmlformats.org/officeDocument/2006/relationships/hyperlink" Target="https://assets.publishing.service.gov.uk/government/uploads/system/uploads/attachment_data/file/413184/Improving_literacy_in_secondary_schools_-_report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Ali11</b:Tag>
    <b:SourceType>Book</b:SourceType>
    <b:Guid>{E7DFB927-1C00-404D-AC97-931CB9031E48}</b:Guid>
    <b:Title>Teaching and Learning History 11-18: Understanding the Past</b:Title>
    <b:Year>2011</b:Year>
    <b:City>New York</b:City>
    <b:Publisher>Open University Press</b:Publisher>
    <b:Author>
      <b:Author>
        <b:NameList>
          <b:Person>
            <b:Last>Alison Kitson</b:Last>
            <b:First>Chris</b:First>
            <b:Middle>Husbands and Susan Steward</b:Middle>
          </b:Person>
        </b:NameList>
      </b:Author>
    </b:Author>
    <b:RefOrder>1</b:RefOrder>
  </b:Source>
</b:Sources>
</file>

<file path=customXml/itemProps1.xml><?xml version="1.0" encoding="utf-8"?>
<ds:datastoreItem xmlns:ds="http://schemas.openxmlformats.org/officeDocument/2006/customXml" ds:itemID="{7765C4D3-5106-4FA1-83DE-F4A173E53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5803</Words>
  <Characters>33078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Mountstephens</dc:creator>
  <cp:keywords/>
  <dc:description/>
  <cp:lastModifiedBy>Becca Mountstephens</cp:lastModifiedBy>
  <cp:revision>3</cp:revision>
  <dcterms:created xsi:type="dcterms:W3CDTF">2019-01-27T13:27:00Z</dcterms:created>
  <dcterms:modified xsi:type="dcterms:W3CDTF">2019-01-27T13:34:00Z</dcterms:modified>
</cp:coreProperties>
</file>