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705EE" w14:textId="56C54804" w:rsidR="003D5C1E" w:rsidRPr="001F37BC" w:rsidRDefault="003D5C1E" w:rsidP="003D5C1E">
      <w:pPr>
        <w:spacing w:before="0" w:after="0" w:line="240" w:lineRule="auto"/>
        <w:rPr>
          <w:rFonts w:cs="Times New Roman"/>
        </w:rPr>
      </w:pPr>
      <w:r w:rsidRPr="001F37BC">
        <w:rPr>
          <w:rFonts w:cs="Times New Roman"/>
        </w:rPr>
        <w:t>Common law is a method of law that relies on past judicial decisions instead of laws made by legislatures</w:t>
      </w:r>
      <w:r w:rsidR="00B76EED" w:rsidRPr="001F37BC">
        <w:rPr>
          <w:rFonts w:cs="Times New Roman"/>
        </w:rPr>
        <w:t xml:space="preserve"> </w:t>
      </w:r>
      <w:r w:rsidR="00E376B9" w:rsidRPr="001F37BC">
        <w:rPr>
          <w:rFonts w:cs="Times New Roman"/>
        </w:rPr>
        <w:t>(</w:t>
      </w:r>
      <w:r w:rsidR="00E376B9" w:rsidRPr="001F37BC">
        <w:t>Hutchinson,</w:t>
      </w:r>
      <w:r w:rsidR="00E376B9" w:rsidRPr="001F37BC">
        <w:t xml:space="preserve"> </w:t>
      </w:r>
      <w:r w:rsidR="00E376B9" w:rsidRPr="001F37BC">
        <w:t>2005</w:t>
      </w:r>
      <w:r w:rsidR="00E767E2" w:rsidRPr="001F37BC">
        <w:t>a</w:t>
      </w:r>
      <w:r w:rsidR="00E376B9" w:rsidRPr="001F37BC">
        <w:t>)</w:t>
      </w:r>
      <w:r w:rsidR="00E376B9" w:rsidRPr="001F37BC">
        <w:t>.</w:t>
      </w:r>
      <w:r w:rsidR="00E767E2" w:rsidRPr="001F37BC">
        <w:t xml:space="preserve"> </w:t>
      </w:r>
      <w:r w:rsidRPr="001F37BC">
        <w:rPr>
          <w:rFonts w:cs="Times New Roman"/>
        </w:rPr>
        <w:t>Thi</w:t>
      </w:r>
      <w:r w:rsidR="00E767E2" w:rsidRPr="001F37BC">
        <w:rPr>
          <w:rFonts w:cs="Times New Roman"/>
        </w:rPr>
        <w:t>s</w:t>
      </w:r>
      <w:r w:rsidRPr="001F37BC">
        <w:rPr>
          <w:rFonts w:cs="Times New Roman"/>
        </w:rPr>
        <w:t xml:space="preserve"> essay explores the complex realm of legal systems, emphasi</w:t>
      </w:r>
      <w:r w:rsidR="002A7ACC" w:rsidRPr="001F37BC">
        <w:rPr>
          <w:rFonts w:cs="Times New Roman"/>
        </w:rPr>
        <w:t>s</w:t>
      </w:r>
      <w:r w:rsidRPr="001F37BC">
        <w:rPr>
          <w:rFonts w:cs="Times New Roman"/>
        </w:rPr>
        <w:t xml:space="preserve">ing two essential ideas: common law and equity. Next, the essay moves on to the topic of equity, which is a kind of justice that adds to common law and provides fairness when common law does not give enough solutions. It discusses about how the Court of Chancery took care of equity issues and explains in depth about the Judicature Acts from 1873 and 1875 that combined managing both common law with equity. </w:t>
      </w:r>
      <w:r w:rsidR="00B76EED" w:rsidRPr="001F37BC">
        <w:rPr>
          <w:rFonts w:cs="Times New Roman"/>
        </w:rPr>
        <w:t xml:space="preserve">The essay </w:t>
      </w:r>
      <w:r w:rsidR="001A3046" w:rsidRPr="001F37BC">
        <w:rPr>
          <w:rFonts w:cs="Times New Roman"/>
        </w:rPr>
        <w:t>stands upon a hypothesis that suggests</w:t>
      </w:r>
      <w:r w:rsidR="00B76EED" w:rsidRPr="001F37BC">
        <w:rPr>
          <w:rFonts w:cs="Times New Roman"/>
        </w:rPr>
        <w:t xml:space="preserve"> how equity is relevant to the todays legal system with special focus on the trust law in this purpose</w:t>
      </w:r>
      <w:r w:rsidRPr="001F37BC">
        <w:rPr>
          <w:rFonts w:cs="Times New Roman"/>
        </w:rPr>
        <w:t xml:space="preserve">. </w:t>
      </w:r>
      <w:r w:rsidR="006D4B67" w:rsidRPr="001F37BC">
        <w:t>In order to achieve this goal,</w:t>
      </w:r>
      <w:r w:rsidR="006D4B67" w:rsidRPr="001F37BC">
        <w:rPr>
          <w:rFonts w:cs="Times New Roman"/>
        </w:rPr>
        <w:t xml:space="preserve"> t</w:t>
      </w:r>
      <w:r w:rsidRPr="001F37BC">
        <w:rPr>
          <w:rFonts w:cs="Times New Roman"/>
        </w:rPr>
        <w:t xml:space="preserve">he essay </w:t>
      </w:r>
      <w:r w:rsidR="00E4328F" w:rsidRPr="001F37BC">
        <w:rPr>
          <w:rFonts w:cs="Times New Roman"/>
        </w:rPr>
        <w:t>examin</w:t>
      </w:r>
      <w:r w:rsidR="00787FC2" w:rsidRPr="001F37BC">
        <w:rPr>
          <w:rFonts w:cs="Times New Roman"/>
        </w:rPr>
        <w:t>e</w:t>
      </w:r>
      <w:r w:rsidR="00B5050A" w:rsidRPr="001F37BC">
        <w:rPr>
          <w:rFonts w:cs="Times New Roman"/>
        </w:rPr>
        <w:t>s</w:t>
      </w:r>
      <w:r w:rsidRPr="001F37BC">
        <w:rPr>
          <w:rFonts w:cs="Times New Roman"/>
        </w:rPr>
        <w:t xml:space="preserve"> how </w:t>
      </w:r>
      <w:r w:rsidR="00B76EED" w:rsidRPr="001F37BC">
        <w:rPr>
          <w:rFonts w:cs="Times New Roman"/>
        </w:rPr>
        <w:t>equity as a</w:t>
      </w:r>
      <w:r w:rsidRPr="001F37BC">
        <w:rPr>
          <w:rFonts w:cs="Times New Roman"/>
        </w:rPr>
        <w:t xml:space="preserve"> legal </w:t>
      </w:r>
      <w:r w:rsidR="00B76EED" w:rsidRPr="001F37BC">
        <w:rPr>
          <w:rFonts w:cs="Times New Roman"/>
        </w:rPr>
        <w:t>concept</w:t>
      </w:r>
      <w:r w:rsidRPr="001F37BC">
        <w:rPr>
          <w:rFonts w:cs="Times New Roman"/>
        </w:rPr>
        <w:t xml:space="preserve"> have continued to influence law and society over time by looking at their past and present </w:t>
      </w:r>
      <w:r w:rsidR="00B76EED" w:rsidRPr="001F37BC">
        <w:rPr>
          <w:rFonts w:cs="Times New Roman"/>
        </w:rPr>
        <w:t>legislature and precedents</w:t>
      </w:r>
      <w:r w:rsidRPr="001F37BC">
        <w:rPr>
          <w:rFonts w:cs="Times New Roman"/>
        </w:rPr>
        <w:t>.</w:t>
      </w:r>
    </w:p>
    <w:p w14:paraId="55B28202" w14:textId="77777777" w:rsidR="00174465" w:rsidRPr="001F37BC" w:rsidRDefault="00174465" w:rsidP="003D5C1E">
      <w:pPr>
        <w:spacing w:before="0" w:after="0" w:line="240" w:lineRule="auto"/>
        <w:rPr>
          <w:rFonts w:cs="Times New Roman"/>
        </w:rPr>
      </w:pPr>
    </w:p>
    <w:p w14:paraId="4213584E" w14:textId="65E0A1FE" w:rsidR="003D5C1E" w:rsidRPr="001F37BC" w:rsidRDefault="003D5C1E" w:rsidP="003D5C1E">
      <w:pPr>
        <w:spacing w:before="0" w:after="0" w:line="240" w:lineRule="auto"/>
        <w:rPr>
          <w:rFonts w:cs="Times New Roman"/>
        </w:rPr>
      </w:pPr>
      <w:r w:rsidRPr="001F37BC">
        <w:rPr>
          <w:rFonts w:cs="Times New Roman"/>
        </w:rPr>
        <w:t>Case law, also called common law or precedent, is very important in the legal systems of many places, especially countries that were once under British colony (Brodie, 2016). It started in England a long time ago and was used in British colonies all over the world. The term "common law" implies law common to all.</w:t>
      </w:r>
      <w:r w:rsidR="003566D0" w:rsidRPr="001F37BC">
        <w:rPr>
          <w:rFonts w:cs="Times New Roman"/>
        </w:rPr>
        <w:t xml:space="preserve"> Moreover, </w:t>
      </w:r>
      <w:r w:rsidRPr="001F37BC">
        <w:rPr>
          <w:rFonts w:cs="Times New Roman"/>
        </w:rPr>
        <w:t xml:space="preserve">Common law holds a big importance in the legal system. Judges create it when they make decisions in courts and places like that, not like laws made by people who make rules or orders from government leaders. A legal system known as common law places much importance on the decisions made by judges (Hylton, 2003). In common law, plaintiffs mainly got money as compensation for their losses. </w:t>
      </w:r>
    </w:p>
    <w:p w14:paraId="2EF05D02" w14:textId="77777777" w:rsidR="006A65AA" w:rsidRPr="001F37BC" w:rsidRDefault="006A65AA" w:rsidP="003D5C1E">
      <w:pPr>
        <w:spacing w:before="0" w:after="0" w:line="240" w:lineRule="auto"/>
        <w:rPr>
          <w:rFonts w:cs="Times New Roman"/>
        </w:rPr>
      </w:pPr>
    </w:p>
    <w:p w14:paraId="7024B89D" w14:textId="77EA24E4" w:rsidR="008B1529" w:rsidRPr="001F37BC" w:rsidRDefault="008B1529" w:rsidP="003D5C1E">
      <w:pPr>
        <w:spacing w:before="0" w:after="0" w:line="240" w:lineRule="auto"/>
        <w:rPr>
          <w:rFonts w:cs="Times New Roman"/>
        </w:rPr>
      </w:pPr>
      <w:r w:rsidRPr="001F37BC">
        <w:rPr>
          <w:rFonts w:cs="Times New Roman"/>
        </w:rPr>
        <w:t>In many case references, it can be seen that common law did not provide suitable solutions for everyone.</w:t>
      </w:r>
      <w:r w:rsidRPr="001F37BC">
        <w:rPr>
          <w:rFonts w:cs="Times New Roman"/>
        </w:rPr>
        <w:t xml:space="preserve"> </w:t>
      </w:r>
      <w:r w:rsidRPr="001F37BC">
        <w:rPr>
          <w:rFonts w:cs="Times New Roman"/>
        </w:rPr>
        <w:t xml:space="preserve">For example, people said it was too strict and could not change easily because it always followed the rule of stare decisis. This rule says that courts must use decisions from past cases </w:t>
      </w:r>
      <w:r w:rsidR="00E767E2" w:rsidRPr="001F37BC">
        <w:rPr>
          <w:rFonts w:cs="Times New Roman"/>
        </w:rPr>
        <w:t>(</w:t>
      </w:r>
      <w:r w:rsidR="00E767E2" w:rsidRPr="001F37BC">
        <w:t>Hutchinson, 2005</w:t>
      </w:r>
      <w:r w:rsidR="00241C73" w:rsidRPr="001F37BC">
        <w:t>b</w:t>
      </w:r>
      <w:r w:rsidR="00E767E2" w:rsidRPr="001F37BC">
        <w:t xml:space="preserve">). </w:t>
      </w:r>
      <w:r w:rsidRPr="001F37BC">
        <w:rPr>
          <w:rFonts w:cs="Times New Roman"/>
        </w:rPr>
        <w:t>Following previous case references, like the statute, is sometimes a challenge in modern times. The house of lords addressed this challenge in R v R [1991] UKHL 12, by overturning a long-standing precedent established through common law.</w:t>
      </w:r>
    </w:p>
    <w:p w14:paraId="683B5380" w14:textId="77777777" w:rsidR="003D5C1E" w:rsidRPr="001F37BC" w:rsidRDefault="003D5C1E" w:rsidP="003D5C1E">
      <w:pPr>
        <w:spacing w:before="0" w:after="0" w:line="240" w:lineRule="auto"/>
        <w:rPr>
          <w:rFonts w:cs="Times New Roman"/>
        </w:rPr>
      </w:pPr>
    </w:p>
    <w:p w14:paraId="13A5F317" w14:textId="1EFB9A57" w:rsidR="003D5C1E" w:rsidRPr="001F37BC" w:rsidRDefault="003D5C1E" w:rsidP="003D5C1E">
      <w:pPr>
        <w:spacing w:before="0" w:after="0" w:line="240" w:lineRule="auto"/>
        <w:rPr>
          <w:rFonts w:cs="Times New Roman"/>
        </w:rPr>
      </w:pPr>
      <w:r w:rsidRPr="001F37BC">
        <w:rPr>
          <w:rFonts w:cs="Times New Roman"/>
        </w:rPr>
        <w:t>The common law system often operated at a slow pace and included numerous steps. It was difficult to understand this because it was complicated and required a lot of money for legal processes</w:t>
      </w:r>
      <w:r w:rsidR="00AA74D9" w:rsidRPr="001F37BC">
        <w:rPr>
          <w:rFonts w:cs="Times New Roman"/>
        </w:rPr>
        <w:t xml:space="preserve">. </w:t>
      </w:r>
      <w:proofErr w:type="gramStart"/>
      <w:r w:rsidRPr="001F37BC">
        <w:rPr>
          <w:rFonts w:cs="Times New Roman"/>
        </w:rPr>
        <w:t>As</w:t>
      </w:r>
      <w:proofErr w:type="gramEnd"/>
      <w:r w:rsidRPr="001F37BC">
        <w:rPr>
          <w:rFonts w:cs="Times New Roman"/>
        </w:rPr>
        <w:t xml:space="preserve"> a result, people found it tough to use the usual l</w:t>
      </w:r>
      <w:r w:rsidR="00341ED9" w:rsidRPr="001F37BC">
        <w:rPr>
          <w:rFonts w:cs="Times New Roman"/>
        </w:rPr>
        <w:t>egal</w:t>
      </w:r>
      <w:r w:rsidRPr="001F37BC">
        <w:rPr>
          <w:rFonts w:cs="Times New Roman"/>
        </w:rPr>
        <w:t xml:space="preserve"> system to protect their rights or solve unfair situations they encountered.</w:t>
      </w:r>
      <w:r w:rsidR="0042456D" w:rsidRPr="001F37BC">
        <w:rPr>
          <w:rFonts w:cs="Times New Roman"/>
        </w:rPr>
        <w:t xml:space="preserve"> In addition, </w:t>
      </w:r>
      <w:r w:rsidR="00E9668B" w:rsidRPr="001F37BC">
        <w:rPr>
          <w:rFonts w:cs="Times New Roman"/>
        </w:rPr>
        <w:t>t</w:t>
      </w:r>
      <w:r w:rsidRPr="001F37BC">
        <w:rPr>
          <w:rFonts w:cs="Times New Roman"/>
        </w:rPr>
        <w:t>raditional law plays a vital role in shaping legal systems and providing solutions. However, it also faces criticism and challenges</w:t>
      </w:r>
      <w:r w:rsidR="00AA74D9" w:rsidRPr="001F37BC">
        <w:rPr>
          <w:rFonts w:cs="Times New Roman"/>
        </w:rPr>
        <w:t xml:space="preserve">. </w:t>
      </w:r>
      <w:r w:rsidRPr="001F37BC">
        <w:rPr>
          <w:rFonts w:cs="Times New Roman"/>
        </w:rPr>
        <w:t>Over time, common law has evolved to reflect societal changes and the ongoing quest for fairness within legal frameworks</w:t>
      </w:r>
      <w:r w:rsidR="00AA74D9" w:rsidRPr="001F37BC">
        <w:rPr>
          <w:rFonts w:cs="Times New Roman"/>
        </w:rPr>
        <w:t xml:space="preserve"> </w:t>
      </w:r>
      <w:r w:rsidR="00AA74D9" w:rsidRPr="001F37BC">
        <w:rPr>
          <w:rFonts w:cs="Times New Roman"/>
        </w:rPr>
        <w:t>(Rubin, 1977)</w:t>
      </w:r>
      <w:r w:rsidRPr="001F37BC">
        <w:rPr>
          <w:rFonts w:cs="Times New Roman"/>
        </w:rPr>
        <w:t>.</w:t>
      </w:r>
    </w:p>
    <w:p w14:paraId="5D69F2CC" w14:textId="77777777" w:rsidR="003D5C1E" w:rsidRPr="001F37BC" w:rsidRDefault="003D5C1E" w:rsidP="003D5C1E">
      <w:pPr>
        <w:spacing w:before="0" w:after="0" w:line="240" w:lineRule="auto"/>
        <w:rPr>
          <w:rFonts w:cs="Times New Roman"/>
        </w:rPr>
      </w:pPr>
    </w:p>
    <w:p w14:paraId="1371C21B" w14:textId="77777777" w:rsidR="003D5C1E" w:rsidRPr="001F37BC" w:rsidRDefault="003D5C1E" w:rsidP="003D5C1E">
      <w:pPr>
        <w:spacing w:before="0" w:after="0" w:line="240" w:lineRule="auto"/>
        <w:rPr>
          <w:rFonts w:cs="Times New Roman"/>
        </w:rPr>
      </w:pPr>
      <w:r w:rsidRPr="001F37BC">
        <w:rPr>
          <w:rFonts w:cs="Times New Roman"/>
        </w:rPr>
        <w:t>Equity, in English law, operates alongside common law to maintain fairness. Relying solely on common law can sometimes result in unfair outcomes. The term "equity" comes from the Latin word Aequitas-meaning justice or fairness (Zywicki, 1995). It is a legal concept that has evolved over time to ensure fairness in every situation.</w:t>
      </w:r>
    </w:p>
    <w:p w14:paraId="093EBB86" w14:textId="77777777" w:rsidR="00131BE4" w:rsidRPr="001F37BC" w:rsidRDefault="00131BE4" w:rsidP="003D5C1E">
      <w:pPr>
        <w:spacing w:before="0" w:after="0" w:line="240" w:lineRule="auto"/>
        <w:rPr>
          <w:rFonts w:cs="Times New Roman"/>
        </w:rPr>
      </w:pPr>
    </w:p>
    <w:p w14:paraId="3855E34A" w14:textId="6FF9B379" w:rsidR="003D5C1E" w:rsidRPr="001F37BC" w:rsidRDefault="003D5C1E" w:rsidP="003D5C1E">
      <w:pPr>
        <w:spacing w:before="0" w:after="0" w:line="240" w:lineRule="auto"/>
        <w:rPr>
          <w:rFonts w:cs="Times New Roman"/>
        </w:rPr>
      </w:pPr>
      <w:r w:rsidRPr="001F37BC">
        <w:rPr>
          <w:rFonts w:cs="Times New Roman"/>
        </w:rPr>
        <w:t>Equality comes from the English legal system, made to solve problems when the</w:t>
      </w:r>
      <w:r w:rsidR="000E6030" w:rsidRPr="001F37BC">
        <w:rPr>
          <w:rFonts w:cs="Times New Roman"/>
        </w:rPr>
        <w:t xml:space="preserve"> common</w:t>
      </w:r>
      <w:r w:rsidRPr="001F37BC">
        <w:rPr>
          <w:rFonts w:cs="Times New Roman"/>
        </w:rPr>
        <w:t xml:space="preserve"> law is too strict. In old times, courts following common law had to follow strict rules and past decisions, sometimes causing results that were too harsh or not just (Sokol, 2019). After this event, the individuals who put their names on the petition began approaching the King directly to seek assistance. Subsequently, the King forwarded these matters to the Lord Chancellor. The Lord Chancellor was acknowledged for handling matters the King considers correct. He had authority to make decisions on issues using his own ideas of fairness and justice, instead of just following the usual rules from common law (Strauss, 1996). The system got the name "Court of Chancery," and it was responsible for dealing with matters that people started to call "equity.</w:t>
      </w:r>
    </w:p>
    <w:p w14:paraId="3D43B02B" w14:textId="77777777" w:rsidR="00282859" w:rsidRPr="001F37BC" w:rsidRDefault="003D5C1E" w:rsidP="003D5C1E">
      <w:pPr>
        <w:spacing w:before="0" w:after="0" w:line="240" w:lineRule="auto"/>
        <w:rPr>
          <w:rFonts w:cs="Times New Roman"/>
        </w:rPr>
      </w:pPr>
      <w:r w:rsidRPr="001F37BC">
        <w:rPr>
          <w:rFonts w:cs="Times New Roman"/>
        </w:rPr>
        <w:lastRenderedPageBreak/>
        <w:t>The Court of Chancery operated alongside ordinary courts, providing alternative solutions when usual laws were insufficient. However, there were instances where the two legal systems did not align well and disagreements arose. If someone disagreed with a decision from common law, they had the option to approach the Court of Chancery for an alternate outcome. This might cause situations that are hard to understand and unpredictable (Story, 2006).</w:t>
      </w:r>
      <w:r w:rsidR="00766FEA" w:rsidRPr="001F37BC">
        <w:rPr>
          <w:rFonts w:cs="Times New Roman"/>
        </w:rPr>
        <w:t xml:space="preserve"> </w:t>
      </w:r>
    </w:p>
    <w:p w14:paraId="2F89245D" w14:textId="77777777" w:rsidR="00282859" w:rsidRPr="001F37BC" w:rsidRDefault="00282859" w:rsidP="003D5C1E">
      <w:pPr>
        <w:spacing w:before="0" w:after="0" w:line="240" w:lineRule="auto"/>
        <w:rPr>
          <w:rFonts w:cs="Times New Roman"/>
        </w:rPr>
      </w:pPr>
    </w:p>
    <w:p w14:paraId="73F1FD0C" w14:textId="4A81363D" w:rsidR="003D5C1E" w:rsidRPr="001F37BC" w:rsidRDefault="003D5C1E" w:rsidP="003D5C1E">
      <w:pPr>
        <w:spacing w:before="0" w:after="0" w:line="240" w:lineRule="auto"/>
        <w:rPr>
          <w:rFonts w:cs="Times New Roman"/>
        </w:rPr>
      </w:pPr>
      <w:r w:rsidRPr="001F37BC">
        <w:rPr>
          <w:rFonts w:cs="Times New Roman"/>
        </w:rPr>
        <w:t>The Judicature Acts of 1873 and 1875 aimed to resolve issues by consolidating the administration of common law and equity. They dissolved the Court of Chancery, creating a new Supreme Court with separate divisions for each area. It's important to understand that in any conflict between common law and equity, equity always holds superior authority</w:t>
      </w:r>
      <w:r w:rsidR="000E6030" w:rsidRPr="001F37BC">
        <w:rPr>
          <w:rFonts w:cs="Times New Roman"/>
        </w:rPr>
        <w:t xml:space="preserve">. The case of the Earl of Oxford </w:t>
      </w:r>
      <w:r w:rsidR="00D904F9" w:rsidRPr="001F37BC">
        <w:rPr>
          <w:rFonts w:cs="Times New Roman"/>
        </w:rPr>
        <w:t>[</w:t>
      </w:r>
      <w:r w:rsidR="000E6030" w:rsidRPr="001F37BC">
        <w:rPr>
          <w:rFonts w:cs="Times New Roman"/>
        </w:rPr>
        <w:t>1615</w:t>
      </w:r>
      <w:r w:rsidR="00D904F9" w:rsidRPr="001F37BC">
        <w:rPr>
          <w:rFonts w:cs="Times New Roman"/>
        </w:rPr>
        <w:t>]</w:t>
      </w:r>
      <w:r w:rsidR="000E6030" w:rsidRPr="001F37BC">
        <w:rPr>
          <w:rFonts w:cs="Times New Roman"/>
        </w:rPr>
        <w:t xml:space="preserve"> supports this statement. The disagreement was about a piece of land in London that had been passed on through different deals. The Court of Chancery, with Lord Chancellor Thomas Edgerton at the head, gave an order to stop the enforcement of a common law decision. This example showed the struggle between common law and law of equity. In the end, it proved that equity is more </w:t>
      </w:r>
      <w:r w:rsidR="001C44B5" w:rsidRPr="001F37BC">
        <w:rPr>
          <w:rFonts w:cs="Times New Roman"/>
        </w:rPr>
        <w:t>prevailing</w:t>
      </w:r>
      <w:r w:rsidR="000E6030" w:rsidRPr="001F37BC">
        <w:rPr>
          <w:rFonts w:cs="Times New Roman"/>
        </w:rPr>
        <w:t xml:space="preserve"> than </w:t>
      </w:r>
      <w:r w:rsidR="001C44B5" w:rsidRPr="001F37BC">
        <w:rPr>
          <w:rFonts w:cs="Times New Roman"/>
        </w:rPr>
        <w:t xml:space="preserve">common </w:t>
      </w:r>
      <w:r w:rsidR="000E6030" w:rsidRPr="001F37BC">
        <w:rPr>
          <w:rFonts w:cs="Times New Roman"/>
        </w:rPr>
        <w:t>law when they disagree</w:t>
      </w:r>
      <w:r w:rsidR="001C44B5" w:rsidRPr="001F37BC">
        <w:rPr>
          <w:rFonts w:cs="Times New Roman"/>
        </w:rPr>
        <w:t xml:space="preserve"> </w:t>
      </w:r>
      <w:r w:rsidRPr="001F37BC">
        <w:rPr>
          <w:rFonts w:cs="Times New Roman"/>
        </w:rPr>
        <w:t>(Strauss, 1994).</w:t>
      </w:r>
    </w:p>
    <w:p w14:paraId="3A06D8F1" w14:textId="77777777" w:rsidR="003D5C1E" w:rsidRPr="001F37BC" w:rsidRDefault="003D5C1E" w:rsidP="003D5C1E">
      <w:pPr>
        <w:spacing w:before="0" w:after="0" w:line="240" w:lineRule="auto"/>
        <w:rPr>
          <w:rFonts w:cs="Times New Roman"/>
        </w:rPr>
      </w:pPr>
    </w:p>
    <w:p w14:paraId="58D2F727" w14:textId="218EF39F" w:rsidR="003D5C1E" w:rsidRPr="001F37BC" w:rsidRDefault="003D5C1E" w:rsidP="003D5C1E">
      <w:pPr>
        <w:spacing w:before="0" w:after="0" w:line="240" w:lineRule="auto"/>
        <w:rPr>
          <w:rFonts w:cs="Times New Roman"/>
        </w:rPr>
      </w:pPr>
      <w:r w:rsidRPr="001F37BC">
        <w:rPr>
          <w:rFonts w:cs="Times New Roman"/>
        </w:rPr>
        <w:t>The Judicature Acts were a significant stride towards fairness in the legal system by merging common law administration with equitable principles. However, they still maintained an inherent distinction between these two types of law (Baker, 2019</w:t>
      </w:r>
      <w:r w:rsidR="00F23F61" w:rsidRPr="001F37BC">
        <w:rPr>
          <w:rFonts w:cs="Times New Roman"/>
        </w:rPr>
        <w:t>a</w:t>
      </w:r>
      <w:r w:rsidRPr="001F37BC">
        <w:rPr>
          <w:rFonts w:cs="Times New Roman"/>
        </w:rPr>
        <w:t>). Even though identical courts that previously dealt exclusively with common</w:t>
      </w:r>
      <w:r w:rsidR="005B06BD" w:rsidRPr="001F37BC">
        <w:rPr>
          <w:rFonts w:cs="Times New Roman"/>
        </w:rPr>
        <w:t xml:space="preserve"> </w:t>
      </w:r>
      <w:r w:rsidRPr="001F37BC">
        <w:rPr>
          <w:rFonts w:cs="Times New Roman"/>
        </w:rPr>
        <w:t>law cases started administering it as well, this did not compromise the unique nature and solutions found within fairness rules.</w:t>
      </w:r>
      <w:r w:rsidR="006C6848" w:rsidRPr="001F37BC">
        <w:rPr>
          <w:rFonts w:cs="Times New Roman"/>
        </w:rPr>
        <w:t xml:space="preserve"> </w:t>
      </w:r>
      <w:r w:rsidR="00103BE6" w:rsidRPr="001F37BC">
        <w:rPr>
          <w:rFonts w:cs="Times New Roman"/>
        </w:rPr>
        <w:t>Furthermore</w:t>
      </w:r>
      <w:r w:rsidR="003F1D7E" w:rsidRPr="001F37BC">
        <w:rPr>
          <w:rFonts w:cs="Times New Roman"/>
        </w:rPr>
        <w:t>, t</w:t>
      </w:r>
      <w:r w:rsidRPr="001F37BC">
        <w:rPr>
          <w:rFonts w:cs="Times New Roman"/>
        </w:rPr>
        <w:t>he merger of common law and equity in the Judicature Acts brought a</w:t>
      </w:r>
      <w:r w:rsidR="00103BE6" w:rsidRPr="001F37BC">
        <w:rPr>
          <w:rFonts w:cs="Times New Roman"/>
        </w:rPr>
        <w:t xml:space="preserve"> significant transformation</w:t>
      </w:r>
      <w:r w:rsidRPr="001F37BC">
        <w:rPr>
          <w:rFonts w:cs="Times New Roman"/>
        </w:rPr>
        <w:t>. It unified the legal system, reducing confusion and disputes. This amalgamation also led to the emergence of innovative theories and fair solutions, as judges well-versed in common law began incorporating principles rooted in equity.</w:t>
      </w:r>
    </w:p>
    <w:p w14:paraId="654AC6EF" w14:textId="77777777" w:rsidR="003D5C1E" w:rsidRPr="001F37BC" w:rsidRDefault="003D5C1E" w:rsidP="003D5C1E">
      <w:pPr>
        <w:spacing w:before="0" w:after="0" w:line="240" w:lineRule="auto"/>
        <w:rPr>
          <w:rFonts w:cs="Times New Roman"/>
        </w:rPr>
      </w:pPr>
    </w:p>
    <w:p w14:paraId="7DA1BEA3" w14:textId="74C50F25" w:rsidR="003D5C1E" w:rsidRPr="001F37BC" w:rsidRDefault="003D5C1E" w:rsidP="003D5C1E">
      <w:pPr>
        <w:spacing w:before="0" w:after="0" w:line="240" w:lineRule="auto"/>
        <w:rPr>
          <w:rFonts w:cs="Times New Roman"/>
        </w:rPr>
      </w:pPr>
      <w:r w:rsidRPr="001F37BC">
        <w:rPr>
          <w:rFonts w:cs="Times New Roman"/>
        </w:rPr>
        <w:t>Equity, continuously evolving to align with society's needs, significantly influences various aspects of the legal system: contract law, property ownership laws, trust regulations, and familial judicial rules (</w:t>
      </w:r>
      <w:proofErr w:type="spellStart"/>
      <w:r w:rsidRPr="001F37BC">
        <w:rPr>
          <w:rFonts w:cs="Times New Roman"/>
        </w:rPr>
        <w:t>Macnair</w:t>
      </w:r>
      <w:proofErr w:type="spellEnd"/>
      <w:r w:rsidRPr="001F37BC">
        <w:rPr>
          <w:rFonts w:cs="Times New Roman"/>
        </w:rPr>
        <w:t>,</w:t>
      </w:r>
      <w:r w:rsidR="003C5D1A" w:rsidRPr="001F37BC">
        <w:rPr>
          <w:rFonts w:cs="Times New Roman"/>
        </w:rPr>
        <w:t xml:space="preserve"> </w:t>
      </w:r>
      <w:r w:rsidRPr="001F37BC">
        <w:rPr>
          <w:rFonts w:cs="Times New Roman"/>
        </w:rPr>
        <w:t>2001). The enduring impact of the Chancery Court and Judicature Acts ensures that fairness and justice remain central to contemporary legal processes.</w:t>
      </w:r>
      <w:r w:rsidR="00D664C8" w:rsidRPr="001F37BC">
        <w:rPr>
          <w:rFonts w:cs="Times New Roman"/>
        </w:rPr>
        <w:t xml:space="preserve"> Moreover, </w:t>
      </w:r>
      <w:r w:rsidRPr="001F37BC">
        <w:rPr>
          <w:rFonts w:cs="Times New Roman"/>
        </w:rPr>
        <w:t>Equity diverges from common law, which strictly adheres to rules and prior verdicts. Instead, equity prioritizes fairness and justice by allowing judges to use their discretion in individual cases</w:t>
      </w:r>
      <w:r w:rsidR="00F958FF" w:rsidRPr="001F37BC">
        <w:rPr>
          <w:rFonts w:cs="Times New Roman"/>
        </w:rPr>
        <w:t>. The precondition to entrance of equity in a ruling is that common law must fail to provide just remedy</w:t>
      </w:r>
      <w:r w:rsidRPr="001F37BC">
        <w:rPr>
          <w:rFonts w:cs="Times New Roman"/>
        </w:rPr>
        <w:t xml:space="preserve"> (</w:t>
      </w:r>
      <w:proofErr w:type="spellStart"/>
      <w:r w:rsidRPr="001F37BC">
        <w:rPr>
          <w:rFonts w:cs="Times New Roman"/>
        </w:rPr>
        <w:t>Plucknett</w:t>
      </w:r>
      <w:proofErr w:type="spellEnd"/>
      <w:r w:rsidRPr="001F37BC">
        <w:rPr>
          <w:rFonts w:cs="Times New Roman"/>
        </w:rPr>
        <w:t>, 2001).</w:t>
      </w:r>
    </w:p>
    <w:p w14:paraId="3B32C682" w14:textId="77777777" w:rsidR="003D5C1E" w:rsidRPr="001F37BC" w:rsidRDefault="003D5C1E" w:rsidP="003D5C1E">
      <w:pPr>
        <w:spacing w:before="0" w:after="0" w:line="240" w:lineRule="auto"/>
        <w:rPr>
          <w:rFonts w:cs="Times New Roman"/>
        </w:rPr>
      </w:pPr>
    </w:p>
    <w:p w14:paraId="552D615C" w14:textId="6CC9104D" w:rsidR="003D5C1E" w:rsidRPr="001F37BC" w:rsidRDefault="003D5C1E" w:rsidP="003D5C1E">
      <w:pPr>
        <w:spacing w:before="0" w:after="0" w:line="240" w:lineRule="auto"/>
        <w:rPr>
          <w:rFonts w:cs="Times New Roman"/>
        </w:rPr>
      </w:pPr>
      <w:r w:rsidRPr="001F37BC">
        <w:rPr>
          <w:rFonts w:cs="Times New Roman"/>
        </w:rPr>
        <w:t>A major rule of fairness is that it works with the wrongdoer's conscience. It can make people have duties because of what they feel is morally right. The rule is shown in the saying "equity acts in persona," and this means that equity can make a person do something, no matter where they are.</w:t>
      </w:r>
      <w:r w:rsidR="00814683" w:rsidRPr="001F37BC">
        <w:rPr>
          <w:rFonts w:cs="Times New Roman"/>
        </w:rPr>
        <w:t xml:space="preserve"> Furthermore, m</w:t>
      </w:r>
      <w:r w:rsidRPr="001F37BC">
        <w:rPr>
          <w:rFonts w:cs="Times New Roman"/>
        </w:rPr>
        <w:t>any principles and solutions that are essential to law today come from equity. Take the idea of trusts as an example, where a person called the trustee keeps property for someone else's advantage, known as the beneficiary; this is something made by equity (Main, 2003). Additional fair solutions involve injunctions, which are legal commands that make someone do or not do specific things, and specific performance, where a party is made to fulfil what they promised in a contract.</w:t>
      </w:r>
    </w:p>
    <w:p w14:paraId="7DF53DEF" w14:textId="77777777" w:rsidR="003D5C1E" w:rsidRPr="001F37BC" w:rsidRDefault="003D5C1E" w:rsidP="003D5C1E">
      <w:pPr>
        <w:spacing w:before="0" w:after="0" w:line="240" w:lineRule="auto"/>
        <w:rPr>
          <w:rFonts w:cs="Times New Roman"/>
        </w:rPr>
      </w:pPr>
    </w:p>
    <w:p w14:paraId="48FCDE8A" w14:textId="1C7A225A" w:rsidR="003D5C1E" w:rsidRPr="001F37BC" w:rsidRDefault="003D5C1E" w:rsidP="003D5C1E">
      <w:pPr>
        <w:spacing w:before="0" w:after="0" w:line="240" w:lineRule="auto"/>
        <w:rPr>
          <w:rFonts w:cs="Times New Roman"/>
        </w:rPr>
      </w:pPr>
      <w:r w:rsidRPr="001F37BC">
        <w:rPr>
          <w:rFonts w:cs="Times New Roman"/>
        </w:rPr>
        <w:t xml:space="preserve">A notable example demonstrating how equity is used in law comes from the Walsh v Lonsdale </w:t>
      </w:r>
      <w:r w:rsidR="00D904F9" w:rsidRPr="001F37BC">
        <w:rPr>
          <w:rFonts w:cs="Times New Roman"/>
        </w:rPr>
        <w:t>[</w:t>
      </w:r>
      <w:r w:rsidRPr="001F37BC">
        <w:rPr>
          <w:rFonts w:cs="Times New Roman"/>
        </w:rPr>
        <w:t>1882</w:t>
      </w:r>
      <w:r w:rsidR="00D904F9" w:rsidRPr="001F37BC">
        <w:rPr>
          <w:rFonts w:cs="Times New Roman"/>
        </w:rPr>
        <w:t>]</w:t>
      </w:r>
      <w:r w:rsidRPr="001F37BC">
        <w:rPr>
          <w:rFonts w:cs="Times New Roman"/>
        </w:rPr>
        <w:t>. Here, there was an arrangement to create a lease, but they never completed the official lease document</w:t>
      </w:r>
      <w:r w:rsidR="004F6805" w:rsidRPr="001F37BC">
        <w:rPr>
          <w:rFonts w:cs="Times New Roman"/>
        </w:rPr>
        <w:t xml:space="preserve">. </w:t>
      </w:r>
      <w:r w:rsidRPr="001F37BC">
        <w:rPr>
          <w:rFonts w:cs="Times New Roman"/>
        </w:rPr>
        <w:t>The court decided that fairness would act like the agreement was already signed, showing the principle "fairness sees as completed what should be completed."</w:t>
      </w:r>
    </w:p>
    <w:p w14:paraId="64E04E1F" w14:textId="77777777" w:rsidR="003D5C1E" w:rsidRPr="001F37BC" w:rsidRDefault="003D5C1E" w:rsidP="003D5C1E">
      <w:pPr>
        <w:spacing w:before="0" w:after="0" w:line="240" w:lineRule="auto"/>
        <w:rPr>
          <w:rFonts w:cs="Times New Roman"/>
        </w:rPr>
      </w:pPr>
    </w:p>
    <w:p w14:paraId="27F21EFD" w14:textId="40BD5D46" w:rsidR="003D5C1E" w:rsidRPr="001F37BC" w:rsidRDefault="003D5C1E" w:rsidP="003D5C1E">
      <w:pPr>
        <w:spacing w:before="0" w:after="0" w:line="240" w:lineRule="auto"/>
        <w:rPr>
          <w:rFonts w:cs="Times New Roman"/>
        </w:rPr>
      </w:pPr>
      <w:r w:rsidRPr="001F37BC">
        <w:rPr>
          <w:rFonts w:cs="Times New Roman"/>
        </w:rPr>
        <w:t>Fairness is very important in any legal system because it helps to make sure that every case ends with justice. It adds to the regular laws by offering solutions that can be adjusted and are decided on what is fair and right. The teachings and solutions that equity brought into being, including trusts and injunctions, remain essential elements within today's legal framework</w:t>
      </w:r>
      <w:r w:rsidR="004F6805" w:rsidRPr="001F37BC">
        <w:rPr>
          <w:rFonts w:cs="Times New Roman"/>
        </w:rPr>
        <w:t xml:space="preserve"> </w:t>
      </w:r>
      <w:r w:rsidR="004F6805" w:rsidRPr="001F37BC">
        <w:rPr>
          <w:rFonts w:cs="Times New Roman"/>
        </w:rPr>
        <w:t>(Tella, 2008)</w:t>
      </w:r>
      <w:r w:rsidRPr="001F37BC">
        <w:rPr>
          <w:rFonts w:cs="Times New Roman"/>
        </w:rPr>
        <w:t>.</w:t>
      </w:r>
    </w:p>
    <w:p w14:paraId="6FB6772E" w14:textId="77777777" w:rsidR="003D5C1E" w:rsidRPr="001F37BC" w:rsidRDefault="003D5C1E" w:rsidP="003D5C1E">
      <w:pPr>
        <w:spacing w:before="0" w:after="0" w:line="240" w:lineRule="auto"/>
        <w:rPr>
          <w:rFonts w:cs="Times New Roman"/>
        </w:rPr>
      </w:pPr>
    </w:p>
    <w:p w14:paraId="01AFC040" w14:textId="77777777" w:rsidR="003D5C1E" w:rsidRPr="001F37BC" w:rsidRDefault="003D5C1E" w:rsidP="003D5C1E">
      <w:pPr>
        <w:spacing w:before="0" w:after="0" w:line="240" w:lineRule="auto"/>
        <w:rPr>
          <w:rFonts w:cs="Times New Roman"/>
        </w:rPr>
      </w:pPr>
      <w:r w:rsidRPr="001F37BC">
        <w:rPr>
          <w:rFonts w:cs="Times New Roman"/>
        </w:rPr>
        <w:t>Equity, an essential part of the English law system, still has a big influence on creating the legal scene, especially in business deals. The case Royal Brunei Royal Brunei Airlines </w:t>
      </w:r>
      <w:proofErr w:type="spellStart"/>
      <w:r w:rsidRPr="001F37BC">
        <w:rPr>
          <w:rFonts w:cs="Times New Roman"/>
        </w:rPr>
        <w:t>Sdn</w:t>
      </w:r>
      <w:proofErr w:type="spellEnd"/>
      <w:r w:rsidRPr="001F37BC">
        <w:rPr>
          <w:rFonts w:cs="Times New Roman"/>
        </w:rPr>
        <w:t xml:space="preserve"> </w:t>
      </w:r>
      <w:proofErr w:type="spellStart"/>
      <w:r w:rsidRPr="001F37BC">
        <w:rPr>
          <w:rFonts w:cs="Times New Roman"/>
        </w:rPr>
        <w:t>Bhd</w:t>
      </w:r>
      <w:proofErr w:type="spellEnd"/>
      <w:r w:rsidRPr="001F37BC">
        <w:rPr>
          <w:rFonts w:cs="Times New Roman"/>
        </w:rPr>
        <w:t> v Tan [1995] shows how important equity is because it helped to deliver justice outside of the strict boundaries of common law.</w:t>
      </w:r>
    </w:p>
    <w:p w14:paraId="13E7A835" w14:textId="77777777" w:rsidR="003D5C1E" w:rsidRPr="001F37BC" w:rsidRDefault="003D5C1E" w:rsidP="003D5C1E">
      <w:pPr>
        <w:spacing w:before="0" w:after="0" w:line="240" w:lineRule="auto"/>
        <w:rPr>
          <w:rFonts w:cs="Times New Roman"/>
        </w:rPr>
      </w:pPr>
    </w:p>
    <w:p w14:paraId="1F0F01D2" w14:textId="2E099DB7" w:rsidR="003D5C1E" w:rsidRPr="001F37BC" w:rsidRDefault="00F958FF" w:rsidP="003D5C1E">
      <w:pPr>
        <w:spacing w:before="0" w:after="0" w:line="240" w:lineRule="auto"/>
        <w:rPr>
          <w:rFonts w:cs="Times New Roman"/>
        </w:rPr>
      </w:pPr>
      <w:r w:rsidRPr="001F37BC">
        <w:rPr>
          <w:rFonts w:cs="Times New Roman"/>
        </w:rPr>
        <w:t xml:space="preserve">Previously, when equity was brought into business </w:t>
      </w:r>
      <w:r w:rsidR="00EC5C6B" w:rsidRPr="001F37BC">
        <w:rPr>
          <w:rFonts w:cs="Times New Roman"/>
        </w:rPr>
        <w:t>related conflicts</w:t>
      </w:r>
      <w:r w:rsidRPr="001F37BC">
        <w:rPr>
          <w:rFonts w:cs="Times New Roman"/>
        </w:rPr>
        <w:t xml:space="preserve">, it </w:t>
      </w:r>
      <w:r w:rsidR="00EC5C6B" w:rsidRPr="001F37BC">
        <w:rPr>
          <w:rFonts w:cs="Times New Roman"/>
        </w:rPr>
        <w:t>was not welcomed</w:t>
      </w:r>
      <w:r w:rsidRPr="001F37BC">
        <w:rPr>
          <w:rFonts w:cs="Times New Roman"/>
        </w:rPr>
        <w:t xml:space="preserve">. </w:t>
      </w:r>
      <w:r w:rsidR="00EC5C6B" w:rsidRPr="001F37BC">
        <w:rPr>
          <w:rFonts w:cs="Times New Roman"/>
        </w:rPr>
        <w:t>In 1927</w:t>
      </w:r>
      <w:r w:rsidRPr="001F37BC">
        <w:rPr>
          <w:rFonts w:cs="Times New Roman"/>
        </w:rPr>
        <w:t xml:space="preserve"> Lord Atkin compared the role of equity in </w:t>
      </w:r>
      <w:r w:rsidR="00EC5C6B" w:rsidRPr="001F37BC">
        <w:rPr>
          <w:rFonts w:cs="Times New Roman"/>
        </w:rPr>
        <w:t>business</w:t>
      </w:r>
      <w:r w:rsidRPr="001F37BC">
        <w:rPr>
          <w:rFonts w:cs="Times New Roman"/>
        </w:rPr>
        <w:t xml:space="preserve"> law to that of a trespasser in the Re Wait case</w:t>
      </w:r>
      <w:r w:rsidR="00EE6D06" w:rsidRPr="001F37BC">
        <w:rPr>
          <w:rFonts w:cs="Times New Roman"/>
        </w:rPr>
        <w:t xml:space="preserve">. </w:t>
      </w:r>
      <w:r w:rsidRPr="001F37BC">
        <w:rPr>
          <w:rFonts w:cs="Times New Roman"/>
        </w:rPr>
        <w:t>Sir Peter Millett, in his 1995 writing called 'Equity: The Road Ahead', gave an alternate perspective. He pointed out many cases about torts started in the chancery court because they were about property issues</w:t>
      </w:r>
      <w:r w:rsidR="00EC5C6B" w:rsidRPr="001F37BC">
        <w:rPr>
          <w:rFonts w:cs="Times New Roman"/>
        </w:rPr>
        <w:t xml:space="preserve">, </w:t>
      </w:r>
      <w:r w:rsidRPr="001F37BC">
        <w:rPr>
          <w:rFonts w:cs="Times New Roman"/>
        </w:rPr>
        <w:t xml:space="preserve">exactly where equity was </w:t>
      </w:r>
      <w:r w:rsidR="00EC5C6B" w:rsidRPr="001F37BC">
        <w:rPr>
          <w:rFonts w:cs="Times New Roman"/>
        </w:rPr>
        <w:t>useful</w:t>
      </w:r>
      <w:r w:rsidRPr="001F37BC">
        <w:rPr>
          <w:rFonts w:cs="Times New Roman"/>
        </w:rPr>
        <w:t xml:space="preserve">. The current discussion is about if equity should be combined with common law or kept </w:t>
      </w:r>
      <w:r w:rsidR="00EE6D06" w:rsidRPr="001F37BC">
        <w:rPr>
          <w:rFonts w:cs="Times New Roman"/>
        </w:rPr>
        <w:t xml:space="preserve">apart. </w:t>
      </w:r>
      <w:r w:rsidRPr="001F37BC">
        <w:rPr>
          <w:rFonts w:cs="Times New Roman"/>
        </w:rPr>
        <w:t xml:space="preserve">Supporters of integration believe that equity and common law should come together, but some say they need to keep their separate ways. Equity is still important today, particularly in business law where its past influence and current discussions shape how the </w:t>
      </w:r>
      <w:r w:rsidR="00EC5C6B" w:rsidRPr="001F37BC">
        <w:rPr>
          <w:rFonts w:cs="Times New Roman"/>
        </w:rPr>
        <w:t>judicial decision is formed</w:t>
      </w:r>
      <w:r w:rsidR="00EE6D06" w:rsidRPr="001F37BC">
        <w:rPr>
          <w:rFonts w:cs="Times New Roman"/>
        </w:rPr>
        <w:t xml:space="preserve"> </w:t>
      </w:r>
      <w:r w:rsidR="00EE6D06" w:rsidRPr="001F37BC">
        <w:rPr>
          <w:rFonts w:cs="Times New Roman"/>
        </w:rPr>
        <w:t>(</w:t>
      </w:r>
      <w:proofErr w:type="spellStart"/>
      <w:r w:rsidR="00EE6D06" w:rsidRPr="001F37BC">
        <w:rPr>
          <w:rFonts w:cs="Times New Roman"/>
        </w:rPr>
        <w:t>Mousourakis</w:t>
      </w:r>
      <w:proofErr w:type="spellEnd"/>
      <w:r w:rsidR="00EE6D06" w:rsidRPr="001F37BC">
        <w:rPr>
          <w:rFonts w:cs="Times New Roman"/>
        </w:rPr>
        <w:t>, 2019)</w:t>
      </w:r>
      <w:r w:rsidRPr="001F37BC">
        <w:rPr>
          <w:rFonts w:cs="Times New Roman"/>
        </w:rPr>
        <w:t xml:space="preserve">. </w:t>
      </w:r>
    </w:p>
    <w:p w14:paraId="1029A210" w14:textId="77777777" w:rsidR="00F958FF" w:rsidRPr="001F37BC" w:rsidRDefault="00F958FF" w:rsidP="003D5C1E">
      <w:pPr>
        <w:spacing w:before="0" w:after="0" w:line="240" w:lineRule="auto"/>
        <w:rPr>
          <w:rFonts w:cs="Times New Roman"/>
        </w:rPr>
      </w:pPr>
    </w:p>
    <w:p w14:paraId="016D2EF9" w14:textId="426B1845" w:rsidR="003D5C1E" w:rsidRPr="001F37BC" w:rsidRDefault="003D5C1E" w:rsidP="003D5C1E">
      <w:pPr>
        <w:spacing w:before="0" w:after="0" w:line="240" w:lineRule="auto"/>
        <w:rPr>
          <w:rFonts w:cs="Times New Roman"/>
        </w:rPr>
      </w:pPr>
      <w:r w:rsidRPr="001F37BC">
        <w:rPr>
          <w:rFonts w:cs="Times New Roman"/>
        </w:rPr>
        <w:t>Professor Ashburn is known for his view that equity and common law work together but their areas of authority do not combine, reflecting a dualist approach. On the other hand, Lord Diplock believed that both systems have blended with time.</w:t>
      </w:r>
      <w:r w:rsidR="00084189" w:rsidRPr="001F37BC">
        <w:rPr>
          <w:rFonts w:cs="Times New Roman"/>
        </w:rPr>
        <w:t xml:space="preserve"> </w:t>
      </w:r>
      <w:r w:rsidRPr="001F37BC">
        <w:rPr>
          <w:rFonts w:cs="Times New Roman"/>
        </w:rPr>
        <w:t>Equity is usually viewed as a way to fix the hidden misuse of legal authority that exists in common law (Baker, 2019</w:t>
      </w:r>
      <w:r w:rsidR="00F23F61" w:rsidRPr="001F37BC">
        <w:rPr>
          <w:rFonts w:cs="Times New Roman"/>
        </w:rPr>
        <w:t>b</w:t>
      </w:r>
      <w:r w:rsidRPr="001F37BC">
        <w:rPr>
          <w:rFonts w:cs="Times New Roman"/>
        </w:rPr>
        <w:t>). But it doesn't always recogni</w:t>
      </w:r>
      <w:r w:rsidR="009C0CF2" w:rsidRPr="001F37BC">
        <w:rPr>
          <w:rFonts w:cs="Times New Roman"/>
        </w:rPr>
        <w:t>s</w:t>
      </w:r>
      <w:r w:rsidRPr="001F37BC">
        <w:rPr>
          <w:rFonts w:cs="Times New Roman"/>
        </w:rPr>
        <w:t>e actions that are unfair; the importance of context is shown in the case Liverpool Marine Credit Co v Hunter [1867-8].</w:t>
      </w:r>
      <w:r w:rsidR="00EC5C6B" w:rsidRPr="001F37BC">
        <w:rPr>
          <w:rFonts w:cs="Times New Roman"/>
        </w:rPr>
        <w:t xml:space="preserve"> In the case it is clear that equity and common law came together. A ship owner decided to send a mortgaged ship to Louisiana while being aware that in Louisiana, they do not recogni</w:t>
      </w:r>
      <w:r w:rsidR="009C0CF2" w:rsidRPr="001F37BC">
        <w:rPr>
          <w:rFonts w:cs="Times New Roman"/>
        </w:rPr>
        <w:t>s</w:t>
      </w:r>
      <w:r w:rsidR="00EC5C6B" w:rsidRPr="001F37BC">
        <w:rPr>
          <w:rFonts w:cs="Times New Roman"/>
        </w:rPr>
        <w:t>e ship mortgages. The person who was suing said that the other person did a real crime, but the judge did</w:t>
      </w:r>
      <w:r w:rsidR="009C0CF2" w:rsidRPr="001F37BC">
        <w:rPr>
          <w:rFonts w:cs="Times New Roman"/>
        </w:rPr>
        <w:t xml:space="preserve"> not</w:t>
      </w:r>
      <w:r w:rsidR="00EC5C6B" w:rsidRPr="001F37BC">
        <w:rPr>
          <w:rFonts w:cs="Times New Roman"/>
        </w:rPr>
        <w:t xml:space="preserve"> agree with this claim and pointed out how important it is to look at the situation. Even though there are standard rules in common law, equity looks at the particular situations and can decide against common law if it needs to. This precedent shows how equity adds to common law by dealing with injustice and offering solutions when legal power is not enough.</w:t>
      </w:r>
    </w:p>
    <w:p w14:paraId="238666C6" w14:textId="77777777" w:rsidR="003D5C1E" w:rsidRPr="001F37BC" w:rsidRDefault="003D5C1E" w:rsidP="003D5C1E">
      <w:pPr>
        <w:spacing w:before="0" w:after="0" w:line="240" w:lineRule="auto"/>
        <w:rPr>
          <w:rFonts w:cs="Times New Roman"/>
        </w:rPr>
      </w:pPr>
    </w:p>
    <w:p w14:paraId="263E85C3" w14:textId="4EB806BF" w:rsidR="00B57190" w:rsidRPr="001F37BC" w:rsidRDefault="00B57190" w:rsidP="00B57190">
      <w:pPr>
        <w:spacing w:before="0" w:after="0" w:line="240" w:lineRule="auto"/>
        <w:rPr>
          <w:rFonts w:cs="Times New Roman"/>
        </w:rPr>
      </w:pPr>
      <w:r w:rsidRPr="001F37BC">
        <w:rPr>
          <w:rFonts w:cs="Times New Roman"/>
        </w:rPr>
        <w:t xml:space="preserve">Although common law and equity have different fields, they both work side by side to give a full sense of justice as seen in cases like Walsh v Lonsdale </w:t>
      </w:r>
      <w:r w:rsidR="00D904F9" w:rsidRPr="001F37BC">
        <w:rPr>
          <w:rFonts w:cs="Times New Roman"/>
        </w:rPr>
        <w:t>[</w:t>
      </w:r>
      <w:r w:rsidRPr="001F37BC">
        <w:rPr>
          <w:rFonts w:cs="Times New Roman"/>
        </w:rPr>
        <w:t>1882</w:t>
      </w:r>
      <w:r w:rsidR="00D904F9" w:rsidRPr="001F37BC">
        <w:rPr>
          <w:rFonts w:cs="Times New Roman"/>
        </w:rPr>
        <w:t>]</w:t>
      </w:r>
      <w:r w:rsidRPr="001F37BC">
        <w:rPr>
          <w:rFonts w:cs="Times New Roman"/>
        </w:rPr>
        <w:t>. Solutions similar to those in Beswick v Beswick [1967] are based on Section 50 of the Senior Courts Act of 1981, which allows courts to provide remedies from equity along with those that come from common law (MacLeod, 2024).</w:t>
      </w:r>
    </w:p>
    <w:p w14:paraId="5FFBEA0F" w14:textId="77777777" w:rsidR="003D5C1E" w:rsidRPr="001F37BC" w:rsidRDefault="003D5C1E" w:rsidP="003D5C1E">
      <w:pPr>
        <w:spacing w:before="0" w:after="0" w:line="240" w:lineRule="auto"/>
        <w:rPr>
          <w:rFonts w:cs="Times New Roman"/>
        </w:rPr>
      </w:pPr>
    </w:p>
    <w:p w14:paraId="4F4831EC" w14:textId="31CFDC98" w:rsidR="003D5C1E" w:rsidRPr="001F37BC" w:rsidRDefault="003D5C1E" w:rsidP="003D5C1E">
      <w:pPr>
        <w:spacing w:before="0" w:after="0" w:line="240" w:lineRule="auto"/>
        <w:rPr>
          <w:rFonts w:cs="Times New Roman"/>
        </w:rPr>
      </w:pPr>
      <w:r w:rsidRPr="001F37BC">
        <w:rPr>
          <w:rFonts w:cs="Times New Roman"/>
        </w:rPr>
        <w:t>Criminal laws usually do not fall under the area of Equity; they are controlled strictly by written laws and traditional law, highlighting parts where the impact of Equity is restricted or does not exist (Blackhawk, 2020).</w:t>
      </w:r>
      <w:r w:rsidR="00CD2067" w:rsidRPr="001F37BC">
        <w:rPr>
          <w:rFonts w:cs="Times New Roman"/>
        </w:rPr>
        <w:t xml:space="preserve"> </w:t>
      </w:r>
      <w:r w:rsidR="004560D5" w:rsidRPr="001F37BC">
        <w:rPr>
          <w:rFonts w:cs="Times New Roman"/>
        </w:rPr>
        <w:t xml:space="preserve">On the other hand, </w:t>
      </w:r>
      <w:r w:rsidR="004560D5" w:rsidRPr="001F37BC">
        <w:t>t</w:t>
      </w:r>
      <w:r w:rsidR="00BD090F" w:rsidRPr="001F37BC">
        <w:t>he Law of Trusts illustrates how equity still plays a significant role in English law</w:t>
      </w:r>
      <w:r w:rsidR="0026696F" w:rsidRPr="001F37BC">
        <w:t xml:space="preserve">. </w:t>
      </w:r>
      <w:r w:rsidRPr="001F37BC">
        <w:rPr>
          <w:rFonts w:cs="Times New Roman"/>
        </w:rPr>
        <w:t>Trusts are fundamentally equitable in nature and are enforced by the courts of equity</w:t>
      </w:r>
      <w:r w:rsidR="0026696F" w:rsidRPr="001F37BC">
        <w:rPr>
          <w:rFonts w:cs="Times New Roman"/>
        </w:rPr>
        <w:t xml:space="preserve"> (</w:t>
      </w:r>
      <w:r w:rsidR="00423955" w:rsidRPr="001F37BC">
        <w:rPr>
          <w:rFonts w:cs="Times New Roman"/>
        </w:rPr>
        <w:t>Harris</w:t>
      </w:r>
      <w:r w:rsidR="0026696F" w:rsidRPr="001F37BC">
        <w:rPr>
          <w:rFonts w:cs="Times New Roman"/>
        </w:rPr>
        <w:t>, 2001)</w:t>
      </w:r>
      <w:r w:rsidRPr="001F37BC">
        <w:rPr>
          <w:rFonts w:cs="Times New Roman"/>
        </w:rPr>
        <w:t>.</w:t>
      </w:r>
    </w:p>
    <w:p w14:paraId="13F0C1CC" w14:textId="77777777" w:rsidR="003D5C1E" w:rsidRPr="001F37BC" w:rsidRDefault="003D5C1E" w:rsidP="003D5C1E">
      <w:pPr>
        <w:spacing w:before="0" w:after="0" w:line="240" w:lineRule="auto"/>
        <w:rPr>
          <w:rFonts w:cs="Times New Roman"/>
        </w:rPr>
      </w:pPr>
    </w:p>
    <w:p w14:paraId="1FB00061" w14:textId="4192E87D" w:rsidR="003D5C1E" w:rsidRPr="001F37BC" w:rsidRDefault="003D5C1E" w:rsidP="003D5C1E">
      <w:pPr>
        <w:spacing w:before="0" w:after="0" w:line="240" w:lineRule="auto"/>
      </w:pPr>
      <w:r w:rsidRPr="001F37BC">
        <w:rPr>
          <w:rFonts w:cs="Times New Roman"/>
        </w:rPr>
        <w:lastRenderedPageBreak/>
        <w:t>In the case of Cook v, Fountain, it is found an instance where principles of fairness directly influenced trust-related issues. The equity court intervened to halt the improper management of a trust; it proclaimed that assets entrusted to a trustee for another's benefit should not serve as means for personal profit by said trustee. The ruling established a crucial principle concerning the fiduciary responsibility inherent in legal discussions regarding property management for others</w:t>
      </w:r>
      <w:r w:rsidR="000A14BE" w:rsidRPr="001F37BC">
        <w:rPr>
          <w:rFonts w:cs="Times New Roman"/>
        </w:rPr>
        <w:t>. T</w:t>
      </w:r>
      <w:r w:rsidRPr="001F37BC">
        <w:rPr>
          <w:rFonts w:cs="Times New Roman"/>
        </w:rPr>
        <w:t xml:space="preserve">his trust-related </w:t>
      </w:r>
      <w:r w:rsidR="000A14BE" w:rsidRPr="001F37BC">
        <w:rPr>
          <w:rFonts w:cs="Times New Roman"/>
        </w:rPr>
        <w:t>precedent is</w:t>
      </w:r>
      <w:r w:rsidRPr="001F37BC">
        <w:rPr>
          <w:rFonts w:cs="Times New Roman"/>
        </w:rPr>
        <w:t xml:space="preserve"> indeed vital (Merrill </w:t>
      </w:r>
      <w:r w:rsidR="00C3599A" w:rsidRPr="001F37BC">
        <w:rPr>
          <w:rFonts w:cs="Times New Roman"/>
        </w:rPr>
        <w:t>and Smith</w:t>
      </w:r>
      <w:r w:rsidRPr="001F37BC">
        <w:rPr>
          <w:rFonts w:cs="Times New Roman"/>
        </w:rPr>
        <w:t>, 2000).</w:t>
      </w:r>
      <w:r w:rsidR="000A14BE" w:rsidRPr="001F37BC">
        <w:rPr>
          <w:rFonts w:ascii="Roboto" w:hAnsi="Roboto"/>
          <w:color w:val="111111"/>
          <w:shd w:val="clear" w:color="auto" w:fill="F7F7F7"/>
        </w:rPr>
        <w:t xml:space="preserve"> </w:t>
      </w:r>
      <w:r w:rsidR="000A14BE" w:rsidRPr="001F37BC">
        <w:rPr>
          <w:rFonts w:cs="Times New Roman"/>
        </w:rPr>
        <w:t>It how the contextual method is used in equity, focusing on particular conditions to reach a just outcome. The case of Cook v. Fountain shows the way equity adds to common law by dealing with special cases and offering solutions when there's no sufficient legal remedy.</w:t>
      </w:r>
    </w:p>
    <w:p w14:paraId="6FB20FC1" w14:textId="77777777" w:rsidR="003D5C1E" w:rsidRPr="001F37BC" w:rsidRDefault="003D5C1E" w:rsidP="003D5C1E">
      <w:pPr>
        <w:spacing w:before="0" w:after="0" w:line="240" w:lineRule="auto"/>
        <w:rPr>
          <w:rFonts w:cs="Times New Roman"/>
        </w:rPr>
      </w:pPr>
    </w:p>
    <w:p w14:paraId="53AE816A" w14:textId="30779076" w:rsidR="003D5C1E" w:rsidRPr="001F37BC" w:rsidRDefault="003D5C1E" w:rsidP="003D5C1E">
      <w:pPr>
        <w:spacing w:before="0" w:after="0" w:line="240" w:lineRule="auto"/>
        <w:rPr>
          <w:rFonts w:cs="Times New Roman"/>
        </w:rPr>
      </w:pPr>
      <w:r w:rsidRPr="001F37BC">
        <w:rPr>
          <w:rFonts w:cs="Times New Roman"/>
        </w:rPr>
        <w:t>The judgement of Walsh v Lonsdale's case illuminates the role of equity in trust discussions with greater clarity. In this instance, a court dealing with equity matters intervened to ensure that an arrangement regarding leasing was honoured as though it were a legally binding contract which could be enforced precisely. The court ruled that if something is supposed to be done, equity treats it as if it already has been completed (Blackhawk, 2020). This case established the principle that equity can intervene to ensure responsibilities not recogni</w:t>
      </w:r>
      <w:r w:rsidR="00E77630" w:rsidRPr="001F37BC">
        <w:rPr>
          <w:rFonts w:cs="Times New Roman"/>
        </w:rPr>
        <w:t>s</w:t>
      </w:r>
      <w:r w:rsidRPr="001F37BC">
        <w:rPr>
          <w:rFonts w:cs="Times New Roman"/>
        </w:rPr>
        <w:t>ed by common law are carried out.</w:t>
      </w:r>
    </w:p>
    <w:p w14:paraId="71BC3E46" w14:textId="77777777" w:rsidR="003D5C1E" w:rsidRPr="001F37BC" w:rsidRDefault="003D5C1E" w:rsidP="003D5C1E">
      <w:pPr>
        <w:spacing w:before="0" w:after="0" w:line="240" w:lineRule="auto"/>
        <w:rPr>
          <w:rFonts w:cs="Times New Roman"/>
        </w:rPr>
      </w:pPr>
    </w:p>
    <w:p w14:paraId="0F6E1B26" w14:textId="12324BAB" w:rsidR="003D5C1E" w:rsidRPr="001F37BC" w:rsidRDefault="000A14BE" w:rsidP="003D5C1E">
      <w:pPr>
        <w:spacing w:before="0" w:after="0" w:line="240" w:lineRule="auto"/>
        <w:rPr>
          <w:rFonts w:cs="Times New Roman"/>
        </w:rPr>
      </w:pPr>
      <w:r w:rsidRPr="001F37BC">
        <w:rPr>
          <w:rFonts w:cs="Times New Roman"/>
        </w:rPr>
        <w:t xml:space="preserve">Equity, even though it may seem old to today’s legal issues, is still very important in today's legal systems. The case of Rose v. </w:t>
      </w:r>
      <w:proofErr w:type="spellStart"/>
      <w:r w:rsidRPr="001F37BC">
        <w:rPr>
          <w:rFonts w:cs="Times New Roman"/>
        </w:rPr>
        <w:t>Pim</w:t>
      </w:r>
      <w:proofErr w:type="spellEnd"/>
      <w:r w:rsidR="008D44D8" w:rsidRPr="001F37BC">
        <w:rPr>
          <w:rFonts w:cs="Times New Roman"/>
        </w:rPr>
        <w:t xml:space="preserve"> </w:t>
      </w:r>
      <w:r w:rsidR="00D904F9" w:rsidRPr="001F37BC">
        <w:rPr>
          <w:rFonts w:cs="Times New Roman"/>
        </w:rPr>
        <w:t>[</w:t>
      </w:r>
      <w:r w:rsidRPr="001F37BC">
        <w:rPr>
          <w:rFonts w:cs="Times New Roman"/>
        </w:rPr>
        <w:t>1953</w:t>
      </w:r>
      <w:r w:rsidR="00D904F9" w:rsidRPr="001F37BC">
        <w:rPr>
          <w:rFonts w:cs="Times New Roman"/>
        </w:rPr>
        <w:t>]</w:t>
      </w:r>
      <w:r w:rsidRPr="001F37BC">
        <w:rPr>
          <w:rFonts w:cs="Times New Roman"/>
        </w:rPr>
        <w:t xml:space="preserve"> shows how significant it is. In this case, a businessman had given his word to someone about giving them part ownership through shares. But when the businessman tried to go back on what he said, the equity court intervened. It understood the significance of being fair and set up the legal concept called promissory estoppel. This rule stops individuals from ignoring agreements they made before, making sure that promises are kept even if common law doesn't strictly require it. This case in </w:t>
      </w:r>
      <w:r w:rsidR="002658FC" w:rsidRPr="001F37BC">
        <w:rPr>
          <w:rFonts w:cs="Times New Roman"/>
        </w:rPr>
        <w:t>discussion</w:t>
      </w:r>
      <w:r w:rsidRPr="001F37BC">
        <w:rPr>
          <w:rFonts w:cs="Times New Roman"/>
        </w:rPr>
        <w:t xml:space="preserve"> highlights how equity plays an important part in looking at special situations, fixing wrongs, and ensuring honesty in agreements. Equity looks at the situation and what is fair to influence decisions made by law, filling spaces where strict rules are not enough. In modern time, such issues are more frequent and equity, thus, proves to be still relevant</w:t>
      </w:r>
      <w:r w:rsidR="00163978" w:rsidRPr="001F37BC">
        <w:rPr>
          <w:rFonts w:cs="Times New Roman"/>
        </w:rPr>
        <w:t xml:space="preserve"> (Hudson, 2022</w:t>
      </w:r>
      <w:r w:rsidR="00EE282F" w:rsidRPr="001F37BC">
        <w:rPr>
          <w:rFonts w:cs="Times New Roman"/>
        </w:rPr>
        <w:t>a</w:t>
      </w:r>
      <w:r w:rsidR="00163978" w:rsidRPr="001F37BC">
        <w:rPr>
          <w:rFonts w:cs="Times New Roman"/>
        </w:rPr>
        <w:t>)</w:t>
      </w:r>
      <w:r w:rsidRPr="001F37BC">
        <w:rPr>
          <w:rFonts w:cs="Times New Roman"/>
        </w:rPr>
        <w:t xml:space="preserve">. </w:t>
      </w:r>
    </w:p>
    <w:p w14:paraId="270AFA28" w14:textId="77777777" w:rsidR="00263CBA" w:rsidRPr="001F37BC" w:rsidRDefault="00263CBA" w:rsidP="003D5C1E">
      <w:pPr>
        <w:spacing w:before="0" w:after="0" w:line="240" w:lineRule="auto"/>
        <w:rPr>
          <w:rFonts w:cs="Times New Roman"/>
        </w:rPr>
      </w:pPr>
    </w:p>
    <w:p w14:paraId="7FE14D7B" w14:textId="54230333" w:rsidR="00263CBA" w:rsidRPr="001F37BC" w:rsidRDefault="00263CBA" w:rsidP="003D5C1E">
      <w:pPr>
        <w:spacing w:before="0" w:after="0" w:line="240" w:lineRule="auto"/>
        <w:rPr>
          <w:rFonts w:cs="Times New Roman"/>
        </w:rPr>
      </w:pPr>
      <w:r w:rsidRPr="001F37BC">
        <w:t xml:space="preserve">There have been numerous cases in which equity has been applied in modern times, such as the Anton Piller Orders, Mareva Injunctions, and Super Injunctions. In the case of Anton Piller KG v Manufacturing Processes Ltd. [1976], the Anton Piller Orders gave the court the authority to search the defendant's premises. On the other hand, the Mareva injunctions gave the court power to freeze a party's assets, commonly called a freezing injunction. A case that illustrates this injunction is Mareva </w:t>
      </w:r>
      <w:proofErr w:type="spellStart"/>
      <w:r w:rsidRPr="001F37BC">
        <w:t>Compania</w:t>
      </w:r>
      <w:proofErr w:type="spellEnd"/>
      <w:r w:rsidRPr="001F37BC">
        <w:t xml:space="preserve"> Naviera SA v International </w:t>
      </w:r>
      <w:proofErr w:type="spellStart"/>
      <w:r w:rsidRPr="001F37BC">
        <w:t>Bulkcarriers</w:t>
      </w:r>
      <w:proofErr w:type="spellEnd"/>
      <w:r w:rsidRPr="001F37BC">
        <w:t xml:space="preserve"> SA [1980]. Lastly, the Super Injunctions protected celebrities' privacy and prevented the media from obtaining much information about them. A good example of this type of injunction can be found in Ferdinand v Mirror Group Newspapers </w:t>
      </w:r>
      <w:r w:rsidR="006752A6" w:rsidRPr="001F37BC">
        <w:t>[</w:t>
      </w:r>
      <w:r w:rsidRPr="001F37BC">
        <w:t>2011</w:t>
      </w:r>
      <w:r w:rsidR="006752A6" w:rsidRPr="001F37BC">
        <w:t>] (</w:t>
      </w:r>
      <w:r w:rsidR="006752A6" w:rsidRPr="001F37BC">
        <w:t>Martin, 2012)</w:t>
      </w:r>
      <w:r w:rsidR="006752A6" w:rsidRPr="001F37BC">
        <w:t>.</w:t>
      </w:r>
    </w:p>
    <w:p w14:paraId="6F779E82" w14:textId="77777777" w:rsidR="000A14BE" w:rsidRPr="001F37BC" w:rsidRDefault="000A14BE" w:rsidP="003D5C1E">
      <w:pPr>
        <w:spacing w:before="0" w:after="0" w:line="240" w:lineRule="auto"/>
        <w:rPr>
          <w:rFonts w:cs="Times New Roman"/>
        </w:rPr>
      </w:pPr>
    </w:p>
    <w:p w14:paraId="47F8B309" w14:textId="1B459722" w:rsidR="00F35D17" w:rsidRPr="001F37BC" w:rsidRDefault="003D5C1E" w:rsidP="003D5C1E">
      <w:pPr>
        <w:spacing w:before="0" w:after="0" w:line="240" w:lineRule="auto"/>
        <w:rPr>
          <w:rFonts w:cs="Times New Roman"/>
        </w:rPr>
      </w:pPr>
      <w:r w:rsidRPr="001F37BC">
        <w:rPr>
          <w:rFonts w:cs="Times New Roman"/>
        </w:rPr>
        <w:t>While discussions continue about fusion and dualism, Equity still holds significant importance within the English legal framework</w:t>
      </w:r>
      <w:r w:rsidR="00263CBA" w:rsidRPr="001F37BC">
        <w:rPr>
          <w:rFonts w:cs="Times New Roman"/>
        </w:rPr>
        <w:t xml:space="preserve">. </w:t>
      </w:r>
      <w:r w:rsidRPr="001F37BC">
        <w:rPr>
          <w:rFonts w:cs="Times New Roman"/>
        </w:rPr>
        <w:t xml:space="preserve">It makes sure balance and justice are kept when just using common law might lead to unfair or uneven outcomes. The working together of common law and equity can be seen in </w:t>
      </w:r>
      <w:r w:rsidR="00411B61" w:rsidRPr="001F37BC">
        <w:rPr>
          <w:rFonts w:cs="Times New Roman"/>
        </w:rPr>
        <w:t xml:space="preserve">many </w:t>
      </w:r>
      <w:r w:rsidRPr="001F37BC">
        <w:rPr>
          <w:rFonts w:cs="Times New Roman"/>
        </w:rPr>
        <w:t>cases</w:t>
      </w:r>
      <w:r w:rsidR="00411B61" w:rsidRPr="001F37BC">
        <w:rPr>
          <w:rFonts w:cs="Times New Roman"/>
        </w:rPr>
        <w:t xml:space="preserve"> stated </w:t>
      </w:r>
      <w:r w:rsidR="00E21841" w:rsidRPr="001F37BC">
        <w:rPr>
          <w:rFonts w:cs="Times New Roman"/>
        </w:rPr>
        <w:t>in this essay</w:t>
      </w:r>
      <w:r w:rsidR="00411B61" w:rsidRPr="001F37BC">
        <w:rPr>
          <w:rFonts w:cs="Times New Roman"/>
        </w:rPr>
        <w:t xml:space="preserve"> </w:t>
      </w:r>
      <w:r w:rsidRPr="001F37BC">
        <w:rPr>
          <w:rFonts w:cs="Times New Roman"/>
        </w:rPr>
        <w:t>showing how they both add to the worth of the English legal system together. Trusts show that fairness still works in the English law system. Courts of equity make sure trusts are enforced so the property helps those people it is supposed to help</w:t>
      </w:r>
      <w:r w:rsidR="00EE282F" w:rsidRPr="001F37BC">
        <w:rPr>
          <w:rFonts w:cs="Times New Roman"/>
        </w:rPr>
        <w:t xml:space="preserve"> (Hudson, 2022b)</w:t>
      </w:r>
      <w:r w:rsidRPr="001F37BC">
        <w:rPr>
          <w:rFonts w:cs="Times New Roman"/>
        </w:rPr>
        <w:t xml:space="preserve">. </w:t>
      </w:r>
    </w:p>
    <w:p w14:paraId="02A2097E" w14:textId="77777777" w:rsidR="0002671F" w:rsidRPr="001F37BC" w:rsidRDefault="0002671F" w:rsidP="0002671F">
      <w:pPr>
        <w:spacing w:before="0" w:after="160" w:line="259" w:lineRule="auto"/>
        <w:jc w:val="left"/>
        <w:rPr>
          <w:rFonts w:cs="Times New Roman"/>
        </w:rPr>
      </w:pPr>
    </w:p>
    <w:p w14:paraId="0C835256" w14:textId="77777777" w:rsidR="0002671F" w:rsidRPr="001F37BC" w:rsidRDefault="0002671F" w:rsidP="0002671F">
      <w:pPr>
        <w:spacing w:before="0" w:after="160" w:line="259" w:lineRule="auto"/>
        <w:jc w:val="left"/>
        <w:rPr>
          <w:rFonts w:cs="Times New Roman"/>
        </w:rPr>
      </w:pPr>
    </w:p>
    <w:p w14:paraId="15795DC3" w14:textId="1D52CCB1" w:rsidR="00F35D17" w:rsidRPr="001F37BC" w:rsidRDefault="00F35D17" w:rsidP="0002671F">
      <w:pPr>
        <w:spacing w:before="0" w:after="160" w:line="259" w:lineRule="auto"/>
        <w:jc w:val="left"/>
        <w:rPr>
          <w:rFonts w:cs="Times New Roman"/>
        </w:rPr>
      </w:pPr>
      <w:r w:rsidRPr="001F37BC">
        <w:rPr>
          <w:rFonts w:ascii="Arial" w:hAnsi="Arial" w:cs="Arial"/>
          <w:b/>
          <w:bCs/>
          <w:szCs w:val="24"/>
        </w:rPr>
        <w:lastRenderedPageBreak/>
        <w:t xml:space="preserve">References </w:t>
      </w:r>
    </w:p>
    <w:p w14:paraId="04B38CC3" w14:textId="2ACDAA60" w:rsidR="00233929" w:rsidRPr="001F37BC" w:rsidRDefault="00F35D17" w:rsidP="0002671F">
      <w:pPr>
        <w:spacing w:before="0" w:after="0" w:line="240" w:lineRule="auto"/>
        <w:jc w:val="left"/>
        <w:rPr>
          <w:rFonts w:cs="Times New Roman"/>
          <w:szCs w:val="24"/>
        </w:rPr>
      </w:pPr>
      <w:r w:rsidRPr="001F37BC">
        <w:rPr>
          <w:rFonts w:cs="Times New Roman"/>
          <w:szCs w:val="24"/>
        </w:rPr>
        <w:t>Baker, J.H.</w:t>
      </w:r>
      <w:r w:rsidR="0086098C" w:rsidRPr="001F37BC">
        <w:rPr>
          <w:rFonts w:cs="Times New Roman"/>
          <w:szCs w:val="24"/>
        </w:rPr>
        <w:t xml:space="preserve">  </w:t>
      </w:r>
      <w:r w:rsidR="00602704" w:rsidRPr="001F37BC">
        <w:rPr>
          <w:rFonts w:cs="Times New Roman"/>
          <w:szCs w:val="24"/>
        </w:rPr>
        <w:t>(</w:t>
      </w:r>
      <w:r w:rsidRPr="001F37BC">
        <w:rPr>
          <w:rFonts w:cs="Times New Roman"/>
          <w:szCs w:val="24"/>
        </w:rPr>
        <w:t>2019</w:t>
      </w:r>
      <w:r w:rsidR="00F23F61" w:rsidRPr="001F37BC">
        <w:rPr>
          <w:rFonts w:cs="Times New Roman"/>
          <w:szCs w:val="24"/>
        </w:rPr>
        <w:t>a</w:t>
      </w:r>
      <w:r w:rsidR="00602704" w:rsidRPr="001F37BC">
        <w:rPr>
          <w:rFonts w:cs="Times New Roman"/>
          <w:szCs w:val="24"/>
        </w:rPr>
        <w:t>)</w:t>
      </w:r>
      <w:r w:rsidR="0086098C" w:rsidRPr="001F37BC">
        <w:rPr>
          <w:rFonts w:cs="Times New Roman"/>
          <w:szCs w:val="24"/>
        </w:rPr>
        <w:t xml:space="preserve"> - </w:t>
      </w:r>
      <w:r w:rsidRPr="001F37BC">
        <w:rPr>
          <w:rFonts w:cs="Times New Roman"/>
          <w:i/>
          <w:iCs/>
          <w:szCs w:val="24"/>
        </w:rPr>
        <w:t>An introduction to English legal history</w:t>
      </w:r>
      <w:r w:rsidR="00EF3D60" w:rsidRPr="001F37BC">
        <w:rPr>
          <w:rFonts w:cs="Times New Roman"/>
          <w:szCs w:val="24"/>
        </w:rPr>
        <w:t xml:space="preserve"> </w:t>
      </w:r>
      <w:r w:rsidR="00B40ACB" w:rsidRPr="001F37BC">
        <w:rPr>
          <w:rFonts w:cs="Times New Roman"/>
          <w:szCs w:val="24"/>
        </w:rPr>
        <w:t>–</w:t>
      </w:r>
      <w:r w:rsidR="00524535" w:rsidRPr="001F37BC">
        <w:rPr>
          <w:rFonts w:cs="Times New Roman"/>
          <w:szCs w:val="24"/>
        </w:rPr>
        <w:t xml:space="preserve"> </w:t>
      </w:r>
      <w:r w:rsidR="00B40ACB" w:rsidRPr="001F37BC">
        <w:rPr>
          <w:rFonts w:cs="Times New Roman"/>
          <w:szCs w:val="24"/>
        </w:rPr>
        <w:t>5</w:t>
      </w:r>
      <w:r w:rsidR="00B40ACB" w:rsidRPr="001F37BC">
        <w:rPr>
          <w:rFonts w:cs="Times New Roman"/>
          <w:szCs w:val="24"/>
          <w:vertAlign w:val="superscript"/>
        </w:rPr>
        <w:t>th</w:t>
      </w:r>
      <w:r w:rsidR="00B40ACB" w:rsidRPr="001F37BC">
        <w:rPr>
          <w:rFonts w:cs="Times New Roman"/>
          <w:szCs w:val="24"/>
        </w:rPr>
        <w:t xml:space="preserve"> Ed - </w:t>
      </w:r>
      <w:r w:rsidR="00524535" w:rsidRPr="001F37BC">
        <w:rPr>
          <w:rFonts w:cs="Times New Roman"/>
          <w:szCs w:val="24"/>
        </w:rPr>
        <w:t>Oxford</w:t>
      </w:r>
      <w:r w:rsidRPr="001F37BC">
        <w:rPr>
          <w:rFonts w:cs="Times New Roman"/>
          <w:szCs w:val="24"/>
        </w:rPr>
        <w:t xml:space="preserve"> University Press. </w:t>
      </w:r>
    </w:p>
    <w:p w14:paraId="163E9FB1" w14:textId="77777777" w:rsidR="00F23F61" w:rsidRPr="001F37BC" w:rsidRDefault="00F23F61" w:rsidP="0002671F">
      <w:pPr>
        <w:spacing w:before="0" w:after="0" w:line="240" w:lineRule="auto"/>
        <w:jc w:val="left"/>
        <w:rPr>
          <w:rFonts w:cs="Times New Roman"/>
          <w:szCs w:val="24"/>
        </w:rPr>
      </w:pPr>
    </w:p>
    <w:p w14:paraId="2F7FE6F6" w14:textId="2F0DE085" w:rsidR="00F23F61" w:rsidRPr="001F37BC" w:rsidRDefault="00F23F61" w:rsidP="00F23F61">
      <w:pPr>
        <w:spacing w:before="0" w:after="0" w:line="240" w:lineRule="auto"/>
        <w:jc w:val="left"/>
        <w:rPr>
          <w:rFonts w:cs="Times New Roman"/>
          <w:szCs w:val="24"/>
        </w:rPr>
      </w:pPr>
      <w:r w:rsidRPr="001F37BC">
        <w:rPr>
          <w:rFonts w:cs="Times New Roman"/>
          <w:szCs w:val="24"/>
        </w:rPr>
        <w:t>Baker, J.H.  (2019</w:t>
      </w:r>
      <w:r w:rsidRPr="001F37BC">
        <w:rPr>
          <w:rFonts w:cs="Times New Roman"/>
          <w:szCs w:val="24"/>
        </w:rPr>
        <w:t>b</w:t>
      </w:r>
      <w:r w:rsidRPr="001F37BC">
        <w:rPr>
          <w:rFonts w:cs="Times New Roman"/>
          <w:szCs w:val="24"/>
        </w:rPr>
        <w:t xml:space="preserve">) - </w:t>
      </w:r>
      <w:r w:rsidRPr="001F37BC">
        <w:rPr>
          <w:rFonts w:cs="Times New Roman"/>
          <w:i/>
          <w:iCs/>
          <w:szCs w:val="24"/>
        </w:rPr>
        <w:t>An introduction to English legal history</w:t>
      </w:r>
      <w:r w:rsidRPr="001F37BC">
        <w:rPr>
          <w:rFonts w:cs="Times New Roman"/>
          <w:szCs w:val="24"/>
        </w:rPr>
        <w:t xml:space="preserve"> – 5</w:t>
      </w:r>
      <w:r w:rsidRPr="001F37BC">
        <w:rPr>
          <w:rFonts w:cs="Times New Roman"/>
          <w:szCs w:val="24"/>
          <w:vertAlign w:val="superscript"/>
        </w:rPr>
        <w:t>th</w:t>
      </w:r>
      <w:r w:rsidRPr="001F37BC">
        <w:rPr>
          <w:rFonts w:cs="Times New Roman"/>
          <w:szCs w:val="24"/>
        </w:rPr>
        <w:t xml:space="preserve"> Ed - Oxford University Press. </w:t>
      </w:r>
    </w:p>
    <w:p w14:paraId="51FCE298" w14:textId="77777777" w:rsidR="009C1183" w:rsidRPr="001F37BC" w:rsidRDefault="009C1183" w:rsidP="008E0883">
      <w:pPr>
        <w:spacing w:before="0" w:after="0" w:line="240" w:lineRule="auto"/>
        <w:jc w:val="left"/>
        <w:rPr>
          <w:rFonts w:cs="Times New Roman"/>
          <w:szCs w:val="24"/>
        </w:rPr>
      </w:pPr>
    </w:p>
    <w:p w14:paraId="102BCB5E" w14:textId="7264C6F2" w:rsidR="003A6B79" w:rsidRPr="001F37BC" w:rsidRDefault="00F35D17" w:rsidP="0002671F">
      <w:pPr>
        <w:spacing w:before="0" w:after="0" w:line="240" w:lineRule="auto"/>
        <w:jc w:val="left"/>
        <w:rPr>
          <w:rFonts w:cs="Times New Roman"/>
          <w:szCs w:val="24"/>
        </w:rPr>
      </w:pPr>
      <w:r w:rsidRPr="001F37BC">
        <w:rPr>
          <w:rFonts w:cs="Times New Roman"/>
          <w:szCs w:val="24"/>
        </w:rPr>
        <w:t>Blackhawk, M.</w:t>
      </w:r>
      <w:r w:rsidR="009B5234" w:rsidRPr="001F37BC">
        <w:rPr>
          <w:rFonts w:cs="Times New Roman"/>
          <w:szCs w:val="24"/>
        </w:rPr>
        <w:t xml:space="preserve">  (</w:t>
      </w:r>
      <w:r w:rsidRPr="001F37BC">
        <w:rPr>
          <w:rFonts w:cs="Times New Roman"/>
          <w:szCs w:val="24"/>
        </w:rPr>
        <w:t>2020</w:t>
      </w:r>
      <w:r w:rsidR="009B5234" w:rsidRPr="001F37BC">
        <w:rPr>
          <w:rFonts w:cs="Times New Roman"/>
          <w:szCs w:val="24"/>
        </w:rPr>
        <w:t xml:space="preserve">) </w:t>
      </w:r>
      <w:r w:rsidR="008A6713" w:rsidRPr="001F37BC">
        <w:rPr>
          <w:rFonts w:cs="Times New Roman"/>
          <w:szCs w:val="24"/>
        </w:rPr>
        <w:t>‘</w:t>
      </w:r>
      <w:r w:rsidRPr="001F37BC">
        <w:rPr>
          <w:rFonts w:cs="Times New Roman"/>
          <w:szCs w:val="24"/>
        </w:rPr>
        <w:t>Equity Outside the courts</w:t>
      </w:r>
      <w:r w:rsidR="0077672D" w:rsidRPr="001F37BC">
        <w:rPr>
          <w:rFonts w:cs="Times New Roman"/>
          <w:szCs w:val="24"/>
        </w:rPr>
        <w:t>’ Columbia</w:t>
      </w:r>
      <w:r w:rsidRPr="001F37BC">
        <w:rPr>
          <w:rFonts w:cs="Times New Roman"/>
          <w:i/>
          <w:iCs/>
          <w:szCs w:val="24"/>
        </w:rPr>
        <w:t xml:space="preserve"> Law Review</w:t>
      </w:r>
      <w:r w:rsidR="008A70EF" w:rsidRPr="001F37BC">
        <w:rPr>
          <w:rFonts w:cs="Times New Roman"/>
          <w:szCs w:val="24"/>
        </w:rPr>
        <w:t xml:space="preserve"> </w:t>
      </w:r>
      <w:r w:rsidR="004F0675" w:rsidRPr="001F37BC">
        <w:rPr>
          <w:rFonts w:cs="Times New Roman"/>
          <w:szCs w:val="24"/>
        </w:rPr>
        <w:t>- 120</w:t>
      </w:r>
      <w:r w:rsidRPr="001F37BC">
        <w:rPr>
          <w:rFonts w:cs="Times New Roman"/>
          <w:szCs w:val="24"/>
        </w:rPr>
        <w:t>(8)</w:t>
      </w:r>
      <w:r w:rsidR="0077672D" w:rsidRPr="001F37BC">
        <w:rPr>
          <w:rFonts w:cs="Times New Roman"/>
          <w:szCs w:val="24"/>
        </w:rPr>
        <w:t xml:space="preserve"> - </w:t>
      </w:r>
      <w:r w:rsidRPr="001F37BC">
        <w:rPr>
          <w:rFonts w:cs="Times New Roman"/>
          <w:szCs w:val="24"/>
        </w:rPr>
        <w:t>p.2037-2128</w:t>
      </w:r>
      <w:r w:rsidR="0002671F" w:rsidRPr="001F37BC">
        <w:rPr>
          <w:rFonts w:cs="Times New Roman"/>
          <w:szCs w:val="24"/>
        </w:rPr>
        <w:t>.</w:t>
      </w:r>
      <w:r w:rsidR="003A6B79" w:rsidRPr="001F37BC">
        <w:rPr>
          <w:rFonts w:cs="Times New Roman"/>
          <w:szCs w:val="24"/>
        </w:rPr>
        <w:t xml:space="preserve"> </w:t>
      </w:r>
    </w:p>
    <w:p w14:paraId="0E3C45C4" w14:textId="5D07D2B8" w:rsidR="00CD475E" w:rsidRPr="001F37BC" w:rsidRDefault="00CD475E" w:rsidP="0002671F">
      <w:pPr>
        <w:spacing w:before="0" w:after="0" w:line="240" w:lineRule="auto"/>
        <w:jc w:val="left"/>
        <w:rPr>
          <w:rFonts w:cs="Times New Roman"/>
          <w:szCs w:val="24"/>
        </w:rPr>
      </w:pPr>
      <w:r w:rsidRPr="001F37BC">
        <w:rPr>
          <w:rFonts w:cs="Times New Roman"/>
          <w:szCs w:val="24"/>
        </w:rPr>
        <w:t xml:space="preserve">Available at: </w:t>
      </w:r>
      <w:hyperlink r:id="rId5" w:history="1">
        <w:r w:rsidR="0077672D" w:rsidRPr="001F37BC">
          <w:rPr>
            <w:rStyle w:val="Hyperlink"/>
          </w:rPr>
          <w:t>https://www.jstor.org/stable/26965833</w:t>
        </w:r>
      </w:hyperlink>
    </w:p>
    <w:p w14:paraId="4D1F62CA" w14:textId="69A2A8A6" w:rsidR="0077672D" w:rsidRPr="001F37BC" w:rsidRDefault="0077672D" w:rsidP="0002671F">
      <w:pPr>
        <w:spacing w:before="0" w:after="0" w:line="240" w:lineRule="auto"/>
        <w:jc w:val="left"/>
      </w:pPr>
      <w:r w:rsidRPr="001F37BC">
        <w:t>(</w:t>
      </w:r>
      <w:r w:rsidR="009C1183" w:rsidRPr="001F37BC">
        <w:t>A</w:t>
      </w:r>
      <w:r w:rsidRPr="001F37BC">
        <w:t>ccessed 13</w:t>
      </w:r>
      <w:r w:rsidRPr="001F37BC">
        <w:rPr>
          <w:vertAlign w:val="superscript"/>
        </w:rPr>
        <w:t>th</w:t>
      </w:r>
      <w:r w:rsidRPr="001F37BC">
        <w:t xml:space="preserve"> March 2024) </w:t>
      </w:r>
    </w:p>
    <w:p w14:paraId="738446A4" w14:textId="77777777" w:rsidR="009C1183" w:rsidRPr="001F37BC" w:rsidRDefault="009C1183" w:rsidP="009C1183">
      <w:pPr>
        <w:spacing w:before="0" w:after="0" w:line="240" w:lineRule="auto"/>
        <w:ind w:left="357"/>
        <w:jc w:val="left"/>
        <w:rPr>
          <w:rFonts w:cs="Times New Roman"/>
          <w:szCs w:val="24"/>
        </w:rPr>
      </w:pPr>
    </w:p>
    <w:p w14:paraId="77484EA7" w14:textId="68BED3BB" w:rsidR="0017210E" w:rsidRPr="001F37BC" w:rsidRDefault="00F35D17" w:rsidP="0017210E">
      <w:pPr>
        <w:spacing w:before="0" w:after="0" w:line="240" w:lineRule="auto"/>
        <w:jc w:val="left"/>
        <w:rPr>
          <w:rFonts w:cs="Times New Roman"/>
          <w:szCs w:val="24"/>
        </w:rPr>
      </w:pPr>
      <w:r w:rsidRPr="001F37BC">
        <w:rPr>
          <w:rFonts w:cs="Times New Roman"/>
          <w:szCs w:val="24"/>
        </w:rPr>
        <w:t>Brodie, D.</w:t>
      </w:r>
      <w:r w:rsidR="00C93AC0" w:rsidRPr="001F37BC">
        <w:rPr>
          <w:rFonts w:cs="Times New Roman"/>
          <w:szCs w:val="24"/>
        </w:rPr>
        <w:t xml:space="preserve"> (</w:t>
      </w:r>
      <w:r w:rsidRPr="001F37BC">
        <w:rPr>
          <w:rFonts w:cs="Times New Roman"/>
          <w:szCs w:val="24"/>
        </w:rPr>
        <w:t>2016</w:t>
      </w:r>
      <w:r w:rsidR="00C93AC0" w:rsidRPr="001F37BC">
        <w:rPr>
          <w:rFonts w:cs="Times New Roman"/>
          <w:szCs w:val="24"/>
        </w:rPr>
        <w:t>)</w:t>
      </w:r>
      <w:r w:rsidRPr="001F37BC">
        <w:rPr>
          <w:rFonts w:cs="Times New Roman"/>
          <w:szCs w:val="24"/>
        </w:rPr>
        <w:t xml:space="preserve"> </w:t>
      </w:r>
      <w:r w:rsidR="00C93AC0" w:rsidRPr="001F37BC">
        <w:rPr>
          <w:rFonts w:cs="Times New Roman"/>
          <w:szCs w:val="24"/>
        </w:rPr>
        <w:t>‘</w:t>
      </w:r>
      <w:r w:rsidRPr="001F37BC">
        <w:rPr>
          <w:rFonts w:cs="Times New Roman"/>
          <w:szCs w:val="24"/>
        </w:rPr>
        <w:t>The dynamics of common law evolution</w:t>
      </w:r>
      <w:r w:rsidR="00C93AC0" w:rsidRPr="001F37BC">
        <w:rPr>
          <w:rFonts w:cs="Times New Roman"/>
          <w:szCs w:val="24"/>
        </w:rPr>
        <w:t xml:space="preserve">’ </w:t>
      </w:r>
      <w:r w:rsidRPr="001F37BC">
        <w:rPr>
          <w:rFonts w:cs="Times New Roman"/>
          <w:i/>
          <w:iCs/>
          <w:szCs w:val="24"/>
        </w:rPr>
        <w:t>International Journal of Comparative Labour Law and Industrial Relations</w:t>
      </w:r>
      <w:r w:rsidR="00C93AC0" w:rsidRPr="001F37BC">
        <w:rPr>
          <w:rFonts w:cs="Times New Roman"/>
          <w:szCs w:val="24"/>
        </w:rPr>
        <w:t xml:space="preserve"> - </w:t>
      </w:r>
      <w:r w:rsidRPr="001F37BC">
        <w:rPr>
          <w:rFonts w:cs="Times New Roman"/>
          <w:szCs w:val="24"/>
        </w:rPr>
        <w:t>32(1)</w:t>
      </w:r>
      <w:r w:rsidR="00A329BD" w:rsidRPr="001F37BC">
        <w:rPr>
          <w:rFonts w:cs="Times New Roman"/>
          <w:szCs w:val="24"/>
        </w:rPr>
        <w:t xml:space="preserve"> - </w:t>
      </w:r>
      <w:r w:rsidR="00A329BD" w:rsidRPr="001F37BC">
        <w:t>p45 – 68</w:t>
      </w:r>
      <w:r w:rsidR="00A329BD" w:rsidRPr="001F37BC">
        <w:rPr>
          <w:rFonts w:cs="Times New Roman"/>
          <w:szCs w:val="24"/>
        </w:rPr>
        <w:t>.</w:t>
      </w:r>
    </w:p>
    <w:p w14:paraId="46374021" w14:textId="47AC9DF4" w:rsidR="00F35D17" w:rsidRPr="001F37BC" w:rsidRDefault="0017210E" w:rsidP="0017210E">
      <w:pPr>
        <w:spacing w:before="0" w:after="0" w:line="240" w:lineRule="auto"/>
        <w:jc w:val="left"/>
        <w:rPr>
          <w:rStyle w:val="Hyperlink"/>
          <w:rFonts w:cs="Times New Roman"/>
          <w:color w:val="auto"/>
          <w:szCs w:val="24"/>
        </w:rPr>
      </w:pPr>
      <w:r w:rsidRPr="001F37BC">
        <w:rPr>
          <w:rFonts w:cs="Times New Roman"/>
          <w:szCs w:val="24"/>
        </w:rPr>
        <w:t xml:space="preserve">Available at: </w:t>
      </w:r>
      <w:r w:rsidR="00F35D17" w:rsidRPr="001F37BC">
        <w:rPr>
          <w:rFonts w:cs="Times New Roman"/>
          <w:szCs w:val="24"/>
        </w:rPr>
        <w:t xml:space="preserve">DOI: </w:t>
      </w:r>
      <w:hyperlink r:id="rId6" w:tgtFrame="_blank" w:history="1">
        <w:r w:rsidR="00F35D17" w:rsidRPr="001F37BC">
          <w:rPr>
            <w:rStyle w:val="Hyperlink"/>
            <w:rFonts w:cs="Times New Roman"/>
            <w:color w:val="auto"/>
            <w:szCs w:val="24"/>
          </w:rPr>
          <w:t>10.54648/ijcl2016004</w:t>
        </w:r>
      </w:hyperlink>
    </w:p>
    <w:p w14:paraId="5412F6AB" w14:textId="64807A6C" w:rsidR="0017210E" w:rsidRPr="001F37BC" w:rsidRDefault="0017210E" w:rsidP="0017210E">
      <w:pPr>
        <w:spacing w:before="0" w:after="0" w:line="240" w:lineRule="auto"/>
        <w:jc w:val="left"/>
      </w:pPr>
      <w:r w:rsidRPr="001F37BC">
        <w:t>(Accessed 1</w:t>
      </w:r>
      <w:r w:rsidRPr="001F37BC">
        <w:t>0</w:t>
      </w:r>
      <w:r w:rsidRPr="001F37BC">
        <w:rPr>
          <w:vertAlign w:val="superscript"/>
        </w:rPr>
        <w:t>th</w:t>
      </w:r>
      <w:r w:rsidRPr="001F37BC">
        <w:t xml:space="preserve"> </w:t>
      </w:r>
      <w:r w:rsidRPr="001F37BC">
        <w:t xml:space="preserve">March 2024) </w:t>
      </w:r>
    </w:p>
    <w:p w14:paraId="6B1E4F67" w14:textId="77777777" w:rsidR="00AB43F0" w:rsidRPr="001F37BC" w:rsidRDefault="00AB43F0" w:rsidP="0017210E">
      <w:pPr>
        <w:spacing w:before="0" w:after="0" w:line="240" w:lineRule="auto"/>
        <w:jc w:val="left"/>
      </w:pPr>
    </w:p>
    <w:p w14:paraId="3F0EC68A" w14:textId="7DB77AD7" w:rsidR="00F35D17" w:rsidRPr="001F37BC" w:rsidRDefault="009E62BD" w:rsidP="002E5256">
      <w:pPr>
        <w:spacing w:before="0" w:after="0" w:line="240" w:lineRule="auto"/>
        <w:jc w:val="left"/>
        <w:rPr>
          <w:rFonts w:cs="Times New Roman"/>
          <w:szCs w:val="24"/>
        </w:rPr>
      </w:pPr>
      <w:r w:rsidRPr="001F37BC">
        <w:rPr>
          <w:rFonts w:cs="Times New Roman"/>
          <w:szCs w:val="24"/>
        </w:rPr>
        <w:t>Harris, R</w:t>
      </w:r>
      <w:r w:rsidR="00BA56C6" w:rsidRPr="001F37BC">
        <w:rPr>
          <w:rFonts w:cs="Times New Roman"/>
          <w:szCs w:val="24"/>
        </w:rPr>
        <w:t>.</w:t>
      </w:r>
      <w:r w:rsidR="00F35D17" w:rsidRPr="001F37BC">
        <w:rPr>
          <w:rFonts w:cs="Times New Roman"/>
          <w:szCs w:val="24"/>
        </w:rPr>
        <w:t xml:space="preserve"> </w:t>
      </w:r>
      <w:r w:rsidR="00BA56C6" w:rsidRPr="001F37BC">
        <w:rPr>
          <w:rFonts w:cs="Times New Roman"/>
          <w:szCs w:val="24"/>
        </w:rPr>
        <w:t>(</w:t>
      </w:r>
      <w:r w:rsidR="00F35D17" w:rsidRPr="001F37BC">
        <w:rPr>
          <w:rFonts w:cs="Times New Roman"/>
          <w:szCs w:val="24"/>
        </w:rPr>
        <w:t>2001</w:t>
      </w:r>
      <w:r w:rsidR="00FA4049" w:rsidRPr="001F37BC">
        <w:rPr>
          <w:rFonts w:cs="Times New Roman"/>
          <w:szCs w:val="24"/>
        </w:rPr>
        <w:t>)</w:t>
      </w:r>
      <w:r w:rsidR="00FA4049" w:rsidRPr="001F37BC">
        <w:rPr>
          <w:rFonts w:cs="Times New Roman"/>
          <w:i/>
          <w:iCs/>
          <w:szCs w:val="24"/>
        </w:rPr>
        <w:t xml:space="preserve"> Industrializing</w:t>
      </w:r>
      <w:r w:rsidR="00F35D17" w:rsidRPr="001F37BC">
        <w:rPr>
          <w:rFonts w:cs="Times New Roman"/>
          <w:i/>
          <w:iCs/>
          <w:szCs w:val="24"/>
        </w:rPr>
        <w:t xml:space="preserve"> English Law: Entrepreneurship and Business Organization</w:t>
      </w:r>
      <w:r w:rsidR="00F0567D" w:rsidRPr="001F37BC">
        <w:rPr>
          <w:rFonts w:cs="Times New Roman"/>
          <w:szCs w:val="24"/>
        </w:rPr>
        <w:t xml:space="preserve"> </w:t>
      </w:r>
      <w:r w:rsidR="008027C3" w:rsidRPr="001F37BC">
        <w:rPr>
          <w:rFonts w:cs="Times New Roman"/>
          <w:szCs w:val="24"/>
        </w:rPr>
        <w:t>–</w:t>
      </w:r>
      <w:r w:rsidR="004277B6" w:rsidRPr="001F37BC">
        <w:rPr>
          <w:rFonts w:cs="Times New Roman"/>
          <w:szCs w:val="24"/>
        </w:rPr>
        <w:t xml:space="preserve"> </w:t>
      </w:r>
      <w:r w:rsidR="008027C3" w:rsidRPr="001F37BC">
        <w:rPr>
          <w:rFonts w:cs="Times New Roman"/>
          <w:szCs w:val="24"/>
        </w:rPr>
        <w:t xml:space="preserve">2 Ed – </w:t>
      </w:r>
      <w:r w:rsidR="004277B6" w:rsidRPr="001F37BC">
        <w:rPr>
          <w:rFonts w:cs="Times New Roman"/>
          <w:szCs w:val="24"/>
        </w:rPr>
        <w:t>Cambridge</w:t>
      </w:r>
      <w:r w:rsidR="008027C3" w:rsidRPr="001F37BC">
        <w:rPr>
          <w:rFonts w:cs="Times New Roman"/>
          <w:szCs w:val="24"/>
        </w:rPr>
        <w:t xml:space="preserve">: </w:t>
      </w:r>
      <w:r w:rsidR="00F35D17" w:rsidRPr="001F37BC">
        <w:rPr>
          <w:rFonts w:cs="Times New Roman"/>
          <w:szCs w:val="24"/>
        </w:rPr>
        <w:t>Cambridge University Press</w:t>
      </w:r>
      <w:r w:rsidR="002E5256" w:rsidRPr="001F37BC">
        <w:rPr>
          <w:rFonts w:cs="Times New Roman"/>
          <w:szCs w:val="24"/>
        </w:rPr>
        <w:t xml:space="preserve">. </w:t>
      </w:r>
    </w:p>
    <w:p w14:paraId="38A21DE3" w14:textId="77777777" w:rsidR="00C776C2" w:rsidRPr="001F37BC" w:rsidRDefault="00C776C2" w:rsidP="002E5256">
      <w:pPr>
        <w:spacing w:before="0" w:after="0" w:line="240" w:lineRule="auto"/>
        <w:jc w:val="left"/>
        <w:rPr>
          <w:rFonts w:cs="Times New Roman"/>
          <w:szCs w:val="24"/>
        </w:rPr>
      </w:pPr>
    </w:p>
    <w:p w14:paraId="38A859D0" w14:textId="51EA8421" w:rsidR="00C776C2" w:rsidRPr="001F37BC" w:rsidRDefault="00C776C2" w:rsidP="002B289E">
      <w:pPr>
        <w:spacing w:before="0" w:after="0" w:line="240" w:lineRule="auto"/>
        <w:jc w:val="left"/>
      </w:pPr>
      <w:r w:rsidRPr="001F37BC">
        <w:t>Hudson, A</w:t>
      </w:r>
      <w:r w:rsidR="00B86E51" w:rsidRPr="001F37BC">
        <w:t xml:space="preserve">. </w:t>
      </w:r>
      <w:r w:rsidR="00AF2243" w:rsidRPr="001F37BC">
        <w:t>(202</w:t>
      </w:r>
      <w:r w:rsidR="00E97775" w:rsidRPr="001F37BC">
        <w:t>2</w:t>
      </w:r>
      <w:r w:rsidR="00EE282F" w:rsidRPr="001F37BC">
        <w:t>a</w:t>
      </w:r>
      <w:r w:rsidR="00AF2243" w:rsidRPr="001F37BC">
        <w:t xml:space="preserve">) </w:t>
      </w:r>
      <w:r w:rsidR="00846358" w:rsidRPr="001F37BC">
        <w:t xml:space="preserve">- </w:t>
      </w:r>
      <w:r w:rsidR="00846358" w:rsidRPr="001F37BC">
        <w:rPr>
          <w:i/>
          <w:iCs/>
        </w:rPr>
        <w:t>Principle</w:t>
      </w:r>
      <w:r w:rsidR="00846358" w:rsidRPr="001F37BC">
        <w:t>s</w:t>
      </w:r>
      <w:r w:rsidRPr="001F37BC">
        <w:rPr>
          <w:rStyle w:val="Emphasis"/>
        </w:rPr>
        <w:t xml:space="preserve"> of Equity and </w:t>
      </w:r>
      <w:r w:rsidR="003B2098" w:rsidRPr="001F37BC">
        <w:rPr>
          <w:rStyle w:val="Emphasis"/>
        </w:rPr>
        <w:t>Trusts</w:t>
      </w:r>
      <w:r w:rsidR="003B2098" w:rsidRPr="001F37BC">
        <w:t>,</w:t>
      </w:r>
      <w:r w:rsidRPr="001F37BC">
        <w:t xml:space="preserve"> 2</w:t>
      </w:r>
      <w:r w:rsidRPr="001F37BC">
        <w:rPr>
          <w:vertAlign w:val="superscript"/>
        </w:rPr>
        <w:t>nd</w:t>
      </w:r>
      <w:r w:rsidRPr="001F37BC">
        <w:t xml:space="preserve"> </w:t>
      </w:r>
      <w:r w:rsidR="00AF2243" w:rsidRPr="001F37BC">
        <w:t xml:space="preserve">Ed </w:t>
      </w:r>
      <w:r w:rsidR="005A3690" w:rsidRPr="001F37BC">
        <w:t xml:space="preserve">- </w:t>
      </w:r>
      <w:r w:rsidR="00F57A1E" w:rsidRPr="001F37BC">
        <w:t>Oxon</w:t>
      </w:r>
      <w:r w:rsidRPr="001F37BC">
        <w:t xml:space="preserve">: </w:t>
      </w:r>
      <w:r w:rsidR="00C320EB" w:rsidRPr="001F37BC">
        <w:t xml:space="preserve">Routledge </w:t>
      </w:r>
    </w:p>
    <w:p w14:paraId="2BCC266A" w14:textId="77777777" w:rsidR="00EE282F" w:rsidRPr="001F37BC" w:rsidRDefault="00EE282F" w:rsidP="002B289E">
      <w:pPr>
        <w:spacing w:before="0" w:after="0" w:line="240" w:lineRule="auto"/>
        <w:jc w:val="left"/>
      </w:pPr>
    </w:p>
    <w:p w14:paraId="292137F6" w14:textId="2CDBB4BD" w:rsidR="00EE282F" w:rsidRPr="001F37BC" w:rsidRDefault="00EE282F" w:rsidP="00EE282F">
      <w:pPr>
        <w:spacing w:before="0" w:after="0" w:line="240" w:lineRule="auto"/>
        <w:jc w:val="left"/>
      </w:pPr>
      <w:r w:rsidRPr="001F37BC">
        <w:t>Hudson, A. (2022</w:t>
      </w:r>
      <w:r w:rsidRPr="001F37BC">
        <w:t>b</w:t>
      </w:r>
      <w:r w:rsidRPr="001F37BC">
        <w:t xml:space="preserve">) - </w:t>
      </w:r>
      <w:r w:rsidRPr="001F37BC">
        <w:rPr>
          <w:i/>
          <w:iCs/>
        </w:rPr>
        <w:t>Principle</w:t>
      </w:r>
      <w:r w:rsidRPr="001F37BC">
        <w:t>s</w:t>
      </w:r>
      <w:r w:rsidRPr="001F37BC">
        <w:rPr>
          <w:rStyle w:val="Emphasis"/>
        </w:rPr>
        <w:t xml:space="preserve"> of Equity and Trusts</w:t>
      </w:r>
      <w:r w:rsidRPr="001F37BC">
        <w:t>, 2</w:t>
      </w:r>
      <w:r w:rsidRPr="001F37BC">
        <w:rPr>
          <w:vertAlign w:val="superscript"/>
        </w:rPr>
        <w:t>nd</w:t>
      </w:r>
      <w:r w:rsidRPr="001F37BC">
        <w:t xml:space="preserve"> Ed - Oxon: Routledge </w:t>
      </w:r>
    </w:p>
    <w:p w14:paraId="7DC9DC5B" w14:textId="77777777" w:rsidR="00C84825" w:rsidRPr="001F37BC" w:rsidRDefault="00C84825" w:rsidP="002B289E">
      <w:pPr>
        <w:spacing w:before="0" w:after="0" w:line="240" w:lineRule="auto"/>
        <w:jc w:val="left"/>
      </w:pPr>
    </w:p>
    <w:p w14:paraId="556A1FE6" w14:textId="29A7675D" w:rsidR="00C84825" w:rsidRPr="001F37BC" w:rsidRDefault="00C84825" w:rsidP="002B289E">
      <w:pPr>
        <w:spacing w:before="0" w:after="0" w:line="240" w:lineRule="auto"/>
        <w:jc w:val="left"/>
      </w:pPr>
      <w:r w:rsidRPr="001F37BC">
        <w:t>Hutchinson, A</w:t>
      </w:r>
      <w:r w:rsidR="00FD68FF" w:rsidRPr="001F37BC">
        <w:t>.</w:t>
      </w:r>
      <w:r w:rsidR="000A31BC" w:rsidRPr="001F37BC">
        <w:t xml:space="preserve"> (2005</w:t>
      </w:r>
      <w:r w:rsidR="0081589F" w:rsidRPr="001F37BC">
        <w:t>a</w:t>
      </w:r>
      <w:r w:rsidR="000A31BC" w:rsidRPr="001F37BC">
        <w:t>) -</w:t>
      </w:r>
      <w:r w:rsidR="000A31BC" w:rsidRPr="001F37BC">
        <w:rPr>
          <w:i/>
          <w:iCs/>
        </w:rPr>
        <w:t xml:space="preserve"> Evolution</w:t>
      </w:r>
      <w:r w:rsidRPr="001F37BC">
        <w:rPr>
          <w:rStyle w:val="Emphasis"/>
          <w:i w:val="0"/>
          <w:iCs w:val="0"/>
        </w:rPr>
        <w:t xml:space="preserve"> </w:t>
      </w:r>
      <w:r w:rsidRPr="001F37BC">
        <w:rPr>
          <w:rStyle w:val="Emphasis"/>
        </w:rPr>
        <w:t>and the Common Law</w:t>
      </w:r>
      <w:r w:rsidR="000C0215" w:rsidRPr="001F37BC">
        <w:t xml:space="preserve"> - </w:t>
      </w:r>
      <w:r w:rsidRPr="001F37BC">
        <w:t>Cambridge University Press</w:t>
      </w:r>
    </w:p>
    <w:p w14:paraId="38AA1888" w14:textId="77777777" w:rsidR="0081589F" w:rsidRPr="001F37BC" w:rsidRDefault="0081589F" w:rsidP="002B289E">
      <w:pPr>
        <w:spacing w:before="0" w:after="0" w:line="240" w:lineRule="auto"/>
        <w:jc w:val="left"/>
      </w:pPr>
    </w:p>
    <w:p w14:paraId="7D8F474F" w14:textId="5F603BD9" w:rsidR="0081589F" w:rsidRPr="001F37BC" w:rsidRDefault="0081589F" w:rsidP="002B289E">
      <w:pPr>
        <w:spacing w:before="0" w:after="0" w:line="240" w:lineRule="auto"/>
        <w:jc w:val="left"/>
      </w:pPr>
      <w:r w:rsidRPr="001F37BC">
        <w:t>Hutchinson, A. (2005</w:t>
      </w:r>
      <w:r w:rsidRPr="001F37BC">
        <w:t>b</w:t>
      </w:r>
      <w:r w:rsidRPr="001F37BC">
        <w:t>) -</w:t>
      </w:r>
      <w:r w:rsidRPr="001F37BC">
        <w:rPr>
          <w:i/>
          <w:iCs/>
        </w:rPr>
        <w:t xml:space="preserve"> Evolution</w:t>
      </w:r>
      <w:r w:rsidRPr="001F37BC">
        <w:rPr>
          <w:rStyle w:val="Emphasis"/>
          <w:i w:val="0"/>
          <w:iCs w:val="0"/>
        </w:rPr>
        <w:t xml:space="preserve"> </w:t>
      </w:r>
      <w:r w:rsidRPr="001F37BC">
        <w:rPr>
          <w:rStyle w:val="Emphasis"/>
        </w:rPr>
        <w:t>and the Common Law</w:t>
      </w:r>
      <w:r w:rsidRPr="001F37BC">
        <w:t xml:space="preserve"> - Cambridge University Press</w:t>
      </w:r>
    </w:p>
    <w:p w14:paraId="74E2A22E" w14:textId="77777777" w:rsidR="002B289E" w:rsidRPr="001F37BC" w:rsidRDefault="002B289E" w:rsidP="002B289E">
      <w:pPr>
        <w:spacing w:before="0" w:after="0" w:line="240" w:lineRule="auto"/>
        <w:jc w:val="left"/>
        <w:rPr>
          <w:rFonts w:cs="Times New Roman"/>
          <w:szCs w:val="24"/>
        </w:rPr>
      </w:pPr>
    </w:p>
    <w:p w14:paraId="396B251A" w14:textId="1F1B4995" w:rsidR="002B289E" w:rsidRPr="001F37BC" w:rsidRDefault="00F35D17" w:rsidP="002B289E">
      <w:pPr>
        <w:spacing w:before="0" w:after="0" w:line="240" w:lineRule="auto"/>
        <w:jc w:val="left"/>
        <w:rPr>
          <w:rFonts w:cs="Times New Roman"/>
          <w:szCs w:val="24"/>
        </w:rPr>
      </w:pPr>
      <w:r w:rsidRPr="001F37BC">
        <w:rPr>
          <w:rFonts w:cs="Times New Roman"/>
          <w:szCs w:val="24"/>
        </w:rPr>
        <w:t>Hylton, K.N.</w:t>
      </w:r>
      <w:r w:rsidR="00E20682" w:rsidRPr="001F37BC">
        <w:rPr>
          <w:rFonts w:cs="Times New Roman"/>
          <w:szCs w:val="24"/>
        </w:rPr>
        <w:t xml:space="preserve"> (</w:t>
      </w:r>
      <w:r w:rsidRPr="001F37BC">
        <w:rPr>
          <w:rFonts w:cs="Times New Roman"/>
          <w:szCs w:val="24"/>
        </w:rPr>
        <w:t>2003</w:t>
      </w:r>
      <w:r w:rsidR="00E20682" w:rsidRPr="001F37BC">
        <w:rPr>
          <w:rFonts w:cs="Times New Roman"/>
          <w:szCs w:val="24"/>
        </w:rPr>
        <w:t>)</w:t>
      </w:r>
      <w:r w:rsidRPr="001F37BC">
        <w:rPr>
          <w:rFonts w:cs="Times New Roman"/>
          <w:szCs w:val="24"/>
        </w:rPr>
        <w:t xml:space="preserve"> </w:t>
      </w:r>
      <w:r w:rsidR="00E20682" w:rsidRPr="001F37BC">
        <w:rPr>
          <w:rFonts w:cs="Times New Roman"/>
          <w:szCs w:val="24"/>
        </w:rPr>
        <w:t xml:space="preserve">- </w:t>
      </w:r>
      <w:r w:rsidRPr="001F37BC">
        <w:rPr>
          <w:rFonts w:cs="Times New Roman"/>
          <w:i/>
          <w:iCs/>
          <w:szCs w:val="24"/>
        </w:rPr>
        <w:t>Antitrust law: Economic theory and common law evolution</w:t>
      </w:r>
      <w:r w:rsidRPr="001F37BC">
        <w:rPr>
          <w:rFonts w:cs="Times New Roman"/>
          <w:szCs w:val="24"/>
        </w:rPr>
        <w:t>.</w:t>
      </w:r>
      <w:r w:rsidR="00E20682" w:rsidRPr="001F37BC">
        <w:rPr>
          <w:rFonts w:cs="Times New Roman"/>
          <w:szCs w:val="24"/>
        </w:rPr>
        <w:t xml:space="preserve"> - </w:t>
      </w:r>
      <w:r w:rsidRPr="001F37BC">
        <w:rPr>
          <w:rFonts w:cs="Times New Roman"/>
          <w:szCs w:val="24"/>
        </w:rPr>
        <w:t xml:space="preserve">Cambridge University Press. </w:t>
      </w:r>
    </w:p>
    <w:p w14:paraId="5C6EBB7B" w14:textId="77777777" w:rsidR="002B289E" w:rsidRPr="001F37BC" w:rsidRDefault="002B289E" w:rsidP="002B289E">
      <w:pPr>
        <w:spacing w:before="0" w:after="0" w:line="240" w:lineRule="auto"/>
        <w:jc w:val="left"/>
        <w:rPr>
          <w:rFonts w:cs="Times New Roman"/>
          <w:szCs w:val="24"/>
        </w:rPr>
      </w:pPr>
    </w:p>
    <w:p w14:paraId="30D1B805" w14:textId="7F2494BD" w:rsidR="00AD742C" w:rsidRPr="001F37BC" w:rsidRDefault="00777A20" w:rsidP="002B289E">
      <w:pPr>
        <w:spacing w:before="0" w:after="0" w:line="240" w:lineRule="auto"/>
        <w:jc w:val="left"/>
        <w:rPr>
          <w:rFonts w:cs="Times New Roman"/>
          <w:szCs w:val="24"/>
        </w:rPr>
      </w:pPr>
      <w:r w:rsidRPr="001F37BC">
        <w:rPr>
          <w:rFonts w:eastAsia="Times New Roman" w:cs="Times New Roman"/>
          <w:kern w:val="0"/>
          <w:szCs w:val="24"/>
          <w:lang w:eastAsia="en-GB"/>
          <w14:ligatures w14:val="none"/>
        </w:rPr>
        <w:t>MacLeod, A.</w:t>
      </w:r>
      <w:r w:rsidR="00FD68FF"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2024</w:t>
      </w:r>
      <w:r w:rsidR="007C28C2"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Why Equity Follows the Law</w:t>
      </w:r>
      <w:r w:rsidR="00AD742C"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Laws</w:t>
      </w:r>
      <w:r w:rsidR="00AD742C" w:rsidRPr="001F37BC">
        <w:rPr>
          <w:rFonts w:eastAsia="Times New Roman" w:cs="Times New Roman"/>
          <w:i/>
          <w:iCs/>
          <w:kern w:val="0"/>
          <w:szCs w:val="24"/>
          <w:lang w:eastAsia="en-GB"/>
          <w14:ligatures w14:val="none"/>
        </w:rPr>
        <w:t xml:space="preserve"> 2024</w:t>
      </w:r>
      <w:r w:rsidRPr="001F37BC">
        <w:rPr>
          <w:rFonts w:eastAsia="Times New Roman" w:cs="Times New Roman"/>
          <w:kern w:val="0"/>
          <w:szCs w:val="24"/>
          <w:lang w:eastAsia="en-GB"/>
          <w14:ligatures w14:val="none"/>
        </w:rPr>
        <w:t xml:space="preserve"> </w:t>
      </w:r>
      <w:r w:rsidR="00AD742C"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13</w:t>
      </w:r>
      <w:r w:rsidR="00AD742C"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(1)</w:t>
      </w:r>
      <w:r w:rsidR="00AD742C"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p.3. </w:t>
      </w:r>
    </w:p>
    <w:p w14:paraId="3D74F32E" w14:textId="16F32055" w:rsidR="00777A20" w:rsidRPr="001F37BC" w:rsidRDefault="00AD742C" w:rsidP="002B289E">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r w:rsidR="00777A20" w:rsidRPr="001F37BC">
        <w:rPr>
          <w:rFonts w:eastAsia="Times New Roman" w:cs="Times New Roman"/>
          <w:kern w:val="0"/>
          <w:szCs w:val="24"/>
          <w:lang w:eastAsia="en-GB"/>
          <w14:ligatures w14:val="none"/>
        </w:rPr>
        <w:t>DOI: [10.3390/laws13010003]</w:t>
      </w:r>
    </w:p>
    <w:p w14:paraId="46B54DF6" w14:textId="77777777" w:rsidR="00AD742C" w:rsidRPr="001F37BC" w:rsidRDefault="00AD742C" w:rsidP="002B289E">
      <w:pPr>
        <w:spacing w:before="0" w:after="0" w:line="240" w:lineRule="auto"/>
        <w:jc w:val="left"/>
      </w:pPr>
      <w:r w:rsidRPr="001F37BC">
        <w:t>(Accessed 10</w:t>
      </w:r>
      <w:r w:rsidRPr="001F37BC">
        <w:rPr>
          <w:vertAlign w:val="superscript"/>
        </w:rPr>
        <w:t>th</w:t>
      </w:r>
      <w:r w:rsidRPr="001F37BC">
        <w:t xml:space="preserve"> March 2024) </w:t>
      </w:r>
    </w:p>
    <w:p w14:paraId="6F706A92" w14:textId="77777777" w:rsidR="00AD742C" w:rsidRPr="001F37BC" w:rsidRDefault="00AD742C" w:rsidP="00AD742C">
      <w:pPr>
        <w:spacing w:before="0" w:after="0" w:line="240" w:lineRule="auto"/>
        <w:jc w:val="left"/>
        <w:rPr>
          <w:rFonts w:eastAsia="Times New Roman" w:cs="Times New Roman"/>
          <w:kern w:val="0"/>
          <w:szCs w:val="24"/>
          <w:lang w:eastAsia="en-GB"/>
          <w14:ligatures w14:val="none"/>
        </w:rPr>
      </w:pPr>
    </w:p>
    <w:p w14:paraId="4377084C" w14:textId="23C01D02" w:rsidR="00395857" w:rsidRPr="001F37BC" w:rsidRDefault="00777A20" w:rsidP="00395857">
      <w:pPr>
        <w:spacing w:before="0" w:after="0" w:line="240" w:lineRule="auto"/>
        <w:jc w:val="left"/>
        <w:rPr>
          <w:rFonts w:eastAsia="Times New Roman" w:cs="Times New Roman"/>
          <w:kern w:val="0"/>
          <w:szCs w:val="24"/>
          <w:lang w:eastAsia="en-GB"/>
          <w14:ligatures w14:val="none"/>
        </w:rPr>
      </w:pPr>
      <w:proofErr w:type="spellStart"/>
      <w:r w:rsidRPr="001F37BC">
        <w:rPr>
          <w:rFonts w:eastAsia="Times New Roman" w:cs="Times New Roman"/>
          <w:kern w:val="0"/>
          <w:szCs w:val="24"/>
          <w:lang w:eastAsia="en-GB"/>
          <w14:ligatures w14:val="none"/>
        </w:rPr>
        <w:t>Macnair</w:t>
      </w:r>
      <w:proofErr w:type="spellEnd"/>
      <w:r w:rsidRPr="001F37BC">
        <w:rPr>
          <w:rFonts w:eastAsia="Times New Roman" w:cs="Times New Roman"/>
          <w:kern w:val="0"/>
          <w:szCs w:val="24"/>
          <w:lang w:eastAsia="en-GB"/>
          <w14:ligatures w14:val="none"/>
        </w:rPr>
        <w:t xml:space="preserve">, M </w:t>
      </w:r>
      <w:r w:rsidR="00395857"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2001</w:t>
      </w:r>
      <w:r w:rsidR="00395857"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00395857"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The Court of Exchequer and Equity</w:t>
      </w:r>
      <w:r w:rsidR="00395857"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Journal of Legal History</w:t>
      </w:r>
      <w:r w:rsidR="00395857"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 xml:space="preserve"> 22(3)</w:t>
      </w:r>
      <w:r w:rsidR="00957BD3" w:rsidRPr="001F37BC">
        <w:rPr>
          <w:rFonts w:eastAsia="Times New Roman" w:cs="Times New Roman"/>
          <w:kern w:val="0"/>
          <w:szCs w:val="24"/>
          <w:lang w:eastAsia="en-GB"/>
          <w14:ligatures w14:val="none"/>
        </w:rPr>
        <w:t xml:space="preserve"> - </w:t>
      </w:r>
      <w:r w:rsidRPr="001F37BC">
        <w:rPr>
          <w:rFonts w:eastAsia="Times New Roman" w:cs="Times New Roman"/>
          <w:kern w:val="0"/>
          <w:szCs w:val="24"/>
          <w:lang w:eastAsia="en-GB"/>
          <w14:ligatures w14:val="none"/>
        </w:rPr>
        <w:t xml:space="preserve">p.75-82. </w:t>
      </w:r>
    </w:p>
    <w:p w14:paraId="4AA1FDAF" w14:textId="04D4FD31" w:rsidR="00777A20" w:rsidRPr="001F37BC" w:rsidRDefault="00395857" w:rsidP="00395857">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r w:rsidR="00777A20" w:rsidRPr="001F37BC">
        <w:rPr>
          <w:rFonts w:eastAsia="Times New Roman" w:cs="Times New Roman"/>
          <w:kern w:val="0"/>
          <w:szCs w:val="24"/>
          <w:lang w:eastAsia="en-GB"/>
          <w14:ligatures w14:val="none"/>
        </w:rPr>
        <w:t>DOI: [10.1080/01440362208539636]</w:t>
      </w:r>
    </w:p>
    <w:p w14:paraId="4E6866AA" w14:textId="77777777" w:rsidR="00395857" w:rsidRPr="001F37BC" w:rsidRDefault="00395857" w:rsidP="00395857">
      <w:pPr>
        <w:spacing w:before="0" w:after="0" w:line="240" w:lineRule="auto"/>
        <w:jc w:val="left"/>
      </w:pPr>
      <w:r w:rsidRPr="001F37BC">
        <w:t>(Accessed 10</w:t>
      </w:r>
      <w:r w:rsidRPr="001F37BC">
        <w:rPr>
          <w:vertAlign w:val="superscript"/>
        </w:rPr>
        <w:t>th</w:t>
      </w:r>
      <w:r w:rsidRPr="001F37BC">
        <w:t xml:space="preserve"> March 2024) </w:t>
      </w:r>
    </w:p>
    <w:p w14:paraId="57A15765" w14:textId="77777777" w:rsidR="00B126FA" w:rsidRPr="001F37BC" w:rsidRDefault="00B126FA" w:rsidP="00395857">
      <w:pPr>
        <w:spacing w:before="0" w:after="0" w:line="240" w:lineRule="auto"/>
        <w:jc w:val="left"/>
      </w:pPr>
    </w:p>
    <w:p w14:paraId="3BF5B45A" w14:textId="4B7DD34A" w:rsidR="00B126FA" w:rsidRPr="001F37BC" w:rsidRDefault="00777A20" w:rsidP="00B126FA">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Main, T.O.</w:t>
      </w:r>
      <w:r w:rsidR="00B126FA"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2003</w:t>
      </w:r>
      <w:r w:rsidR="00714500"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Traditional Equity and Contemporary Procedure</w:t>
      </w:r>
      <w:r w:rsidR="00E66339" w:rsidRPr="001F37BC">
        <w:rPr>
          <w:rFonts w:eastAsia="Times New Roman" w:cs="Times New Roman"/>
          <w:kern w:val="0"/>
          <w:szCs w:val="24"/>
          <w:lang w:eastAsia="en-GB"/>
          <w14:ligatures w14:val="none"/>
        </w:rPr>
        <w:t xml:space="preserve">’ </w:t>
      </w:r>
      <w:r w:rsidR="00E66339" w:rsidRPr="001F37BC">
        <w:rPr>
          <w:rFonts w:eastAsia="Times New Roman" w:cs="Times New Roman"/>
          <w:i/>
          <w:iCs/>
          <w:kern w:val="0"/>
          <w:szCs w:val="24"/>
          <w:lang w:eastAsia="en-GB"/>
          <w14:ligatures w14:val="none"/>
        </w:rPr>
        <w:t>Wash.</w:t>
      </w:r>
      <w:r w:rsidRPr="001F37BC">
        <w:rPr>
          <w:rFonts w:eastAsia="Times New Roman" w:cs="Times New Roman"/>
          <w:i/>
          <w:iCs/>
          <w:kern w:val="0"/>
          <w:szCs w:val="24"/>
          <w:lang w:eastAsia="en-GB"/>
          <w14:ligatures w14:val="none"/>
        </w:rPr>
        <w:t xml:space="preserve"> L. Rev</w:t>
      </w:r>
      <w:r w:rsidR="00B126FA"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 xml:space="preserve">78, p.429. </w:t>
      </w:r>
    </w:p>
    <w:p w14:paraId="438DF179" w14:textId="1C33FE8E" w:rsidR="00777A20" w:rsidRPr="001F37BC" w:rsidRDefault="00B126FA" w:rsidP="00B126FA">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hyperlink r:id="rId7" w:history="1">
        <w:r w:rsidRPr="001F37BC">
          <w:rPr>
            <w:rStyle w:val="Hyperlink"/>
            <w:rFonts w:eastAsia="Times New Roman" w:cs="Times New Roman"/>
            <w:kern w:val="0"/>
            <w:szCs w:val="24"/>
            <w:lang w:eastAsia="en-GB"/>
            <w14:ligatures w14:val="none"/>
          </w:rPr>
          <w:t>https://dx.doi.org/10.2139/ssrn.421320</w:t>
        </w:r>
      </w:hyperlink>
    </w:p>
    <w:p w14:paraId="2E987BAC" w14:textId="0F8F4A99" w:rsidR="00B126FA" w:rsidRPr="001F37BC" w:rsidRDefault="00B126FA" w:rsidP="00B126FA">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9</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 2024) </w:t>
      </w:r>
    </w:p>
    <w:p w14:paraId="72D22917" w14:textId="77777777" w:rsidR="00B126FA" w:rsidRPr="001F37BC" w:rsidRDefault="00B126FA" w:rsidP="00B126FA">
      <w:pPr>
        <w:spacing w:before="0" w:after="0" w:line="240" w:lineRule="auto"/>
        <w:jc w:val="left"/>
        <w:rPr>
          <w:rFonts w:eastAsia="Times New Roman" w:cs="Times New Roman"/>
          <w:kern w:val="0"/>
          <w:szCs w:val="24"/>
          <w:lang w:eastAsia="en-GB"/>
          <w14:ligatures w14:val="none"/>
        </w:rPr>
      </w:pPr>
    </w:p>
    <w:p w14:paraId="3ADD2B56" w14:textId="5E08FDCD" w:rsidR="00C26D8C" w:rsidRPr="001F37BC" w:rsidRDefault="00777A20" w:rsidP="00C26D8C">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Merrill, T.W. and Smith, H.E.</w:t>
      </w:r>
      <w:r w:rsidR="00C26D8C"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2000</w:t>
      </w:r>
      <w:r w:rsidR="00C26D8C"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 xml:space="preserve">Optimal standardization in the law of property: the numerus </w:t>
      </w:r>
      <w:r w:rsidR="005C1958" w:rsidRPr="001F37BC">
        <w:rPr>
          <w:rFonts w:eastAsia="Times New Roman" w:cs="Times New Roman"/>
          <w:kern w:val="0"/>
          <w:szCs w:val="24"/>
          <w:lang w:eastAsia="en-GB"/>
          <w14:ligatures w14:val="none"/>
        </w:rPr>
        <w:t>clauses</w:t>
      </w:r>
      <w:r w:rsidRPr="001F37BC">
        <w:rPr>
          <w:rFonts w:eastAsia="Times New Roman" w:cs="Times New Roman"/>
          <w:kern w:val="0"/>
          <w:szCs w:val="24"/>
          <w:lang w:eastAsia="en-GB"/>
          <w14:ligatures w14:val="none"/>
        </w:rPr>
        <w:t xml:space="preserve"> principle</w:t>
      </w:r>
      <w:r w:rsidR="00C26D8C" w:rsidRPr="001F37BC">
        <w:rPr>
          <w:rFonts w:eastAsia="Times New Roman" w:cs="Times New Roman"/>
          <w:kern w:val="0"/>
          <w:szCs w:val="24"/>
          <w:lang w:eastAsia="en-GB"/>
          <w14:ligatures w14:val="none"/>
        </w:rPr>
        <w:t xml:space="preserve">’ </w:t>
      </w:r>
      <w:r w:rsidR="00C26D8C" w:rsidRPr="001F37BC">
        <w:rPr>
          <w:rFonts w:eastAsia="Times New Roman" w:cs="Times New Roman"/>
          <w:i/>
          <w:iCs/>
          <w:kern w:val="0"/>
          <w:szCs w:val="24"/>
          <w:lang w:eastAsia="en-GB"/>
          <w14:ligatures w14:val="none"/>
        </w:rPr>
        <w:t>The</w:t>
      </w:r>
      <w:r w:rsidRPr="001F37BC">
        <w:rPr>
          <w:rFonts w:eastAsia="Times New Roman" w:cs="Times New Roman"/>
          <w:i/>
          <w:iCs/>
          <w:kern w:val="0"/>
          <w:szCs w:val="24"/>
          <w:lang w:eastAsia="en-GB"/>
          <w14:ligatures w14:val="none"/>
        </w:rPr>
        <w:t xml:space="preserve"> Yale Law Journal</w:t>
      </w:r>
      <w:r w:rsidR="00C26D8C"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 xml:space="preserve">110(1), p.1-70. </w:t>
      </w:r>
    </w:p>
    <w:p w14:paraId="37759310" w14:textId="6B1E3680" w:rsidR="00777A20" w:rsidRPr="001F37BC" w:rsidRDefault="00C26D8C" w:rsidP="00C26D8C">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r w:rsidR="00777A20" w:rsidRPr="001F37BC">
        <w:rPr>
          <w:rFonts w:eastAsia="Times New Roman" w:cs="Times New Roman"/>
          <w:kern w:val="0"/>
          <w:szCs w:val="24"/>
          <w:lang w:eastAsia="en-GB"/>
          <w14:ligatures w14:val="none"/>
        </w:rPr>
        <w:t>DOI: [10.2307/797586]</w:t>
      </w:r>
    </w:p>
    <w:p w14:paraId="7B5A441A" w14:textId="77777777" w:rsidR="00C26D8C" w:rsidRPr="001F37BC" w:rsidRDefault="00C26D8C" w:rsidP="00C26D8C">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9</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 2024) </w:t>
      </w:r>
    </w:p>
    <w:p w14:paraId="1F6961F0" w14:textId="3004EFA2" w:rsidR="009C59F5" w:rsidRPr="001F37BC" w:rsidRDefault="00FA0C3E" w:rsidP="00AC187E">
      <w:pPr>
        <w:spacing w:line="360" w:lineRule="auto"/>
        <w:jc w:val="left"/>
        <w:rPr>
          <w:rFonts w:eastAsia="Times New Roman" w:cs="Times New Roman"/>
          <w:kern w:val="0"/>
          <w:szCs w:val="24"/>
          <w:lang w:eastAsia="en-GB"/>
          <w14:ligatures w14:val="none"/>
        </w:rPr>
      </w:pPr>
      <w:r w:rsidRPr="001F37BC">
        <w:lastRenderedPageBreak/>
        <w:t xml:space="preserve">Martin, J </w:t>
      </w:r>
      <w:r w:rsidR="00AC187E" w:rsidRPr="001F37BC">
        <w:t xml:space="preserve">(2012) - </w:t>
      </w:r>
      <w:r w:rsidR="009C59F5" w:rsidRPr="001F37BC">
        <w:rPr>
          <w:i/>
          <w:iCs/>
        </w:rPr>
        <w:t>Martin and Hanbury</w:t>
      </w:r>
      <w:r w:rsidR="009C59F5" w:rsidRPr="001F37BC">
        <w:t xml:space="preserve">, </w:t>
      </w:r>
      <w:r w:rsidR="009C59F5" w:rsidRPr="001F37BC">
        <w:rPr>
          <w:rStyle w:val="Emphasis"/>
        </w:rPr>
        <w:t>Modern Equity</w:t>
      </w:r>
      <w:r w:rsidR="009C59F5" w:rsidRPr="001F37BC">
        <w:t xml:space="preserve"> </w:t>
      </w:r>
      <w:r w:rsidR="009B7416" w:rsidRPr="001F37BC">
        <w:t xml:space="preserve">- </w:t>
      </w:r>
      <w:r w:rsidR="009C59F5" w:rsidRPr="001F37BC">
        <w:t>19</w:t>
      </w:r>
      <w:r w:rsidR="009C59F5" w:rsidRPr="001F37BC">
        <w:rPr>
          <w:vertAlign w:val="superscript"/>
        </w:rPr>
        <w:t>th</w:t>
      </w:r>
      <w:r w:rsidR="009C59F5" w:rsidRPr="001F37BC">
        <w:t xml:space="preserve"> </w:t>
      </w:r>
      <w:r w:rsidR="00AC187E" w:rsidRPr="001F37BC">
        <w:t xml:space="preserve">Ed - </w:t>
      </w:r>
      <w:r w:rsidR="009C59F5" w:rsidRPr="001F37BC">
        <w:t>Sweet &amp; Maxwell</w:t>
      </w:r>
    </w:p>
    <w:p w14:paraId="242F9E22" w14:textId="0B8E92BC" w:rsidR="00C83ECE" w:rsidRPr="001F37BC" w:rsidRDefault="00777A20" w:rsidP="00F1585C">
      <w:pPr>
        <w:spacing w:before="0" w:after="0" w:line="240" w:lineRule="auto"/>
        <w:jc w:val="left"/>
        <w:rPr>
          <w:rFonts w:eastAsia="Times New Roman" w:cs="Times New Roman"/>
          <w:kern w:val="0"/>
          <w:szCs w:val="24"/>
          <w:lang w:eastAsia="en-GB"/>
          <w14:ligatures w14:val="none"/>
        </w:rPr>
      </w:pPr>
      <w:proofErr w:type="spellStart"/>
      <w:r w:rsidRPr="001F37BC">
        <w:rPr>
          <w:rFonts w:eastAsia="Times New Roman" w:cs="Times New Roman"/>
          <w:kern w:val="0"/>
          <w:szCs w:val="24"/>
          <w:lang w:eastAsia="en-GB"/>
          <w14:ligatures w14:val="none"/>
        </w:rPr>
        <w:t>Mousourakis</w:t>
      </w:r>
      <w:proofErr w:type="spellEnd"/>
      <w:r w:rsidRPr="001F37BC">
        <w:rPr>
          <w:rFonts w:eastAsia="Times New Roman" w:cs="Times New Roman"/>
          <w:kern w:val="0"/>
          <w:szCs w:val="24"/>
          <w:lang w:eastAsia="en-GB"/>
          <w14:ligatures w14:val="none"/>
        </w:rPr>
        <w:t>, G.</w:t>
      </w:r>
      <w:r w:rsidR="00707314"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2019</w:t>
      </w:r>
      <w:r w:rsidR="00707314"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The Development and Function of Equity in the English Common Law Tradition</w:t>
      </w:r>
      <w:r w:rsidR="00707314"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Comparative Law and Legal Traditions: Historical and Contemporary Perspectives</w:t>
      </w:r>
      <w:r w:rsidR="00707314" w:rsidRPr="001F37BC">
        <w:rPr>
          <w:rFonts w:eastAsia="Times New Roman" w:cs="Times New Roman"/>
          <w:kern w:val="0"/>
          <w:szCs w:val="24"/>
          <w:lang w:eastAsia="en-GB"/>
          <w14:ligatures w14:val="none"/>
        </w:rPr>
        <w:t xml:space="preserve"> - </w:t>
      </w:r>
      <w:r w:rsidRPr="001F37BC">
        <w:rPr>
          <w:rFonts w:eastAsia="Times New Roman" w:cs="Times New Roman"/>
          <w:kern w:val="0"/>
          <w:szCs w:val="24"/>
          <w:lang w:eastAsia="en-GB"/>
          <w14:ligatures w14:val="none"/>
        </w:rPr>
        <w:t>p.251-280</w:t>
      </w:r>
    </w:p>
    <w:p w14:paraId="34979A11" w14:textId="505C39B3" w:rsidR="00777A20" w:rsidRPr="001F37BC" w:rsidRDefault="00C83ECE" w:rsidP="00F1585C">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r w:rsidR="00777A20" w:rsidRPr="001F37BC">
        <w:rPr>
          <w:rFonts w:eastAsia="Times New Roman" w:cs="Times New Roman"/>
          <w:kern w:val="0"/>
          <w:szCs w:val="24"/>
          <w:lang w:eastAsia="en-GB"/>
          <w14:ligatures w14:val="none"/>
        </w:rPr>
        <w:t>DOI: [10.1007/978-3-030-28281-3_9]</w:t>
      </w:r>
    </w:p>
    <w:p w14:paraId="103BC33B" w14:textId="5A2B3C22" w:rsidR="00C83ECE" w:rsidRPr="001F37BC" w:rsidRDefault="00C83ECE" w:rsidP="00F1585C">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10</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 2024) </w:t>
      </w:r>
    </w:p>
    <w:p w14:paraId="78BBA187" w14:textId="77777777" w:rsidR="00A35F03" w:rsidRPr="001F37BC" w:rsidRDefault="00777A20" w:rsidP="00A35F03">
      <w:pPr>
        <w:spacing w:line="360" w:lineRule="auto"/>
        <w:jc w:val="left"/>
        <w:rPr>
          <w:rFonts w:eastAsia="Times New Roman" w:cs="Times New Roman"/>
          <w:kern w:val="0"/>
          <w:szCs w:val="24"/>
          <w:lang w:eastAsia="en-GB"/>
          <w14:ligatures w14:val="none"/>
        </w:rPr>
      </w:pPr>
      <w:proofErr w:type="spellStart"/>
      <w:r w:rsidRPr="001F37BC">
        <w:rPr>
          <w:rFonts w:eastAsia="Times New Roman" w:cs="Times New Roman"/>
          <w:kern w:val="0"/>
          <w:szCs w:val="24"/>
          <w:lang w:eastAsia="en-GB"/>
          <w14:ligatures w14:val="none"/>
        </w:rPr>
        <w:t>Plucknett</w:t>
      </w:r>
      <w:proofErr w:type="spellEnd"/>
      <w:r w:rsidRPr="001F37BC">
        <w:rPr>
          <w:rFonts w:eastAsia="Times New Roman" w:cs="Times New Roman"/>
          <w:kern w:val="0"/>
          <w:szCs w:val="24"/>
          <w:lang w:eastAsia="en-GB"/>
          <w14:ligatures w14:val="none"/>
        </w:rPr>
        <w:t>, T.F.T.</w:t>
      </w:r>
      <w:r w:rsidR="007F0536"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2001</w:t>
      </w:r>
      <w:r w:rsidR="007F0536"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A concise history of the common law</w:t>
      </w:r>
      <w:r w:rsidR="007F0536" w:rsidRPr="001F37BC">
        <w:rPr>
          <w:rFonts w:eastAsia="Times New Roman" w:cs="Times New Roman"/>
          <w:kern w:val="0"/>
          <w:szCs w:val="24"/>
          <w:lang w:eastAsia="en-GB"/>
          <w14:ligatures w14:val="none"/>
        </w:rPr>
        <w:t xml:space="preserve"> - </w:t>
      </w:r>
      <w:r w:rsidRPr="001F37BC">
        <w:rPr>
          <w:rFonts w:eastAsia="Times New Roman" w:cs="Times New Roman"/>
          <w:kern w:val="0"/>
          <w:szCs w:val="24"/>
          <w:lang w:eastAsia="en-GB"/>
          <w14:ligatures w14:val="none"/>
        </w:rPr>
        <w:t>The Lawbook Exchange</w:t>
      </w:r>
      <w:r w:rsidR="007F0536"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Ltd</w:t>
      </w:r>
    </w:p>
    <w:p w14:paraId="52A84CD9" w14:textId="77777777" w:rsidR="00A35F03" w:rsidRPr="001F37BC" w:rsidRDefault="00777A20" w:rsidP="00A35F03">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Rubin, P.H.</w:t>
      </w:r>
      <w:r w:rsidR="00030409"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1977</w:t>
      </w:r>
      <w:r w:rsidR="00030409"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Why is the common law efficient?</w:t>
      </w:r>
      <w:r w:rsidR="00030409"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The Journal of Legal Studies</w:t>
      </w:r>
      <w:r w:rsidR="00030409" w:rsidRPr="001F37BC">
        <w:rPr>
          <w:rFonts w:eastAsia="Times New Roman" w:cs="Times New Roman"/>
          <w:kern w:val="0"/>
          <w:szCs w:val="24"/>
          <w:lang w:eastAsia="en-GB"/>
          <w14:ligatures w14:val="none"/>
        </w:rPr>
        <w:t xml:space="preserve"> - </w:t>
      </w:r>
      <w:r w:rsidRPr="001F37BC">
        <w:rPr>
          <w:rFonts w:eastAsia="Times New Roman" w:cs="Times New Roman"/>
          <w:kern w:val="0"/>
          <w:szCs w:val="24"/>
          <w:lang w:eastAsia="en-GB"/>
          <w14:ligatures w14:val="none"/>
        </w:rPr>
        <w:t xml:space="preserve">6(1), p.51-63. </w:t>
      </w:r>
    </w:p>
    <w:p w14:paraId="5253335D" w14:textId="09C7D7A3" w:rsidR="00777A20" w:rsidRPr="001F37BC" w:rsidRDefault="00030409" w:rsidP="00A35F03">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r w:rsidR="00777A20" w:rsidRPr="001F37BC">
        <w:rPr>
          <w:rFonts w:eastAsia="Times New Roman" w:cs="Times New Roman"/>
          <w:kern w:val="0"/>
          <w:szCs w:val="24"/>
          <w:lang w:eastAsia="en-GB"/>
          <w14:ligatures w14:val="none"/>
        </w:rPr>
        <w:t>DOI: [10.2139/ssrn.498645]</w:t>
      </w:r>
    </w:p>
    <w:p w14:paraId="4A574A6D" w14:textId="77777777" w:rsidR="00030409" w:rsidRPr="001F37BC" w:rsidRDefault="00030409" w:rsidP="00A35F03">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10</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 2024) </w:t>
      </w:r>
    </w:p>
    <w:p w14:paraId="78038F59" w14:textId="77777777" w:rsidR="00383373" w:rsidRPr="001F37BC" w:rsidRDefault="00383373" w:rsidP="00F1585C">
      <w:pPr>
        <w:spacing w:before="0" w:after="0" w:line="240" w:lineRule="auto"/>
        <w:jc w:val="left"/>
        <w:rPr>
          <w:rFonts w:eastAsia="Times New Roman" w:cs="Times New Roman"/>
          <w:kern w:val="0"/>
          <w:szCs w:val="24"/>
          <w:lang w:eastAsia="en-GB"/>
          <w14:ligatures w14:val="none"/>
        </w:rPr>
      </w:pPr>
    </w:p>
    <w:p w14:paraId="1983D557" w14:textId="77777777" w:rsidR="00383373" w:rsidRPr="001F37BC" w:rsidRDefault="00777A20" w:rsidP="00383373">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Sokol, D.D.</w:t>
      </w:r>
      <w:r w:rsidR="00383373"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2019</w:t>
      </w:r>
      <w:r w:rsidR="00383373"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Rethinking the efficiency of the common law</w:t>
      </w:r>
      <w:r w:rsidR="00383373"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Notre Dame L. Rev</w:t>
      </w:r>
      <w:r w:rsidR="00383373"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 xml:space="preserve"> 95</w:t>
      </w:r>
      <w:r w:rsidR="00383373"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 xml:space="preserve">p.795. </w:t>
      </w:r>
    </w:p>
    <w:p w14:paraId="5CE652CC" w14:textId="11B48178" w:rsidR="00777A20" w:rsidRPr="001F37BC" w:rsidRDefault="00383373" w:rsidP="00383373">
      <w:pPr>
        <w:spacing w:before="0" w:after="0" w:line="240" w:lineRule="auto"/>
        <w:jc w:val="left"/>
        <w:rPr>
          <w:rFonts w:cs="Times New Roman"/>
          <w:szCs w:val="24"/>
          <w:lang w:eastAsia="en-GB"/>
        </w:rPr>
      </w:pPr>
      <w:r w:rsidRPr="001F37BC">
        <w:rPr>
          <w:rFonts w:eastAsia="Times New Roman" w:cs="Times New Roman"/>
          <w:kern w:val="0"/>
          <w:szCs w:val="24"/>
          <w:lang w:eastAsia="en-GB"/>
          <w14:ligatures w14:val="none"/>
        </w:rPr>
        <w:t xml:space="preserve">Available at: </w:t>
      </w:r>
      <w:r w:rsidR="00777A20" w:rsidRPr="001F37BC">
        <w:rPr>
          <w:rFonts w:eastAsia="Times New Roman" w:cs="Times New Roman"/>
          <w:kern w:val="0"/>
          <w:szCs w:val="24"/>
          <w:lang w:eastAsia="en-GB"/>
          <w14:ligatures w14:val="none"/>
        </w:rPr>
        <w:t>DOI: [</w:t>
      </w:r>
      <w:hyperlink r:id="rId8" w:history="1">
        <w:r w:rsidR="009F4CA0" w:rsidRPr="001F37BC">
          <w:rPr>
            <w:rFonts w:cs="Times New Roman"/>
            <w:szCs w:val="24"/>
            <w:lang w:eastAsia="en-GB"/>
          </w:rPr>
          <w:t>10.2139/ssrn.3328025</w:t>
        </w:r>
      </w:hyperlink>
      <w:r w:rsidR="00777A20" w:rsidRPr="001F37BC">
        <w:rPr>
          <w:rFonts w:cs="Times New Roman"/>
          <w:szCs w:val="24"/>
          <w:lang w:eastAsia="en-GB"/>
        </w:rPr>
        <w:t>]</w:t>
      </w:r>
    </w:p>
    <w:p w14:paraId="64D7B3C0" w14:textId="72C9B702" w:rsidR="00383373" w:rsidRPr="001F37BC" w:rsidRDefault="00383373" w:rsidP="00383373">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1</w:t>
      </w:r>
      <w:r w:rsidRPr="001F37BC">
        <w:rPr>
          <w:rFonts w:eastAsia="Times New Roman" w:cs="Times New Roman"/>
          <w:kern w:val="0"/>
          <w:szCs w:val="24"/>
          <w:lang w:eastAsia="en-GB"/>
          <w14:ligatures w14:val="none"/>
        </w:rPr>
        <w:t>3</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w:t>
      </w:r>
      <w:r w:rsidRPr="001F37BC">
        <w:rPr>
          <w:rFonts w:eastAsia="Times New Roman" w:cs="Times New Roman"/>
          <w:kern w:val="0"/>
          <w:szCs w:val="24"/>
          <w:lang w:eastAsia="en-GB"/>
          <w14:ligatures w14:val="none"/>
        </w:rPr>
        <w:t xml:space="preserve"> 2024) </w:t>
      </w:r>
    </w:p>
    <w:p w14:paraId="24B2E362" w14:textId="77777777" w:rsidR="00C4142D" w:rsidRPr="001F37BC" w:rsidRDefault="00C4142D" w:rsidP="00383373">
      <w:pPr>
        <w:spacing w:before="0" w:after="0" w:line="240" w:lineRule="auto"/>
        <w:jc w:val="left"/>
        <w:rPr>
          <w:rFonts w:eastAsia="Times New Roman" w:cs="Times New Roman"/>
          <w:kern w:val="0"/>
          <w:szCs w:val="24"/>
          <w:lang w:eastAsia="en-GB"/>
          <w14:ligatures w14:val="none"/>
        </w:rPr>
      </w:pPr>
    </w:p>
    <w:p w14:paraId="1589F955" w14:textId="244B2BCE" w:rsidR="00777A20" w:rsidRPr="001F37BC" w:rsidRDefault="00777A20" w:rsidP="00C4142D">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Story, J. </w:t>
      </w:r>
      <w:r w:rsidR="00C70B47"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2006</w:t>
      </w:r>
      <w:r w:rsidR="00C70B47"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Commentaries on equity jurisprudence</w:t>
      </w:r>
      <w:r w:rsidR="00C70B47" w:rsidRPr="001F37BC">
        <w:rPr>
          <w:rFonts w:eastAsia="Times New Roman" w:cs="Times New Roman"/>
          <w:kern w:val="0"/>
          <w:szCs w:val="24"/>
          <w:lang w:eastAsia="en-GB"/>
          <w14:ligatures w14:val="none"/>
        </w:rPr>
        <w:t xml:space="preserve"> - </w:t>
      </w:r>
      <w:r w:rsidRPr="001F37BC">
        <w:rPr>
          <w:rFonts w:eastAsia="Times New Roman" w:cs="Times New Roman"/>
          <w:kern w:val="0"/>
          <w:szCs w:val="24"/>
          <w:lang w:eastAsia="en-GB"/>
          <w14:ligatures w14:val="none"/>
        </w:rPr>
        <w:t>The Lawbook Exchange Ltd.</w:t>
      </w:r>
    </w:p>
    <w:p w14:paraId="0719FC2F" w14:textId="77777777" w:rsidR="00C4142D" w:rsidRPr="001F37BC" w:rsidRDefault="00C4142D" w:rsidP="00C4142D">
      <w:pPr>
        <w:spacing w:before="0" w:after="0" w:line="240" w:lineRule="auto"/>
        <w:jc w:val="left"/>
        <w:rPr>
          <w:rFonts w:eastAsia="Times New Roman" w:cs="Times New Roman"/>
          <w:kern w:val="0"/>
          <w:szCs w:val="24"/>
          <w:lang w:eastAsia="en-GB"/>
          <w14:ligatures w14:val="none"/>
        </w:rPr>
      </w:pPr>
    </w:p>
    <w:p w14:paraId="692EE49A" w14:textId="17A75DF8" w:rsidR="00777A20" w:rsidRPr="001F37BC" w:rsidRDefault="00777A20" w:rsidP="00C4142D">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Strauss, D.A.</w:t>
      </w:r>
      <w:r w:rsidR="004077BF"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1996</w:t>
      </w:r>
      <w:r w:rsidR="004077BF" w:rsidRPr="001F37BC">
        <w:rPr>
          <w:rFonts w:eastAsia="Times New Roman" w:cs="Times New Roman"/>
          <w:kern w:val="0"/>
          <w:szCs w:val="24"/>
          <w:lang w:eastAsia="en-GB"/>
          <w14:ligatures w14:val="none"/>
        </w:rPr>
        <w:t xml:space="preserve">) </w:t>
      </w:r>
      <w:r w:rsidR="00CC7A3C"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Common law constitutional interpretation</w:t>
      </w:r>
      <w:r w:rsidR="00CC7A3C"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The University of Chicago Law Review</w:t>
      </w:r>
      <w:r w:rsidR="00CC7A3C"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 xml:space="preserve"> 63(3), pp.877-935.</w:t>
      </w:r>
    </w:p>
    <w:p w14:paraId="23974298" w14:textId="0D59565B" w:rsidR="00444784" w:rsidRPr="001F37BC" w:rsidRDefault="00444784" w:rsidP="00C4142D">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hyperlink r:id="rId9" w:history="1">
        <w:r w:rsidRPr="001F37BC">
          <w:rPr>
            <w:rStyle w:val="Hyperlink"/>
            <w:rFonts w:eastAsia="Times New Roman" w:cs="Times New Roman"/>
            <w:kern w:val="0"/>
            <w:szCs w:val="24"/>
            <w:lang w:eastAsia="en-GB"/>
            <w14:ligatures w14:val="none"/>
          </w:rPr>
          <w:t>https://chicagounbound.uchicago.edu/journal_articl</w:t>
        </w:r>
        <w:r w:rsidRPr="001F37BC">
          <w:rPr>
            <w:rStyle w:val="Hyperlink"/>
            <w:rFonts w:eastAsia="Times New Roman" w:cs="Times New Roman"/>
            <w:kern w:val="0"/>
            <w:szCs w:val="24"/>
            <w:lang w:eastAsia="en-GB"/>
            <w14:ligatures w14:val="none"/>
          </w:rPr>
          <w:t>es</w:t>
        </w:r>
      </w:hyperlink>
    </w:p>
    <w:p w14:paraId="5523649F" w14:textId="77777777" w:rsidR="00444784" w:rsidRPr="001F37BC" w:rsidRDefault="00444784" w:rsidP="00C4142D">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13</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 2024) </w:t>
      </w:r>
    </w:p>
    <w:p w14:paraId="0E7B7936" w14:textId="77777777" w:rsidR="00444784" w:rsidRPr="001F37BC" w:rsidRDefault="00444784" w:rsidP="00C4142D">
      <w:pPr>
        <w:spacing w:before="0" w:after="0" w:line="240" w:lineRule="auto"/>
        <w:jc w:val="left"/>
        <w:rPr>
          <w:rFonts w:eastAsia="Times New Roman" w:cs="Times New Roman"/>
          <w:kern w:val="0"/>
          <w:szCs w:val="24"/>
          <w:lang w:eastAsia="en-GB"/>
          <w14:ligatures w14:val="none"/>
        </w:rPr>
      </w:pPr>
    </w:p>
    <w:p w14:paraId="4704E706" w14:textId="1DA58E88" w:rsidR="00777A20" w:rsidRPr="001F37BC" w:rsidRDefault="00777A20" w:rsidP="00B95195">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Strauss, P.L. </w:t>
      </w:r>
      <w:r w:rsidR="00F477A4"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1994</w:t>
      </w:r>
      <w:r w:rsidR="00F477A4"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On Resegregating the Worlds of Statute and Common Law</w:t>
      </w:r>
      <w:r w:rsidR="00F477A4"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The Supreme Court Review</w:t>
      </w:r>
      <w:r w:rsidR="00C11DB0" w:rsidRPr="001F37BC">
        <w:rPr>
          <w:rFonts w:eastAsia="Times New Roman" w:cs="Times New Roman"/>
          <w:kern w:val="0"/>
          <w:szCs w:val="24"/>
          <w:lang w:eastAsia="en-GB"/>
          <w14:ligatures w14:val="none"/>
        </w:rPr>
        <w:t xml:space="preserve"> </w:t>
      </w:r>
      <w:r w:rsidR="00B95195" w:rsidRPr="001F37BC">
        <w:rPr>
          <w:rFonts w:eastAsia="Times New Roman" w:cs="Times New Roman"/>
          <w:i/>
          <w:iCs/>
          <w:kern w:val="0"/>
          <w:szCs w:val="24"/>
          <w:lang w:eastAsia="en-GB"/>
          <w14:ligatures w14:val="none"/>
        </w:rPr>
        <w:t>1994</w:t>
      </w:r>
      <w:r w:rsidR="00B95195" w:rsidRPr="001F37BC">
        <w:rPr>
          <w:rFonts w:eastAsia="Times New Roman" w:cs="Times New Roman"/>
          <w:kern w:val="0"/>
          <w:szCs w:val="24"/>
          <w:lang w:eastAsia="en-GB"/>
          <w14:ligatures w14:val="none"/>
        </w:rPr>
        <w:t xml:space="preserve"> </w:t>
      </w:r>
      <w:r w:rsidR="00C11DB0"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00484929" w:rsidRPr="001F37BC">
        <w:rPr>
          <w:rFonts w:eastAsia="Times New Roman" w:cs="Times New Roman"/>
          <w:kern w:val="0"/>
          <w:szCs w:val="24"/>
          <w:lang w:eastAsia="en-GB"/>
          <w14:ligatures w14:val="none"/>
        </w:rPr>
        <w:t xml:space="preserve">1994 (1994) </w:t>
      </w:r>
      <w:r w:rsidRPr="001F37BC">
        <w:rPr>
          <w:rFonts w:eastAsia="Times New Roman" w:cs="Times New Roman"/>
          <w:kern w:val="0"/>
          <w:szCs w:val="24"/>
          <w:lang w:eastAsia="en-GB"/>
          <w14:ligatures w14:val="none"/>
        </w:rPr>
        <w:t>p</w:t>
      </w:r>
      <w:r w:rsidR="00C11DB0"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429-540.</w:t>
      </w:r>
    </w:p>
    <w:p w14:paraId="5DB3965A" w14:textId="0025E018" w:rsidR="00B95195" w:rsidRPr="001F37BC" w:rsidRDefault="00B95195" w:rsidP="00B95195">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hyperlink r:id="rId10" w:history="1">
        <w:r w:rsidRPr="001F37BC">
          <w:rPr>
            <w:rStyle w:val="Hyperlink"/>
            <w:rFonts w:eastAsia="Times New Roman" w:cs="Times New Roman"/>
            <w:kern w:val="0"/>
            <w:szCs w:val="24"/>
            <w:lang w:eastAsia="en-GB"/>
            <w14:ligatures w14:val="none"/>
          </w:rPr>
          <w:t>https://www.jstor.org/stable/3109652</w:t>
        </w:r>
      </w:hyperlink>
    </w:p>
    <w:p w14:paraId="0916DC75" w14:textId="77777777" w:rsidR="00B95195" w:rsidRPr="001F37BC" w:rsidRDefault="00B95195" w:rsidP="00B95195">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10</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 2024) </w:t>
      </w:r>
    </w:p>
    <w:p w14:paraId="67F38348" w14:textId="77777777" w:rsidR="005208D8" w:rsidRPr="001F37BC" w:rsidRDefault="005208D8" w:rsidP="00B95195">
      <w:pPr>
        <w:spacing w:before="0" w:after="0" w:line="240" w:lineRule="auto"/>
        <w:jc w:val="left"/>
        <w:rPr>
          <w:rFonts w:eastAsia="Times New Roman" w:cs="Times New Roman"/>
          <w:kern w:val="0"/>
          <w:szCs w:val="24"/>
          <w:lang w:eastAsia="en-GB"/>
          <w14:ligatures w14:val="none"/>
        </w:rPr>
      </w:pPr>
    </w:p>
    <w:p w14:paraId="221FAD6B" w14:textId="67834E36" w:rsidR="00777A20" w:rsidRPr="001F37BC" w:rsidRDefault="00777A20" w:rsidP="005208D8">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Tella, M.J.F.Y. </w:t>
      </w:r>
      <w:r w:rsidR="005208D8"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2008</w:t>
      </w:r>
      <w:r w:rsidR="005208D8"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Functions of Equity</w:t>
      </w:r>
      <w:r w:rsidR="005208D8"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In Equity and Law</w:t>
      </w:r>
      <w:r w:rsidRPr="001F37BC">
        <w:rPr>
          <w:rFonts w:eastAsia="Times New Roman" w:cs="Times New Roman"/>
          <w:kern w:val="0"/>
          <w:szCs w:val="24"/>
          <w:lang w:eastAsia="en-GB"/>
          <w14:ligatures w14:val="none"/>
        </w:rPr>
        <w:t xml:space="preserve"> (pp. 93-130).</w:t>
      </w:r>
    </w:p>
    <w:p w14:paraId="6583D2B9" w14:textId="730A96BB" w:rsidR="005208D8" w:rsidRPr="001F37BC" w:rsidRDefault="005208D8" w:rsidP="005208D8">
      <w:pPr>
        <w:spacing w:before="0" w:after="0" w:line="240" w:lineRule="auto"/>
        <w:jc w:val="left"/>
        <w:rPr>
          <w:rStyle w:val="typography-body"/>
        </w:rPr>
      </w:pPr>
      <w:r w:rsidRPr="001F37BC">
        <w:rPr>
          <w:rStyle w:val="typography-body"/>
        </w:rPr>
        <w:t xml:space="preserve">Available at: </w:t>
      </w:r>
      <w:hyperlink r:id="rId11" w:history="1">
        <w:r w:rsidRPr="001F37BC">
          <w:rPr>
            <w:rStyle w:val="Hyperlink"/>
          </w:rPr>
          <w:t>https://doi.org/10.1163/ej.9789004164635.i-336.21</w:t>
        </w:r>
      </w:hyperlink>
    </w:p>
    <w:p w14:paraId="26CD0A32" w14:textId="77777777" w:rsidR="005208D8" w:rsidRPr="001F37BC" w:rsidRDefault="005208D8" w:rsidP="005208D8">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10</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 2024) </w:t>
      </w:r>
    </w:p>
    <w:p w14:paraId="3532E8A4" w14:textId="77777777" w:rsidR="002533B8" w:rsidRPr="001F37BC" w:rsidRDefault="002533B8" w:rsidP="002533B8">
      <w:pPr>
        <w:spacing w:before="0" w:after="0" w:line="240" w:lineRule="auto"/>
        <w:jc w:val="left"/>
        <w:rPr>
          <w:rFonts w:eastAsia="Times New Roman" w:cs="Times New Roman"/>
          <w:kern w:val="0"/>
          <w:szCs w:val="24"/>
          <w:lang w:eastAsia="en-GB"/>
          <w14:ligatures w14:val="none"/>
        </w:rPr>
      </w:pPr>
    </w:p>
    <w:p w14:paraId="3872D421" w14:textId="626160D5" w:rsidR="00F35D17" w:rsidRPr="001F37BC" w:rsidRDefault="00777A20" w:rsidP="00FB103F">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Zywicki, T.J.</w:t>
      </w:r>
      <w:r w:rsidR="00D05E50"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1995</w:t>
      </w:r>
      <w:r w:rsidR="00D05E50" w:rsidRPr="001F37BC">
        <w:rPr>
          <w:rFonts w:eastAsia="Times New Roman" w:cs="Times New Roman"/>
          <w:kern w:val="0"/>
          <w:szCs w:val="24"/>
          <w:lang w:eastAsia="en-GB"/>
          <w14:ligatures w14:val="none"/>
        </w:rPr>
        <w:t>) ‘</w:t>
      </w:r>
      <w:r w:rsidRPr="001F37BC">
        <w:rPr>
          <w:rFonts w:eastAsia="Times New Roman" w:cs="Times New Roman"/>
          <w:kern w:val="0"/>
          <w:szCs w:val="24"/>
          <w:lang w:eastAsia="en-GB"/>
          <w14:ligatures w14:val="none"/>
        </w:rPr>
        <w:t>A unanimity-reinforcing model of efficiency in the common law: an institutional comparison of common law and legislative solutions to large-number externality problems</w:t>
      </w:r>
      <w:r w:rsidR="00D05E50" w:rsidRPr="001F37BC">
        <w:rPr>
          <w:rFonts w:eastAsia="Times New Roman" w:cs="Times New Roman"/>
          <w:kern w:val="0"/>
          <w:szCs w:val="24"/>
          <w:lang w:eastAsia="en-GB"/>
          <w14:ligatures w14:val="none"/>
        </w:rPr>
        <w:t>’</w:t>
      </w:r>
      <w:r w:rsidRPr="001F37BC">
        <w:rPr>
          <w:rFonts w:eastAsia="Times New Roman" w:cs="Times New Roman"/>
          <w:kern w:val="0"/>
          <w:szCs w:val="24"/>
          <w:lang w:eastAsia="en-GB"/>
          <w14:ligatures w14:val="none"/>
        </w:rPr>
        <w:t xml:space="preserve"> </w:t>
      </w:r>
      <w:r w:rsidRPr="001F37BC">
        <w:rPr>
          <w:rFonts w:eastAsia="Times New Roman" w:cs="Times New Roman"/>
          <w:i/>
          <w:iCs/>
          <w:kern w:val="0"/>
          <w:szCs w:val="24"/>
          <w:lang w:eastAsia="en-GB"/>
          <w14:ligatures w14:val="none"/>
        </w:rPr>
        <w:t>Case W. Res. L. Rev</w:t>
      </w:r>
      <w:r w:rsidR="009E6690" w:rsidRPr="001F37BC">
        <w:rPr>
          <w:rFonts w:eastAsia="Times New Roman" w:cs="Times New Roman"/>
          <w:kern w:val="0"/>
          <w:szCs w:val="24"/>
          <w:lang w:eastAsia="en-GB"/>
          <w14:ligatures w14:val="none"/>
        </w:rPr>
        <w:t xml:space="preserve"> – </w:t>
      </w:r>
      <w:r w:rsidRPr="001F37BC">
        <w:rPr>
          <w:rFonts w:eastAsia="Times New Roman" w:cs="Times New Roman"/>
          <w:kern w:val="0"/>
          <w:szCs w:val="24"/>
          <w:lang w:eastAsia="en-GB"/>
          <w14:ligatures w14:val="none"/>
        </w:rPr>
        <w:t>46</w:t>
      </w:r>
      <w:r w:rsidR="009E6690" w:rsidRPr="001F37BC">
        <w:rPr>
          <w:rFonts w:eastAsia="Times New Roman" w:cs="Times New Roman"/>
          <w:kern w:val="0"/>
          <w:szCs w:val="24"/>
          <w:lang w:eastAsia="en-GB"/>
          <w14:ligatures w14:val="none"/>
        </w:rPr>
        <w:t xml:space="preserve"> -</w:t>
      </w:r>
      <w:r w:rsidRPr="001F37BC">
        <w:rPr>
          <w:rFonts w:eastAsia="Times New Roman" w:cs="Times New Roman"/>
          <w:kern w:val="0"/>
          <w:szCs w:val="24"/>
          <w:lang w:eastAsia="en-GB"/>
          <w14:ligatures w14:val="none"/>
        </w:rPr>
        <w:t>p.961.</w:t>
      </w:r>
    </w:p>
    <w:p w14:paraId="139A4A23" w14:textId="506A4422" w:rsidR="00FB103F" w:rsidRPr="001F37BC" w:rsidRDefault="00FB103F" w:rsidP="00FB103F">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 xml:space="preserve">Available at: </w:t>
      </w:r>
      <w:hyperlink r:id="rId12" w:history="1">
        <w:r w:rsidRPr="001F37BC">
          <w:rPr>
            <w:rStyle w:val="Hyperlink"/>
            <w:rFonts w:eastAsia="Times New Roman" w:cs="Times New Roman"/>
            <w:kern w:val="0"/>
            <w:szCs w:val="24"/>
            <w:lang w:eastAsia="en-GB"/>
            <w14:ligatures w14:val="none"/>
          </w:rPr>
          <w:t>https://scholarlycommons.law.case.edu/caselrev/vol46/iss4/</w:t>
        </w:r>
        <w:r w:rsidRPr="001F37BC">
          <w:rPr>
            <w:rStyle w:val="Hyperlink"/>
            <w:rFonts w:eastAsia="Times New Roman" w:cs="Times New Roman"/>
            <w:kern w:val="0"/>
            <w:szCs w:val="24"/>
            <w:lang w:eastAsia="en-GB"/>
            <w14:ligatures w14:val="none"/>
          </w:rPr>
          <w:t>4</w:t>
        </w:r>
      </w:hyperlink>
    </w:p>
    <w:p w14:paraId="1E096E31" w14:textId="6EEE0BF6" w:rsidR="00FB103F" w:rsidRPr="001F37BC" w:rsidRDefault="00FB103F" w:rsidP="00FB103F">
      <w:pPr>
        <w:spacing w:before="0" w:after="0" w:line="240" w:lineRule="auto"/>
        <w:jc w:val="left"/>
        <w:rPr>
          <w:rFonts w:eastAsia="Times New Roman" w:cs="Times New Roman"/>
          <w:kern w:val="0"/>
          <w:szCs w:val="24"/>
          <w:lang w:eastAsia="en-GB"/>
          <w14:ligatures w14:val="none"/>
        </w:rPr>
      </w:pPr>
      <w:r w:rsidRPr="001F37BC">
        <w:rPr>
          <w:rFonts w:eastAsia="Times New Roman" w:cs="Times New Roman"/>
          <w:kern w:val="0"/>
          <w:szCs w:val="24"/>
          <w:lang w:eastAsia="en-GB"/>
          <w14:ligatures w14:val="none"/>
        </w:rPr>
        <w:t>(Accessed: 1</w:t>
      </w:r>
      <w:r w:rsidRPr="001F37BC">
        <w:rPr>
          <w:rFonts w:eastAsia="Times New Roman" w:cs="Times New Roman"/>
          <w:kern w:val="0"/>
          <w:szCs w:val="24"/>
          <w:lang w:eastAsia="en-GB"/>
          <w14:ligatures w14:val="none"/>
        </w:rPr>
        <w:t>4</w:t>
      </w:r>
      <w:r w:rsidRPr="001F37BC">
        <w:rPr>
          <w:rFonts w:eastAsia="Times New Roman" w:cs="Times New Roman"/>
          <w:kern w:val="0"/>
          <w:szCs w:val="24"/>
          <w:vertAlign w:val="superscript"/>
          <w:lang w:eastAsia="en-GB"/>
          <w14:ligatures w14:val="none"/>
        </w:rPr>
        <w:t>th</w:t>
      </w:r>
      <w:r w:rsidRPr="001F37BC">
        <w:rPr>
          <w:rFonts w:eastAsia="Times New Roman" w:cs="Times New Roman"/>
          <w:kern w:val="0"/>
          <w:szCs w:val="24"/>
          <w:lang w:eastAsia="en-GB"/>
          <w14:ligatures w14:val="none"/>
        </w:rPr>
        <w:t xml:space="preserve"> March 2024) </w:t>
      </w:r>
    </w:p>
    <w:p w14:paraId="31180835" w14:textId="77777777" w:rsidR="00643ADC" w:rsidRPr="001F37BC" w:rsidRDefault="00643ADC" w:rsidP="00CB02FC">
      <w:pPr>
        <w:spacing w:before="0" w:after="0" w:line="240" w:lineRule="auto"/>
        <w:jc w:val="left"/>
        <w:rPr>
          <w:rFonts w:eastAsia="Times New Roman" w:cs="Times New Roman"/>
          <w:kern w:val="0"/>
          <w:szCs w:val="24"/>
          <w:lang w:eastAsia="en-GB"/>
          <w14:ligatures w14:val="none"/>
        </w:rPr>
      </w:pPr>
    </w:p>
    <w:p w14:paraId="66CA258A" w14:textId="77777777" w:rsidR="00FB103F" w:rsidRPr="001F37BC" w:rsidRDefault="00FB103F" w:rsidP="00CB02FC">
      <w:pPr>
        <w:spacing w:before="0" w:after="0" w:line="240" w:lineRule="auto"/>
        <w:jc w:val="left"/>
        <w:rPr>
          <w:rFonts w:cs="Times New Roman"/>
          <w:szCs w:val="24"/>
        </w:rPr>
      </w:pPr>
    </w:p>
    <w:p w14:paraId="3C976103" w14:textId="52304C7A" w:rsidR="001462F0" w:rsidRPr="001F37BC" w:rsidRDefault="001462F0" w:rsidP="00CB02FC">
      <w:pPr>
        <w:spacing w:before="0" w:after="0" w:line="240" w:lineRule="auto"/>
        <w:jc w:val="left"/>
        <w:rPr>
          <w:rFonts w:cs="Times New Roman"/>
          <w:szCs w:val="24"/>
        </w:rPr>
      </w:pPr>
      <w:r w:rsidRPr="001F37BC">
        <w:rPr>
          <w:rFonts w:cs="Times New Roman"/>
          <w:szCs w:val="24"/>
        </w:rPr>
        <w:t>Anton Piller KG v Manufacturing Processes Ltd [1976</w:t>
      </w:r>
      <w:r w:rsidRPr="001F37BC">
        <w:rPr>
          <w:rFonts w:cs="Times New Roman"/>
          <w:szCs w:val="24"/>
        </w:rPr>
        <w:t>]</w:t>
      </w:r>
    </w:p>
    <w:p w14:paraId="48C344CE" w14:textId="77777777" w:rsidR="001462F0" w:rsidRPr="001F37BC" w:rsidRDefault="001462F0" w:rsidP="00CB02FC">
      <w:pPr>
        <w:spacing w:before="0" w:after="0" w:line="240" w:lineRule="auto"/>
        <w:jc w:val="left"/>
        <w:rPr>
          <w:rFonts w:cs="Times New Roman"/>
          <w:szCs w:val="24"/>
        </w:rPr>
      </w:pPr>
    </w:p>
    <w:p w14:paraId="47553D77" w14:textId="081584E1" w:rsidR="00233929" w:rsidRPr="001F37BC" w:rsidRDefault="009F4CA0" w:rsidP="00CB02FC">
      <w:pPr>
        <w:spacing w:before="0" w:after="0" w:line="240" w:lineRule="auto"/>
        <w:jc w:val="left"/>
        <w:rPr>
          <w:rFonts w:cs="Times New Roman"/>
          <w:szCs w:val="24"/>
        </w:rPr>
      </w:pPr>
      <w:r w:rsidRPr="001F37BC">
        <w:rPr>
          <w:rFonts w:cs="Times New Roman"/>
          <w:szCs w:val="24"/>
        </w:rPr>
        <w:t>Barclays Bank Ltd v Quistclose Investments Ltd [1968] UKHL 4</w:t>
      </w:r>
    </w:p>
    <w:p w14:paraId="126CCC56" w14:textId="5CEB3B77" w:rsidR="009F4CA0" w:rsidRPr="001F37BC" w:rsidRDefault="009F4CA0" w:rsidP="00233929">
      <w:pPr>
        <w:spacing w:before="0" w:after="0" w:line="240" w:lineRule="auto"/>
        <w:ind w:left="357"/>
        <w:jc w:val="left"/>
        <w:rPr>
          <w:rFonts w:cs="Times New Roman"/>
          <w:szCs w:val="24"/>
        </w:rPr>
      </w:pPr>
      <w:r w:rsidRPr="001F37BC">
        <w:rPr>
          <w:rFonts w:cs="Times New Roman"/>
          <w:szCs w:val="24"/>
        </w:rPr>
        <w:t> </w:t>
      </w:r>
    </w:p>
    <w:p w14:paraId="72E7C586" w14:textId="77777777" w:rsidR="009F4CA0" w:rsidRPr="001F37BC" w:rsidRDefault="009F4CA0" w:rsidP="00CB02FC">
      <w:pPr>
        <w:spacing w:before="0" w:after="0" w:line="240" w:lineRule="auto"/>
        <w:jc w:val="left"/>
        <w:rPr>
          <w:rFonts w:cs="Times New Roman"/>
          <w:szCs w:val="24"/>
        </w:rPr>
      </w:pPr>
      <w:bookmarkStart w:id="0" w:name="_Hlk159859710"/>
      <w:r w:rsidRPr="001F37BC">
        <w:rPr>
          <w:rFonts w:cs="Times New Roman"/>
          <w:szCs w:val="24"/>
        </w:rPr>
        <w:t xml:space="preserve">Beswick v Beswick [1967] </w:t>
      </w:r>
      <w:bookmarkEnd w:id="0"/>
      <w:r w:rsidRPr="001F37BC">
        <w:rPr>
          <w:rFonts w:cs="Times New Roman"/>
          <w:szCs w:val="24"/>
        </w:rPr>
        <w:t>UKHL 2, [1968] AC 58</w:t>
      </w:r>
    </w:p>
    <w:p w14:paraId="7589C331" w14:textId="77777777" w:rsidR="00233929" w:rsidRPr="001F37BC" w:rsidRDefault="00233929" w:rsidP="00233929">
      <w:pPr>
        <w:spacing w:before="0" w:after="0" w:line="240" w:lineRule="auto"/>
        <w:ind w:left="357"/>
        <w:jc w:val="left"/>
        <w:rPr>
          <w:rFonts w:cs="Times New Roman"/>
          <w:szCs w:val="24"/>
        </w:rPr>
      </w:pPr>
    </w:p>
    <w:p w14:paraId="4091998E" w14:textId="740B116C" w:rsidR="009F4CA0" w:rsidRPr="001F37BC" w:rsidRDefault="009F4CA0" w:rsidP="00CB02FC">
      <w:pPr>
        <w:spacing w:before="0" w:after="0" w:line="240" w:lineRule="auto"/>
        <w:jc w:val="left"/>
        <w:rPr>
          <w:rFonts w:cs="Times New Roman"/>
          <w:szCs w:val="24"/>
        </w:rPr>
      </w:pPr>
      <w:r w:rsidRPr="001F37BC">
        <w:rPr>
          <w:rFonts w:cs="Times New Roman"/>
          <w:szCs w:val="24"/>
        </w:rPr>
        <w:t>Cook v Fountain </w:t>
      </w:r>
      <w:r w:rsidR="007C0B33" w:rsidRPr="001F37BC">
        <w:rPr>
          <w:rFonts w:cs="Times New Roman"/>
          <w:szCs w:val="24"/>
        </w:rPr>
        <w:t>[</w:t>
      </w:r>
      <w:r w:rsidRPr="001F37BC">
        <w:rPr>
          <w:rFonts w:cs="Times New Roman"/>
          <w:szCs w:val="24"/>
        </w:rPr>
        <w:t>1676</w:t>
      </w:r>
      <w:r w:rsidR="007C0B33" w:rsidRPr="001F37BC">
        <w:rPr>
          <w:rFonts w:cs="Times New Roman"/>
          <w:szCs w:val="24"/>
        </w:rPr>
        <w:t xml:space="preserve">] </w:t>
      </w:r>
      <w:r w:rsidRPr="001F37BC">
        <w:rPr>
          <w:rFonts w:cs="Times New Roman"/>
          <w:szCs w:val="24"/>
        </w:rPr>
        <w:t>3 Swans at 585</w:t>
      </w:r>
    </w:p>
    <w:p w14:paraId="706B9913" w14:textId="77777777" w:rsidR="00233929" w:rsidRPr="001F37BC" w:rsidRDefault="00233929" w:rsidP="00233929">
      <w:pPr>
        <w:spacing w:before="0" w:after="0" w:line="240" w:lineRule="auto"/>
        <w:ind w:left="357"/>
        <w:jc w:val="left"/>
        <w:rPr>
          <w:rFonts w:cs="Times New Roman"/>
          <w:szCs w:val="24"/>
        </w:rPr>
      </w:pPr>
    </w:p>
    <w:p w14:paraId="2CBCC629" w14:textId="622C70F9" w:rsidR="009F4CA0" w:rsidRPr="001F37BC" w:rsidRDefault="009F4CA0" w:rsidP="00CB02FC">
      <w:pPr>
        <w:spacing w:before="0" w:after="0" w:line="240" w:lineRule="auto"/>
        <w:jc w:val="left"/>
        <w:rPr>
          <w:rFonts w:cs="Times New Roman"/>
          <w:szCs w:val="24"/>
        </w:rPr>
      </w:pPr>
      <w:r w:rsidRPr="001F37BC">
        <w:rPr>
          <w:rFonts w:cs="Times New Roman"/>
          <w:szCs w:val="24"/>
        </w:rPr>
        <w:t xml:space="preserve">Earl of Oxford's case </w:t>
      </w:r>
      <w:r w:rsidR="007C0B33" w:rsidRPr="001F37BC">
        <w:rPr>
          <w:rFonts w:cs="Times New Roman"/>
          <w:szCs w:val="24"/>
        </w:rPr>
        <w:t>[</w:t>
      </w:r>
      <w:r w:rsidRPr="001F37BC">
        <w:rPr>
          <w:rFonts w:cs="Times New Roman"/>
          <w:szCs w:val="24"/>
        </w:rPr>
        <w:t>1615</w:t>
      </w:r>
      <w:r w:rsidR="007C0B33" w:rsidRPr="001F37BC">
        <w:rPr>
          <w:rFonts w:cs="Times New Roman"/>
          <w:szCs w:val="24"/>
        </w:rPr>
        <w:t>]</w:t>
      </w:r>
      <w:r w:rsidRPr="001F37BC">
        <w:rPr>
          <w:rFonts w:cs="Times New Roman"/>
          <w:szCs w:val="24"/>
        </w:rPr>
        <w:t xml:space="preserve"> 21 ER 485 </w:t>
      </w:r>
    </w:p>
    <w:p w14:paraId="62A34F38" w14:textId="77777777" w:rsidR="0052691B" w:rsidRPr="001F37BC" w:rsidRDefault="0052691B" w:rsidP="00CB02FC">
      <w:pPr>
        <w:spacing w:before="0" w:after="0" w:line="240" w:lineRule="auto"/>
        <w:jc w:val="left"/>
        <w:rPr>
          <w:rFonts w:cs="Times New Roman"/>
          <w:szCs w:val="24"/>
        </w:rPr>
      </w:pPr>
    </w:p>
    <w:p w14:paraId="3A251F1F" w14:textId="3D27B5D0" w:rsidR="0052691B" w:rsidRPr="001F37BC" w:rsidRDefault="0052691B" w:rsidP="00CB02FC">
      <w:pPr>
        <w:spacing w:before="0" w:after="0" w:line="240" w:lineRule="auto"/>
        <w:jc w:val="left"/>
        <w:rPr>
          <w:rFonts w:cs="Times New Roman"/>
          <w:szCs w:val="24"/>
        </w:rPr>
      </w:pPr>
      <w:r w:rsidRPr="001F37BC">
        <w:t>Ferdinand v Mirror Group Newspapers (2011</w:t>
      </w:r>
    </w:p>
    <w:p w14:paraId="242882C3" w14:textId="77777777" w:rsidR="00233929" w:rsidRPr="001F37BC" w:rsidRDefault="00233929" w:rsidP="00233929">
      <w:pPr>
        <w:spacing w:before="0" w:after="0" w:line="240" w:lineRule="auto"/>
        <w:ind w:left="357"/>
        <w:jc w:val="left"/>
        <w:rPr>
          <w:rFonts w:cs="Times New Roman"/>
          <w:szCs w:val="24"/>
        </w:rPr>
      </w:pPr>
    </w:p>
    <w:p w14:paraId="610AEA1C" w14:textId="77777777" w:rsidR="009F4CA0" w:rsidRPr="001F37BC" w:rsidRDefault="009F4CA0" w:rsidP="00CB02FC">
      <w:pPr>
        <w:spacing w:before="0" w:after="0" w:line="240" w:lineRule="auto"/>
        <w:jc w:val="left"/>
        <w:rPr>
          <w:rFonts w:cs="Times New Roman"/>
          <w:szCs w:val="24"/>
        </w:rPr>
      </w:pPr>
      <w:bookmarkStart w:id="1" w:name="_Hlk159859868"/>
      <w:r w:rsidRPr="001F37BC">
        <w:rPr>
          <w:rFonts w:cs="Times New Roman"/>
          <w:szCs w:val="24"/>
        </w:rPr>
        <w:t xml:space="preserve">Frederick E Rose (London) Ltd v William H </w:t>
      </w:r>
      <w:proofErr w:type="spellStart"/>
      <w:r w:rsidRPr="001F37BC">
        <w:rPr>
          <w:rFonts w:cs="Times New Roman"/>
          <w:szCs w:val="24"/>
        </w:rPr>
        <w:t>Pim</w:t>
      </w:r>
      <w:proofErr w:type="spellEnd"/>
      <w:r w:rsidRPr="001F37BC">
        <w:rPr>
          <w:rFonts w:cs="Times New Roman"/>
          <w:szCs w:val="24"/>
        </w:rPr>
        <w:t xml:space="preserve"> Junior &amp; Co Ltd [1953] </w:t>
      </w:r>
      <w:bookmarkEnd w:id="1"/>
      <w:r w:rsidRPr="001F37BC">
        <w:rPr>
          <w:rFonts w:cs="Times New Roman"/>
          <w:szCs w:val="24"/>
        </w:rPr>
        <w:t>2 QB 450</w:t>
      </w:r>
    </w:p>
    <w:p w14:paraId="0170860F" w14:textId="77777777" w:rsidR="00233929" w:rsidRPr="001F37BC" w:rsidRDefault="00233929" w:rsidP="00233929">
      <w:pPr>
        <w:spacing w:before="0" w:after="0" w:line="240" w:lineRule="auto"/>
        <w:ind w:left="357"/>
        <w:jc w:val="left"/>
        <w:rPr>
          <w:rFonts w:cs="Times New Roman"/>
          <w:szCs w:val="24"/>
        </w:rPr>
      </w:pPr>
    </w:p>
    <w:p w14:paraId="7AC41E7E" w14:textId="77777777" w:rsidR="009F4CA0" w:rsidRPr="001F37BC" w:rsidRDefault="009F4CA0" w:rsidP="00CB02FC">
      <w:pPr>
        <w:spacing w:before="0" w:after="0" w:line="240" w:lineRule="auto"/>
        <w:jc w:val="left"/>
        <w:rPr>
          <w:rFonts w:cs="Times New Roman"/>
          <w:szCs w:val="24"/>
        </w:rPr>
      </w:pPr>
      <w:r w:rsidRPr="001F37BC">
        <w:rPr>
          <w:rFonts w:cs="Times New Roman"/>
          <w:szCs w:val="24"/>
        </w:rPr>
        <w:t>Liverpool Marine Credit Co. v Hunter (1868) L.R. 3</w:t>
      </w:r>
    </w:p>
    <w:p w14:paraId="75588FEE" w14:textId="77777777" w:rsidR="0052691B" w:rsidRPr="001F37BC" w:rsidRDefault="0052691B" w:rsidP="00CB02FC">
      <w:pPr>
        <w:spacing w:before="0" w:after="0" w:line="240" w:lineRule="auto"/>
        <w:jc w:val="left"/>
        <w:rPr>
          <w:rFonts w:cs="Times New Roman"/>
          <w:szCs w:val="24"/>
        </w:rPr>
      </w:pPr>
    </w:p>
    <w:p w14:paraId="483C7DD2" w14:textId="77777777" w:rsidR="0052691B" w:rsidRPr="001F37BC" w:rsidRDefault="0052691B" w:rsidP="0052691B">
      <w:pPr>
        <w:spacing w:before="0" w:after="0" w:line="240" w:lineRule="auto"/>
        <w:jc w:val="left"/>
      </w:pPr>
      <w:r w:rsidRPr="001F37BC">
        <w:t xml:space="preserve">Mareva </w:t>
      </w:r>
      <w:proofErr w:type="spellStart"/>
      <w:r w:rsidRPr="001F37BC">
        <w:t>Compania</w:t>
      </w:r>
      <w:proofErr w:type="spellEnd"/>
      <w:r w:rsidRPr="001F37BC">
        <w:t xml:space="preserve"> Naviera SA v International </w:t>
      </w:r>
      <w:proofErr w:type="spellStart"/>
      <w:r w:rsidRPr="001F37BC">
        <w:t>Bulkcarriers</w:t>
      </w:r>
      <w:proofErr w:type="spellEnd"/>
      <w:r w:rsidRPr="001F37BC">
        <w:t xml:space="preserve"> SA [1980]</w:t>
      </w:r>
    </w:p>
    <w:p w14:paraId="02CA2856" w14:textId="77777777" w:rsidR="00233929" w:rsidRPr="001F37BC" w:rsidRDefault="00233929" w:rsidP="0052691B">
      <w:pPr>
        <w:spacing w:before="0" w:after="0" w:line="240" w:lineRule="auto"/>
        <w:jc w:val="left"/>
        <w:rPr>
          <w:rFonts w:cs="Times New Roman"/>
          <w:szCs w:val="24"/>
        </w:rPr>
      </w:pPr>
    </w:p>
    <w:p w14:paraId="50D2BE4F" w14:textId="77777777" w:rsidR="009F4CA0" w:rsidRPr="001F37BC" w:rsidRDefault="009F4CA0" w:rsidP="00CB02FC">
      <w:pPr>
        <w:spacing w:before="0" w:after="0" w:line="240" w:lineRule="auto"/>
        <w:jc w:val="left"/>
        <w:rPr>
          <w:rFonts w:cs="Times New Roman"/>
          <w:szCs w:val="24"/>
        </w:rPr>
      </w:pPr>
      <w:bookmarkStart w:id="2" w:name="_Hlk159859597"/>
      <w:r w:rsidRPr="001F37BC">
        <w:rPr>
          <w:rFonts w:cs="Times New Roman"/>
          <w:szCs w:val="24"/>
        </w:rPr>
        <w:t>Royal Brunei Airlines </w:t>
      </w:r>
      <w:proofErr w:type="spellStart"/>
      <w:r w:rsidRPr="001F37BC">
        <w:rPr>
          <w:rFonts w:cs="Times New Roman"/>
          <w:szCs w:val="24"/>
        </w:rPr>
        <w:t>Sdn</w:t>
      </w:r>
      <w:proofErr w:type="spellEnd"/>
      <w:r w:rsidRPr="001F37BC">
        <w:rPr>
          <w:rFonts w:cs="Times New Roman"/>
          <w:szCs w:val="24"/>
        </w:rPr>
        <w:t xml:space="preserve"> </w:t>
      </w:r>
      <w:proofErr w:type="spellStart"/>
      <w:r w:rsidRPr="001F37BC">
        <w:rPr>
          <w:rFonts w:cs="Times New Roman"/>
          <w:szCs w:val="24"/>
        </w:rPr>
        <w:t>Bhd</w:t>
      </w:r>
      <w:proofErr w:type="spellEnd"/>
      <w:r w:rsidRPr="001F37BC">
        <w:rPr>
          <w:rFonts w:cs="Times New Roman"/>
          <w:szCs w:val="24"/>
        </w:rPr>
        <w:t xml:space="preserve"> v Tan [1995] </w:t>
      </w:r>
      <w:bookmarkEnd w:id="2"/>
      <w:r w:rsidRPr="001F37BC">
        <w:rPr>
          <w:rFonts w:cs="Times New Roman"/>
          <w:szCs w:val="24"/>
        </w:rPr>
        <w:t>UKPC 4</w:t>
      </w:r>
    </w:p>
    <w:p w14:paraId="065B5D25" w14:textId="77777777" w:rsidR="00233929" w:rsidRPr="001F37BC" w:rsidRDefault="00233929" w:rsidP="00233929">
      <w:pPr>
        <w:spacing w:before="0" w:after="0" w:line="240" w:lineRule="auto"/>
        <w:ind w:left="357"/>
        <w:jc w:val="left"/>
        <w:rPr>
          <w:rFonts w:cs="Times New Roman"/>
          <w:szCs w:val="24"/>
        </w:rPr>
      </w:pPr>
    </w:p>
    <w:p w14:paraId="3FDBC453" w14:textId="162F1E19" w:rsidR="009F4CA0" w:rsidRPr="00233929" w:rsidRDefault="009F4CA0" w:rsidP="00CB02FC">
      <w:pPr>
        <w:spacing w:before="0" w:after="0" w:line="240" w:lineRule="auto"/>
        <w:jc w:val="left"/>
        <w:rPr>
          <w:rFonts w:cs="Times New Roman"/>
          <w:szCs w:val="24"/>
        </w:rPr>
      </w:pPr>
      <w:bookmarkStart w:id="3" w:name="_Hlk159859556"/>
      <w:r w:rsidRPr="001F37BC">
        <w:rPr>
          <w:rFonts w:cs="Times New Roman"/>
          <w:szCs w:val="24"/>
        </w:rPr>
        <w:t xml:space="preserve">Walsh v Lonsdale </w:t>
      </w:r>
      <w:r w:rsidR="007C0B33" w:rsidRPr="001F37BC">
        <w:rPr>
          <w:rFonts w:cs="Times New Roman"/>
          <w:szCs w:val="24"/>
        </w:rPr>
        <w:t>[</w:t>
      </w:r>
      <w:r w:rsidRPr="001F37BC">
        <w:rPr>
          <w:rFonts w:cs="Times New Roman"/>
          <w:szCs w:val="24"/>
        </w:rPr>
        <w:t>1882</w:t>
      </w:r>
      <w:r w:rsidR="007C0B33" w:rsidRPr="001F37BC">
        <w:rPr>
          <w:rFonts w:cs="Times New Roman"/>
          <w:szCs w:val="24"/>
        </w:rPr>
        <w:t>]</w:t>
      </w:r>
      <w:r w:rsidRPr="001F37BC">
        <w:rPr>
          <w:rFonts w:cs="Times New Roman"/>
          <w:szCs w:val="24"/>
        </w:rPr>
        <w:t xml:space="preserve"> </w:t>
      </w:r>
      <w:bookmarkEnd w:id="3"/>
      <w:r w:rsidRPr="001F37BC">
        <w:rPr>
          <w:rFonts w:cs="Times New Roman"/>
          <w:szCs w:val="24"/>
        </w:rPr>
        <w:t>21 Ch D 9</w:t>
      </w:r>
    </w:p>
    <w:p w14:paraId="54ACDD1B" w14:textId="77777777" w:rsidR="009F4CA0" w:rsidRPr="00314996" w:rsidRDefault="009F4CA0" w:rsidP="00233929">
      <w:pPr>
        <w:jc w:val="left"/>
        <w:rPr>
          <w:rFonts w:cs="Times New Roman"/>
        </w:rPr>
      </w:pPr>
    </w:p>
    <w:p w14:paraId="25C2A715" w14:textId="77777777" w:rsidR="00F35D17" w:rsidRPr="003D5C1E" w:rsidRDefault="00F35D17" w:rsidP="00233929">
      <w:pPr>
        <w:spacing w:before="0" w:after="0" w:line="240" w:lineRule="auto"/>
        <w:jc w:val="left"/>
        <w:rPr>
          <w:rFonts w:cs="Times New Roman"/>
        </w:rPr>
      </w:pPr>
    </w:p>
    <w:sectPr w:rsidR="00F35D17" w:rsidRPr="003D5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FF7937"/>
    <w:multiLevelType w:val="hybridMultilevel"/>
    <w:tmpl w:val="F13AE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82B74"/>
    <w:multiLevelType w:val="multilevel"/>
    <w:tmpl w:val="9672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BD6D57"/>
    <w:multiLevelType w:val="multilevel"/>
    <w:tmpl w:val="E9FC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551C21"/>
    <w:multiLevelType w:val="hybridMultilevel"/>
    <w:tmpl w:val="ADD0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F41EA3"/>
    <w:multiLevelType w:val="multilevel"/>
    <w:tmpl w:val="26DC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9614393">
    <w:abstractNumId w:val="2"/>
  </w:num>
  <w:num w:numId="2" w16cid:durableId="1918902359">
    <w:abstractNumId w:val="4"/>
  </w:num>
  <w:num w:numId="3" w16cid:durableId="46034103">
    <w:abstractNumId w:val="1"/>
  </w:num>
  <w:num w:numId="4" w16cid:durableId="648827214">
    <w:abstractNumId w:val="3"/>
  </w:num>
  <w:num w:numId="5" w16cid:durableId="1625035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C1E"/>
    <w:rsid w:val="000000F3"/>
    <w:rsid w:val="00005B09"/>
    <w:rsid w:val="000152C6"/>
    <w:rsid w:val="0002671F"/>
    <w:rsid w:val="00030409"/>
    <w:rsid w:val="00084189"/>
    <w:rsid w:val="000A14BE"/>
    <w:rsid w:val="000A2136"/>
    <w:rsid w:val="000A31BC"/>
    <w:rsid w:val="000A33E0"/>
    <w:rsid w:val="000B37CC"/>
    <w:rsid w:val="000C0215"/>
    <w:rsid w:val="000D49A2"/>
    <w:rsid w:val="000E6030"/>
    <w:rsid w:val="000F1C44"/>
    <w:rsid w:val="000F1FE5"/>
    <w:rsid w:val="00103BE6"/>
    <w:rsid w:val="00103E09"/>
    <w:rsid w:val="00120F29"/>
    <w:rsid w:val="00122817"/>
    <w:rsid w:val="00131BE4"/>
    <w:rsid w:val="001355B0"/>
    <w:rsid w:val="00136CD9"/>
    <w:rsid w:val="00142F4F"/>
    <w:rsid w:val="001462F0"/>
    <w:rsid w:val="001475F8"/>
    <w:rsid w:val="00161A8C"/>
    <w:rsid w:val="00162326"/>
    <w:rsid w:val="00163978"/>
    <w:rsid w:val="0017210E"/>
    <w:rsid w:val="00174465"/>
    <w:rsid w:val="00182D2F"/>
    <w:rsid w:val="001A3046"/>
    <w:rsid w:val="001B0F8D"/>
    <w:rsid w:val="001B1A37"/>
    <w:rsid w:val="001C44B5"/>
    <w:rsid w:val="001F37BC"/>
    <w:rsid w:val="00212C88"/>
    <w:rsid w:val="00221384"/>
    <w:rsid w:val="00233929"/>
    <w:rsid w:val="00233C23"/>
    <w:rsid w:val="00241C73"/>
    <w:rsid w:val="002533B8"/>
    <w:rsid w:val="00262887"/>
    <w:rsid w:val="00263CBA"/>
    <w:rsid w:val="00263FA7"/>
    <w:rsid w:val="002658FC"/>
    <w:rsid w:val="0026696F"/>
    <w:rsid w:val="00282859"/>
    <w:rsid w:val="00291649"/>
    <w:rsid w:val="002A66EF"/>
    <w:rsid w:val="002A7ACC"/>
    <w:rsid w:val="002B13CA"/>
    <w:rsid w:val="002B289E"/>
    <w:rsid w:val="002C183D"/>
    <w:rsid w:val="002E5256"/>
    <w:rsid w:val="002F7DCC"/>
    <w:rsid w:val="00341ED9"/>
    <w:rsid w:val="003566D0"/>
    <w:rsid w:val="0036509C"/>
    <w:rsid w:val="00383373"/>
    <w:rsid w:val="0038622A"/>
    <w:rsid w:val="00393A22"/>
    <w:rsid w:val="00395857"/>
    <w:rsid w:val="003A6B79"/>
    <w:rsid w:val="003B0C85"/>
    <w:rsid w:val="003B2098"/>
    <w:rsid w:val="003C5D1A"/>
    <w:rsid w:val="003D5C1E"/>
    <w:rsid w:val="003F1D7E"/>
    <w:rsid w:val="004077BF"/>
    <w:rsid w:val="00411B61"/>
    <w:rsid w:val="00423955"/>
    <w:rsid w:val="0042456D"/>
    <w:rsid w:val="004277B6"/>
    <w:rsid w:val="00444784"/>
    <w:rsid w:val="004458F6"/>
    <w:rsid w:val="004560D5"/>
    <w:rsid w:val="0047744B"/>
    <w:rsid w:val="00484929"/>
    <w:rsid w:val="00492D40"/>
    <w:rsid w:val="004938B0"/>
    <w:rsid w:val="004A4D93"/>
    <w:rsid w:val="004C129E"/>
    <w:rsid w:val="004C32AB"/>
    <w:rsid w:val="004D6E90"/>
    <w:rsid w:val="004E64CF"/>
    <w:rsid w:val="004F0675"/>
    <w:rsid w:val="004F6805"/>
    <w:rsid w:val="005038E6"/>
    <w:rsid w:val="00506144"/>
    <w:rsid w:val="00506589"/>
    <w:rsid w:val="005208D8"/>
    <w:rsid w:val="00524535"/>
    <w:rsid w:val="0052691B"/>
    <w:rsid w:val="005729A3"/>
    <w:rsid w:val="005953CF"/>
    <w:rsid w:val="005A3690"/>
    <w:rsid w:val="005B06BD"/>
    <w:rsid w:val="005C1958"/>
    <w:rsid w:val="005C41BB"/>
    <w:rsid w:val="005C5913"/>
    <w:rsid w:val="00600A0C"/>
    <w:rsid w:val="00602704"/>
    <w:rsid w:val="00602F59"/>
    <w:rsid w:val="00643ADC"/>
    <w:rsid w:val="006474FF"/>
    <w:rsid w:val="00673E5C"/>
    <w:rsid w:val="006752A6"/>
    <w:rsid w:val="006912D3"/>
    <w:rsid w:val="006A1958"/>
    <w:rsid w:val="006A65AA"/>
    <w:rsid w:val="006C6848"/>
    <w:rsid w:val="006D20A5"/>
    <w:rsid w:val="006D33C5"/>
    <w:rsid w:val="006D4B67"/>
    <w:rsid w:val="006E5806"/>
    <w:rsid w:val="00700D91"/>
    <w:rsid w:val="00707314"/>
    <w:rsid w:val="00714500"/>
    <w:rsid w:val="00766FEA"/>
    <w:rsid w:val="00775A64"/>
    <w:rsid w:val="0077672D"/>
    <w:rsid w:val="00777A20"/>
    <w:rsid w:val="00787FC2"/>
    <w:rsid w:val="00793EAA"/>
    <w:rsid w:val="007A7A7C"/>
    <w:rsid w:val="007B24F0"/>
    <w:rsid w:val="007C0B33"/>
    <w:rsid w:val="007C28C2"/>
    <w:rsid w:val="007C2FC9"/>
    <w:rsid w:val="007D61E9"/>
    <w:rsid w:val="007E783D"/>
    <w:rsid w:val="007F0536"/>
    <w:rsid w:val="008027C3"/>
    <w:rsid w:val="00814683"/>
    <w:rsid w:val="0081589F"/>
    <w:rsid w:val="00820E9A"/>
    <w:rsid w:val="00846358"/>
    <w:rsid w:val="0086098C"/>
    <w:rsid w:val="0087126E"/>
    <w:rsid w:val="00882944"/>
    <w:rsid w:val="008A01E6"/>
    <w:rsid w:val="008A6713"/>
    <w:rsid w:val="008A70EF"/>
    <w:rsid w:val="008B1529"/>
    <w:rsid w:val="008B5225"/>
    <w:rsid w:val="008B7A19"/>
    <w:rsid w:val="008C67D6"/>
    <w:rsid w:val="008D44D8"/>
    <w:rsid w:val="008E0883"/>
    <w:rsid w:val="009147F1"/>
    <w:rsid w:val="00924D52"/>
    <w:rsid w:val="00927F1B"/>
    <w:rsid w:val="00936D28"/>
    <w:rsid w:val="009550FF"/>
    <w:rsid w:val="00957BD3"/>
    <w:rsid w:val="00996C2B"/>
    <w:rsid w:val="009A50EF"/>
    <w:rsid w:val="009B5234"/>
    <w:rsid w:val="009B5B51"/>
    <w:rsid w:val="009B6639"/>
    <w:rsid w:val="009B7416"/>
    <w:rsid w:val="009C0CF2"/>
    <w:rsid w:val="009C1183"/>
    <w:rsid w:val="009C3677"/>
    <w:rsid w:val="009C59F5"/>
    <w:rsid w:val="009D289D"/>
    <w:rsid w:val="009E62BD"/>
    <w:rsid w:val="009E6690"/>
    <w:rsid w:val="009F4CA0"/>
    <w:rsid w:val="00A31FA5"/>
    <w:rsid w:val="00A329BD"/>
    <w:rsid w:val="00A35F03"/>
    <w:rsid w:val="00A51FD1"/>
    <w:rsid w:val="00A525BF"/>
    <w:rsid w:val="00A76070"/>
    <w:rsid w:val="00A97CF2"/>
    <w:rsid w:val="00AA74D9"/>
    <w:rsid w:val="00AB43F0"/>
    <w:rsid w:val="00AC187E"/>
    <w:rsid w:val="00AD742C"/>
    <w:rsid w:val="00AF2243"/>
    <w:rsid w:val="00AF7E2D"/>
    <w:rsid w:val="00B00383"/>
    <w:rsid w:val="00B1233B"/>
    <w:rsid w:val="00B126FA"/>
    <w:rsid w:val="00B266E8"/>
    <w:rsid w:val="00B40ACB"/>
    <w:rsid w:val="00B42E50"/>
    <w:rsid w:val="00B5050A"/>
    <w:rsid w:val="00B57190"/>
    <w:rsid w:val="00B61997"/>
    <w:rsid w:val="00B76EED"/>
    <w:rsid w:val="00B86E51"/>
    <w:rsid w:val="00B92F47"/>
    <w:rsid w:val="00B95195"/>
    <w:rsid w:val="00B973DB"/>
    <w:rsid w:val="00BA56C6"/>
    <w:rsid w:val="00BA59D3"/>
    <w:rsid w:val="00BB6D63"/>
    <w:rsid w:val="00BC44D1"/>
    <w:rsid w:val="00BD090F"/>
    <w:rsid w:val="00BD1456"/>
    <w:rsid w:val="00BF22BB"/>
    <w:rsid w:val="00C02498"/>
    <w:rsid w:val="00C114FB"/>
    <w:rsid w:val="00C11DB0"/>
    <w:rsid w:val="00C26D8C"/>
    <w:rsid w:val="00C320EB"/>
    <w:rsid w:val="00C3599A"/>
    <w:rsid w:val="00C4142D"/>
    <w:rsid w:val="00C56AA2"/>
    <w:rsid w:val="00C576C4"/>
    <w:rsid w:val="00C60DD8"/>
    <w:rsid w:val="00C70B47"/>
    <w:rsid w:val="00C776C2"/>
    <w:rsid w:val="00C83ECE"/>
    <w:rsid w:val="00C84825"/>
    <w:rsid w:val="00C84C30"/>
    <w:rsid w:val="00C93AC0"/>
    <w:rsid w:val="00C94719"/>
    <w:rsid w:val="00CA3B88"/>
    <w:rsid w:val="00CB02FC"/>
    <w:rsid w:val="00CB5299"/>
    <w:rsid w:val="00CC7A3C"/>
    <w:rsid w:val="00CD2067"/>
    <w:rsid w:val="00CD475E"/>
    <w:rsid w:val="00CE31D9"/>
    <w:rsid w:val="00D05E50"/>
    <w:rsid w:val="00D2155C"/>
    <w:rsid w:val="00D52DBE"/>
    <w:rsid w:val="00D664C8"/>
    <w:rsid w:val="00D72392"/>
    <w:rsid w:val="00D904F9"/>
    <w:rsid w:val="00DB526B"/>
    <w:rsid w:val="00E05C62"/>
    <w:rsid w:val="00E20682"/>
    <w:rsid w:val="00E21841"/>
    <w:rsid w:val="00E25CA5"/>
    <w:rsid w:val="00E376B9"/>
    <w:rsid w:val="00E4328F"/>
    <w:rsid w:val="00E66339"/>
    <w:rsid w:val="00E7014D"/>
    <w:rsid w:val="00E767E2"/>
    <w:rsid w:val="00E77630"/>
    <w:rsid w:val="00E81CDE"/>
    <w:rsid w:val="00E9668B"/>
    <w:rsid w:val="00E97775"/>
    <w:rsid w:val="00E97DCB"/>
    <w:rsid w:val="00EC5C6B"/>
    <w:rsid w:val="00EE282F"/>
    <w:rsid w:val="00EE6D06"/>
    <w:rsid w:val="00EF3D60"/>
    <w:rsid w:val="00F0567D"/>
    <w:rsid w:val="00F1585C"/>
    <w:rsid w:val="00F23F61"/>
    <w:rsid w:val="00F24AB4"/>
    <w:rsid w:val="00F35D17"/>
    <w:rsid w:val="00F477A4"/>
    <w:rsid w:val="00F550E9"/>
    <w:rsid w:val="00F57A1E"/>
    <w:rsid w:val="00F65939"/>
    <w:rsid w:val="00F80C6D"/>
    <w:rsid w:val="00F958FF"/>
    <w:rsid w:val="00FA0C3E"/>
    <w:rsid w:val="00FA4049"/>
    <w:rsid w:val="00FA6364"/>
    <w:rsid w:val="00FB103F"/>
    <w:rsid w:val="00FD6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D978E"/>
  <w15:chartTrackingRefBased/>
  <w15:docId w15:val="{9872BE97-7AA0-455B-823B-98E6C8E52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C1E"/>
    <w:pPr>
      <w:spacing w:before="240" w:after="40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D5C1E"/>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5C1E"/>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C1E"/>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C1E"/>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rPr>
  </w:style>
  <w:style w:type="paragraph" w:styleId="Heading5">
    <w:name w:val="heading 5"/>
    <w:basedOn w:val="Normal"/>
    <w:next w:val="Normal"/>
    <w:link w:val="Heading5Char"/>
    <w:uiPriority w:val="9"/>
    <w:semiHidden/>
    <w:unhideWhenUsed/>
    <w:qFormat/>
    <w:rsid w:val="003D5C1E"/>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rPr>
  </w:style>
  <w:style w:type="paragraph" w:styleId="Heading6">
    <w:name w:val="heading 6"/>
    <w:basedOn w:val="Normal"/>
    <w:next w:val="Normal"/>
    <w:link w:val="Heading6Char"/>
    <w:uiPriority w:val="9"/>
    <w:semiHidden/>
    <w:unhideWhenUsed/>
    <w:qFormat/>
    <w:rsid w:val="003D5C1E"/>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3D5C1E"/>
    <w:pPr>
      <w:keepNext/>
      <w:keepLines/>
      <w:spacing w:before="40" w:after="0" w:line="259" w:lineRule="auto"/>
      <w:jc w:val="left"/>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3D5C1E"/>
    <w:pPr>
      <w:keepNext/>
      <w:keepLines/>
      <w:spacing w:before="0" w:after="0" w:line="259" w:lineRule="auto"/>
      <w:jc w:val="left"/>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3D5C1E"/>
    <w:pPr>
      <w:keepNext/>
      <w:keepLines/>
      <w:spacing w:before="0" w:after="0" w:line="259" w:lineRule="auto"/>
      <w:jc w:val="left"/>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C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5C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C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C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C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C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C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C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C1E"/>
    <w:rPr>
      <w:rFonts w:eastAsiaTheme="majorEastAsia" w:cstheme="majorBidi"/>
      <w:color w:val="272727" w:themeColor="text1" w:themeTint="D8"/>
    </w:rPr>
  </w:style>
  <w:style w:type="paragraph" w:styleId="Title">
    <w:name w:val="Title"/>
    <w:basedOn w:val="Normal"/>
    <w:next w:val="Normal"/>
    <w:link w:val="TitleChar"/>
    <w:uiPriority w:val="10"/>
    <w:qFormat/>
    <w:rsid w:val="003D5C1E"/>
    <w:pPr>
      <w:spacing w:before="0"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C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C1E"/>
    <w:pPr>
      <w:numPr>
        <w:ilvl w:val="1"/>
      </w:numPr>
      <w:spacing w:before="0" w:after="160"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C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C1E"/>
    <w:pPr>
      <w:spacing w:before="160" w:after="160" w:line="259" w:lineRule="auto"/>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3D5C1E"/>
    <w:rPr>
      <w:i/>
      <w:iCs/>
      <w:color w:val="404040" w:themeColor="text1" w:themeTint="BF"/>
    </w:rPr>
  </w:style>
  <w:style w:type="paragraph" w:styleId="ListParagraph">
    <w:name w:val="List Paragraph"/>
    <w:basedOn w:val="Normal"/>
    <w:uiPriority w:val="34"/>
    <w:qFormat/>
    <w:rsid w:val="003D5C1E"/>
    <w:pPr>
      <w:spacing w:before="0" w:after="160" w:line="259" w:lineRule="auto"/>
      <w:ind w:left="720"/>
      <w:contextualSpacing/>
      <w:jc w:val="left"/>
    </w:pPr>
    <w:rPr>
      <w:rFonts w:asciiTheme="minorHAnsi" w:hAnsiTheme="minorHAnsi"/>
      <w:sz w:val="22"/>
    </w:rPr>
  </w:style>
  <w:style w:type="character" w:styleId="IntenseEmphasis">
    <w:name w:val="Intense Emphasis"/>
    <w:basedOn w:val="DefaultParagraphFont"/>
    <w:uiPriority w:val="21"/>
    <w:qFormat/>
    <w:rsid w:val="003D5C1E"/>
    <w:rPr>
      <w:i/>
      <w:iCs/>
      <w:color w:val="0F4761" w:themeColor="accent1" w:themeShade="BF"/>
    </w:rPr>
  </w:style>
  <w:style w:type="paragraph" w:styleId="IntenseQuote">
    <w:name w:val="Intense Quote"/>
    <w:basedOn w:val="Normal"/>
    <w:next w:val="Normal"/>
    <w:link w:val="IntenseQuoteChar"/>
    <w:uiPriority w:val="30"/>
    <w:qFormat/>
    <w:rsid w:val="003D5C1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rPr>
  </w:style>
  <w:style w:type="character" w:customStyle="1" w:styleId="IntenseQuoteChar">
    <w:name w:val="Intense Quote Char"/>
    <w:basedOn w:val="DefaultParagraphFont"/>
    <w:link w:val="IntenseQuote"/>
    <w:uiPriority w:val="30"/>
    <w:rsid w:val="003D5C1E"/>
    <w:rPr>
      <w:i/>
      <w:iCs/>
      <w:color w:val="0F4761" w:themeColor="accent1" w:themeShade="BF"/>
    </w:rPr>
  </w:style>
  <w:style w:type="character" w:styleId="IntenseReference">
    <w:name w:val="Intense Reference"/>
    <w:basedOn w:val="DefaultParagraphFont"/>
    <w:uiPriority w:val="32"/>
    <w:qFormat/>
    <w:rsid w:val="003D5C1E"/>
    <w:rPr>
      <w:b/>
      <w:bCs/>
      <w:smallCaps/>
      <w:color w:val="0F4761" w:themeColor="accent1" w:themeShade="BF"/>
      <w:spacing w:val="5"/>
    </w:rPr>
  </w:style>
  <w:style w:type="character" w:styleId="CommentReference">
    <w:name w:val="annotation reference"/>
    <w:basedOn w:val="DefaultParagraphFont"/>
    <w:uiPriority w:val="99"/>
    <w:semiHidden/>
    <w:unhideWhenUsed/>
    <w:rsid w:val="00E81CDE"/>
    <w:rPr>
      <w:sz w:val="16"/>
      <w:szCs w:val="16"/>
    </w:rPr>
  </w:style>
  <w:style w:type="paragraph" w:styleId="CommentText">
    <w:name w:val="annotation text"/>
    <w:basedOn w:val="Normal"/>
    <w:link w:val="CommentTextChar"/>
    <w:uiPriority w:val="99"/>
    <w:unhideWhenUsed/>
    <w:rsid w:val="00E81CDE"/>
    <w:pPr>
      <w:spacing w:line="240" w:lineRule="auto"/>
    </w:pPr>
    <w:rPr>
      <w:sz w:val="20"/>
      <w:szCs w:val="20"/>
    </w:rPr>
  </w:style>
  <w:style w:type="character" w:customStyle="1" w:styleId="CommentTextChar">
    <w:name w:val="Comment Text Char"/>
    <w:basedOn w:val="DefaultParagraphFont"/>
    <w:link w:val="CommentText"/>
    <w:uiPriority w:val="99"/>
    <w:rsid w:val="00E81CD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81CDE"/>
    <w:rPr>
      <w:b/>
      <w:bCs/>
    </w:rPr>
  </w:style>
  <w:style w:type="character" w:customStyle="1" w:styleId="CommentSubjectChar">
    <w:name w:val="Comment Subject Char"/>
    <w:basedOn w:val="CommentTextChar"/>
    <w:link w:val="CommentSubject"/>
    <w:uiPriority w:val="99"/>
    <w:semiHidden/>
    <w:rsid w:val="00E81CDE"/>
    <w:rPr>
      <w:rFonts w:ascii="Times New Roman" w:hAnsi="Times New Roman"/>
      <w:b/>
      <w:bCs/>
      <w:sz w:val="20"/>
      <w:szCs w:val="20"/>
    </w:rPr>
  </w:style>
  <w:style w:type="character" w:styleId="Hyperlink">
    <w:name w:val="Hyperlink"/>
    <w:basedOn w:val="DefaultParagraphFont"/>
    <w:uiPriority w:val="99"/>
    <w:unhideWhenUsed/>
    <w:rsid w:val="00F35D17"/>
    <w:rPr>
      <w:color w:val="467886" w:themeColor="hyperlink"/>
      <w:u w:val="single"/>
    </w:rPr>
  </w:style>
  <w:style w:type="character" w:styleId="UnresolvedMention">
    <w:name w:val="Unresolved Mention"/>
    <w:basedOn w:val="DefaultParagraphFont"/>
    <w:uiPriority w:val="99"/>
    <w:semiHidden/>
    <w:unhideWhenUsed/>
    <w:rsid w:val="00F35D17"/>
    <w:rPr>
      <w:color w:val="605E5C"/>
      <w:shd w:val="clear" w:color="auto" w:fill="E1DFDD"/>
    </w:rPr>
  </w:style>
  <w:style w:type="paragraph" w:styleId="NormalWeb">
    <w:name w:val="Normal (Web)"/>
    <w:basedOn w:val="Normal"/>
    <w:uiPriority w:val="99"/>
    <w:semiHidden/>
    <w:unhideWhenUsed/>
    <w:rsid w:val="00777A20"/>
    <w:pPr>
      <w:spacing w:before="100" w:beforeAutospacing="1" w:after="100" w:afterAutospacing="1" w:line="240" w:lineRule="auto"/>
      <w:jc w:val="left"/>
    </w:pPr>
    <w:rPr>
      <w:rFonts w:eastAsia="Times New Roman" w:cs="Times New Roman"/>
      <w:kern w:val="0"/>
      <w:szCs w:val="24"/>
      <w:lang w:eastAsia="en-GB"/>
      <w14:ligatures w14:val="none"/>
    </w:rPr>
  </w:style>
  <w:style w:type="character" w:styleId="Emphasis">
    <w:name w:val="Emphasis"/>
    <w:basedOn w:val="DefaultParagraphFont"/>
    <w:uiPriority w:val="20"/>
    <w:qFormat/>
    <w:rsid w:val="00C776C2"/>
    <w:rPr>
      <w:i/>
      <w:iCs/>
    </w:rPr>
  </w:style>
  <w:style w:type="character" w:customStyle="1" w:styleId="typography-body">
    <w:name w:val="typography-body"/>
    <w:basedOn w:val="DefaultParagraphFont"/>
    <w:rsid w:val="00520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842">
      <w:bodyDiv w:val="1"/>
      <w:marLeft w:val="0"/>
      <w:marRight w:val="0"/>
      <w:marTop w:val="0"/>
      <w:marBottom w:val="0"/>
      <w:divBdr>
        <w:top w:val="none" w:sz="0" w:space="0" w:color="auto"/>
        <w:left w:val="none" w:sz="0" w:space="0" w:color="auto"/>
        <w:bottom w:val="none" w:sz="0" w:space="0" w:color="auto"/>
        <w:right w:val="none" w:sz="0" w:space="0" w:color="auto"/>
      </w:divBdr>
    </w:div>
    <w:div w:id="1115979026">
      <w:bodyDiv w:val="1"/>
      <w:marLeft w:val="0"/>
      <w:marRight w:val="0"/>
      <w:marTop w:val="0"/>
      <w:marBottom w:val="0"/>
      <w:divBdr>
        <w:top w:val="none" w:sz="0" w:space="0" w:color="auto"/>
        <w:left w:val="none" w:sz="0" w:space="0" w:color="auto"/>
        <w:bottom w:val="none" w:sz="0" w:space="0" w:color="auto"/>
        <w:right w:val="none" w:sz="0" w:space="0" w:color="auto"/>
      </w:divBdr>
      <w:divsChild>
        <w:div w:id="157427990">
          <w:marLeft w:val="0"/>
          <w:marRight w:val="0"/>
          <w:marTop w:val="0"/>
          <w:marBottom w:val="0"/>
          <w:divBdr>
            <w:top w:val="none" w:sz="0" w:space="0" w:color="auto"/>
            <w:left w:val="none" w:sz="0" w:space="0" w:color="auto"/>
            <w:bottom w:val="none" w:sz="0" w:space="0" w:color="auto"/>
            <w:right w:val="none" w:sz="0" w:space="0" w:color="auto"/>
          </w:divBdr>
          <w:divsChild>
            <w:div w:id="294139267">
              <w:marLeft w:val="0"/>
              <w:marRight w:val="0"/>
              <w:marTop w:val="0"/>
              <w:marBottom w:val="0"/>
              <w:divBdr>
                <w:top w:val="none" w:sz="0" w:space="0" w:color="auto"/>
                <w:left w:val="none" w:sz="0" w:space="0" w:color="auto"/>
                <w:bottom w:val="none" w:sz="0" w:space="0" w:color="auto"/>
                <w:right w:val="none" w:sz="0" w:space="0" w:color="auto"/>
              </w:divBdr>
              <w:divsChild>
                <w:div w:id="70487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952960">
      <w:bodyDiv w:val="1"/>
      <w:marLeft w:val="0"/>
      <w:marRight w:val="0"/>
      <w:marTop w:val="0"/>
      <w:marBottom w:val="0"/>
      <w:divBdr>
        <w:top w:val="none" w:sz="0" w:space="0" w:color="auto"/>
        <w:left w:val="none" w:sz="0" w:space="0" w:color="auto"/>
        <w:bottom w:val="none" w:sz="0" w:space="0" w:color="auto"/>
        <w:right w:val="none" w:sz="0" w:space="0" w:color="auto"/>
      </w:divBdr>
      <w:divsChild>
        <w:div w:id="1138035357">
          <w:marLeft w:val="0"/>
          <w:marRight w:val="0"/>
          <w:marTop w:val="0"/>
          <w:marBottom w:val="0"/>
          <w:divBdr>
            <w:top w:val="none" w:sz="0" w:space="0" w:color="auto"/>
            <w:left w:val="none" w:sz="0" w:space="0" w:color="auto"/>
            <w:bottom w:val="none" w:sz="0" w:space="0" w:color="auto"/>
            <w:right w:val="none" w:sz="0" w:space="0" w:color="auto"/>
          </w:divBdr>
          <w:divsChild>
            <w:div w:id="67310935">
              <w:marLeft w:val="0"/>
              <w:marRight w:val="0"/>
              <w:marTop w:val="0"/>
              <w:marBottom w:val="0"/>
              <w:divBdr>
                <w:top w:val="none" w:sz="0" w:space="0" w:color="auto"/>
                <w:left w:val="none" w:sz="0" w:space="0" w:color="auto"/>
                <w:bottom w:val="none" w:sz="0" w:space="0" w:color="auto"/>
                <w:right w:val="none" w:sz="0" w:space="0" w:color="auto"/>
              </w:divBdr>
              <w:divsChild>
                <w:div w:id="113706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72577">
      <w:bodyDiv w:val="1"/>
      <w:marLeft w:val="0"/>
      <w:marRight w:val="0"/>
      <w:marTop w:val="0"/>
      <w:marBottom w:val="0"/>
      <w:divBdr>
        <w:top w:val="none" w:sz="0" w:space="0" w:color="auto"/>
        <w:left w:val="none" w:sz="0" w:space="0" w:color="auto"/>
        <w:bottom w:val="none" w:sz="0" w:space="0" w:color="auto"/>
        <w:right w:val="none" w:sz="0" w:space="0" w:color="auto"/>
      </w:divBdr>
    </w:div>
    <w:div w:id="1414473492">
      <w:bodyDiv w:val="1"/>
      <w:marLeft w:val="0"/>
      <w:marRight w:val="0"/>
      <w:marTop w:val="0"/>
      <w:marBottom w:val="0"/>
      <w:divBdr>
        <w:top w:val="none" w:sz="0" w:space="0" w:color="auto"/>
        <w:left w:val="none" w:sz="0" w:space="0" w:color="auto"/>
        <w:bottom w:val="none" w:sz="0" w:space="0" w:color="auto"/>
        <w:right w:val="none" w:sz="0" w:space="0" w:color="auto"/>
      </w:divBdr>
      <w:divsChild>
        <w:div w:id="1759714071">
          <w:marLeft w:val="0"/>
          <w:marRight w:val="0"/>
          <w:marTop w:val="0"/>
          <w:marBottom w:val="0"/>
          <w:divBdr>
            <w:top w:val="none" w:sz="0" w:space="0" w:color="auto"/>
            <w:left w:val="none" w:sz="0" w:space="0" w:color="auto"/>
            <w:bottom w:val="none" w:sz="0" w:space="0" w:color="auto"/>
            <w:right w:val="none" w:sz="0" w:space="0" w:color="auto"/>
          </w:divBdr>
          <w:divsChild>
            <w:div w:id="1516575592">
              <w:marLeft w:val="0"/>
              <w:marRight w:val="0"/>
              <w:marTop w:val="0"/>
              <w:marBottom w:val="0"/>
              <w:divBdr>
                <w:top w:val="none" w:sz="0" w:space="0" w:color="auto"/>
                <w:left w:val="none" w:sz="0" w:space="0" w:color="auto"/>
                <w:bottom w:val="none" w:sz="0" w:space="0" w:color="auto"/>
                <w:right w:val="none" w:sz="0" w:space="0" w:color="auto"/>
              </w:divBdr>
              <w:divsChild>
                <w:div w:id="178049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729798">
      <w:bodyDiv w:val="1"/>
      <w:marLeft w:val="0"/>
      <w:marRight w:val="0"/>
      <w:marTop w:val="0"/>
      <w:marBottom w:val="0"/>
      <w:divBdr>
        <w:top w:val="none" w:sz="0" w:space="0" w:color="auto"/>
        <w:left w:val="none" w:sz="0" w:space="0" w:color="auto"/>
        <w:bottom w:val="none" w:sz="0" w:space="0" w:color="auto"/>
        <w:right w:val="none" w:sz="0" w:space="0" w:color="auto"/>
      </w:divBdr>
      <w:divsChild>
        <w:div w:id="1072197942">
          <w:marLeft w:val="0"/>
          <w:marRight w:val="0"/>
          <w:marTop w:val="0"/>
          <w:marBottom w:val="0"/>
          <w:divBdr>
            <w:top w:val="none" w:sz="0" w:space="0" w:color="auto"/>
            <w:left w:val="none" w:sz="0" w:space="0" w:color="auto"/>
            <w:bottom w:val="none" w:sz="0" w:space="0" w:color="auto"/>
            <w:right w:val="none" w:sz="0" w:space="0" w:color="auto"/>
          </w:divBdr>
          <w:divsChild>
            <w:div w:id="93789124">
              <w:marLeft w:val="0"/>
              <w:marRight w:val="0"/>
              <w:marTop w:val="0"/>
              <w:marBottom w:val="0"/>
              <w:divBdr>
                <w:top w:val="none" w:sz="0" w:space="0" w:color="auto"/>
                <w:left w:val="none" w:sz="0" w:space="0" w:color="auto"/>
                <w:bottom w:val="none" w:sz="0" w:space="0" w:color="auto"/>
                <w:right w:val="none" w:sz="0" w:space="0" w:color="auto"/>
              </w:divBdr>
              <w:divsChild>
                <w:div w:id="2799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033772">
      <w:bodyDiv w:val="1"/>
      <w:marLeft w:val="0"/>
      <w:marRight w:val="0"/>
      <w:marTop w:val="0"/>
      <w:marBottom w:val="0"/>
      <w:divBdr>
        <w:top w:val="none" w:sz="0" w:space="0" w:color="auto"/>
        <w:left w:val="none" w:sz="0" w:space="0" w:color="auto"/>
        <w:bottom w:val="none" w:sz="0" w:space="0" w:color="auto"/>
        <w:right w:val="none" w:sz="0" w:space="0" w:color="auto"/>
      </w:divBdr>
    </w:div>
    <w:div w:id="2106072475">
      <w:bodyDiv w:val="1"/>
      <w:marLeft w:val="0"/>
      <w:marRight w:val="0"/>
      <w:marTop w:val="0"/>
      <w:marBottom w:val="0"/>
      <w:divBdr>
        <w:top w:val="none" w:sz="0" w:space="0" w:color="auto"/>
        <w:left w:val="none" w:sz="0" w:space="0" w:color="auto"/>
        <w:bottom w:val="none" w:sz="0" w:space="0" w:color="auto"/>
        <w:right w:val="none" w:sz="0" w:space="0" w:color="auto"/>
      </w:divBdr>
      <w:divsChild>
        <w:div w:id="1863786244">
          <w:marLeft w:val="0"/>
          <w:marRight w:val="0"/>
          <w:marTop w:val="0"/>
          <w:marBottom w:val="0"/>
          <w:divBdr>
            <w:top w:val="none" w:sz="0" w:space="0" w:color="auto"/>
            <w:left w:val="none" w:sz="0" w:space="0" w:color="auto"/>
            <w:bottom w:val="none" w:sz="0" w:space="0" w:color="auto"/>
            <w:right w:val="none" w:sz="0" w:space="0" w:color="auto"/>
          </w:divBdr>
          <w:divsChild>
            <w:div w:id="223302278">
              <w:marLeft w:val="0"/>
              <w:marRight w:val="0"/>
              <w:marTop w:val="0"/>
              <w:marBottom w:val="0"/>
              <w:divBdr>
                <w:top w:val="none" w:sz="0" w:space="0" w:color="auto"/>
                <w:left w:val="none" w:sz="0" w:space="0" w:color="auto"/>
                <w:bottom w:val="none" w:sz="0" w:space="0" w:color="auto"/>
                <w:right w:val="none" w:sz="0" w:space="0" w:color="auto"/>
              </w:divBdr>
              <w:divsChild>
                <w:div w:id="136224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39/ssrn.332802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x.doi.org/10.2139/ssrn.421320" TargetMode="External"/><Relationship Id="rId12" Type="http://schemas.openxmlformats.org/officeDocument/2006/relationships/hyperlink" Target="https://scholarlycommons.law.case.edu/caselrev/vol46/iss4/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emanticscholar.org/paper/The-Dynamics-of-Common-Law-Evolution-Brodie/2e2bcc40bd71586e2980a2f5d997f294e2e30d4b" TargetMode="External"/><Relationship Id="rId11" Type="http://schemas.openxmlformats.org/officeDocument/2006/relationships/hyperlink" Target="https://doi.org/10.1163/ej.9789004164635.i-336.21" TargetMode="External"/><Relationship Id="rId5" Type="http://schemas.openxmlformats.org/officeDocument/2006/relationships/hyperlink" Target="https://www.jstor.org/stable/26965833" TargetMode="External"/><Relationship Id="rId10" Type="http://schemas.openxmlformats.org/officeDocument/2006/relationships/hyperlink" Target="https://www.jstor.org/stable/3109652" TargetMode="External"/><Relationship Id="rId4" Type="http://schemas.openxmlformats.org/officeDocument/2006/relationships/webSettings" Target="webSettings.xml"/><Relationship Id="rId9" Type="http://schemas.openxmlformats.org/officeDocument/2006/relationships/hyperlink" Target="https://chicagounbound.uchicago.edu/journal_artic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7</Pages>
  <Words>3009</Words>
  <Characters>17153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 (2029151)</dc:creator>
  <cp:keywords/>
  <dc:description/>
  <cp:lastModifiedBy>Mukta Khan (2029151)</cp:lastModifiedBy>
  <cp:revision>272</cp:revision>
  <dcterms:created xsi:type="dcterms:W3CDTF">2024-03-15T19:23:00Z</dcterms:created>
  <dcterms:modified xsi:type="dcterms:W3CDTF">2024-03-15T23:16:00Z</dcterms:modified>
</cp:coreProperties>
</file>