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B8F5F" w14:textId="77777777" w:rsidR="00E177DD" w:rsidRPr="00934EF8" w:rsidRDefault="00E177DD" w:rsidP="00382E98">
      <w:pPr>
        <w:spacing w:after="200" w:line="360" w:lineRule="auto"/>
        <w:rPr>
          <w:rFonts w:ascii="Arial" w:eastAsia="Times New Roman" w:hAnsi="Arial" w:cs="Arial"/>
          <w:kern w:val="0"/>
          <w:lang w:val="en-US"/>
          <w14:ligatures w14:val="none"/>
        </w:rPr>
      </w:pPr>
    </w:p>
    <w:p w14:paraId="6521367E" w14:textId="052F6951" w:rsidR="000D1AAA" w:rsidRPr="00934EF8" w:rsidRDefault="000D1AAA" w:rsidP="00726AD7">
      <w:pPr>
        <w:spacing w:after="200" w:line="360" w:lineRule="auto"/>
        <w:jc w:val="center"/>
        <w:rPr>
          <w:rFonts w:ascii="Arial" w:eastAsia="Times New Roman" w:hAnsi="Arial" w:cs="Arial"/>
          <w:kern w:val="0"/>
          <w:lang w:val="en-US"/>
          <w14:ligatures w14:val="none"/>
        </w:rPr>
      </w:pPr>
      <w:r w:rsidRPr="00BC2FD2">
        <w:rPr>
          <w:rFonts w:ascii="Times New Roman" w:eastAsia="Calibri" w:hAnsi="Times New Roman" w:cs="Times New Roman"/>
          <w:noProof/>
          <w:kern w:val="0"/>
          <w:lang w:val="en-US"/>
          <w14:ligatures w14:val="none"/>
        </w:rPr>
        <w:drawing>
          <wp:inline distT="0" distB="0" distL="0" distR="0" wp14:anchorId="1BEFAD33" wp14:editId="7DAE51B5">
            <wp:extent cx="3324225" cy="1279416"/>
            <wp:effectExtent l="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Trinity Saint David  - MATLAB Access for Everyone - MATLAB &amp; Simulin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7471" cy="1288363"/>
                    </a:xfrm>
                    <a:prstGeom prst="rect">
                      <a:avLst/>
                    </a:prstGeom>
                    <a:noFill/>
                    <a:ln>
                      <a:noFill/>
                    </a:ln>
                  </pic:spPr>
                </pic:pic>
              </a:graphicData>
            </a:graphic>
          </wp:inline>
        </w:drawing>
      </w:r>
    </w:p>
    <w:p w14:paraId="65FD1D75" w14:textId="77777777" w:rsidR="00E177DD" w:rsidRDefault="00E177DD" w:rsidP="00382E98">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5B3248F6" w14:textId="187545A2" w:rsidR="002F1CEA" w:rsidRPr="002F1CEA" w:rsidRDefault="002F1CEA" w:rsidP="00726AD7">
      <w:pPr>
        <w:spacing w:before="100" w:beforeAutospacing="1" w:after="100" w:afterAutospacing="1" w:line="240" w:lineRule="auto"/>
        <w:jc w:val="center"/>
        <w:rPr>
          <w:rFonts w:ascii="Times New Roman" w:eastAsia="Times New Roman" w:hAnsi="Times New Roman" w:cs="Times New Roman"/>
          <w:kern w:val="0"/>
          <w:sz w:val="36"/>
          <w:szCs w:val="36"/>
          <w:lang w:eastAsia="en-GB"/>
          <w14:ligatures w14:val="none"/>
        </w:rPr>
      </w:pPr>
      <w:r w:rsidRPr="002F1CEA">
        <w:rPr>
          <w:rFonts w:ascii="Times New Roman" w:eastAsia="Times New Roman" w:hAnsi="Times New Roman" w:cs="Times New Roman"/>
          <w:b/>
          <w:bCs/>
          <w:kern w:val="0"/>
          <w:sz w:val="36"/>
          <w:szCs w:val="36"/>
          <w:lang w:eastAsia="en-GB"/>
          <w14:ligatures w14:val="none"/>
        </w:rPr>
        <w:t>BA (Hons) International Hotel Management – 3 Year</w:t>
      </w:r>
    </w:p>
    <w:p w14:paraId="6C04F192" w14:textId="77777777" w:rsidR="00E177DD" w:rsidRDefault="00E177DD" w:rsidP="00E177D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325EE0B" w14:textId="6930E101" w:rsidR="002F1CEA" w:rsidRPr="002733C7" w:rsidRDefault="002F1CEA" w:rsidP="008B701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Module Title:</w:t>
      </w:r>
      <w:r w:rsidRPr="002733C7">
        <w:rPr>
          <w:rFonts w:ascii="Times New Roman" w:eastAsia="Times New Roman" w:hAnsi="Times New Roman" w:cs="Times New Roman"/>
          <w:kern w:val="0"/>
          <w:lang w:eastAsia="en-GB"/>
          <w14:ligatures w14:val="none"/>
        </w:rPr>
        <w:t xml:space="preserve"> Contemporary Themes in the Hotel and Hospitality Sector</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Module Code:</w:t>
      </w:r>
      <w:r w:rsidRPr="002733C7">
        <w:rPr>
          <w:rFonts w:ascii="Times New Roman" w:eastAsia="Times New Roman" w:hAnsi="Times New Roman" w:cs="Times New Roman"/>
          <w:kern w:val="0"/>
          <w:lang w:eastAsia="en-GB"/>
          <w14:ligatures w14:val="none"/>
        </w:rPr>
        <w:t xml:space="preserve"> BMIH6001</w:t>
      </w:r>
    </w:p>
    <w:p w14:paraId="5129EC52" w14:textId="77777777" w:rsidR="002F1CEA" w:rsidRPr="008B701A" w:rsidRDefault="002F1CEA" w:rsidP="008B701A">
      <w:pPr>
        <w:spacing w:before="100" w:beforeAutospacing="1" w:after="100" w:afterAutospacing="1" w:line="360" w:lineRule="auto"/>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Assignment Title:</w:t>
      </w:r>
      <w:r w:rsidRPr="002733C7">
        <w:rPr>
          <w:rFonts w:ascii="Times New Roman" w:eastAsia="Times New Roman" w:hAnsi="Times New Roman" w:cs="Times New Roman"/>
          <w:kern w:val="0"/>
          <w:lang w:eastAsia="en-GB"/>
          <w14:ligatures w14:val="none"/>
        </w:rPr>
        <w:br/>
      </w:r>
      <w:r w:rsidRPr="008B701A">
        <w:rPr>
          <w:rFonts w:ascii="Times New Roman" w:eastAsia="Times New Roman" w:hAnsi="Times New Roman" w:cs="Times New Roman"/>
          <w:b/>
          <w:bCs/>
          <w:i/>
          <w:iCs/>
          <w:kern w:val="0"/>
          <w:lang w:eastAsia="en-GB"/>
          <w14:ligatures w14:val="none"/>
        </w:rPr>
        <w:t>The Road to Sustainability: Renewable Energy Integration in Hotel Operations</w:t>
      </w:r>
    </w:p>
    <w:p w14:paraId="505BD4D6" w14:textId="389D880B" w:rsidR="002F1CEA" w:rsidRPr="002733C7" w:rsidRDefault="002F1CEA" w:rsidP="002733C7">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2733C7">
        <w:rPr>
          <w:rFonts w:ascii="Times New Roman" w:eastAsia="Times New Roman" w:hAnsi="Times New Roman" w:cs="Times New Roman"/>
          <w:b/>
          <w:bCs/>
          <w:kern w:val="0"/>
          <w:lang w:eastAsia="en-GB"/>
          <w14:ligatures w14:val="none"/>
        </w:rPr>
        <w:t>Submitted by:</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Name:</w:t>
      </w:r>
      <w:r w:rsidRPr="002733C7">
        <w:rPr>
          <w:rFonts w:ascii="Times New Roman" w:eastAsia="Times New Roman" w:hAnsi="Times New Roman" w:cs="Times New Roman"/>
          <w:kern w:val="0"/>
          <w:lang w:eastAsia="en-GB"/>
          <w14:ligatures w14:val="none"/>
        </w:rPr>
        <w:t xml:space="preserve"> Rezaul Rabbani</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Student ID:</w:t>
      </w:r>
      <w:r w:rsidRPr="002733C7">
        <w:rPr>
          <w:rFonts w:ascii="Times New Roman" w:eastAsia="Times New Roman" w:hAnsi="Times New Roman" w:cs="Times New Roman"/>
          <w:kern w:val="0"/>
          <w:lang w:eastAsia="en-GB"/>
          <w14:ligatures w14:val="none"/>
        </w:rPr>
        <w:t xml:space="preserve"> 1813391</w:t>
      </w:r>
    </w:p>
    <w:p w14:paraId="27873E50" w14:textId="61E01D47" w:rsidR="00382E98" w:rsidRPr="002733C7" w:rsidRDefault="002F1CEA" w:rsidP="002733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Lecturer:</w:t>
      </w:r>
      <w:r w:rsidRPr="002733C7">
        <w:rPr>
          <w:rFonts w:ascii="Times New Roman" w:eastAsia="Times New Roman" w:hAnsi="Times New Roman" w:cs="Times New Roman"/>
          <w:kern w:val="0"/>
          <w:lang w:eastAsia="en-GB"/>
          <w14:ligatures w14:val="none"/>
        </w:rPr>
        <w:t xml:space="preserve"> Dr Ernest </w:t>
      </w:r>
      <w:proofErr w:type="spellStart"/>
      <w:r w:rsidRPr="002733C7">
        <w:rPr>
          <w:rFonts w:ascii="Times New Roman" w:eastAsia="Times New Roman" w:hAnsi="Times New Roman" w:cs="Times New Roman"/>
          <w:kern w:val="0"/>
          <w:lang w:eastAsia="en-GB"/>
          <w14:ligatures w14:val="none"/>
        </w:rPr>
        <w:t>Balutie</w:t>
      </w:r>
      <w:proofErr w:type="spellEnd"/>
      <w:r w:rsidRPr="002733C7">
        <w:rPr>
          <w:rFonts w:ascii="Times New Roman" w:eastAsia="Times New Roman" w:hAnsi="Times New Roman" w:cs="Times New Roman"/>
          <w:kern w:val="0"/>
          <w:lang w:eastAsia="en-GB"/>
          <w14:ligatures w14:val="none"/>
        </w:rPr>
        <w:t xml:space="preserve"> </w:t>
      </w:r>
      <w:proofErr w:type="spellStart"/>
      <w:r w:rsidRPr="002733C7">
        <w:rPr>
          <w:rFonts w:ascii="Times New Roman" w:eastAsia="Times New Roman" w:hAnsi="Times New Roman" w:cs="Times New Roman"/>
          <w:kern w:val="0"/>
          <w:lang w:eastAsia="en-GB"/>
          <w14:ligatures w14:val="none"/>
        </w:rPr>
        <w:t>Wavei</w:t>
      </w:r>
      <w:proofErr w:type="spellEnd"/>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Word Count:</w:t>
      </w:r>
      <w:r w:rsidRPr="002733C7">
        <w:rPr>
          <w:rFonts w:ascii="Times New Roman" w:eastAsia="Times New Roman" w:hAnsi="Times New Roman" w:cs="Times New Roman"/>
          <w:kern w:val="0"/>
          <w:lang w:eastAsia="en-GB"/>
          <w14:ligatures w14:val="none"/>
        </w:rPr>
        <w:t xml:space="preserve"> </w:t>
      </w:r>
      <w:r w:rsidR="008B701A">
        <w:rPr>
          <w:rFonts w:ascii="Times New Roman" w:eastAsia="Times New Roman" w:hAnsi="Times New Roman" w:cs="Times New Roman"/>
          <w:kern w:val="0"/>
          <w:lang w:eastAsia="en-GB"/>
          <w14:ligatures w14:val="none"/>
        </w:rPr>
        <w:t>2574</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Submission Date:</w:t>
      </w:r>
      <w:r w:rsidRPr="002733C7">
        <w:rPr>
          <w:rFonts w:ascii="Times New Roman" w:eastAsia="Times New Roman" w:hAnsi="Times New Roman" w:cs="Times New Roman"/>
          <w:kern w:val="0"/>
          <w:lang w:eastAsia="en-GB"/>
          <w14:ligatures w14:val="none"/>
        </w:rPr>
        <w:t xml:space="preserve"> </w:t>
      </w:r>
      <w:r w:rsidR="008B701A">
        <w:rPr>
          <w:rFonts w:ascii="Times New Roman" w:eastAsia="Times New Roman" w:hAnsi="Times New Roman" w:cs="Times New Roman"/>
          <w:kern w:val="0"/>
          <w:lang w:eastAsia="en-GB"/>
          <w14:ligatures w14:val="none"/>
        </w:rPr>
        <w:t>26</w:t>
      </w:r>
      <w:r w:rsidR="008B701A" w:rsidRPr="008B701A">
        <w:rPr>
          <w:rFonts w:ascii="Times New Roman" w:eastAsia="Times New Roman" w:hAnsi="Times New Roman" w:cs="Times New Roman"/>
          <w:kern w:val="0"/>
          <w:vertAlign w:val="superscript"/>
          <w:lang w:eastAsia="en-GB"/>
          <w14:ligatures w14:val="none"/>
        </w:rPr>
        <w:t>th</w:t>
      </w:r>
      <w:r w:rsidR="008B701A">
        <w:rPr>
          <w:rFonts w:ascii="Times New Roman" w:eastAsia="Times New Roman" w:hAnsi="Times New Roman" w:cs="Times New Roman"/>
          <w:kern w:val="0"/>
          <w:lang w:eastAsia="en-GB"/>
          <w14:ligatures w14:val="none"/>
        </w:rPr>
        <w:t xml:space="preserve"> May 2025</w:t>
      </w:r>
    </w:p>
    <w:p w14:paraId="41DE75EA" w14:textId="77777777" w:rsidR="00382E98" w:rsidRPr="002733C7" w:rsidRDefault="00382E98"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2CE0D0DF" w14:textId="0A6E3B1D" w:rsidR="00382E98" w:rsidRPr="002733C7" w:rsidRDefault="00382E98"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val="en-US"/>
          <w14:ligatures w14:val="none"/>
        </w:rPr>
        <w:t>AI Acknowledgement Statement</w:t>
      </w:r>
    </w:p>
    <w:p w14:paraId="57786943" w14:textId="5A37AA2E" w:rsidR="009B2B81" w:rsidRDefault="00382E98" w:rsidP="002733C7">
      <w:pPr>
        <w:spacing w:after="200" w:line="360" w:lineRule="auto"/>
        <w:jc w:val="both"/>
        <w:rPr>
          <w:rFonts w:ascii="Times New Roman" w:eastAsia="Calibri" w:hAnsi="Times New Roman" w:cs="Times New Roman"/>
          <w:kern w:val="0"/>
          <w:lang w:val="en-US"/>
          <w14:ligatures w14:val="none"/>
        </w:rPr>
      </w:pPr>
      <w:r w:rsidRPr="002733C7">
        <w:rPr>
          <w:rFonts w:ascii="Times New Roman" w:eastAsia="Calibri" w:hAnsi="Times New Roman" w:cs="Times New Roman"/>
          <w:kern w:val="0"/>
          <w:lang w:val="en-US"/>
          <w14:ligatures w14:val="none"/>
        </w:rPr>
        <w:t>“I confirm that I have not presented any AI generated text as my own work. I confirm I have copies of my drafts, notes and any other resources I used before and after the use of AI tools which I may be asked to provide in evidence”</w:t>
      </w:r>
    </w:p>
    <w:p w14:paraId="0BEC728B" w14:textId="77777777" w:rsidR="002733C7" w:rsidRDefault="002733C7" w:rsidP="002733C7">
      <w:pPr>
        <w:spacing w:line="360" w:lineRule="auto"/>
        <w:jc w:val="both"/>
        <w:rPr>
          <w:rFonts w:ascii="Times New Roman" w:eastAsia="Calibri" w:hAnsi="Times New Roman" w:cs="Times New Roman"/>
          <w:kern w:val="0"/>
          <w:lang w:val="en-US"/>
          <w14:ligatures w14:val="none"/>
        </w:rPr>
      </w:pPr>
    </w:p>
    <w:p w14:paraId="6A7ED788" w14:textId="77777777" w:rsidR="002733C7" w:rsidRDefault="002733C7" w:rsidP="002733C7">
      <w:pPr>
        <w:spacing w:line="360" w:lineRule="auto"/>
        <w:jc w:val="both"/>
        <w:rPr>
          <w:rFonts w:ascii="Times New Roman" w:eastAsia="Calibri" w:hAnsi="Times New Roman" w:cs="Times New Roman"/>
          <w:kern w:val="0"/>
          <w:lang w:val="en-US"/>
          <w14:ligatures w14:val="none"/>
        </w:rPr>
      </w:pPr>
    </w:p>
    <w:p w14:paraId="6B417A6C" w14:textId="4A026A6F" w:rsidR="00886D6A" w:rsidRPr="002733C7" w:rsidRDefault="00D67F43" w:rsidP="002733C7">
      <w:pPr>
        <w:spacing w:line="360" w:lineRule="auto"/>
        <w:jc w:val="both"/>
        <w:rPr>
          <w:rFonts w:ascii="Times New Roman" w:hAnsi="Times New Roman" w:cs="Times New Roman"/>
          <w:b/>
          <w:bCs/>
          <w:lang w:eastAsia="en-GB"/>
        </w:rPr>
      </w:pPr>
      <w:r w:rsidRPr="002733C7">
        <w:rPr>
          <w:rFonts w:ascii="Times New Roman" w:hAnsi="Times New Roman" w:cs="Times New Roman"/>
          <w:b/>
          <w:bCs/>
          <w:lang w:eastAsia="en-GB"/>
        </w:rPr>
        <w:lastRenderedPageBreak/>
        <w:t>Abstract</w:t>
      </w:r>
    </w:p>
    <w:p w14:paraId="64E74C8F" w14:textId="6351CE46" w:rsidR="00D67F43" w:rsidRPr="002733C7" w:rsidRDefault="00FC5B31" w:rsidP="002733C7">
      <w:pPr>
        <w:spacing w:line="360" w:lineRule="auto"/>
        <w:jc w:val="both"/>
        <w:rPr>
          <w:rFonts w:ascii="Times New Roman" w:hAnsi="Times New Roman" w:cs="Times New Roman"/>
          <w:b/>
          <w:bCs/>
          <w:lang w:eastAsia="en-GB"/>
        </w:rPr>
      </w:pPr>
      <w:r w:rsidRPr="002733C7">
        <w:rPr>
          <w:rFonts w:ascii="Times New Roman" w:hAnsi="Times New Roman" w:cs="Times New Roman"/>
        </w:rPr>
        <w:t>The</w:t>
      </w:r>
      <w:r w:rsidR="006063E0" w:rsidRPr="002733C7">
        <w:rPr>
          <w:rFonts w:ascii="Times New Roman" w:hAnsi="Times New Roman" w:cs="Times New Roman"/>
        </w:rPr>
        <w:t xml:space="preserve"> </w:t>
      </w:r>
      <w:r w:rsidRPr="002733C7">
        <w:rPr>
          <w:rFonts w:ascii="Times New Roman" w:hAnsi="Times New Roman" w:cs="Times New Roman"/>
        </w:rPr>
        <w:t>hospitality sector significantly contributes to global energy consumption and environmental degradation, particularly through traditional energy systems in hotel operations. In the context of growing environmental awareness and international commitments such as the Paris Agreement, this research explores the integration of renewable energy technologies and energy efficiency strategies in the hotel industry. Through a comprehensive review of literature and analysis of case studies across Europe, North Africa, and Asia, the study highlights feasible sustainable energy solutions for hotels, including solar photovoltaic systems, geothermal energy, hybrid systems, and the use of green roofs. The findings indicate not only ecological benefits but also improved financial viability and enhanced brand image. Organisational culture, leadership, employee engagement, and customer demand for sustainable experiences emerge as pivotal factors in the successful adoption of green practices. The paper concludes with policy recommendations and future directions to encourage deeper integration of renewable energy in hospitality, especially considering current geopolitical tensions and evolving guest expectations.</w:t>
      </w:r>
    </w:p>
    <w:p w14:paraId="1B12BA55"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170F16F0"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5E6E04AF"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22BA0E0A"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1E2DBDB9"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76A07A95"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57F7ADF4"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543D51FB" w14:textId="77777777" w:rsidR="002B755D" w:rsidRPr="002733C7" w:rsidRDefault="002B755D" w:rsidP="002733C7">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0AA88FF2" w14:textId="77777777" w:rsidR="00054936" w:rsidRPr="002733C7" w:rsidRDefault="00054936" w:rsidP="002733C7">
      <w:pPr>
        <w:spacing w:line="360" w:lineRule="auto"/>
        <w:jc w:val="both"/>
        <w:rPr>
          <w:rFonts w:ascii="Times New Roman" w:hAnsi="Times New Roman" w:cs="Times New Roman"/>
          <w:b/>
          <w:bCs/>
        </w:rPr>
      </w:pPr>
      <w:bookmarkStart w:id="0" w:name="_Toc197162613"/>
    </w:p>
    <w:p w14:paraId="15D12049" w14:textId="77777777" w:rsidR="002733C7" w:rsidRDefault="002733C7" w:rsidP="002733C7">
      <w:pPr>
        <w:spacing w:line="360" w:lineRule="auto"/>
        <w:jc w:val="both"/>
        <w:rPr>
          <w:rFonts w:ascii="Times New Roman" w:hAnsi="Times New Roman" w:cs="Times New Roman"/>
          <w:b/>
          <w:bCs/>
        </w:rPr>
      </w:pPr>
    </w:p>
    <w:p w14:paraId="5E3FD79B" w14:textId="77777777" w:rsidR="002733C7" w:rsidRDefault="002733C7" w:rsidP="002733C7">
      <w:pPr>
        <w:spacing w:line="360" w:lineRule="auto"/>
        <w:jc w:val="both"/>
        <w:rPr>
          <w:rFonts w:ascii="Times New Roman" w:hAnsi="Times New Roman" w:cs="Times New Roman"/>
          <w:b/>
          <w:bCs/>
        </w:rPr>
      </w:pPr>
    </w:p>
    <w:p w14:paraId="4F7AE161" w14:textId="3825148A" w:rsidR="00886D6A" w:rsidRPr="002733C7" w:rsidRDefault="00576204" w:rsidP="002733C7">
      <w:pPr>
        <w:spacing w:line="360" w:lineRule="auto"/>
        <w:jc w:val="both"/>
        <w:rPr>
          <w:rFonts w:ascii="Times New Roman" w:hAnsi="Times New Roman" w:cs="Times New Roman"/>
          <w:b/>
          <w:bCs/>
        </w:rPr>
      </w:pPr>
      <w:r w:rsidRPr="002733C7">
        <w:rPr>
          <w:rFonts w:ascii="Times New Roman" w:hAnsi="Times New Roman" w:cs="Times New Roman"/>
          <w:b/>
          <w:bCs/>
        </w:rPr>
        <w:lastRenderedPageBreak/>
        <w:t>Introduction</w:t>
      </w:r>
      <w:bookmarkEnd w:id="0"/>
    </w:p>
    <w:p w14:paraId="1D56A1B7" w14:textId="570460CF" w:rsidR="00753636" w:rsidRPr="002733C7" w:rsidRDefault="00C8757E" w:rsidP="002733C7">
      <w:pPr>
        <w:spacing w:line="360" w:lineRule="auto"/>
        <w:jc w:val="both"/>
        <w:rPr>
          <w:rFonts w:ascii="Times New Roman" w:hAnsi="Times New Roman" w:cs="Times New Roman"/>
          <w:b/>
          <w:bCs/>
        </w:rPr>
      </w:pPr>
      <w:r w:rsidRPr="002733C7">
        <w:rPr>
          <w:rFonts w:ascii="Times New Roman" w:hAnsi="Times New Roman" w:cs="Times New Roman"/>
        </w:rPr>
        <w:t xml:space="preserve">As global climate concerns intensify, the hotel and hospitality industry </w:t>
      </w:r>
      <w:r w:rsidR="001F59A2" w:rsidRPr="002733C7">
        <w:rPr>
          <w:rFonts w:ascii="Times New Roman" w:hAnsi="Times New Roman" w:cs="Times New Roman"/>
        </w:rPr>
        <w:t>face</w:t>
      </w:r>
      <w:r w:rsidRPr="002733C7">
        <w:rPr>
          <w:rFonts w:ascii="Times New Roman" w:hAnsi="Times New Roman" w:cs="Times New Roman"/>
        </w:rPr>
        <w:t xml:space="preserve"> mounting pressure to reduce its carbon footprint and transition towards net-zero operations. The sector contributes approximately 1% of global carbon emissions, and this is projected to grow without systemic intervention (</w:t>
      </w:r>
      <w:proofErr w:type="spellStart"/>
      <w:r w:rsidRPr="002733C7">
        <w:rPr>
          <w:rFonts w:ascii="Times New Roman" w:hAnsi="Times New Roman" w:cs="Times New Roman"/>
        </w:rPr>
        <w:t>Llanso</w:t>
      </w:r>
      <w:proofErr w:type="spellEnd"/>
      <w:r w:rsidRPr="002733C7">
        <w:rPr>
          <w:rFonts w:ascii="Times New Roman" w:hAnsi="Times New Roman" w:cs="Times New Roman"/>
        </w:rPr>
        <w:t>, 2024). Renewable energy integration has emerged as a pivotal strategy for reducing hotel-related emissions, improving energy efficiency, and future-proofing operations</w:t>
      </w:r>
      <w:r w:rsidR="00785678" w:rsidRPr="002733C7">
        <w:rPr>
          <w:rFonts w:ascii="Times New Roman" w:hAnsi="Times New Roman" w:cs="Times New Roman"/>
        </w:rPr>
        <w:t xml:space="preserve"> </w:t>
      </w:r>
      <w:r w:rsidRPr="002733C7">
        <w:rPr>
          <w:rFonts w:ascii="Times New Roman" w:hAnsi="Times New Roman" w:cs="Times New Roman"/>
        </w:rPr>
        <w:t>against</w:t>
      </w:r>
      <w:r w:rsidR="001F59A2" w:rsidRPr="002733C7">
        <w:rPr>
          <w:rFonts w:ascii="Times New Roman" w:hAnsi="Times New Roman" w:cs="Times New Roman"/>
        </w:rPr>
        <w:t xml:space="preserve"> </w:t>
      </w:r>
      <w:r w:rsidRPr="002733C7">
        <w:rPr>
          <w:rFonts w:ascii="Times New Roman" w:hAnsi="Times New Roman" w:cs="Times New Roman"/>
        </w:rPr>
        <w:t>rising energy</w:t>
      </w:r>
      <w:r w:rsidR="00785678" w:rsidRPr="002733C7">
        <w:rPr>
          <w:rFonts w:ascii="Times New Roman" w:hAnsi="Times New Roman" w:cs="Times New Roman"/>
        </w:rPr>
        <w:t xml:space="preserve"> </w:t>
      </w:r>
      <w:r w:rsidRPr="002733C7">
        <w:rPr>
          <w:rFonts w:ascii="Times New Roman" w:hAnsi="Times New Roman" w:cs="Times New Roman"/>
        </w:rPr>
        <w:t>costs and regulatory changes</w:t>
      </w:r>
    </w:p>
    <w:p w14:paraId="4FF15366" w14:textId="77777777" w:rsidR="00532E6D" w:rsidRPr="002733C7" w:rsidRDefault="00C8757E" w:rsidP="002733C7">
      <w:pPr>
        <w:spacing w:line="360" w:lineRule="auto"/>
        <w:jc w:val="both"/>
        <w:rPr>
          <w:rFonts w:ascii="Times New Roman" w:hAnsi="Times New Roman" w:cs="Times New Roman"/>
        </w:rPr>
      </w:pPr>
      <w:r w:rsidRPr="002733C7">
        <w:rPr>
          <w:rFonts w:ascii="Times New Roman" w:hAnsi="Times New Roman" w:cs="Times New Roman"/>
        </w:rPr>
        <w:t xml:space="preserve">Hotels worldwide are investing in solar panels, geothermal systems, and smart energy management to meet corporate sustainability goals and appeal to eco-conscious guests. For instance, Marriott International has installed solar energy systems in over 60 hotels (Marriott International, Inc., 2023); Hilton’s </w:t>
      </w:r>
      <w:proofErr w:type="spellStart"/>
      <w:r w:rsidRPr="002733C7">
        <w:rPr>
          <w:rFonts w:ascii="Times New Roman" w:hAnsi="Times New Roman" w:cs="Times New Roman"/>
        </w:rPr>
        <w:t>LightStay</w:t>
      </w:r>
      <w:proofErr w:type="spellEnd"/>
      <w:r w:rsidRPr="002733C7">
        <w:rPr>
          <w:rFonts w:ascii="Times New Roman" w:hAnsi="Times New Roman" w:cs="Times New Roman"/>
        </w:rPr>
        <w:t xml:space="preserve"> programme reduced carbon intensity by 45.1% from 2008 to the present via the use of efficiency technologies and renewable sourcing (Hilton, 2023). Ground source heat pumps and energy-saving lighting are used in Premier Inn’s ‘Green Hotels’ line-up, which aligns with the government’s net zero 2050 roadmap. While this is also an aspect of environmental responsibility, these innovations represent a long-term strategic feature of operational resilience. This paper discusses how renewable energy technologies are reshaping hotel operations by examining external influences on the uptake of such technologies and the challenges hotels encounter in utilising them.</w:t>
      </w:r>
      <w:bookmarkStart w:id="1" w:name="_Toc197162614"/>
    </w:p>
    <w:p w14:paraId="13AF75B0" w14:textId="4D42AF9D" w:rsidR="00532E6D" w:rsidRPr="002733C7" w:rsidRDefault="00576204" w:rsidP="002733C7">
      <w:pPr>
        <w:spacing w:line="360" w:lineRule="auto"/>
        <w:jc w:val="both"/>
        <w:rPr>
          <w:rFonts w:ascii="Times New Roman" w:hAnsi="Times New Roman" w:cs="Times New Roman"/>
          <w:b/>
          <w:bCs/>
        </w:rPr>
      </w:pPr>
      <w:r w:rsidRPr="002733C7">
        <w:rPr>
          <w:rFonts w:ascii="Times New Roman" w:hAnsi="Times New Roman" w:cs="Times New Roman"/>
          <w:b/>
          <w:bCs/>
        </w:rPr>
        <w:t>Literature Review</w:t>
      </w:r>
      <w:bookmarkStart w:id="2" w:name="_Toc197162615"/>
      <w:bookmarkEnd w:id="1"/>
    </w:p>
    <w:p w14:paraId="35CAFF1C" w14:textId="2A54D656" w:rsidR="00532E6D" w:rsidRPr="002733C7" w:rsidRDefault="00576204" w:rsidP="002733C7">
      <w:pPr>
        <w:spacing w:line="360" w:lineRule="auto"/>
        <w:jc w:val="both"/>
        <w:rPr>
          <w:rFonts w:ascii="Times New Roman" w:hAnsi="Times New Roman" w:cs="Times New Roman"/>
        </w:rPr>
      </w:pPr>
      <w:r w:rsidRPr="002733C7">
        <w:rPr>
          <w:rFonts w:ascii="Times New Roman" w:eastAsia="Times New Roman" w:hAnsi="Times New Roman" w:cs="Times New Roman"/>
          <w:b/>
          <w:bCs/>
          <w:lang w:eastAsia="en-GB"/>
        </w:rPr>
        <w:t>How Renewable Energy Technologies Are Transforming Hotel Operations</w:t>
      </w:r>
      <w:bookmarkEnd w:id="2"/>
    </w:p>
    <w:p w14:paraId="506BF245" w14:textId="77777777" w:rsidR="00BE2D8C" w:rsidRPr="002733C7" w:rsidRDefault="00BE2D8C" w:rsidP="002733C7">
      <w:pPr>
        <w:spacing w:line="360" w:lineRule="auto"/>
        <w:jc w:val="both"/>
        <w:rPr>
          <w:rFonts w:ascii="Times New Roman" w:hAnsi="Times New Roman" w:cs="Times New Roman"/>
          <w:lang w:eastAsia="en-GB"/>
        </w:rPr>
      </w:pPr>
      <w:r w:rsidRPr="002733C7">
        <w:rPr>
          <w:rFonts w:ascii="Times New Roman" w:hAnsi="Times New Roman" w:cs="Times New Roman"/>
          <w:lang w:eastAsia="en-GB"/>
        </w:rPr>
        <w:t>The integration of renewable energy technologies into the operations of hotels has become a fundamental approach to the hospitality sector’s handling of climate and sustainability issues. The industry is facing the dual pressure of the need to be green and economically viable, and as a result, is adopting renewable energy solutions like solar, wind, heat pump systems, anaerobic digestion (AD), and green tariff energy. These technologies not only contribute to reducing greenhouse gas emissions but also help hotels meet the demands of guests seeking environmentally friendly accommodation (Jacobsson and Johnson, 2000).</w:t>
      </w:r>
    </w:p>
    <w:p w14:paraId="583A27B8" w14:textId="77777777" w:rsidR="00BE2D8C" w:rsidRPr="002733C7" w:rsidRDefault="00BE2D8C" w:rsidP="002733C7">
      <w:pPr>
        <w:spacing w:line="360" w:lineRule="auto"/>
        <w:jc w:val="both"/>
        <w:rPr>
          <w:rFonts w:ascii="Times New Roman" w:hAnsi="Times New Roman" w:cs="Times New Roman"/>
          <w:lang w:eastAsia="en-GB"/>
        </w:rPr>
      </w:pPr>
      <w:r w:rsidRPr="002733C7">
        <w:rPr>
          <w:rFonts w:ascii="Times New Roman" w:hAnsi="Times New Roman" w:cs="Times New Roman"/>
          <w:lang w:eastAsia="en-GB"/>
        </w:rPr>
        <w:t xml:space="preserve">The most popular renewable technology in the hospitality sector is solar energy, specifically photovoltaic (PV) panels and solar hot water heating (Chan et al., 2017; Hossain et al., 2017). Rooftop solar panels are favoured over ground-mounted systems as rooftops are less used for land and possess a better public perception (Majumdar &amp; Pasqualetti, 2018; </w:t>
      </w:r>
      <w:proofErr w:type="spellStart"/>
      <w:r w:rsidRPr="002733C7">
        <w:rPr>
          <w:rFonts w:ascii="Times New Roman" w:hAnsi="Times New Roman" w:cs="Times New Roman"/>
          <w:lang w:eastAsia="en-GB"/>
        </w:rPr>
        <w:t>Klusáček</w:t>
      </w:r>
      <w:proofErr w:type="spellEnd"/>
      <w:r w:rsidRPr="002733C7">
        <w:rPr>
          <w:rFonts w:ascii="Times New Roman" w:hAnsi="Times New Roman" w:cs="Times New Roman"/>
          <w:lang w:eastAsia="en-GB"/>
        </w:rPr>
        <w:t xml:space="preserve"> et al., </w:t>
      </w:r>
      <w:r w:rsidRPr="002733C7">
        <w:rPr>
          <w:rFonts w:ascii="Times New Roman" w:hAnsi="Times New Roman" w:cs="Times New Roman"/>
          <w:lang w:eastAsia="en-GB"/>
        </w:rPr>
        <w:lastRenderedPageBreak/>
        <w:t xml:space="preserve">2014). Even though the long lifespan and low operating cost of solar equipment make it a financially attractive option for hotels, seasonal variability of sunshine presents a limitation. While ground-mounted systems create land use conflicts and may clash with agricultural purposes, there is potential in integrated systems such as </w:t>
      </w:r>
      <w:proofErr w:type="spellStart"/>
      <w:r w:rsidRPr="002733C7">
        <w:rPr>
          <w:rFonts w:ascii="Times New Roman" w:hAnsi="Times New Roman" w:cs="Times New Roman"/>
          <w:lang w:eastAsia="en-GB"/>
        </w:rPr>
        <w:t>agrovoltaics</w:t>
      </w:r>
      <w:proofErr w:type="spellEnd"/>
      <w:r w:rsidRPr="002733C7">
        <w:rPr>
          <w:rFonts w:ascii="Times New Roman" w:hAnsi="Times New Roman" w:cs="Times New Roman"/>
          <w:lang w:eastAsia="en-GB"/>
        </w:rPr>
        <w:t xml:space="preserve"> (Majumdar &amp; Pasqualetti, 2018).</w:t>
      </w:r>
    </w:p>
    <w:p w14:paraId="4A1291D7" w14:textId="77777777" w:rsidR="00BE2D8C" w:rsidRPr="002733C7" w:rsidRDefault="00BE2D8C" w:rsidP="002733C7">
      <w:pPr>
        <w:spacing w:line="360" w:lineRule="auto"/>
        <w:jc w:val="both"/>
        <w:rPr>
          <w:rFonts w:ascii="Times New Roman" w:hAnsi="Times New Roman" w:cs="Times New Roman"/>
          <w:lang w:eastAsia="en-GB"/>
        </w:rPr>
      </w:pPr>
      <w:r w:rsidRPr="002733C7">
        <w:rPr>
          <w:rFonts w:ascii="Times New Roman" w:hAnsi="Times New Roman" w:cs="Times New Roman"/>
          <w:lang w:eastAsia="en-GB"/>
        </w:rPr>
        <w:t xml:space="preserve">Wind turbines are the second most used renewable energy technology in hotel settings, mainly in coastal areas or regions with high wind availability, where they are more efficient than solar installations (Silva &amp; </w:t>
      </w:r>
      <w:proofErr w:type="spellStart"/>
      <w:r w:rsidRPr="002733C7">
        <w:rPr>
          <w:rFonts w:ascii="Times New Roman" w:hAnsi="Times New Roman" w:cs="Times New Roman"/>
          <w:lang w:eastAsia="en-GB"/>
        </w:rPr>
        <w:t>Delicado</w:t>
      </w:r>
      <w:proofErr w:type="spellEnd"/>
      <w:r w:rsidRPr="002733C7">
        <w:rPr>
          <w:rFonts w:ascii="Times New Roman" w:hAnsi="Times New Roman" w:cs="Times New Roman"/>
          <w:lang w:eastAsia="en-GB"/>
        </w:rPr>
        <w:t>, 2017; Gabbar et al., 2015). Despite issues such as visual and noise pollution, wind turbines are reliable and financially viable when appropriately sited. Heat pumps, which offer both heating and cooling, help hotels achieve their sustainability goals. However, their effectiveness depends on location, subsurface conditions, and initial installation costs (Dimitriu et al., 2017; Fang et al., 2017). Nonetheless, their dual functions and long lifespan create long-term value for hotel operations.</w:t>
      </w:r>
    </w:p>
    <w:p w14:paraId="5500AB46" w14:textId="5A6D4330" w:rsidR="00532E6D" w:rsidRPr="002733C7" w:rsidRDefault="00BE2D8C" w:rsidP="002733C7">
      <w:pPr>
        <w:spacing w:line="360" w:lineRule="auto"/>
        <w:jc w:val="both"/>
        <w:rPr>
          <w:rFonts w:ascii="Times New Roman" w:hAnsi="Times New Roman" w:cs="Times New Roman"/>
          <w:lang w:eastAsia="en-GB"/>
        </w:rPr>
      </w:pPr>
      <w:r w:rsidRPr="002733C7">
        <w:rPr>
          <w:rFonts w:ascii="Times New Roman" w:hAnsi="Times New Roman" w:cs="Times New Roman"/>
          <w:lang w:eastAsia="en-GB"/>
        </w:rPr>
        <w:t>Anaerobic digestion (AD), though less common, plays a dual role in energy production and waste management by converting organic waste</w:t>
      </w:r>
      <w:r w:rsidR="006063E0" w:rsidRPr="002733C7">
        <w:rPr>
          <w:rFonts w:ascii="Times New Roman" w:hAnsi="Times New Roman" w:cs="Times New Roman"/>
          <w:lang w:eastAsia="en-GB"/>
        </w:rPr>
        <w:t xml:space="preserve"> </w:t>
      </w:r>
      <w:r w:rsidRPr="002733C7">
        <w:rPr>
          <w:rFonts w:ascii="Times New Roman" w:hAnsi="Times New Roman" w:cs="Times New Roman"/>
          <w:lang w:eastAsia="en-GB"/>
        </w:rPr>
        <w:t>such as food scraps from hotel restaurants</w:t>
      </w:r>
      <w:r w:rsidR="006063E0" w:rsidRPr="002733C7">
        <w:rPr>
          <w:rFonts w:ascii="Times New Roman" w:hAnsi="Times New Roman" w:cs="Times New Roman"/>
          <w:lang w:eastAsia="en-GB"/>
        </w:rPr>
        <w:t xml:space="preserve"> </w:t>
      </w:r>
      <w:r w:rsidRPr="002733C7">
        <w:rPr>
          <w:rFonts w:ascii="Times New Roman" w:hAnsi="Times New Roman" w:cs="Times New Roman"/>
          <w:lang w:eastAsia="en-GB"/>
        </w:rPr>
        <w:t>into electricity and heat (Mahachi et al., 2015). AD systems provide local energy resilience while also contributing to the social development of surrounding communities (Balata &amp; Tola, 2018). Like “green” tariff energy, hotels can purchase grid electricity from matched renewable sources and sell excess energy to the market without having to overhaul their energy infrastructure. However, this method offers limited cost savings or educational benefits for guests (Chan et al., 2017).</w:t>
      </w:r>
      <w:bookmarkStart w:id="3" w:name="_Toc197162616"/>
    </w:p>
    <w:p w14:paraId="51D5599E" w14:textId="77777777" w:rsidR="00532E6D" w:rsidRPr="002733C7" w:rsidRDefault="00576204" w:rsidP="002733C7">
      <w:pPr>
        <w:spacing w:line="360" w:lineRule="auto"/>
        <w:jc w:val="both"/>
        <w:rPr>
          <w:rFonts w:ascii="Times New Roman" w:hAnsi="Times New Roman" w:cs="Times New Roman"/>
          <w:lang w:eastAsia="en-GB"/>
        </w:rPr>
      </w:pPr>
      <w:r w:rsidRPr="002733C7">
        <w:rPr>
          <w:rFonts w:ascii="Times New Roman" w:hAnsi="Times New Roman" w:cs="Times New Roman"/>
          <w:b/>
          <w:bCs/>
        </w:rPr>
        <w:t>ROI of Renewable Energy Technologies in Hotel Operations</w:t>
      </w:r>
      <w:bookmarkEnd w:id="3"/>
    </w:p>
    <w:p w14:paraId="633E69CD" w14:textId="63626BFB" w:rsidR="009E56DB" w:rsidRPr="002733C7" w:rsidRDefault="009E56DB" w:rsidP="002733C7">
      <w:pPr>
        <w:spacing w:line="360" w:lineRule="auto"/>
        <w:jc w:val="both"/>
        <w:rPr>
          <w:rFonts w:ascii="Times New Roman" w:hAnsi="Times New Roman" w:cs="Times New Roman"/>
          <w:lang w:eastAsia="en-GB"/>
        </w:rPr>
      </w:pPr>
      <w:r w:rsidRPr="002733C7">
        <w:rPr>
          <w:rFonts w:ascii="Times New Roman" w:eastAsia="Times New Roman" w:hAnsi="Times New Roman" w:cs="Times New Roman"/>
          <w:kern w:val="0"/>
          <w:lang w:eastAsia="en-GB"/>
          <w14:ligatures w14:val="none"/>
        </w:rPr>
        <w:t xml:space="preserve">Solar panels remain among the most implemented renewable solutions in hotels. Several studies recognise their dual benefits of reducing energy costs and emissions (Majumdar &amp; Pasqualetti, 2018; </w:t>
      </w:r>
      <w:proofErr w:type="spellStart"/>
      <w:r w:rsidRPr="002733C7">
        <w:rPr>
          <w:rFonts w:ascii="Times New Roman" w:eastAsia="Times New Roman" w:hAnsi="Times New Roman" w:cs="Times New Roman"/>
          <w:kern w:val="0"/>
          <w:lang w:eastAsia="en-GB"/>
          <w14:ligatures w14:val="none"/>
        </w:rPr>
        <w:t>Klusáček</w:t>
      </w:r>
      <w:proofErr w:type="spellEnd"/>
      <w:r w:rsidRPr="002733C7">
        <w:rPr>
          <w:rFonts w:ascii="Times New Roman" w:eastAsia="Times New Roman" w:hAnsi="Times New Roman" w:cs="Times New Roman"/>
          <w:kern w:val="0"/>
          <w:lang w:eastAsia="en-GB"/>
          <w14:ligatures w14:val="none"/>
        </w:rPr>
        <w:t xml:space="preserve"> et al., 2014). For instance, payback periods for hotel solar PV systems range between 6.5 to 7.5 years, producing around 26 MWh per year and reducing emissions by up to 16.31 tonnes of CO₂ annually (</w:t>
      </w:r>
      <w:proofErr w:type="spellStart"/>
      <w:r w:rsidRPr="002733C7">
        <w:rPr>
          <w:rFonts w:ascii="Times New Roman" w:eastAsia="Times New Roman" w:hAnsi="Times New Roman" w:cs="Times New Roman"/>
          <w:kern w:val="0"/>
          <w:lang w:eastAsia="en-GB"/>
          <w14:ligatures w14:val="none"/>
        </w:rPr>
        <w:t>Movahhed</w:t>
      </w:r>
      <w:proofErr w:type="spellEnd"/>
      <w:r w:rsidRPr="002733C7">
        <w:rPr>
          <w:rFonts w:ascii="Times New Roman" w:eastAsia="Times New Roman" w:hAnsi="Times New Roman" w:cs="Times New Roman"/>
          <w:kern w:val="0"/>
          <w:lang w:eastAsia="en-GB"/>
          <w14:ligatures w14:val="none"/>
        </w:rPr>
        <w:t xml:space="preserve"> et al., 2019). A seasonal hotel in a Greek case study reduced electricity consumption and carbon emissions by 60% and 57% respectively through PV system installations (Dorizas, 2008).</w:t>
      </w:r>
    </w:p>
    <w:p w14:paraId="3A91FD8B" w14:textId="77777777" w:rsidR="00532E6D" w:rsidRPr="002733C7" w:rsidRDefault="009E56DB"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 xml:space="preserve">Green roofs, traditionally used for aesthetic and thermal insulation purposes, are increasingly valued for their synergistic benefits when combined with solar PV systems. Integrated systems </w:t>
      </w:r>
      <w:r w:rsidRPr="002733C7">
        <w:rPr>
          <w:rFonts w:ascii="Times New Roman" w:eastAsia="Times New Roman" w:hAnsi="Times New Roman" w:cs="Times New Roman"/>
          <w:kern w:val="0"/>
          <w:lang w:eastAsia="en-GB"/>
          <w14:ligatures w14:val="none"/>
        </w:rPr>
        <w:lastRenderedPageBreak/>
        <w:t>have demonstrated improved PV efficiency due to the cooling effect of vegetation, resulting in an 8.3% increase in electricity output and reduced air conditioning demand (Hui &amp; Chan, 2011). Studies from Italy report substantial energy savings</w:t>
      </w:r>
      <w:r w:rsidR="00532E6D" w:rsidRPr="002733C7">
        <w:rPr>
          <w:rFonts w:ascii="Times New Roman" w:eastAsia="Times New Roman" w:hAnsi="Times New Roman" w:cs="Times New Roman"/>
          <w:kern w:val="0"/>
          <w:lang w:eastAsia="en-GB"/>
          <w14:ligatures w14:val="none"/>
        </w:rPr>
        <w:t xml:space="preserve"> </w:t>
      </w:r>
      <w:r w:rsidRPr="002733C7">
        <w:rPr>
          <w:rFonts w:ascii="Times New Roman" w:eastAsia="Times New Roman" w:hAnsi="Times New Roman" w:cs="Times New Roman"/>
          <w:kern w:val="0"/>
          <w:lang w:eastAsia="en-GB"/>
          <w14:ligatures w14:val="none"/>
        </w:rPr>
        <w:t>up to 88 kWh/m² annually for heating</w:t>
      </w:r>
      <w:r w:rsidR="00532E6D" w:rsidRPr="002733C7">
        <w:rPr>
          <w:rFonts w:ascii="Times New Roman" w:eastAsia="Times New Roman" w:hAnsi="Times New Roman" w:cs="Times New Roman"/>
          <w:kern w:val="0"/>
          <w:lang w:eastAsia="en-GB"/>
          <w14:ligatures w14:val="none"/>
        </w:rPr>
        <w:t xml:space="preserve"> </w:t>
      </w:r>
      <w:r w:rsidRPr="002733C7">
        <w:rPr>
          <w:rFonts w:ascii="Times New Roman" w:eastAsia="Times New Roman" w:hAnsi="Times New Roman" w:cs="Times New Roman"/>
          <w:kern w:val="0"/>
          <w:lang w:eastAsia="en-GB"/>
          <w14:ligatures w14:val="none"/>
        </w:rPr>
        <w:t xml:space="preserve">and emission reductions of 193 </w:t>
      </w:r>
      <w:proofErr w:type="spellStart"/>
      <w:r w:rsidRPr="002733C7">
        <w:rPr>
          <w:rFonts w:ascii="Times New Roman" w:eastAsia="Times New Roman" w:hAnsi="Times New Roman" w:cs="Times New Roman"/>
          <w:kern w:val="0"/>
          <w:lang w:eastAsia="en-GB"/>
          <w14:ligatures w14:val="none"/>
        </w:rPr>
        <w:t>tCO₂eq</w:t>
      </w:r>
      <w:proofErr w:type="spellEnd"/>
      <w:r w:rsidRPr="002733C7">
        <w:rPr>
          <w:rFonts w:ascii="Times New Roman" w:eastAsia="Times New Roman" w:hAnsi="Times New Roman" w:cs="Times New Roman"/>
          <w:kern w:val="0"/>
          <w:lang w:eastAsia="en-GB"/>
          <w14:ligatures w14:val="none"/>
        </w:rPr>
        <w:t>/MWh/year from insulated green roofs (Todeschi et al., 2020).</w:t>
      </w:r>
    </w:p>
    <w:p w14:paraId="38C8AF45" w14:textId="1278AD03" w:rsidR="00532E6D" w:rsidRPr="002733C7" w:rsidRDefault="009E56DB"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Geothermal systems, although less common, are proving highly effective in colder climates. A study on a hotel in Ottawa demonstrated that a hybrid fourth-generation geothermal system reduced combined Scope 1 and Scope 2 CO₂ emissions by 54%, with energy use intensity (EUI) dropping by up to 50% when integrated with PV systems (Ghorab &amp; Rosato, 2025). Annual cost savings of 25% compared to conventional systems further bolster the case for geothermal adoption.</w:t>
      </w:r>
      <w:bookmarkStart w:id="4" w:name="_Toc197162617"/>
    </w:p>
    <w:p w14:paraId="410BF19D" w14:textId="77777777" w:rsidR="00886D6A" w:rsidRDefault="00576204" w:rsidP="002733C7">
      <w:pPr>
        <w:spacing w:before="100" w:beforeAutospacing="1" w:after="100" w:afterAutospacing="1" w:line="360" w:lineRule="auto"/>
        <w:jc w:val="both"/>
        <w:rPr>
          <w:rFonts w:ascii="Times New Roman" w:eastAsia="Times New Roman" w:hAnsi="Times New Roman" w:cs="Times New Roman"/>
          <w:b/>
          <w:bCs/>
          <w:lang w:eastAsia="en-GB"/>
        </w:rPr>
      </w:pPr>
      <w:r w:rsidRPr="002733C7">
        <w:rPr>
          <w:rFonts w:ascii="Times New Roman" w:eastAsia="Times New Roman" w:hAnsi="Times New Roman" w:cs="Times New Roman"/>
          <w:b/>
          <w:bCs/>
          <w:lang w:eastAsia="en-GB"/>
        </w:rPr>
        <w:t>The Triple Bottom Line</w:t>
      </w:r>
      <w:bookmarkEnd w:id="4"/>
    </w:p>
    <w:p w14:paraId="1738C94B" w14:textId="735C8FF7" w:rsidR="003B77CD" w:rsidRPr="002733C7" w:rsidRDefault="003B77CD" w:rsidP="002733C7">
      <w:pPr>
        <w:spacing w:before="100" w:beforeAutospacing="1" w:after="100" w:afterAutospacing="1" w:line="360" w:lineRule="auto"/>
        <w:jc w:val="both"/>
        <w:rPr>
          <w:rFonts w:ascii="Times New Roman" w:eastAsia="Times New Roman" w:hAnsi="Times New Roman" w:cs="Times New Roman"/>
          <w:b/>
          <w:bCs/>
          <w:lang w:eastAsia="en-GB"/>
        </w:rPr>
      </w:pPr>
      <w:r w:rsidRPr="002733C7">
        <w:rPr>
          <w:rFonts w:ascii="Times New Roman" w:eastAsia="Times New Roman" w:hAnsi="Times New Roman" w:cs="Times New Roman"/>
          <w:kern w:val="0"/>
          <w:lang w:eastAsia="en-GB"/>
          <w14:ligatures w14:val="none"/>
        </w:rPr>
        <w:t>The Triple Bottom Line (TBL) framework, introduced by Elkington (1997), expands traditional financial accounting by incorporating environmental and social dimensions alongside economic performance. The holistic model considers sustainability through three interdependent pillars (people, planet, and profit), arguing that businesses must generate value beyond monetary return. The TBL approach provides a systemic lens to evaluate the integration of renewable energy technologies in hotel operations in terms of financial, social, and environmental returns.</w:t>
      </w:r>
    </w:p>
    <w:p w14:paraId="788F0DB2" w14:textId="77777777" w:rsidR="003B77CD" w:rsidRPr="002733C7" w:rsidRDefault="003B77CD"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 xml:space="preserve">The economic pillar of TBL depends heavily on ROI analysis, where the cost-effectiveness of renewable technologies is assessed based on energy savings, reduced utility bills, and the long-term value of assets. According to </w:t>
      </w:r>
      <w:proofErr w:type="spellStart"/>
      <w:r w:rsidRPr="002733C7">
        <w:rPr>
          <w:rFonts w:ascii="Times New Roman" w:eastAsia="Times New Roman" w:hAnsi="Times New Roman" w:cs="Times New Roman"/>
          <w:kern w:val="0"/>
          <w:lang w:eastAsia="en-GB"/>
          <w14:ligatures w14:val="none"/>
        </w:rPr>
        <w:t>Brisav</w:t>
      </w:r>
      <w:proofErr w:type="spellEnd"/>
      <w:r w:rsidRPr="002733C7">
        <w:rPr>
          <w:rFonts w:ascii="Times New Roman" w:eastAsia="Times New Roman" w:hAnsi="Times New Roman" w:cs="Times New Roman"/>
          <w:kern w:val="0"/>
          <w:lang w:eastAsia="en-GB"/>
          <w14:ligatures w14:val="none"/>
        </w:rPr>
        <w:t xml:space="preserve"> et al. (2021), </w:t>
      </w:r>
      <w:proofErr w:type="spellStart"/>
      <w:r w:rsidRPr="002733C7">
        <w:rPr>
          <w:rFonts w:ascii="Times New Roman" w:eastAsia="Times New Roman" w:hAnsi="Times New Roman" w:cs="Times New Roman"/>
          <w:kern w:val="0"/>
          <w:lang w:eastAsia="en-GB"/>
          <w14:ligatures w14:val="none"/>
        </w:rPr>
        <w:t>Movahhed</w:t>
      </w:r>
      <w:proofErr w:type="spellEnd"/>
      <w:r w:rsidRPr="002733C7">
        <w:rPr>
          <w:rFonts w:ascii="Times New Roman" w:eastAsia="Times New Roman" w:hAnsi="Times New Roman" w:cs="Times New Roman"/>
          <w:kern w:val="0"/>
          <w:lang w:eastAsia="en-GB"/>
          <w14:ligatures w14:val="none"/>
        </w:rPr>
        <w:t xml:space="preserve"> et al. (2019), and Todeschi et al. (2020), energy-efficient technologies such as solar PV systems, heat pumps, and green roofs offer favourable payback periods and long-term operational savings, thus fulfilling the “profit” component of TBL.</w:t>
      </w:r>
    </w:p>
    <w:p w14:paraId="230D627F" w14:textId="77777777" w:rsidR="003B77CD" w:rsidRPr="002733C7" w:rsidRDefault="003B77CD"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 xml:space="preserve">The environmental, or “planet,” pillar reflects how adopting renewable energy helps reduce greenhouse gas emissions, mitigates climate change, and promotes responsible resource use. Technologies such as solar panels, geothermal systems, and anaerobic digesters enable hotels to significantly reduce their carbon footprints and contribute to environmental stewardship </w:t>
      </w:r>
      <w:r w:rsidRPr="002733C7">
        <w:rPr>
          <w:rFonts w:ascii="Times New Roman" w:eastAsia="Times New Roman" w:hAnsi="Times New Roman" w:cs="Times New Roman"/>
          <w:kern w:val="0"/>
          <w:lang w:eastAsia="en-GB"/>
          <w14:ligatures w14:val="none"/>
        </w:rPr>
        <w:lastRenderedPageBreak/>
        <w:t>(Ghorab &amp; Rosato, 2025). These benefits align with global climate targets and the growing expectation for sustainable hospitality offerings.</w:t>
      </w:r>
    </w:p>
    <w:p w14:paraId="53886D4A" w14:textId="77777777" w:rsidR="003B77CD" w:rsidRPr="002733C7" w:rsidRDefault="003B77CD"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The social, or “people,” pillar refers to broader societal impacts, such as job creation in green energy sectors, improved community health through reduced pollution, and enhanced guest satisfaction via eco-friendly experiences. Hotels that effectively communicate their sustainable practices attract ethically conscious travellers and increase brand loyalty (Liu &amp; Li, 2024).</w:t>
      </w:r>
    </w:p>
    <w:p w14:paraId="05552D68" w14:textId="77777777" w:rsidR="00380523" w:rsidRPr="002733C7" w:rsidRDefault="003B77CD"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In summary, the TBL framework is highly relevant to this study, offering a multidimensional assessment of renewable energy technologies in hotel operations. It ensures that investments are evaluated not only for their financial viability but also for their ecological and social contributions.</w:t>
      </w:r>
      <w:bookmarkStart w:id="5" w:name="_Toc197162618"/>
    </w:p>
    <w:p w14:paraId="452687E0" w14:textId="77777777" w:rsidR="00886D6A" w:rsidRDefault="00576204" w:rsidP="00886D6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hAnsi="Times New Roman" w:cs="Times New Roman"/>
          <w:b/>
          <w:bCs/>
          <w:lang w:eastAsia="en-GB"/>
        </w:rPr>
        <w:t>Method</w:t>
      </w:r>
      <w:bookmarkEnd w:id="5"/>
    </w:p>
    <w:p w14:paraId="16F6C1FD" w14:textId="0F51834B" w:rsidR="002F25AC" w:rsidRPr="00886D6A" w:rsidRDefault="002F25AC" w:rsidP="00886D6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hAnsi="Times New Roman" w:cs="Times New Roman"/>
        </w:rPr>
        <w:t>This research employed a qualitative methodology involving an extensive review of existing literature, complemented by multiple international case studies. Sources included peer-reviewed journal articles, industry reports, and sustainability assessments from hotel chains and environmental organisations. Case studies from Europe, North Africa, and Asia were selected to represent diverse geographical and climatic conditions, as well as varying stages of renewable energy adoption.</w:t>
      </w:r>
      <w:r w:rsidR="00E1758E" w:rsidRPr="002733C7">
        <w:rPr>
          <w:rFonts w:ascii="Times New Roman" w:hAnsi="Times New Roman" w:cs="Times New Roman"/>
        </w:rPr>
        <w:t xml:space="preserve"> </w:t>
      </w:r>
      <w:r w:rsidRPr="002733C7">
        <w:rPr>
          <w:rFonts w:ascii="Times New Roman" w:hAnsi="Times New Roman" w:cs="Times New Roman"/>
        </w:rPr>
        <w:t>Data were analysed using thematic analysis to identify recurring patterns, benefits, and challenges associated with the integration of renewable technologies in hotel operations. The Triple Bottom Line framework guided the interpretation of results to assess economic, environmental, and social outcomes.</w:t>
      </w:r>
    </w:p>
    <w:p w14:paraId="057E5425" w14:textId="467BC78E" w:rsidR="00576204" w:rsidRPr="002733C7" w:rsidRDefault="00576204" w:rsidP="002733C7">
      <w:pPr>
        <w:pStyle w:val="Heading1"/>
        <w:spacing w:before="240" w:after="0" w:line="360" w:lineRule="auto"/>
        <w:jc w:val="both"/>
        <w:rPr>
          <w:rFonts w:ascii="Times New Roman" w:hAnsi="Times New Roman" w:cs="Times New Roman"/>
          <w:b/>
          <w:bCs/>
          <w:color w:val="auto"/>
          <w:sz w:val="24"/>
          <w:szCs w:val="24"/>
        </w:rPr>
      </w:pPr>
      <w:bookmarkStart w:id="6" w:name="_Toc197162619"/>
      <w:r w:rsidRPr="002733C7">
        <w:rPr>
          <w:rFonts w:ascii="Times New Roman" w:hAnsi="Times New Roman" w:cs="Times New Roman"/>
          <w:b/>
          <w:bCs/>
          <w:color w:val="auto"/>
          <w:sz w:val="24"/>
          <w:szCs w:val="24"/>
        </w:rPr>
        <w:t>Theme Impact Analysis</w:t>
      </w:r>
      <w:bookmarkEnd w:id="6"/>
    </w:p>
    <w:p w14:paraId="18234D53" w14:textId="195D3C21" w:rsidR="00E1758E" w:rsidRPr="002733C7" w:rsidRDefault="00576204" w:rsidP="002733C7">
      <w:pPr>
        <w:pStyle w:val="Heading2"/>
        <w:numPr>
          <w:ilvl w:val="1"/>
          <w:numId w:val="0"/>
        </w:numPr>
        <w:spacing w:before="40" w:after="0" w:line="360" w:lineRule="auto"/>
        <w:ind w:left="576" w:hanging="576"/>
        <w:jc w:val="both"/>
        <w:rPr>
          <w:rFonts w:ascii="Times New Roman" w:hAnsi="Times New Roman" w:cs="Times New Roman"/>
          <w:b/>
          <w:bCs/>
          <w:color w:val="auto"/>
          <w:sz w:val="24"/>
          <w:szCs w:val="24"/>
        </w:rPr>
      </w:pPr>
      <w:bookmarkStart w:id="7" w:name="_Toc197162620"/>
      <w:r w:rsidRPr="002733C7">
        <w:rPr>
          <w:rFonts w:ascii="Times New Roman" w:hAnsi="Times New Roman" w:cs="Times New Roman"/>
          <w:b/>
          <w:bCs/>
          <w:color w:val="auto"/>
          <w:sz w:val="24"/>
          <w:szCs w:val="24"/>
        </w:rPr>
        <w:t xml:space="preserve">External Factors Influencing the Adoption of Renewable Energy Technologies </w:t>
      </w:r>
      <w:r w:rsidR="00E1758E" w:rsidRPr="002733C7">
        <w:rPr>
          <w:rFonts w:ascii="Times New Roman" w:hAnsi="Times New Roman" w:cs="Times New Roman"/>
          <w:b/>
          <w:bCs/>
          <w:color w:val="auto"/>
          <w:sz w:val="24"/>
          <w:szCs w:val="24"/>
        </w:rPr>
        <w:t>–</w:t>
      </w:r>
      <w:r w:rsidRPr="002733C7">
        <w:rPr>
          <w:rFonts w:ascii="Times New Roman" w:hAnsi="Times New Roman" w:cs="Times New Roman"/>
          <w:b/>
          <w:bCs/>
          <w:color w:val="auto"/>
          <w:sz w:val="24"/>
          <w:szCs w:val="24"/>
        </w:rPr>
        <w:t>PEST</w:t>
      </w:r>
      <w:r w:rsidR="00E1758E" w:rsidRPr="002733C7">
        <w:rPr>
          <w:rFonts w:ascii="Times New Roman" w:hAnsi="Times New Roman" w:cs="Times New Roman"/>
          <w:b/>
          <w:bCs/>
          <w:color w:val="auto"/>
          <w:sz w:val="24"/>
          <w:szCs w:val="24"/>
        </w:rPr>
        <w:t xml:space="preserve"> </w:t>
      </w:r>
    </w:p>
    <w:p w14:paraId="5A6EC96F" w14:textId="5081A1A6" w:rsidR="00576204" w:rsidRPr="002733C7" w:rsidRDefault="00576204" w:rsidP="002733C7">
      <w:pPr>
        <w:pStyle w:val="Heading2"/>
        <w:numPr>
          <w:ilvl w:val="1"/>
          <w:numId w:val="0"/>
        </w:numPr>
        <w:spacing w:before="40" w:after="0" w:line="360" w:lineRule="auto"/>
        <w:ind w:left="576" w:hanging="576"/>
        <w:jc w:val="both"/>
        <w:rPr>
          <w:rFonts w:ascii="Times New Roman" w:hAnsi="Times New Roman" w:cs="Times New Roman"/>
          <w:b/>
          <w:bCs/>
          <w:color w:val="auto"/>
          <w:sz w:val="24"/>
          <w:szCs w:val="24"/>
        </w:rPr>
      </w:pPr>
      <w:r w:rsidRPr="002733C7">
        <w:rPr>
          <w:rFonts w:ascii="Times New Roman" w:hAnsi="Times New Roman" w:cs="Times New Roman"/>
          <w:b/>
          <w:bCs/>
          <w:color w:val="auto"/>
          <w:sz w:val="24"/>
          <w:szCs w:val="24"/>
        </w:rPr>
        <w:t>Analysis</w:t>
      </w:r>
      <w:bookmarkEnd w:id="7"/>
    </w:p>
    <w:p w14:paraId="285558BF" w14:textId="74676323" w:rsidR="00B46A62" w:rsidRPr="002733C7" w:rsidRDefault="00B46A62" w:rsidP="002733C7">
      <w:pPr>
        <w:spacing w:line="360" w:lineRule="auto"/>
        <w:jc w:val="both"/>
        <w:rPr>
          <w:rFonts w:ascii="Times New Roman" w:hAnsi="Times New Roman" w:cs="Times New Roman"/>
        </w:rPr>
      </w:pPr>
    </w:p>
    <w:tbl>
      <w:tblPr>
        <w:tblStyle w:val="TableGrid1"/>
        <w:tblW w:w="9924" w:type="dxa"/>
        <w:tblInd w:w="-431" w:type="dxa"/>
        <w:tblLook w:val="04A0" w:firstRow="1" w:lastRow="0" w:firstColumn="1" w:lastColumn="0" w:noHBand="0" w:noVBand="1"/>
      </w:tblPr>
      <w:tblGrid>
        <w:gridCol w:w="3311"/>
        <w:gridCol w:w="3778"/>
        <w:gridCol w:w="2835"/>
      </w:tblGrid>
      <w:tr w:rsidR="00B46A62" w:rsidRPr="002733C7" w14:paraId="6690252E" w14:textId="77777777" w:rsidTr="00E1758E">
        <w:tc>
          <w:tcPr>
            <w:tcW w:w="3311" w:type="dxa"/>
            <w:tcBorders>
              <w:top w:val="single" w:sz="4" w:space="0" w:color="auto"/>
              <w:left w:val="single" w:sz="4" w:space="0" w:color="auto"/>
              <w:bottom w:val="single" w:sz="4" w:space="0" w:color="auto"/>
              <w:right w:val="single" w:sz="4" w:space="0" w:color="auto"/>
            </w:tcBorders>
            <w:hideMark/>
          </w:tcPr>
          <w:p w14:paraId="5D2FCB04"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Factors</w:t>
            </w:r>
          </w:p>
        </w:tc>
        <w:tc>
          <w:tcPr>
            <w:tcW w:w="3778" w:type="dxa"/>
            <w:tcBorders>
              <w:top w:val="single" w:sz="4" w:space="0" w:color="auto"/>
              <w:left w:val="single" w:sz="4" w:space="0" w:color="auto"/>
              <w:bottom w:val="single" w:sz="4" w:space="0" w:color="auto"/>
              <w:right w:val="single" w:sz="4" w:space="0" w:color="auto"/>
            </w:tcBorders>
            <w:hideMark/>
          </w:tcPr>
          <w:p w14:paraId="0D8C4D6B"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Description</w:t>
            </w:r>
          </w:p>
        </w:tc>
        <w:tc>
          <w:tcPr>
            <w:tcW w:w="2835" w:type="dxa"/>
            <w:tcBorders>
              <w:top w:val="single" w:sz="4" w:space="0" w:color="auto"/>
              <w:left w:val="single" w:sz="4" w:space="0" w:color="auto"/>
              <w:bottom w:val="single" w:sz="4" w:space="0" w:color="auto"/>
              <w:right w:val="single" w:sz="4" w:space="0" w:color="auto"/>
            </w:tcBorders>
            <w:hideMark/>
          </w:tcPr>
          <w:p w14:paraId="5A82CA1A"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Impact on Renewable Energy Adoption in Hospitality</w:t>
            </w:r>
          </w:p>
        </w:tc>
      </w:tr>
      <w:tr w:rsidR="00B46A62" w:rsidRPr="002733C7" w14:paraId="57AF997B" w14:textId="77777777" w:rsidTr="00E1758E">
        <w:tc>
          <w:tcPr>
            <w:tcW w:w="3311" w:type="dxa"/>
            <w:tcBorders>
              <w:top w:val="single" w:sz="4" w:space="0" w:color="auto"/>
              <w:left w:val="single" w:sz="4" w:space="0" w:color="auto"/>
              <w:bottom w:val="single" w:sz="4" w:space="0" w:color="auto"/>
              <w:right w:val="single" w:sz="4" w:space="0" w:color="auto"/>
            </w:tcBorders>
            <w:hideMark/>
          </w:tcPr>
          <w:p w14:paraId="42EF3877"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Political</w:t>
            </w:r>
          </w:p>
        </w:tc>
        <w:tc>
          <w:tcPr>
            <w:tcW w:w="3778" w:type="dxa"/>
            <w:tcBorders>
              <w:top w:val="single" w:sz="4" w:space="0" w:color="auto"/>
              <w:left w:val="single" w:sz="4" w:space="0" w:color="auto"/>
              <w:bottom w:val="single" w:sz="4" w:space="0" w:color="auto"/>
              <w:right w:val="single" w:sz="4" w:space="0" w:color="auto"/>
            </w:tcBorders>
            <w:hideMark/>
          </w:tcPr>
          <w:p w14:paraId="6E561681" w14:textId="57830BB1"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Global</w:t>
            </w:r>
            <w:r w:rsidR="00E1758E" w:rsidRPr="002733C7">
              <w:rPr>
                <w:rFonts w:ascii="Times New Roman" w:hAnsi="Times New Roman"/>
                <w:sz w:val="24"/>
                <w:szCs w:val="24"/>
              </w:rPr>
              <w:t xml:space="preserve"> </w:t>
            </w:r>
            <w:r w:rsidRPr="002733C7">
              <w:rPr>
                <w:rFonts w:ascii="Times New Roman" w:hAnsi="Times New Roman"/>
                <w:sz w:val="24"/>
                <w:szCs w:val="24"/>
              </w:rPr>
              <w:t>Climate</w:t>
            </w:r>
            <w:r w:rsidR="00E1758E" w:rsidRPr="002733C7">
              <w:rPr>
                <w:rFonts w:ascii="Times New Roman" w:hAnsi="Times New Roman"/>
                <w:sz w:val="24"/>
                <w:szCs w:val="24"/>
              </w:rPr>
              <w:t xml:space="preserve"> </w:t>
            </w:r>
            <w:r w:rsidRPr="002733C7">
              <w:rPr>
                <w:rFonts w:ascii="Times New Roman" w:hAnsi="Times New Roman"/>
                <w:sz w:val="24"/>
                <w:szCs w:val="24"/>
              </w:rPr>
              <w:t>Agreements: International</w:t>
            </w:r>
            <w:r w:rsidR="00E1758E" w:rsidRPr="002733C7">
              <w:rPr>
                <w:rFonts w:ascii="Times New Roman" w:hAnsi="Times New Roman"/>
                <w:sz w:val="24"/>
                <w:szCs w:val="24"/>
              </w:rPr>
              <w:t xml:space="preserve"> </w:t>
            </w:r>
            <w:r w:rsidRPr="002733C7">
              <w:rPr>
                <w:rFonts w:ascii="Times New Roman" w:hAnsi="Times New Roman"/>
                <w:sz w:val="24"/>
                <w:szCs w:val="24"/>
              </w:rPr>
              <w:t xml:space="preserve">frameworks such as the </w:t>
            </w:r>
            <w:r w:rsidRPr="002733C7">
              <w:rPr>
                <w:rFonts w:ascii="Times New Roman" w:hAnsi="Times New Roman"/>
                <w:sz w:val="24"/>
                <w:szCs w:val="24"/>
              </w:rPr>
              <w:lastRenderedPageBreak/>
              <w:t>Paris Agreement and COP summits are driving countries to set national emission targets (UN, 2015), prompting stricter environmental regulations.</w:t>
            </w:r>
          </w:p>
        </w:tc>
        <w:tc>
          <w:tcPr>
            <w:tcW w:w="2835" w:type="dxa"/>
            <w:tcBorders>
              <w:top w:val="single" w:sz="4" w:space="0" w:color="auto"/>
              <w:left w:val="single" w:sz="4" w:space="0" w:color="auto"/>
              <w:bottom w:val="single" w:sz="4" w:space="0" w:color="auto"/>
              <w:right w:val="single" w:sz="4" w:space="0" w:color="auto"/>
            </w:tcBorders>
            <w:hideMark/>
          </w:tcPr>
          <w:p w14:paraId="77AA3491" w14:textId="1D5556FA"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lastRenderedPageBreak/>
              <w:t>Encourages</w:t>
            </w:r>
            <w:r w:rsidR="00E1758E" w:rsidRPr="002733C7">
              <w:rPr>
                <w:rFonts w:ascii="Times New Roman" w:hAnsi="Times New Roman"/>
                <w:sz w:val="24"/>
                <w:szCs w:val="24"/>
              </w:rPr>
              <w:t xml:space="preserve"> </w:t>
            </w:r>
            <w:r w:rsidRPr="002733C7">
              <w:rPr>
                <w:rFonts w:ascii="Times New Roman" w:hAnsi="Times New Roman"/>
                <w:sz w:val="24"/>
                <w:szCs w:val="24"/>
              </w:rPr>
              <w:t xml:space="preserve">hotels worldwide to implement </w:t>
            </w:r>
            <w:r w:rsidRPr="002733C7">
              <w:rPr>
                <w:rFonts w:ascii="Times New Roman" w:hAnsi="Times New Roman"/>
                <w:sz w:val="24"/>
                <w:szCs w:val="24"/>
              </w:rPr>
              <w:lastRenderedPageBreak/>
              <w:t>renewable energy systems to comply with national and international policy frameworks.</w:t>
            </w:r>
          </w:p>
        </w:tc>
      </w:tr>
      <w:tr w:rsidR="00B46A62" w:rsidRPr="002733C7" w14:paraId="6A514906" w14:textId="77777777" w:rsidTr="00E1758E">
        <w:tc>
          <w:tcPr>
            <w:tcW w:w="3311" w:type="dxa"/>
            <w:tcBorders>
              <w:top w:val="single" w:sz="4" w:space="0" w:color="auto"/>
              <w:left w:val="single" w:sz="4" w:space="0" w:color="auto"/>
              <w:bottom w:val="single" w:sz="4" w:space="0" w:color="auto"/>
              <w:right w:val="single" w:sz="4" w:space="0" w:color="auto"/>
            </w:tcBorders>
          </w:tcPr>
          <w:p w14:paraId="069FF8CD" w14:textId="77777777" w:rsidR="00B46A62" w:rsidRPr="002733C7" w:rsidRDefault="00B46A62" w:rsidP="002733C7">
            <w:pPr>
              <w:spacing w:line="360" w:lineRule="auto"/>
              <w:jc w:val="both"/>
              <w:rPr>
                <w:rFonts w:ascii="Times New Roman" w:hAnsi="Times New Roman"/>
                <w:sz w:val="24"/>
                <w:szCs w:val="24"/>
              </w:rPr>
            </w:pPr>
          </w:p>
        </w:tc>
        <w:tc>
          <w:tcPr>
            <w:tcW w:w="3778" w:type="dxa"/>
            <w:tcBorders>
              <w:top w:val="single" w:sz="4" w:space="0" w:color="auto"/>
              <w:left w:val="single" w:sz="4" w:space="0" w:color="auto"/>
              <w:bottom w:val="single" w:sz="4" w:space="0" w:color="auto"/>
              <w:right w:val="single" w:sz="4" w:space="0" w:color="auto"/>
            </w:tcBorders>
            <w:hideMark/>
          </w:tcPr>
          <w:p w14:paraId="42188047" w14:textId="427D3212"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Government</w:t>
            </w:r>
            <w:r w:rsidR="00E1758E" w:rsidRPr="002733C7">
              <w:rPr>
                <w:rFonts w:ascii="Times New Roman" w:hAnsi="Times New Roman"/>
                <w:sz w:val="24"/>
                <w:szCs w:val="24"/>
              </w:rPr>
              <w:t xml:space="preserve"> </w:t>
            </w:r>
            <w:r w:rsidRPr="002733C7">
              <w:rPr>
                <w:rFonts w:ascii="Times New Roman" w:hAnsi="Times New Roman"/>
                <w:sz w:val="24"/>
                <w:szCs w:val="24"/>
              </w:rPr>
              <w:t>Incentives: Countries such as Germany, the UK, and Canada offer tax rebates and subsidies for solar, geothermal, and green roof systems</w:t>
            </w:r>
            <w:r w:rsidR="00E1758E" w:rsidRPr="002733C7">
              <w:rPr>
                <w:rFonts w:ascii="Times New Roman" w:hAnsi="Times New Roman"/>
                <w:sz w:val="24"/>
                <w:szCs w:val="24"/>
              </w:rPr>
              <w:t xml:space="preserve"> </w:t>
            </w:r>
            <w:r w:rsidRPr="002733C7">
              <w:rPr>
                <w:rFonts w:ascii="Times New Roman" w:hAnsi="Times New Roman"/>
                <w:sz w:val="24"/>
                <w:szCs w:val="24"/>
              </w:rPr>
              <w:t>in commercial buildings, including hotels (Rana et al., 2021).</w:t>
            </w:r>
          </w:p>
        </w:tc>
        <w:tc>
          <w:tcPr>
            <w:tcW w:w="2835" w:type="dxa"/>
            <w:tcBorders>
              <w:top w:val="single" w:sz="4" w:space="0" w:color="auto"/>
              <w:left w:val="single" w:sz="4" w:space="0" w:color="auto"/>
              <w:bottom w:val="single" w:sz="4" w:space="0" w:color="auto"/>
              <w:right w:val="single" w:sz="4" w:space="0" w:color="auto"/>
            </w:tcBorders>
            <w:hideMark/>
          </w:tcPr>
          <w:p w14:paraId="40FDF949"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Hotels can access financial support, reducing the initial investment burden.</w:t>
            </w:r>
          </w:p>
        </w:tc>
      </w:tr>
      <w:tr w:rsidR="00B46A62" w:rsidRPr="002733C7" w14:paraId="2DB3937C" w14:textId="77777777" w:rsidTr="00E1758E">
        <w:tc>
          <w:tcPr>
            <w:tcW w:w="3311" w:type="dxa"/>
            <w:tcBorders>
              <w:top w:val="single" w:sz="4" w:space="0" w:color="auto"/>
              <w:left w:val="single" w:sz="4" w:space="0" w:color="auto"/>
              <w:bottom w:val="single" w:sz="4" w:space="0" w:color="auto"/>
              <w:right w:val="single" w:sz="4" w:space="0" w:color="auto"/>
            </w:tcBorders>
          </w:tcPr>
          <w:p w14:paraId="4B6B4D69" w14:textId="77777777" w:rsidR="00B46A62" w:rsidRPr="002733C7" w:rsidRDefault="00B46A62" w:rsidP="002733C7">
            <w:pPr>
              <w:spacing w:line="360" w:lineRule="auto"/>
              <w:jc w:val="both"/>
              <w:rPr>
                <w:rFonts w:ascii="Times New Roman" w:hAnsi="Times New Roman"/>
                <w:sz w:val="24"/>
                <w:szCs w:val="24"/>
              </w:rPr>
            </w:pPr>
          </w:p>
        </w:tc>
        <w:tc>
          <w:tcPr>
            <w:tcW w:w="3778" w:type="dxa"/>
            <w:tcBorders>
              <w:top w:val="single" w:sz="4" w:space="0" w:color="auto"/>
              <w:left w:val="single" w:sz="4" w:space="0" w:color="auto"/>
              <w:bottom w:val="single" w:sz="4" w:space="0" w:color="auto"/>
              <w:right w:val="single" w:sz="4" w:space="0" w:color="auto"/>
            </w:tcBorders>
            <w:hideMark/>
          </w:tcPr>
          <w:p w14:paraId="6E859400"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Regulatory Pressure: The EU Green Deal and US Inflation Reduction Act (2022) provide frameworks and funding for sustainable infrastructure (KPMG, 2023).</w:t>
            </w:r>
          </w:p>
        </w:tc>
        <w:tc>
          <w:tcPr>
            <w:tcW w:w="2835" w:type="dxa"/>
            <w:tcBorders>
              <w:top w:val="single" w:sz="4" w:space="0" w:color="auto"/>
              <w:left w:val="single" w:sz="4" w:space="0" w:color="auto"/>
              <w:bottom w:val="single" w:sz="4" w:space="0" w:color="auto"/>
              <w:right w:val="single" w:sz="4" w:space="0" w:color="auto"/>
            </w:tcBorders>
            <w:hideMark/>
          </w:tcPr>
          <w:p w14:paraId="158BC28F"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Political stability and policy continuity directly influence the feasibility of long-term green investment.</w:t>
            </w:r>
          </w:p>
        </w:tc>
      </w:tr>
      <w:tr w:rsidR="00B46A62" w:rsidRPr="002733C7" w14:paraId="5105E092" w14:textId="77777777" w:rsidTr="00E1758E">
        <w:tc>
          <w:tcPr>
            <w:tcW w:w="3311" w:type="dxa"/>
            <w:tcBorders>
              <w:top w:val="single" w:sz="4" w:space="0" w:color="auto"/>
              <w:left w:val="single" w:sz="4" w:space="0" w:color="auto"/>
              <w:bottom w:val="single" w:sz="4" w:space="0" w:color="auto"/>
              <w:right w:val="single" w:sz="4" w:space="0" w:color="auto"/>
            </w:tcBorders>
            <w:hideMark/>
          </w:tcPr>
          <w:p w14:paraId="5D2DC3FA"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Economic</w:t>
            </w:r>
          </w:p>
        </w:tc>
        <w:tc>
          <w:tcPr>
            <w:tcW w:w="3778" w:type="dxa"/>
            <w:tcBorders>
              <w:top w:val="single" w:sz="4" w:space="0" w:color="auto"/>
              <w:left w:val="single" w:sz="4" w:space="0" w:color="auto"/>
              <w:bottom w:val="single" w:sz="4" w:space="0" w:color="auto"/>
              <w:right w:val="single" w:sz="4" w:space="0" w:color="auto"/>
            </w:tcBorders>
            <w:hideMark/>
          </w:tcPr>
          <w:p w14:paraId="3FC4360C"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Rising Global Energy Prices: Fossil fuel price volatility (e.g., during the Russia–Ukraine conflict) drives interest in cost-stable renewables (</w:t>
            </w:r>
            <w:proofErr w:type="spellStart"/>
            <w:r w:rsidRPr="002733C7">
              <w:rPr>
                <w:rFonts w:ascii="Times New Roman" w:hAnsi="Times New Roman"/>
                <w:sz w:val="24"/>
                <w:szCs w:val="24"/>
              </w:rPr>
              <w:t>Maneejuk</w:t>
            </w:r>
            <w:proofErr w:type="spellEnd"/>
            <w:r w:rsidRPr="002733C7">
              <w:rPr>
                <w:rFonts w:ascii="Times New Roman" w:hAnsi="Times New Roman"/>
                <w:sz w:val="24"/>
                <w:szCs w:val="24"/>
              </w:rPr>
              <w:t xml:space="preserve"> et al., 2024).</w:t>
            </w:r>
          </w:p>
        </w:tc>
        <w:tc>
          <w:tcPr>
            <w:tcW w:w="2835" w:type="dxa"/>
            <w:tcBorders>
              <w:top w:val="single" w:sz="4" w:space="0" w:color="auto"/>
              <w:left w:val="single" w:sz="4" w:space="0" w:color="auto"/>
              <w:bottom w:val="single" w:sz="4" w:space="0" w:color="auto"/>
              <w:right w:val="single" w:sz="4" w:space="0" w:color="auto"/>
            </w:tcBorders>
            <w:hideMark/>
          </w:tcPr>
          <w:p w14:paraId="655A373C"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Increases the ROI attractiveness of solar and geothermal systems.</w:t>
            </w:r>
          </w:p>
        </w:tc>
      </w:tr>
      <w:tr w:rsidR="00B46A62" w:rsidRPr="002733C7" w14:paraId="5C915567" w14:textId="77777777" w:rsidTr="00E1758E">
        <w:tc>
          <w:tcPr>
            <w:tcW w:w="3311" w:type="dxa"/>
            <w:tcBorders>
              <w:top w:val="single" w:sz="4" w:space="0" w:color="auto"/>
              <w:left w:val="single" w:sz="4" w:space="0" w:color="auto"/>
              <w:bottom w:val="single" w:sz="4" w:space="0" w:color="auto"/>
              <w:right w:val="single" w:sz="4" w:space="0" w:color="auto"/>
            </w:tcBorders>
          </w:tcPr>
          <w:p w14:paraId="698530D4" w14:textId="77777777" w:rsidR="00B46A62" w:rsidRPr="002733C7" w:rsidRDefault="00B46A62" w:rsidP="002733C7">
            <w:pPr>
              <w:spacing w:line="360" w:lineRule="auto"/>
              <w:jc w:val="both"/>
              <w:rPr>
                <w:rFonts w:ascii="Times New Roman" w:hAnsi="Times New Roman"/>
                <w:sz w:val="24"/>
                <w:szCs w:val="24"/>
              </w:rPr>
            </w:pPr>
          </w:p>
        </w:tc>
        <w:tc>
          <w:tcPr>
            <w:tcW w:w="3778" w:type="dxa"/>
            <w:tcBorders>
              <w:top w:val="single" w:sz="4" w:space="0" w:color="auto"/>
              <w:left w:val="single" w:sz="4" w:space="0" w:color="auto"/>
              <w:bottom w:val="single" w:sz="4" w:space="0" w:color="auto"/>
              <w:right w:val="single" w:sz="4" w:space="0" w:color="auto"/>
            </w:tcBorders>
            <w:hideMark/>
          </w:tcPr>
          <w:p w14:paraId="35AF3585" w14:textId="77777777" w:rsidR="00B46A62" w:rsidRPr="002733C7" w:rsidRDefault="00B46A62" w:rsidP="002733C7">
            <w:pPr>
              <w:spacing w:line="360" w:lineRule="auto"/>
              <w:jc w:val="both"/>
              <w:rPr>
                <w:rFonts w:ascii="Times New Roman" w:hAnsi="Times New Roman"/>
                <w:sz w:val="24"/>
                <w:szCs w:val="24"/>
              </w:rPr>
            </w:pPr>
            <w:proofErr w:type="gramStart"/>
            <w:r w:rsidRPr="002733C7">
              <w:rPr>
                <w:rFonts w:ascii="Times New Roman" w:hAnsi="Times New Roman"/>
                <w:sz w:val="24"/>
                <w:szCs w:val="24"/>
              </w:rPr>
              <w:t>Cost Competitiveness</w:t>
            </w:r>
            <w:proofErr w:type="gramEnd"/>
            <w:r w:rsidRPr="002733C7">
              <w:rPr>
                <w:rFonts w:ascii="Times New Roman" w:hAnsi="Times New Roman"/>
                <w:sz w:val="24"/>
                <w:szCs w:val="24"/>
              </w:rPr>
              <w:t>: Growing overcapacity in the solar PV supply chain and fierce competition among producers led to a 50% decrease in global PV module spot prices between December 2022 and December 2023 (IEA, 2024).</w:t>
            </w:r>
          </w:p>
        </w:tc>
        <w:tc>
          <w:tcPr>
            <w:tcW w:w="2835" w:type="dxa"/>
            <w:tcBorders>
              <w:top w:val="single" w:sz="4" w:space="0" w:color="auto"/>
              <w:left w:val="single" w:sz="4" w:space="0" w:color="auto"/>
              <w:bottom w:val="single" w:sz="4" w:space="0" w:color="auto"/>
              <w:right w:val="single" w:sz="4" w:space="0" w:color="auto"/>
            </w:tcBorders>
            <w:hideMark/>
          </w:tcPr>
          <w:p w14:paraId="1DA4F680" w14:textId="2E1300AC"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 xml:space="preserve">Hotels in energy-cost-sensitive regions (e.g., the Caribbean, Europe) can benefit most </w:t>
            </w:r>
            <w:r w:rsidR="00E1758E" w:rsidRPr="002733C7">
              <w:rPr>
                <w:rFonts w:ascii="Times New Roman" w:hAnsi="Times New Roman"/>
                <w:sz w:val="24"/>
                <w:szCs w:val="24"/>
              </w:rPr>
              <w:t xml:space="preserve">from </w:t>
            </w:r>
            <w:r w:rsidRPr="002733C7">
              <w:rPr>
                <w:rFonts w:ascii="Times New Roman" w:hAnsi="Times New Roman"/>
                <w:sz w:val="24"/>
                <w:szCs w:val="24"/>
              </w:rPr>
              <w:t>sufficient systems.</w:t>
            </w:r>
          </w:p>
        </w:tc>
      </w:tr>
      <w:tr w:rsidR="00B46A62" w:rsidRPr="002733C7" w14:paraId="7797BB54" w14:textId="77777777" w:rsidTr="00E1758E">
        <w:tc>
          <w:tcPr>
            <w:tcW w:w="3311" w:type="dxa"/>
            <w:tcBorders>
              <w:top w:val="single" w:sz="4" w:space="0" w:color="auto"/>
              <w:left w:val="single" w:sz="4" w:space="0" w:color="auto"/>
              <w:bottom w:val="single" w:sz="4" w:space="0" w:color="auto"/>
              <w:right w:val="single" w:sz="4" w:space="0" w:color="auto"/>
            </w:tcBorders>
          </w:tcPr>
          <w:p w14:paraId="4E864681" w14:textId="77777777" w:rsidR="00B46A62" w:rsidRPr="002733C7" w:rsidRDefault="00B46A62" w:rsidP="002733C7">
            <w:pPr>
              <w:spacing w:line="360" w:lineRule="auto"/>
              <w:jc w:val="both"/>
              <w:rPr>
                <w:rFonts w:ascii="Times New Roman" w:hAnsi="Times New Roman"/>
                <w:sz w:val="24"/>
                <w:szCs w:val="24"/>
              </w:rPr>
            </w:pPr>
          </w:p>
        </w:tc>
        <w:tc>
          <w:tcPr>
            <w:tcW w:w="3778" w:type="dxa"/>
            <w:tcBorders>
              <w:top w:val="single" w:sz="4" w:space="0" w:color="auto"/>
              <w:left w:val="single" w:sz="4" w:space="0" w:color="auto"/>
              <w:bottom w:val="single" w:sz="4" w:space="0" w:color="auto"/>
              <w:right w:val="single" w:sz="4" w:space="0" w:color="auto"/>
            </w:tcBorders>
            <w:hideMark/>
          </w:tcPr>
          <w:p w14:paraId="104BA6E5"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Tourism Recovery Post-COVID: Hotels are seeking cost-effective ways to rebuild profitability while meeting sustainability goals.</w:t>
            </w:r>
          </w:p>
        </w:tc>
        <w:tc>
          <w:tcPr>
            <w:tcW w:w="2835" w:type="dxa"/>
            <w:tcBorders>
              <w:top w:val="single" w:sz="4" w:space="0" w:color="auto"/>
              <w:left w:val="single" w:sz="4" w:space="0" w:color="auto"/>
              <w:bottom w:val="single" w:sz="4" w:space="0" w:color="auto"/>
              <w:right w:val="single" w:sz="4" w:space="0" w:color="auto"/>
            </w:tcBorders>
            <w:hideMark/>
          </w:tcPr>
          <w:p w14:paraId="414E6579"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Economic sustainability aligns with environmental investment as part of long-term resilience strategies.</w:t>
            </w:r>
          </w:p>
        </w:tc>
      </w:tr>
      <w:tr w:rsidR="00B46A62" w:rsidRPr="002733C7" w14:paraId="6F11AAD4" w14:textId="77777777" w:rsidTr="00E1758E">
        <w:tc>
          <w:tcPr>
            <w:tcW w:w="3311" w:type="dxa"/>
            <w:tcBorders>
              <w:top w:val="single" w:sz="4" w:space="0" w:color="auto"/>
              <w:left w:val="single" w:sz="4" w:space="0" w:color="auto"/>
              <w:bottom w:val="single" w:sz="4" w:space="0" w:color="auto"/>
              <w:right w:val="single" w:sz="4" w:space="0" w:color="auto"/>
            </w:tcBorders>
            <w:hideMark/>
          </w:tcPr>
          <w:p w14:paraId="12FA86B2"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lastRenderedPageBreak/>
              <w:t>Social</w:t>
            </w:r>
          </w:p>
        </w:tc>
        <w:tc>
          <w:tcPr>
            <w:tcW w:w="3778" w:type="dxa"/>
            <w:tcBorders>
              <w:top w:val="single" w:sz="4" w:space="0" w:color="auto"/>
              <w:left w:val="single" w:sz="4" w:space="0" w:color="auto"/>
              <w:bottom w:val="single" w:sz="4" w:space="0" w:color="auto"/>
              <w:right w:val="single" w:sz="4" w:space="0" w:color="auto"/>
            </w:tcBorders>
            <w:hideMark/>
          </w:tcPr>
          <w:p w14:paraId="300E13D6"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 xml:space="preserve">Eco-Conscious </w:t>
            </w:r>
            <w:proofErr w:type="spellStart"/>
            <w:r w:rsidRPr="002733C7">
              <w:rPr>
                <w:rFonts w:ascii="Times New Roman" w:hAnsi="Times New Roman"/>
                <w:sz w:val="24"/>
                <w:szCs w:val="24"/>
              </w:rPr>
              <w:t>Travellers</w:t>
            </w:r>
            <w:proofErr w:type="spellEnd"/>
            <w:r w:rsidRPr="002733C7">
              <w:rPr>
                <w:rFonts w:ascii="Times New Roman" w:hAnsi="Times New Roman"/>
                <w:sz w:val="24"/>
                <w:szCs w:val="24"/>
              </w:rPr>
              <w:t xml:space="preserve">: </w:t>
            </w:r>
            <w:proofErr w:type="spellStart"/>
            <w:r w:rsidRPr="002733C7">
              <w:rPr>
                <w:rFonts w:ascii="Times New Roman" w:hAnsi="Times New Roman"/>
                <w:sz w:val="24"/>
                <w:szCs w:val="24"/>
              </w:rPr>
              <w:t>Booking.com’s</w:t>
            </w:r>
            <w:proofErr w:type="spellEnd"/>
            <w:r w:rsidRPr="002733C7">
              <w:rPr>
                <w:rFonts w:ascii="Times New Roman" w:hAnsi="Times New Roman"/>
                <w:sz w:val="24"/>
                <w:szCs w:val="24"/>
              </w:rPr>
              <w:t xml:space="preserve"> 2024 Sustainable Travel Report indicates that over 70% of </w:t>
            </w:r>
            <w:proofErr w:type="spellStart"/>
            <w:r w:rsidRPr="002733C7">
              <w:rPr>
                <w:rFonts w:ascii="Times New Roman" w:hAnsi="Times New Roman"/>
                <w:sz w:val="24"/>
                <w:szCs w:val="24"/>
              </w:rPr>
              <w:t>travellers</w:t>
            </w:r>
            <w:proofErr w:type="spellEnd"/>
            <w:r w:rsidRPr="002733C7">
              <w:rPr>
                <w:rFonts w:ascii="Times New Roman" w:hAnsi="Times New Roman"/>
                <w:sz w:val="24"/>
                <w:szCs w:val="24"/>
              </w:rPr>
              <w:t xml:space="preserve"> would be more likely to book eco-friendly accommodation, and this trend has been consistent in previous years, according to </w:t>
            </w:r>
            <w:proofErr w:type="spellStart"/>
            <w:r w:rsidRPr="002733C7">
              <w:rPr>
                <w:rFonts w:ascii="Times New Roman" w:hAnsi="Times New Roman"/>
                <w:sz w:val="24"/>
                <w:szCs w:val="24"/>
              </w:rPr>
              <w:t>Booking.com’s</w:t>
            </w:r>
            <w:proofErr w:type="spellEnd"/>
            <w:r w:rsidRPr="002733C7">
              <w:rPr>
                <w:rFonts w:ascii="Times New Roman" w:hAnsi="Times New Roman"/>
                <w:sz w:val="24"/>
                <w:szCs w:val="24"/>
              </w:rPr>
              <w:t xml:space="preserve"> 2019 and 2022 reports (Booking.com, 2024).</w:t>
            </w:r>
          </w:p>
        </w:tc>
        <w:tc>
          <w:tcPr>
            <w:tcW w:w="2835" w:type="dxa"/>
            <w:tcBorders>
              <w:top w:val="single" w:sz="4" w:space="0" w:color="auto"/>
              <w:left w:val="single" w:sz="4" w:space="0" w:color="auto"/>
              <w:bottom w:val="single" w:sz="4" w:space="0" w:color="auto"/>
              <w:right w:val="single" w:sz="4" w:space="0" w:color="auto"/>
            </w:tcBorders>
            <w:hideMark/>
          </w:tcPr>
          <w:p w14:paraId="271BC2EC"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Encourages hospitality businesses to adopt visible renewable technologies as a marketing and brand enhancement tool.</w:t>
            </w:r>
          </w:p>
        </w:tc>
      </w:tr>
      <w:tr w:rsidR="00B46A62" w:rsidRPr="002733C7" w14:paraId="5B8CB580" w14:textId="77777777" w:rsidTr="00E1758E">
        <w:tc>
          <w:tcPr>
            <w:tcW w:w="3311" w:type="dxa"/>
            <w:tcBorders>
              <w:top w:val="single" w:sz="4" w:space="0" w:color="auto"/>
              <w:left w:val="single" w:sz="4" w:space="0" w:color="auto"/>
              <w:bottom w:val="single" w:sz="4" w:space="0" w:color="auto"/>
              <w:right w:val="single" w:sz="4" w:space="0" w:color="auto"/>
            </w:tcBorders>
          </w:tcPr>
          <w:p w14:paraId="13D371B7" w14:textId="77777777" w:rsidR="00B46A62" w:rsidRPr="002733C7" w:rsidRDefault="00B46A62" w:rsidP="002733C7">
            <w:pPr>
              <w:spacing w:line="360" w:lineRule="auto"/>
              <w:jc w:val="both"/>
              <w:rPr>
                <w:rFonts w:ascii="Times New Roman" w:hAnsi="Times New Roman"/>
                <w:sz w:val="24"/>
                <w:szCs w:val="24"/>
              </w:rPr>
            </w:pPr>
          </w:p>
        </w:tc>
        <w:tc>
          <w:tcPr>
            <w:tcW w:w="3778" w:type="dxa"/>
            <w:tcBorders>
              <w:top w:val="single" w:sz="4" w:space="0" w:color="auto"/>
              <w:left w:val="single" w:sz="4" w:space="0" w:color="auto"/>
              <w:bottom w:val="single" w:sz="4" w:space="0" w:color="auto"/>
              <w:right w:val="single" w:sz="4" w:space="0" w:color="auto"/>
            </w:tcBorders>
            <w:hideMark/>
          </w:tcPr>
          <w:p w14:paraId="31BE4622"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Workforce Sustainability Awareness: Employee engagement in green initiatives is rising. A 2023 analysis of over 1,000 companies revealed that employee engagement was 16% higher in companies perceived as genuinely committed to sustainability (HR Magazine, 2024).</w:t>
            </w:r>
          </w:p>
        </w:tc>
        <w:tc>
          <w:tcPr>
            <w:tcW w:w="2835" w:type="dxa"/>
            <w:tcBorders>
              <w:top w:val="single" w:sz="4" w:space="0" w:color="auto"/>
              <w:left w:val="single" w:sz="4" w:space="0" w:color="auto"/>
              <w:bottom w:val="single" w:sz="4" w:space="0" w:color="auto"/>
              <w:right w:val="single" w:sz="4" w:space="0" w:color="auto"/>
            </w:tcBorders>
            <w:hideMark/>
          </w:tcPr>
          <w:p w14:paraId="6B955938"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Improves employee morale and brand identity through CSR alignment.</w:t>
            </w:r>
          </w:p>
        </w:tc>
      </w:tr>
      <w:tr w:rsidR="00B46A62" w:rsidRPr="002733C7" w14:paraId="31BE0046" w14:textId="77777777" w:rsidTr="00E1758E">
        <w:tc>
          <w:tcPr>
            <w:tcW w:w="3311" w:type="dxa"/>
            <w:tcBorders>
              <w:top w:val="single" w:sz="4" w:space="0" w:color="auto"/>
              <w:left w:val="single" w:sz="4" w:space="0" w:color="auto"/>
              <w:bottom w:val="single" w:sz="4" w:space="0" w:color="auto"/>
              <w:right w:val="single" w:sz="4" w:space="0" w:color="auto"/>
            </w:tcBorders>
            <w:hideMark/>
          </w:tcPr>
          <w:p w14:paraId="401BC897"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Technological</w:t>
            </w:r>
          </w:p>
        </w:tc>
        <w:tc>
          <w:tcPr>
            <w:tcW w:w="3778" w:type="dxa"/>
            <w:tcBorders>
              <w:top w:val="single" w:sz="4" w:space="0" w:color="auto"/>
              <w:left w:val="single" w:sz="4" w:space="0" w:color="auto"/>
              <w:bottom w:val="single" w:sz="4" w:space="0" w:color="auto"/>
              <w:right w:val="single" w:sz="4" w:space="0" w:color="auto"/>
            </w:tcBorders>
            <w:hideMark/>
          </w:tcPr>
          <w:p w14:paraId="04EB2193"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Innovation in Green Building Tech: Efficiency gains in solar PV, geothermal HVAC, and green roof systems.</w:t>
            </w:r>
          </w:p>
        </w:tc>
        <w:tc>
          <w:tcPr>
            <w:tcW w:w="2835" w:type="dxa"/>
            <w:tcBorders>
              <w:top w:val="single" w:sz="4" w:space="0" w:color="auto"/>
              <w:left w:val="single" w:sz="4" w:space="0" w:color="auto"/>
              <w:bottom w:val="single" w:sz="4" w:space="0" w:color="auto"/>
              <w:right w:val="single" w:sz="4" w:space="0" w:color="auto"/>
            </w:tcBorders>
            <w:hideMark/>
          </w:tcPr>
          <w:p w14:paraId="4B73BA47"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Improves the efficiency and attractiveness of renewable solutions.</w:t>
            </w:r>
          </w:p>
        </w:tc>
      </w:tr>
      <w:tr w:rsidR="00B46A62" w:rsidRPr="002733C7" w14:paraId="5B3CC94F" w14:textId="77777777" w:rsidTr="00E1758E">
        <w:tc>
          <w:tcPr>
            <w:tcW w:w="3311" w:type="dxa"/>
            <w:tcBorders>
              <w:top w:val="single" w:sz="4" w:space="0" w:color="auto"/>
              <w:left w:val="single" w:sz="4" w:space="0" w:color="auto"/>
              <w:bottom w:val="single" w:sz="4" w:space="0" w:color="auto"/>
              <w:right w:val="single" w:sz="4" w:space="0" w:color="auto"/>
            </w:tcBorders>
          </w:tcPr>
          <w:p w14:paraId="611D4609" w14:textId="77777777" w:rsidR="00B46A62" w:rsidRPr="002733C7" w:rsidRDefault="00B46A62" w:rsidP="002733C7">
            <w:pPr>
              <w:spacing w:line="360" w:lineRule="auto"/>
              <w:jc w:val="both"/>
              <w:rPr>
                <w:rFonts w:ascii="Times New Roman" w:hAnsi="Times New Roman"/>
                <w:sz w:val="24"/>
                <w:szCs w:val="24"/>
              </w:rPr>
            </w:pPr>
          </w:p>
        </w:tc>
        <w:tc>
          <w:tcPr>
            <w:tcW w:w="3778" w:type="dxa"/>
            <w:tcBorders>
              <w:top w:val="single" w:sz="4" w:space="0" w:color="auto"/>
              <w:left w:val="single" w:sz="4" w:space="0" w:color="auto"/>
              <w:bottom w:val="single" w:sz="4" w:space="0" w:color="auto"/>
              <w:right w:val="single" w:sz="4" w:space="0" w:color="auto"/>
            </w:tcBorders>
            <w:hideMark/>
          </w:tcPr>
          <w:p w14:paraId="3B14A17C"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Smart Energy Management Systems: IoT, AI, and BMS (Building Management Systems) enable intelligent energy use.</w:t>
            </w:r>
          </w:p>
        </w:tc>
        <w:tc>
          <w:tcPr>
            <w:tcW w:w="2835" w:type="dxa"/>
            <w:tcBorders>
              <w:top w:val="single" w:sz="4" w:space="0" w:color="auto"/>
              <w:left w:val="single" w:sz="4" w:space="0" w:color="auto"/>
              <w:bottom w:val="single" w:sz="4" w:space="0" w:color="auto"/>
              <w:right w:val="single" w:sz="4" w:space="0" w:color="auto"/>
            </w:tcBorders>
            <w:hideMark/>
          </w:tcPr>
          <w:p w14:paraId="2183E033"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Technology integration enables measurable carbon reduction and operational savings.</w:t>
            </w:r>
          </w:p>
        </w:tc>
      </w:tr>
      <w:tr w:rsidR="00B46A62" w:rsidRPr="002733C7" w14:paraId="1EB144C1" w14:textId="77777777" w:rsidTr="00E1758E">
        <w:tc>
          <w:tcPr>
            <w:tcW w:w="3311" w:type="dxa"/>
            <w:tcBorders>
              <w:top w:val="single" w:sz="4" w:space="0" w:color="auto"/>
              <w:left w:val="single" w:sz="4" w:space="0" w:color="auto"/>
              <w:bottom w:val="single" w:sz="4" w:space="0" w:color="auto"/>
              <w:right w:val="single" w:sz="4" w:space="0" w:color="auto"/>
            </w:tcBorders>
          </w:tcPr>
          <w:p w14:paraId="4603D229" w14:textId="77777777" w:rsidR="00B46A62" w:rsidRPr="002733C7" w:rsidRDefault="00B46A62" w:rsidP="002733C7">
            <w:pPr>
              <w:spacing w:line="360" w:lineRule="auto"/>
              <w:jc w:val="both"/>
              <w:rPr>
                <w:rFonts w:ascii="Times New Roman" w:hAnsi="Times New Roman"/>
                <w:sz w:val="24"/>
                <w:szCs w:val="24"/>
              </w:rPr>
            </w:pPr>
          </w:p>
        </w:tc>
        <w:tc>
          <w:tcPr>
            <w:tcW w:w="3778" w:type="dxa"/>
            <w:tcBorders>
              <w:top w:val="single" w:sz="4" w:space="0" w:color="auto"/>
              <w:left w:val="single" w:sz="4" w:space="0" w:color="auto"/>
              <w:bottom w:val="single" w:sz="4" w:space="0" w:color="auto"/>
              <w:right w:val="single" w:sz="4" w:space="0" w:color="auto"/>
            </w:tcBorders>
            <w:hideMark/>
          </w:tcPr>
          <w:p w14:paraId="1BA24F68"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Global Knowledge Transfer: Best practices from tech-forward markets such as Japan, Germany, and Singapore are spreading globally.</w:t>
            </w:r>
          </w:p>
        </w:tc>
        <w:tc>
          <w:tcPr>
            <w:tcW w:w="2835" w:type="dxa"/>
            <w:tcBorders>
              <w:top w:val="single" w:sz="4" w:space="0" w:color="auto"/>
              <w:left w:val="single" w:sz="4" w:space="0" w:color="auto"/>
              <w:bottom w:val="single" w:sz="4" w:space="0" w:color="auto"/>
              <w:right w:val="single" w:sz="4" w:space="0" w:color="auto"/>
            </w:tcBorders>
            <w:hideMark/>
          </w:tcPr>
          <w:p w14:paraId="3CCCFA76" w14:textId="77777777" w:rsidR="00B46A62" w:rsidRPr="002733C7" w:rsidRDefault="00B46A62" w:rsidP="002733C7">
            <w:pPr>
              <w:spacing w:line="360" w:lineRule="auto"/>
              <w:jc w:val="both"/>
              <w:rPr>
                <w:rFonts w:ascii="Times New Roman" w:hAnsi="Times New Roman"/>
                <w:sz w:val="24"/>
                <w:szCs w:val="24"/>
              </w:rPr>
            </w:pPr>
            <w:r w:rsidRPr="002733C7">
              <w:rPr>
                <w:rFonts w:ascii="Times New Roman" w:hAnsi="Times New Roman"/>
                <w:sz w:val="24"/>
                <w:szCs w:val="24"/>
              </w:rPr>
              <w:t>Cross-border knowledge and technology transfer speed up adoption in emerging markets.</w:t>
            </w:r>
          </w:p>
        </w:tc>
      </w:tr>
    </w:tbl>
    <w:p w14:paraId="17F56FA0" w14:textId="77777777" w:rsidR="009D7479" w:rsidRPr="002733C7" w:rsidRDefault="009D7479" w:rsidP="002733C7">
      <w:pPr>
        <w:spacing w:line="360" w:lineRule="auto"/>
        <w:jc w:val="both"/>
        <w:rPr>
          <w:rFonts w:ascii="Times New Roman" w:hAnsi="Times New Roman" w:cs="Times New Roman"/>
        </w:rPr>
      </w:pPr>
    </w:p>
    <w:p w14:paraId="2E693184" w14:textId="77777777" w:rsidR="00F333C1" w:rsidRPr="002733C7" w:rsidRDefault="00F333C1" w:rsidP="002733C7">
      <w:pPr>
        <w:spacing w:before="100" w:beforeAutospacing="1" w:after="100" w:afterAutospacing="1" w:line="360" w:lineRule="auto"/>
        <w:jc w:val="both"/>
        <w:rPr>
          <w:rFonts w:ascii="Times New Roman" w:eastAsia="Times New Roman" w:hAnsi="Times New Roman" w:cs="Times New Roman"/>
          <w:b/>
          <w:bCs/>
          <w:kern w:val="0"/>
          <w:lang w:eastAsia="en-GB"/>
          <w14:ligatures w14:val="none"/>
        </w:rPr>
      </w:pPr>
      <w:bookmarkStart w:id="8" w:name="_Toc197162622"/>
    </w:p>
    <w:p w14:paraId="187B0735" w14:textId="77777777" w:rsidR="00886D6A" w:rsidRDefault="00932C87"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lastRenderedPageBreak/>
        <w:t>Barriers Affecting Renewable Energy Investment by Hotels</w:t>
      </w:r>
    </w:p>
    <w:p w14:paraId="123CA445" w14:textId="77777777" w:rsidR="00886D6A" w:rsidRDefault="00932C87"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High Initial Capital Investment:</w:t>
      </w:r>
      <w:r w:rsidRPr="002733C7">
        <w:rPr>
          <w:rFonts w:ascii="Times New Roman" w:eastAsia="Times New Roman" w:hAnsi="Times New Roman" w:cs="Times New Roman"/>
          <w:kern w:val="0"/>
          <w:lang w:eastAsia="en-GB"/>
          <w14:ligatures w14:val="none"/>
        </w:rPr>
        <w:t xml:space="preserve"> </w:t>
      </w:r>
    </w:p>
    <w:p w14:paraId="68449579" w14:textId="5928EDEE" w:rsidR="00932C87" w:rsidRPr="002733C7" w:rsidRDefault="00932C87"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 xml:space="preserve">Despite growing environmental awareness, hotels continue to face numerous barriers that hinder the adoption of renewable energy technologies. A key challenge is the high initial capital investment required to install systems such as solar photovoltaic (PV) or solar thermal technologies. </w:t>
      </w:r>
      <w:proofErr w:type="spellStart"/>
      <w:r w:rsidRPr="002733C7">
        <w:rPr>
          <w:rFonts w:ascii="Times New Roman" w:eastAsia="Times New Roman" w:hAnsi="Times New Roman" w:cs="Times New Roman"/>
          <w:kern w:val="0"/>
          <w:lang w:eastAsia="en-GB"/>
          <w14:ligatures w14:val="none"/>
        </w:rPr>
        <w:t>Bouhal</w:t>
      </w:r>
      <w:proofErr w:type="spellEnd"/>
      <w:r w:rsidRPr="002733C7">
        <w:rPr>
          <w:rFonts w:ascii="Times New Roman" w:eastAsia="Times New Roman" w:hAnsi="Times New Roman" w:cs="Times New Roman"/>
          <w:kern w:val="0"/>
          <w:lang w:eastAsia="en-GB"/>
          <w14:ligatures w14:val="none"/>
        </w:rPr>
        <w:t xml:space="preserve"> et al. (2018) highlighted that without sufficient financial resources, especially among small- and medium-sized enterprises, investment in such technologies remains difficult. This is compounded by perceptions of long payback periods, particularly in regions like Madeira where transportation and installation costs are higher due to geographic limitations (Hotel Energy Solutions, 2011).</w:t>
      </w:r>
    </w:p>
    <w:p w14:paraId="54955F29" w14:textId="77777777" w:rsidR="00886D6A" w:rsidRDefault="00932C87"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Economic Uncertainty:</w:t>
      </w:r>
      <w:r w:rsidRPr="002733C7">
        <w:rPr>
          <w:rFonts w:ascii="Times New Roman" w:eastAsia="Times New Roman" w:hAnsi="Times New Roman" w:cs="Times New Roman"/>
          <w:kern w:val="0"/>
          <w:lang w:eastAsia="en-GB"/>
          <w14:ligatures w14:val="none"/>
        </w:rPr>
        <w:t xml:space="preserve"> </w:t>
      </w:r>
    </w:p>
    <w:p w14:paraId="2A2723B1" w14:textId="3B76B89E" w:rsidR="00932C87" w:rsidRPr="002733C7" w:rsidRDefault="00932C87"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kern w:val="0"/>
          <w:lang w:eastAsia="en-GB"/>
          <w14:ligatures w14:val="none"/>
        </w:rPr>
        <w:t>Economic uncertainty and limited access to funding further exacerbate reluctance, particularly for family-owned and independently operated hotels. As noted by Buffa et al. (2018), small hotels often lack not only financial capital but also the necessary technical knowledge and professional support to implement and maintain environmental management systems. In addition to financial limitations, bureaucratic and regulatory hurdles present significant challenges. In countries like Spain and Sicily, heritage protection laws and complex administrative procedures for acquiring permits and subsidies create further delays (Hotel Energy Solutions, 2011). Differing legal requirements across states also add to the uncertainty, making cross-border investments in renewable technologies more cumbersome (</w:t>
      </w:r>
      <w:proofErr w:type="spellStart"/>
      <w:r w:rsidRPr="002733C7">
        <w:rPr>
          <w:rFonts w:ascii="Times New Roman" w:eastAsia="Times New Roman" w:hAnsi="Times New Roman" w:cs="Times New Roman"/>
          <w:kern w:val="0"/>
          <w:lang w:eastAsia="en-GB"/>
          <w14:ligatures w14:val="none"/>
        </w:rPr>
        <w:t>Ragosa</w:t>
      </w:r>
      <w:proofErr w:type="spellEnd"/>
      <w:r w:rsidRPr="002733C7">
        <w:rPr>
          <w:rFonts w:ascii="Times New Roman" w:eastAsia="Times New Roman" w:hAnsi="Times New Roman" w:cs="Times New Roman"/>
          <w:kern w:val="0"/>
          <w:lang w:eastAsia="en-GB"/>
          <w14:ligatures w14:val="none"/>
        </w:rPr>
        <w:t xml:space="preserve"> &amp; Warren, 2019).</w:t>
      </w:r>
    </w:p>
    <w:p w14:paraId="57A8F2E0" w14:textId="77777777" w:rsidR="00886D6A" w:rsidRDefault="00932C87" w:rsidP="002733C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Technical and Operational Concerns:</w:t>
      </w:r>
      <w:r w:rsidR="00886D6A">
        <w:rPr>
          <w:rFonts w:ascii="Times New Roman" w:eastAsia="Times New Roman" w:hAnsi="Times New Roman" w:cs="Times New Roman"/>
          <w:b/>
          <w:bCs/>
          <w:kern w:val="0"/>
          <w:lang w:eastAsia="en-GB"/>
          <w14:ligatures w14:val="none"/>
        </w:rPr>
        <w:t xml:space="preserve"> </w:t>
      </w:r>
      <w:r w:rsidRPr="002733C7">
        <w:rPr>
          <w:rFonts w:ascii="Times New Roman" w:eastAsia="Times New Roman" w:hAnsi="Times New Roman" w:cs="Times New Roman"/>
          <w:kern w:val="0"/>
          <w:lang w:eastAsia="en-GB"/>
          <w14:ligatures w14:val="none"/>
        </w:rPr>
        <w:t xml:space="preserve"> </w:t>
      </w:r>
    </w:p>
    <w:p w14:paraId="3A9103E2" w14:textId="017098F7" w:rsidR="00932C87" w:rsidRPr="00886D6A" w:rsidRDefault="00932C87" w:rsidP="002733C7">
      <w:pPr>
        <w:spacing w:before="100" w:beforeAutospacing="1" w:after="100" w:afterAutospacing="1" w:line="360" w:lineRule="auto"/>
        <w:jc w:val="both"/>
        <w:rPr>
          <w:rFonts w:ascii="Times New Roman" w:eastAsia="Times New Roman" w:hAnsi="Times New Roman" w:cs="Times New Roman"/>
          <w:b/>
          <w:bCs/>
          <w:kern w:val="0"/>
          <w:lang w:eastAsia="en-GB"/>
          <w14:ligatures w14:val="none"/>
        </w:rPr>
      </w:pPr>
      <w:r w:rsidRPr="002733C7">
        <w:rPr>
          <w:rFonts w:ascii="Times New Roman" w:eastAsia="Times New Roman" w:hAnsi="Times New Roman" w:cs="Times New Roman"/>
          <w:kern w:val="0"/>
          <w:lang w:eastAsia="en-GB"/>
          <w14:ligatures w14:val="none"/>
        </w:rPr>
        <w:t>Technical and operational concerns remain prominent barriers. While solar thermal systems have become more technologically mature, past experiences with poorly designed or unreliable systems have made hotel managers wary, particularly in countries such as Portugal and France (Hotel Energy Solutions, 2011). Many hotels also lack internal technical capacity, such as full-time engineers, making it difficult to plan and manage renewable energy installations effectively (Chan, 2011). This challenge is compounded by a lack of knowledge transfer from suppliers and insufficient training on newer technologies (Sikombe &amp; Phiri, 2019).</w:t>
      </w:r>
    </w:p>
    <w:p w14:paraId="513E0123" w14:textId="77777777" w:rsidR="00886D6A" w:rsidRDefault="00932C87" w:rsidP="002733C7">
      <w:pPr>
        <w:spacing w:before="100" w:beforeAutospacing="1" w:after="100" w:afterAutospacing="1" w:line="360" w:lineRule="auto"/>
        <w:jc w:val="both"/>
        <w:rPr>
          <w:rFonts w:ascii="Times New Roman" w:eastAsia="Times New Roman" w:hAnsi="Times New Roman" w:cs="Times New Roman"/>
          <w:b/>
          <w:bCs/>
          <w:kern w:val="0"/>
          <w:lang w:eastAsia="en-GB"/>
          <w14:ligatures w14:val="none"/>
        </w:rPr>
      </w:pPr>
      <w:r w:rsidRPr="002733C7">
        <w:rPr>
          <w:rFonts w:ascii="Times New Roman" w:eastAsia="Times New Roman" w:hAnsi="Times New Roman" w:cs="Times New Roman"/>
          <w:b/>
          <w:bCs/>
          <w:kern w:val="0"/>
          <w:lang w:eastAsia="en-GB"/>
          <w14:ligatures w14:val="none"/>
        </w:rPr>
        <w:lastRenderedPageBreak/>
        <w:t>Organisational and Behavioural Barriers:</w:t>
      </w:r>
    </w:p>
    <w:p w14:paraId="6C05C2A1" w14:textId="4B9C9647" w:rsidR="00F333C1" w:rsidRPr="00886D6A" w:rsidRDefault="00932C87" w:rsidP="002733C7">
      <w:pPr>
        <w:spacing w:before="100" w:beforeAutospacing="1" w:after="100" w:afterAutospacing="1" w:line="360" w:lineRule="auto"/>
        <w:jc w:val="both"/>
        <w:rPr>
          <w:rFonts w:ascii="Times New Roman" w:eastAsia="Times New Roman" w:hAnsi="Times New Roman" w:cs="Times New Roman"/>
          <w:b/>
          <w:bCs/>
          <w:kern w:val="0"/>
          <w:lang w:eastAsia="en-GB"/>
          <w14:ligatures w14:val="none"/>
        </w:rPr>
      </w:pPr>
      <w:r w:rsidRPr="002733C7">
        <w:rPr>
          <w:rFonts w:ascii="Times New Roman" w:eastAsia="Times New Roman" w:hAnsi="Times New Roman" w:cs="Times New Roman"/>
          <w:kern w:val="0"/>
          <w:lang w:eastAsia="en-GB"/>
          <w14:ligatures w14:val="none"/>
        </w:rPr>
        <w:t>Organisational and behavioural barriers also influence decision-making. According to Tseng (2017), the role of corporate culture and managerial attitudes significantly impacts technology adoption. In many hotel chains, strategic decisions regarding sustainability are made at corporate headquarters, which may disconnect local managers from implementation opportunities (</w:t>
      </w:r>
      <w:proofErr w:type="spellStart"/>
      <w:r w:rsidRPr="002733C7">
        <w:rPr>
          <w:rFonts w:ascii="Times New Roman" w:eastAsia="Times New Roman" w:hAnsi="Times New Roman" w:cs="Times New Roman"/>
          <w:kern w:val="0"/>
          <w:lang w:eastAsia="en-GB"/>
          <w14:ligatures w14:val="none"/>
        </w:rPr>
        <w:t>Ertuna</w:t>
      </w:r>
      <w:proofErr w:type="spellEnd"/>
      <w:r w:rsidRPr="002733C7">
        <w:rPr>
          <w:rFonts w:ascii="Times New Roman" w:eastAsia="Times New Roman" w:hAnsi="Times New Roman" w:cs="Times New Roman"/>
          <w:kern w:val="0"/>
          <w:lang w:eastAsia="en-GB"/>
          <w14:ligatures w14:val="none"/>
        </w:rPr>
        <w:t xml:space="preserve"> et al., 2022). Furthermore, employee resistance to unfamiliar technologies, a lack of performance metrics, and outcome uncertainty contribute to the inertia (</w:t>
      </w:r>
      <w:proofErr w:type="spellStart"/>
      <w:r w:rsidRPr="002733C7">
        <w:rPr>
          <w:rFonts w:ascii="Times New Roman" w:eastAsia="Times New Roman" w:hAnsi="Times New Roman" w:cs="Times New Roman"/>
          <w:kern w:val="0"/>
          <w:lang w:eastAsia="en-GB"/>
          <w14:ligatures w14:val="none"/>
        </w:rPr>
        <w:t>Darvishmotevali</w:t>
      </w:r>
      <w:proofErr w:type="spellEnd"/>
      <w:r w:rsidRPr="002733C7">
        <w:rPr>
          <w:rFonts w:ascii="Times New Roman" w:eastAsia="Times New Roman" w:hAnsi="Times New Roman" w:cs="Times New Roman"/>
          <w:kern w:val="0"/>
          <w:lang w:eastAsia="en-GB"/>
          <w14:ligatures w14:val="none"/>
        </w:rPr>
        <w:t xml:space="preserve"> et al., 2020).</w:t>
      </w:r>
    </w:p>
    <w:p w14:paraId="3A0BDA10" w14:textId="77777777" w:rsidR="00886D6A" w:rsidRDefault="00576204" w:rsidP="002733C7">
      <w:pPr>
        <w:spacing w:before="100" w:beforeAutospacing="1" w:after="100" w:afterAutospacing="1" w:line="360" w:lineRule="auto"/>
        <w:jc w:val="both"/>
        <w:rPr>
          <w:rStyle w:val="Strong"/>
          <w:rFonts w:ascii="Times New Roman" w:hAnsi="Times New Roman" w:cs="Times New Roman"/>
        </w:rPr>
      </w:pPr>
      <w:r w:rsidRPr="002733C7">
        <w:rPr>
          <w:rStyle w:val="Strong"/>
          <w:rFonts w:ascii="Times New Roman" w:hAnsi="Times New Roman" w:cs="Times New Roman"/>
        </w:rPr>
        <w:t>Conclusion</w:t>
      </w:r>
      <w:bookmarkStart w:id="9" w:name="_Toc197162623"/>
      <w:bookmarkEnd w:id="8"/>
    </w:p>
    <w:p w14:paraId="652D16E3" w14:textId="71A74B97" w:rsidR="00352A13" w:rsidRPr="00886D6A" w:rsidRDefault="00F333C1" w:rsidP="002733C7">
      <w:pPr>
        <w:spacing w:before="100" w:beforeAutospacing="1" w:after="100" w:afterAutospacing="1" w:line="360" w:lineRule="auto"/>
        <w:jc w:val="both"/>
        <w:rPr>
          <w:rFonts w:ascii="Times New Roman" w:hAnsi="Times New Roman" w:cs="Times New Roman"/>
          <w:b/>
          <w:bCs/>
        </w:rPr>
      </w:pPr>
      <w:r w:rsidRPr="002733C7">
        <w:rPr>
          <w:rFonts w:ascii="Times New Roman" w:eastAsia="Times New Roman" w:hAnsi="Times New Roman" w:cs="Times New Roman"/>
          <w:lang w:eastAsia="en-GB"/>
        </w:rPr>
        <w:t>External factors such as a supportive political framework, rising energy costs, shifting consumer preferences, and rapid technological advancement play a significant role in shaping the adoption of renewable energy technologies within the hospitality sector. Nevertheless, substantial barriers—including high initial costs, uncertainty, technological challenges, and organisational resistance—persist. In seeking to adopt these technologies, hotels may benefit from government incentives, the development of internal technical capacity, and the cultivation of a sustainability-oriented organisational culture. Additional support for the transition towards greener operations can be provided through clear policy guidance, streamlined regulatory processes, and industry-wide knowledge sharing.</w:t>
      </w:r>
    </w:p>
    <w:bookmarkEnd w:id="9"/>
    <w:p w14:paraId="4C64727E" w14:textId="77777777" w:rsidR="00F333C1" w:rsidRDefault="00F333C1" w:rsidP="002733C7">
      <w:pPr>
        <w:pStyle w:val="NoSpacing"/>
        <w:spacing w:line="360" w:lineRule="auto"/>
        <w:jc w:val="both"/>
        <w:rPr>
          <w:rFonts w:ascii="Times New Roman" w:hAnsi="Times New Roman" w:cs="Times New Roman"/>
          <w:b/>
          <w:bCs/>
          <w:lang w:eastAsia="en-GB"/>
        </w:rPr>
      </w:pPr>
      <w:r w:rsidRPr="00F333C1">
        <w:rPr>
          <w:rFonts w:ascii="Times New Roman" w:hAnsi="Times New Roman" w:cs="Times New Roman"/>
          <w:b/>
          <w:bCs/>
          <w:lang w:eastAsia="en-GB"/>
        </w:rPr>
        <w:t>Recommendations</w:t>
      </w:r>
    </w:p>
    <w:p w14:paraId="44893426" w14:textId="77777777" w:rsidR="00F333C1" w:rsidRPr="002733C7" w:rsidRDefault="00F333C1" w:rsidP="002733C7">
      <w:pPr>
        <w:pStyle w:val="NoSpacing"/>
        <w:spacing w:line="360" w:lineRule="auto"/>
        <w:jc w:val="both"/>
        <w:rPr>
          <w:rFonts w:ascii="Times New Roman" w:hAnsi="Times New Roman" w:cs="Times New Roman"/>
          <w:lang w:eastAsia="en-GB"/>
        </w:rPr>
      </w:pPr>
      <w:r w:rsidRPr="00F333C1">
        <w:rPr>
          <w:rFonts w:ascii="Times New Roman" w:hAnsi="Times New Roman" w:cs="Times New Roman"/>
          <w:lang w:eastAsia="en-GB"/>
        </w:rPr>
        <w:t>Building on the evaluation of external factors and barriers influencing the adoption of renewable energy technologies, the hotel and hospitality industry must adopt a strategic, multifaceted approach to accelerate the transition towards sustainable energy solutions.</w:t>
      </w:r>
    </w:p>
    <w:p w14:paraId="7F17CE97" w14:textId="77777777" w:rsidR="00886D6A" w:rsidRDefault="00886D6A" w:rsidP="002733C7">
      <w:pPr>
        <w:pStyle w:val="NoSpacing"/>
        <w:spacing w:line="360" w:lineRule="auto"/>
        <w:jc w:val="both"/>
        <w:rPr>
          <w:rFonts w:ascii="Times New Roman" w:hAnsi="Times New Roman" w:cs="Times New Roman"/>
          <w:lang w:eastAsia="en-GB"/>
        </w:rPr>
      </w:pPr>
    </w:p>
    <w:p w14:paraId="2E1F3AA3" w14:textId="077A6F98" w:rsidR="00701ED7" w:rsidRDefault="00F333C1" w:rsidP="002733C7">
      <w:pPr>
        <w:pStyle w:val="NoSpacing"/>
        <w:spacing w:line="360" w:lineRule="auto"/>
        <w:jc w:val="both"/>
        <w:rPr>
          <w:rFonts w:ascii="Times New Roman" w:hAnsi="Times New Roman" w:cs="Times New Roman"/>
          <w:b/>
          <w:bCs/>
          <w:lang w:eastAsia="en-GB"/>
        </w:rPr>
      </w:pPr>
      <w:r w:rsidRPr="00F333C1">
        <w:rPr>
          <w:rFonts w:ascii="Times New Roman" w:hAnsi="Times New Roman" w:cs="Times New Roman"/>
          <w:b/>
          <w:bCs/>
          <w:lang w:eastAsia="en-GB"/>
        </w:rPr>
        <w:t>Strengthen Access to Financial Support and Incentives</w:t>
      </w:r>
    </w:p>
    <w:p w14:paraId="699AB8C4" w14:textId="77777777" w:rsidR="00886D6A" w:rsidRDefault="00F333C1" w:rsidP="002733C7">
      <w:pPr>
        <w:pStyle w:val="NoSpacing"/>
        <w:spacing w:line="360" w:lineRule="auto"/>
        <w:jc w:val="both"/>
        <w:rPr>
          <w:rFonts w:ascii="Times New Roman" w:hAnsi="Times New Roman" w:cs="Times New Roman"/>
          <w:lang w:eastAsia="en-GB"/>
        </w:rPr>
      </w:pPr>
      <w:r w:rsidRPr="00F333C1">
        <w:rPr>
          <w:rFonts w:ascii="Times New Roman" w:hAnsi="Times New Roman" w:cs="Times New Roman"/>
          <w:lang w:eastAsia="en-GB"/>
        </w:rPr>
        <w:t>Governments and financial institutions should collaborate to expand access to green financing, including low-interest loans, tax credits, and grants specifically tailored for the hospitality sector. Small and medium-sized hotels, which often face capital constraints, should be prioritised. Establishing green financing partnerships between public bodies and private investors can reduce the financial burden of upfront costs and improve return-on-investment prospects for renewable systems such as solar PV, geothermal heating, and energy-efficient appliances.</w:t>
      </w:r>
    </w:p>
    <w:p w14:paraId="24BEDE96" w14:textId="77777777" w:rsidR="00886D6A" w:rsidRDefault="00F333C1" w:rsidP="002733C7">
      <w:pPr>
        <w:pStyle w:val="NoSpacing"/>
        <w:spacing w:line="360" w:lineRule="auto"/>
        <w:jc w:val="both"/>
        <w:rPr>
          <w:rFonts w:ascii="Times New Roman" w:hAnsi="Times New Roman" w:cs="Times New Roman"/>
          <w:lang w:eastAsia="en-GB"/>
        </w:rPr>
      </w:pPr>
      <w:r w:rsidRPr="00F333C1">
        <w:rPr>
          <w:rFonts w:ascii="Times New Roman" w:hAnsi="Times New Roman" w:cs="Times New Roman"/>
          <w:b/>
          <w:bCs/>
          <w:lang w:eastAsia="en-GB"/>
        </w:rPr>
        <w:lastRenderedPageBreak/>
        <w:t>Foster Technical Capacity and Knowledge Sharing</w:t>
      </w:r>
    </w:p>
    <w:p w14:paraId="18C73CEF" w14:textId="795DF64D" w:rsidR="00F333C1" w:rsidRPr="002733C7" w:rsidRDefault="00F333C1" w:rsidP="002733C7">
      <w:pPr>
        <w:pStyle w:val="NoSpacing"/>
        <w:spacing w:line="360" w:lineRule="auto"/>
        <w:jc w:val="both"/>
        <w:rPr>
          <w:rFonts w:ascii="Times New Roman" w:hAnsi="Times New Roman" w:cs="Times New Roman"/>
          <w:lang w:eastAsia="en-GB"/>
        </w:rPr>
      </w:pPr>
      <w:r w:rsidRPr="00F333C1">
        <w:rPr>
          <w:rFonts w:ascii="Times New Roman" w:hAnsi="Times New Roman" w:cs="Times New Roman"/>
          <w:lang w:eastAsia="en-GB"/>
        </w:rPr>
        <w:t>A lack of technical expertise and training remains a significant barrier. Hotel associations and industry groups should develop centralised knowledge platforms and training modules in collaboration with renewable energy providers and academic institutions. These resources can guide hotels on best practices, vendor evaluation, system maintenance, and integration with existing infrastructure. Strengthening collaboration between suppliers and hotels will also build trust and enhance the reliability of renewable energy systems.</w:t>
      </w:r>
    </w:p>
    <w:p w14:paraId="2D07C3D2" w14:textId="77777777" w:rsidR="00886D6A" w:rsidRDefault="00886D6A" w:rsidP="002733C7">
      <w:pPr>
        <w:pStyle w:val="NoSpacing"/>
        <w:spacing w:line="360" w:lineRule="auto"/>
        <w:jc w:val="both"/>
        <w:rPr>
          <w:rFonts w:ascii="Times New Roman" w:hAnsi="Times New Roman" w:cs="Times New Roman"/>
          <w:lang w:eastAsia="en-GB"/>
        </w:rPr>
      </w:pPr>
    </w:p>
    <w:p w14:paraId="7BC3802B" w14:textId="6FAF2412" w:rsidR="00701ED7" w:rsidRPr="002733C7" w:rsidRDefault="00F333C1" w:rsidP="002733C7">
      <w:pPr>
        <w:pStyle w:val="NoSpacing"/>
        <w:spacing w:line="360" w:lineRule="auto"/>
        <w:jc w:val="both"/>
        <w:rPr>
          <w:rFonts w:ascii="Times New Roman" w:hAnsi="Times New Roman" w:cs="Times New Roman"/>
          <w:b/>
          <w:bCs/>
          <w:lang w:eastAsia="en-GB"/>
        </w:rPr>
      </w:pPr>
      <w:r w:rsidRPr="00F333C1">
        <w:rPr>
          <w:rFonts w:ascii="Times New Roman" w:hAnsi="Times New Roman" w:cs="Times New Roman"/>
          <w:b/>
          <w:bCs/>
          <w:lang w:eastAsia="en-GB"/>
        </w:rPr>
        <w:t>Simplify Regulatory Frameworks and Encourage Policy Consistency</w:t>
      </w:r>
    </w:p>
    <w:p w14:paraId="2E796701" w14:textId="496DE8A6" w:rsidR="00F333C1" w:rsidRPr="002733C7" w:rsidRDefault="00F333C1" w:rsidP="002733C7">
      <w:pPr>
        <w:pStyle w:val="NoSpacing"/>
        <w:spacing w:line="360" w:lineRule="auto"/>
        <w:jc w:val="both"/>
        <w:rPr>
          <w:rFonts w:ascii="Times New Roman" w:hAnsi="Times New Roman" w:cs="Times New Roman"/>
          <w:lang w:eastAsia="en-GB"/>
        </w:rPr>
      </w:pPr>
      <w:r w:rsidRPr="00F333C1">
        <w:rPr>
          <w:rFonts w:ascii="Times New Roman" w:hAnsi="Times New Roman" w:cs="Times New Roman"/>
          <w:lang w:eastAsia="en-GB"/>
        </w:rPr>
        <w:t>Policymakers should aim to streamline permit acquisition processes and minimise bureaucratic delays, particularly in heritage or protected areas. National and regional governments must align policies to ensure consistency across jurisdictions, thereby encouraging cross-border investment in green technologies. Establishing dedicated sustainability units within tourism and environmental ministries could support this harmonisation.</w:t>
      </w:r>
    </w:p>
    <w:p w14:paraId="1FB1BC52" w14:textId="77777777" w:rsidR="00886D6A" w:rsidRDefault="00886D6A" w:rsidP="002733C7">
      <w:pPr>
        <w:pStyle w:val="NoSpacing"/>
        <w:spacing w:line="360" w:lineRule="auto"/>
        <w:jc w:val="both"/>
        <w:rPr>
          <w:rFonts w:ascii="Times New Roman" w:hAnsi="Times New Roman" w:cs="Times New Roman"/>
          <w:lang w:eastAsia="en-GB"/>
        </w:rPr>
      </w:pPr>
    </w:p>
    <w:p w14:paraId="56B9A0FB" w14:textId="1DF01DBE" w:rsidR="00701ED7" w:rsidRPr="002733C7" w:rsidRDefault="00F333C1" w:rsidP="002733C7">
      <w:pPr>
        <w:pStyle w:val="NoSpacing"/>
        <w:spacing w:line="360" w:lineRule="auto"/>
        <w:jc w:val="both"/>
        <w:rPr>
          <w:rFonts w:ascii="Times New Roman" w:hAnsi="Times New Roman" w:cs="Times New Roman"/>
          <w:b/>
          <w:bCs/>
          <w:lang w:eastAsia="en-GB"/>
        </w:rPr>
      </w:pPr>
      <w:r w:rsidRPr="00F333C1">
        <w:rPr>
          <w:rFonts w:ascii="Times New Roman" w:hAnsi="Times New Roman" w:cs="Times New Roman"/>
          <w:b/>
          <w:bCs/>
          <w:lang w:eastAsia="en-GB"/>
        </w:rPr>
        <w:t>Embed Sustainability into Organisational Culture</w:t>
      </w:r>
    </w:p>
    <w:p w14:paraId="02716476" w14:textId="00925568" w:rsidR="00F333C1" w:rsidRPr="002733C7" w:rsidRDefault="00F333C1" w:rsidP="002733C7">
      <w:pPr>
        <w:pStyle w:val="NoSpacing"/>
        <w:spacing w:line="360" w:lineRule="auto"/>
        <w:jc w:val="both"/>
        <w:rPr>
          <w:rFonts w:ascii="Times New Roman" w:hAnsi="Times New Roman" w:cs="Times New Roman"/>
          <w:lang w:eastAsia="en-GB"/>
        </w:rPr>
      </w:pPr>
      <w:r w:rsidRPr="00F333C1">
        <w:rPr>
          <w:rFonts w:ascii="Times New Roman" w:hAnsi="Times New Roman" w:cs="Times New Roman"/>
          <w:lang w:eastAsia="en-GB"/>
        </w:rPr>
        <w:t>For renewable energy strategies to succeed, sustainability must be embedded within the organisation’s core values. Hospitality leaders should incorporate sustainability KPIs into performance evaluations and operational planning. Engaging employees at all levels through awareness campaigns, reward programmes, and transparent communication of sustainability goals can improve commitment and reduce resistance. Local managers should be empowered to take ownership of green initiatives, even when strategic decisions are centralised.</w:t>
      </w:r>
    </w:p>
    <w:p w14:paraId="786F0FC8" w14:textId="77777777" w:rsidR="00701ED7" w:rsidRPr="00F333C1" w:rsidRDefault="00701ED7" w:rsidP="002733C7">
      <w:pPr>
        <w:pStyle w:val="NoSpacing"/>
        <w:spacing w:line="360" w:lineRule="auto"/>
        <w:jc w:val="both"/>
        <w:rPr>
          <w:rFonts w:ascii="Times New Roman" w:hAnsi="Times New Roman" w:cs="Times New Roman"/>
          <w:lang w:eastAsia="en-GB"/>
        </w:rPr>
      </w:pPr>
    </w:p>
    <w:p w14:paraId="16C620C8" w14:textId="77777777" w:rsidR="00701ED7" w:rsidRPr="002733C7" w:rsidRDefault="00F333C1" w:rsidP="002733C7">
      <w:pPr>
        <w:pStyle w:val="NoSpacing"/>
        <w:spacing w:line="360" w:lineRule="auto"/>
        <w:jc w:val="both"/>
        <w:rPr>
          <w:rFonts w:ascii="Times New Roman" w:hAnsi="Times New Roman" w:cs="Times New Roman"/>
          <w:b/>
          <w:bCs/>
          <w:lang w:eastAsia="en-GB"/>
        </w:rPr>
      </w:pPr>
      <w:r w:rsidRPr="00F333C1">
        <w:rPr>
          <w:rFonts w:ascii="Times New Roman" w:hAnsi="Times New Roman" w:cs="Times New Roman"/>
          <w:b/>
          <w:bCs/>
          <w:lang w:eastAsia="en-GB"/>
        </w:rPr>
        <w:t>Leverage Digital and Smart Technologies</w:t>
      </w:r>
    </w:p>
    <w:p w14:paraId="5388F16A" w14:textId="77777777" w:rsidR="00886D6A" w:rsidRDefault="00F333C1" w:rsidP="00886D6A">
      <w:pPr>
        <w:pStyle w:val="NoSpacing"/>
        <w:spacing w:line="360" w:lineRule="auto"/>
        <w:jc w:val="both"/>
        <w:rPr>
          <w:rFonts w:ascii="Times New Roman" w:hAnsi="Times New Roman" w:cs="Times New Roman"/>
          <w:lang w:eastAsia="en-GB"/>
        </w:rPr>
      </w:pPr>
      <w:r w:rsidRPr="00F333C1">
        <w:rPr>
          <w:rFonts w:ascii="Times New Roman" w:hAnsi="Times New Roman" w:cs="Times New Roman"/>
          <w:lang w:eastAsia="en-GB"/>
        </w:rPr>
        <w:t>Hotels should invest in smart energy management systems that optimise consumption and monitor performance metrics in real time. The adoption of AI, IoT, and Building Management Systems (BMS) can significantly reduce energy waste, enhance operational efficiency, and enable data-driven decisions concerning energy use and future investments.</w:t>
      </w:r>
      <w:bookmarkStart w:id="10" w:name="_Toc197162624"/>
    </w:p>
    <w:p w14:paraId="3BDB5F5A" w14:textId="77777777" w:rsidR="00886D6A" w:rsidRDefault="00886D6A" w:rsidP="00886D6A">
      <w:pPr>
        <w:pStyle w:val="NoSpacing"/>
        <w:spacing w:line="360" w:lineRule="auto"/>
        <w:jc w:val="both"/>
        <w:rPr>
          <w:rFonts w:ascii="Times New Roman" w:hAnsi="Times New Roman" w:cs="Times New Roman"/>
          <w:lang w:eastAsia="en-GB"/>
        </w:rPr>
      </w:pPr>
    </w:p>
    <w:p w14:paraId="323BC9EB" w14:textId="77777777" w:rsidR="00886D6A" w:rsidRDefault="00886D6A" w:rsidP="00886D6A">
      <w:pPr>
        <w:pStyle w:val="NoSpacing"/>
        <w:spacing w:line="360" w:lineRule="auto"/>
        <w:jc w:val="both"/>
        <w:rPr>
          <w:rFonts w:ascii="Times New Roman" w:hAnsi="Times New Roman" w:cs="Times New Roman"/>
          <w:lang w:eastAsia="en-GB"/>
        </w:rPr>
      </w:pPr>
    </w:p>
    <w:p w14:paraId="24F77A60" w14:textId="77777777" w:rsidR="00886D6A" w:rsidRDefault="00886D6A" w:rsidP="00886D6A">
      <w:pPr>
        <w:pStyle w:val="NoSpacing"/>
        <w:spacing w:line="360" w:lineRule="auto"/>
        <w:jc w:val="both"/>
        <w:rPr>
          <w:rFonts w:ascii="Times New Roman" w:hAnsi="Times New Roman" w:cs="Times New Roman"/>
          <w:lang w:eastAsia="en-GB"/>
        </w:rPr>
      </w:pPr>
    </w:p>
    <w:p w14:paraId="3D001A90" w14:textId="77777777" w:rsidR="00886D6A" w:rsidRDefault="00886D6A" w:rsidP="00886D6A">
      <w:pPr>
        <w:pStyle w:val="NoSpacing"/>
        <w:spacing w:line="360" w:lineRule="auto"/>
        <w:jc w:val="both"/>
        <w:rPr>
          <w:rFonts w:ascii="Times New Roman" w:hAnsi="Times New Roman" w:cs="Times New Roman"/>
          <w:lang w:eastAsia="en-GB"/>
        </w:rPr>
      </w:pPr>
    </w:p>
    <w:p w14:paraId="7090F0F3" w14:textId="77777777" w:rsidR="00886D6A" w:rsidRDefault="00886D6A" w:rsidP="00886D6A">
      <w:pPr>
        <w:pStyle w:val="NoSpacing"/>
        <w:spacing w:line="360" w:lineRule="auto"/>
        <w:jc w:val="both"/>
        <w:rPr>
          <w:rFonts w:ascii="Times New Roman" w:hAnsi="Times New Roman" w:cs="Times New Roman"/>
          <w:lang w:eastAsia="en-GB"/>
        </w:rPr>
      </w:pPr>
    </w:p>
    <w:p w14:paraId="4432D95C" w14:textId="77777777" w:rsidR="00886D6A" w:rsidRDefault="00886D6A" w:rsidP="00886D6A">
      <w:pPr>
        <w:pStyle w:val="NoSpacing"/>
        <w:spacing w:line="360" w:lineRule="auto"/>
        <w:jc w:val="both"/>
        <w:rPr>
          <w:rFonts w:ascii="Times New Roman" w:hAnsi="Times New Roman" w:cs="Times New Roman"/>
          <w:lang w:eastAsia="en-GB"/>
        </w:rPr>
      </w:pPr>
    </w:p>
    <w:p w14:paraId="56311F00" w14:textId="03789683" w:rsidR="00576204" w:rsidRPr="00886D6A" w:rsidRDefault="00576204" w:rsidP="00886D6A">
      <w:pPr>
        <w:pStyle w:val="NoSpacing"/>
        <w:spacing w:line="360" w:lineRule="auto"/>
        <w:jc w:val="both"/>
        <w:rPr>
          <w:rFonts w:ascii="Times New Roman" w:hAnsi="Times New Roman" w:cs="Times New Roman"/>
          <w:lang w:eastAsia="en-GB"/>
        </w:rPr>
      </w:pPr>
      <w:r w:rsidRPr="002733C7">
        <w:rPr>
          <w:rFonts w:ascii="Times New Roman" w:hAnsi="Times New Roman" w:cs="Times New Roman"/>
          <w:b/>
          <w:bCs/>
        </w:rPr>
        <w:lastRenderedPageBreak/>
        <w:t>References</w:t>
      </w:r>
      <w:bookmarkEnd w:id="10"/>
    </w:p>
    <w:p w14:paraId="39C90129"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Balata, G. &amp; Tola, A., 2018. Cost-opportunity analysis of the use of </w:t>
      </w:r>
      <w:r w:rsidRPr="008A0BA1">
        <w:rPr>
          <w:rFonts w:ascii="Times New Roman" w:eastAsia="Times New Roman" w:hAnsi="Times New Roman" w:cs="Times New Roman"/>
          <w:i/>
          <w:iCs/>
          <w:kern w:val="0"/>
          <w:lang w:eastAsia="en-GB"/>
          <w14:ligatures w14:val="none"/>
        </w:rPr>
        <w:t xml:space="preserve">Posidonia </w:t>
      </w:r>
      <w:proofErr w:type="spellStart"/>
      <w:r w:rsidRPr="008A0BA1">
        <w:rPr>
          <w:rFonts w:ascii="Times New Roman" w:eastAsia="Times New Roman" w:hAnsi="Times New Roman" w:cs="Times New Roman"/>
          <w:i/>
          <w:iCs/>
          <w:kern w:val="0"/>
          <w:lang w:eastAsia="en-GB"/>
          <w14:ligatures w14:val="none"/>
        </w:rPr>
        <w:t>oceanica</w:t>
      </w:r>
      <w:proofErr w:type="spellEnd"/>
      <w:r w:rsidRPr="008A0BA1">
        <w:rPr>
          <w:rFonts w:ascii="Times New Roman" w:eastAsia="Times New Roman" w:hAnsi="Times New Roman" w:cs="Times New Roman"/>
          <w:kern w:val="0"/>
          <w:lang w:eastAsia="en-GB"/>
          <w14:ligatures w14:val="none"/>
        </w:rPr>
        <w:t xml:space="preserve"> as a source of </w:t>
      </w:r>
      <w:proofErr w:type="gramStart"/>
      <w:r w:rsidRPr="008A0BA1">
        <w:rPr>
          <w:rFonts w:ascii="Times New Roman" w:eastAsia="Times New Roman" w:hAnsi="Times New Roman" w:cs="Times New Roman"/>
          <w:kern w:val="0"/>
          <w:lang w:eastAsia="en-GB"/>
          <w14:ligatures w14:val="none"/>
        </w:rPr>
        <w:t>bio-energy</w:t>
      </w:r>
      <w:proofErr w:type="gramEnd"/>
      <w:r w:rsidRPr="008A0BA1">
        <w:rPr>
          <w:rFonts w:ascii="Times New Roman" w:eastAsia="Times New Roman" w:hAnsi="Times New Roman" w:cs="Times New Roman"/>
          <w:kern w:val="0"/>
          <w:lang w:eastAsia="en-GB"/>
          <w14:ligatures w14:val="none"/>
        </w:rPr>
        <w:t xml:space="preserve"> in tourism-oriented territories: the case of Alghero. </w:t>
      </w:r>
      <w:r w:rsidRPr="008A0BA1">
        <w:rPr>
          <w:rFonts w:ascii="Times New Roman" w:eastAsia="Times New Roman" w:hAnsi="Times New Roman" w:cs="Times New Roman"/>
          <w:i/>
          <w:iCs/>
          <w:kern w:val="0"/>
          <w:lang w:eastAsia="en-GB"/>
          <w14:ligatures w14:val="none"/>
        </w:rPr>
        <w:t>Journal of Cleaner Production</w:t>
      </w:r>
      <w:r w:rsidRPr="008A0BA1">
        <w:rPr>
          <w:rFonts w:ascii="Times New Roman" w:eastAsia="Times New Roman" w:hAnsi="Times New Roman" w:cs="Times New Roman"/>
          <w:kern w:val="0"/>
          <w:lang w:eastAsia="en-GB"/>
          <w14:ligatures w14:val="none"/>
        </w:rPr>
        <w:t>, 172, pp.4085–4098.</w:t>
      </w:r>
    </w:p>
    <w:p w14:paraId="6F3E5E47"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Booking.com, 2024. </w:t>
      </w:r>
      <w:r w:rsidRPr="008A0BA1">
        <w:rPr>
          <w:rFonts w:ascii="Times New Roman" w:eastAsia="Times New Roman" w:hAnsi="Times New Roman" w:cs="Times New Roman"/>
          <w:i/>
          <w:iCs/>
          <w:kern w:val="0"/>
          <w:lang w:eastAsia="en-GB"/>
          <w14:ligatures w14:val="none"/>
        </w:rPr>
        <w:t>Sustainable Travel Report 2024</w:t>
      </w:r>
      <w:r w:rsidRPr="008A0BA1">
        <w:rPr>
          <w:rFonts w:ascii="Times New Roman" w:eastAsia="Times New Roman" w:hAnsi="Times New Roman" w:cs="Times New Roman"/>
          <w:kern w:val="0"/>
          <w:lang w:eastAsia="en-GB"/>
          <w14:ligatures w14:val="none"/>
        </w:rPr>
        <w:t xml:space="preserve">. [online] Booking.com. Available at: </w:t>
      </w:r>
      <w:hyperlink r:id="rId12" w:tgtFrame="_new" w:history="1">
        <w:r w:rsidRPr="008A0BA1">
          <w:rPr>
            <w:rStyle w:val="Hyperlink"/>
            <w:rFonts w:ascii="Times New Roman" w:eastAsia="Times New Roman" w:hAnsi="Times New Roman" w:cs="Times New Roman"/>
            <w:kern w:val="0"/>
            <w:lang w:eastAsia="en-GB"/>
            <w14:ligatures w14:val="none"/>
          </w:rPr>
          <w:t>https://www.booking.com</w:t>
        </w:r>
      </w:hyperlink>
      <w:r w:rsidRPr="008A0BA1">
        <w:rPr>
          <w:rFonts w:ascii="Times New Roman" w:eastAsia="Times New Roman" w:hAnsi="Times New Roman" w:cs="Times New Roman"/>
          <w:kern w:val="0"/>
          <w:lang w:eastAsia="en-GB"/>
          <w14:ligatures w14:val="none"/>
        </w:rPr>
        <w:t xml:space="preserve"> [Accessed 19 May 2025].</w:t>
      </w:r>
    </w:p>
    <w:p w14:paraId="46B3C892"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t>Bouhal</w:t>
      </w:r>
      <w:proofErr w:type="spellEnd"/>
      <w:r w:rsidRPr="008A0BA1">
        <w:rPr>
          <w:rFonts w:ascii="Times New Roman" w:eastAsia="Times New Roman" w:hAnsi="Times New Roman" w:cs="Times New Roman"/>
          <w:kern w:val="0"/>
          <w:lang w:eastAsia="en-GB"/>
          <w14:ligatures w14:val="none"/>
        </w:rPr>
        <w:t xml:space="preserve">, T. et al., 2018. Technical assessment, economic viability and investment risk analysis of solar heating/cooling systems in residential buildings in Morocco. </w:t>
      </w:r>
      <w:r w:rsidRPr="008A0BA1">
        <w:rPr>
          <w:rFonts w:ascii="Times New Roman" w:eastAsia="Times New Roman" w:hAnsi="Times New Roman" w:cs="Times New Roman"/>
          <w:i/>
          <w:iCs/>
          <w:kern w:val="0"/>
          <w:lang w:eastAsia="en-GB"/>
          <w14:ligatures w14:val="none"/>
        </w:rPr>
        <w:t>Solar Energy</w:t>
      </w:r>
      <w:r w:rsidRPr="008A0BA1">
        <w:rPr>
          <w:rFonts w:ascii="Times New Roman" w:eastAsia="Times New Roman" w:hAnsi="Times New Roman" w:cs="Times New Roman"/>
          <w:kern w:val="0"/>
          <w:lang w:eastAsia="en-GB"/>
          <w14:ligatures w14:val="none"/>
        </w:rPr>
        <w:t>, 170, p.1043.</w:t>
      </w:r>
    </w:p>
    <w:p w14:paraId="7A226FC3"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Buffa, F., Franch, M. &amp; Rizio, D., 2018. Environmental management practices for sustainable business models in small and medium-sized hotel enterprises. </w:t>
      </w:r>
      <w:r w:rsidRPr="008A0BA1">
        <w:rPr>
          <w:rFonts w:ascii="Times New Roman" w:eastAsia="Times New Roman" w:hAnsi="Times New Roman" w:cs="Times New Roman"/>
          <w:i/>
          <w:iCs/>
          <w:kern w:val="0"/>
          <w:lang w:eastAsia="en-GB"/>
          <w14:ligatures w14:val="none"/>
        </w:rPr>
        <w:t>Journal of Cleaner Production</w:t>
      </w:r>
      <w:r w:rsidRPr="008A0BA1">
        <w:rPr>
          <w:rFonts w:ascii="Times New Roman" w:eastAsia="Times New Roman" w:hAnsi="Times New Roman" w:cs="Times New Roman"/>
          <w:kern w:val="0"/>
          <w:lang w:eastAsia="en-GB"/>
          <w14:ligatures w14:val="none"/>
        </w:rPr>
        <w:t>, 194, pp.656–664.</w:t>
      </w:r>
    </w:p>
    <w:p w14:paraId="16268D2B"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Chan, E., 2011. Implementing environmental management systems in small- and medium-sized hotels: obstacles. </w:t>
      </w:r>
      <w:r w:rsidRPr="008A0BA1">
        <w:rPr>
          <w:rFonts w:ascii="Times New Roman" w:eastAsia="Times New Roman" w:hAnsi="Times New Roman" w:cs="Times New Roman"/>
          <w:i/>
          <w:iCs/>
          <w:kern w:val="0"/>
          <w:lang w:eastAsia="en-GB"/>
          <w14:ligatures w14:val="none"/>
        </w:rPr>
        <w:t>Journal of Hospitality &amp; Tourism Research</w:t>
      </w:r>
      <w:r w:rsidRPr="008A0BA1">
        <w:rPr>
          <w:rFonts w:ascii="Times New Roman" w:eastAsia="Times New Roman" w:hAnsi="Times New Roman" w:cs="Times New Roman"/>
          <w:kern w:val="0"/>
          <w:lang w:eastAsia="en-GB"/>
          <w14:ligatures w14:val="none"/>
        </w:rPr>
        <w:t>, 35(1), pp.3–23.</w:t>
      </w:r>
    </w:p>
    <w:p w14:paraId="600271E0"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Chan, E., </w:t>
      </w:r>
      <w:proofErr w:type="spellStart"/>
      <w:r w:rsidRPr="008A0BA1">
        <w:rPr>
          <w:rFonts w:ascii="Times New Roman" w:eastAsia="Times New Roman" w:hAnsi="Times New Roman" w:cs="Times New Roman"/>
          <w:kern w:val="0"/>
          <w:lang w:eastAsia="en-GB"/>
          <w14:ligatures w14:val="none"/>
        </w:rPr>
        <w:t>Okumus</w:t>
      </w:r>
      <w:proofErr w:type="spellEnd"/>
      <w:r w:rsidRPr="008A0BA1">
        <w:rPr>
          <w:rFonts w:ascii="Times New Roman" w:eastAsia="Times New Roman" w:hAnsi="Times New Roman" w:cs="Times New Roman"/>
          <w:kern w:val="0"/>
          <w:lang w:eastAsia="en-GB"/>
          <w14:ligatures w14:val="none"/>
        </w:rPr>
        <w:t xml:space="preserve">, F. &amp; Chan, W., 2017. The applications of environmental technologies in hotels. </w:t>
      </w:r>
      <w:r w:rsidRPr="008A0BA1">
        <w:rPr>
          <w:rFonts w:ascii="Times New Roman" w:eastAsia="Times New Roman" w:hAnsi="Times New Roman" w:cs="Times New Roman"/>
          <w:i/>
          <w:iCs/>
          <w:kern w:val="0"/>
          <w:lang w:eastAsia="en-GB"/>
          <w14:ligatures w14:val="none"/>
        </w:rPr>
        <w:t>Journal of Hospitality Marketing &amp; Management</w:t>
      </w:r>
      <w:r w:rsidRPr="008A0BA1">
        <w:rPr>
          <w:rFonts w:ascii="Times New Roman" w:eastAsia="Times New Roman" w:hAnsi="Times New Roman" w:cs="Times New Roman"/>
          <w:kern w:val="0"/>
          <w:lang w:eastAsia="en-GB"/>
          <w14:ligatures w14:val="none"/>
        </w:rPr>
        <w:t>, 26, pp.23–47.</w:t>
      </w:r>
    </w:p>
    <w:p w14:paraId="58D7949C"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t>Darvishmotevali</w:t>
      </w:r>
      <w:proofErr w:type="spellEnd"/>
      <w:r w:rsidRPr="008A0BA1">
        <w:rPr>
          <w:rFonts w:ascii="Times New Roman" w:eastAsia="Times New Roman" w:hAnsi="Times New Roman" w:cs="Times New Roman"/>
          <w:kern w:val="0"/>
          <w:lang w:eastAsia="en-GB"/>
          <w14:ligatures w14:val="none"/>
        </w:rPr>
        <w:t xml:space="preserve">, M., Altinay, L. &amp; </w:t>
      </w:r>
      <w:proofErr w:type="spellStart"/>
      <w:r w:rsidRPr="008A0BA1">
        <w:rPr>
          <w:rFonts w:ascii="Times New Roman" w:eastAsia="Times New Roman" w:hAnsi="Times New Roman" w:cs="Times New Roman"/>
          <w:kern w:val="0"/>
          <w:lang w:eastAsia="en-GB"/>
          <w14:ligatures w14:val="none"/>
        </w:rPr>
        <w:t>Köseoglu</w:t>
      </w:r>
      <w:proofErr w:type="spellEnd"/>
      <w:r w:rsidRPr="008A0BA1">
        <w:rPr>
          <w:rFonts w:ascii="Times New Roman" w:eastAsia="Times New Roman" w:hAnsi="Times New Roman" w:cs="Times New Roman"/>
          <w:kern w:val="0"/>
          <w:lang w:eastAsia="en-GB"/>
          <w14:ligatures w14:val="none"/>
        </w:rPr>
        <w:t xml:space="preserve">, M., 2020. The link between environmental uncertainty, organisational agility, and organisational creativity in the hotel industry. </w:t>
      </w:r>
      <w:r w:rsidRPr="008A0BA1">
        <w:rPr>
          <w:rFonts w:ascii="Times New Roman" w:eastAsia="Times New Roman" w:hAnsi="Times New Roman" w:cs="Times New Roman"/>
          <w:i/>
          <w:iCs/>
          <w:kern w:val="0"/>
          <w:lang w:eastAsia="en-GB"/>
          <w14:ligatures w14:val="none"/>
        </w:rPr>
        <w:t>International Journal of Hospitality Management</w:t>
      </w:r>
      <w:r w:rsidRPr="008A0BA1">
        <w:rPr>
          <w:rFonts w:ascii="Times New Roman" w:eastAsia="Times New Roman" w:hAnsi="Times New Roman" w:cs="Times New Roman"/>
          <w:kern w:val="0"/>
          <w:lang w:eastAsia="en-GB"/>
          <w14:ligatures w14:val="none"/>
        </w:rPr>
        <w:t>, 87, p.102499.</w:t>
      </w:r>
    </w:p>
    <w:p w14:paraId="616D16A3"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Dimitriu, S., Bianchi, A. &amp; </w:t>
      </w:r>
      <w:proofErr w:type="spellStart"/>
      <w:r w:rsidRPr="008A0BA1">
        <w:rPr>
          <w:rFonts w:ascii="Times New Roman" w:eastAsia="Times New Roman" w:hAnsi="Times New Roman" w:cs="Times New Roman"/>
          <w:kern w:val="0"/>
          <w:lang w:eastAsia="en-GB"/>
          <w14:ligatures w14:val="none"/>
        </w:rPr>
        <w:t>Băltăreţu</w:t>
      </w:r>
      <w:proofErr w:type="spellEnd"/>
      <w:r w:rsidRPr="008A0BA1">
        <w:rPr>
          <w:rFonts w:ascii="Times New Roman" w:eastAsia="Times New Roman" w:hAnsi="Times New Roman" w:cs="Times New Roman"/>
          <w:kern w:val="0"/>
          <w:lang w:eastAsia="en-GB"/>
          <w14:ligatures w14:val="none"/>
        </w:rPr>
        <w:t xml:space="preserve">, F., 2017. The up-to-date heat pump–combined heat and power solution for the complete utilisation of the low enthalpy geothermal water potential. </w:t>
      </w:r>
      <w:r w:rsidRPr="008A0BA1">
        <w:rPr>
          <w:rFonts w:ascii="Times New Roman" w:eastAsia="Times New Roman" w:hAnsi="Times New Roman" w:cs="Times New Roman"/>
          <w:i/>
          <w:iCs/>
          <w:kern w:val="0"/>
          <w:lang w:eastAsia="en-GB"/>
          <w14:ligatures w14:val="none"/>
        </w:rPr>
        <w:t>International Journal of Energy and Environmental Engineering</w:t>
      </w:r>
      <w:r w:rsidRPr="008A0BA1">
        <w:rPr>
          <w:rFonts w:ascii="Times New Roman" w:eastAsia="Times New Roman" w:hAnsi="Times New Roman" w:cs="Times New Roman"/>
          <w:kern w:val="0"/>
          <w:lang w:eastAsia="en-GB"/>
          <w14:ligatures w14:val="none"/>
        </w:rPr>
        <w:t>, 8(3), pp.189–196.</w:t>
      </w:r>
    </w:p>
    <w:p w14:paraId="310A4F9F"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Dorizas, P., 2008. </w:t>
      </w:r>
      <w:r w:rsidRPr="008A0BA1">
        <w:rPr>
          <w:rFonts w:ascii="Times New Roman" w:eastAsia="Times New Roman" w:hAnsi="Times New Roman" w:cs="Times New Roman"/>
          <w:i/>
          <w:iCs/>
          <w:kern w:val="0"/>
          <w:lang w:eastAsia="en-GB"/>
          <w14:ligatures w14:val="none"/>
        </w:rPr>
        <w:t>Reducing carbon emissions in the Greek hotel sector: Case study of Sami Beach Hotel, Kefalonia</w:t>
      </w:r>
      <w:r w:rsidRPr="008A0BA1">
        <w:rPr>
          <w:rFonts w:ascii="Times New Roman" w:eastAsia="Times New Roman" w:hAnsi="Times New Roman" w:cs="Times New Roman"/>
          <w:kern w:val="0"/>
          <w:lang w:eastAsia="en-GB"/>
          <w14:ligatures w14:val="none"/>
        </w:rPr>
        <w:t>. MSc. University College London.</w:t>
      </w:r>
    </w:p>
    <w:p w14:paraId="739D4985"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Elkington, J., 1997. The triple bottom line. In: </w:t>
      </w:r>
      <w:r w:rsidRPr="008A0BA1">
        <w:rPr>
          <w:rFonts w:ascii="Times New Roman" w:eastAsia="Times New Roman" w:hAnsi="Times New Roman" w:cs="Times New Roman"/>
          <w:i/>
          <w:iCs/>
          <w:kern w:val="0"/>
          <w:lang w:eastAsia="en-GB"/>
          <w14:ligatures w14:val="none"/>
        </w:rPr>
        <w:t>Environmental Management: Readings and Cases</w:t>
      </w:r>
      <w:r w:rsidRPr="008A0BA1">
        <w:rPr>
          <w:rFonts w:ascii="Times New Roman" w:eastAsia="Times New Roman" w:hAnsi="Times New Roman" w:cs="Times New Roman"/>
          <w:kern w:val="0"/>
          <w:lang w:eastAsia="en-GB"/>
          <w14:ligatures w14:val="none"/>
        </w:rPr>
        <w:t>. Vol. 2. pp.49–66.</w:t>
      </w:r>
    </w:p>
    <w:p w14:paraId="741A6D72"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lastRenderedPageBreak/>
        <w:t>Ertuna</w:t>
      </w:r>
      <w:proofErr w:type="spellEnd"/>
      <w:r w:rsidRPr="008A0BA1">
        <w:rPr>
          <w:rFonts w:ascii="Times New Roman" w:eastAsia="Times New Roman" w:hAnsi="Times New Roman" w:cs="Times New Roman"/>
          <w:kern w:val="0"/>
          <w:lang w:eastAsia="en-GB"/>
          <w14:ligatures w14:val="none"/>
        </w:rPr>
        <w:t xml:space="preserve">, B., Gu, H. &amp; Yu, L., 2022. A thread connects all beads: aligning global CSR strategy by hotel MNCs. </w:t>
      </w:r>
      <w:r w:rsidRPr="008A0BA1">
        <w:rPr>
          <w:rFonts w:ascii="Times New Roman" w:eastAsia="Times New Roman" w:hAnsi="Times New Roman" w:cs="Times New Roman"/>
          <w:i/>
          <w:iCs/>
          <w:kern w:val="0"/>
          <w:lang w:eastAsia="en-GB"/>
          <w14:ligatures w14:val="none"/>
        </w:rPr>
        <w:t>Tourism Management</w:t>
      </w:r>
      <w:r w:rsidRPr="008A0BA1">
        <w:rPr>
          <w:rFonts w:ascii="Times New Roman" w:eastAsia="Times New Roman" w:hAnsi="Times New Roman" w:cs="Times New Roman"/>
          <w:kern w:val="0"/>
          <w:lang w:eastAsia="en-GB"/>
          <w14:ligatures w14:val="none"/>
        </w:rPr>
        <w:t>, 91, p.104520.</w:t>
      </w:r>
    </w:p>
    <w:p w14:paraId="34E5B19D"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Fang, A., Hou, Y. &amp; Wang, F., 2017. Feasibility of domestic hot water regulation for power grid peak and valley balance: hotel-building case study. </w:t>
      </w:r>
      <w:r w:rsidRPr="008A0BA1">
        <w:rPr>
          <w:rFonts w:ascii="Times New Roman" w:eastAsia="Times New Roman" w:hAnsi="Times New Roman" w:cs="Times New Roman"/>
          <w:i/>
          <w:iCs/>
          <w:kern w:val="0"/>
          <w:lang w:eastAsia="en-GB"/>
          <w14:ligatures w14:val="none"/>
        </w:rPr>
        <w:t>Journal of Energy Engineering</w:t>
      </w:r>
      <w:r w:rsidRPr="008A0BA1">
        <w:rPr>
          <w:rFonts w:ascii="Times New Roman" w:eastAsia="Times New Roman" w:hAnsi="Times New Roman" w:cs="Times New Roman"/>
          <w:kern w:val="0"/>
          <w:lang w:eastAsia="en-GB"/>
          <w14:ligatures w14:val="none"/>
        </w:rPr>
        <w:t>, 143(5), p.05017002.</w:t>
      </w:r>
    </w:p>
    <w:p w14:paraId="6ADBAFF8"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Gabbar, H. et al., 2015. Performance evaluation of gas-power strategies for building energy conservation. </w:t>
      </w:r>
      <w:r w:rsidRPr="008A0BA1">
        <w:rPr>
          <w:rFonts w:ascii="Times New Roman" w:eastAsia="Times New Roman" w:hAnsi="Times New Roman" w:cs="Times New Roman"/>
          <w:i/>
          <w:iCs/>
          <w:kern w:val="0"/>
          <w:lang w:eastAsia="en-GB"/>
          <w14:ligatures w14:val="none"/>
        </w:rPr>
        <w:t>Energy Conversion and Management</w:t>
      </w:r>
      <w:r w:rsidRPr="008A0BA1">
        <w:rPr>
          <w:rFonts w:ascii="Times New Roman" w:eastAsia="Times New Roman" w:hAnsi="Times New Roman" w:cs="Times New Roman"/>
          <w:kern w:val="0"/>
          <w:lang w:eastAsia="en-GB"/>
          <w14:ligatures w14:val="none"/>
        </w:rPr>
        <w:t>, 93, pp.187–196.</w:t>
      </w:r>
    </w:p>
    <w:p w14:paraId="08FAB86E"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Ghorab, M. &amp; Rosato, A., 2025. Innovative hybrid 4th generation geothermal system for zero-carbon hotel buildings in cold climate. </w:t>
      </w:r>
      <w:r w:rsidRPr="008A0BA1">
        <w:rPr>
          <w:rFonts w:ascii="Times New Roman" w:eastAsia="Times New Roman" w:hAnsi="Times New Roman" w:cs="Times New Roman"/>
          <w:i/>
          <w:iCs/>
          <w:kern w:val="0"/>
          <w:lang w:eastAsia="en-GB"/>
          <w14:ligatures w14:val="none"/>
        </w:rPr>
        <w:t>Energy and Buildings</w:t>
      </w:r>
      <w:r w:rsidRPr="008A0BA1">
        <w:rPr>
          <w:rFonts w:ascii="Times New Roman" w:eastAsia="Times New Roman" w:hAnsi="Times New Roman" w:cs="Times New Roman"/>
          <w:kern w:val="0"/>
          <w:lang w:eastAsia="en-GB"/>
          <w14:ligatures w14:val="none"/>
        </w:rPr>
        <w:t>, 329, p.115305.</w:t>
      </w:r>
    </w:p>
    <w:p w14:paraId="158206D7"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Hilton, 2023. </w:t>
      </w:r>
      <w:r w:rsidRPr="008A0BA1">
        <w:rPr>
          <w:rFonts w:ascii="Times New Roman" w:eastAsia="Times New Roman" w:hAnsi="Times New Roman" w:cs="Times New Roman"/>
          <w:i/>
          <w:iCs/>
          <w:kern w:val="0"/>
          <w:lang w:eastAsia="en-GB"/>
          <w14:ligatures w14:val="none"/>
        </w:rPr>
        <w:t>Travel with Purpose</w:t>
      </w:r>
      <w:r w:rsidRPr="008A0BA1">
        <w:rPr>
          <w:rFonts w:ascii="Times New Roman" w:eastAsia="Times New Roman" w:hAnsi="Times New Roman" w:cs="Times New Roman"/>
          <w:kern w:val="0"/>
          <w:lang w:eastAsia="en-GB"/>
          <w14:ligatures w14:val="none"/>
        </w:rPr>
        <w:t xml:space="preserve">. [online] Available at: </w:t>
      </w:r>
      <w:hyperlink r:id="rId13" w:tgtFrame="_new" w:history="1">
        <w:r w:rsidRPr="008A0BA1">
          <w:rPr>
            <w:rStyle w:val="Hyperlink"/>
            <w:rFonts w:ascii="Times New Roman" w:eastAsia="Times New Roman" w:hAnsi="Times New Roman" w:cs="Times New Roman"/>
            <w:kern w:val="0"/>
            <w:lang w:eastAsia="en-GB"/>
            <w14:ligatures w14:val="none"/>
          </w:rPr>
          <w:t>https://esg.hilton.com/wp-content/uploads/sites/4/2024/07/2023-Travel-with-Purpose-Report-final.pdf</w:t>
        </w:r>
      </w:hyperlink>
      <w:r w:rsidRPr="008A0BA1">
        <w:rPr>
          <w:rFonts w:ascii="Times New Roman" w:eastAsia="Times New Roman" w:hAnsi="Times New Roman" w:cs="Times New Roman"/>
          <w:kern w:val="0"/>
          <w:lang w:eastAsia="en-GB"/>
          <w14:ligatures w14:val="none"/>
        </w:rPr>
        <w:t xml:space="preserve"> [Accessed 19 May 2025].</w:t>
      </w:r>
    </w:p>
    <w:p w14:paraId="384D2665"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Hossain, M., </w:t>
      </w:r>
      <w:proofErr w:type="spellStart"/>
      <w:r w:rsidRPr="008A0BA1">
        <w:rPr>
          <w:rFonts w:ascii="Times New Roman" w:eastAsia="Times New Roman" w:hAnsi="Times New Roman" w:cs="Times New Roman"/>
          <w:kern w:val="0"/>
          <w:lang w:eastAsia="en-GB"/>
          <w14:ligatures w14:val="none"/>
        </w:rPr>
        <w:t>Mekhilef</w:t>
      </w:r>
      <w:proofErr w:type="spellEnd"/>
      <w:r w:rsidRPr="008A0BA1">
        <w:rPr>
          <w:rFonts w:ascii="Times New Roman" w:eastAsia="Times New Roman" w:hAnsi="Times New Roman" w:cs="Times New Roman"/>
          <w:kern w:val="0"/>
          <w:lang w:eastAsia="en-GB"/>
          <w14:ligatures w14:val="none"/>
        </w:rPr>
        <w:t xml:space="preserve">, S. &amp; Olatomiwa, L., 2017. Performance evaluation of a stand-alone PV-wind-diesel-battery hybrid system feasible for a large resort centre in South China Sea, Malaysia. </w:t>
      </w:r>
      <w:r w:rsidRPr="008A0BA1">
        <w:rPr>
          <w:rFonts w:ascii="Times New Roman" w:eastAsia="Times New Roman" w:hAnsi="Times New Roman" w:cs="Times New Roman"/>
          <w:i/>
          <w:iCs/>
          <w:kern w:val="0"/>
          <w:lang w:eastAsia="en-GB"/>
          <w14:ligatures w14:val="none"/>
        </w:rPr>
        <w:t>Sustainable Cities and Society</w:t>
      </w:r>
      <w:r w:rsidRPr="008A0BA1">
        <w:rPr>
          <w:rFonts w:ascii="Times New Roman" w:eastAsia="Times New Roman" w:hAnsi="Times New Roman" w:cs="Times New Roman"/>
          <w:kern w:val="0"/>
          <w:lang w:eastAsia="en-GB"/>
          <w14:ligatures w14:val="none"/>
        </w:rPr>
        <w:t>, 28, pp.358–366.</w:t>
      </w:r>
    </w:p>
    <w:p w14:paraId="02C6C4B1"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Hotel Energy Solutions, 2011. </w:t>
      </w:r>
      <w:r w:rsidRPr="008A0BA1">
        <w:rPr>
          <w:rFonts w:ascii="Times New Roman" w:eastAsia="Times New Roman" w:hAnsi="Times New Roman" w:cs="Times New Roman"/>
          <w:i/>
          <w:iCs/>
          <w:kern w:val="0"/>
          <w:lang w:eastAsia="en-GB"/>
          <w14:ligatures w14:val="none"/>
        </w:rPr>
        <w:t>Analysis on Energy Use by European Hotels: Online Survey and Desk Research</w:t>
      </w:r>
      <w:r w:rsidRPr="008A0BA1">
        <w:rPr>
          <w:rFonts w:ascii="Times New Roman" w:eastAsia="Times New Roman" w:hAnsi="Times New Roman" w:cs="Times New Roman"/>
          <w:kern w:val="0"/>
          <w:lang w:eastAsia="en-GB"/>
          <w14:ligatures w14:val="none"/>
        </w:rPr>
        <w:t xml:space="preserve">. </w:t>
      </w:r>
      <w:proofErr w:type="spellStart"/>
      <w:r w:rsidRPr="008A0BA1">
        <w:rPr>
          <w:rFonts w:ascii="Times New Roman" w:eastAsia="Times New Roman" w:hAnsi="Times New Roman" w:cs="Times New Roman"/>
          <w:kern w:val="0"/>
          <w:lang w:eastAsia="en-GB"/>
          <w14:ligatures w14:val="none"/>
        </w:rPr>
        <w:t>s.l.</w:t>
      </w:r>
      <w:proofErr w:type="spellEnd"/>
      <w:r w:rsidRPr="008A0BA1">
        <w:rPr>
          <w:rFonts w:ascii="Times New Roman" w:eastAsia="Times New Roman" w:hAnsi="Times New Roman" w:cs="Times New Roman"/>
          <w:kern w:val="0"/>
          <w:lang w:eastAsia="en-GB"/>
          <w14:ligatures w14:val="none"/>
        </w:rPr>
        <w:t>: Hotel Energy Solutions.</w:t>
      </w:r>
    </w:p>
    <w:p w14:paraId="1E745F2B"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HR Magazine, 2024. Commitment to sustainability boosts employee engagement. [online] Available at: </w:t>
      </w:r>
      <w:hyperlink r:id="rId14" w:tgtFrame="_new" w:history="1">
        <w:r w:rsidRPr="008A0BA1">
          <w:rPr>
            <w:rStyle w:val="Hyperlink"/>
            <w:rFonts w:ascii="Times New Roman" w:eastAsia="Times New Roman" w:hAnsi="Times New Roman" w:cs="Times New Roman"/>
            <w:kern w:val="0"/>
            <w:lang w:eastAsia="en-GB"/>
            <w14:ligatures w14:val="none"/>
          </w:rPr>
          <w:t>https://www.hrmagazine.co.uk/content/news/commitment-to-sustainability-boosts-employee-engagement/</w:t>
        </w:r>
      </w:hyperlink>
      <w:r w:rsidRPr="008A0BA1">
        <w:rPr>
          <w:rFonts w:ascii="Times New Roman" w:eastAsia="Times New Roman" w:hAnsi="Times New Roman" w:cs="Times New Roman"/>
          <w:kern w:val="0"/>
          <w:lang w:eastAsia="en-GB"/>
          <w14:ligatures w14:val="none"/>
        </w:rPr>
        <w:t xml:space="preserve"> [Accessed 19 May 2025].</w:t>
      </w:r>
    </w:p>
    <w:p w14:paraId="7173B62F"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Hui, S. &amp; Chan, S., 2011. Integration of green roof and solar photovoltaic systems. In: </w:t>
      </w:r>
      <w:r w:rsidRPr="008A0BA1">
        <w:rPr>
          <w:rFonts w:ascii="Times New Roman" w:eastAsia="Times New Roman" w:hAnsi="Times New Roman" w:cs="Times New Roman"/>
          <w:i/>
          <w:iCs/>
          <w:kern w:val="0"/>
          <w:lang w:eastAsia="en-GB"/>
          <w14:ligatures w14:val="none"/>
        </w:rPr>
        <w:t>Joint Symposium</w:t>
      </w:r>
      <w:r w:rsidRPr="008A0BA1">
        <w:rPr>
          <w:rFonts w:ascii="Times New Roman" w:eastAsia="Times New Roman" w:hAnsi="Times New Roman" w:cs="Times New Roman"/>
          <w:kern w:val="0"/>
          <w:lang w:eastAsia="en-GB"/>
          <w14:ligatures w14:val="none"/>
        </w:rPr>
        <w:t xml:space="preserve">. </w:t>
      </w:r>
      <w:proofErr w:type="spellStart"/>
      <w:r w:rsidRPr="008A0BA1">
        <w:rPr>
          <w:rFonts w:ascii="Times New Roman" w:eastAsia="Times New Roman" w:hAnsi="Times New Roman" w:cs="Times New Roman"/>
          <w:kern w:val="0"/>
          <w:lang w:eastAsia="en-GB"/>
          <w14:ligatures w14:val="none"/>
        </w:rPr>
        <w:t>s.l.</w:t>
      </w:r>
      <w:proofErr w:type="spellEnd"/>
      <w:r w:rsidRPr="008A0BA1">
        <w:rPr>
          <w:rFonts w:ascii="Times New Roman" w:eastAsia="Times New Roman" w:hAnsi="Times New Roman" w:cs="Times New Roman"/>
          <w:kern w:val="0"/>
          <w:lang w:eastAsia="en-GB"/>
          <w14:ligatures w14:val="none"/>
        </w:rPr>
        <w:t xml:space="preserve">: </w:t>
      </w:r>
      <w:proofErr w:type="spellStart"/>
      <w:r w:rsidRPr="008A0BA1">
        <w:rPr>
          <w:rFonts w:ascii="Times New Roman" w:eastAsia="Times New Roman" w:hAnsi="Times New Roman" w:cs="Times New Roman"/>
          <w:kern w:val="0"/>
          <w:lang w:eastAsia="en-GB"/>
          <w14:ligatures w14:val="none"/>
        </w:rPr>
        <w:t>s.n</w:t>
      </w:r>
      <w:proofErr w:type="spellEnd"/>
      <w:r w:rsidRPr="008A0BA1">
        <w:rPr>
          <w:rFonts w:ascii="Times New Roman" w:eastAsia="Times New Roman" w:hAnsi="Times New Roman" w:cs="Times New Roman"/>
          <w:kern w:val="0"/>
          <w:lang w:eastAsia="en-GB"/>
          <w14:ligatures w14:val="none"/>
        </w:rPr>
        <w:t>., pp.1–12.</w:t>
      </w:r>
    </w:p>
    <w:p w14:paraId="7F211771"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IEA, 2024. </w:t>
      </w:r>
      <w:r w:rsidRPr="008A0BA1">
        <w:rPr>
          <w:rFonts w:ascii="Times New Roman" w:eastAsia="Times New Roman" w:hAnsi="Times New Roman" w:cs="Times New Roman"/>
          <w:i/>
          <w:iCs/>
          <w:kern w:val="0"/>
          <w:lang w:eastAsia="en-GB"/>
          <w14:ligatures w14:val="none"/>
        </w:rPr>
        <w:t>Solar PV is set to become the largest renewable energy source by 2029</w:t>
      </w:r>
      <w:r w:rsidRPr="008A0BA1">
        <w:rPr>
          <w:rFonts w:ascii="Times New Roman" w:eastAsia="Times New Roman" w:hAnsi="Times New Roman" w:cs="Times New Roman"/>
          <w:kern w:val="0"/>
          <w:lang w:eastAsia="en-GB"/>
          <w14:ligatures w14:val="none"/>
        </w:rPr>
        <w:t xml:space="preserve">. [online] Available at: </w:t>
      </w:r>
      <w:hyperlink r:id="rId15" w:tgtFrame="_new" w:history="1">
        <w:r w:rsidRPr="008A0BA1">
          <w:rPr>
            <w:rStyle w:val="Hyperlink"/>
            <w:rFonts w:ascii="Times New Roman" w:eastAsia="Times New Roman" w:hAnsi="Times New Roman" w:cs="Times New Roman"/>
            <w:kern w:val="0"/>
            <w:lang w:eastAsia="en-GB"/>
            <w14:ligatures w14:val="none"/>
          </w:rPr>
          <w:t>https://www.iea.org/energy-system/renewables/solar-pv</w:t>
        </w:r>
      </w:hyperlink>
      <w:r w:rsidRPr="008A0BA1">
        <w:rPr>
          <w:rFonts w:ascii="Times New Roman" w:eastAsia="Times New Roman" w:hAnsi="Times New Roman" w:cs="Times New Roman"/>
          <w:kern w:val="0"/>
          <w:lang w:eastAsia="en-GB"/>
          <w14:ligatures w14:val="none"/>
        </w:rPr>
        <w:t xml:space="preserve"> [Accessed 19 May 2025].</w:t>
      </w:r>
    </w:p>
    <w:p w14:paraId="338D3952"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Jacobsson, S. &amp; Johnson, A., 2000. The diffusion of renewable energy technology: an analytical framework and key issues for research. </w:t>
      </w:r>
      <w:r w:rsidRPr="008A0BA1">
        <w:rPr>
          <w:rFonts w:ascii="Times New Roman" w:eastAsia="Times New Roman" w:hAnsi="Times New Roman" w:cs="Times New Roman"/>
          <w:i/>
          <w:iCs/>
          <w:kern w:val="0"/>
          <w:lang w:eastAsia="en-GB"/>
          <w14:ligatures w14:val="none"/>
        </w:rPr>
        <w:t>Energy Policy</w:t>
      </w:r>
      <w:r w:rsidRPr="008A0BA1">
        <w:rPr>
          <w:rFonts w:ascii="Times New Roman" w:eastAsia="Times New Roman" w:hAnsi="Times New Roman" w:cs="Times New Roman"/>
          <w:kern w:val="0"/>
          <w:lang w:eastAsia="en-GB"/>
          <w14:ligatures w14:val="none"/>
        </w:rPr>
        <w:t>, 28(9), pp.625–640.</w:t>
      </w:r>
    </w:p>
    <w:p w14:paraId="4BDCCE96"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lastRenderedPageBreak/>
        <w:t>Klusáček</w:t>
      </w:r>
      <w:proofErr w:type="spellEnd"/>
      <w:r w:rsidRPr="008A0BA1">
        <w:rPr>
          <w:rFonts w:ascii="Times New Roman" w:eastAsia="Times New Roman" w:hAnsi="Times New Roman" w:cs="Times New Roman"/>
          <w:kern w:val="0"/>
          <w:lang w:eastAsia="en-GB"/>
          <w14:ligatures w14:val="none"/>
        </w:rPr>
        <w:t xml:space="preserve">, P. et al., 2014. From wasted land to megawatts: how to convert brownfields into solar power plants (the case of the Czech Republic). </w:t>
      </w:r>
      <w:r w:rsidRPr="008A0BA1">
        <w:rPr>
          <w:rFonts w:ascii="Times New Roman" w:eastAsia="Times New Roman" w:hAnsi="Times New Roman" w:cs="Times New Roman"/>
          <w:i/>
          <w:iCs/>
          <w:kern w:val="0"/>
          <w:lang w:eastAsia="en-GB"/>
          <w14:ligatures w14:val="none"/>
        </w:rPr>
        <w:t xml:space="preserve">Acta Universitatis </w:t>
      </w:r>
      <w:proofErr w:type="spellStart"/>
      <w:r w:rsidRPr="008A0BA1">
        <w:rPr>
          <w:rFonts w:ascii="Times New Roman" w:eastAsia="Times New Roman" w:hAnsi="Times New Roman" w:cs="Times New Roman"/>
          <w:i/>
          <w:iCs/>
          <w:kern w:val="0"/>
          <w:lang w:eastAsia="en-GB"/>
          <w14:ligatures w14:val="none"/>
        </w:rPr>
        <w:t>Agriculturae</w:t>
      </w:r>
      <w:proofErr w:type="spellEnd"/>
      <w:r w:rsidRPr="008A0BA1">
        <w:rPr>
          <w:rFonts w:ascii="Times New Roman" w:eastAsia="Times New Roman" w:hAnsi="Times New Roman" w:cs="Times New Roman"/>
          <w:i/>
          <w:iCs/>
          <w:kern w:val="0"/>
          <w:lang w:eastAsia="en-GB"/>
          <w14:ligatures w14:val="none"/>
        </w:rPr>
        <w:t xml:space="preserve"> et </w:t>
      </w:r>
      <w:proofErr w:type="spellStart"/>
      <w:r w:rsidRPr="008A0BA1">
        <w:rPr>
          <w:rFonts w:ascii="Times New Roman" w:eastAsia="Times New Roman" w:hAnsi="Times New Roman" w:cs="Times New Roman"/>
          <w:i/>
          <w:iCs/>
          <w:kern w:val="0"/>
          <w:lang w:eastAsia="en-GB"/>
          <w14:ligatures w14:val="none"/>
        </w:rPr>
        <w:t>Silviculturae</w:t>
      </w:r>
      <w:proofErr w:type="spellEnd"/>
      <w:r w:rsidRPr="008A0BA1">
        <w:rPr>
          <w:rFonts w:ascii="Times New Roman" w:eastAsia="Times New Roman" w:hAnsi="Times New Roman" w:cs="Times New Roman"/>
          <w:i/>
          <w:iCs/>
          <w:kern w:val="0"/>
          <w:lang w:eastAsia="en-GB"/>
          <w14:ligatures w14:val="none"/>
        </w:rPr>
        <w:t xml:space="preserve"> </w:t>
      </w:r>
      <w:proofErr w:type="spellStart"/>
      <w:r w:rsidRPr="008A0BA1">
        <w:rPr>
          <w:rFonts w:ascii="Times New Roman" w:eastAsia="Times New Roman" w:hAnsi="Times New Roman" w:cs="Times New Roman"/>
          <w:i/>
          <w:iCs/>
          <w:kern w:val="0"/>
          <w:lang w:eastAsia="en-GB"/>
          <w14:ligatures w14:val="none"/>
        </w:rPr>
        <w:t>Mendelianae</w:t>
      </w:r>
      <w:proofErr w:type="spellEnd"/>
      <w:r w:rsidRPr="008A0BA1">
        <w:rPr>
          <w:rFonts w:ascii="Times New Roman" w:eastAsia="Times New Roman" w:hAnsi="Times New Roman" w:cs="Times New Roman"/>
          <w:i/>
          <w:iCs/>
          <w:kern w:val="0"/>
          <w:lang w:eastAsia="en-GB"/>
          <w14:ligatures w14:val="none"/>
        </w:rPr>
        <w:t xml:space="preserve"> </w:t>
      </w:r>
      <w:proofErr w:type="spellStart"/>
      <w:r w:rsidRPr="008A0BA1">
        <w:rPr>
          <w:rFonts w:ascii="Times New Roman" w:eastAsia="Times New Roman" w:hAnsi="Times New Roman" w:cs="Times New Roman"/>
          <w:i/>
          <w:iCs/>
          <w:kern w:val="0"/>
          <w:lang w:eastAsia="en-GB"/>
          <w14:ligatures w14:val="none"/>
        </w:rPr>
        <w:t>Brunensis</w:t>
      </w:r>
      <w:proofErr w:type="spellEnd"/>
      <w:r w:rsidRPr="008A0BA1">
        <w:rPr>
          <w:rFonts w:ascii="Times New Roman" w:eastAsia="Times New Roman" w:hAnsi="Times New Roman" w:cs="Times New Roman"/>
          <w:kern w:val="0"/>
          <w:lang w:eastAsia="en-GB"/>
          <w14:ligatures w14:val="none"/>
        </w:rPr>
        <w:t>, 62(3), pp.517–528.</w:t>
      </w:r>
    </w:p>
    <w:p w14:paraId="70EE3B7D"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KPMG, 2023. </w:t>
      </w:r>
      <w:r w:rsidRPr="008A0BA1">
        <w:rPr>
          <w:rFonts w:ascii="Times New Roman" w:eastAsia="Times New Roman" w:hAnsi="Times New Roman" w:cs="Times New Roman"/>
          <w:i/>
          <w:iCs/>
          <w:kern w:val="0"/>
          <w:lang w:eastAsia="en-GB"/>
          <w14:ligatures w14:val="none"/>
        </w:rPr>
        <w:t>Overview – Act Reduction Inflation US – Deal Green EU</w:t>
      </w:r>
      <w:r w:rsidRPr="008A0BA1">
        <w:rPr>
          <w:rFonts w:ascii="Times New Roman" w:eastAsia="Times New Roman" w:hAnsi="Times New Roman" w:cs="Times New Roman"/>
          <w:kern w:val="0"/>
          <w:lang w:eastAsia="en-GB"/>
          <w14:ligatures w14:val="none"/>
        </w:rPr>
        <w:t xml:space="preserve">. [online] Available at: </w:t>
      </w:r>
      <w:hyperlink r:id="rId16" w:tgtFrame="_new" w:history="1">
        <w:r w:rsidRPr="008A0BA1">
          <w:rPr>
            <w:rStyle w:val="Hyperlink"/>
            <w:rFonts w:ascii="Times New Roman" w:eastAsia="Times New Roman" w:hAnsi="Times New Roman" w:cs="Times New Roman"/>
            <w:kern w:val="0"/>
            <w:lang w:eastAsia="en-GB"/>
            <w14:ligatures w14:val="none"/>
          </w:rPr>
          <w:t>https://assets.kpmg.com/content/dam/kpmgblogs/ch/pdf/eu-green-deal-us-inflation-reduction-act.pdf.coredownload.inline.pdf</w:t>
        </w:r>
      </w:hyperlink>
      <w:r w:rsidRPr="008A0BA1">
        <w:rPr>
          <w:rFonts w:ascii="Times New Roman" w:eastAsia="Times New Roman" w:hAnsi="Times New Roman" w:cs="Times New Roman"/>
          <w:kern w:val="0"/>
          <w:lang w:eastAsia="en-GB"/>
          <w14:ligatures w14:val="none"/>
        </w:rPr>
        <w:t xml:space="preserve"> [Accessed 19 May 2025].</w:t>
      </w:r>
    </w:p>
    <w:p w14:paraId="7E6D12EF"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Liu, X. &amp; Li, M., 2024. Sustainable service product design method: focus on customer demands and triple bottom line. </w:t>
      </w:r>
      <w:r w:rsidRPr="008A0BA1">
        <w:rPr>
          <w:rFonts w:ascii="Times New Roman" w:eastAsia="Times New Roman" w:hAnsi="Times New Roman" w:cs="Times New Roman"/>
          <w:i/>
          <w:iCs/>
          <w:kern w:val="0"/>
          <w:lang w:eastAsia="en-GB"/>
          <w14:ligatures w14:val="none"/>
        </w:rPr>
        <w:t>Journal of Retailing and Consumer Services</w:t>
      </w:r>
      <w:r w:rsidRPr="008A0BA1">
        <w:rPr>
          <w:rFonts w:ascii="Times New Roman" w:eastAsia="Times New Roman" w:hAnsi="Times New Roman" w:cs="Times New Roman"/>
          <w:kern w:val="0"/>
          <w:lang w:eastAsia="en-GB"/>
          <w14:ligatures w14:val="none"/>
        </w:rPr>
        <w:t>, 80, p.103935.</w:t>
      </w:r>
    </w:p>
    <w:p w14:paraId="397C43A6"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t>Llanso</w:t>
      </w:r>
      <w:proofErr w:type="spellEnd"/>
      <w:r w:rsidRPr="008A0BA1">
        <w:rPr>
          <w:rFonts w:ascii="Times New Roman" w:eastAsia="Times New Roman" w:hAnsi="Times New Roman" w:cs="Times New Roman"/>
          <w:kern w:val="0"/>
          <w:lang w:eastAsia="en-GB"/>
          <w14:ligatures w14:val="none"/>
        </w:rPr>
        <w:t xml:space="preserve">, L., 2024. The rise of sustainability in hospitality: the pivotal role of energy efficiency. [online] Available at: </w:t>
      </w:r>
      <w:hyperlink r:id="rId17" w:tgtFrame="_new" w:history="1">
        <w:r w:rsidRPr="008A0BA1">
          <w:rPr>
            <w:rStyle w:val="Hyperlink"/>
            <w:rFonts w:ascii="Times New Roman" w:eastAsia="Times New Roman" w:hAnsi="Times New Roman" w:cs="Times New Roman"/>
            <w:kern w:val="0"/>
            <w:lang w:eastAsia="en-GB"/>
            <w14:ligatures w14:val="none"/>
          </w:rPr>
          <w:t>https://www.dexma.com/blog-en/the-rise-of-sustainability-in-hospitality-the-pivotal-role-of-energy-efficiency/</w:t>
        </w:r>
      </w:hyperlink>
      <w:r w:rsidRPr="008A0BA1">
        <w:rPr>
          <w:rFonts w:ascii="Times New Roman" w:eastAsia="Times New Roman" w:hAnsi="Times New Roman" w:cs="Times New Roman"/>
          <w:kern w:val="0"/>
          <w:lang w:eastAsia="en-GB"/>
          <w14:ligatures w14:val="none"/>
        </w:rPr>
        <w:t xml:space="preserve"> [Accessed 19 May 2025].</w:t>
      </w:r>
    </w:p>
    <w:p w14:paraId="6F3C15A3"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Mahachi, D., </w:t>
      </w:r>
      <w:proofErr w:type="spellStart"/>
      <w:r w:rsidRPr="008A0BA1">
        <w:rPr>
          <w:rFonts w:ascii="Times New Roman" w:eastAsia="Times New Roman" w:hAnsi="Times New Roman" w:cs="Times New Roman"/>
          <w:kern w:val="0"/>
          <w:lang w:eastAsia="en-GB"/>
          <w14:ligatures w14:val="none"/>
        </w:rPr>
        <w:t>Mokgalo</w:t>
      </w:r>
      <w:proofErr w:type="spellEnd"/>
      <w:r w:rsidRPr="008A0BA1">
        <w:rPr>
          <w:rFonts w:ascii="Times New Roman" w:eastAsia="Times New Roman" w:hAnsi="Times New Roman" w:cs="Times New Roman"/>
          <w:kern w:val="0"/>
          <w:lang w:eastAsia="en-GB"/>
          <w14:ligatures w14:val="none"/>
        </w:rPr>
        <w:t xml:space="preserve">, L. &amp; </w:t>
      </w:r>
      <w:proofErr w:type="spellStart"/>
      <w:r w:rsidRPr="008A0BA1">
        <w:rPr>
          <w:rFonts w:ascii="Times New Roman" w:eastAsia="Times New Roman" w:hAnsi="Times New Roman" w:cs="Times New Roman"/>
          <w:kern w:val="0"/>
          <w:lang w:eastAsia="en-GB"/>
          <w14:ligatures w14:val="none"/>
        </w:rPr>
        <w:t>Pansiri</w:t>
      </w:r>
      <w:proofErr w:type="spellEnd"/>
      <w:r w:rsidRPr="008A0BA1">
        <w:rPr>
          <w:rFonts w:ascii="Times New Roman" w:eastAsia="Times New Roman" w:hAnsi="Times New Roman" w:cs="Times New Roman"/>
          <w:kern w:val="0"/>
          <w:lang w:eastAsia="en-GB"/>
          <w14:ligatures w14:val="none"/>
        </w:rPr>
        <w:t xml:space="preserve">, J., 2015. Exploitation of renewable energy in the hospitality sector: case studies of Gaborone Sun and the Cumberland Hotel in Botswana. </w:t>
      </w:r>
      <w:r w:rsidRPr="008A0BA1">
        <w:rPr>
          <w:rFonts w:ascii="Times New Roman" w:eastAsia="Times New Roman" w:hAnsi="Times New Roman" w:cs="Times New Roman"/>
          <w:i/>
          <w:iCs/>
          <w:kern w:val="0"/>
          <w:lang w:eastAsia="en-GB"/>
          <w14:ligatures w14:val="none"/>
        </w:rPr>
        <w:t>International Journal of Hospitality &amp; Tourism Administration</w:t>
      </w:r>
      <w:r w:rsidRPr="008A0BA1">
        <w:rPr>
          <w:rFonts w:ascii="Times New Roman" w:eastAsia="Times New Roman" w:hAnsi="Times New Roman" w:cs="Times New Roman"/>
          <w:kern w:val="0"/>
          <w:lang w:eastAsia="en-GB"/>
          <w14:ligatures w14:val="none"/>
        </w:rPr>
        <w:t>, 16(4), pp.331–354.</w:t>
      </w:r>
    </w:p>
    <w:p w14:paraId="6F17025A"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Majumdar, D. &amp; Pasqualetti, M., 2018. Dual use of agricultural land: introducing ‘agrivoltaics’ in Phoenix Metropolitan Statistical Area, USA. </w:t>
      </w:r>
      <w:r w:rsidRPr="008A0BA1">
        <w:rPr>
          <w:rFonts w:ascii="Times New Roman" w:eastAsia="Times New Roman" w:hAnsi="Times New Roman" w:cs="Times New Roman"/>
          <w:i/>
          <w:iCs/>
          <w:kern w:val="0"/>
          <w:lang w:eastAsia="en-GB"/>
          <w14:ligatures w14:val="none"/>
        </w:rPr>
        <w:t>Landscape and Urban Planning</w:t>
      </w:r>
      <w:r w:rsidRPr="008A0BA1">
        <w:rPr>
          <w:rFonts w:ascii="Times New Roman" w:eastAsia="Times New Roman" w:hAnsi="Times New Roman" w:cs="Times New Roman"/>
          <w:kern w:val="0"/>
          <w:lang w:eastAsia="en-GB"/>
          <w14:ligatures w14:val="none"/>
        </w:rPr>
        <w:t>, 170, pp.150–168.</w:t>
      </w:r>
    </w:p>
    <w:p w14:paraId="60C22583"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t>Maneejuk</w:t>
      </w:r>
      <w:proofErr w:type="spellEnd"/>
      <w:r w:rsidRPr="008A0BA1">
        <w:rPr>
          <w:rFonts w:ascii="Times New Roman" w:eastAsia="Times New Roman" w:hAnsi="Times New Roman" w:cs="Times New Roman"/>
          <w:kern w:val="0"/>
          <w:lang w:eastAsia="en-GB"/>
          <w14:ligatures w14:val="none"/>
        </w:rPr>
        <w:t xml:space="preserve">, P., </w:t>
      </w:r>
      <w:proofErr w:type="spellStart"/>
      <w:r w:rsidRPr="008A0BA1">
        <w:rPr>
          <w:rFonts w:ascii="Times New Roman" w:eastAsia="Times New Roman" w:hAnsi="Times New Roman" w:cs="Times New Roman"/>
          <w:kern w:val="0"/>
          <w:lang w:eastAsia="en-GB"/>
          <w14:ligatures w14:val="none"/>
        </w:rPr>
        <w:t>Kaewtathip</w:t>
      </w:r>
      <w:proofErr w:type="spellEnd"/>
      <w:r w:rsidRPr="008A0BA1">
        <w:rPr>
          <w:rFonts w:ascii="Times New Roman" w:eastAsia="Times New Roman" w:hAnsi="Times New Roman" w:cs="Times New Roman"/>
          <w:kern w:val="0"/>
          <w:lang w:eastAsia="en-GB"/>
          <w14:ligatures w14:val="none"/>
        </w:rPr>
        <w:t xml:space="preserve">, N. &amp; </w:t>
      </w:r>
      <w:proofErr w:type="spellStart"/>
      <w:r w:rsidRPr="008A0BA1">
        <w:rPr>
          <w:rFonts w:ascii="Times New Roman" w:eastAsia="Times New Roman" w:hAnsi="Times New Roman" w:cs="Times New Roman"/>
          <w:kern w:val="0"/>
          <w:lang w:eastAsia="en-GB"/>
          <w14:ligatures w14:val="none"/>
        </w:rPr>
        <w:t>Yamaka</w:t>
      </w:r>
      <w:proofErr w:type="spellEnd"/>
      <w:r w:rsidRPr="008A0BA1">
        <w:rPr>
          <w:rFonts w:ascii="Times New Roman" w:eastAsia="Times New Roman" w:hAnsi="Times New Roman" w:cs="Times New Roman"/>
          <w:kern w:val="0"/>
          <w:lang w:eastAsia="en-GB"/>
          <w14:ligatures w14:val="none"/>
        </w:rPr>
        <w:t xml:space="preserve">, W., 2024. The influence of the Ukraine-Russia conflict on renewable and fossil energy price cycles. </w:t>
      </w:r>
      <w:r w:rsidRPr="008A0BA1">
        <w:rPr>
          <w:rFonts w:ascii="Times New Roman" w:eastAsia="Times New Roman" w:hAnsi="Times New Roman" w:cs="Times New Roman"/>
          <w:i/>
          <w:iCs/>
          <w:kern w:val="0"/>
          <w:lang w:eastAsia="en-GB"/>
          <w14:ligatures w14:val="none"/>
        </w:rPr>
        <w:t>Energy Economics</w:t>
      </w:r>
      <w:r w:rsidRPr="008A0BA1">
        <w:rPr>
          <w:rFonts w:ascii="Times New Roman" w:eastAsia="Times New Roman" w:hAnsi="Times New Roman" w:cs="Times New Roman"/>
          <w:kern w:val="0"/>
          <w:lang w:eastAsia="en-GB"/>
          <w14:ligatures w14:val="none"/>
        </w:rPr>
        <w:t>, 129, p.107218.</w:t>
      </w:r>
    </w:p>
    <w:p w14:paraId="1326054F"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Marriott International, Inc., 2023. </w:t>
      </w:r>
      <w:r w:rsidRPr="008A0BA1">
        <w:rPr>
          <w:rFonts w:ascii="Times New Roman" w:eastAsia="Times New Roman" w:hAnsi="Times New Roman" w:cs="Times New Roman"/>
          <w:i/>
          <w:iCs/>
          <w:kern w:val="0"/>
          <w:lang w:eastAsia="en-GB"/>
          <w14:ligatures w14:val="none"/>
        </w:rPr>
        <w:t>Climate Change 2023</w:t>
      </w:r>
      <w:r w:rsidRPr="008A0BA1">
        <w:rPr>
          <w:rFonts w:ascii="Times New Roman" w:eastAsia="Times New Roman" w:hAnsi="Times New Roman" w:cs="Times New Roman"/>
          <w:kern w:val="0"/>
          <w:lang w:eastAsia="en-GB"/>
          <w14:ligatures w14:val="none"/>
        </w:rPr>
        <w:t xml:space="preserve">. [online] Available at: </w:t>
      </w:r>
      <w:hyperlink r:id="rId18" w:tgtFrame="_new" w:history="1">
        <w:r w:rsidRPr="008A0BA1">
          <w:rPr>
            <w:rStyle w:val="Hyperlink"/>
            <w:rFonts w:ascii="Times New Roman" w:eastAsia="Times New Roman" w:hAnsi="Times New Roman" w:cs="Times New Roman"/>
            <w:kern w:val="0"/>
            <w:lang w:eastAsia="en-GB"/>
            <w14:ligatures w14:val="none"/>
          </w:rPr>
          <w:t>https://serve360.marriott.com/wp-content/uploads/2023/09/CDP-Climate-2023-vHsm2.pdf</w:t>
        </w:r>
      </w:hyperlink>
      <w:r w:rsidRPr="008A0BA1">
        <w:rPr>
          <w:rFonts w:ascii="Times New Roman" w:eastAsia="Times New Roman" w:hAnsi="Times New Roman" w:cs="Times New Roman"/>
          <w:kern w:val="0"/>
          <w:lang w:eastAsia="en-GB"/>
          <w14:ligatures w14:val="none"/>
        </w:rPr>
        <w:t xml:space="preserve"> [Accessed 19 May 2025].</w:t>
      </w:r>
    </w:p>
    <w:p w14:paraId="34A65EB3"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t>Movahhed</w:t>
      </w:r>
      <w:proofErr w:type="spellEnd"/>
      <w:r w:rsidRPr="008A0BA1">
        <w:rPr>
          <w:rFonts w:ascii="Times New Roman" w:eastAsia="Times New Roman" w:hAnsi="Times New Roman" w:cs="Times New Roman"/>
          <w:kern w:val="0"/>
          <w:lang w:eastAsia="en-GB"/>
          <w14:ligatures w14:val="none"/>
        </w:rPr>
        <w:t xml:space="preserve">, Y. et al., 2019. Simultaneous use of PV system and green roof: a techno-economic study on power generation and energy consumption. </w:t>
      </w:r>
      <w:r w:rsidRPr="008A0BA1">
        <w:rPr>
          <w:rFonts w:ascii="Times New Roman" w:eastAsia="Times New Roman" w:hAnsi="Times New Roman" w:cs="Times New Roman"/>
          <w:i/>
          <w:iCs/>
          <w:kern w:val="0"/>
          <w:lang w:eastAsia="en-GB"/>
          <w14:ligatures w14:val="none"/>
        </w:rPr>
        <w:t>Energy Procedia</w:t>
      </w:r>
      <w:r w:rsidRPr="008A0BA1">
        <w:rPr>
          <w:rFonts w:ascii="Times New Roman" w:eastAsia="Times New Roman" w:hAnsi="Times New Roman" w:cs="Times New Roman"/>
          <w:kern w:val="0"/>
          <w:lang w:eastAsia="en-GB"/>
          <w14:ligatures w14:val="none"/>
        </w:rPr>
        <w:t>, 159, pp.478–483.</w:t>
      </w:r>
    </w:p>
    <w:p w14:paraId="6D8BB8F0"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roofErr w:type="spellStart"/>
      <w:r w:rsidRPr="008A0BA1">
        <w:rPr>
          <w:rFonts w:ascii="Times New Roman" w:eastAsia="Times New Roman" w:hAnsi="Times New Roman" w:cs="Times New Roman"/>
          <w:kern w:val="0"/>
          <w:lang w:eastAsia="en-GB"/>
          <w14:ligatures w14:val="none"/>
        </w:rPr>
        <w:t>Ragosa</w:t>
      </w:r>
      <w:proofErr w:type="spellEnd"/>
      <w:r w:rsidRPr="008A0BA1">
        <w:rPr>
          <w:rFonts w:ascii="Times New Roman" w:eastAsia="Times New Roman" w:hAnsi="Times New Roman" w:cs="Times New Roman"/>
          <w:kern w:val="0"/>
          <w:lang w:eastAsia="en-GB"/>
          <w14:ligatures w14:val="none"/>
        </w:rPr>
        <w:t xml:space="preserve">, G. &amp; Warren, P., 2019. Unpacking the determinants of cross-border private investment in renewable energy in developing countries. </w:t>
      </w:r>
      <w:r w:rsidRPr="008A0BA1">
        <w:rPr>
          <w:rFonts w:ascii="Times New Roman" w:eastAsia="Times New Roman" w:hAnsi="Times New Roman" w:cs="Times New Roman"/>
          <w:i/>
          <w:iCs/>
          <w:kern w:val="0"/>
          <w:lang w:eastAsia="en-GB"/>
          <w14:ligatures w14:val="none"/>
        </w:rPr>
        <w:t>Journal of Cleaner Production</w:t>
      </w:r>
      <w:r w:rsidRPr="008A0BA1">
        <w:rPr>
          <w:rFonts w:ascii="Times New Roman" w:eastAsia="Times New Roman" w:hAnsi="Times New Roman" w:cs="Times New Roman"/>
          <w:kern w:val="0"/>
          <w:lang w:eastAsia="en-GB"/>
          <w14:ligatures w14:val="none"/>
        </w:rPr>
        <w:t>, 235, pp.854–865.</w:t>
      </w:r>
    </w:p>
    <w:p w14:paraId="2442CD12"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lastRenderedPageBreak/>
        <w:t xml:space="preserve">Rana, A. et al., 2021. Evaluation of financial incentives for green buildings in Canadian landscape. </w:t>
      </w:r>
      <w:r w:rsidRPr="008A0BA1">
        <w:rPr>
          <w:rFonts w:ascii="Times New Roman" w:eastAsia="Times New Roman" w:hAnsi="Times New Roman" w:cs="Times New Roman"/>
          <w:i/>
          <w:iCs/>
          <w:kern w:val="0"/>
          <w:lang w:eastAsia="en-GB"/>
          <w14:ligatures w14:val="none"/>
        </w:rPr>
        <w:t>Renewable and Sustainable Energy Reviews</w:t>
      </w:r>
      <w:r w:rsidRPr="008A0BA1">
        <w:rPr>
          <w:rFonts w:ascii="Times New Roman" w:eastAsia="Times New Roman" w:hAnsi="Times New Roman" w:cs="Times New Roman"/>
          <w:kern w:val="0"/>
          <w:lang w:eastAsia="en-GB"/>
          <w14:ligatures w14:val="none"/>
        </w:rPr>
        <w:t>, 135, p.110199.</w:t>
      </w:r>
    </w:p>
    <w:p w14:paraId="31C1E503"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Sikombe, S. &amp; Phiri, M., 2019. Exploring tacit knowledge transfer and innovation capabilities within the buyer–supplier collaboration: a literature review. </w:t>
      </w:r>
      <w:r w:rsidRPr="008A0BA1">
        <w:rPr>
          <w:rFonts w:ascii="Times New Roman" w:eastAsia="Times New Roman" w:hAnsi="Times New Roman" w:cs="Times New Roman"/>
          <w:i/>
          <w:iCs/>
          <w:kern w:val="0"/>
          <w:lang w:eastAsia="en-GB"/>
          <w14:ligatures w14:val="none"/>
        </w:rPr>
        <w:t>Cogent Business &amp; Management</w:t>
      </w:r>
      <w:r w:rsidRPr="008A0BA1">
        <w:rPr>
          <w:rFonts w:ascii="Times New Roman" w:eastAsia="Times New Roman" w:hAnsi="Times New Roman" w:cs="Times New Roman"/>
          <w:kern w:val="0"/>
          <w:lang w:eastAsia="en-GB"/>
          <w14:ligatures w14:val="none"/>
        </w:rPr>
        <w:t>, 6(1), p.1683130.</w:t>
      </w:r>
    </w:p>
    <w:p w14:paraId="767B63C7"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Silva, L. &amp; </w:t>
      </w:r>
      <w:proofErr w:type="spellStart"/>
      <w:r w:rsidRPr="008A0BA1">
        <w:rPr>
          <w:rFonts w:ascii="Times New Roman" w:eastAsia="Times New Roman" w:hAnsi="Times New Roman" w:cs="Times New Roman"/>
          <w:kern w:val="0"/>
          <w:lang w:eastAsia="en-GB"/>
          <w14:ligatures w14:val="none"/>
        </w:rPr>
        <w:t>Delicado</w:t>
      </w:r>
      <w:proofErr w:type="spellEnd"/>
      <w:r w:rsidRPr="008A0BA1">
        <w:rPr>
          <w:rFonts w:ascii="Times New Roman" w:eastAsia="Times New Roman" w:hAnsi="Times New Roman" w:cs="Times New Roman"/>
          <w:kern w:val="0"/>
          <w:lang w:eastAsia="en-GB"/>
          <w14:ligatures w14:val="none"/>
        </w:rPr>
        <w:t xml:space="preserve">, A., 2017. Wind farms and rural tourism: a Portuguese case study of residents’ and visitors’ perceptions and attitudes. </w:t>
      </w:r>
      <w:r w:rsidRPr="008A0BA1">
        <w:rPr>
          <w:rFonts w:ascii="Times New Roman" w:eastAsia="Times New Roman" w:hAnsi="Times New Roman" w:cs="Times New Roman"/>
          <w:i/>
          <w:iCs/>
          <w:kern w:val="0"/>
          <w:lang w:eastAsia="en-GB"/>
          <w14:ligatures w14:val="none"/>
        </w:rPr>
        <w:t>Moravian Geographical Reports</w:t>
      </w:r>
      <w:r w:rsidRPr="008A0BA1">
        <w:rPr>
          <w:rFonts w:ascii="Times New Roman" w:eastAsia="Times New Roman" w:hAnsi="Times New Roman" w:cs="Times New Roman"/>
          <w:kern w:val="0"/>
          <w:lang w:eastAsia="en-GB"/>
          <w14:ligatures w14:val="none"/>
        </w:rPr>
        <w:t>, 25(4), pp.248–256.</w:t>
      </w:r>
    </w:p>
    <w:p w14:paraId="76AFB244"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Todeschi, V. et al., 2020. Smart solutions for sustainable cities: the re-coding experience for harnessing the potential of urban rooftops. </w:t>
      </w:r>
      <w:r w:rsidRPr="008A0BA1">
        <w:rPr>
          <w:rFonts w:ascii="Times New Roman" w:eastAsia="Times New Roman" w:hAnsi="Times New Roman" w:cs="Times New Roman"/>
          <w:i/>
          <w:iCs/>
          <w:kern w:val="0"/>
          <w:lang w:eastAsia="en-GB"/>
          <w14:ligatures w14:val="none"/>
        </w:rPr>
        <w:t>Applied Sciences</w:t>
      </w:r>
      <w:r w:rsidRPr="008A0BA1">
        <w:rPr>
          <w:rFonts w:ascii="Times New Roman" w:eastAsia="Times New Roman" w:hAnsi="Times New Roman" w:cs="Times New Roman"/>
          <w:kern w:val="0"/>
          <w:lang w:eastAsia="en-GB"/>
          <w14:ligatures w14:val="none"/>
        </w:rPr>
        <w:t>, 10(20), p.7112.</w:t>
      </w:r>
    </w:p>
    <w:p w14:paraId="4D56C6F9"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Tseng, S., 2017. Investigating the moderating effects of organisational culture and leadership style on IT-adoption and knowledge-sharing intention. </w:t>
      </w:r>
      <w:r w:rsidRPr="008A0BA1">
        <w:rPr>
          <w:rFonts w:ascii="Times New Roman" w:eastAsia="Times New Roman" w:hAnsi="Times New Roman" w:cs="Times New Roman"/>
          <w:i/>
          <w:iCs/>
          <w:kern w:val="0"/>
          <w:lang w:eastAsia="en-GB"/>
          <w14:ligatures w14:val="none"/>
        </w:rPr>
        <w:t>Journal of Enterprise Information Management</w:t>
      </w:r>
      <w:r w:rsidRPr="008A0BA1">
        <w:rPr>
          <w:rFonts w:ascii="Times New Roman" w:eastAsia="Times New Roman" w:hAnsi="Times New Roman" w:cs="Times New Roman"/>
          <w:kern w:val="0"/>
          <w:lang w:eastAsia="en-GB"/>
          <w14:ligatures w14:val="none"/>
        </w:rPr>
        <w:t>, 30(4), pp.583–604.</w:t>
      </w:r>
    </w:p>
    <w:p w14:paraId="151C2A6F" w14:textId="77777777" w:rsidR="008A0BA1" w:rsidRPr="008A0BA1" w:rsidRDefault="008A0BA1"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r w:rsidRPr="008A0BA1">
        <w:rPr>
          <w:rFonts w:ascii="Times New Roman" w:eastAsia="Times New Roman" w:hAnsi="Times New Roman" w:cs="Times New Roman"/>
          <w:kern w:val="0"/>
          <w:lang w:eastAsia="en-GB"/>
          <w14:ligatures w14:val="none"/>
        </w:rPr>
        <w:t xml:space="preserve">UN, 2015. </w:t>
      </w:r>
      <w:r w:rsidRPr="008A0BA1">
        <w:rPr>
          <w:rFonts w:ascii="Times New Roman" w:eastAsia="Times New Roman" w:hAnsi="Times New Roman" w:cs="Times New Roman"/>
          <w:i/>
          <w:iCs/>
          <w:kern w:val="0"/>
          <w:lang w:eastAsia="en-GB"/>
          <w14:ligatures w14:val="none"/>
        </w:rPr>
        <w:t>The Paris Agreement</w:t>
      </w:r>
      <w:r w:rsidRPr="008A0BA1">
        <w:rPr>
          <w:rFonts w:ascii="Times New Roman" w:eastAsia="Times New Roman" w:hAnsi="Times New Roman" w:cs="Times New Roman"/>
          <w:kern w:val="0"/>
          <w:lang w:eastAsia="en-GB"/>
          <w14:ligatures w14:val="none"/>
        </w:rPr>
        <w:t xml:space="preserve">. [online] Available at: </w:t>
      </w:r>
      <w:hyperlink r:id="rId19" w:tgtFrame="_new" w:history="1">
        <w:r w:rsidRPr="008A0BA1">
          <w:rPr>
            <w:rStyle w:val="Hyperlink"/>
            <w:rFonts w:ascii="Times New Roman" w:eastAsia="Times New Roman" w:hAnsi="Times New Roman" w:cs="Times New Roman"/>
            <w:kern w:val="0"/>
            <w:lang w:eastAsia="en-GB"/>
            <w14:ligatures w14:val="none"/>
          </w:rPr>
          <w:t>https://unfccc.int/process-and-meetings/the-paris-agreement</w:t>
        </w:r>
      </w:hyperlink>
      <w:r w:rsidRPr="008A0BA1">
        <w:rPr>
          <w:rFonts w:ascii="Times New Roman" w:eastAsia="Times New Roman" w:hAnsi="Times New Roman" w:cs="Times New Roman"/>
          <w:kern w:val="0"/>
          <w:lang w:eastAsia="en-GB"/>
          <w14:ligatures w14:val="none"/>
        </w:rPr>
        <w:t xml:space="preserve"> [Accessed 19 May 2025].</w:t>
      </w:r>
    </w:p>
    <w:p w14:paraId="4AEC482A" w14:textId="73F0BA72" w:rsidR="00576204" w:rsidRPr="008A0BA1" w:rsidRDefault="00576204" w:rsidP="008A0BA1">
      <w:pPr>
        <w:spacing w:before="100" w:beforeAutospacing="1" w:after="100" w:afterAutospacing="1" w:line="360" w:lineRule="auto"/>
        <w:jc w:val="both"/>
        <w:outlineLvl w:val="3"/>
        <w:rPr>
          <w:rFonts w:ascii="Times New Roman" w:eastAsia="Times New Roman" w:hAnsi="Times New Roman" w:cs="Times New Roman"/>
          <w:kern w:val="0"/>
          <w:lang w:eastAsia="en-GB"/>
          <w14:ligatures w14:val="none"/>
        </w:rPr>
      </w:pPr>
    </w:p>
    <w:sectPr w:rsidR="00576204" w:rsidRPr="008A0B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53E31" w14:textId="77777777" w:rsidR="00100AF9" w:rsidRDefault="00100AF9" w:rsidP="002B755D">
      <w:pPr>
        <w:spacing w:after="0" w:line="240" w:lineRule="auto"/>
      </w:pPr>
      <w:r>
        <w:separator/>
      </w:r>
    </w:p>
  </w:endnote>
  <w:endnote w:type="continuationSeparator" w:id="0">
    <w:p w14:paraId="077CAE5E" w14:textId="77777777" w:rsidR="00100AF9" w:rsidRDefault="00100AF9" w:rsidP="002B75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8D6DE" w14:textId="77777777" w:rsidR="00100AF9" w:rsidRDefault="00100AF9" w:rsidP="002B755D">
      <w:pPr>
        <w:spacing w:after="0" w:line="240" w:lineRule="auto"/>
      </w:pPr>
      <w:r>
        <w:separator/>
      </w:r>
    </w:p>
  </w:footnote>
  <w:footnote w:type="continuationSeparator" w:id="0">
    <w:p w14:paraId="39A86015" w14:textId="77777777" w:rsidR="00100AF9" w:rsidRDefault="00100AF9" w:rsidP="002B75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03CB4"/>
    <w:multiLevelType w:val="hybridMultilevel"/>
    <w:tmpl w:val="F0A46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178A5"/>
    <w:multiLevelType w:val="multilevel"/>
    <w:tmpl w:val="26AE5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8D3F7A"/>
    <w:multiLevelType w:val="hybridMultilevel"/>
    <w:tmpl w:val="DCAE7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FE6D3B"/>
    <w:multiLevelType w:val="hybridMultilevel"/>
    <w:tmpl w:val="8C484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C77B6A"/>
    <w:multiLevelType w:val="multilevel"/>
    <w:tmpl w:val="D0F61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833570">
    <w:abstractNumId w:val="4"/>
  </w:num>
  <w:num w:numId="2" w16cid:durableId="1644919374">
    <w:abstractNumId w:val="1"/>
  </w:num>
  <w:num w:numId="3" w16cid:durableId="1197351067">
    <w:abstractNumId w:val="2"/>
  </w:num>
  <w:num w:numId="4" w16cid:durableId="1719544742">
    <w:abstractNumId w:val="3"/>
  </w:num>
  <w:num w:numId="5" w16cid:durableId="668756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AAA"/>
    <w:rsid w:val="00043EE9"/>
    <w:rsid w:val="0005201E"/>
    <w:rsid w:val="00054936"/>
    <w:rsid w:val="00080E44"/>
    <w:rsid w:val="000B62FE"/>
    <w:rsid w:val="000D1AAA"/>
    <w:rsid w:val="000E5188"/>
    <w:rsid w:val="00100AF9"/>
    <w:rsid w:val="00180DCC"/>
    <w:rsid w:val="0019405B"/>
    <w:rsid w:val="00197DDD"/>
    <w:rsid w:val="001C6ED6"/>
    <w:rsid w:val="001E373D"/>
    <w:rsid w:val="001F59A2"/>
    <w:rsid w:val="00216D6D"/>
    <w:rsid w:val="002720D9"/>
    <w:rsid w:val="002733C7"/>
    <w:rsid w:val="00287EE6"/>
    <w:rsid w:val="00292332"/>
    <w:rsid w:val="002B65E7"/>
    <w:rsid w:val="002B755D"/>
    <w:rsid w:val="002F1CEA"/>
    <w:rsid w:val="002F25AC"/>
    <w:rsid w:val="0031232E"/>
    <w:rsid w:val="00352A13"/>
    <w:rsid w:val="00355B46"/>
    <w:rsid w:val="00380523"/>
    <w:rsid w:val="00382E98"/>
    <w:rsid w:val="003B77CD"/>
    <w:rsid w:val="00435153"/>
    <w:rsid w:val="0044429D"/>
    <w:rsid w:val="00486174"/>
    <w:rsid w:val="00504CB0"/>
    <w:rsid w:val="00512487"/>
    <w:rsid w:val="00532E6D"/>
    <w:rsid w:val="00576204"/>
    <w:rsid w:val="005F2D59"/>
    <w:rsid w:val="005F3DB2"/>
    <w:rsid w:val="005F5806"/>
    <w:rsid w:val="006063E0"/>
    <w:rsid w:val="006973EE"/>
    <w:rsid w:val="006C3D93"/>
    <w:rsid w:val="006F0C98"/>
    <w:rsid w:val="006F5999"/>
    <w:rsid w:val="00701ED7"/>
    <w:rsid w:val="00726AD7"/>
    <w:rsid w:val="00740F19"/>
    <w:rsid w:val="00753636"/>
    <w:rsid w:val="00761D70"/>
    <w:rsid w:val="00785678"/>
    <w:rsid w:val="008320E2"/>
    <w:rsid w:val="00865B5C"/>
    <w:rsid w:val="00886D6A"/>
    <w:rsid w:val="008A0BA1"/>
    <w:rsid w:val="008B701A"/>
    <w:rsid w:val="008E0D32"/>
    <w:rsid w:val="00932C87"/>
    <w:rsid w:val="00934EF8"/>
    <w:rsid w:val="00950993"/>
    <w:rsid w:val="00952EF6"/>
    <w:rsid w:val="00996602"/>
    <w:rsid w:val="009A4B0D"/>
    <w:rsid w:val="009B2B81"/>
    <w:rsid w:val="009D7479"/>
    <w:rsid w:val="009E56DB"/>
    <w:rsid w:val="00A71EBD"/>
    <w:rsid w:val="00AA69F3"/>
    <w:rsid w:val="00AD035D"/>
    <w:rsid w:val="00B00C2C"/>
    <w:rsid w:val="00B2398D"/>
    <w:rsid w:val="00B46A62"/>
    <w:rsid w:val="00B507FB"/>
    <w:rsid w:val="00BC2FD2"/>
    <w:rsid w:val="00BE2D8C"/>
    <w:rsid w:val="00C1445A"/>
    <w:rsid w:val="00C37259"/>
    <w:rsid w:val="00C52BBA"/>
    <w:rsid w:val="00C84B7C"/>
    <w:rsid w:val="00C8757E"/>
    <w:rsid w:val="00C96384"/>
    <w:rsid w:val="00D67F43"/>
    <w:rsid w:val="00DB1534"/>
    <w:rsid w:val="00DB60B9"/>
    <w:rsid w:val="00DF23F7"/>
    <w:rsid w:val="00E173A7"/>
    <w:rsid w:val="00E1758E"/>
    <w:rsid w:val="00E177DD"/>
    <w:rsid w:val="00EC56A7"/>
    <w:rsid w:val="00EE5C87"/>
    <w:rsid w:val="00F333C1"/>
    <w:rsid w:val="00F87E99"/>
    <w:rsid w:val="00FC5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ECFF6"/>
  <w15:chartTrackingRefBased/>
  <w15:docId w15:val="{EFF2AA68-6931-41C1-88B5-792812A09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A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1A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1A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1A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1A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1A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A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A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A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A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1A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1A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A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A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A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A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A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AAA"/>
    <w:rPr>
      <w:rFonts w:eastAsiaTheme="majorEastAsia" w:cstheme="majorBidi"/>
      <w:color w:val="272727" w:themeColor="text1" w:themeTint="D8"/>
    </w:rPr>
  </w:style>
  <w:style w:type="paragraph" w:styleId="Title">
    <w:name w:val="Title"/>
    <w:basedOn w:val="Normal"/>
    <w:next w:val="Normal"/>
    <w:link w:val="TitleChar"/>
    <w:uiPriority w:val="10"/>
    <w:qFormat/>
    <w:rsid w:val="000D1A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A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A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A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AAA"/>
    <w:pPr>
      <w:spacing w:before="160"/>
      <w:jc w:val="center"/>
    </w:pPr>
    <w:rPr>
      <w:i/>
      <w:iCs/>
      <w:color w:val="404040" w:themeColor="text1" w:themeTint="BF"/>
    </w:rPr>
  </w:style>
  <w:style w:type="character" w:customStyle="1" w:styleId="QuoteChar">
    <w:name w:val="Quote Char"/>
    <w:basedOn w:val="DefaultParagraphFont"/>
    <w:link w:val="Quote"/>
    <w:uiPriority w:val="29"/>
    <w:rsid w:val="000D1AAA"/>
    <w:rPr>
      <w:i/>
      <w:iCs/>
      <w:color w:val="404040" w:themeColor="text1" w:themeTint="BF"/>
    </w:rPr>
  </w:style>
  <w:style w:type="paragraph" w:styleId="ListParagraph">
    <w:name w:val="List Paragraph"/>
    <w:basedOn w:val="Normal"/>
    <w:uiPriority w:val="34"/>
    <w:qFormat/>
    <w:rsid w:val="000D1AAA"/>
    <w:pPr>
      <w:ind w:left="720"/>
      <w:contextualSpacing/>
    </w:pPr>
  </w:style>
  <w:style w:type="character" w:styleId="IntenseEmphasis">
    <w:name w:val="Intense Emphasis"/>
    <w:basedOn w:val="DefaultParagraphFont"/>
    <w:uiPriority w:val="21"/>
    <w:qFormat/>
    <w:rsid w:val="000D1AAA"/>
    <w:rPr>
      <w:i/>
      <w:iCs/>
      <w:color w:val="0F4761" w:themeColor="accent1" w:themeShade="BF"/>
    </w:rPr>
  </w:style>
  <w:style w:type="paragraph" w:styleId="IntenseQuote">
    <w:name w:val="Intense Quote"/>
    <w:basedOn w:val="Normal"/>
    <w:next w:val="Normal"/>
    <w:link w:val="IntenseQuoteChar"/>
    <w:uiPriority w:val="30"/>
    <w:qFormat/>
    <w:rsid w:val="000D1A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AAA"/>
    <w:rPr>
      <w:i/>
      <w:iCs/>
      <w:color w:val="0F4761" w:themeColor="accent1" w:themeShade="BF"/>
    </w:rPr>
  </w:style>
  <w:style w:type="character" w:styleId="IntenseReference">
    <w:name w:val="Intense Reference"/>
    <w:basedOn w:val="DefaultParagraphFont"/>
    <w:uiPriority w:val="32"/>
    <w:qFormat/>
    <w:rsid w:val="000D1AAA"/>
    <w:rPr>
      <w:b/>
      <w:bCs/>
      <w:smallCaps/>
      <w:color w:val="0F4761" w:themeColor="accent1" w:themeShade="BF"/>
      <w:spacing w:val="5"/>
    </w:rPr>
  </w:style>
  <w:style w:type="paragraph" w:styleId="Bibliography">
    <w:name w:val="Bibliography"/>
    <w:basedOn w:val="Normal"/>
    <w:next w:val="Normal"/>
    <w:uiPriority w:val="37"/>
    <w:semiHidden/>
    <w:unhideWhenUsed/>
    <w:rsid w:val="00D67F43"/>
    <w:pPr>
      <w:spacing w:line="256" w:lineRule="auto"/>
    </w:pPr>
    <w:rPr>
      <w:rFonts w:ascii="Times New Roman" w:hAnsi="Times New Roman"/>
      <w:kern w:val="0"/>
      <w:szCs w:val="22"/>
      <w14:ligatures w14:val="none"/>
    </w:rPr>
  </w:style>
  <w:style w:type="paragraph" w:styleId="Header">
    <w:name w:val="header"/>
    <w:basedOn w:val="Normal"/>
    <w:link w:val="HeaderChar"/>
    <w:uiPriority w:val="99"/>
    <w:unhideWhenUsed/>
    <w:rsid w:val="002B75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55D"/>
  </w:style>
  <w:style w:type="paragraph" w:styleId="Footer">
    <w:name w:val="footer"/>
    <w:basedOn w:val="Normal"/>
    <w:link w:val="FooterChar"/>
    <w:uiPriority w:val="99"/>
    <w:unhideWhenUsed/>
    <w:rsid w:val="002B75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55D"/>
  </w:style>
  <w:style w:type="table" w:styleId="TableGrid">
    <w:name w:val="Table Grid"/>
    <w:basedOn w:val="TableNormal"/>
    <w:uiPriority w:val="39"/>
    <w:rsid w:val="006973EE"/>
    <w:pPr>
      <w:spacing w:after="0" w:line="240" w:lineRule="auto"/>
    </w:pPr>
    <w:rPr>
      <w:rFonts w:ascii="Calibri" w:eastAsia="Calibri" w:hAnsi="Calibri" w:cs="Arial"/>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76204"/>
    <w:rPr>
      <w:b/>
      <w:bCs/>
    </w:rPr>
  </w:style>
  <w:style w:type="table" w:customStyle="1" w:styleId="TableGrid1">
    <w:name w:val="Table Grid1"/>
    <w:basedOn w:val="TableNormal"/>
    <w:next w:val="TableGrid"/>
    <w:uiPriority w:val="59"/>
    <w:rsid w:val="00B46A62"/>
    <w:pPr>
      <w:spacing w:after="0" w:line="240" w:lineRule="auto"/>
    </w:pPr>
    <w:rPr>
      <w:rFonts w:ascii="Cambria" w:eastAsia="MS Mincho" w:hAnsi="Cambria" w:cs="Times New Roman"/>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16D6D"/>
    <w:pPr>
      <w:spacing w:after="0" w:line="240" w:lineRule="auto"/>
    </w:pPr>
  </w:style>
  <w:style w:type="character" w:styleId="Hyperlink">
    <w:name w:val="Hyperlink"/>
    <w:basedOn w:val="DefaultParagraphFont"/>
    <w:uiPriority w:val="99"/>
    <w:unhideWhenUsed/>
    <w:rsid w:val="008A0BA1"/>
    <w:rPr>
      <w:color w:val="467886" w:themeColor="hyperlink"/>
      <w:u w:val="single"/>
    </w:rPr>
  </w:style>
  <w:style w:type="character" w:styleId="UnresolvedMention">
    <w:name w:val="Unresolved Mention"/>
    <w:basedOn w:val="DefaultParagraphFont"/>
    <w:uiPriority w:val="99"/>
    <w:semiHidden/>
    <w:unhideWhenUsed/>
    <w:rsid w:val="008A0B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112720">
      <w:bodyDiv w:val="1"/>
      <w:marLeft w:val="0"/>
      <w:marRight w:val="0"/>
      <w:marTop w:val="0"/>
      <w:marBottom w:val="0"/>
      <w:divBdr>
        <w:top w:val="none" w:sz="0" w:space="0" w:color="auto"/>
        <w:left w:val="none" w:sz="0" w:space="0" w:color="auto"/>
        <w:bottom w:val="none" w:sz="0" w:space="0" w:color="auto"/>
        <w:right w:val="none" w:sz="0" w:space="0" w:color="auto"/>
      </w:divBdr>
    </w:div>
    <w:div w:id="105849661">
      <w:bodyDiv w:val="1"/>
      <w:marLeft w:val="0"/>
      <w:marRight w:val="0"/>
      <w:marTop w:val="0"/>
      <w:marBottom w:val="0"/>
      <w:divBdr>
        <w:top w:val="none" w:sz="0" w:space="0" w:color="auto"/>
        <w:left w:val="none" w:sz="0" w:space="0" w:color="auto"/>
        <w:bottom w:val="none" w:sz="0" w:space="0" w:color="auto"/>
        <w:right w:val="none" w:sz="0" w:space="0" w:color="auto"/>
      </w:divBdr>
    </w:div>
    <w:div w:id="240649187">
      <w:bodyDiv w:val="1"/>
      <w:marLeft w:val="0"/>
      <w:marRight w:val="0"/>
      <w:marTop w:val="0"/>
      <w:marBottom w:val="0"/>
      <w:divBdr>
        <w:top w:val="none" w:sz="0" w:space="0" w:color="auto"/>
        <w:left w:val="none" w:sz="0" w:space="0" w:color="auto"/>
        <w:bottom w:val="none" w:sz="0" w:space="0" w:color="auto"/>
        <w:right w:val="none" w:sz="0" w:space="0" w:color="auto"/>
      </w:divBdr>
    </w:div>
    <w:div w:id="313536233">
      <w:bodyDiv w:val="1"/>
      <w:marLeft w:val="0"/>
      <w:marRight w:val="0"/>
      <w:marTop w:val="0"/>
      <w:marBottom w:val="0"/>
      <w:divBdr>
        <w:top w:val="none" w:sz="0" w:space="0" w:color="auto"/>
        <w:left w:val="none" w:sz="0" w:space="0" w:color="auto"/>
        <w:bottom w:val="none" w:sz="0" w:space="0" w:color="auto"/>
        <w:right w:val="none" w:sz="0" w:space="0" w:color="auto"/>
      </w:divBdr>
    </w:div>
    <w:div w:id="514006431">
      <w:bodyDiv w:val="1"/>
      <w:marLeft w:val="0"/>
      <w:marRight w:val="0"/>
      <w:marTop w:val="0"/>
      <w:marBottom w:val="0"/>
      <w:divBdr>
        <w:top w:val="none" w:sz="0" w:space="0" w:color="auto"/>
        <w:left w:val="none" w:sz="0" w:space="0" w:color="auto"/>
        <w:bottom w:val="none" w:sz="0" w:space="0" w:color="auto"/>
        <w:right w:val="none" w:sz="0" w:space="0" w:color="auto"/>
      </w:divBdr>
    </w:div>
    <w:div w:id="546571278">
      <w:bodyDiv w:val="1"/>
      <w:marLeft w:val="0"/>
      <w:marRight w:val="0"/>
      <w:marTop w:val="0"/>
      <w:marBottom w:val="0"/>
      <w:divBdr>
        <w:top w:val="none" w:sz="0" w:space="0" w:color="auto"/>
        <w:left w:val="none" w:sz="0" w:space="0" w:color="auto"/>
        <w:bottom w:val="none" w:sz="0" w:space="0" w:color="auto"/>
        <w:right w:val="none" w:sz="0" w:space="0" w:color="auto"/>
      </w:divBdr>
    </w:div>
    <w:div w:id="616837038">
      <w:bodyDiv w:val="1"/>
      <w:marLeft w:val="0"/>
      <w:marRight w:val="0"/>
      <w:marTop w:val="0"/>
      <w:marBottom w:val="0"/>
      <w:divBdr>
        <w:top w:val="none" w:sz="0" w:space="0" w:color="auto"/>
        <w:left w:val="none" w:sz="0" w:space="0" w:color="auto"/>
        <w:bottom w:val="none" w:sz="0" w:space="0" w:color="auto"/>
        <w:right w:val="none" w:sz="0" w:space="0" w:color="auto"/>
      </w:divBdr>
      <w:divsChild>
        <w:div w:id="1286276728">
          <w:blockQuote w:val="1"/>
          <w:marLeft w:val="720"/>
          <w:marRight w:val="720"/>
          <w:marTop w:val="100"/>
          <w:marBottom w:val="100"/>
          <w:divBdr>
            <w:top w:val="none" w:sz="0" w:space="0" w:color="auto"/>
            <w:left w:val="none" w:sz="0" w:space="0" w:color="auto"/>
            <w:bottom w:val="none" w:sz="0" w:space="0" w:color="auto"/>
            <w:right w:val="none" w:sz="0" w:space="0" w:color="auto"/>
          </w:divBdr>
        </w:div>
        <w:div w:id="904795843">
          <w:blockQuote w:val="1"/>
          <w:marLeft w:val="720"/>
          <w:marRight w:val="720"/>
          <w:marTop w:val="100"/>
          <w:marBottom w:val="100"/>
          <w:divBdr>
            <w:top w:val="none" w:sz="0" w:space="0" w:color="auto"/>
            <w:left w:val="none" w:sz="0" w:space="0" w:color="auto"/>
            <w:bottom w:val="none" w:sz="0" w:space="0" w:color="auto"/>
            <w:right w:val="none" w:sz="0" w:space="0" w:color="auto"/>
          </w:divBdr>
        </w:div>
        <w:div w:id="1265188118">
          <w:blockQuote w:val="1"/>
          <w:marLeft w:val="720"/>
          <w:marRight w:val="720"/>
          <w:marTop w:val="100"/>
          <w:marBottom w:val="100"/>
          <w:divBdr>
            <w:top w:val="none" w:sz="0" w:space="0" w:color="auto"/>
            <w:left w:val="none" w:sz="0" w:space="0" w:color="auto"/>
            <w:bottom w:val="none" w:sz="0" w:space="0" w:color="auto"/>
            <w:right w:val="none" w:sz="0" w:space="0" w:color="auto"/>
          </w:divBdr>
        </w:div>
        <w:div w:id="374963110">
          <w:blockQuote w:val="1"/>
          <w:marLeft w:val="720"/>
          <w:marRight w:val="720"/>
          <w:marTop w:val="100"/>
          <w:marBottom w:val="100"/>
          <w:divBdr>
            <w:top w:val="none" w:sz="0" w:space="0" w:color="auto"/>
            <w:left w:val="none" w:sz="0" w:space="0" w:color="auto"/>
            <w:bottom w:val="none" w:sz="0" w:space="0" w:color="auto"/>
            <w:right w:val="none" w:sz="0" w:space="0" w:color="auto"/>
          </w:divBdr>
        </w:div>
        <w:div w:id="1308780866">
          <w:blockQuote w:val="1"/>
          <w:marLeft w:val="720"/>
          <w:marRight w:val="720"/>
          <w:marTop w:val="100"/>
          <w:marBottom w:val="100"/>
          <w:divBdr>
            <w:top w:val="none" w:sz="0" w:space="0" w:color="auto"/>
            <w:left w:val="none" w:sz="0" w:space="0" w:color="auto"/>
            <w:bottom w:val="none" w:sz="0" w:space="0" w:color="auto"/>
            <w:right w:val="none" w:sz="0" w:space="0" w:color="auto"/>
          </w:divBdr>
        </w:div>
        <w:div w:id="522322205">
          <w:blockQuote w:val="1"/>
          <w:marLeft w:val="720"/>
          <w:marRight w:val="720"/>
          <w:marTop w:val="100"/>
          <w:marBottom w:val="100"/>
          <w:divBdr>
            <w:top w:val="none" w:sz="0" w:space="0" w:color="auto"/>
            <w:left w:val="none" w:sz="0" w:space="0" w:color="auto"/>
            <w:bottom w:val="none" w:sz="0" w:space="0" w:color="auto"/>
            <w:right w:val="none" w:sz="0" w:space="0" w:color="auto"/>
          </w:divBdr>
        </w:div>
        <w:div w:id="1305699551">
          <w:blockQuote w:val="1"/>
          <w:marLeft w:val="720"/>
          <w:marRight w:val="720"/>
          <w:marTop w:val="100"/>
          <w:marBottom w:val="100"/>
          <w:divBdr>
            <w:top w:val="none" w:sz="0" w:space="0" w:color="auto"/>
            <w:left w:val="none" w:sz="0" w:space="0" w:color="auto"/>
            <w:bottom w:val="none" w:sz="0" w:space="0" w:color="auto"/>
            <w:right w:val="none" w:sz="0" w:space="0" w:color="auto"/>
          </w:divBdr>
        </w:div>
        <w:div w:id="183877004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7209923">
          <w:blockQuote w:val="1"/>
          <w:marLeft w:val="720"/>
          <w:marRight w:val="720"/>
          <w:marTop w:val="100"/>
          <w:marBottom w:val="100"/>
          <w:divBdr>
            <w:top w:val="none" w:sz="0" w:space="0" w:color="auto"/>
            <w:left w:val="none" w:sz="0" w:space="0" w:color="auto"/>
            <w:bottom w:val="none" w:sz="0" w:space="0" w:color="auto"/>
            <w:right w:val="none" w:sz="0" w:space="0" w:color="auto"/>
          </w:divBdr>
        </w:div>
        <w:div w:id="420106619">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79573">
          <w:blockQuote w:val="1"/>
          <w:marLeft w:val="720"/>
          <w:marRight w:val="720"/>
          <w:marTop w:val="100"/>
          <w:marBottom w:val="100"/>
          <w:divBdr>
            <w:top w:val="none" w:sz="0" w:space="0" w:color="auto"/>
            <w:left w:val="none" w:sz="0" w:space="0" w:color="auto"/>
            <w:bottom w:val="none" w:sz="0" w:space="0" w:color="auto"/>
            <w:right w:val="none" w:sz="0" w:space="0" w:color="auto"/>
          </w:divBdr>
        </w:div>
        <w:div w:id="1859201329">
          <w:blockQuote w:val="1"/>
          <w:marLeft w:val="720"/>
          <w:marRight w:val="720"/>
          <w:marTop w:val="100"/>
          <w:marBottom w:val="100"/>
          <w:divBdr>
            <w:top w:val="none" w:sz="0" w:space="0" w:color="auto"/>
            <w:left w:val="none" w:sz="0" w:space="0" w:color="auto"/>
            <w:bottom w:val="none" w:sz="0" w:space="0" w:color="auto"/>
            <w:right w:val="none" w:sz="0" w:space="0" w:color="auto"/>
          </w:divBdr>
        </w:div>
        <w:div w:id="1619336311">
          <w:blockQuote w:val="1"/>
          <w:marLeft w:val="720"/>
          <w:marRight w:val="720"/>
          <w:marTop w:val="100"/>
          <w:marBottom w:val="100"/>
          <w:divBdr>
            <w:top w:val="none" w:sz="0" w:space="0" w:color="auto"/>
            <w:left w:val="none" w:sz="0" w:space="0" w:color="auto"/>
            <w:bottom w:val="none" w:sz="0" w:space="0" w:color="auto"/>
            <w:right w:val="none" w:sz="0" w:space="0" w:color="auto"/>
          </w:divBdr>
        </w:div>
        <w:div w:id="43529512">
          <w:blockQuote w:val="1"/>
          <w:marLeft w:val="720"/>
          <w:marRight w:val="720"/>
          <w:marTop w:val="100"/>
          <w:marBottom w:val="100"/>
          <w:divBdr>
            <w:top w:val="none" w:sz="0" w:space="0" w:color="auto"/>
            <w:left w:val="none" w:sz="0" w:space="0" w:color="auto"/>
            <w:bottom w:val="none" w:sz="0" w:space="0" w:color="auto"/>
            <w:right w:val="none" w:sz="0" w:space="0" w:color="auto"/>
          </w:divBdr>
        </w:div>
        <w:div w:id="1769615050">
          <w:blockQuote w:val="1"/>
          <w:marLeft w:val="720"/>
          <w:marRight w:val="720"/>
          <w:marTop w:val="100"/>
          <w:marBottom w:val="100"/>
          <w:divBdr>
            <w:top w:val="none" w:sz="0" w:space="0" w:color="auto"/>
            <w:left w:val="none" w:sz="0" w:space="0" w:color="auto"/>
            <w:bottom w:val="none" w:sz="0" w:space="0" w:color="auto"/>
            <w:right w:val="none" w:sz="0" w:space="0" w:color="auto"/>
          </w:divBdr>
        </w:div>
        <w:div w:id="539901166">
          <w:blockQuote w:val="1"/>
          <w:marLeft w:val="720"/>
          <w:marRight w:val="720"/>
          <w:marTop w:val="100"/>
          <w:marBottom w:val="100"/>
          <w:divBdr>
            <w:top w:val="none" w:sz="0" w:space="0" w:color="auto"/>
            <w:left w:val="none" w:sz="0" w:space="0" w:color="auto"/>
            <w:bottom w:val="none" w:sz="0" w:space="0" w:color="auto"/>
            <w:right w:val="none" w:sz="0" w:space="0" w:color="auto"/>
          </w:divBdr>
        </w:div>
        <w:div w:id="497962158">
          <w:blockQuote w:val="1"/>
          <w:marLeft w:val="720"/>
          <w:marRight w:val="720"/>
          <w:marTop w:val="100"/>
          <w:marBottom w:val="100"/>
          <w:divBdr>
            <w:top w:val="none" w:sz="0" w:space="0" w:color="auto"/>
            <w:left w:val="none" w:sz="0" w:space="0" w:color="auto"/>
            <w:bottom w:val="none" w:sz="0" w:space="0" w:color="auto"/>
            <w:right w:val="none" w:sz="0" w:space="0" w:color="auto"/>
          </w:divBdr>
        </w:div>
        <w:div w:id="1438208174">
          <w:blockQuote w:val="1"/>
          <w:marLeft w:val="720"/>
          <w:marRight w:val="720"/>
          <w:marTop w:val="100"/>
          <w:marBottom w:val="100"/>
          <w:divBdr>
            <w:top w:val="none" w:sz="0" w:space="0" w:color="auto"/>
            <w:left w:val="none" w:sz="0" w:space="0" w:color="auto"/>
            <w:bottom w:val="none" w:sz="0" w:space="0" w:color="auto"/>
            <w:right w:val="none" w:sz="0" w:space="0" w:color="auto"/>
          </w:divBdr>
        </w:div>
        <w:div w:id="1162889248">
          <w:blockQuote w:val="1"/>
          <w:marLeft w:val="720"/>
          <w:marRight w:val="720"/>
          <w:marTop w:val="100"/>
          <w:marBottom w:val="100"/>
          <w:divBdr>
            <w:top w:val="none" w:sz="0" w:space="0" w:color="auto"/>
            <w:left w:val="none" w:sz="0" w:space="0" w:color="auto"/>
            <w:bottom w:val="none" w:sz="0" w:space="0" w:color="auto"/>
            <w:right w:val="none" w:sz="0" w:space="0" w:color="auto"/>
          </w:divBdr>
        </w:div>
        <w:div w:id="517162114">
          <w:blockQuote w:val="1"/>
          <w:marLeft w:val="720"/>
          <w:marRight w:val="720"/>
          <w:marTop w:val="100"/>
          <w:marBottom w:val="100"/>
          <w:divBdr>
            <w:top w:val="none" w:sz="0" w:space="0" w:color="auto"/>
            <w:left w:val="none" w:sz="0" w:space="0" w:color="auto"/>
            <w:bottom w:val="none" w:sz="0" w:space="0" w:color="auto"/>
            <w:right w:val="none" w:sz="0" w:space="0" w:color="auto"/>
          </w:divBdr>
        </w:div>
        <w:div w:id="1289504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77334046">
          <w:blockQuote w:val="1"/>
          <w:marLeft w:val="720"/>
          <w:marRight w:val="720"/>
          <w:marTop w:val="100"/>
          <w:marBottom w:val="100"/>
          <w:divBdr>
            <w:top w:val="none" w:sz="0" w:space="0" w:color="auto"/>
            <w:left w:val="none" w:sz="0" w:space="0" w:color="auto"/>
            <w:bottom w:val="none" w:sz="0" w:space="0" w:color="auto"/>
            <w:right w:val="none" w:sz="0" w:space="0" w:color="auto"/>
          </w:divBdr>
        </w:div>
        <w:div w:id="576672317">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06729">
          <w:blockQuote w:val="1"/>
          <w:marLeft w:val="720"/>
          <w:marRight w:val="720"/>
          <w:marTop w:val="100"/>
          <w:marBottom w:val="100"/>
          <w:divBdr>
            <w:top w:val="none" w:sz="0" w:space="0" w:color="auto"/>
            <w:left w:val="none" w:sz="0" w:space="0" w:color="auto"/>
            <w:bottom w:val="none" w:sz="0" w:space="0" w:color="auto"/>
            <w:right w:val="none" w:sz="0" w:space="0" w:color="auto"/>
          </w:divBdr>
        </w:div>
        <w:div w:id="1353527859">
          <w:blockQuote w:val="1"/>
          <w:marLeft w:val="720"/>
          <w:marRight w:val="720"/>
          <w:marTop w:val="100"/>
          <w:marBottom w:val="100"/>
          <w:divBdr>
            <w:top w:val="none" w:sz="0" w:space="0" w:color="auto"/>
            <w:left w:val="none" w:sz="0" w:space="0" w:color="auto"/>
            <w:bottom w:val="none" w:sz="0" w:space="0" w:color="auto"/>
            <w:right w:val="none" w:sz="0" w:space="0" w:color="auto"/>
          </w:divBdr>
        </w:div>
        <w:div w:id="1743798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717123893">
          <w:blockQuote w:val="1"/>
          <w:marLeft w:val="720"/>
          <w:marRight w:val="720"/>
          <w:marTop w:val="100"/>
          <w:marBottom w:val="100"/>
          <w:divBdr>
            <w:top w:val="none" w:sz="0" w:space="0" w:color="auto"/>
            <w:left w:val="none" w:sz="0" w:space="0" w:color="auto"/>
            <w:bottom w:val="none" w:sz="0" w:space="0" w:color="auto"/>
            <w:right w:val="none" w:sz="0" w:space="0" w:color="auto"/>
          </w:divBdr>
        </w:div>
        <w:div w:id="2063021129">
          <w:blockQuote w:val="1"/>
          <w:marLeft w:val="720"/>
          <w:marRight w:val="720"/>
          <w:marTop w:val="100"/>
          <w:marBottom w:val="100"/>
          <w:divBdr>
            <w:top w:val="none" w:sz="0" w:space="0" w:color="auto"/>
            <w:left w:val="none" w:sz="0" w:space="0" w:color="auto"/>
            <w:bottom w:val="none" w:sz="0" w:space="0" w:color="auto"/>
            <w:right w:val="none" w:sz="0" w:space="0" w:color="auto"/>
          </w:divBdr>
        </w:div>
        <w:div w:id="1944141805">
          <w:blockQuote w:val="1"/>
          <w:marLeft w:val="720"/>
          <w:marRight w:val="720"/>
          <w:marTop w:val="100"/>
          <w:marBottom w:val="100"/>
          <w:divBdr>
            <w:top w:val="none" w:sz="0" w:space="0" w:color="auto"/>
            <w:left w:val="none" w:sz="0" w:space="0" w:color="auto"/>
            <w:bottom w:val="none" w:sz="0" w:space="0" w:color="auto"/>
            <w:right w:val="none" w:sz="0" w:space="0" w:color="auto"/>
          </w:divBdr>
        </w:div>
        <w:div w:id="116023069">
          <w:blockQuote w:val="1"/>
          <w:marLeft w:val="720"/>
          <w:marRight w:val="720"/>
          <w:marTop w:val="100"/>
          <w:marBottom w:val="100"/>
          <w:divBdr>
            <w:top w:val="none" w:sz="0" w:space="0" w:color="auto"/>
            <w:left w:val="none" w:sz="0" w:space="0" w:color="auto"/>
            <w:bottom w:val="none" w:sz="0" w:space="0" w:color="auto"/>
            <w:right w:val="none" w:sz="0" w:space="0" w:color="auto"/>
          </w:divBdr>
        </w:div>
        <w:div w:id="2099666020">
          <w:blockQuote w:val="1"/>
          <w:marLeft w:val="720"/>
          <w:marRight w:val="720"/>
          <w:marTop w:val="100"/>
          <w:marBottom w:val="100"/>
          <w:divBdr>
            <w:top w:val="none" w:sz="0" w:space="0" w:color="auto"/>
            <w:left w:val="none" w:sz="0" w:space="0" w:color="auto"/>
            <w:bottom w:val="none" w:sz="0" w:space="0" w:color="auto"/>
            <w:right w:val="none" w:sz="0" w:space="0" w:color="auto"/>
          </w:divBdr>
        </w:div>
        <w:div w:id="350765136">
          <w:blockQuote w:val="1"/>
          <w:marLeft w:val="720"/>
          <w:marRight w:val="720"/>
          <w:marTop w:val="100"/>
          <w:marBottom w:val="100"/>
          <w:divBdr>
            <w:top w:val="none" w:sz="0" w:space="0" w:color="auto"/>
            <w:left w:val="none" w:sz="0" w:space="0" w:color="auto"/>
            <w:bottom w:val="none" w:sz="0" w:space="0" w:color="auto"/>
            <w:right w:val="none" w:sz="0" w:space="0" w:color="auto"/>
          </w:divBdr>
        </w:div>
        <w:div w:id="1328946792">
          <w:blockQuote w:val="1"/>
          <w:marLeft w:val="720"/>
          <w:marRight w:val="720"/>
          <w:marTop w:val="100"/>
          <w:marBottom w:val="100"/>
          <w:divBdr>
            <w:top w:val="none" w:sz="0" w:space="0" w:color="auto"/>
            <w:left w:val="none" w:sz="0" w:space="0" w:color="auto"/>
            <w:bottom w:val="none" w:sz="0" w:space="0" w:color="auto"/>
            <w:right w:val="none" w:sz="0" w:space="0" w:color="auto"/>
          </w:divBdr>
        </w:div>
        <w:div w:id="2114468646">
          <w:blockQuote w:val="1"/>
          <w:marLeft w:val="720"/>
          <w:marRight w:val="720"/>
          <w:marTop w:val="100"/>
          <w:marBottom w:val="100"/>
          <w:divBdr>
            <w:top w:val="none" w:sz="0" w:space="0" w:color="auto"/>
            <w:left w:val="none" w:sz="0" w:space="0" w:color="auto"/>
            <w:bottom w:val="none" w:sz="0" w:space="0" w:color="auto"/>
            <w:right w:val="none" w:sz="0" w:space="0" w:color="auto"/>
          </w:divBdr>
        </w:div>
        <w:div w:id="807170363">
          <w:blockQuote w:val="1"/>
          <w:marLeft w:val="720"/>
          <w:marRight w:val="720"/>
          <w:marTop w:val="100"/>
          <w:marBottom w:val="100"/>
          <w:divBdr>
            <w:top w:val="none" w:sz="0" w:space="0" w:color="auto"/>
            <w:left w:val="none" w:sz="0" w:space="0" w:color="auto"/>
            <w:bottom w:val="none" w:sz="0" w:space="0" w:color="auto"/>
            <w:right w:val="none" w:sz="0" w:space="0" w:color="auto"/>
          </w:divBdr>
        </w:div>
        <w:div w:id="210698674">
          <w:blockQuote w:val="1"/>
          <w:marLeft w:val="720"/>
          <w:marRight w:val="720"/>
          <w:marTop w:val="100"/>
          <w:marBottom w:val="100"/>
          <w:divBdr>
            <w:top w:val="none" w:sz="0" w:space="0" w:color="auto"/>
            <w:left w:val="none" w:sz="0" w:space="0" w:color="auto"/>
            <w:bottom w:val="none" w:sz="0" w:space="0" w:color="auto"/>
            <w:right w:val="none" w:sz="0" w:space="0" w:color="auto"/>
          </w:divBdr>
        </w:div>
        <w:div w:id="791775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5566671">
      <w:bodyDiv w:val="1"/>
      <w:marLeft w:val="0"/>
      <w:marRight w:val="0"/>
      <w:marTop w:val="0"/>
      <w:marBottom w:val="0"/>
      <w:divBdr>
        <w:top w:val="none" w:sz="0" w:space="0" w:color="auto"/>
        <w:left w:val="none" w:sz="0" w:space="0" w:color="auto"/>
        <w:bottom w:val="none" w:sz="0" w:space="0" w:color="auto"/>
        <w:right w:val="none" w:sz="0" w:space="0" w:color="auto"/>
      </w:divBdr>
    </w:div>
    <w:div w:id="712848799">
      <w:bodyDiv w:val="1"/>
      <w:marLeft w:val="0"/>
      <w:marRight w:val="0"/>
      <w:marTop w:val="0"/>
      <w:marBottom w:val="0"/>
      <w:divBdr>
        <w:top w:val="none" w:sz="0" w:space="0" w:color="auto"/>
        <w:left w:val="none" w:sz="0" w:space="0" w:color="auto"/>
        <w:bottom w:val="none" w:sz="0" w:space="0" w:color="auto"/>
        <w:right w:val="none" w:sz="0" w:space="0" w:color="auto"/>
      </w:divBdr>
    </w:div>
    <w:div w:id="842475298">
      <w:bodyDiv w:val="1"/>
      <w:marLeft w:val="0"/>
      <w:marRight w:val="0"/>
      <w:marTop w:val="0"/>
      <w:marBottom w:val="0"/>
      <w:divBdr>
        <w:top w:val="none" w:sz="0" w:space="0" w:color="auto"/>
        <w:left w:val="none" w:sz="0" w:space="0" w:color="auto"/>
        <w:bottom w:val="none" w:sz="0" w:space="0" w:color="auto"/>
        <w:right w:val="none" w:sz="0" w:space="0" w:color="auto"/>
      </w:divBdr>
    </w:div>
    <w:div w:id="884293438">
      <w:bodyDiv w:val="1"/>
      <w:marLeft w:val="0"/>
      <w:marRight w:val="0"/>
      <w:marTop w:val="0"/>
      <w:marBottom w:val="0"/>
      <w:divBdr>
        <w:top w:val="none" w:sz="0" w:space="0" w:color="auto"/>
        <w:left w:val="none" w:sz="0" w:space="0" w:color="auto"/>
        <w:bottom w:val="none" w:sz="0" w:space="0" w:color="auto"/>
        <w:right w:val="none" w:sz="0" w:space="0" w:color="auto"/>
      </w:divBdr>
    </w:div>
    <w:div w:id="1199244163">
      <w:bodyDiv w:val="1"/>
      <w:marLeft w:val="0"/>
      <w:marRight w:val="0"/>
      <w:marTop w:val="0"/>
      <w:marBottom w:val="0"/>
      <w:divBdr>
        <w:top w:val="none" w:sz="0" w:space="0" w:color="auto"/>
        <w:left w:val="none" w:sz="0" w:space="0" w:color="auto"/>
        <w:bottom w:val="none" w:sz="0" w:space="0" w:color="auto"/>
        <w:right w:val="none" w:sz="0" w:space="0" w:color="auto"/>
      </w:divBdr>
    </w:div>
    <w:div w:id="1309944855">
      <w:bodyDiv w:val="1"/>
      <w:marLeft w:val="0"/>
      <w:marRight w:val="0"/>
      <w:marTop w:val="0"/>
      <w:marBottom w:val="0"/>
      <w:divBdr>
        <w:top w:val="none" w:sz="0" w:space="0" w:color="auto"/>
        <w:left w:val="none" w:sz="0" w:space="0" w:color="auto"/>
        <w:bottom w:val="none" w:sz="0" w:space="0" w:color="auto"/>
        <w:right w:val="none" w:sz="0" w:space="0" w:color="auto"/>
      </w:divBdr>
    </w:div>
    <w:div w:id="1560826816">
      <w:bodyDiv w:val="1"/>
      <w:marLeft w:val="0"/>
      <w:marRight w:val="0"/>
      <w:marTop w:val="0"/>
      <w:marBottom w:val="0"/>
      <w:divBdr>
        <w:top w:val="none" w:sz="0" w:space="0" w:color="auto"/>
        <w:left w:val="none" w:sz="0" w:space="0" w:color="auto"/>
        <w:bottom w:val="none" w:sz="0" w:space="0" w:color="auto"/>
        <w:right w:val="none" w:sz="0" w:space="0" w:color="auto"/>
      </w:divBdr>
    </w:div>
    <w:div w:id="1764447565">
      <w:bodyDiv w:val="1"/>
      <w:marLeft w:val="0"/>
      <w:marRight w:val="0"/>
      <w:marTop w:val="0"/>
      <w:marBottom w:val="0"/>
      <w:divBdr>
        <w:top w:val="none" w:sz="0" w:space="0" w:color="auto"/>
        <w:left w:val="none" w:sz="0" w:space="0" w:color="auto"/>
        <w:bottom w:val="none" w:sz="0" w:space="0" w:color="auto"/>
        <w:right w:val="none" w:sz="0" w:space="0" w:color="auto"/>
      </w:divBdr>
    </w:div>
    <w:div w:id="1916548720">
      <w:bodyDiv w:val="1"/>
      <w:marLeft w:val="0"/>
      <w:marRight w:val="0"/>
      <w:marTop w:val="0"/>
      <w:marBottom w:val="0"/>
      <w:divBdr>
        <w:top w:val="none" w:sz="0" w:space="0" w:color="auto"/>
        <w:left w:val="none" w:sz="0" w:space="0" w:color="auto"/>
        <w:bottom w:val="none" w:sz="0" w:space="0" w:color="auto"/>
        <w:right w:val="none" w:sz="0" w:space="0" w:color="auto"/>
      </w:divBdr>
    </w:div>
    <w:div w:id="2031029494">
      <w:bodyDiv w:val="1"/>
      <w:marLeft w:val="0"/>
      <w:marRight w:val="0"/>
      <w:marTop w:val="0"/>
      <w:marBottom w:val="0"/>
      <w:divBdr>
        <w:top w:val="none" w:sz="0" w:space="0" w:color="auto"/>
        <w:left w:val="none" w:sz="0" w:space="0" w:color="auto"/>
        <w:bottom w:val="none" w:sz="0" w:space="0" w:color="auto"/>
        <w:right w:val="none" w:sz="0" w:space="0" w:color="auto"/>
      </w:divBdr>
    </w:div>
    <w:div w:id="2052799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sg.hilton.com/wp-content/uploads/sites/4/2024/07/2023-Travel-with-Purpose-Report-final.pdf" TargetMode="External"/><Relationship Id="rId18" Type="http://schemas.openxmlformats.org/officeDocument/2006/relationships/hyperlink" Target="https://serve360.marriott.com/wp-content/uploads/2023/09/CDP-Climate-2023-vHsm2.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ooking.com" TargetMode="External"/><Relationship Id="rId17" Type="http://schemas.openxmlformats.org/officeDocument/2006/relationships/hyperlink" Target="https://www.dexma.com/blog-en/the-rise-of-sustainability-in-hospitality-the-pivotal-role-of-energy-efficiency/" TargetMode="External"/><Relationship Id="rId2" Type="http://schemas.openxmlformats.org/officeDocument/2006/relationships/customXml" Target="../customXml/item2.xml"/><Relationship Id="rId16" Type="http://schemas.openxmlformats.org/officeDocument/2006/relationships/hyperlink" Target="https://assets.kpmg.com/content/dam/kpmgblogs/ch/pdf/eu-green-deal-us-inflation-reduction-act.pdf.coredownload.inline.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iea.org/energy-system/renewables/solar-pv" TargetMode="External"/><Relationship Id="rId10" Type="http://schemas.openxmlformats.org/officeDocument/2006/relationships/endnotes" Target="endnotes.xml"/><Relationship Id="rId19" Type="http://schemas.openxmlformats.org/officeDocument/2006/relationships/hyperlink" Target="https://unfccc.int/process-and-meetings/the-paris-agree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magazine.co.uk/content/news/commitment-to-sustainability-boosts-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3d1e3a7ed13fc09e036e14f25a42cf7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589da8c1abc69c1b1e2602c66d5a514" ns3:_="" ns4:_="">
    <xsd:import namespace="4055ddc6-ee7b-4b5b-b8fb-52871646f80e"/>
    <xsd:import namespace="0338428b-3fc8-4989-9d03-78e16c931d9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AutoTag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EDDEA1-2108-4E90-89C4-160CC2872E8B}">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9A3F4266-232C-468C-AC62-493AF8951532}">
  <ds:schemaRefs>
    <ds:schemaRef ds:uri="http://schemas.openxmlformats.org/officeDocument/2006/bibliography"/>
  </ds:schemaRefs>
</ds:datastoreItem>
</file>

<file path=customXml/itemProps3.xml><?xml version="1.0" encoding="utf-8"?>
<ds:datastoreItem xmlns:ds="http://schemas.openxmlformats.org/officeDocument/2006/customXml" ds:itemID="{18A37B8D-B4F3-4922-BA3D-5208497E67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8D4683-DFA6-4D62-BF40-A387B3E854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15</Pages>
  <Words>4276</Words>
  <Characters>24377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 (1813391)</cp:lastModifiedBy>
  <cp:revision>9</cp:revision>
  <dcterms:created xsi:type="dcterms:W3CDTF">2025-05-12T10:18:00Z</dcterms:created>
  <dcterms:modified xsi:type="dcterms:W3CDTF">2025-05-19T09:56:00Z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