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10B4C" w14:textId="2A627C88" w:rsidR="00412E62" w:rsidRDefault="00412E62" w:rsidP="00C37E40">
      <w:pPr>
        <w:jc w:val="center"/>
        <w:rPr>
          <w:rFonts w:cs="Arial"/>
          <w:b/>
          <w:bCs/>
          <w:sz w:val="28"/>
          <w:szCs w:val="28"/>
        </w:rPr>
      </w:pPr>
      <w:r>
        <w:rPr>
          <w:noProof/>
        </w:rPr>
        <w:drawing>
          <wp:inline distT="0" distB="0" distL="0" distR="0" wp14:anchorId="1F503CB8" wp14:editId="195BE83A">
            <wp:extent cx="2303813" cy="852362"/>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29004" cy="861682"/>
                    </a:xfrm>
                    <a:prstGeom prst="rect">
                      <a:avLst/>
                    </a:prstGeom>
                  </pic:spPr>
                </pic:pic>
              </a:graphicData>
            </a:graphic>
          </wp:inline>
        </w:drawing>
      </w:r>
    </w:p>
    <w:p w14:paraId="3A922021" w14:textId="10ADCAFD" w:rsidR="009C1032" w:rsidRDefault="00E431F0" w:rsidP="00C37E40">
      <w:pPr>
        <w:jc w:val="center"/>
        <w:rPr>
          <w:rFonts w:cs="Arial"/>
          <w:b/>
          <w:bCs/>
          <w:sz w:val="28"/>
          <w:szCs w:val="28"/>
        </w:rPr>
      </w:pPr>
      <w:r w:rsidRPr="00221BE3">
        <w:rPr>
          <w:rFonts w:cs="Arial"/>
          <w:b/>
          <w:bCs/>
          <w:sz w:val="28"/>
          <w:szCs w:val="28"/>
        </w:rPr>
        <w:t>Master of Business Administration</w:t>
      </w:r>
      <w:r w:rsidR="00973905">
        <w:rPr>
          <w:rFonts w:cs="Arial"/>
          <w:b/>
          <w:bCs/>
          <w:sz w:val="28"/>
          <w:szCs w:val="28"/>
        </w:rPr>
        <w:t xml:space="preserve"> (MBA) </w:t>
      </w:r>
    </w:p>
    <w:p w14:paraId="6C5E5F9A" w14:textId="2910BDB3" w:rsidR="00973905" w:rsidRDefault="00973905" w:rsidP="00C37E40">
      <w:pPr>
        <w:jc w:val="center"/>
        <w:rPr>
          <w:rFonts w:cs="Arial"/>
          <w:b/>
          <w:bCs/>
          <w:sz w:val="28"/>
          <w:szCs w:val="28"/>
        </w:rPr>
      </w:pPr>
      <w:r>
        <w:rPr>
          <w:rFonts w:cs="Arial"/>
          <w:b/>
          <w:bCs/>
          <w:sz w:val="28"/>
          <w:szCs w:val="28"/>
        </w:rPr>
        <w:t xml:space="preserve">International Business </w:t>
      </w:r>
    </w:p>
    <w:p w14:paraId="51714916" w14:textId="58E11BA9" w:rsidR="009C1032" w:rsidRDefault="00E431F0" w:rsidP="00C37E40">
      <w:pPr>
        <w:jc w:val="center"/>
        <w:rPr>
          <w:rFonts w:cs="Arial"/>
          <w:b/>
          <w:bCs/>
          <w:sz w:val="28"/>
          <w:szCs w:val="28"/>
        </w:rPr>
      </w:pPr>
      <w:r w:rsidRPr="00221BE3">
        <w:rPr>
          <w:rFonts w:cs="Arial"/>
          <w:b/>
          <w:bCs/>
          <w:sz w:val="28"/>
          <w:szCs w:val="28"/>
        </w:rPr>
        <w:t>LCMB7023: Human Capital Management</w:t>
      </w:r>
    </w:p>
    <w:p w14:paraId="61F4F853" w14:textId="7D9D7C1D" w:rsidR="009C1032" w:rsidRDefault="00E431F0" w:rsidP="00C37E40">
      <w:pPr>
        <w:jc w:val="center"/>
        <w:rPr>
          <w:rFonts w:cs="Arial"/>
          <w:b/>
          <w:bCs/>
          <w:sz w:val="28"/>
          <w:szCs w:val="28"/>
        </w:rPr>
      </w:pPr>
      <w:r w:rsidRPr="00221BE3">
        <w:rPr>
          <w:rFonts w:cs="Arial"/>
          <w:b/>
          <w:bCs/>
          <w:sz w:val="28"/>
          <w:szCs w:val="28"/>
        </w:rPr>
        <w:t>Assessment component 1: Individual report</w:t>
      </w:r>
    </w:p>
    <w:p w14:paraId="1DAF6C02" w14:textId="002A3991" w:rsidR="00705D6E" w:rsidRDefault="00705D6E" w:rsidP="00C37E40">
      <w:pPr>
        <w:jc w:val="center"/>
        <w:rPr>
          <w:rFonts w:cs="Arial"/>
          <w:b/>
          <w:bCs/>
          <w:sz w:val="28"/>
          <w:szCs w:val="28"/>
        </w:rPr>
      </w:pPr>
      <w:r>
        <w:rPr>
          <w:rFonts w:cs="Arial"/>
          <w:b/>
          <w:bCs/>
          <w:sz w:val="28"/>
          <w:szCs w:val="28"/>
        </w:rPr>
        <w:t xml:space="preserve">Lecturer Name: Dr Hoang Dang Nguyen </w:t>
      </w:r>
    </w:p>
    <w:p w14:paraId="79671195" w14:textId="77777777" w:rsidR="00412E62" w:rsidRDefault="00412E62" w:rsidP="00C37E40">
      <w:pPr>
        <w:jc w:val="center"/>
        <w:rPr>
          <w:rFonts w:cs="Arial"/>
          <w:b/>
          <w:bCs/>
          <w:sz w:val="28"/>
          <w:szCs w:val="28"/>
        </w:rPr>
      </w:pPr>
    </w:p>
    <w:p w14:paraId="02F75B50" w14:textId="75E8A74C" w:rsidR="009C1032" w:rsidRPr="00221BE3" w:rsidRDefault="00E431F0" w:rsidP="00C37E40">
      <w:pPr>
        <w:jc w:val="center"/>
        <w:rPr>
          <w:rFonts w:cs="Arial"/>
          <w:b/>
          <w:bCs/>
          <w:sz w:val="28"/>
          <w:szCs w:val="28"/>
        </w:rPr>
      </w:pPr>
      <w:r w:rsidRPr="00221BE3">
        <w:rPr>
          <w:rFonts w:cs="Arial"/>
          <w:b/>
          <w:bCs/>
          <w:sz w:val="28"/>
          <w:szCs w:val="28"/>
        </w:rPr>
        <w:t>Navigating the Future of Work: Strategic Human Resource Management in an Era of Technological Disruption, Demographic Shifts, and Global Talent Challenges</w:t>
      </w:r>
    </w:p>
    <w:p w14:paraId="2F98E9BB" w14:textId="77777777" w:rsidR="00973905" w:rsidRDefault="00973905" w:rsidP="00C37E40">
      <w:pPr>
        <w:jc w:val="center"/>
        <w:rPr>
          <w:rFonts w:cs="Arial"/>
          <w:b/>
          <w:bCs/>
          <w:sz w:val="28"/>
          <w:szCs w:val="28"/>
        </w:rPr>
      </w:pPr>
    </w:p>
    <w:p w14:paraId="72741BC4" w14:textId="534AFE5C" w:rsidR="009C1032" w:rsidRPr="00221BE3" w:rsidRDefault="00E431F0" w:rsidP="00C37E40">
      <w:pPr>
        <w:jc w:val="center"/>
        <w:rPr>
          <w:rFonts w:cs="Arial"/>
          <w:b/>
          <w:bCs/>
          <w:sz w:val="28"/>
          <w:szCs w:val="28"/>
        </w:rPr>
      </w:pPr>
      <w:r w:rsidRPr="00221BE3">
        <w:rPr>
          <w:rFonts w:cs="Arial"/>
          <w:b/>
          <w:bCs/>
          <w:sz w:val="28"/>
          <w:szCs w:val="28"/>
        </w:rPr>
        <w:t>Student Name:</w:t>
      </w:r>
      <w:r w:rsidR="000441F2">
        <w:rPr>
          <w:rFonts w:cs="Arial"/>
          <w:b/>
          <w:bCs/>
          <w:sz w:val="28"/>
          <w:szCs w:val="28"/>
        </w:rPr>
        <w:t xml:space="preserve"> </w:t>
      </w:r>
      <w:r w:rsidR="000552A0">
        <w:rPr>
          <w:rFonts w:cs="Arial"/>
          <w:b/>
          <w:bCs/>
          <w:sz w:val="28"/>
          <w:szCs w:val="28"/>
        </w:rPr>
        <w:t xml:space="preserve">Md. Habibur Rahman </w:t>
      </w:r>
    </w:p>
    <w:p w14:paraId="6B5A1454" w14:textId="35CEEA3F" w:rsidR="009C1032" w:rsidRDefault="00E431F0" w:rsidP="00C37E40">
      <w:pPr>
        <w:jc w:val="center"/>
        <w:rPr>
          <w:rFonts w:cs="Arial"/>
          <w:b/>
          <w:bCs/>
          <w:sz w:val="28"/>
          <w:szCs w:val="28"/>
        </w:rPr>
      </w:pPr>
      <w:r w:rsidRPr="00221BE3">
        <w:rPr>
          <w:rFonts w:cs="Arial"/>
          <w:b/>
          <w:bCs/>
          <w:sz w:val="28"/>
          <w:szCs w:val="28"/>
        </w:rPr>
        <w:t>Student I</w:t>
      </w:r>
      <w:r w:rsidR="00E25B86" w:rsidRPr="00221BE3">
        <w:rPr>
          <w:rFonts w:cs="Arial"/>
          <w:b/>
          <w:bCs/>
          <w:sz w:val="28"/>
          <w:szCs w:val="28"/>
        </w:rPr>
        <w:t>D:</w:t>
      </w:r>
      <w:r w:rsidR="000552A0">
        <w:rPr>
          <w:rFonts w:cs="Arial"/>
          <w:b/>
          <w:bCs/>
          <w:sz w:val="28"/>
          <w:szCs w:val="28"/>
        </w:rPr>
        <w:t xml:space="preserve"> 2432474 </w:t>
      </w:r>
    </w:p>
    <w:p w14:paraId="07EEE50B" w14:textId="65F7B2F5" w:rsidR="00412E62" w:rsidRPr="00221BE3" w:rsidRDefault="00412E62" w:rsidP="00C37E40">
      <w:pPr>
        <w:jc w:val="center"/>
        <w:rPr>
          <w:rFonts w:cs="Arial"/>
          <w:b/>
          <w:bCs/>
          <w:sz w:val="28"/>
          <w:szCs w:val="28"/>
        </w:rPr>
      </w:pPr>
      <w:r>
        <w:rPr>
          <w:rFonts w:cs="Arial"/>
          <w:b/>
          <w:bCs/>
          <w:sz w:val="28"/>
          <w:szCs w:val="28"/>
        </w:rPr>
        <w:t xml:space="preserve">Word Count: </w:t>
      </w:r>
      <w:r w:rsidR="00D02B3B">
        <w:rPr>
          <w:rFonts w:cs="Arial"/>
          <w:b/>
          <w:bCs/>
          <w:sz w:val="28"/>
          <w:szCs w:val="28"/>
        </w:rPr>
        <w:t>2695</w:t>
      </w:r>
    </w:p>
    <w:p w14:paraId="79CACA88" w14:textId="77777777" w:rsidR="00E25B86" w:rsidRPr="00221BE3" w:rsidRDefault="00E25B86" w:rsidP="006156FD">
      <w:pPr>
        <w:rPr>
          <w:rFonts w:cs="Arial"/>
          <w:b/>
          <w:bCs/>
          <w:sz w:val="28"/>
          <w:szCs w:val="28"/>
        </w:rPr>
      </w:pPr>
    </w:p>
    <w:p w14:paraId="73C8B286" w14:textId="184B7497" w:rsidR="0007399B" w:rsidRPr="00221BE3" w:rsidRDefault="00E431F0" w:rsidP="00C37E40">
      <w:pPr>
        <w:jc w:val="center"/>
        <w:rPr>
          <w:rFonts w:cs="Arial"/>
        </w:rPr>
      </w:pPr>
      <w:r w:rsidRPr="00221BE3">
        <w:rPr>
          <w:rFonts w:cs="Arial"/>
        </w:rPr>
        <w:lastRenderedPageBreak/>
        <w:br w:type="page"/>
      </w:r>
    </w:p>
    <w:sdt>
      <w:sdtPr>
        <w:rPr>
          <w:rFonts w:ascii="Arial" w:eastAsiaTheme="minorHAnsi" w:hAnsi="Arial" w:cstheme="minorBidi"/>
          <w:color w:val="auto"/>
          <w:sz w:val="24"/>
          <w:szCs w:val="30"/>
          <w:lang w:val="en-GB" w:bidi="bn-BD"/>
          <w14:ligatures w14:val="standardContextual"/>
        </w:rPr>
        <w:id w:val="-477234296"/>
        <w:docPartObj>
          <w:docPartGallery w:val="Table of Contents"/>
          <w:docPartUnique/>
        </w:docPartObj>
      </w:sdtPr>
      <w:sdtEndPr>
        <w:rPr>
          <w:b/>
          <w:bCs/>
          <w:noProof/>
          <w:sz w:val="22"/>
        </w:rPr>
      </w:sdtEndPr>
      <w:sdtContent>
        <w:p w14:paraId="7575A6E7" w14:textId="77777777" w:rsidR="000738BB" w:rsidRPr="00221BE3" w:rsidRDefault="00E431F0" w:rsidP="00C17609">
          <w:pPr>
            <w:pStyle w:val="TOCHeading"/>
            <w:spacing w:line="240" w:lineRule="auto"/>
            <w:jc w:val="both"/>
            <w:rPr>
              <w:rFonts w:ascii="Arial" w:hAnsi="Arial"/>
              <w:b/>
              <w:bCs/>
              <w:color w:val="auto"/>
            </w:rPr>
          </w:pPr>
          <w:r w:rsidRPr="00221BE3">
            <w:rPr>
              <w:rFonts w:ascii="Arial" w:hAnsi="Arial"/>
              <w:b/>
              <w:bCs/>
              <w:color w:val="auto"/>
            </w:rPr>
            <w:t>Table of Contents</w:t>
          </w:r>
        </w:p>
        <w:p w14:paraId="3390F904" w14:textId="3195ACBC" w:rsidR="00C17609" w:rsidRDefault="00E431F0" w:rsidP="00C17609">
          <w:pPr>
            <w:pStyle w:val="TOC1"/>
            <w:spacing w:line="240" w:lineRule="auto"/>
            <w:rPr>
              <w:rFonts w:asciiTheme="minorHAnsi" w:eastAsiaTheme="minorEastAsia" w:hAnsiTheme="minorHAnsi"/>
              <w:noProof/>
              <w:szCs w:val="22"/>
              <w:lang w:eastAsia="en-GB" w:bidi="ar-SA"/>
              <w14:ligatures w14:val="none"/>
            </w:rPr>
          </w:pPr>
          <w:r w:rsidRPr="00221BE3">
            <w:rPr>
              <w:rFonts w:cs="Arial"/>
            </w:rPr>
            <w:fldChar w:fldCharType="begin"/>
          </w:r>
          <w:r w:rsidRPr="00221BE3">
            <w:rPr>
              <w:rFonts w:cs="Arial"/>
            </w:rPr>
            <w:instrText xml:space="preserve"> TOC \o "1-3" \h \z \u </w:instrText>
          </w:r>
          <w:r w:rsidRPr="00221BE3">
            <w:rPr>
              <w:rFonts w:cs="Arial"/>
            </w:rPr>
            <w:fldChar w:fldCharType="separate"/>
          </w:r>
          <w:hyperlink w:anchor="_Toc212954270" w:history="1">
            <w:r w:rsidR="00C17609" w:rsidRPr="0052504E">
              <w:rPr>
                <w:rStyle w:val="Hyperlink"/>
                <w:noProof/>
              </w:rPr>
              <w:t>1. Introduction</w:t>
            </w:r>
            <w:r w:rsidR="00C17609">
              <w:rPr>
                <w:noProof/>
                <w:webHidden/>
              </w:rPr>
              <w:tab/>
            </w:r>
            <w:r w:rsidR="00C17609">
              <w:rPr>
                <w:noProof/>
                <w:webHidden/>
              </w:rPr>
              <w:fldChar w:fldCharType="begin"/>
            </w:r>
            <w:r w:rsidR="00C17609">
              <w:rPr>
                <w:noProof/>
                <w:webHidden/>
              </w:rPr>
              <w:instrText xml:space="preserve"> PAGEREF _Toc212954270 \h </w:instrText>
            </w:r>
            <w:r w:rsidR="00C17609">
              <w:rPr>
                <w:noProof/>
                <w:webHidden/>
              </w:rPr>
            </w:r>
            <w:r w:rsidR="00C17609">
              <w:rPr>
                <w:noProof/>
                <w:webHidden/>
              </w:rPr>
              <w:fldChar w:fldCharType="separate"/>
            </w:r>
            <w:r w:rsidR="00C17609">
              <w:rPr>
                <w:noProof/>
                <w:webHidden/>
              </w:rPr>
              <w:t>5</w:t>
            </w:r>
            <w:r w:rsidR="00C17609">
              <w:rPr>
                <w:noProof/>
                <w:webHidden/>
              </w:rPr>
              <w:fldChar w:fldCharType="end"/>
            </w:r>
          </w:hyperlink>
        </w:p>
        <w:p w14:paraId="5BADE7C4" w14:textId="3409F2CB"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71" w:history="1">
            <w:r w:rsidRPr="0052504E">
              <w:rPr>
                <w:rStyle w:val="Hyperlink"/>
                <w:noProof/>
              </w:rPr>
              <w:t>2. Discussion/Analysis/Examination</w:t>
            </w:r>
            <w:r>
              <w:rPr>
                <w:noProof/>
                <w:webHidden/>
              </w:rPr>
              <w:tab/>
            </w:r>
            <w:r>
              <w:rPr>
                <w:noProof/>
                <w:webHidden/>
              </w:rPr>
              <w:fldChar w:fldCharType="begin"/>
            </w:r>
            <w:r>
              <w:rPr>
                <w:noProof/>
                <w:webHidden/>
              </w:rPr>
              <w:instrText xml:space="preserve"> PAGEREF _Toc212954271 \h </w:instrText>
            </w:r>
            <w:r>
              <w:rPr>
                <w:noProof/>
                <w:webHidden/>
              </w:rPr>
            </w:r>
            <w:r>
              <w:rPr>
                <w:noProof/>
                <w:webHidden/>
              </w:rPr>
              <w:fldChar w:fldCharType="separate"/>
            </w:r>
            <w:r>
              <w:rPr>
                <w:noProof/>
                <w:webHidden/>
              </w:rPr>
              <w:t>6</w:t>
            </w:r>
            <w:r>
              <w:rPr>
                <w:noProof/>
                <w:webHidden/>
              </w:rPr>
              <w:fldChar w:fldCharType="end"/>
            </w:r>
          </w:hyperlink>
        </w:p>
        <w:p w14:paraId="39A137D3" w14:textId="19C2ECBF"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2" w:history="1">
            <w:r w:rsidRPr="0052504E">
              <w:rPr>
                <w:rStyle w:val="Hyperlink"/>
                <w:rFonts w:cs="Arial"/>
                <w:noProof/>
              </w:rPr>
              <w:t>2.1 Question 1: Technological Advancements Reshaping Labour Markets</w:t>
            </w:r>
            <w:r>
              <w:rPr>
                <w:noProof/>
                <w:webHidden/>
              </w:rPr>
              <w:tab/>
            </w:r>
            <w:r>
              <w:rPr>
                <w:noProof/>
                <w:webHidden/>
              </w:rPr>
              <w:fldChar w:fldCharType="begin"/>
            </w:r>
            <w:r>
              <w:rPr>
                <w:noProof/>
                <w:webHidden/>
              </w:rPr>
              <w:instrText xml:space="preserve"> PAGEREF _Toc212954272 \h </w:instrText>
            </w:r>
            <w:r>
              <w:rPr>
                <w:noProof/>
                <w:webHidden/>
              </w:rPr>
            </w:r>
            <w:r>
              <w:rPr>
                <w:noProof/>
                <w:webHidden/>
              </w:rPr>
              <w:fldChar w:fldCharType="separate"/>
            </w:r>
            <w:r>
              <w:rPr>
                <w:noProof/>
                <w:webHidden/>
              </w:rPr>
              <w:t>6</w:t>
            </w:r>
            <w:r>
              <w:rPr>
                <w:noProof/>
                <w:webHidden/>
              </w:rPr>
              <w:fldChar w:fldCharType="end"/>
            </w:r>
          </w:hyperlink>
        </w:p>
        <w:p w14:paraId="78E76986" w14:textId="0604A1EA"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3"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_Toc212954273 \h </w:instrText>
            </w:r>
            <w:r>
              <w:rPr>
                <w:noProof/>
                <w:webHidden/>
              </w:rPr>
            </w:r>
            <w:r>
              <w:rPr>
                <w:noProof/>
                <w:webHidden/>
              </w:rPr>
              <w:fldChar w:fldCharType="separate"/>
            </w:r>
            <w:r>
              <w:rPr>
                <w:noProof/>
                <w:webHidden/>
              </w:rPr>
              <w:t>6</w:t>
            </w:r>
            <w:r>
              <w:rPr>
                <w:noProof/>
                <w:webHidden/>
              </w:rPr>
              <w:fldChar w:fldCharType="end"/>
            </w:r>
          </w:hyperlink>
        </w:p>
        <w:p w14:paraId="60C82BA5" w14:textId="52A93491"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4" w:history="1">
            <w:r w:rsidRPr="0052504E">
              <w:rPr>
                <w:rStyle w:val="Hyperlink"/>
                <w:rFonts w:cs="Arial"/>
                <w:noProof/>
              </w:rPr>
              <w:t>Definitions: Technology and Labour Markets</w:t>
            </w:r>
            <w:r>
              <w:rPr>
                <w:noProof/>
                <w:webHidden/>
              </w:rPr>
              <w:tab/>
            </w:r>
            <w:r>
              <w:rPr>
                <w:noProof/>
                <w:webHidden/>
              </w:rPr>
              <w:fldChar w:fldCharType="begin"/>
            </w:r>
            <w:r>
              <w:rPr>
                <w:noProof/>
                <w:webHidden/>
              </w:rPr>
              <w:instrText xml:space="preserve"> PAGEREF _Toc212954274 \h </w:instrText>
            </w:r>
            <w:r>
              <w:rPr>
                <w:noProof/>
                <w:webHidden/>
              </w:rPr>
            </w:r>
            <w:r>
              <w:rPr>
                <w:noProof/>
                <w:webHidden/>
              </w:rPr>
              <w:fldChar w:fldCharType="separate"/>
            </w:r>
            <w:r>
              <w:rPr>
                <w:noProof/>
                <w:webHidden/>
              </w:rPr>
              <w:t>6</w:t>
            </w:r>
            <w:r>
              <w:rPr>
                <w:noProof/>
                <w:webHidden/>
              </w:rPr>
              <w:fldChar w:fldCharType="end"/>
            </w:r>
          </w:hyperlink>
        </w:p>
        <w:p w14:paraId="7A3F3D6B" w14:textId="18885493"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5" w:history="1">
            <w:r w:rsidRPr="0052504E">
              <w:rPr>
                <w:rStyle w:val="Hyperlink"/>
                <w:rFonts w:cs="Arial"/>
                <w:noProof/>
              </w:rPr>
              <w:t>How Technology is Reshaping Labour Markets</w:t>
            </w:r>
            <w:r>
              <w:rPr>
                <w:noProof/>
                <w:webHidden/>
              </w:rPr>
              <w:tab/>
            </w:r>
            <w:r>
              <w:rPr>
                <w:noProof/>
                <w:webHidden/>
              </w:rPr>
              <w:fldChar w:fldCharType="begin"/>
            </w:r>
            <w:r>
              <w:rPr>
                <w:noProof/>
                <w:webHidden/>
              </w:rPr>
              <w:instrText xml:space="preserve"> PAGEREF _Toc212954275 \h </w:instrText>
            </w:r>
            <w:r>
              <w:rPr>
                <w:noProof/>
                <w:webHidden/>
              </w:rPr>
            </w:r>
            <w:r>
              <w:rPr>
                <w:noProof/>
                <w:webHidden/>
              </w:rPr>
              <w:fldChar w:fldCharType="separate"/>
            </w:r>
            <w:r>
              <w:rPr>
                <w:noProof/>
                <w:webHidden/>
              </w:rPr>
              <w:t>7</w:t>
            </w:r>
            <w:r>
              <w:rPr>
                <w:noProof/>
                <w:webHidden/>
              </w:rPr>
              <w:fldChar w:fldCharType="end"/>
            </w:r>
          </w:hyperlink>
        </w:p>
        <w:p w14:paraId="672421F6" w14:textId="611338D6"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6" w:history="1">
            <w:r w:rsidRPr="0052504E">
              <w:rPr>
                <w:rStyle w:val="Hyperlink"/>
                <w:rFonts w:cs="Arial"/>
                <w:noProof/>
              </w:rPr>
              <w:t>Strategic Implications for HRM and IHRM</w:t>
            </w:r>
            <w:r>
              <w:rPr>
                <w:noProof/>
                <w:webHidden/>
              </w:rPr>
              <w:tab/>
            </w:r>
            <w:r>
              <w:rPr>
                <w:noProof/>
                <w:webHidden/>
              </w:rPr>
              <w:fldChar w:fldCharType="begin"/>
            </w:r>
            <w:r>
              <w:rPr>
                <w:noProof/>
                <w:webHidden/>
              </w:rPr>
              <w:instrText xml:space="preserve"> PAGEREF _Toc212954276 \h </w:instrText>
            </w:r>
            <w:r>
              <w:rPr>
                <w:noProof/>
                <w:webHidden/>
              </w:rPr>
            </w:r>
            <w:r>
              <w:rPr>
                <w:noProof/>
                <w:webHidden/>
              </w:rPr>
              <w:fldChar w:fldCharType="separate"/>
            </w:r>
            <w:r>
              <w:rPr>
                <w:noProof/>
                <w:webHidden/>
              </w:rPr>
              <w:t>7</w:t>
            </w:r>
            <w:r>
              <w:rPr>
                <w:noProof/>
                <w:webHidden/>
              </w:rPr>
              <w:fldChar w:fldCharType="end"/>
            </w:r>
          </w:hyperlink>
        </w:p>
        <w:p w14:paraId="7037D060" w14:textId="24B60526"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7"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_Toc212954277 \h </w:instrText>
            </w:r>
            <w:r>
              <w:rPr>
                <w:noProof/>
                <w:webHidden/>
              </w:rPr>
            </w:r>
            <w:r>
              <w:rPr>
                <w:noProof/>
                <w:webHidden/>
              </w:rPr>
              <w:fldChar w:fldCharType="separate"/>
            </w:r>
            <w:r>
              <w:rPr>
                <w:noProof/>
                <w:webHidden/>
              </w:rPr>
              <w:t>8</w:t>
            </w:r>
            <w:r>
              <w:rPr>
                <w:noProof/>
                <w:webHidden/>
              </w:rPr>
              <w:fldChar w:fldCharType="end"/>
            </w:r>
          </w:hyperlink>
        </w:p>
        <w:p w14:paraId="2841F64D" w14:textId="17FDDD79"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8" w:history="1">
            <w:r w:rsidRPr="0052504E">
              <w:rPr>
                <w:rStyle w:val="Hyperlink"/>
                <w:rFonts w:cs="Arial"/>
                <w:noProof/>
              </w:rPr>
              <w:t>2.2 Question 2: Demographic and Geopolitical Factors</w:t>
            </w:r>
            <w:r>
              <w:rPr>
                <w:noProof/>
                <w:webHidden/>
              </w:rPr>
              <w:tab/>
            </w:r>
            <w:r>
              <w:rPr>
                <w:noProof/>
                <w:webHidden/>
              </w:rPr>
              <w:fldChar w:fldCharType="begin"/>
            </w:r>
            <w:r>
              <w:rPr>
                <w:noProof/>
                <w:webHidden/>
              </w:rPr>
              <w:instrText xml:space="preserve"> PAGEREF _Toc212954278 \h </w:instrText>
            </w:r>
            <w:r>
              <w:rPr>
                <w:noProof/>
                <w:webHidden/>
              </w:rPr>
            </w:r>
            <w:r>
              <w:rPr>
                <w:noProof/>
                <w:webHidden/>
              </w:rPr>
              <w:fldChar w:fldCharType="separate"/>
            </w:r>
            <w:r>
              <w:rPr>
                <w:noProof/>
                <w:webHidden/>
              </w:rPr>
              <w:t>9</w:t>
            </w:r>
            <w:r>
              <w:rPr>
                <w:noProof/>
                <w:webHidden/>
              </w:rPr>
              <w:fldChar w:fldCharType="end"/>
            </w:r>
          </w:hyperlink>
        </w:p>
        <w:p w14:paraId="0592B288" w14:textId="3856143D"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79"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_Toc212954279 \h </w:instrText>
            </w:r>
            <w:r>
              <w:rPr>
                <w:noProof/>
                <w:webHidden/>
              </w:rPr>
            </w:r>
            <w:r>
              <w:rPr>
                <w:noProof/>
                <w:webHidden/>
              </w:rPr>
              <w:fldChar w:fldCharType="separate"/>
            </w:r>
            <w:r>
              <w:rPr>
                <w:noProof/>
                <w:webHidden/>
              </w:rPr>
              <w:t>9</w:t>
            </w:r>
            <w:r>
              <w:rPr>
                <w:noProof/>
                <w:webHidden/>
              </w:rPr>
              <w:fldChar w:fldCharType="end"/>
            </w:r>
          </w:hyperlink>
        </w:p>
        <w:p w14:paraId="67D7B49D" w14:textId="043EC606" w:rsidR="00C17609" w:rsidRDefault="00C17609" w:rsidP="00C17609">
          <w:pPr>
            <w:pStyle w:val="TOC2"/>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0" w:history="1">
            <w:r w:rsidRPr="0052504E">
              <w:rPr>
                <w:rStyle w:val="Hyperlink"/>
                <w:rFonts w:cs="Arial"/>
                <w:noProof/>
              </w:rPr>
              <w:t>Major Demographic Shifts</w:t>
            </w:r>
            <w:r>
              <w:rPr>
                <w:noProof/>
                <w:webHidden/>
              </w:rPr>
              <w:tab/>
            </w:r>
            <w:r>
              <w:rPr>
                <w:noProof/>
                <w:webHidden/>
              </w:rPr>
              <w:fldChar w:fldCharType="begin"/>
            </w:r>
            <w:r>
              <w:rPr>
                <w:noProof/>
                <w:webHidden/>
              </w:rPr>
              <w:instrText xml:space="preserve"> PAGEREF _Toc212954280 \h </w:instrText>
            </w:r>
            <w:r>
              <w:rPr>
                <w:noProof/>
                <w:webHidden/>
              </w:rPr>
            </w:r>
            <w:r>
              <w:rPr>
                <w:noProof/>
                <w:webHidden/>
              </w:rPr>
              <w:fldChar w:fldCharType="separate"/>
            </w:r>
            <w:r>
              <w:rPr>
                <w:noProof/>
                <w:webHidden/>
              </w:rPr>
              <w:t>9</w:t>
            </w:r>
            <w:r>
              <w:rPr>
                <w:noProof/>
                <w:webHidden/>
              </w:rPr>
              <w:fldChar w:fldCharType="end"/>
            </w:r>
          </w:hyperlink>
        </w:p>
        <w:p w14:paraId="5938E77D" w14:textId="4C48B402"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1" w:history="1">
            <w:r w:rsidRPr="0052504E">
              <w:rPr>
                <w:rStyle w:val="Hyperlink"/>
                <w:rFonts w:cs="Arial"/>
                <w:noProof/>
              </w:rPr>
              <w:t>Geopolitical Factors</w:t>
            </w:r>
            <w:r>
              <w:rPr>
                <w:noProof/>
                <w:webHidden/>
              </w:rPr>
              <w:tab/>
            </w:r>
            <w:r>
              <w:rPr>
                <w:noProof/>
                <w:webHidden/>
              </w:rPr>
              <w:fldChar w:fldCharType="begin"/>
            </w:r>
            <w:r>
              <w:rPr>
                <w:noProof/>
                <w:webHidden/>
              </w:rPr>
              <w:instrText xml:space="preserve"> PAGEREF _Toc212954281 \h </w:instrText>
            </w:r>
            <w:r>
              <w:rPr>
                <w:noProof/>
                <w:webHidden/>
              </w:rPr>
            </w:r>
            <w:r>
              <w:rPr>
                <w:noProof/>
                <w:webHidden/>
              </w:rPr>
              <w:fldChar w:fldCharType="separate"/>
            </w:r>
            <w:r>
              <w:rPr>
                <w:noProof/>
                <w:webHidden/>
              </w:rPr>
              <w:t>9</w:t>
            </w:r>
            <w:r>
              <w:rPr>
                <w:noProof/>
                <w:webHidden/>
              </w:rPr>
              <w:fldChar w:fldCharType="end"/>
            </w:r>
          </w:hyperlink>
        </w:p>
        <w:p w14:paraId="77159B4C" w14:textId="4FCDC2A8"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2" w:history="1">
            <w:r w:rsidRPr="0052504E">
              <w:rPr>
                <w:rStyle w:val="Hyperlink"/>
                <w:rFonts w:cs="Arial"/>
                <w:noProof/>
              </w:rPr>
              <w:t>Challenges for HR Professionals</w:t>
            </w:r>
            <w:r>
              <w:rPr>
                <w:noProof/>
                <w:webHidden/>
              </w:rPr>
              <w:tab/>
            </w:r>
            <w:r>
              <w:rPr>
                <w:noProof/>
                <w:webHidden/>
              </w:rPr>
              <w:fldChar w:fldCharType="begin"/>
            </w:r>
            <w:r>
              <w:rPr>
                <w:noProof/>
                <w:webHidden/>
              </w:rPr>
              <w:instrText xml:space="preserve"> PAGEREF _Toc212954282 \h </w:instrText>
            </w:r>
            <w:r>
              <w:rPr>
                <w:noProof/>
                <w:webHidden/>
              </w:rPr>
            </w:r>
            <w:r>
              <w:rPr>
                <w:noProof/>
                <w:webHidden/>
              </w:rPr>
              <w:fldChar w:fldCharType="separate"/>
            </w:r>
            <w:r>
              <w:rPr>
                <w:noProof/>
                <w:webHidden/>
              </w:rPr>
              <w:t>11</w:t>
            </w:r>
            <w:r>
              <w:rPr>
                <w:noProof/>
                <w:webHidden/>
              </w:rPr>
              <w:fldChar w:fldCharType="end"/>
            </w:r>
          </w:hyperlink>
        </w:p>
        <w:p w14:paraId="12F39A3D" w14:textId="5503E90F"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3"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_Toc212954283 \h </w:instrText>
            </w:r>
            <w:r>
              <w:rPr>
                <w:noProof/>
                <w:webHidden/>
              </w:rPr>
            </w:r>
            <w:r>
              <w:rPr>
                <w:noProof/>
                <w:webHidden/>
              </w:rPr>
              <w:fldChar w:fldCharType="separate"/>
            </w:r>
            <w:r>
              <w:rPr>
                <w:noProof/>
                <w:webHidden/>
              </w:rPr>
              <w:t>11</w:t>
            </w:r>
            <w:r>
              <w:rPr>
                <w:noProof/>
                <w:webHidden/>
              </w:rPr>
              <w:fldChar w:fldCharType="end"/>
            </w:r>
          </w:hyperlink>
        </w:p>
        <w:p w14:paraId="2670D1BB" w14:textId="03F115E0"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84" w:history="1">
            <w:r w:rsidRPr="0052504E">
              <w:rPr>
                <w:rStyle w:val="Hyperlink"/>
                <w:noProof/>
              </w:rPr>
              <w:t>2.3 Question 3: Addressing Skills Gaps and Talent Shortages</w:t>
            </w:r>
            <w:r>
              <w:rPr>
                <w:noProof/>
                <w:webHidden/>
              </w:rPr>
              <w:tab/>
            </w:r>
            <w:r>
              <w:rPr>
                <w:noProof/>
                <w:webHidden/>
              </w:rPr>
              <w:fldChar w:fldCharType="begin"/>
            </w:r>
            <w:r>
              <w:rPr>
                <w:noProof/>
                <w:webHidden/>
              </w:rPr>
              <w:instrText xml:space="preserve"> PAGEREF _Toc212954284 \h </w:instrText>
            </w:r>
            <w:r>
              <w:rPr>
                <w:noProof/>
                <w:webHidden/>
              </w:rPr>
            </w:r>
            <w:r>
              <w:rPr>
                <w:noProof/>
                <w:webHidden/>
              </w:rPr>
              <w:fldChar w:fldCharType="separate"/>
            </w:r>
            <w:r>
              <w:rPr>
                <w:noProof/>
                <w:webHidden/>
              </w:rPr>
              <w:t>12</w:t>
            </w:r>
            <w:r>
              <w:rPr>
                <w:noProof/>
                <w:webHidden/>
              </w:rPr>
              <w:fldChar w:fldCharType="end"/>
            </w:r>
          </w:hyperlink>
        </w:p>
        <w:p w14:paraId="512AB5EB" w14:textId="6A4D21D3"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5"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_Toc212954285 \h </w:instrText>
            </w:r>
            <w:r>
              <w:rPr>
                <w:noProof/>
                <w:webHidden/>
              </w:rPr>
            </w:r>
            <w:r>
              <w:rPr>
                <w:noProof/>
                <w:webHidden/>
              </w:rPr>
              <w:fldChar w:fldCharType="separate"/>
            </w:r>
            <w:r>
              <w:rPr>
                <w:noProof/>
                <w:webHidden/>
              </w:rPr>
              <w:t>12</w:t>
            </w:r>
            <w:r>
              <w:rPr>
                <w:noProof/>
                <w:webHidden/>
              </w:rPr>
              <w:fldChar w:fldCharType="end"/>
            </w:r>
          </w:hyperlink>
        </w:p>
        <w:p w14:paraId="6E91E10B" w14:textId="0D1A19AF"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6" w:history="1">
            <w:r w:rsidRPr="0052504E">
              <w:rPr>
                <w:rStyle w:val="Hyperlink"/>
                <w:rFonts w:cs="Arial"/>
                <w:noProof/>
              </w:rPr>
              <w:t>Context of Skills Gaps</w:t>
            </w:r>
            <w:r>
              <w:rPr>
                <w:noProof/>
                <w:webHidden/>
              </w:rPr>
              <w:tab/>
            </w:r>
            <w:r>
              <w:rPr>
                <w:noProof/>
                <w:webHidden/>
              </w:rPr>
              <w:fldChar w:fldCharType="begin"/>
            </w:r>
            <w:r>
              <w:rPr>
                <w:noProof/>
                <w:webHidden/>
              </w:rPr>
              <w:instrText xml:space="preserve"> PAGEREF _Toc212954286 \h </w:instrText>
            </w:r>
            <w:r>
              <w:rPr>
                <w:noProof/>
                <w:webHidden/>
              </w:rPr>
            </w:r>
            <w:r>
              <w:rPr>
                <w:noProof/>
                <w:webHidden/>
              </w:rPr>
              <w:fldChar w:fldCharType="separate"/>
            </w:r>
            <w:r>
              <w:rPr>
                <w:noProof/>
                <w:webHidden/>
              </w:rPr>
              <w:t>12</w:t>
            </w:r>
            <w:r>
              <w:rPr>
                <w:noProof/>
                <w:webHidden/>
              </w:rPr>
              <w:fldChar w:fldCharType="end"/>
            </w:r>
          </w:hyperlink>
        </w:p>
        <w:p w14:paraId="6D7359AE" w14:textId="3547ED56"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7" w:history="1">
            <w:r w:rsidRPr="0052504E">
              <w:rPr>
                <w:rStyle w:val="Hyperlink"/>
                <w:rFonts w:cs="Arial"/>
                <w:noProof/>
              </w:rPr>
              <w:t>Sector-Specific Analysis</w:t>
            </w:r>
            <w:r>
              <w:rPr>
                <w:noProof/>
                <w:webHidden/>
              </w:rPr>
              <w:tab/>
            </w:r>
            <w:r>
              <w:rPr>
                <w:noProof/>
                <w:webHidden/>
              </w:rPr>
              <w:fldChar w:fldCharType="begin"/>
            </w:r>
            <w:r>
              <w:rPr>
                <w:noProof/>
                <w:webHidden/>
              </w:rPr>
              <w:instrText xml:space="preserve"> PAGEREF _Toc212954287 \h </w:instrText>
            </w:r>
            <w:r>
              <w:rPr>
                <w:noProof/>
                <w:webHidden/>
              </w:rPr>
            </w:r>
            <w:r>
              <w:rPr>
                <w:noProof/>
                <w:webHidden/>
              </w:rPr>
              <w:fldChar w:fldCharType="separate"/>
            </w:r>
            <w:r>
              <w:rPr>
                <w:noProof/>
                <w:webHidden/>
              </w:rPr>
              <w:t>13</w:t>
            </w:r>
            <w:r>
              <w:rPr>
                <w:noProof/>
                <w:webHidden/>
              </w:rPr>
              <w:fldChar w:fldCharType="end"/>
            </w:r>
          </w:hyperlink>
        </w:p>
        <w:p w14:paraId="7D445D9F" w14:textId="3821F1B2"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8" w:history="1">
            <w:r w:rsidRPr="0052504E">
              <w:rPr>
                <w:rStyle w:val="Hyperlink"/>
                <w:rFonts w:cs="Arial"/>
                <w:noProof/>
              </w:rPr>
              <w:t>Strategic HRM Solutions</w:t>
            </w:r>
            <w:r>
              <w:rPr>
                <w:noProof/>
                <w:webHidden/>
              </w:rPr>
              <w:tab/>
            </w:r>
            <w:r>
              <w:rPr>
                <w:noProof/>
                <w:webHidden/>
              </w:rPr>
              <w:fldChar w:fldCharType="begin"/>
            </w:r>
            <w:r>
              <w:rPr>
                <w:noProof/>
                <w:webHidden/>
              </w:rPr>
              <w:instrText xml:space="preserve"> PAGEREF _Toc212954288 \h </w:instrText>
            </w:r>
            <w:r>
              <w:rPr>
                <w:noProof/>
                <w:webHidden/>
              </w:rPr>
            </w:r>
            <w:r>
              <w:rPr>
                <w:noProof/>
                <w:webHidden/>
              </w:rPr>
              <w:fldChar w:fldCharType="separate"/>
            </w:r>
            <w:r>
              <w:rPr>
                <w:noProof/>
                <w:webHidden/>
              </w:rPr>
              <w:t>14</w:t>
            </w:r>
            <w:r>
              <w:rPr>
                <w:noProof/>
                <w:webHidden/>
              </w:rPr>
              <w:fldChar w:fldCharType="end"/>
            </w:r>
          </w:hyperlink>
        </w:p>
        <w:p w14:paraId="42C88EE1" w14:textId="52178FB1"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89"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_Toc212954289 \h </w:instrText>
            </w:r>
            <w:r>
              <w:rPr>
                <w:noProof/>
                <w:webHidden/>
              </w:rPr>
            </w:r>
            <w:r>
              <w:rPr>
                <w:noProof/>
                <w:webHidden/>
              </w:rPr>
              <w:fldChar w:fldCharType="separate"/>
            </w:r>
            <w:r>
              <w:rPr>
                <w:noProof/>
                <w:webHidden/>
              </w:rPr>
              <w:t>14</w:t>
            </w:r>
            <w:r>
              <w:rPr>
                <w:noProof/>
                <w:webHidden/>
              </w:rPr>
              <w:fldChar w:fldCharType="end"/>
            </w:r>
          </w:hyperlink>
        </w:p>
        <w:p w14:paraId="231E19CB" w14:textId="5C874262"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90" w:history="1">
            <w:r w:rsidRPr="0052504E">
              <w:rPr>
                <w:rStyle w:val="Hyperlink"/>
                <w:noProof/>
              </w:rPr>
              <w:t>2.4 Question 4: Personal Reflective Report</w:t>
            </w:r>
            <w:r>
              <w:rPr>
                <w:noProof/>
                <w:webHidden/>
              </w:rPr>
              <w:tab/>
            </w:r>
            <w:r>
              <w:rPr>
                <w:noProof/>
                <w:webHidden/>
              </w:rPr>
              <w:fldChar w:fldCharType="begin"/>
            </w:r>
            <w:r>
              <w:rPr>
                <w:noProof/>
                <w:webHidden/>
              </w:rPr>
              <w:instrText xml:space="preserve"> PAGEREF _Toc212954290 \h </w:instrText>
            </w:r>
            <w:r>
              <w:rPr>
                <w:noProof/>
                <w:webHidden/>
              </w:rPr>
            </w:r>
            <w:r>
              <w:rPr>
                <w:noProof/>
                <w:webHidden/>
              </w:rPr>
              <w:fldChar w:fldCharType="separate"/>
            </w:r>
            <w:r>
              <w:rPr>
                <w:noProof/>
                <w:webHidden/>
              </w:rPr>
              <w:t>15</w:t>
            </w:r>
            <w:r>
              <w:rPr>
                <w:noProof/>
                <w:webHidden/>
              </w:rPr>
              <w:fldChar w:fldCharType="end"/>
            </w:r>
          </w:hyperlink>
        </w:p>
        <w:p w14:paraId="54D0423C" w14:textId="6827984D"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91" w:history="1">
            <w:r w:rsidRPr="0052504E">
              <w:rPr>
                <w:rStyle w:val="Hyperlink"/>
                <w:rFonts w:cs="Arial"/>
                <w:noProof/>
              </w:rPr>
              <w:t>Introduction</w:t>
            </w:r>
            <w:r>
              <w:rPr>
                <w:noProof/>
                <w:webHidden/>
              </w:rPr>
              <w:tab/>
            </w:r>
            <w:r>
              <w:rPr>
                <w:noProof/>
                <w:webHidden/>
              </w:rPr>
              <w:fldChar w:fldCharType="begin"/>
            </w:r>
            <w:r>
              <w:rPr>
                <w:noProof/>
                <w:webHidden/>
              </w:rPr>
              <w:instrText xml:space="preserve"> PAGEREF _Toc212954291 \h </w:instrText>
            </w:r>
            <w:r>
              <w:rPr>
                <w:noProof/>
                <w:webHidden/>
              </w:rPr>
            </w:r>
            <w:r>
              <w:rPr>
                <w:noProof/>
                <w:webHidden/>
              </w:rPr>
              <w:fldChar w:fldCharType="separate"/>
            </w:r>
            <w:r>
              <w:rPr>
                <w:noProof/>
                <w:webHidden/>
              </w:rPr>
              <w:t>15</w:t>
            </w:r>
            <w:r>
              <w:rPr>
                <w:noProof/>
                <w:webHidden/>
              </w:rPr>
              <w:fldChar w:fldCharType="end"/>
            </w:r>
          </w:hyperlink>
        </w:p>
        <w:p w14:paraId="5489C832" w14:textId="19C2F564"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92" w:history="1">
            <w:r w:rsidRPr="0052504E">
              <w:rPr>
                <w:rStyle w:val="Hyperlink"/>
                <w:rFonts w:cs="Arial"/>
                <w:noProof/>
              </w:rPr>
              <w:t>Application of Gibbs' Reflective Cycle</w:t>
            </w:r>
            <w:r>
              <w:rPr>
                <w:noProof/>
                <w:webHidden/>
              </w:rPr>
              <w:tab/>
            </w:r>
            <w:r>
              <w:rPr>
                <w:noProof/>
                <w:webHidden/>
              </w:rPr>
              <w:fldChar w:fldCharType="begin"/>
            </w:r>
            <w:r>
              <w:rPr>
                <w:noProof/>
                <w:webHidden/>
              </w:rPr>
              <w:instrText xml:space="preserve"> PAGEREF _Toc212954292 \h </w:instrText>
            </w:r>
            <w:r>
              <w:rPr>
                <w:noProof/>
                <w:webHidden/>
              </w:rPr>
            </w:r>
            <w:r>
              <w:rPr>
                <w:noProof/>
                <w:webHidden/>
              </w:rPr>
              <w:fldChar w:fldCharType="separate"/>
            </w:r>
            <w:r>
              <w:rPr>
                <w:noProof/>
                <w:webHidden/>
              </w:rPr>
              <w:t>16</w:t>
            </w:r>
            <w:r>
              <w:rPr>
                <w:noProof/>
                <w:webHidden/>
              </w:rPr>
              <w:fldChar w:fldCharType="end"/>
            </w:r>
          </w:hyperlink>
        </w:p>
        <w:p w14:paraId="44D1FC2F" w14:textId="49BC8A1C" w:rsidR="00C17609" w:rsidRDefault="00C17609" w:rsidP="00C17609">
          <w:pPr>
            <w:pStyle w:val="TOC3"/>
            <w:tabs>
              <w:tab w:val="right" w:leader="dot" w:pos="9350"/>
            </w:tabs>
            <w:spacing w:line="240" w:lineRule="auto"/>
            <w:rPr>
              <w:rFonts w:asciiTheme="minorHAnsi" w:eastAsiaTheme="minorEastAsia" w:hAnsiTheme="minorHAnsi"/>
              <w:noProof/>
              <w:szCs w:val="22"/>
              <w:lang w:eastAsia="en-GB" w:bidi="ar-SA"/>
              <w14:ligatures w14:val="none"/>
            </w:rPr>
          </w:pPr>
          <w:hyperlink w:anchor="_Toc212954293" w:history="1">
            <w:r w:rsidRPr="0052504E">
              <w:rPr>
                <w:rStyle w:val="Hyperlink"/>
                <w:rFonts w:cs="Arial"/>
                <w:noProof/>
              </w:rPr>
              <w:t>Conclusion</w:t>
            </w:r>
            <w:r>
              <w:rPr>
                <w:noProof/>
                <w:webHidden/>
              </w:rPr>
              <w:tab/>
            </w:r>
            <w:r>
              <w:rPr>
                <w:noProof/>
                <w:webHidden/>
              </w:rPr>
              <w:fldChar w:fldCharType="begin"/>
            </w:r>
            <w:r>
              <w:rPr>
                <w:noProof/>
                <w:webHidden/>
              </w:rPr>
              <w:instrText xml:space="preserve"> PAGEREF _Toc212954293 \h </w:instrText>
            </w:r>
            <w:r>
              <w:rPr>
                <w:noProof/>
                <w:webHidden/>
              </w:rPr>
            </w:r>
            <w:r>
              <w:rPr>
                <w:noProof/>
                <w:webHidden/>
              </w:rPr>
              <w:fldChar w:fldCharType="separate"/>
            </w:r>
            <w:r>
              <w:rPr>
                <w:noProof/>
                <w:webHidden/>
              </w:rPr>
              <w:t>19</w:t>
            </w:r>
            <w:r>
              <w:rPr>
                <w:noProof/>
                <w:webHidden/>
              </w:rPr>
              <w:fldChar w:fldCharType="end"/>
            </w:r>
          </w:hyperlink>
        </w:p>
        <w:p w14:paraId="46C45EA1" w14:textId="58599304"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94" w:history="1">
            <w:r w:rsidRPr="0052504E">
              <w:rPr>
                <w:rStyle w:val="Hyperlink"/>
                <w:noProof/>
              </w:rPr>
              <w:t>Conclusion</w:t>
            </w:r>
            <w:r>
              <w:rPr>
                <w:noProof/>
                <w:webHidden/>
              </w:rPr>
              <w:tab/>
            </w:r>
            <w:r>
              <w:rPr>
                <w:noProof/>
                <w:webHidden/>
              </w:rPr>
              <w:fldChar w:fldCharType="begin"/>
            </w:r>
            <w:r>
              <w:rPr>
                <w:noProof/>
                <w:webHidden/>
              </w:rPr>
              <w:instrText xml:space="preserve"> PAGEREF _Toc212954294 \h </w:instrText>
            </w:r>
            <w:r>
              <w:rPr>
                <w:noProof/>
                <w:webHidden/>
              </w:rPr>
            </w:r>
            <w:r>
              <w:rPr>
                <w:noProof/>
                <w:webHidden/>
              </w:rPr>
              <w:fldChar w:fldCharType="separate"/>
            </w:r>
            <w:r>
              <w:rPr>
                <w:noProof/>
                <w:webHidden/>
              </w:rPr>
              <w:t>20</w:t>
            </w:r>
            <w:r>
              <w:rPr>
                <w:noProof/>
                <w:webHidden/>
              </w:rPr>
              <w:fldChar w:fldCharType="end"/>
            </w:r>
          </w:hyperlink>
        </w:p>
        <w:p w14:paraId="766F323B" w14:textId="196120DB" w:rsidR="00C17609" w:rsidRDefault="00C17609" w:rsidP="00C17609">
          <w:pPr>
            <w:pStyle w:val="TOC1"/>
            <w:spacing w:line="240" w:lineRule="auto"/>
            <w:rPr>
              <w:rFonts w:asciiTheme="minorHAnsi" w:eastAsiaTheme="minorEastAsia" w:hAnsiTheme="minorHAnsi"/>
              <w:noProof/>
              <w:szCs w:val="22"/>
              <w:lang w:eastAsia="en-GB" w:bidi="ar-SA"/>
              <w14:ligatures w14:val="none"/>
            </w:rPr>
          </w:pPr>
          <w:hyperlink w:anchor="_Toc212954295" w:history="1">
            <w:r w:rsidRPr="0052504E">
              <w:rPr>
                <w:rStyle w:val="Hyperlink"/>
                <w:noProof/>
              </w:rPr>
              <w:t>References</w:t>
            </w:r>
            <w:r>
              <w:rPr>
                <w:noProof/>
                <w:webHidden/>
              </w:rPr>
              <w:tab/>
            </w:r>
            <w:r>
              <w:rPr>
                <w:noProof/>
                <w:webHidden/>
              </w:rPr>
              <w:fldChar w:fldCharType="begin"/>
            </w:r>
            <w:r>
              <w:rPr>
                <w:noProof/>
                <w:webHidden/>
              </w:rPr>
              <w:instrText xml:space="preserve"> PAGEREF _Toc212954295 \h </w:instrText>
            </w:r>
            <w:r>
              <w:rPr>
                <w:noProof/>
                <w:webHidden/>
              </w:rPr>
            </w:r>
            <w:r>
              <w:rPr>
                <w:noProof/>
                <w:webHidden/>
              </w:rPr>
              <w:fldChar w:fldCharType="separate"/>
            </w:r>
            <w:r>
              <w:rPr>
                <w:noProof/>
                <w:webHidden/>
              </w:rPr>
              <w:t>21</w:t>
            </w:r>
            <w:r>
              <w:rPr>
                <w:noProof/>
                <w:webHidden/>
              </w:rPr>
              <w:fldChar w:fldCharType="end"/>
            </w:r>
          </w:hyperlink>
        </w:p>
        <w:p w14:paraId="5E6F4198" w14:textId="22E70948" w:rsidR="000738BB" w:rsidRPr="00221BE3" w:rsidRDefault="00E431F0" w:rsidP="00C17609">
          <w:pPr>
            <w:spacing w:line="240" w:lineRule="auto"/>
            <w:rPr>
              <w:rFonts w:cs="Arial"/>
            </w:rPr>
          </w:pPr>
          <w:r w:rsidRPr="00221BE3">
            <w:rPr>
              <w:rFonts w:cs="Arial"/>
              <w:b/>
              <w:bCs/>
              <w:noProof/>
            </w:rPr>
            <w:fldChar w:fldCharType="end"/>
          </w:r>
        </w:p>
      </w:sdtContent>
    </w:sdt>
    <w:p w14:paraId="6D343CEE" w14:textId="77777777" w:rsidR="000738BB" w:rsidRPr="00221BE3" w:rsidRDefault="00E431F0" w:rsidP="006156FD">
      <w:pPr>
        <w:rPr>
          <w:rFonts w:cs="Arial"/>
          <w:b/>
          <w:bCs/>
          <w:sz w:val="28"/>
          <w:szCs w:val="32"/>
        </w:rPr>
      </w:pPr>
      <w:r w:rsidRPr="00221BE3">
        <w:rPr>
          <w:rFonts w:cs="Arial"/>
          <w:b/>
          <w:bCs/>
          <w:sz w:val="28"/>
          <w:szCs w:val="32"/>
        </w:rPr>
        <w:t>List of Figures</w:t>
      </w:r>
    </w:p>
    <w:p w14:paraId="7CB155CD" w14:textId="5A0216C4" w:rsidR="0065477B" w:rsidRDefault="0065477B">
      <w:pPr>
        <w:pStyle w:val="TableofFigures"/>
        <w:tabs>
          <w:tab w:val="right" w:leader="dot" w:pos="9350"/>
        </w:tabs>
        <w:rPr>
          <w:rFonts w:asciiTheme="minorHAnsi" w:eastAsiaTheme="minorEastAsia" w:hAnsiTheme="minorHAnsi"/>
          <w:noProof/>
          <w:kern w:val="2"/>
          <w:szCs w:val="22"/>
          <w:lang w:val="en-US" w:bidi="ar-SA"/>
        </w:rPr>
      </w:pPr>
      <w:r>
        <w:rPr>
          <w:rFonts w:cs="Arial"/>
        </w:rPr>
        <w:fldChar w:fldCharType="begin"/>
      </w:r>
      <w:r>
        <w:rPr>
          <w:rFonts w:cs="Arial"/>
        </w:rPr>
        <w:instrText xml:space="preserve"> TOC \c "Figure" </w:instrText>
      </w:r>
      <w:r>
        <w:rPr>
          <w:rFonts w:cs="Arial"/>
        </w:rPr>
        <w:fldChar w:fldCharType="separate"/>
      </w:r>
      <w:r w:rsidRPr="009C1BD2">
        <w:rPr>
          <w:rFonts w:cs="Arial"/>
          <w:noProof/>
        </w:rPr>
        <w:t>Figure 1: The Evolving Landscape of Work in the Fourth Industrial Revolution.</w:t>
      </w:r>
      <w:r>
        <w:rPr>
          <w:noProof/>
        </w:rPr>
        <w:tab/>
      </w:r>
      <w:r>
        <w:rPr>
          <w:noProof/>
        </w:rPr>
        <w:fldChar w:fldCharType="begin"/>
      </w:r>
      <w:r>
        <w:rPr>
          <w:noProof/>
        </w:rPr>
        <w:instrText xml:space="preserve"> PAGEREF _Toc212904970 \h </w:instrText>
      </w:r>
      <w:r>
        <w:rPr>
          <w:noProof/>
        </w:rPr>
      </w:r>
      <w:r>
        <w:rPr>
          <w:noProof/>
        </w:rPr>
        <w:fldChar w:fldCharType="separate"/>
      </w:r>
      <w:r>
        <w:rPr>
          <w:noProof/>
        </w:rPr>
        <w:t>6</w:t>
      </w:r>
      <w:r>
        <w:rPr>
          <w:noProof/>
        </w:rPr>
        <w:fldChar w:fldCharType="end"/>
      </w:r>
    </w:p>
    <w:p w14:paraId="3A359A0D" w14:textId="569588BB" w:rsidR="0065477B" w:rsidRDefault="0065477B">
      <w:pPr>
        <w:pStyle w:val="TableofFigures"/>
        <w:tabs>
          <w:tab w:val="right" w:leader="dot" w:pos="9350"/>
        </w:tabs>
        <w:rPr>
          <w:rFonts w:asciiTheme="minorHAnsi" w:eastAsiaTheme="minorEastAsia" w:hAnsiTheme="minorHAnsi"/>
          <w:noProof/>
          <w:kern w:val="2"/>
          <w:szCs w:val="22"/>
          <w:lang w:val="en-US" w:bidi="ar-SA"/>
        </w:rPr>
      </w:pPr>
      <w:r w:rsidRPr="009C1BD2">
        <w:rPr>
          <w:rFonts w:cs="Arial"/>
          <w:noProof/>
        </w:rPr>
        <w:t>Figure 2: Challenges for HR Professionals in a Changing Global Landscape.</w:t>
      </w:r>
      <w:r>
        <w:rPr>
          <w:noProof/>
        </w:rPr>
        <w:tab/>
      </w:r>
      <w:r>
        <w:rPr>
          <w:noProof/>
        </w:rPr>
        <w:fldChar w:fldCharType="begin"/>
      </w:r>
      <w:r>
        <w:rPr>
          <w:noProof/>
        </w:rPr>
        <w:instrText xml:space="preserve"> PAGEREF _Toc212904971 \h </w:instrText>
      </w:r>
      <w:r>
        <w:rPr>
          <w:noProof/>
        </w:rPr>
      </w:r>
      <w:r>
        <w:rPr>
          <w:noProof/>
        </w:rPr>
        <w:fldChar w:fldCharType="separate"/>
      </w:r>
      <w:r>
        <w:rPr>
          <w:noProof/>
        </w:rPr>
        <w:t>9</w:t>
      </w:r>
      <w:r>
        <w:rPr>
          <w:noProof/>
        </w:rPr>
        <w:fldChar w:fldCharType="end"/>
      </w:r>
    </w:p>
    <w:p w14:paraId="3563B2E0" w14:textId="08A93264" w:rsidR="0065477B" w:rsidRDefault="0065477B">
      <w:pPr>
        <w:pStyle w:val="TableofFigures"/>
        <w:tabs>
          <w:tab w:val="right" w:leader="dot" w:pos="9350"/>
        </w:tabs>
        <w:rPr>
          <w:rFonts w:asciiTheme="minorHAnsi" w:eastAsiaTheme="minorEastAsia" w:hAnsiTheme="minorHAnsi"/>
          <w:noProof/>
          <w:kern w:val="2"/>
          <w:szCs w:val="22"/>
          <w:lang w:val="en-US" w:bidi="ar-SA"/>
        </w:rPr>
      </w:pPr>
      <w:r w:rsidRPr="009C1BD2">
        <w:rPr>
          <w:rFonts w:cs="Arial"/>
          <w:noProof/>
        </w:rPr>
        <w:t>Figure 3: Strategic HRM Solutions to Bridge Skills Gaps.</w:t>
      </w:r>
      <w:r>
        <w:rPr>
          <w:noProof/>
        </w:rPr>
        <w:tab/>
      </w:r>
      <w:r>
        <w:rPr>
          <w:noProof/>
        </w:rPr>
        <w:fldChar w:fldCharType="begin"/>
      </w:r>
      <w:r>
        <w:rPr>
          <w:noProof/>
        </w:rPr>
        <w:instrText xml:space="preserve"> PAGEREF _Toc212904972 \h </w:instrText>
      </w:r>
      <w:r>
        <w:rPr>
          <w:noProof/>
        </w:rPr>
      </w:r>
      <w:r>
        <w:rPr>
          <w:noProof/>
        </w:rPr>
        <w:fldChar w:fldCharType="separate"/>
      </w:r>
      <w:r>
        <w:rPr>
          <w:noProof/>
        </w:rPr>
        <w:t>11</w:t>
      </w:r>
      <w:r>
        <w:rPr>
          <w:noProof/>
        </w:rPr>
        <w:fldChar w:fldCharType="end"/>
      </w:r>
    </w:p>
    <w:p w14:paraId="4CD20029" w14:textId="562151CE" w:rsidR="0065477B" w:rsidRDefault="0065477B">
      <w:pPr>
        <w:pStyle w:val="TableofFigures"/>
        <w:tabs>
          <w:tab w:val="right" w:leader="dot" w:pos="9350"/>
        </w:tabs>
        <w:rPr>
          <w:rFonts w:asciiTheme="minorHAnsi" w:eastAsiaTheme="minorEastAsia" w:hAnsiTheme="minorHAnsi"/>
          <w:noProof/>
          <w:kern w:val="2"/>
          <w:szCs w:val="22"/>
          <w:lang w:val="en-US" w:bidi="ar-SA"/>
        </w:rPr>
      </w:pPr>
      <w:r w:rsidRPr="009C1BD2">
        <w:rPr>
          <w:rFonts w:cs="Arial"/>
          <w:noProof/>
        </w:rPr>
        <w:t>Figure 4: Gibbs' Reflective model</w:t>
      </w:r>
      <w:r>
        <w:rPr>
          <w:noProof/>
        </w:rPr>
        <w:tab/>
      </w:r>
      <w:r>
        <w:rPr>
          <w:noProof/>
        </w:rPr>
        <w:fldChar w:fldCharType="begin"/>
      </w:r>
      <w:r>
        <w:rPr>
          <w:noProof/>
        </w:rPr>
        <w:instrText xml:space="preserve"> PAGEREF _Toc212904973 \h </w:instrText>
      </w:r>
      <w:r>
        <w:rPr>
          <w:noProof/>
        </w:rPr>
      </w:r>
      <w:r>
        <w:rPr>
          <w:noProof/>
        </w:rPr>
        <w:fldChar w:fldCharType="separate"/>
      </w:r>
      <w:r>
        <w:rPr>
          <w:noProof/>
        </w:rPr>
        <w:t>13</w:t>
      </w:r>
      <w:r>
        <w:rPr>
          <w:noProof/>
        </w:rPr>
        <w:fldChar w:fldCharType="end"/>
      </w:r>
    </w:p>
    <w:p w14:paraId="16CCD193" w14:textId="2F5CF4FF" w:rsidR="00610D03" w:rsidRPr="00221BE3" w:rsidRDefault="0065477B" w:rsidP="006156FD">
      <w:pPr>
        <w:rPr>
          <w:rFonts w:cs="Arial"/>
          <w:b/>
          <w:bCs/>
          <w:sz w:val="28"/>
          <w:szCs w:val="32"/>
        </w:rPr>
      </w:pPr>
      <w:r>
        <w:rPr>
          <w:rFonts w:cs="Arial"/>
        </w:rPr>
        <w:fldChar w:fldCharType="end"/>
      </w:r>
      <w:r w:rsidR="00B9172F" w:rsidRPr="00221BE3">
        <w:rPr>
          <w:rFonts w:cs="Arial"/>
          <w:b/>
          <w:bCs/>
          <w:sz w:val="28"/>
          <w:szCs w:val="32"/>
        </w:rPr>
        <w:t>List of Tables:</w:t>
      </w:r>
    </w:p>
    <w:p w14:paraId="16912261" w14:textId="4D0AE001" w:rsidR="0065477B" w:rsidRDefault="0065477B">
      <w:pPr>
        <w:pStyle w:val="TableofFigures"/>
        <w:tabs>
          <w:tab w:val="right" w:leader="dot" w:pos="9350"/>
        </w:tabs>
        <w:rPr>
          <w:rFonts w:asciiTheme="minorHAnsi" w:eastAsiaTheme="minorEastAsia" w:hAnsiTheme="minorHAnsi"/>
          <w:noProof/>
          <w:kern w:val="2"/>
          <w:szCs w:val="22"/>
          <w:lang w:val="en-US" w:bidi="ar-SA"/>
        </w:rPr>
      </w:pPr>
      <w:r>
        <w:rPr>
          <w:rFonts w:cs="Arial"/>
        </w:rPr>
        <w:fldChar w:fldCharType="begin"/>
      </w:r>
      <w:r>
        <w:rPr>
          <w:rFonts w:cs="Arial"/>
        </w:rPr>
        <w:instrText xml:space="preserve"> TOC \h \z \c "Table" </w:instrText>
      </w:r>
      <w:r>
        <w:rPr>
          <w:rFonts w:cs="Arial"/>
        </w:rPr>
        <w:fldChar w:fldCharType="separate"/>
      </w:r>
      <w:hyperlink w:anchor="_Toc212904977" w:history="1">
        <w:r w:rsidRPr="00C01F5D">
          <w:rPr>
            <w:rStyle w:val="Hyperlink"/>
            <w:rFonts w:cs="Arial"/>
            <w:noProof/>
          </w:rPr>
          <w:t>Table 1: Evaluations of the Good and Bad sides of the experience</w:t>
        </w:r>
        <w:r>
          <w:rPr>
            <w:noProof/>
            <w:webHidden/>
          </w:rPr>
          <w:tab/>
        </w:r>
        <w:r>
          <w:rPr>
            <w:noProof/>
            <w:webHidden/>
          </w:rPr>
          <w:fldChar w:fldCharType="begin"/>
        </w:r>
        <w:r>
          <w:rPr>
            <w:noProof/>
            <w:webHidden/>
          </w:rPr>
          <w:instrText xml:space="preserve"> PAGEREF _Toc212904977 \h </w:instrText>
        </w:r>
        <w:r>
          <w:rPr>
            <w:noProof/>
            <w:webHidden/>
          </w:rPr>
        </w:r>
        <w:r>
          <w:rPr>
            <w:noProof/>
            <w:webHidden/>
          </w:rPr>
          <w:fldChar w:fldCharType="separate"/>
        </w:r>
        <w:r>
          <w:rPr>
            <w:noProof/>
            <w:webHidden/>
          </w:rPr>
          <w:t>14</w:t>
        </w:r>
        <w:r>
          <w:rPr>
            <w:noProof/>
            <w:webHidden/>
          </w:rPr>
          <w:fldChar w:fldCharType="end"/>
        </w:r>
      </w:hyperlink>
    </w:p>
    <w:p w14:paraId="58E09417" w14:textId="3213E839" w:rsidR="0065477B" w:rsidRDefault="0065477B">
      <w:pPr>
        <w:pStyle w:val="TableofFigures"/>
        <w:tabs>
          <w:tab w:val="right" w:leader="dot" w:pos="9350"/>
        </w:tabs>
        <w:rPr>
          <w:rFonts w:asciiTheme="minorHAnsi" w:eastAsiaTheme="minorEastAsia" w:hAnsiTheme="minorHAnsi"/>
          <w:noProof/>
          <w:kern w:val="2"/>
          <w:szCs w:val="22"/>
          <w:lang w:val="en-US" w:bidi="ar-SA"/>
        </w:rPr>
      </w:pPr>
      <w:hyperlink w:anchor="_Toc212904978" w:history="1">
        <w:r w:rsidRPr="00C01F5D">
          <w:rPr>
            <w:rStyle w:val="Hyperlink"/>
            <w:rFonts w:cs="Arial"/>
            <w:noProof/>
          </w:rPr>
          <w:t>Table 2: Personal Development Action Plan: Strengths, Growth Areas &amp; Timelines.</w:t>
        </w:r>
        <w:r>
          <w:rPr>
            <w:noProof/>
            <w:webHidden/>
          </w:rPr>
          <w:tab/>
        </w:r>
        <w:r>
          <w:rPr>
            <w:noProof/>
            <w:webHidden/>
          </w:rPr>
          <w:fldChar w:fldCharType="begin"/>
        </w:r>
        <w:r>
          <w:rPr>
            <w:noProof/>
            <w:webHidden/>
          </w:rPr>
          <w:instrText xml:space="preserve"> PAGEREF _Toc212904978 \h </w:instrText>
        </w:r>
        <w:r>
          <w:rPr>
            <w:noProof/>
            <w:webHidden/>
          </w:rPr>
        </w:r>
        <w:r>
          <w:rPr>
            <w:noProof/>
            <w:webHidden/>
          </w:rPr>
          <w:fldChar w:fldCharType="separate"/>
        </w:r>
        <w:r>
          <w:rPr>
            <w:noProof/>
            <w:webHidden/>
          </w:rPr>
          <w:t>15</w:t>
        </w:r>
        <w:r>
          <w:rPr>
            <w:noProof/>
            <w:webHidden/>
          </w:rPr>
          <w:fldChar w:fldCharType="end"/>
        </w:r>
      </w:hyperlink>
    </w:p>
    <w:p w14:paraId="25690D40" w14:textId="3A9E20AE" w:rsidR="0007399B" w:rsidRPr="00221BE3" w:rsidRDefault="0065477B" w:rsidP="006156FD">
      <w:pPr>
        <w:rPr>
          <w:rFonts w:cs="Arial"/>
          <w:b/>
          <w:bCs/>
        </w:rPr>
      </w:pPr>
      <w:r>
        <w:rPr>
          <w:rFonts w:cs="Arial"/>
        </w:rPr>
        <w:fldChar w:fldCharType="end"/>
      </w:r>
      <w:r w:rsidR="00B9172F" w:rsidRPr="00221BE3">
        <w:rPr>
          <w:rFonts w:cs="Arial"/>
          <w:b/>
          <w:bCs/>
        </w:rPr>
        <w:br w:type="page"/>
      </w:r>
    </w:p>
    <w:p w14:paraId="4A2E1329" w14:textId="77777777" w:rsidR="009E53D1" w:rsidRPr="00221BE3" w:rsidRDefault="00E431F0" w:rsidP="006156FD">
      <w:pPr>
        <w:pStyle w:val="Heading1"/>
      </w:pPr>
      <w:bookmarkStart w:id="0" w:name="_Toc212954270"/>
      <w:r w:rsidRPr="00221BE3">
        <w:lastRenderedPageBreak/>
        <w:t>1. Introduction</w:t>
      </w:r>
      <w:bookmarkEnd w:id="0"/>
    </w:p>
    <w:p w14:paraId="64A1ED99" w14:textId="77777777" w:rsidR="00221BE3" w:rsidRPr="00221BE3" w:rsidRDefault="00E431F0" w:rsidP="00221BE3">
      <w:pPr>
        <w:rPr>
          <w:rFonts w:cs="Arial"/>
          <w:lang w:val="en-US"/>
        </w:rPr>
      </w:pPr>
      <w:r w:rsidRPr="00221BE3">
        <w:rPr>
          <w:rFonts w:cs="Arial"/>
        </w:rPr>
        <w:t xml:space="preserve">The modern labour markets </w:t>
      </w:r>
      <w:r w:rsidR="00DD7E0A" w:rsidRPr="00221BE3">
        <w:rPr>
          <w:rFonts w:cs="Arial"/>
        </w:rPr>
        <w:t xml:space="preserve">are </w:t>
      </w:r>
      <w:r w:rsidRPr="00221BE3">
        <w:rPr>
          <w:rFonts w:cs="Arial"/>
        </w:rPr>
        <w:t>transform</w:t>
      </w:r>
      <w:r w:rsidR="00DD7E0A" w:rsidRPr="00221BE3">
        <w:rPr>
          <w:rFonts w:cs="Arial"/>
        </w:rPr>
        <w:t>ing</w:t>
      </w:r>
      <w:r w:rsidRPr="00221BE3">
        <w:rPr>
          <w:rFonts w:cs="Arial"/>
        </w:rPr>
        <w:t xml:space="preserve"> the strategic objectives of the Human Resource Management (HRM) and International HRM (IHRM). Technology, demographic and geopolitical changes provide a multifaceted situation. The culture of the senior workforce is failing. These dimensions are four vital dimensions that have a serious scrutiny toward this report. Firstly, the future of artificial intelligence and automation is shaking the labour market. Second, the HR professionals are put to the challenge by the demographic and geopolitical pressures. Third, organisations need to fill their long-term skills gaps. Fourth, </w:t>
      </w:r>
      <w:r w:rsidRPr="00221BE3">
        <w:rPr>
          <w:rFonts w:cs="Arial"/>
          <w:lang w:val="en-US"/>
        </w:rPr>
        <w:t>I use Gibbs' Reflective Cycle to look at how well I can communicate, work with others, lead, use technology, and learn on my own in today's fast-paced, globalised, and tech-driven workplace.</w:t>
      </w:r>
    </w:p>
    <w:p w14:paraId="33250164" w14:textId="77777777" w:rsidR="00ED727F" w:rsidRPr="00221BE3" w:rsidRDefault="00ED727F" w:rsidP="006156FD">
      <w:pPr>
        <w:rPr>
          <w:rFonts w:cs="Arial"/>
        </w:rPr>
      </w:pPr>
    </w:p>
    <w:p w14:paraId="2DB32801" w14:textId="77777777" w:rsidR="00B9172F" w:rsidRPr="00221BE3" w:rsidRDefault="00E431F0" w:rsidP="006156FD">
      <w:pPr>
        <w:spacing w:after="160"/>
        <w:rPr>
          <w:rFonts w:eastAsiaTheme="majorEastAsia" w:cs="Arial"/>
          <w:b/>
          <w:sz w:val="28"/>
          <w:szCs w:val="40"/>
        </w:rPr>
      </w:pPr>
      <w:r w:rsidRPr="00221BE3">
        <w:rPr>
          <w:rFonts w:cs="Arial"/>
        </w:rPr>
        <w:br w:type="page"/>
      </w:r>
    </w:p>
    <w:p w14:paraId="4D127D90" w14:textId="4240E342" w:rsidR="00593C51" w:rsidRPr="00221BE3" w:rsidRDefault="00E431F0" w:rsidP="006156FD">
      <w:pPr>
        <w:pStyle w:val="Heading1"/>
      </w:pPr>
      <w:bookmarkStart w:id="1" w:name="_Toc212954271"/>
      <w:r w:rsidRPr="00221BE3">
        <w:lastRenderedPageBreak/>
        <w:t>2. Discussion</w:t>
      </w:r>
      <w:bookmarkEnd w:id="1"/>
    </w:p>
    <w:p w14:paraId="5967D6ED" w14:textId="77777777" w:rsidR="00EA1D35" w:rsidRPr="00221BE3" w:rsidRDefault="00E431F0" w:rsidP="006156FD">
      <w:pPr>
        <w:pStyle w:val="Heading2"/>
        <w:rPr>
          <w:rFonts w:cs="Arial"/>
        </w:rPr>
      </w:pPr>
      <w:bookmarkStart w:id="2" w:name="_Toc212954272"/>
      <w:r w:rsidRPr="00221BE3">
        <w:rPr>
          <w:rFonts w:cs="Arial"/>
        </w:rPr>
        <w:t>2.1 Question 1: Technological Advancements Reshaping Labour Markets</w:t>
      </w:r>
      <w:bookmarkEnd w:id="2"/>
    </w:p>
    <w:p w14:paraId="7FAD2539" w14:textId="77777777" w:rsidR="00593C51" w:rsidRPr="00221BE3" w:rsidRDefault="00E431F0" w:rsidP="00C37E40">
      <w:pPr>
        <w:pStyle w:val="Heading3"/>
        <w:rPr>
          <w:rFonts w:cs="Arial"/>
        </w:rPr>
      </w:pPr>
      <w:bookmarkStart w:id="3" w:name="_Toc212954273"/>
      <w:r w:rsidRPr="00221BE3">
        <w:rPr>
          <w:rFonts w:cs="Arial"/>
        </w:rPr>
        <w:t>Introduction</w:t>
      </w:r>
      <w:bookmarkEnd w:id="3"/>
    </w:p>
    <w:p w14:paraId="307A07D3" w14:textId="77777777" w:rsidR="00593C51" w:rsidRPr="00221BE3" w:rsidRDefault="00E431F0" w:rsidP="006156FD">
      <w:pPr>
        <w:rPr>
          <w:rFonts w:cs="Arial"/>
        </w:rPr>
      </w:pPr>
      <w:r w:rsidRPr="00221BE3">
        <w:rPr>
          <w:rFonts w:cs="Arial"/>
        </w:rPr>
        <w:t xml:space="preserve">In this section, the impact of technology on the HRM/IHRM strategic implications and its effect on the reorganisation of the labour market are observed. Analysis clarifies the </w:t>
      </w:r>
      <w:r w:rsidR="006156FD" w:rsidRPr="00221BE3">
        <w:rPr>
          <w:rFonts w:cs="Arial"/>
        </w:rPr>
        <w:t>concepts;</w:t>
      </w:r>
      <w:r w:rsidRPr="00221BE3">
        <w:rPr>
          <w:rFonts w:cs="Arial"/>
        </w:rPr>
        <w:t xml:space="preserve"> the work transformation brought by technology, and finally provides strategic HR implications.</w:t>
      </w:r>
    </w:p>
    <w:p w14:paraId="548AF6E7" w14:textId="77777777" w:rsidR="00593C51" w:rsidRPr="00221BE3" w:rsidRDefault="00E431F0" w:rsidP="00C37E40">
      <w:pPr>
        <w:pStyle w:val="Heading3"/>
        <w:rPr>
          <w:rFonts w:cs="Arial"/>
        </w:rPr>
      </w:pPr>
      <w:bookmarkStart w:id="4" w:name="_Toc212954274"/>
      <w:r w:rsidRPr="00221BE3">
        <w:rPr>
          <w:rFonts w:cs="Arial"/>
        </w:rPr>
        <w:t>Definitions: Technology and Labour Markets</w:t>
      </w:r>
      <w:bookmarkEnd w:id="4"/>
    </w:p>
    <w:p w14:paraId="722EE02B" w14:textId="77777777" w:rsidR="00593C51" w:rsidRPr="00221BE3" w:rsidRDefault="00E431F0" w:rsidP="006156FD">
      <w:pPr>
        <w:rPr>
          <w:rFonts w:cs="Arial"/>
        </w:rPr>
      </w:pPr>
      <w:r w:rsidRPr="00221BE3">
        <w:rPr>
          <w:rFonts w:cs="Arial"/>
        </w:rPr>
        <w:t>It is also necessary to define the major terms used before discussing technological disruption. Technology is defined as the process of AIs, automation, robotisation, algorithms, and the digital platform economy changing the work process (Schwab, 2016). This involves the use of hardware and software that perform tasks that have been done by human beings before. Labour markets are the demand and supply of labour (Stone, Cox and Gavin, 2020). The fourth industrial revolution is the backdrop of the convergence of rapidly developing technology and labour markets.</w:t>
      </w:r>
    </w:p>
    <w:p w14:paraId="0B5AD32D" w14:textId="77777777" w:rsidR="00593C51" w:rsidRPr="00221BE3" w:rsidRDefault="00E431F0" w:rsidP="006156FD">
      <w:pPr>
        <w:rPr>
          <w:rFonts w:cs="Arial"/>
        </w:rPr>
      </w:pPr>
      <w:r w:rsidRPr="00221BE3">
        <w:rPr>
          <w:rFonts w:cs="Arial"/>
        </w:rPr>
        <w:t>The fourth industrial revolution, which is the radical restructuring of the labour market, is driven by the use of AI, automation, and digital platforms. The AI models execute cognitive tasks, whereas repetitive tasks are automated by robots (Frey and Osborne, 2017). New types of employment have emerged because of digital labour markets (Uber, Fiverr) (ILO, 2022). According to the estimates provided by the World Economic Forum (2020), automation is going to remove 85 million jobs and create 97 million new ones, which will require such levels of workforce migration.</w:t>
      </w:r>
    </w:p>
    <w:p w14:paraId="36641B12" w14:textId="77777777" w:rsidR="00593C51" w:rsidRPr="00221BE3" w:rsidRDefault="00E431F0" w:rsidP="00C37E40">
      <w:pPr>
        <w:pStyle w:val="Heading3"/>
        <w:rPr>
          <w:rFonts w:cs="Arial"/>
        </w:rPr>
      </w:pPr>
      <w:bookmarkStart w:id="5" w:name="_Toc212954275"/>
      <w:r w:rsidRPr="00221BE3">
        <w:rPr>
          <w:rFonts w:cs="Arial"/>
        </w:rPr>
        <w:t>How Technology is Reshaping Labour Markets</w:t>
      </w:r>
      <w:bookmarkEnd w:id="5"/>
      <w:r w:rsidRPr="00221BE3">
        <w:rPr>
          <w:rFonts w:cs="Arial"/>
        </w:rPr>
        <w:t xml:space="preserve"> </w:t>
      </w:r>
    </w:p>
    <w:p w14:paraId="396F6472" w14:textId="77777777" w:rsidR="0089347D" w:rsidRPr="00221BE3" w:rsidRDefault="00E431F0" w:rsidP="006156FD">
      <w:pPr>
        <w:rPr>
          <w:rFonts w:cs="Arial"/>
        </w:rPr>
      </w:pPr>
      <w:r w:rsidRPr="00221BE3">
        <w:rPr>
          <w:rFonts w:cs="Arial"/>
        </w:rPr>
        <w:t>The labour market dynamics created through the technological change are contradictory. Whereas pessimistic views focus on the mass displacement of jobs, within the report, Lund et al. (2021) presume that by 2030, 30% of work activities will be automated, explaining why other studies consider complementary relations between humans and intelligent systems. As shown by Autor (2015), automation usually does not replace human potential but instead expands it, posing a need for other workers who will be able to work in conjunction with computers. Nonetheless, this process creates a polarisation of skills: the number of high-skilled analytical jobs increases at the expense of the middle-skill routine jobs, which increases inequality (Acemoglu and Restrepo, 2020). The gig economy is the prime example of this divide, being flexible and, at the same time, depleting employment security and social protections. The percentage of gig workers grew to 14.7% of the workforce in 2021, compared with 5.8% in 2016, which shows that the United Kingdom is experiencing profound structural changes (Trade Union Congress, 2021). This work, produced directly by the platform, presents specific complications with labour regulation, which are reflected in the constant legal controversies regarding the limits of the classification and rights of the workers (Taylor et al., 2017).</w:t>
      </w:r>
    </w:p>
    <w:p w14:paraId="016D3A44" w14:textId="77777777" w:rsidR="00B8732D" w:rsidRPr="00221BE3" w:rsidRDefault="00E431F0" w:rsidP="00C37E40">
      <w:pPr>
        <w:pStyle w:val="Heading3"/>
        <w:rPr>
          <w:rFonts w:cs="Arial"/>
        </w:rPr>
      </w:pPr>
      <w:bookmarkStart w:id="6" w:name="_Toc212954276"/>
      <w:r w:rsidRPr="00221BE3">
        <w:rPr>
          <w:rFonts w:cs="Arial"/>
        </w:rPr>
        <w:t>Strategic Implications for HRM and IHRM</w:t>
      </w:r>
      <w:bookmarkEnd w:id="6"/>
    </w:p>
    <w:p w14:paraId="5660F5CE" w14:textId="77777777" w:rsidR="00B8732D" w:rsidRPr="00221BE3" w:rsidRDefault="00E431F0" w:rsidP="006156FD">
      <w:pPr>
        <w:rPr>
          <w:rFonts w:cs="Arial"/>
        </w:rPr>
      </w:pPr>
      <w:r w:rsidRPr="00221BE3">
        <w:rPr>
          <w:rFonts w:cs="Arial"/>
        </w:rPr>
        <w:t>Technological forces need to reposition HRM/IHRM. For workforce planning, algorithmic prediction of technological displacement is needed (Căvescu and Popescu, 2025). Google uses People Analytics as it attempts to forecast turnover and talent management. Talent acquisition needs to be recreated. AI platforms such as LinkedIn Talent Solutions help to revolutionise the sourcing process using predictive analytics and automated screening (LinkedIn, 2022). However, limitations such as algorithmic bias necessitate ethics (Dastin, 2018). Organisations need upskilling. IBM's Watson Talent offers AI skills gap analysis and AI personalised learning (Goldstein, 2023). International dimensions make IHRM more complex because the penetration of technology varies (93% high-income vs. 27% low-income countries) (Filipenco, 2024). This landscape is pictured in the following figure:</w:t>
      </w:r>
    </w:p>
    <w:p w14:paraId="60C2B507" w14:textId="77777777" w:rsidR="0011448E" w:rsidRPr="00221BE3" w:rsidRDefault="00E431F0" w:rsidP="006156FD">
      <w:pPr>
        <w:jc w:val="center"/>
        <w:rPr>
          <w:rFonts w:cs="Arial"/>
        </w:rPr>
      </w:pPr>
      <w:r w:rsidRPr="00221BE3">
        <w:rPr>
          <w:rFonts w:cs="Arial"/>
          <w:noProof/>
        </w:rPr>
        <w:drawing>
          <wp:inline distT="0" distB="0" distL="0" distR="0" wp14:anchorId="782DE67E" wp14:editId="13F057B4">
            <wp:extent cx="4572000" cy="3625362"/>
            <wp:effectExtent l="0" t="0" r="0" b="0"/>
            <wp:docPr id="154821363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13630" name="Picture 1" descr="A diagram of a dia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572000" cy="3625362"/>
                    </a:xfrm>
                    <a:prstGeom prst="rect">
                      <a:avLst/>
                    </a:prstGeom>
                  </pic:spPr>
                </pic:pic>
              </a:graphicData>
            </a:graphic>
          </wp:inline>
        </w:drawing>
      </w:r>
    </w:p>
    <w:p w14:paraId="28A7C701" w14:textId="77777777" w:rsidR="0011448E" w:rsidRPr="00221BE3" w:rsidRDefault="00E431F0" w:rsidP="006156FD">
      <w:pPr>
        <w:pStyle w:val="Caption"/>
        <w:spacing w:after="0" w:line="360" w:lineRule="auto"/>
        <w:rPr>
          <w:rFonts w:cs="Arial"/>
          <w:color w:val="auto"/>
        </w:rPr>
      </w:pPr>
      <w:bookmarkStart w:id="7" w:name="_Toc212904970"/>
      <w:r w:rsidRPr="00221BE3">
        <w:rPr>
          <w:rFonts w:cs="Arial"/>
          <w:color w:val="auto"/>
        </w:rPr>
        <w:t xml:space="preserve">Figure </w:t>
      </w:r>
      <w:r w:rsidRPr="00221BE3">
        <w:rPr>
          <w:rFonts w:cs="Arial"/>
          <w:color w:val="auto"/>
        </w:rPr>
        <w:fldChar w:fldCharType="begin"/>
      </w:r>
      <w:r w:rsidRPr="00221BE3">
        <w:rPr>
          <w:rFonts w:cs="Arial"/>
          <w:color w:val="auto"/>
        </w:rPr>
        <w:instrText xml:space="preserve"> SEQ Figure \* ARABIC </w:instrText>
      </w:r>
      <w:r w:rsidRPr="00221BE3">
        <w:rPr>
          <w:rFonts w:cs="Arial"/>
          <w:color w:val="auto"/>
        </w:rPr>
        <w:fldChar w:fldCharType="separate"/>
      </w:r>
      <w:r w:rsidR="000A2CAA" w:rsidRPr="00221BE3">
        <w:rPr>
          <w:rFonts w:cs="Arial"/>
          <w:noProof/>
          <w:color w:val="auto"/>
        </w:rPr>
        <w:t>1</w:t>
      </w:r>
      <w:r w:rsidRPr="00221BE3">
        <w:rPr>
          <w:rFonts w:cs="Arial"/>
          <w:noProof/>
          <w:color w:val="auto"/>
        </w:rPr>
        <w:fldChar w:fldCharType="end"/>
      </w:r>
      <w:r w:rsidRPr="00221BE3">
        <w:rPr>
          <w:rFonts w:cs="Arial"/>
          <w:color w:val="auto"/>
        </w:rPr>
        <w:t>: The Evolving Landscape of Work in the Fourth Industrial Revolution.</w:t>
      </w:r>
      <w:bookmarkEnd w:id="7"/>
    </w:p>
    <w:p w14:paraId="478A35B3" w14:textId="77777777" w:rsidR="00B8732D" w:rsidRPr="00221BE3" w:rsidRDefault="00E431F0" w:rsidP="006156FD">
      <w:pPr>
        <w:rPr>
          <w:rFonts w:cs="Arial"/>
        </w:rPr>
      </w:pPr>
      <w:r w:rsidRPr="00221BE3">
        <w:rPr>
          <w:rFonts w:cs="Arial"/>
        </w:rPr>
        <w:t>Hybrid workforces (employees and gig workers) are challenging to manage when it comes to equity, too. This requires creative employment arrangements to make things fair (Katz and Krueger, 2018).</w:t>
      </w:r>
    </w:p>
    <w:p w14:paraId="1C3AE0AE" w14:textId="77777777" w:rsidR="00593C51" w:rsidRPr="00221BE3" w:rsidRDefault="00E431F0" w:rsidP="00C37E40">
      <w:pPr>
        <w:pStyle w:val="Heading3"/>
        <w:rPr>
          <w:rFonts w:cs="Arial"/>
        </w:rPr>
      </w:pPr>
      <w:bookmarkStart w:id="8" w:name="_Toc212954277"/>
      <w:r w:rsidRPr="00221BE3">
        <w:rPr>
          <w:rFonts w:cs="Arial"/>
        </w:rPr>
        <w:t>Conclusion</w:t>
      </w:r>
      <w:bookmarkEnd w:id="8"/>
    </w:p>
    <w:p w14:paraId="19CA4616" w14:textId="77777777" w:rsidR="00593C51" w:rsidRPr="00221BE3" w:rsidRDefault="00E431F0" w:rsidP="006156FD">
      <w:pPr>
        <w:rPr>
          <w:rFonts w:cs="Arial"/>
        </w:rPr>
      </w:pPr>
      <w:r w:rsidRPr="00221BE3">
        <w:rPr>
          <w:rFonts w:cs="Arial"/>
        </w:rPr>
        <w:t>There are technological changes (automation, AI) that are transforming the labour market, which are displacing workers, but they are also generating new opportunities. To successfully navigate through this change, HRM/IHRM will need to be strategic, deal with hybrid workforces, employ analytics, and overcome prejudice, as well as reskill.</w:t>
      </w:r>
    </w:p>
    <w:p w14:paraId="7FEF696B" w14:textId="77777777" w:rsidR="00593C51" w:rsidRPr="00221BE3" w:rsidRDefault="00E431F0" w:rsidP="006156FD">
      <w:pPr>
        <w:spacing w:after="160"/>
        <w:rPr>
          <w:rFonts w:eastAsiaTheme="majorEastAsia" w:cs="Arial"/>
          <w:b/>
          <w:sz w:val="28"/>
          <w:szCs w:val="40"/>
        </w:rPr>
      </w:pPr>
      <w:r w:rsidRPr="00221BE3">
        <w:rPr>
          <w:rFonts w:cs="Arial"/>
        </w:rPr>
        <w:br w:type="page"/>
      </w:r>
    </w:p>
    <w:p w14:paraId="1EAC2D40" w14:textId="77777777" w:rsidR="0089347D" w:rsidRPr="00221BE3" w:rsidRDefault="00E431F0" w:rsidP="006156FD">
      <w:pPr>
        <w:pStyle w:val="Heading2"/>
        <w:rPr>
          <w:rFonts w:cs="Arial"/>
        </w:rPr>
      </w:pPr>
      <w:bookmarkStart w:id="9" w:name="_Toc212954278"/>
      <w:r w:rsidRPr="00221BE3">
        <w:rPr>
          <w:rFonts w:cs="Arial"/>
        </w:rPr>
        <w:t>2.2 Question 2: Demographic and Geopolitical Factors</w:t>
      </w:r>
      <w:bookmarkEnd w:id="9"/>
    </w:p>
    <w:p w14:paraId="4E50C1FF" w14:textId="77777777" w:rsidR="00593C51" w:rsidRPr="00221BE3" w:rsidRDefault="00E431F0" w:rsidP="00C37E40">
      <w:pPr>
        <w:pStyle w:val="Heading2"/>
        <w:rPr>
          <w:rFonts w:cs="Arial"/>
        </w:rPr>
      </w:pPr>
      <w:bookmarkStart w:id="10" w:name="_Toc212954279"/>
      <w:r w:rsidRPr="00221BE3">
        <w:rPr>
          <w:rFonts w:cs="Arial"/>
        </w:rPr>
        <w:t>Introduction</w:t>
      </w:r>
      <w:bookmarkEnd w:id="10"/>
    </w:p>
    <w:p w14:paraId="0B2F3400" w14:textId="77777777" w:rsidR="00593C51" w:rsidRPr="00221BE3" w:rsidRDefault="00E431F0" w:rsidP="006156FD">
      <w:pPr>
        <w:rPr>
          <w:rFonts w:cs="Arial"/>
        </w:rPr>
      </w:pPr>
      <w:r w:rsidRPr="00221BE3">
        <w:rPr>
          <w:rFonts w:cs="Arial"/>
        </w:rPr>
        <w:t>This part compares demographic and geopolitical</w:t>
      </w:r>
      <w:r w:rsidR="006066F3" w:rsidRPr="00221BE3">
        <w:rPr>
          <w:rFonts w:cs="Arial"/>
        </w:rPr>
        <w:t xml:space="preserve"> impact on</w:t>
      </w:r>
      <w:r w:rsidRPr="00221BE3">
        <w:rPr>
          <w:rFonts w:cs="Arial"/>
        </w:rPr>
        <w:t xml:space="preserve"> labour markets. It also looks at the ensuing dilemmas for HR. Ageing, diversity, migration and geopolitical disruptions are discussed. Such aspects influence the availability of talent.</w:t>
      </w:r>
    </w:p>
    <w:p w14:paraId="2CEA87BE" w14:textId="77777777" w:rsidR="004331B1" w:rsidRPr="00221BE3" w:rsidRDefault="00E431F0" w:rsidP="00C37E40">
      <w:pPr>
        <w:pStyle w:val="Heading2"/>
        <w:rPr>
          <w:rFonts w:cs="Arial"/>
        </w:rPr>
      </w:pPr>
      <w:bookmarkStart w:id="11" w:name="_Toc212954280"/>
      <w:r w:rsidRPr="00221BE3">
        <w:rPr>
          <w:rFonts w:cs="Arial"/>
        </w:rPr>
        <w:t>Major Demographic Shifts</w:t>
      </w:r>
      <w:bookmarkEnd w:id="11"/>
    </w:p>
    <w:p w14:paraId="3C665027" w14:textId="77777777" w:rsidR="007F7D2F" w:rsidRPr="00221BE3" w:rsidRDefault="00E431F0" w:rsidP="006156FD">
      <w:pPr>
        <w:rPr>
          <w:rFonts w:cs="Arial"/>
        </w:rPr>
      </w:pPr>
      <w:r w:rsidRPr="00221BE3">
        <w:rPr>
          <w:rFonts w:cs="Arial"/>
        </w:rPr>
        <w:t xml:space="preserve">The demographic shifts that are changing labour markets have a fundamental impact and, as yet, uncharted strategic implications. The world's developed economy is greyed out. Workforce trends are changing as well; the 65+ population in OECD countries will increase from 17% (2019) to 26.7% (2050) (World Health Systems Facts 2023). Japan's working population is declining at a rate of 0.44% per year, which is driving the need for pension reform and lengthened working years (Hagan, 2025). On the contrary, developing countries have a youth bulge. More than 600 million new workers of working age are needed outside of work by 2050 (Bodewig et al., 2025), and in sub-Saharan Africa, the working-age population will increase by over 600 million, generating the need for employment. The rate of workforce diversification has increased. Participation of women in the workforce is up to 51.8% globally, but the gender pay gap, with the gap at 17%, persists (Ortiz-Ospina, Tzvetkova and Roser, 2018; Holder, 2025). Migration is an important source of labour supply. International migrants represent 3.7% of the global population and receive more than $690 billion in remittances (Monterroso and Vilan, 2025; United Nations, 2025). </w:t>
      </w:r>
    </w:p>
    <w:p w14:paraId="3C1DB0A0" w14:textId="77777777" w:rsidR="0034201F" w:rsidRPr="00221BE3" w:rsidRDefault="00E431F0" w:rsidP="00C37E40">
      <w:pPr>
        <w:pStyle w:val="Heading3"/>
        <w:rPr>
          <w:rFonts w:cs="Arial"/>
        </w:rPr>
      </w:pPr>
      <w:bookmarkStart w:id="12" w:name="_Toc212954281"/>
      <w:r w:rsidRPr="00221BE3">
        <w:rPr>
          <w:rFonts w:cs="Arial"/>
        </w:rPr>
        <w:t>Geopolitical Factors</w:t>
      </w:r>
      <w:bookmarkEnd w:id="12"/>
    </w:p>
    <w:p w14:paraId="5A0DB667" w14:textId="77777777" w:rsidR="00C77715" w:rsidRPr="00221BE3" w:rsidRDefault="00E431F0" w:rsidP="006156FD">
      <w:pPr>
        <w:rPr>
          <w:rFonts w:cs="Arial"/>
        </w:rPr>
      </w:pPr>
      <w:r w:rsidRPr="00221BE3">
        <w:rPr>
          <w:rFonts w:cs="Arial"/>
        </w:rPr>
        <w:t>Geopolitical processes cause huge trouble in the employment market. Brexit, for example, derailed labour inflows, leaving the UK with 125,572 NHS vacancies by 2023 after EU workers stopped coming (Rolewicz, Palmer and Lobont, 2024). Migration policies directly determine the accessibility of talent. U.S. H-1B visa restrictions caused tech talent to immigrate to Canada and Singapore (Kerr and Kerr, 2020). Political instability is also a weakener of labour markets. Conflicts in Syria and Venezuela forced 13 and 7 million people, respectively, leading to humanitarian problems and labour supply alterations in the recipient countries (World Population Review, 2025). The following figure represents the challenges in a changing landscape:</w:t>
      </w:r>
    </w:p>
    <w:p w14:paraId="5B1B63CF" w14:textId="77777777" w:rsidR="00C77715" w:rsidRPr="00221BE3" w:rsidRDefault="00E431F0" w:rsidP="006066F3">
      <w:pPr>
        <w:jc w:val="center"/>
        <w:rPr>
          <w:rFonts w:cs="Arial"/>
        </w:rPr>
      </w:pPr>
      <w:r w:rsidRPr="00221BE3">
        <w:rPr>
          <w:rFonts w:cs="Arial"/>
          <w:noProof/>
        </w:rPr>
        <w:drawing>
          <wp:inline distT="0" distB="0" distL="0" distR="0" wp14:anchorId="06614579" wp14:editId="5CB2E575">
            <wp:extent cx="4114800" cy="4129748"/>
            <wp:effectExtent l="0" t="0" r="0" b="4445"/>
            <wp:docPr id="1041079945"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79945" name="Picture 2" descr="A diagram of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114800" cy="4129748"/>
                    </a:xfrm>
                    <a:prstGeom prst="rect">
                      <a:avLst/>
                    </a:prstGeom>
                  </pic:spPr>
                </pic:pic>
              </a:graphicData>
            </a:graphic>
          </wp:inline>
        </w:drawing>
      </w:r>
    </w:p>
    <w:p w14:paraId="44D0E699" w14:textId="77777777" w:rsidR="00C77715" w:rsidRPr="00221BE3" w:rsidRDefault="00E431F0" w:rsidP="006066F3">
      <w:pPr>
        <w:pStyle w:val="Caption"/>
        <w:spacing w:after="0" w:line="360" w:lineRule="auto"/>
        <w:rPr>
          <w:rFonts w:cs="Arial"/>
          <w:color w:val="auto"/>
        </w:rPr>
      </w:pPr>
      <w:bookmarkStart w:id="13" w:name="_Toc212904971"/>
      <w:r w:rsidRPr="00221BE3">
        <w:rPr>
          <w:rFonts w:cs="Arial"/>
          <w:color w:val="auto"/>
        </w:rPr>
        <w:t xml:space="preserve">Figure </w:t>
      </w:r>
      <w:r w:rsidRPr="00221BE3">
        <w:rPr>
          <w:rFonts w:cs="Arial"/>
          <w:color w:val="auto"/>
        </w:rPr>
        <w:fldChar w:fldCharType="begin"/>
      </w:r>
      <w:r w:rsidRPr="00221BE3">
        <w:rPr>
          <w:rFonts w:cs="Arial"/>
          <w:color w:val="auto"/>
        </w:rPr>
        <w:instrText xml:space="preserve"> SEQ Figure \* ARABIC </w:instrText>
      </w:r>
      <w:r w:rsidRPr="00221BE3">
        <w:rPr>
          <w:rFonts w:cs="Arial"/>
          <w:color w:val="auto"/>
        </w:rPr>
        <w:fldChar w:fldCharType="separate"/>
      </w:r>
      <w:r w:rsidR="000A2CAA" w:rsidRPr="00221BE3">
        <w:rPr>
          <w:rFonts w:cs="Arial"/>
          <w:noProof/>
          <w:color w:val="auto"/>
        </w:rPr>
        <w:t>2</w:t>
      </w:r>
      <w:r w:rsidRPr="00221BE3">
        <w:rPr>
          <w:rFonts w:cs="Arial"/>
          <w:noProof/>
          <w:color w:val="auto"/>
        </w:rPr>
        <w:fldChar w:fldCharType="end"/>
      </w:r>
      <w:r w:rsidRPr="00221BE3">
        <w:rPr>
          <w:rFonts w:cs="Arial"/>
          <w:color w:val="auto"/>
        </w:rPr>
        <w:t>: Challenges for HR Professionals in a Changing Global Landscape.</w:t>
      </w:r>
      <w:bookmarkEnd w:id="13"/>
    </w:p>
    <w:p w14:paraId="1D2B52BA" w14:textId="77777777" w:rsidR="00B8732D" w:rsidRPr="00221BE3" w:rsidRDefault="00E431F0" w:rsidP="006156FD">
      <w:pPr>
        <w:rPr>
          <w:rFonts w:cs="Arial"/>
        </w:rPr>
      </w:pPr>
      <w:r w:rsidRPr="00221BE3">
        <w:rPr>
          <w:rFonts w:cs="Arial"/>
        </w:rPr>
        <w:t>Regulatory systems vary wildly from jurisdiction to jurisdiction, an obstacle to multinational compliance. The European Union's General Data Protection Regulation (GDPR) has very high standards for data regarding employees. Environmental, Social, and Governance (ESG) is also becoming part of employment practices. Most investors are now looking at ESG, resulting in reputational and operational pressure for good labour practices (PwC, 2022; Boxall, Purcell and Wright, 2022).</w:t>
      </w:r>
    </w:p>
    <w:p w14:paraId="22116690" w14:textId="77777777" w:rsidR="0034201F" w:rsidRPr="00221BE3" w:rsidRDefault="00E431F0" w:rsidP="00C37E40">
      <w:pPr>
        <w:pStyle w:val="Heading3"/>
        <w:rPr>
          <w:rFonts w:cs="Arial"/>
        </w:rPr>
      </w:pPr>
      <w:bookmarkStart w:id="14" w:name="_Toc212954282"/>
      <w:r w:rsidRPr="00221BE3">
        <w:rPr>
          <w:rFonts w:cs="Arial"/>
        </w:rPr>
        <w:t>Challenges for HR Professionals</w:t>
      </w:r>
      <w:bookmarkEnd w:id="14"/>
    </w:p>
    <w:p w14:paraId="1098769C" w14:textId="77777777" w:rsidR="004331B1" w:rsidRPr="00221BE3" w:rsidRDefault="00E431F0" w:rsidP="006156FD">
      <w:pPr>
        <w:rPr>
          <w:rFonts w:cs="Arial"/>
        </w:rPr>
      </w:pPr>
      <w:r w:rsidRPr="00221BE3">
        <w:rPr>
          <w:rFonts w:cs="Arial"/>
        </w:rPr>
        <w:t>Complicated d</w:t>
      </w:r>
      <w:r w:rsidR="0034201F" w:rsidRPr="00221BE3">
        <w:rPr>
          <w:rFonts w:cs="Arial"/>
        </w:rPr>
        <w:t>emographic and geopolitical forces create complex HR issues. Talent mobility needs value propositions that are localised and cultural intelligence (Tarique and Schuler, 201</w:t>
      </w:r>
      <w:r w:rsidRPr="00221BE3">
        <w:rPr>
          <w:rFonts w:cs="Arial"/>
        </w:rPr>
        <w:t>5</w:t>
      </w:r>
      <w:r w:rsidR="0034201F" w:rsidRPr="00221BE3">
        <w:rPr>
          <w:rFonts w:cs="Arial"/>
        </w:rPr>
        <w:t>).</w:t>
      </w:r>
      <w:r w:rsidR="00D91233" w:rsidRPr="00221BE3">
        <w:rPr>
          <w:rFonts w:cs="Arial"/>
        </w:rPr>
        <w:t xml:space="preserve"> </w:t>
      </w:r>
      <w:r w:rsidR="0034201F" w:rsidRPr="00221BE3">
        <w:rPr>
          <w:rFonts w:cs="Arial"/>
        </w:rPr>
        <w:t>Handling multigenerational workforces that have witnessed diversity necessitates differentiated engagement approaches; multigenerational cultures that are inclusive of age boost productivity by a good margin. Meeting regulatory obligations causes operational costs: there are more than enough different regulatory regimes that multinationals have to cope with (Cooke, Dickmann and Parry, 2022). Pay equity and inclusion are necessary to address because different organisations are 36% more likely to outperform their less diverse peers (Ravio, 2024). There is a need to incorporate agility in workforce planning in terms of geopolitical shocks (Tirmizi, 2025). The IHRM dilemma of standardisation (scale, consistency) vs. localisation (culture, regulation) continues; hence, it requires managers to balance these two contrasting features</w:t>
      </w:r>
      <w:r w:rsidR="00D91233" w:rsidRPr="00221BE3">
        <w:rPr>
          <w:rFonts w:cs="Arial"/>
        </w:rPr>
        <w:t xml:space="preserve"> (Stone, Cox and Gavin, 2020)</w:t>
      </w:r>
      <w:r w:rsidR="0034201F" w:rsidRPr="00221BE3">
        <w:rPr>
          <w:rFonts w:cs="Arial"/>
        </w:rPr>
        <w:t>.</w:t>
      </w:r>
    </w:p>
    <w:p w14:paraId="440AFF69" w14:textId="77777777" w:rsidR="005D6FEF" w:rsidRPr="00221BE3" w:rsidRDefault="00E431F0" w:rsidP="00C37E40">
      <w:pPr>
        <w:pStyle w:val="Heading3"/>
        <w:rPr>
          <w:rFonts w:cs="Arial"/>
        </w:rPr>
      </w:pPr>
      <w:bookmarkStart w:id="15" w:name="_Toc212954283"/>
      <w:r w:rsidRPr="00221BE3">
        <w:rPr>
          <w:rFonts w:cs="Arial"/>
        </w:rPr>
        <w:t>Conclusion</w:t>
      </w:r>
      <w:bookmarkEnd w:id="15"/>
    </w:p>
    <w:p w14:paraId="74F53695" w14:textId="77777777" w:rsidR="00B9172F" w:rsidRPr="00221BE3" w:rsidRDefault="00E431F0" w:rsidP="006156FD">
      <w:pPr>
        <w:rPr>
          <w:rFonts w:eastAsiaTheme="majorEastAsia" w:cs="Arial"/>
          <w:sz w:val="28"/>
          <w:szCs w:val="40"/>
        </w:rPr>
      </w:pPr>
      <w:r w:rsidRPr="00221BE3">
        <w:rPr>
          <w:rFonts w:cs="Arial"/>
        </w:rPr>
        <w:t>Demographics and geopolitics cause a complex talent environment. HR practitioners require adjusting to a specific culture, regulatory adaptability, and a nimble strategy. They have to strike a balance between IHRM standardisation and localisation. The strategies needed are diversity, pay equity, and resilience amid geopolitical uncertainties in order to become successful</w:t>
      </w:r>
      <w:r w:rsidR="00D6200D" w:rsidRPr="00221BE3">
        <w:rPr>
          <w:rFonts w:cs="Arial"/>
        </w:rPr>
        <w:t>.</w:t>
      </w:r>
      <w:r w:rsidRPr="00221BE3">
        <w:rPr>
          <w:rFonts w:cs="Arial"/>
        </w:rPr>
        <w:br w:type="page"/>
      </w:r>
    </w:p>
    <w:p w14:paraId="7E3BF15B" w14:textId="77777777" w:rsidR="00B600D9" w:rsidRPr="00221BE3" w:rsidRDefault="00E431F0" w:rsidP="00C37E40">
      <w:pPr>
        <w:pStyle w:val="Heading1"/>
      </w:pPr>
      <w:bookmarkStart w:id="16" w:name="_Toc212954284"/>
      <w:r w:rsidRPr="00221BE3">
        <w:t>2.3 Question</w:t>
      </w:r>
      <w:r w:rsidR="005D6FEF" w:rsidRPr="00221BE3">
        <w:t xml:space="preserve"> 3: Addressing Skills Gaps and Talent Shortages</w:t>
      </w:r>
      <w:bookmarkEnd w:id="16"/>
    </w:p>
    <w:p w14:paraId="5CA71A61" w14:textId="77777777" w:rsidR="005D6FEF" w:rsidRPr="00221BE3" w:rsidRDefault="00E431F0" w:rsidP="00C37E40">
      <w:pPr>
        <w:pStyle w:val="Heading3"/>
        <w:rPr>
          <w:rFonts w:cs="Arial"/>
        </w:rPr>
      </w:pPr>
      <w:bookmarkStart w:id="17" w:name="_Toc212954285"/>
      <w:r w:rsidRPr="00221BE3">
        <w:rPr>
          <w:rFonts w:cs="Arial"/>
        </w:rPr>
        <w:t>Introduction</w:t>
      </w:r>
      <w:bookmarkEnd w:id="17"/>
    </w:p>
    <w:p w14:paraId="11ABF1DA" w14:textId="77777777" w:rsidR="005D6FEF" w:rsidRPr="00221BE3" w:rsidRDefault="00E431F0" w:rsidP="006156FD">
      <w:pPr>
        <w:rPr>
          <w:rFonts w:cs="Arial"/>
        </w:rPr>
      </w:pPr>
      <w:r w:rsidRPr="00221BE3">
        <w:rPr>
          <w:rFonts w:cs="Arial"/>
        </w:rPr>
        <w:t>This part explores the issue of chronic skills gaps and talent shortages in the labour markets of the world and looks at technologies, hospitality, and healthcare. It discusses industry-related issues and analyses strategic HRM solutions such as talent pipeline building, reskilling, and strategic recruiting.</w:t>
      </w:r>
    </w:p>
    <w:p w14:paraId="0C6A0048" w14:textId="77777777" w:rsidR="00B600D9" w:rsidRPr="00221BE3" w:rsidRDefault="00E431F0" w:rsidP="00C37E40">
      <w:pPr>
        <w:pStyle w:val="Heading3"/>
        <w:rPr>
          <w:rFonts w:cs="Arial"/>
        </w:rPr>
      </w:pPr>
      <w:bookmarkStart w:id="18" w:name="_Toc212954286"/>
      <w:r w:rsidRPr="00221BE3">
        <w:rPr>
          <w:rFonts w:cs="Arial"/>
        </w:rPr>
        <w:t>Context of Skills Gaps</w:t>
      </w:r>
      <w:bookmarkEnd w:id="18"/>
    </w:p>
    <w:p w14:paraId="59997397" w14:textId="77777777" w:rsidR="00B600D9" w:rsidRPr="00221BE3" w:rsidRDefault="00E431F0" w:rsidP="006156FD">
      <w:pPr>
        <w:rPr>
          <w:rFonts w:cs="Arial"/>
        </w:rPr>
      </w:pPr>
      <w:r w:rsidRPr="00221BE3">
        <w:rPr>
          <w:rFonts w:cs="Arial"/>
        </w:rPr>
        <w:t>Continual skills shortages limit growth. According to the ManpowerGroup's 2025 Talent Shortage report, 76% of employers claim that they are struggling to allocate staff, the highest level in ten years (ManpowerGroup, 2025). Such shortages are structural issues due to technology in the creation of skills misalignment. The complexity of the problem-solving method and constant adaptation require continuing developments and are necessitated by the knowledge economy</w:t>
      </w:r>
      <w:r w:rsidR="00D91233" w:rsidRPr="00221BE3">
        <w:rPr>
          <w:rFonts w:cs="Arial"/>
        </w:rPr>
        <w:t xml:space="preserve"> (Boudreau and Ramstad, 2021)</w:t>
      </w:r>
      <w:r w:rsidRPr="00221BE3">
        <w:rPr>
          <w:rFonts w:cs="Arial"/>
        </w:rPr>
        <w:t>.</w:t>
      </w:r>
    </w:p>
    <w:p w14:paraId="6EF452DA" w14:textId="77777777" w:rsidR="000738BB" w:rsidRPr="00221BE3" w:rsidRDefault="00E431F0" w:rsidP="009F307B">
      <w:pPr>
        <w:jc w:val="center"/>
        <w:rPr>
          <w:rFonts w:cs="Arial"/>
        </w:rPr>
      </w:pPr>
      <w:r w:rsidRPr="00221BE3">
        <w:rPr>
          <w:rFonts w:cs="Arial"/>
          <w:noProof/>
        </w:rPr>
        <w:drawing>
          <wp:inline distT="0" distB="0" distL="0" distR="0" wp14:anchorId="5619A3AD" wp14:editId="30A90C73">
            <wp:extent cx="4572000" cy="3593612"/>
            <wp:effectExtent l="0" t="0" r="0" b="6985"/>
            <wp:docPr id="1684162818" name="Picture 3" descr="A diagram of a company'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62818" name="Picture 3" descr="A diagram of a company's proces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572000" cy="3593612"/>
                    </a:xfrm>
                    <a:prstGeom prst="rect">
                      <a:avLst/>
                    </a:prstGeom>
                  </pic:spPr>
                </pic:pic>
              </a:graphicData>
            </a:graphic>
          </wp:inline>
        </w:drawing>
      </w:r>
    </w:p>
    <w:p w14:paraId="2E1B5DB9" w14:textId="77777777" w:rsidR="000738BB" w:rsidRPr="00221BE3" w:rsidRDefault="00E431F0" w:rsidP="009F307B">
      <w:pPr>
        <w:pStyle w:val="Caption"/>
        <w:spacing w:after="0" w:line="360" w:lineRule="auto"/>
        <w:rPr>
          <w:rFonts w:cs="Arial"/>
          <w:color w:val="auto"/>
        </w:rPr>
      </w:pPr>
      <w:bookmarkStart w:id="19" w:name="_Toc212904972"/>
      <w:r w:rsidRPr="00221BE3">
        <w:rPr>
          <w:rFonts w:cs="Arial"/>
          <w:color w:val="auto"/>
        </w:rPr>
        <w:t xml:space="preserve">Figure </w:t>
      </w:r>
      <w:r w:rsidRPr="00221BE3">
        <w:rPr>
          <w:rFonts w:cs="Arial"/>
          <w:color w:val="auto"/>
        </w:rPr>
        <w:fldChar w:fldCharType="begin"/>
      </w:r>
      <w:r w:rsidRPr="00221BE3">
        <w:rPr>
          <w:rFonts w:cs="Arial"/>
          <w:color w:val="auto"/>
        </w:rPr>
        <w:instrText xml:space="preserve"> SEQ Figure \* ARABIC </w:instrText>
      </w:r>
      <w:r w:rsidRPr="00221BE3">
        <w:rPr>
          <w:rFonts w:cs="Arial"/>
          <w:color w:val="auto"/>
        </w:rPr>
        <w:fldChar w:fldCharType="separate"/>
      </w:r>
      <w:r w:rsidR="000A2CAA" w:rsidRPr="00221BE3">
        <w:rPr>
          <w:rFonts w:cs="Arial"/>
          <w:noProof/>
          <w:color w:val="auto"/>
        </w:rPr>
        <w:t>3</w:t>
      </w:r>
      <w:r w:rsidRPr="00221BE3">
        <w:rPr>
          <w:rFonts w:cs="Arial"/>
          <w:noProof/>
          <w:color w:val="auto"/>
        </w:rPr>
        <w:fldChar w:fldCharType="end"/>
      </w:r>
      <w:r w:rsidRPr="00221BE3">
        <w:rPr>
          <w:rFonts w:cs="Arial"/>
          <w:color w:val="auto"/>
        </w:rPr>
        <w:t>: Strategic HRM Solutions to Bridge Skills Gaps.</w:t>
      </w:r>
      <w:bookmarkEnd w:id="19"/>
    </w:p>
    <w:p w14:paraId="6AE744AB" w14:textId="77777777" w:rsidR="00B600D9" w:rsidRPr="00221BE3" w:rsidRDefault="00E431F0" w:rsidP="00C37E40">
      <w:pPr>
        <w:pStyle w:val="Heading3"/>
        <w:rPr>
          <w:rFonts w:cs="Arial"/>
        </w:rPr>
      </w:pPr>
      <w:bookmarkStart w:id="20" w:name="_Toc212954287"/>
      <w:r w:rsidRPr="00221BE3">
        <w:rPr>
          <w:rFonts w:cs="Arial"/>
        </w:rPr>
        <w:t>Sector-Specific Analysis</w:t>
      </w:r>
      <w:bookmarkEnd w:id="20"/>
    </w:p>
    <w:p w14:paraId="45423262" w14:textId="77777777" w:rsidR="007E5661" w:rsidRPr="00221BE3" w:rsidRDefault="00E431F0" w:rsidP="006156FD">
      <w:pPr>
        <w:rPr>
          <w:rFonts w:cs="Arial"/>
        </w:rPr>
      </w:pPr>
      <w:r w:rsidRPr="00221BE3">
        <w:rPr>
          <w:rFonts w:cs="Arial"/>
        </w:rPr>
        <w:t>The technology industry suffers from a severe talent shortage. In cybersecurity, this global gap is more than 3.4 million professionals (ISC2, 2022). Due to these shortages, cloud computing certifications are still costly. Moreover, digital literacy is an issue as well. 44% of Europeans do not possess basic digital skills (Connecting Women In Digital, 2025).</w:t>
      </w:r>
    </w:p>
    <w:p w14:paraId="1793A090" w14:textId="77777777" w:rsidR="007E5661" w:rsidRPr="00221BE3" w:rsidRDefault="00E431F0" w:rsidP="006156FD">
      <w:pPr>
        <w:rPr>
          <w:rFonts w:cs="Arial"/>
        </w:rPr>
      </w:pPr>
      <w:r w:rsidRPr="00221BE3">
        <w:rPr>
          <w:rFonts w:cs="Arial"/>
        </w:rPr>
        <w:t>Hospitality has some significant post-pandemic hurdles. The UK had 186,000 job vacancies in 2022, compared to pre-pandemic times, driven by Brexit and Covid-19 (Department for Culture, Media &amp; Sport and Department for Science, Innovation &amp; Technology, 2022). Other alongside service skills are undersupplied, such as emotional intelligence (Baum, 2015).</w:t>
      </w:r>
    </w:p>
    <w:p w14:paraId="15836851" w14:textId="77777777" w:rsidR="007E5661" w:rsidRPr="00221BE3" w:rsidRDefault="00E431F0" w:rsidP="006156FD">
      <w:pPr>
        <w:rPr>
          <w:rFonts w:cs="Arial"/>
        </w:rPr>
      </w:pPr>
      <w:r w:rsidRPr="00221BE3">
        <w:rPr>
          <w:rFonts w:cs="Arial"/>
        </w:rPr>
        <w:t>Healthcare is facing extreme pressures on its workforce. The WHO estimates a global shortage of 11 million healthcare workers by 2030 (World Health Organisation, 2024). Developed nations suffer from a lack of specialised physicians because of burnout. Nursing shortages are vital. There is a total of more than 36,000 nurse vacancies in the UK (Royal College of Nursing). The U.S. anticipates more than 1 million RNs will be retiring by 2030 (Feeney, 2024; Garuba, 2025).</w:t>
      </w:r>
    </w:p>
    <w:p w14:paraId="6D45A126" w14:textId="77777777" w:rsidR="00B600D9" w:rsidRPr="00221BE3" w:rsidRDefault="00E431F0" w:rsidP="00C37E40">
      <w:pPr>
        <w:pStyle w:val="Heading3"/>
        <w:rPr>
          <w:rFonts w:cs="Arial"/>
        </w:rPr>
      </w:pPr>
      <w:bookmarkStart w:id="21" w:name="_Toc212954288"/>
      <w:r w:rsidRPr="00221BE3">
        <w:rPr>
          <w:rFonts w:cs="Arial"/>
        </w:rPr>
        <w:t>Strategic HRM Solutions</w:t>
      </w:r>
      <w:bookmarkEnd w:id="21"/>
    </w:p>
    <w:p w14:paraId="234411B6" w14:textId="77777777" w:rsidR="00B8732D" w:rsidRPr="00221BE3" w:rsidRDefault="00E431F0" w:rsidP="006156FD">
      <w:pPr>
        <w:rPr>
          <w:rFonts w:cs="Arial"/>
        </w:rPr>
      </w:pPr>
      <w:r w:rsidRPr="00221BE3">
        <w:rPr>
          <w:rFonts w:cs="Arial"/>
        </w:rPr>
        <w:t>Extreme HRM measures are needed to bridge the skills gaps. Siemens has a dual education system which trains 10,400 people per year (Siemens, 2019). The UK's Apprenticeship Levy was $2.7B in training in 2022 (Camden, 2023). Internal talent management, such as Unilever's Future Leaders Programme, is also a powerful method of developing capabilities and can be proactive.</w:t>
      </w:r>
    </w:p>
    <w:p w14:paraId="056843F8" w14:textId="77777777" w:rsidR="00B8732D" w:rsidRPr="00221BE3" w:rsidRDefault="00E431F0" w:rsidP="006156FD">
      <w:pPr>
        <w:rPr>
          <w:rFonts w:cs="Arial"/>
        </w:rPr>
      </w:pPr>
      <w:r w:rsidRPr="00221BE3">
        <w:rPr>
          <w:rFonts w:cs="Arial"/>
        </w:rPr>
        <w:t>Reskilling fills in technological deficits. AT&amp;T's industries invested $1 billion in online training programmes for 250,000 employees (Caminiti, 2018), and challenges include low completion rates. Competency-based hiring is an interesting idea that has been followed; IBM has sidelined degree requirements to increase the hiring pool. Micro-credentials are a step in this process, but they are not standardised.</w:t>
      </w:r>
    </w:p>
    <w:p w14:paraId="0C043433" w14:textId="77777777" w:rsidR="00B8732D" w:rsidRPr="00221BE3" w:rsidRDefault="00E431F0" w:rsidP="006156FD">
      <w:pPr>
        <w:rPr>
          <w:rFonts w:cs="Arial"/>
        </w:rPr>
      </w:pPr>
      <w:r w:rsidRPr="00221BE3">
        <w:rPr>
          <w:rFonts w:cs="Arial"/>
        </w:rPr>
        <w:t>Employer branding is essential. Google's total reward strategy is an example of total reward (Armstrong and Taylor, 2020). Flexible Work: A vast majority, 73%, of workers prefer to have the option of working from any location, and 76% prefer working flexible hours (Microsoft, 2023). International recruitment, like Canada's Express Entry (Immigration, Refugees and Citizenship Canada, 2023), targets shortages but raises brain drain concerns (Clemens, 2015).</w:t>
      </w:r>
    </w:p>
    <w:p w14:paraId="1853375C" w14:textId="77777777" w:rsidR="005D6FEF" w:rsidRPr="00221BE3" w:rsidRDefault="00E431F0" w:rsidP="00C37E40">
      <w:pPr>
        <w:pStyle w:val="Heading3"/>
        <w:rPr>
          <w:rFonts w:cs="Arial"/>
        </w:rPr>
      </w:pPr>
      <w:bookmarkStart w:id="22" w:name="_Toc212954289"/>
      <w:r w:rsidRPr="00221BE3">
        <w:rPr>
          <w:rFonts w:cs="Arial"/>
        </w:rPr>
        <w:t>Conclusion</w:t>
      </w:r>
      <w:bookmarkEnd w:id="22"/>
    </w:p>
    <w:p w14:paraId="4B7F8C0E" w14:textId="77777777" w:rsidR="00B9172F" w:rsidRPr="00221BE3" w:rsidRDefault="00E431F0" w:rsidP="006156FD">
      <w:pPr>
        <w:rPr>
          <w:rFonts w:eastAsiaTheme="majorEastAsia" w:cs="Arial"/>
          <w:sz w:val="28"/>
          <w:szCs w:val="40"/>
        </w:rPr>
      </w:pPr>
      <w:r w:rsidRPr="00221BE3">
        <w:rPr>
          <w:rFonts w:cs="Arial"/>
        </w:rPr>
        <w:t>The skills gaps require complex HRM solutions: that is, talent pipelines, reskilling, competency-based recruiting, and employer branding. Such issues as low completion of training remain. Nevertheless, those organisations that will invest in developing the workforce and flexible working will be more successful in alleviating such shortages of talent. Effective mitigation requires a long-term investment, dedication, and fresh approaches to talent.</w:t>
      </w:r>
      <w:r w:rsidRPr="00221BE3">
        <w:rPr>
          <w:rFonts w:cs="Arial"/>
        </w:rPr>
        <w:br w:type="page"/>
      </w:r>
    </w:p>
    <w:p w14:paraId="772CC16F" w14:textId="77777777" w:rsidR="00B600D9" w:rsidRPr="00221BE3" w:rsidRDefault="00E431F0" w:rsidP="00C37E40">
      <w:pPr>
        <w:pStyle w:val="Heading1"/>
      </w:pPr>
      <w:bookmarkStart w:id="23" w:name="_Toc212954290"/>
      <w:r w:rsidRPr="00221BE3">
        <w:t xml:space="preserve">2.4 </w:t>
      </w:r>
      <w:r w:rsidR="005D6FEF" w:rsidRPr="00221BE3">
        <w:t>Question 4: Personal Reflective Report</w:t>
      </w:r>
      <w:bookmarkEnd w:id="23"/>
    </w:p>
    <w:p w14:paraId="0B05C30D" w14:textId="77777777" w:rsidR="003834F6" w:rsidRPr="00221BE3" w:rsidRDefault="00E431F0" w:rsidP="00C37E40">
      <w:pPr>
        <w:pStyle w:val="Heading3"/>
        <w:rPr>
          <w:rFonts w:cs="Arial"/>
        </w:rPr>
      </w:pPr>
      <w:bookmarkStart w:id="24" w:name="_Toc212954291"/>
      <w:r w:rsidRPr="00221BE3">
        <w:rPr>
          <w:rFonts w:cs="Arial"/>
        </w:rPr>
        <w:t>Introduction</w:t>
      </w:r>
      <w:bookmarkEnd w:id="24"/>
    </w:p>
    <w:p w14:paraId="771889C9" w14:textId="77777777" w:rsidR="003834F6" w:rsidRPr="00221BE3" w:rsidRDefault="00E431F0" w:rsidP="006156FD">
      <w:pPr>
        <w:rPr>
          <w:rFonts w:cs="Arial"/>
        </w:rPr>
      </w:pPr>
      <w:r w:rsidRPr="00221BE3">
        <w:rPr>
          <w:rFonts w:cs="Arial"/>
        </w:rPr>
        <w:t>This reflective report evaluates my potential as a future HR professional in the contemporary global labour market. HR consulting experience as a postgraduate in Human Capital Management makes me understand that I need to acquire skills that can fit in either a global or a technology-oriented world. This reflection has utilised Gibbs Reflective Cycle (1988) as a framework in which to evaluate competencies, process reflections and develop a plan of development.</w:t>
      </w:r>
      <w:r w:rsidR="000A2CAA" w:rsidRPr="00221BE3">
        <w:rPr>
          <w:rFonts w:cs="Arial"/>
        </w:rPr>
        <w:t xml:space="preserve"> The following figure represents this model:</w:t>
      </w:r>
    </w:p>
    <w:p w14:paraId="036AC97A" w14:textId="77777777" w:rsidR="000A2CAA" w:rsidRPr="00221BE3" w:rsidRDefault="00E431F0" w:rsidP="000A2CAA">
      <w:pPr>
        <w:jc w:val="center"/>
        <w:rPr>
          <w:rFonts w:cs="Arial"/>
        </w:rPr>
      </w:pPr>
      <w:r w:rsidRPr="00221BE3">
        <w:rPr>
          <w:rFonts w:cs="Arial"/>
          <w:noProof/>
        </w:rPr>
        <w:drawing>
          <wp:inline distT="0" distB="0" distL="0" distR="0" wp14:anchorId="604F6121" wp14:editId="76E187C2">
            <wp:extent cx="5943600" cy="3474085"/>
            <wp:effectExtent l="0" t="0" r="0" b="0"/>
            <wp:docPr id="831323971" name="Picture 1" descr="An Approach to Progress Learning Outcomes: International Graduate Students'  Engagement in Reflective Practice and Reflective Journal Writing during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23971" name="Picture 1" descr="An Approach to Progress Learning Outcomes: International Graduate Students'  Engagement in Reflective Practice and Reflective Journal Writing during  Pandemic"/>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943600" cy="3474085"/>
                    </a:xfrm>
                    <a:prstGeom prst="rect">
                      <a:avLst/>
                    </a:prstGeom>
                    <a:noFill/>
                    <a:ln>
                      <a:noFill/>
                    </a:ln>
                  </pic:spPr>
                </pic:pic>
              </a:graphicData>
            </a:graphic>
          </wp:inline>
        </w:drawing>
      </w:r>
    </w:p>
    <w:p w14:paraId="32BFFEB3" w14:textId="77777777" w:rsidR="000A2CAA" w:rsidRPr="00221BE3" w:rsidRDefault="00E431F0" w:rsidP="00AF7BDC">
      <w:pPr>
        <w:pStyle w:val="Caption"/>
        <w:spacing w:after="0" w:line="360" w:lineRule="auto"/>
        <w:rPr>
          <w:rFonts w:cs="Arial"/>
          <w:color w:val="auto"/>
          <w:szCs w:val="20"/>
        </w:rPr>
      </w:pPr>
      <w:bookmarkStart w:id="25" w:name="_Toc212904973"/>
      <w:r w:rsidRPr="00221BE3">
        <w:rPr>
          <w:rFonts w:cs="Arial"/>
          <w:color w:val="auto"/>
          <w:szCs w:val="20"/>
        </w:rPr>
        <w:t xml:space="preserve">Figure </w:t>
      </w:r>
      <w:r w:rsidRPr="00221BE3">
        <w:rPr>
          <w:rFonts w:cs="Arial"/>
          <w:color w:val="auto"/>
          <w:szCs w:val="20"/>
        </w:rPr>
        <w:fldChar w:fldCharType="begin"/>
      </w:r>
      <w:r w:rsidRPr="00221BE3">
        <w:rPr>
          <w:rFonts w:cs="Arial"/>
          <w:color w:val="auto"/>
          <w:szCs w:val="20"/>
        </w:rPr>
        <w:instrText xml:space="preserve"> SEQ Figure \* ARABIC </w:instrText>
      </w:r>
      <w:r w:rsidRPr="00221BE3">
        <w:rPr>
          <w:rFonts w:cs="Arial"/>
          <w:color w:val="auto"/>
          <w:szCs w:val="20"/>
        </w:rPr>
        <w:fldChar w:fldCharType="separate"/>
      </w:r>
      <w:r w:rsidRPr="00221BE3">
        <w:rPr>
          <w:rFonts w:cs="Arial"/>
          <w:noProof/>
          <w:color w:val="auto"/>
          <w:szCs w:val="20"/>
        </w:rPr>
        <w:t>4</w:t>
      </w:r>
      <w:r w:rsidRPr="00221BE3">
        <w:rPr>
          <w:rFonts w:cs="Arial"/>
          <w:color w:val="auto"/>
          <w:szCs w:val="20"/>
        </w:rPr>
        <w:fldChar w:fldCharType="end"/>
      </w:r>
      <w:r w:rsidRPr="00221BE3">
        <w:rPr>
          <w:rFonts w:cs="Arial"/>
          <w:color w:val="auto"/>
          <w:szCs w:val="20"/>
        </w:rPr>
        <w:t>: Gibbs' Reflective model</w:t>
      </w:r>
      <w:bookmarkEnd w:id="25"/>
    </w:p>
    <w:p w14:paraId="0A9AE768" w14:textId="77777777" w:rsidR="000A2CAA" w:rsidRPr="00221BE3" w:rsidRDefault="00E431F0" w:rsidP="00AF7BDC">
      <w:pPr>
        <w:jc w:val="center"/>
        <w:rPr>
          <w:rFonts w:cs="Arial"/>
          <w:b/>
          <w:sz w:val="20"/>
          <w:szCs w:val="20"/>
          <w:lang w:bidi="ar-SA"/>
        </w:rPr>
      </w:pPr>
      <w:r w:rsidRPr="00221BE3">
        <w:rPr>
          <w:rFonts w:cs="Arial"/>
          <w:b/>
          <w:sz w:val="20"/>
          <w:szCs w:val="20"/>
          <w:lang w:bidi="ar-SA"/>
        </w:rPr>
        <w:t xml:space="preserve">Source: </w:t>
      </w:r>
      <w:r w:rsidR="00AF7BDC" w:rsidRPr="00221BE3">
        <w:rPr>
          <w:rFonts w:cs="Arial"/>
          <w:b/>
          <w:sz w:val="20"/>
          <w:szCs w:val="20"/>
          <w:lang w:bidi="ar-SA"/>
        </w:rPr>
        <w:t>(Jasper, 2013)</w:t>
      </w:r>
    </w:p>
    <w:p w14:paraId="73AC341B" w14:textId="77777777" w:rsidR="003834F6" w:rsidRPr="00221BE3" w:rsidRDefault="00E431F0" w:rsidP="00C37E40">
      <w:pPr>
        <w:pStyle w:val="Heading3"/>
        <w:rPr>
          <w:rFonts w:cs="Arial"/>
        </w:rPr>
      </w:pPr>
      <w:bookmarkStart w:id="26" w:name="_Toc212954292"/>
      <w:r w:rsidRPr="00221BE3">
        <w:rPr>
          <w:rFonts w:cs="Arial"/>
        </w:rPr>
        <w:t>Application of Gibbs' Reflective Cycle</w:t>
      </w:r>
      <w:bookmarkEnd w:id="26"/>
    </w:p>
    <w:p w14:paraId="3057D9E9" w14:textId="77777777" w:rsidR="003834F6" w:rsidRPr="00221BE3" w:rsidRDefault="00E431F0" w:rsidP="006156FD">
      <w:pPr>
        <w:rPr>
          <w:rFonts w:cs="Arial"/>
        </w:rPr>
      </w:pPr>
      <w:r w:rsidRPr="00221BE3">
        <w:rPr>
          <w:rFonts w:cs="Arial"/>
        </w:rPr>
        <w:t>Reflective Cycle by Gibbs offers a reflection framework on six stages involving: Description, Feeling, Evaluation, Analysis, Conclusion and Action plan (McLeod, 2025). This model helps to learn more from experiences and helps to develop professionally with the help of developed critical reflection.</w:t>
      </w:r>
    </w:p>
    <w:p w14:paraId="354F7AEA" w14:textId="77777777" w:rsidR="003834F6" w:rsidRPr="00221BE3" w:rsidRDefault="00E431F0" w:rsidP="006156FD">
      <w:pPr>
        <w:rPr>
          <w:rFonts w:cs="Arial"/>
          <w:b/>
          <w:bCs/>
          <w:sz w:val="24"/>
          <w:szCs w:val="24"/>
        </w:rPr>
      </w:pPr>
      <w:r w:rsidRPr="00221BE3">
        <w:rPr>
          <w:rFonts w:cs="Arial"/>
          <w:b/>
          <w:bCs/>
          <w:sz w:val="24"/>
          <w:szCs w:val="24"/>
        </w:rPr>
        <w:t>Description: What Happened?</w:t>
      </w:r>
    </w:p>
    <w:p w14:paraId="452B307C" w14:textId="77777777" w:rsidR="003834F6" w:rsidRPr="00221BE3" w:rsidRDefault="00E431F0" w:rsidP="006156FD">
      <w:pPr>
        <w:rPr>
          <w:rFonts w:cs="Arial"/>
        </w:rPr>
      </w:pPr>
      <w:r w:rsidRPr="00221BE3">
        <w:rPr>
          <w:rFonts w:cs="Arial"/>
        </w:rPr>
        <w:t>During my postgraduate work and the internship in an HR consulting company, I had to deal with recruitment, talent management, and analytics. I headed an HR dashboard implementation (60% reporting time savings) and used AI (35% improvement of hiring efficiency). I organised a five-member project (highest grade) in the HRM strategies, in this case, psychological safety. I have collaborated with employees from fifteen countries, but have no experience working on international assignments, particularly in the Asia-Pacific region.</w:t>
      </w:r>
    </w:p>
    <w:p w14:paraId="24EFD7D8" w14:textId="77777777" w:rsidR="003834F6" w:rsidRPr="00221BE3" w:rsidRDefault="00E431F0" w:rsidP="006156FD">
      <w:pPr>
        <w:rPr>
          <w:rFonts w:cs="Arial"/>
          <w:b/>
          <w:bCs/>
          <w:sz w:val="24"/>
          <w:szCs w:val="24"/>
        </w:rPr>
      </w:pPr>
      <w:r w:rsidRPr="00221BE3">
        <w:rPr>
          <w:rFonts w:cs="Arial"/>
          <w:b/>
          <w:bCs/>
          <w:sz w:val="24"/>
          <w:szCs w:val="24"/>
        </w:rPr>
        <w:t>Feelings: What Was I Thinking and Feeling?</w:t>
      </w:r>
    </w:p>
    <w:p w14:paraId="2038484C" w14:textId="77777777" w:rsidR="003834F6" w:rsidRPr="00221BE3" w:rsidRDefault="00E431F0" w:rsidP="006156FD">
      <w:pPr>
        <w:rPr>
          <w:rFonts w:cs="Arial"/>
        </w:rPr>
      </w:pPr>
      <w:r w:rsidRPr="00221BE3">
        <w:rPr>
          <w:rFonts w:cs="Arial"/>
        </w:rPr>
        <w:t>I was sure of my engineering skills (Workday, SAP SuccessFactors), which was supported by the dashboard success. Nonetheless, the cross-cultural circumstances put me in perplexity, highlighting cultural intelligence weaknesses. It irritated me when I had low competence in languages other than English/Spanish, which hindered international HR practices. As the leader of the HRM project, I was satisfied, and at times, I perceived myself as a servant leader who slacked in decision-making.</w:t>
      </w:r>
    </w:p>
    <w:p w14:paraId="2A3A4262" w14:textId="77777777" w:rsidR="003834F6" w:rsidRPr="00221BE3" w:rsidRDefault="00E431F0" w:rsidP="006156FD">
      <w:pPr>
        <w:rPr>
          <w:rFonts w:cs="Arial"/>
          <w:b/>
          <w:bCs/>
          <w:sz w:val="26"/>
          <w:szCs w:val="26"/>
        </w:rPr>
      </w:pPr>
      <w:r w:rsidRPr="00221BE3">
        <w:rPr>
          <w:rFonts w:cs="Arial"/>
          <w:b/>
          <w:bCs/>
          <w:sz w:val="26"/>
          <w:szCs w:val="26"/>
        </w:rPr>
        <w:t>Evaluation: What Was Good and Bad About the Experience?</w:t>
      </w:r>
    </w:p>
    <w:tbl>
      <w:tblPr>
        <w:tblStyle w:val="TableGrid"/>
        <w:tblW w:w="0" w:type="auto"/>
        <w:tblLook w:val="04A0" w:firstRow="1" w:lastRow="0" w:firstColumn="1" w:lastColumn="0" w:noHBand="0" w:noVBand="1"/>
      </w:tblPr>
      <w:tblGrid>
        <w:gridCol w:w="4675"/>
        <w:gridCol w:w="4675"/>
      </w:tblGrid>
      <w:tr w:rsidR="00FD3B31" w14:paraId="42D96FF4" w14:textId="77777777" w:rsidTr="00AF7BDC">
        <w:tc>
          <w:tcPr>
            <w:tcW w:w="4675" w:type="dxa"/>
          </w:tcPr>
          <w:p w14:paraId="18117AFA" w14:textId="77777777" w:rsidR="00AF7BDC" w:rsidRPr="00221BE3" w:rsidRDefault="00E431F0" w:rsidP="00AF7BDC">
            <w:pPr>
              <w:jc w:val="center"/>
              <w:rPr>
                <w:rFonts w:cs="Arial"/>
                <w:b/>
                <w:bCs/>
              </w:rPr>
            </w:pPr>
            <w:r w:rsidRPr="00221BE3">
              <w:rPr>
                <w:rFonts w:cs="Arial"/>
                <w:b/>
                <w:bCs/>
              </w:rPr>
              <w:t>Strengths Identified</w:t>
            </w:r>
          </w:p>
        </w:tc>
        <w:tc>
          <w:tcPr>
            <w:tcW w:w="4675" w:type="dxa"/>
          </w:tcPr>
          <w:p w14:paraId="71A78655" w14:textId="77777777" w:rsidR="00AF7BDC" w:rsidRPr="00221BE3" w:rsidRDefault="00E431F0" w:rsidP="00D355EC">
            <w:pPr>
              <w:jc w:val="center"/>
              <w:rPr>
                <w:rFonts w:cs="Arial"/>
                <w:b/>
                <w:bCs/>
              </w:rPr>
            </w:pPr>
            <w:r w:rsidRPr="00221BE3">
              <w:rPr>
                <w:rFonts w:cs="Arial"/>
                <w:b/>
                <w:bCs/>
              </w:rPr>
              <w:t>Weakness Iden</w:t>
            </w:r>
            <w:r w:rsidR="00D355EC" w:rsidRPr="00221BE3">
              <w:rPr>
                <w:rFonts w:cs="Arial"/>
                <w:b/>
                <w:bCs/>
              </w:rPr>
              <w:t>tified</w:t>
            </w:r>
          </w:p>
        </w:tc>
      </w:tr>
      <w:tr w:rsidR="00FD3B31" w14:paraId="644C5921" w14:textId="77777777" w:rsidTr="00AF7BDC">
        <w:tc>
          <w:tcPr>
            <w:tcW w:w="4675" w:type="dxa"/>
          </w:tcPr>
          <w:p w14:paraId="2AA8ADE5" w14:textId="77777777" w:rsidR="00AF7BDC" w:rsidRPr="00221BE3" w:rsidRDefault="00E431F0" w:rsidP="00221BE3">
            <w:pPr>
              <w:pStyle w:val="ListParagraph"/>
              <w:numPr>
                <w:ilvl w:val="0"/>
                <w:numId w:val="4"/>
              </w:numPr>
              <w:rPr>
                <w:rFonts w:cs="Arial"/>
              </w:rPr>
            </w:pPr>
            <w:r w:rsidRPr="00221BE3">
              <w:rPr>
                <w:rFonts w:cs="Arial"/>
                <w:b/>
                <w:bCs/>
              </w:rPr>
              <w:t>Technology Skills:</w:t>
            </w:r>
            <w:r w:rsidRPr="00221BE3">
              <w:rPr>
                <w:rFonts w:cs="Arial"/>
              </w:rPr>
              <w:t xml:space="preserve"> HR technology/data analytics; reduced reporting time by 60 per cent; AI recruiting.</w:t>
            </w:r>
          </w:p>
          <w:p w14:paraId="24240442" w14:textId="77777777" w:rsidR="00AF7BDC" w:rsidRPr="00221BE3" w:rsidRDefault="00E431F0" w:rsidP="00221BE3">
            <w:pPr>
              <w:pStyle w:val="ListParagraph"/>
              <w:numPr>
                <w:ilvl w:val="0"/>
                <w:numId w:val="4"/>
              </w:numPr>
              <w:rPr>
                <w:rFonts w:cs="Arial"/>
              </w:rPr>
            </w:pPr>
            <w:r w:rsidRPr="00221BE3">
              <w:rPr>
                <w:rFonts w:cs="Arial"/>
                <w:b/>
                <w:bCs/>
              </w:rPr>
              <w:t>Teamwork:</w:t>
            </w:r>
            <w:r w:rsidRPr="00221BE3">
              <w:rPr>
                <w:rFonts w:cs="Arial"/>
              </w:rPr>
              <w:t xml:space="preserve"> Managing teams, establishing psychological safety.</w:t>
            </w:r>
          </w:p>
          <w:p w14:paraId="14C41831" w14:textId="77777777" w:rsidR="00AF7BDC" w:rsidRPr="00221BE3" w:rsidRDefault="00E431F0" w:rsidP="00221BE3">
            <w:pPr>
              <w:pStyle w:val="ListParagraph"/>
              <w:numPr>
                <w:ilvl w:val="0"/>
                <w:numId w:val="4"/>
              </w:numPr>
              <w:rPr>
                <w:rFonts w:cs="Arial"/>
              </w:rPr>
            </w:pPr>
            <w:r w:rsidRPr="00221BE3">
              <w:rPr>
                <w:rFonts w:cs="Arial"/>
                <w:b/>
                <w:bCs/>
              </w:rPr>
              <w:t>Self-Directed Learning:</w:t>
            </w:r>
            <w:r w:rsidRPr="00221BE3">
              <w:rPr>
                <w:rFonts w:cs="Arial"/>
              </w:rPr>
              <w:t xml:space="preserve"> Adaptability (Coursera).</w:t>
            </w:r>
          </w:p>
        </w:tc>
        <w:tc>
          <w:tcPr>
            <w:tcW w:w="4675" w:type="dxa"/>
          </w:tcPr>
          <w:p w14:paraId="41E0DCD4" w14:textId="77777777" w:rsidR="00AF7BDC" w:rsidRPr="00221BE3" w:rsidRDefault="00E431F0" w:rsidP="00221BE3">
            <w:pPr>
              <w:pStyle w:val="ListParagraph"/>
              <w:numPr>
                <w:ilvl w:val="0"/>
                <w:numId w:val="5"/>
              </w:numPr>
              <w:rPr>
                <w:rFonts w:cs="Arial"/>
                <w:b/>
                <w:bCs/>
              </w:rPr>
            </w:pPr>
            <w:r w:rsidRPr="00221BE3">
              <w:rPr>
                <w:rFonts w:cs="Arial"/>
                <w:b/>
                <w:bCs/>
              </w:rPr>
              <w:t>International Competence:</w:t>
            </w:r>
            <w:r w:rsidRPr="00221BE3">
              <w:rPr>
                <w:rFonts w:cs="Arial"/>
              </w:rPr>
              <w:t xml:space="preserve"> Limited international experience and language skills constrain global effectiveness.</w:t>
            </w:r>
          </w:p>
          <w:p w14:paraId="6A84805D" w14:textId="77777777" w:rsidR="00AF7BDC" w:rsidRPr="00221BE3" w:rsidRDefault="00E431F0" w:rsidP="00221BE3">
            <w:pPr>
              <w:pStyle w:val="ListParagraph"/>
              <w:numPr>
                <w:ilvl w:val="0"/>
                <w:numId w:val="5"/>
              </w:numPr>
              <w:rPr>
                <w:rFonts w:cs="Arial"/>
              </w:rPr>
            </w:pPr>
            <w:r w:rsidRPr="00221BE3">
              <w:rPr>
                <w:rFonts w:cs="Arial"/>
                <w:b/>
                <w:bCs/>
              </w:rPr>
              <w:t xml:space="preserve">Leadership Decisiveness: </w:t>
            </w:r>
            <w:r w:rsidRPr="00221BE3">
              <w:rPr>
                <w:rFonts w:cs="Arial"/>
              </w:rPr>
              <w:t>Servant leadership hinders crisis decision-making.</w:t>
            </w:r>
          </w:p>
          <w:p w14:paraId="783D5755" w14:textId="77777777" w:rsidR="00AF7BDC" w:rsidRPr="00221BE3" w:rsidRDefault="00E431F0" w:rsidP="00221BE3">
            <w:pPr>
              <w:pStyle w:val="ListParagraph"/>
              <w:numPr>
                <w:ilvl w:val="0"/>
                <w:numId w:val="5"/>
              </w:numPr>
              <w:rPr>
                <w:rFonts w:cs="Arial"/>
              </w:rPr>
            </w:pPr>
            <w:r w:rsidRPr="00221BE3">
              <w:rPr>
                <w:rFonts w:cs="Arial"/>
                <w:b/>
                <w:bCs/>
              </w:rPr>
              <w:t>Advanced Analytics:</w:t>
            </w:r>
            <w:r w:rsidRPr="00221BE3">
              <w:rPr>
                <w:rFonts w:cs="Arial"/>
              </w:rPr>
              <w:t xml:space="preserve"> Lacking Python/R proficiency.</w:t>
            </w:r>
          </w:p>
        </w:tc>
      </w:tr>
    </w:tbl>
    <w:p w14:paraId="60042D90" w14:textId="77777777" w:rsidR="00D355EC" w:rsidRPr="00221BE3" w:rsidRDefault="00E431F0" w:rsidP="00C37E40">
      <w:pPr>
        <w:pStyle w:val="Caption"/>
        <w:spacing w:after="0" w:line="360" w:lineRule="auto"/>
        <w:rPr>
          <w:rFonts w:cs="Arial"/>
          <w:b w:val="0"/>
          <w:bCs/>
          <w:color w:val="auto"/>
          <w:sz w:val="26"/>
          <w:szCs w:val="26"/>
        </w:rPr>
      </w:pPr>
      <w:bookmarkStart w:id="27" w:name="_Toc212904977"/>
      <w:r w:rsidRPr="00221BE3">
        <w:rPr>
          <w:rFonts w:cs="Arial"/>
          <w:color w:val="auto"/>
        </w:rPr>
        <w:t xml:space="preserve">Table </w:t>
      </w:r>
      <w:r w:rsidRPr="00221BE3">
        <w:rPr>
          <w:rFonts w:cs="Arial"/>
          <w:color w:val="auto"/>
        </w:rPr>
        <w:fldChar w:fldCharType="begin"/>
      </w:r>
      <w:r w:rsidRPr="00221BE3">
        <w:rPr>
          <w:rFonts w:cs="Arial"/>
          <w:color w:val="auto"/>
        </w:rPr>
        <w:instrText xml:space="preserve"> SEQ Table \* ARABIC </w:instrText>
      </w:r>
      <w:r w:rsidRPr="00221BE3">
        <w:rPr>
          <w:rFonts w:cs="Arial"/>
          <w:color w:val="auto"/>
        </w:rPr>
        <w:fldChar w:fldCharType="separate"/>
      </w:r>
      <w:r w:rsidRPr="00221BE3">
        <w:rPr>
          <w:rFonts w:cs="Arial"/>
          <w:noProof/>
          <w:color w:val="auto"/>
        </w:rPr>
        <w:t>1</w:t>
      </w:r>
      <w:r w:rsidRPr="00221BE3">
        <w:rPr>
          <w:rFonts w:cs="Arial"/>
          <w:color w:val="auto"/>
        </w:rPr>
        <w:fldChar w:fldCharType="end"/>
      </w:r>
      <w:r w:rsidRPr="00221BE3">
        <w:rPr>
          <w:rFonts w:cs="Arial"/>
          <w:color w:val="auto"/>
        </w:rPr>
        <w:t>: Evaluations of the Good and Bad sides of the experience</w:t>
      </w:r>
      <w:bookmarkEnd w:id="27"/>
    </w:p>
    <w:p w14:paraId="1B54E0B4" w14:textId="77777777" w:rsidR="003834F6" w:rsidRPr="00221BE3" w:rsidRDefault="00E431F0" w:rsidP="006156FD">
      <w:pPr>
        <w:rPr>
          <w:rFonts w:cs="Arial"/>
          <w:b/>
          <w:bCs/>
          <w:sz w:val="24"/>
          <w:szCs w:val="24"/>
        </w:rPr>
      </w:pPr>
      <w:r w:rsidRPr="00221BE3">
        <w:rPr>
          <w:rFonts w:cs="Arial"/>
          <w:b/>
          <w:bCs/>
          <w:sz w:val="24"/>
          <w:szCs w:val="24"/>
        </w:rPr>
        <w:t>Analysis: What Sense Can I Make of the Situation?</w:t>
      </w:r>
    </w:p>
    <w:p w14:paraId="223D28BE" w14:textId="77777777" w:rsidR="003834F6" w:rsidRPr="00221BE3" w:rsidRDefault="00E431F0" w:rsidP="006156FD">
      <w:pPr>
        <w:rPr>
          <w:rFonts w:cs="Arial"/>
        </w:rPr>
      </w:pPr>
      <w:r w:rsidRPr="00221BE3">
        <w:rPr>
          <w:rFonts w:cs="Arial"/>
        </w:rPr>
        <w:t>I have adequate tech skills in the 4IR, but their extent is limited. The demographics and geopolitics need cultural intelligence/international experience. Attendance: my technical skills are good, and softer international/leadership skills are poor. This is a wide gap, and MNEs need HR to strike a balance between standardisation and localisation (Stone, Cox and Gavin, 2020).</w:t>
      </w:r>
    </w:p>
    <w:p w14:paraId="1F50C237" w14:textId="77777777" w:rsidR="003834F6" w:rsidRPr="00221BE3" w:rsidRDefault="00E431F0" w:rsidP="006156FD">
      <w:pPr>
        <w:rPr>
          <w:rFonts w:cs="Arial"/>
          <w:b/>
          <w:bCs/>
          <w:sz w:val="24"/>
          <w:szCs w:val="24"/>
        </w:rPr>
      </w:pPr>
      <w:r w:rsidRPr="00221BE3">
        <w:rPr>
          <w:rFonts w:cs="Arial"/>
          <w:b/>
          <w:bCs/>
          <w:sz w:val="24"/>
          <w:szCs w:val="24"/>
        </w:rPr>
        <w:t>Conclusion: What Else Could I Have Done?</w:t>
      </w:r>
    </w:p>
    <w:p w14:paraId="78376C81" w14:textId="77777777" w:rsidR="003834F6" w:rsidRPr="00221BE3" w:rsidRDefault="00E431F0" w:rsidP="006156FD">
      <w:pPr>
        <w:rPr>
          <w:rFonts w:cs="Arial"/>
        </w:rPr>
      </w:pPr>
      <w:r w:rsidRPr="00221BE3">
        <w:rPr>
          <w:rFonts w:cs="Arial"/>
        </w:rPr>
        <w:t>I ought to have pursued overseas assignments and focused on learning languages (Mandarin) in the past. I had to have leadership that demanded decisiveness and Python/R certifications as well.</w:t>
      </w:r>
    </w:p>
    <w:p w14:paraId="014A775F" w14:textId="77777777" w:rsidR="004C4DAA" w:rsidRPr="00221BE3" w:rsidRDefault="00E431F0" w:rsidP="006156FD">
      <w:pPr>
        <w:rPr>
          <w:rFonts w:cs="Arial"/>
          <w:b/>
          <w:bCs/>
          <w:sz w:val="24"/>
          <w:szCs w:val="24"/>
        </w:rPr>
      </w:pPr>
      <w:r w:rsidRPr="00221BE3">
        <w:rPr>
          <w:rFonts w:cs="Arial"/>
          <w:b/>
          <w:bCs/>
          <w:sz w:val="24"/>
          <w:szCs w:val="24"/>
        </w:rPr>
        <w:t>Action Plan: What Will I Do Differently?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05"/>
        <w:gridCol w:w="1822"/>
        <w:gridCol w:w="4298"/>
        <w:gridCol w:w="1525"/>
      </w:tblGrid>
      <w:tr w:rsidR="00FD3B31" w14:paraId="5AB106FC" w14:textId="77777777" w:rsidTr="007E5661">
        <w:trPr>
          <w:trHeight w:val="533"/>
        </w:trPr>
        <w:tc>
          <w:tcPr>
            <w:tcW w:w="1705" w:type="dxa"/>
            <w:noWrap/>
            <w:tcMar>
              <w:top w:w="15" w:type="dxa"/>
              <w:left w:w="15" w:type="dxa"/>
              <w:bottom w:w="0" w:type="dxa"/>
              <w:right w:w="15" w:type="dxa"/>
            </w:tcMar>
            <w:vAlign w:val="center"/>
            <w:hideMark/>
          </w:tcPr>
          <w:p w14:paraId="20D21735" w14:textId="77777777" w:rsidR="004C4DAA" w:rsidRPr="00221BE3" w:rsidRDefault="00E431F0" w:rsidP="006156FD">
            <w:pPr>
              <w:rPr>
                <w:rFonts w:cs="Arial"/>
                <w:b/>
                <w:bCs/>
                <w:szCs w:val="22"/>
              </w:rPr>
            </w:pPr>
            <w:r w:rsidRPr="00221BE3">
              <w:rPr>
                <w:rFonts w:cs="Arial"/>
                <w:b/>
                <w:bCs/>
                <w:szCs w:val="22"/>
              </w:rPr>
              <w:t>Category</w:t>
            </w:r>
          </w:p>
        </w:tc>
        <w:tc>
          <w:tcPr>
            <w:tcW w:w="1822" w:type="dxa"/>
            <w:noWrap/>
            <w:tcMar>
              <w:top w:w="15" w:type="dxa"/>
              <w:left w:w="15" w:type="dxa"/>
              <w:bottom w:w="0" w:type="dxa"/>
              <w:right w:w="15" w:type="dxa"/>
            </w:tcMar>
            <w:vAlign w:val="center"/>
            <w:hideMark/>
          </w:tcPr>
          <w:p w14:paraId="36D11FBA" w14:textId="77777777" w:rsidR="004C4DAA" w:rsidRPr="00221BE3" w:rsidRDefault="00E431F0" w:rsidP="006156FD">
            <w:pPr>
              <w:rPr>
                <w:rFonts w:cs="Arial"/>
                <w:b/>
                <w:bCs/>
                <w:szCs w:val="22"/>
              </w:rPr>
            </w:pPr>
            <w:r w:rsidRPr="00221BE3">
              <w:rPr>
                <w:rFonts w:cs="Arial"/>
                <w:b/>
                <w:bCs/>
                <w:szCs w:val="22"/>
              </w:rPr>
              <w:t>Area of Focus</w:t>
            </w:r>
          </w:p>
        </w:tc>
        <w:tc>
          <w:tcPr>
            <w:tcW w:w="4298" w:type="dxa"/>
            <w:noWrap/>
            <w:tcMar>
              <w:top w:w="15" w:type="dxa"/>
              <w:left w:w="15" w:type="dxa"/>
              <w:bottom w:w="0" w:type="dxa"/>
              <w:right w:w="15" w:type="dxa"/>
            </w:tcMar>
            <w:vAlign w:val="center"/>
            <w:hideMark/>
          </w:tcPr>
          <w:p w14:paraId="0FBAEEE3" w14:textId="77777777" w:rsidR="004C4DAA" w:rsidRPr="00221BE3" w:rsidRDefault="00E431F0" w:rsidP="006156FD">
            <w:pPr>
              <w:rPr>
                <w:rFonts w:cs="Arial"/>
                <w:b/>
                <w:bCs/>
                <w:szCs w:val="22"/>
              </w:rPr>
            </w:pPr>
            <w:r w:rsidRPr="00221BE3">
              <w:rPr>
                <w:rFonts w:cs="Arial"/>
                <w:b/>
                <w:bCs/>
                <w:szCs w:val="22"/>
              </w:rPr>
              <w:t>Specific Actions</w:t>
            </w:r>
          </w:p>
        </w:tc>
        <w:tc>
          <w:tcPr>
            <w:tcW w:w="1525" w:type="dxa"/>
            <w:noWrap/>
            <w:tcMar>
              <w:top w:w="15" w:type="dxa"/>
              <w:left w:w="15" w:type="dxa"/>
              <w:bottom w:w="0" w:type="dxa"/>
              <w:right w:w="15" w:type="dxa"/>
            </w:tcMar>
            <w:vAlign w:val="center"/>
            <w:hideMark/>
          </w:tcPr>
          <w:p w14:paraId="116B4133" w14:textId="77777777" w:rsidR="004C4DAA" w:rsidRPr="00221BE3" w:rsidRDefault="00E431F0" w:rsidP="006156FD">
            <w:pPr>
              <w:rPr>
                <w:rFonts w:cs="Arial"/>
                <w:b/>
                <w:bCs/>
                <w:szCs w:val="22"/>
              </w:rPr>
            </w:pPr>
            <w:r w:rsidRPr="00221BE3">
              <w:rPr>
                <w:rFonts w:cs="Arial"/>
                <w:b/>
                <w:bCs/>
                <w:szCs w:val="22"/>
              </w:rPr>
              <w:t>Timeline</w:t>
            </w:r>
          </w:p>
        </w:tc>
      </w:tr>
      <w:tr w:rsidR="00FD3B31" w14:paraId="6EA83C8C" w14:textId="77777777" w:rsidTr="007E5661">
        <w:trPr>
          <w:trHeight w:val="965"/>
        </w:trPr>
        <w:tc>
          <w:tcPr>
            <w:tcW w:w="1705" w:type="dxa"/>
            <w:vMerge w:val="restart"/>
            <w:noWrap/>
            <w:tcMar>
              <w:top w:w="15" w:type="dxa"/>
              <w:left w:w="15" w:type="dxa"/>
              <w:bottom w:w="0" w:type="dxa"/>
              <w:right w:w="15" w:type="dxa"/>
            </w:tcMar>
            <w:vAlign w:val="center"/>
            <w:hideMark/>
          </w:tcPr>
          <w:p w14:paraId="5465D9FF" w14:textId="77777777" w:rsidR="00D355EC" w:rsidRPr="00221BE3" w:rsidRDefault="00E431F0" w:rsidP="006156FD">
            <w:pPr>
              <w:rPr>
                <w:rFonts w:cs="Arial"/>
                <w:b/>
                <w:bCs/>
                <w:szCs w:val="22"/>
              </w:rPr>
            </w:pPr>
            <w:r w:rsidRPr="00221BE3">
              <w:rPr>
                <w:rFonts w:cs="Arial"/>
                <w:b/>
                <w:bCs/>
                <w:szCs w:val="22"/>
              </w:rPr>
              <w:t>Leveraging Strengths</w:t>
            </w:r>
          </w:p>
        </w:tc>
        <w:tc>
          <w:tcPr>
            <w:tcW w:w="1822" w:type="dxa"/>
            <w:noWrap/>
            <w:tcMar>
              <w:top w:w="15" w:type="dxa"/>
              <w:left w:w="15" w:type="dxa"/>
              <w:bottom w:w="0" w:type="dxa"/>
              <w:right w:w="15" w:type="dxa"/>
            </w:tcMar>
            <w:vAlign w:val="center"/>
            <w:hideMark/>
          </w:tcPr>
          <w:p w14:paraId="6268ED6B" w14:textId="77777777" w:rsidR="00D355EC" w:rsidRPr="00221BE3" w:rsidRDefault="00E431F0" w:rsidP="006156FD">
            <w:pPr>
              <w:rPr>
                <w:rFonts w:cs="Arial"/>
                <w:szCs w:val="22"/>
              </w:rPr>
            </w:pPr>
            <w:r w:rsidRPr="00221BE3">
              <w:rPr>
                <w:rFonts w:cs="Arial"/>
                <w:szCs w:val="22"/>
              </w:rPr>
              <w:t>Technology Leadership</w:t>
            </w:r>
          </w:p>
        </w:tc>
        <w:tc>
          <w:tcPr>
            <w:tcW w:w="4298" w:type="dxa"/>
            <w:noWrap/>
            <w:tcMar>
              <w:top w:w="15" w:type="dxa"/>
              <w:left w:w="15" w:type="dxa"/>
              <w:bottom w:w="0" w:type="dxa"/>
              <w:right w:w="15" w:type="dxa"/>
            </w:tcMar>
            <w:vAlign w:val="center"/>
            <w:hideMark/>
          </w:tcPr>
          <w:p w14:paraId="6E68FD48" w14:textId="77777777" w:rsidR="00D355EC" w:rsidRPr="00221BE3" w:rsidRDefault="00E431F0" w:rsidP="006156FD">
            <w:pPr>
              <w:rPr>
                <w:rFonts w:cs="Arial"/>
                <w:szCs w:val="22"/>
              </w:rPr>
            </w:pPr>
            <w:r w:rsidRPr="00221BE3">
              <w:rPr>
                <w:rFonts w:cs="Arial"/>
                <w:szCs w:val="22"/>
              </w:rPr>
              <w:t>Mentor colleagues on HR tech; volunteer for faculty data research.</w:t>
            </w:r>
          </w:p>
        </w:tc>
        <w:tc>
          <w:tcPr>
            <w:tcW w:w="1525" w:type="dxa"/>
            <w:noWrap/>
            <w:tcMar>
              <w:top w:w="15" w:type="dxa"/>
              <w:left w:w="15" w:type="dxa"/>
              <w:bottom w:w="0" w:type="dxa"/>
              <w:right w:w="15" w:type="dxa"/>
            </w:tcMar>
            <w:vAlign w:val="center"/>
            <w:hideMark/>
          </w:tcPr>
          <w:p w14:paraId="4CC9A413" w14:textId="77777777" w:rsidR="00D355EC" w:rsidRPr="00221BE3" w:rsidRDefault="00E431F0" w:rsidP="006156FD">
            <w:pPr>
              <w:rPr>
                <w:rFonts w:cs="Arial"/>
                <w:szCs w:val="22"/>
              </w:rPr>
            </w:pPr>
            <w:r w:rsidRPr="00221BE3">
              <w:rPr>
                <w:rFonts w:cs="Arial"/>
                <w:szCs w:val="22"/>
              </w:rPr>
              <w:t>Ongoing</w:t>
            </w:r>
          </w:p>
        </w:tc>
      </w:tr>
      <w:tr w:rsidR="00FD3B31" w14:paraId="4682101C" w14:textId="77777777" w:rsidTr="007E5661">
        <w:trPr>
          <w:trHeight w:val="605"/>
        </w:trPr>
        <w:tc>
          <w:tcPr>
            <w:tcW w:w="1705" w:type="dxa"/>
            <w:vMerge/>
            <w:noWrap/>
            <w:tcMar>
              <w:top w:w="15" w:type="dxa"/>
              <w:left w:w="15" w:type="dxa"/>
              <w:bottom w:w="0" w:type="dxa"/>
              <w:right w:w="15" w:type="dxa"/>
            </w:tcMar>
            <w:vAlign w:val="center"/>
            <w:hideMark/>
          </w:tcPr>
          <w:p w14:paraId="4727CA49" w14:textId="77777777" w:rsidR="00D355EC" w:rsidRPr="00221BE3" w:rsidRDefault="00D355EC" w:rsidP="006156FD">
            <w:pPr>
              <w:rPr>
                <w:rFonts w:cs="Arial"/>
                <w:b/>
                <w:bCs/>
                <w:szCs w:val="22"/>
              </w:rPr>
            </w:pPr>
          </w:p>
        </w:tc>
        <w:tc>
          <w:tcPr>
            <w:tcW w:w="1822" w:type="dxa"/>
            <w:noWrap/>
            <w:tcMar>
              <w:top w:w="15" w:type="dxa"/>
              <w:left w:w="15" w:type="dxa"/>
              <w:bottom w:w="0" w:type="dxa"/>
              <w:right w:w="15" w:type="dxa"/>
            </w:tcMar>
            <w:vAlign w:val="center"/>
            <w:hideMark/>
          </w:tcPr>
          <w:p w14:paraId="5C881D12" w14:textId="77777777" w:rsidR="00D355EC" w:rsidRPr="00221BE3" w:rsidRDefault="00E431F0" w:rsidP="006156FD">
            <w:pPr>
              <w:rPr>
                <w:rFonts w:cs="Arial"/>
                <w:szCs w:val="22"/>
              </w:rPr>
            </w:pPr>
            <w:r w:rsidRPr="00221BE3">
              <w:rPr>
                <w:rFonts w:cs="Arial"/>
                <w:szCs w:val="22"/>
              </w:rPr>
              <w:t>Team Excellence</w:t>
            </w:r>
          </w:p>
        </w:tc>
        <w:tc>
          <w:tcPr>
            <w:tcW w:w="4298" w:type="dxa"/>
            <w:noWrap/>
            <w:tcMar>
              <w:top w:w="15" w:type="dxa"/>
              <w:left w:w="15" w:type="dxa"/>
              <w:bottom w:w="0" w:type="dxa"/>
              <w:right w:w="15" w:type="dxa"/>
            </w:tcMar>
            <w:vAlign w:val="center"/>
            <w:hideMark/>
          </w:tcPr>
          <w:p w14:paraId="6CD03179" w14:textId="77777777" w:rsidR="00D355EC" w:rsidRPr="00221BE3" w:rsidRDefault="00E431F0" w:rsidP="006156FD">
            <w:pPr>
              <w:rPr>
                <w:rFonts w:cs="Arial"/>
                <w:szCs w:val="22"/>
              </w:rPr>
            </w:pPr>
            <w:r w:rsidRPr="00221BE3">
              <w:rPr>
                <w:rFonts w:cs="Arial"/>
                <w:szCs w:val="22"/>
              </w:rPr>
              <w:t>Actively seek group project leadership roles.</w:t>
            </w:r>
          </w:p>
        </w:tc>
        <w:tc>
          <w:tcPr>
            <w:tcW w:w="1525" w:type="dxa"/>
            <w:noWrap/>
            <w:tcMar>
              <w:top w:w="15" w:type="dxa"/>
              <w:left w:w="15" w:type="dxa"/>
              <w:bottom w:w="0" w:type="dxa"/>
              <w:right w:w="15" w:type="dxa"/>
            </w:tcMar>
            <w:vAlign w:val="center"/>
            <w:hideMark/>
          </w:tcPr>
          <w:p w14:paraId="0A06EB6B" w14:textId="77777777" w:rsidR="00D355EC" w:rsidRPr="00221BE3" w:rsidRDefault="00E431F0" w:rsidP="006156FD">
            <w:pPr>
              <w:rPr>
                <w:rFonts w:cs="Arial"/>
                <w:szCs w:val="22"/>
              </w:rPr>
            </w:pPr>
            <w:r w:rsidRPr="00221BE3">
              <w:rPr>
                <w:rFonts w:cs="Arial"/>
                <w:szCs w:val="22"/>
              </w:rPr>
              <w:t>Ongoing</w:t>
            </w:r>
          </w:p>
        </w:tc>
      </w:tr>
      <w:tr w:rsidR="00FD3B31" w14:paraId="73776E6E" w14:textId="77777777" w:rsidTr="007E5661">
        <w:trPr>
          <w:trHeight w:val="875"/>
        </w:trPr>
        <w:tc>
          <w:tcPr>
            <w:tcW w:w="1705" w:type="dxa"/>
            <w:vMerge/>
            <w:noWrap/>
            <w:tcMar>
              <w:top w:w="15" w:type="dxa"/>
              <w:left w:w="15" w:type="dxa"/>
              <w:bottom w:w="0" w:type="dxa"/>
              <w:right w:w="15" w:type="dxa"/>
            </w:tcMar>
            <w:vAlign w:val="center"/>
            <w:hideMark/>
          </w:tcPr>
          <w:p w14:paraId="06B0CA68" w14:textId="77777777" w:rsidR="00D355EC" w:rsidRPr="00221BE3" w:rsidRDefault="00D355EC" w:rsidP="006156FD">
            <w:pPr>
              <w:rPr>
                <w:rFonts w:cs="Arial"/>
                <w:b/>
                <w:bCs/>
                <w:szCs w:val="22"/>
              </w:rPr>
            </w:pPr>
          </w:p>
        </w:tc>
        <w:tc>
          <w:tcPr>
            <w:tcW w:w="1822" w:type="dxa"/>
            <w:noWrap/>
            <w:tcMar>
              <w:top w:w="15" w:type="dxa"/>
              <w:left w:w="15" w:type="dxa"/>
              <w:bottom w:w="0" w:type="dxa"/>
              <w:right w:w="15" w:type="dxa"/>
            </w:tcMar>
            <w:vAlign w:val="center"/>
            <w:hideMark/>
          </w:tcPr>
          <w:p w14:paraId="4751AF27" w14:textId="77777777" w:rsidR="00D355EC" w:rsidRPr="00221BE3" w:rsidRDefault="00E431F0" w:rsidP="006156FD">
            <w:pPr>
              <w:rPr>
                <w:rFonts w:cs="Arial"/>
                <w:szCs w:val="22"/>
              </w:rPr>
            </w:pPr>
            <w:r w:rsidRPr="00221BE3">
              <w:rPr>
                <w:rFonts w:cs="Arial"/>
                <w:szCs w:val="22"/>
              </w:rPr>
              <w:t>Continuous Learning</w:t>
            </w:r>
          </w:p>
        </w:tc>
        <w:tc>
          <w:tcPr>
            <w:tcW w:w="4298" w:type="dxa"/>
            <w:noWrap/>
            <w:tcMar>
              <w:top w:w="15" w:type="dxa"/>
              <w:left w:w="15" w:type="dxa"/>
              <w:bottom w:w="0" w:type="dxa"/>
              <w:right w:w="15" w:type="dxa"/>
            </w:tcMar>
            <w:vAlign w:val="center"/>
            <w:hideMark/>
          </w:tcPr>
          <w:p w14:paraId="23B94DED" w14:textId="77777777" w:rsidR="00D355EC" w:rsidRPr="00221BE3" w:rsidRDefault="00E431F0" w:rsidP="006156FD">
            <w:pPr>
              <w:rPr>
                <w:rFonts w:cs="Arial"/>
                <w:szCs w:val="22"/>
              </w:rPr>
            </w:pPr>
            <w:r w:rsidRPr="00221BE3">
              <w:rPr>
                <w:rFonts w:cs="Arial"/>
                <w:szCs w:val="22"/>
              </w:rPr>
              <w:t>Read industry publications; attend webinars.</w:t>
            </w:r>
          </w:p>
        </w:tc>
        <w:tc>
          <w:tcPr>
            <w:tcW w:w="1525" w:type="dxa"/>
            <w:noWrap/>
            <w:tcMar>
              <w:top w:w="15" w:type="dxa"/>
              <w:left w:w="15" w:type="dxa"/>
              <w:bottom w:w="0" w:type="dxa"/>
              <w:right w:w="15" w:type="dxa"/>
            </w:tcMar>
            <w:vAlign w:val="center"/>
            <w:hideMark/>
          </w:tcPr>
          <w:p w14:paraId="16EF4003" w14:textId="77777777" w:rsidR="00D355EC" w:rsidRPr="00221BE3" w:rsidRDefault="00E431F0" w:rsidP="006156FD">
            <w:pPr>
              <w:rPr>
                <w:rFonts w:cs="Arial"/>
                <w:szCs w:val="22"/>
              </w:rPr>
            </w:pPr>
            <w:r w:rsidRPr="00221BE3">
              <w:rPr>
                <w:rFonts w:cs="Arial"/>
                <w:szCs w:val="22"/>
              </w:rPr>
              <w:t>Ongoing</w:t>
            </w:r>
          </w:p>
        </w:tc>
      </w:tr>
      <w:tr w:rsidR="00B0482D" w14:paraId="2F0426A0" w14:textId="77777777" w:rsidTr="007E5661">
        <w:trPr>
          <w:trHeight w:val="785"/>
        </w:trPr>
        <w:tc>
          <w:tcPr>
            <w:tcW w:w="1705" w:type="dxa"/>
            <w:vMerge w:val="restart"/>
            <w:noWrap/>
            <w:tcMar>
              <w:top w:w="15" w:type="dxa"/>
              <w:left w:w="15" w:type="dxa"/>
              <w:bottom w:w="0" w:type="dxa"/>
              <w:right w:w="15" w:type="dxa"/>
            </w:tcMar>
            <w:vAlign w:val="center"/>
            <w:hideMark/>
          </w:tcPr>
          <w:p w14:paraId="47D46CC5" w14:textId="77777777" w:rsidR="00B0482D" w:rsidRPr="00221BE3" w:rsidRDefault="00B0482D" w:rsidP="006156FD">
            <w:pPr>
              <w:rPr>
                <w:rFonts w:cs="Arial"/>
                <w:b/>
                <w:bCs/>
                <w:szCs w:val="22"/>
              </w:rPr>
            </w:pPr>
            <w:r w:rsidRPr="00221BE3">
              <w:rPr>
                <w:rFonts w:cs="Arial"/>
                <w:b/>
                <w:bCs/>
                <w:szCs w:val="22"/>
              </w:rPr>
              <w:t>Addressing Weaknesses</w:t>
            </w:r>
          </w:p>
        </w:tc>
        <w:tc>
          <w:tcPr>
            <w:tcW w:w="1822" w:type="dxa"/>
            <w:vMerge w:val="restart"/>
            <w:noWrap/>
            <w:tcMar>
              <w:top w:w="15" w:type="dxa"/>
              <w:left w:w="15" w:type="dxa"/>
              <w:bottom w:w="0" w:type="dxa"/>
              <w:right w:w="15" w:type="dxa"/>
            </w:tcMar>
            <w:vAlign w:val="center"/>
            <w:hideMark/>
          </w:tcPr>
          <w:p w14:paraId="3B5D9051" w14:textId="77777777" w:rsidR="00B0482D" w:rsidRPr="00221BE3" w:rsidRDefault="00B0482D" w:rsidP="006156FD">
            <w:pPr>
              <w:rPr>
                <w:rFonts w:cs="Arial"/>
                <w:szCs w:val="22"/>
              </w:rPr>
            </w:pPr>
            <w:r w:rsidRPr="00221BE3">
              <w:rPr>
                <w:rFonts w:cs="Arial"/>
                <w:szCs w:val="22"/>
              </w:rPr>
              <w:t>Advanced Analytics</w:t>
            </w:r>
          </w:p>
        </w:tc>
        <w:tc>
          <w:tcPr>
            <w:tcW w:w="4298" w:type="dxa"/>
            <w:noWrap/>
            <w:tcMar>
              <w:top w:w="15" w:type="dxa"/>
              <w:left w:w="15" w:type="dxa"/>
              <w:bottom w:w="0" w:type="dxa"/>
              <w:right w:w="15" w:type="dxa"/>
            </w:tcMar>
            <w:vAlign w:val="center"/>
            <w:hideMark/>
          </w:tcPr>
          <w:p w14:paraId="0F764999" w14:textId="77777777" w:rsidR="00B0482D" w:rsidRPr="00221BE3" w:rsidRDefault="00B0482D" w:rsidP="006156FD">
            <w:pPr>
              <w:rPr>
                <w:rFonts w:cs="Arial"/>
                <w:szCs w:val="22"/>
              </w:rPr>
            </w:pPr>
            <w:r w:rsidRPr="00221BE3">
              <w:rPr>
                <w:rFonts w:cs="Arial"/>
                <w:szCs w:val="22"/>
              </w:rPr>
              <w:t>Complete Python for Data Science course.</w:t>
            </w:r>
          </w:p>
        </w:tc>
        <w:tc>
          <w:tcPr>
            <w:tcW w:w="1525" w:type="dxa"/>
            <w:noWrap/>
            <w:tcMar>
              <w:top w:w="15" w:type="dxa"/>
              <w:left w:w="15" w:type="dxa"/>
              <w:bottom w:w="0" w:type="dxa"/>
              <w:right w:w="15" w:type="dxa"/>
            </w:tcMar>
            <w:vAlign w:val="center"/>
            <w:hideMark/>
          </w:tcPr>
          <w:p w14:paraId="47F221B6" w14:textId="77777777" w:rsidR="00B0482D" w:rsidRPr="00221BE3" w:rsidRDefault="00B0482D" w:rsidP="006156FD">
            <w:pPr>
              <w:rPr>
                <w:rFonts w:cs="Arial"/>
                <w:szCs w:val="22"/>
              </w:rPr>
            </w:pPr>
            <w:r w:rsidRPr="00221BE3">
              <w:rPr>
                <w:rFonts w:cs="Arial"/>
                <w:szCs w:val="22"/>
              </w:rPr>
              <w:t>Jan-26</w:t>
            </w:r>
          </w:p>
        </w:tc>
      </w:tr>
      <w:tr w:rsidR="00B0482D" w14:paraId="487C66C0" w14:textId="77777777" w:rsidTr="007E5661">
        <w:trPr>
          <w:trHeight w:val="875"/>
        </w:trPr>
        <w:tc>
          <w:tcPr>
            <w:tcW w:w="1705" w:type="dxa"/>
            <w:vMerge/>
            <w:noWrap/>
            <w:tcMar>
              <w:top w:w="15" w:type="dxa"/>
              <w:left w:w="15" w:type="dxa"/>
              <w:bottom w:w="0" w:type="dxa"/>
              <w:right w:w="15" w:type="dxa"/>
            </w:tcMar>
            <w:vAlign w:val="center"/>
            <w:hideMark/>
          </w:tcPr>
          <w:p w14:paraId="4D4A83FE"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3EB68622"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7B449E8A" w14:textId="77777777" w:rsidR="00B0482D" w:rsidRPr="00221BE3" w:rsidRDefault="00B0482D" w:rsidP="006156FD">
            <w:pPr>
              <w:rPr>
                <w:rFonts w:cs="Arial"/>
                <w:szCs w:val="22"/>
              </w:rPr>
            </w:pPr>
            <w:r w:rsidRPr="00221BE3">
              <w:rPr>
                <w:rFonts w:cs="Arial"/>
                <w:szCs w:val="22"/>
              </w:rPr>
              <w:t>Execute three HR analytics projects (e.g., predictive modelling).</w:t>
            </w:r>
          </w:p>
        </w:tc>
        <w:tc>
          <w:tcPr>
            <w:tcW w:w="1525" w:type="dxa"/>
            <w:noWrap/>
            <w:tcMar>
              <w:top w:w="15" w:type="dxa"/>
              <w:left w:w="15" w:type="dxa"/>
              <w:bottom w:w="0" w:type="dxa"/>
              <w:right w:w="15" w:type="dxa"/>
            </w:tcMar>
            <w:vAlign w:val="center"/>
            <w:hideMark/>
          </w:tcPr>
          <w:p w14:paraId="12830C52" w14:textId="77777777" w:rsidR="00B0482D" w:rsidRPr="00221BE3" w:rsidRDefault="00B0482D" w:rsidP="006156FD">
            <w:pPr>
              <w:rPr>
                <w:rFonts w:cs="Arial"/>
                <w:szCs w:val="22"/>
              </w:rPr>
            </w:pPr>
            <w:r w:rsidRPr="00221BE3">
              <w:rPr>
                <w:rFonts w:cs="Arial"/>
                <w:szCs w:val="22"/>
              </w:rPr>
              <w:t>Jun-26</w:t>
            </w:r>
          </w:p>
        </w:tc>
      </w:tr>
      <w:tr w:rsidR="00B0482D" w14:paraId="22279432" w14:textId="77777777" w:rsidTr="007E5661">
        <w:trPr>
          <w:trHeight w:val="875"/>
        </w:trPr>
        <w:tc>
          <w:tcPr>
            <w:tcW w:w="1705" w:type="dxa"/>
            <w:vMerge/>
            <w:noWrap/>
            <w:tcMar>
              <w:top w:w="15" w:type="dxa"/>
              <w:left w:w="15" w:type="dxa"/>
              <w:bottom w:w="0" w:type="dxa"/>
              <w:right w:w="15" w:type="dxa"/>
            </w:tcMar>
            <w:vAlign w:val="center"/>
            <w:hideMark/>
          </w:tcPr>
          <w:p w14:paraId="677EC018" w14:textId="77777777" w:rsidR="00B0482D" w:rsidRPr="00221BE3" w:rsidRDefault="00B0482D" w:rsidP="006156FD">
            <w:pPr>
              <w:rPr>
                <w:rFonts w:cs="Arial"/>
                <w:szCs w:val="22"/>
              </w:rPr>
            </w:pPr>
          </w:p>
        </w:tc>
        <w:tc>
          <w:tcPr>
            <w:tcW w:w="1822" w:type="dxa"/>
            <w:vMerge w:val="restart"/>
            <w:noWrap/>
            <w:tcMar>
              <w:top w:w="15" w:type="dxa"/>
              <w:left w:w="15" w:type="dxa"/>
              <w:bottom w:w="0" w:type="dxa"/>
              <w:right w:w="15" w:type="dxa"/>
            </w:tcMar>
            <w:vAlign w:val="center"/>
            <w:hideMark/>
          </w:tcPr>
          <w:p w14:paraId="049C4B96" w14:textId="77777777" w:rsidR="00B0482D" w:rsidRPr="00221BE3" w:rsidRDefault="00B0482D" w:rsidP="006156FD">
            <w:pPr>
              <w:rPr>
                <w:rFonts w:cs="Arial"/>
                <w:szCs w:val="22"/>
              </w:rPr>
            </w:pPr>
            <w:r w:rsidRPr="00221BE3">
              <w:rPr>
                <w:rFonts w:cs="Arial"/>
                <w:szCs w:val="22"/>
              </w:rPr>
              <w:t>International Competence</w:t>
            </w:r>
          </w:p>
        </w:tc>
        <w:tc>
          <w:tcPr>
            <w:tcW w:w="4298" w:type="dxa"/>
            <w:noWrap/>
            <w:tcMar>
              <w:top w:w="15" w:type="dxa"/>
              <w:left w:w="15" w:type="dxa"/>
              <w:bottom w:w="0" w:type="dxa"/>
              <w:right w:w="15" w:type="dxa"/>
            </w:tcMar>
            <w:vAlign w:val="center"/>
            <w:hideMark/>
          </w:tcPr>
          <w:p w14:paraId="7B0C7E6C" w14:textId="77777777" w:rsidR="00B0482D" w:rsidRPr="00221BE3" w:rsidRDefault="00B0482D" w:rsidP="006156FD">
            <w:pPr>
              <w:rPr>
                <w:rFonts w:cs="Arial"/>
                <w:szCs w:val="22"/>
              </w:rPr>
            </w:pPr>
            <w:r w:rsidRPr="00221BE3">
              <w:rPr>
                <w:rFonts w:cs="Arial"/>
                <w:szCs w:val="22"/>
              </w:rPr>
              <w:t>Secure an international internship (preferably Asia-Pacific).</w:t>
            </w:r>
          </w:p>
        </w:tc>
        <w:tc>
          <w:tcPr>
            <w:tcW w:w="1525" w:type="dxa"/>
            <w:noWrap/>
            <w:tcMar>
              <w:top w:w="15" w:type="dxa"/>
              <w:left w:w="15" w:type="dxa"/>
              <w:bottom w:w="0" w:type="dxa"/>
              <w:right w:w="15" w:type="dxa"/>
            </w:tcMar>
            <w:vAlign w:val="center"/>
            <w:hideMark/>
          </w:tcPr>
          <w:p w14:paraId="295AF9A2" w14:textId="77777777" w:rsidR="00B0482D" w:rsidRPr="00221BE3" w:rsidRDefault="00B0482D" w:rsidP="006156FD">
            <w:pPr>
              <w:rPr>
                <w:rFonts w:cs="Arial"/>
                <w:szCs w:val="22"/>
              </w:rPr>
            </w:pPr>
            <w:r w:rsidRPr="00221BE3">
              <w:rPr>
                <w:rFonts w:cs="Arial"/>
                <w:szCs w:val="22"/>
              </w:rPr>
              <w:t>Sep-26</w:t>
            </w:r>
          </w:p>
        </w:tc>
      </w:tr>
      <w:tr w:rsidR="00B0482D" w14:paraId="15404BBE" w14:textId="77777777" w:rsidTr="007E5661">
        <w:trPr>
          <w:trHeight w:val="965"/>
        </w:trPr>
        <w:tc>
          <w:tcPr>
            <w:tcW w:w="1705" w:type="dxa"/>
            <w:vMerge/>
            <w:noWrap/>
            <w:tcMar>
              <w:top w:w="15" w:type="dxa"/>
              <w:left w:w="15" w:type="dxa"/>
              <w:bottom w:w="0" w:type="dxa"/>
              <w:right w:w="15" w:type="dxa"/>
            </w:tcMar>
            <w:vAlign w:val="center"/>
            <w:hideMark/>
          </w:tcPr>
          <w:p w14:paraId="636CFB8F"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66FB7C08"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58D22C00" w14:textId="77777777" w:rsidR="00B0482D" w:rsidRPr="00221BE3" w:rsidRDefault="00B0482D" w:rsidP="006156FD">
            <w:pPr>
              <w:rPr>
                <w:rFonts w:cs="Arial"/>
                <w:szCs w:val="22"/>
              </w:rPr>
            </w:pPr>
            <w:r w:rsidRPr="00221BE3">
              <w:rPr>
                <w:rFonts w:cs="Arial"/>
                <w:szCs w:val="22"/>
              </w:rPr>
              <w:t>Begin intensive Mandarin; achieve advanced Spanish.</w:t>
            </w:r>
          </w:p>
        </w:tc>
        <w:tc>
          <w:tcPr>
            <w:tcW w:w="1525" w:type="dxa"/>
            <w:noWrap/>
            <w:tcMar>
              <w:top w:w="15" w:type="dxa"/>
              <w:left w:w="15" w:type="dxa"/>
              <w:bottom w:w="0" w:type="dxa"/>
              <w:right w:w="15" w:type="dxa"/>
            </w:tcMar>
            <w:vAlign w:val="center"/>
            <w:hideMark/>
          </w:tcPr>
          <w:p w14:paraId="11EEE7D3" w14:textId="77777777" w:rsidR="00B0482D" w:rsidRPr="00221BE3" w:rsidRDefault="00B0482D" w:rsidP="006156FD">
            <w:pPr>
              <w:rPr>
                <w:rFonts w:cs="Arial"/>
                <w:szCs w:val="22"/>
              </w:rPr>
            </w:pPr>
            <w:r w:rsidRPr="00221BE3">
              <w:rPr>
                <w:rFonts w:cs="Arial"/>
                <w:szCs w:val="22"/>
              </w:rPr>
              <w:t>Jan 2026 / Dec 2026</w:t>
            </w:r>
          </w:p>
        </w:tc>
      </w:tr>
      <w:tr w:rsidR="00B0482D" w14:paraId="4A0BBF50" w14:textId="77777777" w:rsidTr="007E5661">
        <w:trPr>
          <w:trHeight w:val="300"/>
        </w:trPr>
        <w:tc>
          <w:tcPr>
            <w:tcW w:w="1705" w:type="dxa"/>
            <w:vMerge/>
            <w:noWrap/>
            <w:tcMar>
              <w:top w:w="15" w:type="dxa"/>
              <w:left w:w="15" w:type="dxa"/>
              <w:bottom w:w="0" w:type="dxa"/>
              <w:right w:w="15" w:type="dxa"/>
            </w:tcMar>
            <w:vAlign w:val="center"/>
            <w:hideMark/>
          </w:tcPr>
          <w:p w14:paraId="5EA67371"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32A79177"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61844CC8" w14:textId="77777777" w:rsidR="00B0482D" w:rsidRPr="00221BE3" w:rsidRDefault="00B0482D" w:rsidP="006156FD">
            <w:pPr>
              <w:rPr>
                <w:rFonts w:cs="Arial"/>
                <w:szCs w:val="22"/>
              </w:rPr>
            </w:pPr>
            <w:r w:rsidRPr="00221BE3">
              <w:rPr>
                <w:rFonts w:cs="Arial"/>
                <w:szCs w:val="22"/>
              </w:rPr>
              <w:t>Obtain cultural intelligence certification.</w:t>
            </w:r>
          </w:p>
        </w:tc>
        <w:tc>
          <w:tcPr>
            <w:tcW w:w="1525" w:type="dxa"/>
            <w:noWrap/>
            <w:tcMar>
              <w:top w:w="15" w:type="dxa"/>
              <w:left w:w="15" w:type="dxa"/>
              <w:bottom w:w="0" w:type="dxa"/>
              <w:right w:w="15" w:type="dxa"/>
            </w:tcMar>
            <w:vAlign w:val="center"/>
            <w:hideMark/>
          </w:tcPr>
          <w:p w14:paraId="2B828A98" w14:textId="77777777" w:rsidR="00B0482D" w:rsidRPr="00221BE3" w:rsidRDefault="00B0482D" w:rsidP="006156FD">
            <w:pPr>
              <w:rPr>
                <w:rFonts w:cs="Arial"/>
                <w:szCs w:val="22"/>
              </w:rPr>
            </w:pPr>
            <w:r w:rsidRPr="00221BE3">
              <w:rPr>
                <w:rFonts w:cs="Arial"/>
                <w:szCs w:val="22"/>
              </w:rPr>
              <w:t>Mid-2026</w:t>
            </w:r>
          </w:p>
        </w:tc>
      </w:tr>
      <w:tr w:rsidR="00B0482D" w14:paraId="4CBD3C4F" w14:textId="77777777" w:rsidTr="007E5661">
        <w:trPr>
          <w:trHeight w:val="1055"/>
        </w:trPr>
        <w:tc>
          <w:tcPr>
            <w:tcW w:w="1705" w:type="dxa"/>
            <w:vMerge/>
            <w:noWrap/>
            <w:tcMar>
              <w:top w:w="15" w:type="dxa"/>
              <w:left w:w="15" w:type="dxa"/>
              <w:bottom w:w="0" w:type="dxa"/>
              <w:right w:w="15" w:type="dxa"/>
            </w:tcMar>
            <w:vAlign w:val="center"/>
            <w:hideMark/>
          </w:tcPr>
          <w:p w14:paraId="3FB72E96" w14:textId="77777777" w:rsidR="00B0482D" w:rsidRPr="00221BE3" w:rsidRDefault="00B0482D" w:rsidP="006156FD">
            <w:pPr>
              <w:rPr>
                <w:rFonts w:cs="Arial"/>
                <w:szCs w:val="22"/>
              </w:rPr>
            </w:pPr>
          </w:p>
        </w:tc>
        <w:tc>
          <w:tcPr>
            <w:tcW w:w="1822" w:type="dxa"/>
            <w:vMerge w:val="restart"/>
            <w:noWrap/>
            <w:tcMar>
              <w:top w:w="15" w:type="dxa"/>
              <w:left w:w="15" w:type="dxa"/>
              <w:bottom w:w="0" w:type="dxa"/>
              <w:right w:w="15" w:type="dxa"/>
            </w:tcMar>
            <w:vAlign w:val="center"/>
            <w:hideMark/>
          </w:tcPr>
          <w:p w14:paraId="7183181E" w14:textId="77777777" w:rsidR="00B0482D" w:rsidRPr="00221BE3" w:rsidRDefault="00B0482D" w:rsidP="006156FD">
            <w:pPr>
              <w:rPr>
                <w:rFonts w:cs="Arial"/>
                <w:szCs w:val="22"/>
              </w:rPr>
            </w:pPr>
            <w:r w:rsidRPr="00221BE3">
              <w:rPr>
                <w:rFonts w:cs="Arial"/>
                <w:szCs w:val="22"/>
              </w:rPr>
              <w:t>Leadership Development</w:t>
            </w:r>
          </w:p>
        </w:tc>
        <w:tc>
          <w:tcPr>
            <w:tcW w:w="4298" w:type="dxa"/>
            <w:noWrap/>
            <w:tcMar>
              <w:top w:w="15" w:type="dxa"/>
              <w:left w:w="15" w:type="dxa"/>
              <w:bottom w:w="0" w:type="dxa"/>
              <w:right w:w="15" w:type="dxa"/>
            </w:tcMar>
            <w:vAlign w:val="center"/>
            <w:hideMark/>
          </w:tcPr>
          <w:p w14:paraId="4D4118C1" w14:textId="77777777" w:rsidR="00B0482D" w:rsidRPr="00221BE3" w:rsidRDefault="00B0482D" w:rsidP="006156FD">
            <w:pPr>
              <w:rPr>
                <w:rFonts w:cs="Arial"/>
                <w:szCs w:val="22"/>
              </w:rPr>
            </w:pPr>
            <w:r w:rsidRPr="00221BE3">
              <w:rPr>
                <w:rFonts w:cs="Arial"/>
                <w:szCs w:val="22"/>
              </w:rPr>
              <w:t>Read leadership books; join case competition teams.</w:t>
            </w:r>
          </w:p>
        </w:tc>
        <w:tc>
          <w:tcPr>
            <w:tcW w:w="1525" w:type="dxa"/>
            <w:noWrap/>
            <w:tcMar>
              <w:top w:w="15" w:type="dxa"/>
              <w:left w:w="15" w:type="dxa"/>
              <w:bottom w:w="0" w:type="dxa"/>
              <w:right w:w="15" w:type="dxa"/>
            </w:tcMar>
            <w:vAlign w:val="center"/>
            <w:hideMark/>
          </w:tcPr>
          <w:p w14:paraId="555F86A5" w14:textId="77777777" w:rsidR="00B0482D" w:rsidRPr="00221BE3" w:rsidRDefault="00B0482D" w:rsidP="006156FD">
            <w:pPr>
              <w:rPr>
                <w:rFonts w:cs="Arial"/>
                <w:szCs w:val="22"/>
              </w:rPr>
            </w:pPr>
            <w:r w:rsidRPr="00221BE3">
              <w:rPr>
                <w:rFonts w:cs="Arial"/>
                <w:szCs w:val="22"/>
              </w:rPr>
              <w:t>Ongoing</w:t>
            </w:r>
          </w:p>
        </w:tc>
      </w:tr>
      <w:tr w:rsidR="00B0482D" w14:paraId="3DA7A6FE" w14:textId="77777777" w:rsidTr="007E5661">
        <w:trPr>
          <w:trHeight w:val="300"/>
        </w:trPr>
        <w:tc>
          <w:tcPr>
            <w:tcW w:w="1705" w:type="dxa"/>
            <w:vMerge/>
            <w:noWrap/>
            <w:tcMar>
              <w:top w:w="15" w:type="dxa"/>
              <w:left w:w="15" w:type="dxa"/>
              <w:bottom w:w="0" w:type="dxa"/>
              <w:right w:w="15" w:type="dxa"/>
            </w:tcMar>
            <w:vAlign w:val="center"/>
            <w:hideMark/>
          </w:tcPr>
          <w:p w14:paraId="12BF90C6" w14:textId="77777777" w:rsidR="00B0482D" w:rsidRPr="00221BE3" w:rsidRDefault="00B0482D" w:rsidP="006156FD">
            <w:pPr>
              <w:rPr>
                <w:rFonts w:cs="Arial"/>
                <w:szCs w:val="22"/>
              </w:rPr>
            </w:pPr>
          </w:p>
        </w:tc>
        <w:tc>
          <w:tcPr>
            <w:tcW w:w="1822" w:type="dxa"/>
            <w:vMerge/>
            <w:noWrap/>
            <w:tcMar>
              <w:top w:w="15" w:type="dxa"/>
              <w:left w:w="15" w:type="dxa"/>
              <w:bottom w:w="0" w:type="dxa"/>
              <w:right w:w="15" w:type="dxa"/>
            </w:tcMar>
            <w:vAlign w:val="center"/>
            <w:hideMark/>
          </w:tcPr>
          <w:p w14:paraId="5A21A8E3" w14:textId="77777777" w:rsidR="00B0482D" w:rsidRPr="00221BE3" w:rsidRDefault="00B0482D" w:rsidP="006156FD">
            <w:pPr>
              <w:rPr>
                <w:rFonts w:cs="Arial"/>
                <w:szCs w:val="22"/>
              </w:rPr>
            </w:pPr>
          </w:p>
        </w:tc>
        <w:tc>
          <w:tcPr>
            <w:tcW w:w="4298" w:type="dxa"/>
            <w:noWrap/>
            <w:tcMar>
              <w:top w:w="15" w:type="dxa"/>
              <w:left w:w="15" w:type="dxa"/>
              <w:bottom w:w="0" w:type="dxa"/>
              <w:right w:w="15" w:type="dxa"/>
            </w:tcMar>
            <w:vAlign w:val="center"/>
            <w:hideMark/>
          </w:tcPr>
          <w:p w14:paraId="5858E5B4" w14:textId="77777777" w:rsidR="00B0482D" w:rsidRPr="00221BE3" w:rsidRDefault="00B0482D" w:rsidP="006156FD">
            <w:pPr>
              <w:rPr>
                <w:rFonts w:cs="Arial"/>
                <w:szCs w:val="22"/>
              </w:rPr>
            </w:pPr>
            <w:r w:rsidRPr="00221BE3">
              <w:rPr>
                <w:rFonts w:cs="Arial"/>
                <w:szCs w:val="22"/>
              </w:rPr>
              <w:t>Seek mentorship from senior HR professionals; join Toastmasters.</w:t>
            </w:r>
          </w:p>
        </w:tc>
        <w:tc>
          <w:tcPr>
            <w:tcW w:w="1525" w:type="dxa"/>
            <w:noWrap/>
            <w:tcMar>
              <w:top w:w="15" w:type="dxa"/>
              <w:left w:w="15" w:type="dxa"/>
              <w:bottom w:w="0" w:type="dxa"/>
              <w:right w:w="15" w:type="dxa"/>
            </w:tcMar>
            <w:vAlign w:val="center"/>
            <w:hideMark/>
          </w:tcPr>
          <w:p w14:paraId="6571110A" w14:textId="77777777" w:rsidR="00B0482D" w:rsidRPr="00221BE3" w:rsidRDefault="00B0482D" w:rsidP="006156FD">
            <w:pPr>
              <w:rPr>
                <w:rFonts w:cs="Arial"/>
                <w:szCs w:val="22"/>
              </w:rPr>
            </w:pPr>
            <w:r w:rsidRPr="00221BE3">
              <w:rPr>
                <w:rFonts w:cs="Arial"/>
                <w:szCs w:val="22"/>
              </w:rPr>
              <w:t>Ongoing</w:t>
            </w:r>
          </w:p>
        </w:tc>
      </w:tr>
    </w:tbl>
    <w:p w14:paraId="63BE2980" w14:textId="77777777" w:rsidR="007E5661" w:rsidRPr="00221BE3" w:rsidRDefault="00E431F0" w:rsidP="009F307B">
      <w:pPr>
        <w:pStyle w:val="Caption"/>
        <w:spacing w:after="0" w:line="360" w:lineRule="auto"/>
        <w:rPr>
          <w:rFonts w:cs="Arial"/>
          <w:color w:val="auto"/>
        </w:rPr>
      </w:pPr>
      <w:bookmarkStart w:id="28" w:name="_Toc212904978"/>
      <w:r w:rsidRPr="00221BE3">
        <w:rPr>
          <w:rFonts w:cs="Arial"/>
          <w:color w:val="auto"/>
        </w:rPr>
        <w:t xml:space="preserve">Table </w:t>
      </w:r>
      <w:r w:rsidRPr="00221BE3">
        <w:rPr>
          <w:rFonts w:cs="Arial"/>
          <w:color w:val="auto"/>
        </w:rPr>
        <w:fldChar w:fldCharType="begin"/>
      </w:r>
      <w:r w:rsidRPr="00221BE3">
        <w:rPr>
          <w:rFonts w:cs="Arial"/>
          <w:color w:val="auto"/>
        </w:rPr>
        <w:instrText xml:space="preserve"> SEQ Table \* ARABIC </w:instrText>
      </w:r>
      <w:r w:rsidRPr="00221BE3">
        <w:rPr>
          <w:rFonts w:cs="Arial"/>
          <w:color w:val="auto"/>
        </w:rPr>
        <w:fldChar w:fldCharType="separate"/>
      </w:r>
      <w:r w:rsidR="00D355EC" w:rsidRPr="00221BE3">
        <w:rPr>
          <w:rFonts w:cs="Arial"/>
          <w:noProof/>
          <w:color w:val="auto"/>
        </w:rPr>
        <w:t>2</w:t>
      </w:r>
      <w:r w:rsidRPr="00221BE3">
        <w:rPr>
          <w:rFonts w:cs="Arial"/>
          <w:color w:val="auto"/>
        </w:rPr>
        <w:fldChar w:fldCharType="end"/>
      </w:r>
      <w:r w:rsidRPr="00221BE3">
        <w:rPr>
          <w:rFonts w:cs="Arial"/>
          <w:color w:val="auto"/>
        </w:rPr>
        <w:t>: Personal Development Action Plan: Strengths, Growth Areas &amp; Timelines.</w:t>
      </w:r>
      <w:bookmarkEnd w:id="28"/>
    </w:p>
    <w:p w14:paraId="114AFB6E" w14:textId="77777777" w:rsidR="007E5661" w:rsidRPr="00221BE3" w:rsidRDefault="00E431F0" w:rsidP="006156FD">
      <w:pPr>
        <w:rPr>
          <w:rFonts w:cs="Arial"/>
          <w:b/>
          <w:bCs/>
        </w:rPr>
      </w:pPr>
      <w:r w:rsidRPr="00221BE3">
        <w:rPr>
          <w:rFonts w:cs="Arial"/>
          <w:b/>
          <w:bCs/>
        </w:rPr>
        <w:t>Monitoring and Evaluation:</w:t>
      </w:r>
    </w:p>
    <w:p w14:paraId="049C5BF8" w14:textId="77777777" w:rsidR="007E5661" w:rsidRPr="00221BE3" w:rsidRDefault="00E431F0" w:rsidP="006156FD">
      <w:pPr>
        <w:rPr>
          <w:rFonts w:cs="Arial"/>
        </w:rPr>
      </w:pPr>
      <w:r w:rsidRPr="00221BE3">
        <w:rPr>
          <w:rFonts w:cs="Arial"/>
        </w:rPr>
        <w:t>I will self-evaluate quarterly on these objectives and keep a reflective journal. My long-term objective can be attained when I am hired as an HR Business Partner by September 2026. I will consider the ability to accomplish this career goal as the key indicator of effective ability development.</w:t>
      </w:r>
    </w:p>
    <w:p w14:paraId="7D80E4A0" w14:textId="77777777" w:rsidR="007E5661" w:rsidRPr="00221BE3" w:rsidRDefault="00E431F0" w:rsidP="00C37E40">
      <w:pPr>
        <w:pStyle w:val="Heading3"/>
        <w:rPr>
          <w:rFonts w:cs="Arial"/>
        </w:rPr>
      </w:pPr>
      <w:bookmarkStart w:id="29" w:name="_Toc212954293"/>
      <w:r w:rsidRPr="00221BE3">
        <w:rPr>
          <w:rFonts w:cs="Arial"/>
        </w:rPr>
        <w:t>Conclusion</w:t>
      </w:r>
      <w:bookmarkEnd w:id="29"/>
    </w:p>
    <w:p w14:paraId="54CFBC6B" w14:textId="77777777" w:rsidR="00B9172F" w:rsidRPr="00221BE3" w:rsidRDefault="00E431F0" w:rsidP="006156FD">
      <w:pPr>
        <w:rPr>
          <w:rFonts w:cs="Arial"/>
          <w:sz w:val="28"/>
          <w:szCs w:val="40"/>
        </w:rPr>
      </w:pPr>
      <w:r w:rsidRPr="00221BE3">
        <w:rPr>
          <w:rFonts w:cs="Arial"/>
        </w:rPr>
        <w:t>This systematic reflection with the help of the Gibbs Cycle was an assessment of my HR skills. Although I have good technical/team-based skills, analysis shows that I have to develop acute international competence, sophisticated analytics, and decision-making traits. The action plan also fills these gaps, making me better prepared to work as a strategic HR professional.</w:t>
      </w:r>
      <w:r w:rsidR="004C4DAA" w:rsidRPr="00221BE3">
        <w:rPr>
          <w:rFonts w:cs="Arial"/>
        </w:rPr>
        <w:t xml:space="preserve"> </w:t>
      </w:r>
      <w:r w:rsidRPr="00221BE3">
        <w:rPr>
          <w:rFonts w:cs="Arial"/>
        </w:rPr>
        <w:br w:type="page"/>
      </w:r>
    </w:p>
    <w:p w14:paraId="407C3D19" w14:textId="77777777" w:rsidR="00192952" w:rsidRPr="00221BE3" w:rsidRDefault="00E431F0" w:rsidP="006156FD">
      <w:pPr>
        <w:pStyle w:val="Heading1"/>
      </w:pPr>
      <w:bookmarkStart w:id="30" w:name="_Toc212954294"/>
      <w:r w:rsidRPr="00221BE3">
        <w:t>Conclusion</w:t>
      </w:r>
      <w:bookmarkEnd w:id="30"/>
    </w:p>
    <w:p w14:paraId="7940B4F5" w14:textId="77777777" w:rsidR="001F546E" w:rsidRPr="00221BE3" w:rsidRDefault="00E431F0" w:rsidP="006156FD">
      <w:pPr>
        <w:rPr>
          <w:rFonts w:cs="Arial"/>
        </w:rPr>
      </w:pPr>
      <w:r w:rsidRPr="00221BE3">
        <w:rPr>
          <w:rFonts w:cs="Arial"/>
        </w:rPr>
        <w:t>Labour markets are changing because of technology, geopolitics, demographics and skills. This calls for any strategic adjustment of HRM/IHRM policies. AI and automation clearly carry with them opportunities and risks. A strategy needs to balance innovation and have an inclusive workforce. Demographic changes and geopolitical events make talent management and compliance difficult. Persistent skill shortages also call for interventions. These forces need a combination of HRM/IHRM response. HRM needs to stop being an administrative function and transform itself into a strategic partner of the business. It must deal with the unpredictable and stabilise the workforce.</w:t>
      </w:r>
      <w:r w:rsidRPr="00221BE3">
        <w:rPr>
          <w:rFonts w:cs="Arial"/>
        </w:rPr>
        <w:br w:type="page"/>
      </w:r>
    </w:p>
    <w:p w14:paraId="426B02C8" w14:textId="77777777" w:rsidR="009C1032" w:rsidRPr="00221BE3" w:rsidRDefault="00E431F0" w:rsidP="006156FD">
      <w:pPr>
        <w:pStyle w:val="Heading1"/>
      </w:pPr>
      <w:bookmarkStart w:id="31" w:name="_Toc212954295"/>
      <w:r w:rsidRPr="00221BE3">
        <w:t>References</w:t>
      </w:r>
      <w:bookmarkEnd w:id="31"/>
    </w:p>
    <w:p w14:paraId="1E567C2A" w14:textId="1A1535CC" w:rsidR="00197C10" w:rsidRPr="00221BE3" w:rsidRDefault="00E431F0" w:rsidP="006156FD">
      <w:pPr>
        <w:rPr>
          <w:rFonts w:cs="Arial"/>
        </w:rPr>
      </w:pPr>
      <w:r w:rsidRPr="00221BE3">
        <w:rPr>
          <w:rFonts w:cs="Arial"/>
        </w:rPr>
        <w:t xml:space="preserve">Acemoglu, D. and Restrepo, P. (2020). Robots and jobs: Evidence from US Labour Markets. </w:t>
      </w:r>
      <w:r w:rsidRPr="00221BE3">
        <w:rPr>
          <w:rFonts w:cs="Arial"/>
          <w:i/>
          <w:iCs/>
        </w:rPr>
        <w:t>Journal of Political Economy</w:t>
      </w:r>
      <w:r w:rsidRPr="00221BE3">
        <w:rPr>
          <w:rFonts w:cs="Arial"/>
        </w:rPr>
        <w:t xml:space="preserve">, 128(6), pp.2188–2244. </w:t>
      </w:r>
    </w:p>
    <w:p w14:paraId="76E61200" w14:textId="77777777" w:rsidR="00197C10" w:rsidRPr="00221BE3" w:rsidRDefault="00E431F0" w:rsidP="006156FD">
      <w:pPr>
        <w:rPr>
          <w:rFonts w:cs="Arial"/>
        </w:rPr>
      </w:pPr>
      <w:r w:rsidRPr="00221BE3">
        <w:rPr>
          <w:rFonts w:cs="Arial"/>
        </w:rPr>
        <w:t xml:space="preserve">Armstrong, M. and Taylor, S. (2020). </w:t>
      </w:r>
      <w:r w:rsidRPr="00221BE3">
        <w:rPr>
          <w:rFonts w:cs="Arial"/>
          <w:i/>
          <w:iCs/>
        </w:rPr>
        <w:t>Armstrong’s Handbook of Human Resource Management Practice.</w:t>
      </w:r>
      <w:r w:rsidRPr="00221BE3">
        <w:rPr>
          <w:rFonts w:cs="Arial"/>
        </w:rPr>
        <w:t xml:space="preserve"> 15th ed. London: Kogan Page.</w:t>
      </w:r>
    </w:p>
    <w:p w14:paraId="734D736C" w14:textId="5193929E" w:rsidR="00197C10" w:rsidRPr="00221BE3" w:rsidRDefault="00E431F0" w:rsidP="006156FD">
      <w:pPr>
        <w:rPr>
          <w:rFonts w:cs="Arial"/>
        </w:rPr>
      </w:pPr>
      <w:r w:rsidRPr="00221BE3">
        <w:rPr>
          <w:rFonts w:cs="Arial"/>
        </w:rPr>
        <w:t xml:space="preserve">Autor, D.H. (2015). Why Are There Still So Many Jobs? The History and Future of Workplace Automation. </w:t>
      </w:r>
      <w:r w:rsidRPr="00221BE3">
        <w:rPr>
          <w:rFonts w:cs="Arial"/>
          <w:i/>
          <w:iCs/>
        </w:rPr>
        <w:t>Journal of Economic Perspectives</w:t>
      </w:r>
      <w:r w:rsidRPr="00221BE3">
        <w:rPr>
          <w:rFonts w:cs="Arial"/>
        </w:rPr>
        <w:t xml:space="preserve">, 29(3), pp.3–30. </w:t>
      </w:r>
    </w:p>
    <w:p w14:paraId="7D51E5F3" w14:textId="3ABDA010" w:rsidR="00197C10" w:rsidRPr="00221BE3" w:rsidRDefault="00E431F0" w:rsidP="006156FD">
      <w:pPr>
        <w:rPr>
          <w:rFonts w:cs="Arial"/>
        </w:rPr>
      </w:pPr>
      <w:r w:rsidRPr="00221BE3">
        <w:rPr>
          <w:rFonts w:cs="Arial"/>
        </w:rPr>
        <w:t xml:space="preserve">Baum, T. (2015). Human Resources in tourism: Still Waiting for change? – a 2015 Reprise. </w:t>
      </w:r>
      <w:r w:rsidRPr="00221BE3">
        <w:rPr>
          <w:rFonts w:cs="Arial"/>
          <w:i/>
          <w:iCs/>
        </w:rPr>
        <w:t>Tourism Management</w:t>
      </w:r>
      <w:r w:rsidRPr="00221BE3">
        <w:rPr>
          <w:rFonts w:cs="Arial"/>
        </w:rPr>
        <w:t xml:space="preserve">, 50, pp.204–212. </w:t>
      </w:r>
    </w:p>
    <w:p w14:paraId="49EF94E3" w14:textId="77777777" w:rsidR="00197C10" w:rsidRPr="00221BE3" w:rsidRDefault="00E431F0" w:rsidP="006156FD">
      <w:pPr>
        <w:rPr>
          <w:rFonts w:cs="Arial"/>
        </w:rPr>
      </w:pPr>
      <w:r w:rsidRPr="00221BE3">
        <w:rPr>
          <w:rFonts w:cs="Arial"/>
        </w:rPr>
        <w:t xml:space="preserve">Bodewig, C., Holmemo, C., Namara, S. and Chase, R.S. (2025). </w:t>
      </w:r>
      <w:r w:rsidRPr="00221BE3">
        <w:rPr>
          <w:rFonts w:cs="Arial"/>
          <w:i/>
          <w:iCs/>
        </w:rPr>
        <w:t>A Ladder of Opportunity: Unlocking Jobs for Today's African Youth</w:t>
      </w:r>
      <w:r w:rsidRPr="00221BE3">
        <w:rPr>
          <w:rFonts w:cs="Arial"/>
        </w:rPr>
        <w:t>. [online] World Bank Blogs. Available at: https://blogs.worldbank.org/en/africacan/a-ladder-of-opportunity-unlocking-jobs-for-todays-african-youth.</w:t>
      </w:r>
    </w:p>
    <w:p w14:paraId="072F9AD1" w14:textId="77777777" w:rsidR="00197C10" w:rsidRPr="00221BE3" w:rsidRDefault="00E431F0" w:rsidP="006156FD">
      <w:pPr>
        <w:rPr>
          <w:rFonts w:cs="Arial"/>
        </w:rPr>
      </w:pPr>
      <w:r w:rsidRPr="00221BE3">
        <w:rPr>
          <w:rFonts w:cs="Arial"/>
        </w:rPr>
        <w:t xml:space="preserve">Boudreau, J.W. and Ramstad, P.M. (2021). </w:t>
      </w:r>
      <w:r w:rsidRPr="00221BE3">
        <w:rPr>
          <w:rFonts w:cs="Arial"/>
          <w:i/>
          <w:iCs/>
        </w:rPr>
        <w:t>Beyond HR: the New Science of Human Capital</w:t>
      </w:r>
      <w:r w:rsidRPr="00221BE3">
        <w:rPr>
          <w:rFonts w:cs="Arial"/>
        </w:rPr>
        <w:t>. Harvard Business School Press.</w:t>
      </w:r>
    </w:p>
    <w:p w14:paraId="4852E8F1" w14:textId="77777777" w:rsidR="00197C10" w:rsidRPr="00221BE3" w:rsidRDefault="00E431F0" w:rsidP="006156FD">
      <w:pPr>
        <w:rPr>
          <w:rFonts w:cs="Arial"/>
        </w:rPr>
      </w:pPr>
      <w:r w:rsidRPr="00221BE3">
        <w:rPr>
          <w:rFonts w:cs="Arial"/>
        </w:rPr>
        <w:t xml:space="preserve">Boxall, P.F., Purcell, J. and Wright, P. (2022). </w:t>
      </w:r>
      <w:r w:rsidRPr="00221BE3">
        <w:rPr>
          <w:rFonts w:cs="Arial"/>
          <w:i/>
          <w:iCs/>
        </w:rPr>
        <w:t>The Oxford Handbook of Human Resource Management</w:t>
      </w:r>
      <w:r w:rsidRPr="00221BE3">
        <w:rPr>
          <w:rFonts w:cs="Arial"/>
        </w:rPr>
        <w:t>. Oxford University Press.</w:t>
      </w:r>
    </w:p>
    <w:p w14:paraId="2FBF350D" w14:textId="77777777" w:rsidR="00197C10" w:rsidRPr="00221BE3" w:rsidRDefault="00E431F0" w:rsidP="006156FD">
      <w:pPr>
        <w:rPr>
          <w:rFonts w:cs="Arial"/>
        </w:rPr>
      </w:pPr>
      <w:r w:rsidRPr="00221BE3">
        <w:rPr>
          <w:rFonts w:cs="Arial"/>
        </w:rPr>
        <w:t xml:space="preserve">Camden, B. (2023). </w:t>
      </w:r>
      <w:r w:rsidRPr="00221BE3">
        <w:rPr>
          <w:rFonts w:cs="Arial"/>
          <w:i/>
          <w:iCs/>
        </w:rPr>
        <w:t>Apprenticeship Levy Turns into Treasury ‘cash cow’</w:t>
      </w:r>
      <w:r w:rsidRPr="00221BE3">
        <w:rPr>
          <w:rFonts w:cs="Arial"/>
        </w:rPr>
        <w:t>. [online] FE Week. Available at: https://feweek.co.uk/apprenticeship-levy-cash-cow/ [Accessed 28 Oct. 2025].</w:t>
      </w:r>
    </w:p>
    <w:p w14:paraId="556302D9" w14:textId="77777777" w:rsidR="00197C10" w:rsidRPr="00221BE3" w:rsidRDefault="00E431F0" w:rsidP="006156FD">
      <w:pPr>
        <w:rPr>
          <w:rFonts w:cs="Arial"/>
        </w:rPr>
      </w:pPr>
      <w:r w:rsidRPr="00221BE3">
        <w:rPr>
          <w:rFonts w:cs="Arial"/>
        </w:rPr>
        <w:t xml:space="preserve">Caminiti, S. (2018). AT&amp;T's $1 Billion Gambit: Retraining Nearly Half Its Workforce for Jobs of the Future. </w:t>
      </w:r>
      <w:r w:rsidRPr="00221BE3">
        <w:rPr>
          <w:rFonts w:cs="Arial"/>
          <w:i/>
          <w:iCs/>
        </w:rPr>
        <w:t>CNBC</w:t>
      </w:r>
      <w:r w:rsidRPr="00221BE3">
        <w:rPr>
          <w:rFonts w:cs="Arial"/>
        </w:rPr>
        <w:t>. [online] 13 Mar. Available at: https://www.cnbc.com/2018/03/13/atts-1-billion-gambit-retraining-nearly-half-its-workforce.html.</w:t>
      </w:r>
    </w:p>
    <w:p w14:paraId="5271117A" w14:textId="17B24E32" w:rsidR="00197C10" w:rsidRPr="00221BE3" w:rsidRDefault="00E431F0" w:rsidP="006156FD">
      <w:pPr>
        <w:rPr>
          <w:rFonts w:cs="Arial"/>
        </w:rPr>
      </w:pPr>
      <w:r w:rsidRPr="00221BE3">
        <w:rPr>
          <w:rFonts w:cs="Arial"/>
        </w:rPr>
        <w:t xml:space="preserve">Căvescu, A.M. and Popescu, N. (2025). Predictive Analytics in Human Resources Management: Evaluating AIHR’s Role in Talent Retention. </w:t>
      </w:r>
      <w:r w:rsidRPr="00221BE3">
        <w:rPr>
          <w:rFonts w:cs="Arial"/>
          <w:i/>
          <w:iCs/>
        </w:rPr>
        <w:t>AppliedMath</w:t>
      </w:r>
      <w:r w:rsidRPr="00221BE3">
        <w:rPr>
          <w:rFonts w:cs="Arial"/>
        </w:rPr>
        <w:t xml:space="preserve">, [online] 5(3), p.99. </w:t>
      </w:r>
    </w:p>
    <w:p w14:paraId="56B85C92" w14:textId="2E6E9979" w:rsidR="00197C10" w:rsidRPr="00221BE3" w:rsidRDefault="00E431F0" w:rsidP="006156FD">
      <w:pPr>
        <w:rPr>
          <w:rFonts w:cs="Arial"/>
        </w:rPr>
      </w:pPr>
      <w:r w:rsidRPr="00221BE3">
        <w:rPr>
          <w:rFonts w:cs="Arial"/>
        </w:rPr>
        <w:t xml:space="preserve">Clemens, M.A. (2015). Global Skill Partnerships: A Proposal for Technical Training in a Mobile World. </w:t>
      </w:r>
      <w:r w:rsidRPr="00221BE3">
        <w:rPr>
          <w:rFonts w:cs="Arial"/>
          <w:i/>
          <w:iCs/>
        </w:rPr>
        <w:t>IZA Journal of Labour Policy</w:t>
      </w:r>
      <w:r w:rsidRPr="00221BE3">
        <w:rPr>
          <w:rFonts w:cs="Arial"/>
        </w:rPr>
        <w:t xml:space="preserve">, 4(1). </w:t>
      </w:r>
    </w:p>
    <w:p w14:paraId="79C4326A" w14:textId="77777777" w:rsidR="00197C10" w:rsidRPr="00221BE3" w:rsidRDefault="00E431F0" w:rsidP="006156FD">
      <w:pPr>
        <w:rPr>
          <w:rFonts w:cs="Arial"/>
        </w:rPr>
      </w:pPr>
      <w:r w:rsidRPr="00221BE3">
        <w:rPr>
          <w:rFonts w:cs="Arial"/>
        </w:rPr>
        <w:t xml:space="preserve">Connecting Women In Digital (2025). </w:t>
      </w:r>
      <w:r w:rsidRPr="00221BE3">
        <w:rPr>
          <w:rFonts w:cs="Arial"/>
          <w:i/>
          <w:iCs/>
        </w:rPr>
        <w:t>Europe’s Digital Decade: Mid-Term Insights on the 2021–2030 Transformation Strategy</w:t>
      </w:r>
      <w:r w:rsidRPr="00221BE3">
        <w:rPr>
          <w:rFonts w:cs="Arial"/>
        </w:rPr>
        <w:t>. [online] WiDigital. Available at: https://widigital.eu/europes-digital-decade-mid-term-insights-on-the-2021-2030-transformation-strategy/ [Accessed 28 Oct. 2025].</w:t>
      </w:r>
    </w:p>
    <w:p w14:paraId="76CF037E" w14:textId="64029178" w:rsidR="00197C10" w:rsidRPr="00221BE3" w:rsidRDefault="00E431F0" w:rsidP="006156FD">
      <w:pPr>
        <w:rPr>
          <w:rFonts w:cs="Arial"/>
        </w:rPr>
      </w:pPr>
      <w:r w:rsidRPr="00221BE3">
        <w:rPr>
          <w:rFonts w:cs="Arial"/>
        </w:rPr>
        <w:t xml:space="preserve">Cooke, F.L., Dickmann, M. and Parry, E. (2022). Building Sustainable Societies through human-centred Human Resource management: Emerging Issues and Research Opportunities. </w:t>
      </w:r>
      <w:r w:rsidRPr="00221BE3">
        <w:rPr>
          <w:rFonts w:cs="Arial"/>
          <w:i/>
          <w:iCs/>
        </w:rPr>
        <w:t>The International Journal of Human Resource Management</w:t>
      </w:r>
      <w:r w:rsidRPr="00221BE3">
        <w:rPr>
          <w:rFonts w:cs="Arial"/>
        </w:rPr>
        <w:t xml:space="preserve">, [online] 33(1), pp.1–15. </w:t>
      </w:r>
    </w:p>
    <w:p w14:paraId="7EC5E3B1" w14:textId="77777777" w:rsidR="00197C10" w:rsidRPr="00221BE3" w:rsidRDefault="00E431F0" w:rsidP="006156FD">
      <w:pPr>
        <w:rPr>
          <w:rFonts w:cs="Arial"/>
        </w:rPr>
      </w:pPr>
      <w:r w:rsidRPr="00221BE3">
        <w:rPr>
          <w:rFonts w:cs="Arial"/>
        </w:rPr>
        <w:t xml:space="preserve">Dastin, J. (2018). Amazon Scraps Secret AI Recruiting Tool That Showed Bias against Women. </w:t>
      </w:r>
      <w:r w:rsidRPr="00221BE3">
        <w:rPr>
          <w:rFonts w:cs="Arial"/>
          <w:i/>
          <w:iCs/>
        </w:rPr>
        <w:t>Reuters</w:t>
      </w:r>
      <w:r w:rsidRPr="00221BE3">
        <w:rPr>
          <w:rFonts w:cs="Arial"/>
        </w:rPr>
        <w:t>. [online] 11 Oct. Available at: https://www.reuters.com/article/world/insight-amazon-scraps-secret-ai-recruiting-tool-that-showed-bias-against-women-idUSKCN1MK0AG/.</w:t>
      </w:r>
    </w:p>
    <w:p w14:paraId="08BD054D" w14:textId="77777777" w:rsidR="00197C10" w:rsidRPr="00221BE3" w:rsidRDefault="00E431F0" w:rsidP="006156FD">
      <w:pPr>
        <w:rPr>
          <w:rFonts w:cs="Arial"/>
        </w:rPr>
      </w:pPr>
      <w:r w:rsidRPr="00221BE3">
        <w:rPr>
          <w:rFonts w:cs="Arial"/>
        </w:rPr>
        <w:t xml:space="preserve">Department for Culture, Media &amp; Sport and Department for Science, Innovation &amp; Technology (2022). </w:t>
      </w:r>
      <w:r w:rsidRPr="00221BE3">
        <w:rPr>
          <w:rFonts w:cs="Arial"/>
          <w:i/>
          <w:iCs/>
        </w:rPr>
        <w:t>Economic Estimates: Employment in the Digital Sector, January 2022 to December 2022</w:t>
      </w:r>
      <w:r w:rsidRPr="00221BE3">
        <w:rPr>
          <w:rFonts w:cs="Arial"/>
        </w:rPr>
        <w:t>. [online] UK Government. Available at: https://www.gov.uk/government/statistics/economic-estimates-employment-in-dcms-sectors-and-digital-sector-january-2022-to-december-2022/economic-estimates-employment-in-the-digital-sector-january-2022-to-december-2022.</w:t>
      </w:r>
    </w:p>
    <w:p w14:paraId="56810229" w14:textId="77777777" w:rsidR="00197C10" w:rsidRPr="00221BE3" w:rsidRDefault="00E431F0" w:rsidP="006156FD">
      <w:pPr>
        <w:rPr>
          <w:rFonts w:cs="Arial"/>
        </w:rPr>
      </w:pPr>
      <w:r w:rsidRPr="00221BE3">
        <w:rPr>
          <w:rFonts w:cs="Arial"/>
        </w:rPr>
        <w:t xml:space="preserve">Feeney, A. (2024). </w:t>
      </w:r>
      <w:r w:rsidRPr="00221BE3">
        <w:rPr>
          <w:rFonts w:cs="Arial"/>
          <w:i/>
          <w:iCs/>
        </w:rPr>
        <w:t>The U.S. Nursing shortage: a state-by-state Breakdown</w:t>
      </w:r>
      <w:r w:rsidRPr="00221BE3">
        <w:rPr>
          <w:rFonts w:cs="Arial"/>
        </w:rPr>
        <w:t>. [online] NurseJournal. Available at: https://nursejournal.org/articles/the-us-nursing-shortage-state-by-state-breakdown/.</w:t>
      </w:r>
    </w:p>
    <w:p w14:paraId="2E3CB8A9" w14:textId="77777777" w:rsidR="00197C10" w:rsidRPr="00221BE3" w:rsidRDefault="00E431F0" w:rsidP="006156FD">
      <w:pPr>
        <w:rPr>
          <w:rFonts w:cs="Arial"/>
        </w:rPr>
      </w:pPr>
      <w:r w:rsidRPr="00221BE3">
        <w:rPr>
          <w:rFonts w:cs="Arial"/>
        </w:rPr>
        <w:t xml:space="preserve">Filipenco, D. (2024). </w:t>
      </w:r>
      <w:r w:rsidRPr="00221BE3">
        <w:rPr>
          <w:rFonts w:cs="Arial"/>
          <w:i/>
          <w:iCs/>
        </w:rPr>
        <w:t>Internet Access and Digital Divide: Global Statistics</w:t>
      </w:r>
      <w:r w:rsidRPr="00221BE3">
        <w:rPr>
          <w:rFonts w:cs="Arial"/>
        </w:rPr>
        <w:t>. [online] DevelopmentAid. Available at: https://www.developmentaid.org/news-stream/post/185774/internet-access-and-digital-divide.</w:t>
      </w:r>
    </w:p>
    <w:p w14:paraId="6A84F619" w14:textId="256C9210" w:rsidR="00197C10" w:rsidRPr="00221BE3" w:rsidRDefault="00E431F0" w:rsidP="006156FD">
      <w:pPr>
        <w:rPr>
          <w:rFonts w:cs="Arial"/>
        </w:rPr>
      </w:pPr>
      <w:r w:rsidRPr="00221BE3">
        <w:rPr>
          <w:rFonts w:cs="Arial"/>
        </w:rPr>
        <w:t xml:space="preserve">Frey, C.B. &amp; Osborne, M.A. (2017). The Future of Employment: How Susceptible Are Jobs to Computerisation? </w:t>
      </w:r>
      <w:r w:rsidRPr="00221BE3">
        <w:rPr>
          <w:rFonts w:cs="Arial"/>
          <w:i/>
          <w:iCs/>
        </w:rPr>
        <w:t>Technological Forecasting and Social Change</w:t>
      </w:r>
      <w:r w:rsidRPr="00221BE3">
        <w:rPr>
          <w:rFonts w:cs="Arial"/>
        </w:rPr>
        <w:t xml:space="preserve">, [online] 114(1), pp.254–280. </w:t>
      </w:r>
    </w:p>
    <w:p w14:paraId="09E1FA99" w14:textId="77777777" w:rsidR="00197C10" w:rsidRPr="00221BE3" w:rsidRDefault="00E431F0" w:rsidP="006156FD">
      <w:pPr>
        <w:rPr>
          <w:rFonts w:cs="Arial"/>
        </w:rPr>
      </w:pPr>
      <w:r w:rsidRPr="00221BE3">
        <w:rPr>
          <w:rFonts w:cs="Arial"/>
        </w:rPr>
        <w:t xml:space="preserve">Garuba, L. (2025). </w:t>
      </w:r>
      <w:r w:rsidRPr="00221BE3">
        <w:rPr>
          <w:rFonts w:cs="Arial"/>
          <w:i/>
          <w:iCs/>
        </w:rPr>
        <w:t>Nurse of 2030: No Job Description Can Contain Them</w:t>
      </w:r>
      <w:r w:rsidRPr="00221BE3">
        <w:rPr>
          <w:rFonts w:cs="Arial"/>
        </w:rPr>
        <w:t>. [online] The Royal College of Nursing. Available at: https://www.rcn.org.uk/news-and-events/Blogs/nurse-of-2030-no-job-description-can-contain-them.</w:t>
      </w:r>
    </w:p>
    <w:p w14:paraId="3D576712" w14:textId="77777777" w:rsidR="00197C10" w:rsidRPr="00221BE3" w:rsidRDefault="00E431F0" w:rsidP="006156FD">
      <w:pPr>
        <w:rPr>
          <w:rFonts w:cs="Arial"/>
        </w:rPr>
      </w:pPr>
      <w:r w:rsidRPr="00221BE3">
        <w:rPr>
          <w:rFonts w:cs="Arial"/>
        </w:rPr>
        <w:t xml:space="preserve">Goldstein, J. (2023). </w:t>
      </w:r>
      <w:r w:rsidRPr="00221BE3">
        <w:rPr>
          <w:rFonts w:cs="Arial"/>
          <w:i/>
          <w:iCs/>
        </w:rPr>
        <w:t>New IBM Study Reveals How AI Is Changing Work and What HR Leaders Should Do about It</w:t>
      </w:r>
      <w:r w:rsidRPr="00221BE3">
        <w:rPr>
          <w:rFonts w:cs="Arial"/>
        </w:rPr>
        <w:t>. [online] IBM. Available at: https://www.ibm.com/think/insights/new-ibm-study-reveals-how-ai-is-changing-work-and-what-hr-leaders-should-do-about-it.</w:t>
      </w:r>
    </w:p>
    <w:p w14:paraId="5D19ECD0" w14:textId="77777777" w:rsidR="00197C10" w:rsidRPr="00221BE3" w:rsidRDefault="00E431F0" w:rsidP="006156FD">
      <w:pPr>
        <w:rPr>
          <w:rFonts w:cs="Arial"/>
        </w:rPr>
      </w:pPr>
      <w:r w:rsidRPr="00221BE3">
        <w:rPr>
          <w:rFonts w:cs="Arial"/>
        </w:rPr>
        <w:t xml:space="preserve">Hagan, R. (2025). Nearly a Million More Deaths than Births in Japan Last Year. </w:t>
      </w:r>
      <w:r w:rsidRPr="00221BE3">
        <w:rPr>
          <w:rFonts w:cs="Arial"/>
          <w:i/>
          <w:iCs/>
        </w:rPr>
        <w:t>BBC</w:t>
      </w:r>
      <w:r w:rsidRPr="00221BE3">
        <w:rPr>
          <w:rFonts w:cs="Arial"/>
        </w:rPr>
        <w:t>. [online] 7 Aug. Available at: https://www.bbc.com/news/articles/c74dnzr4jdvo.</w:t>
      </w:r>
    </w:p>
    <w:p w14:paraId="469EC825" w14:textId="77777777" w:rsidR="00197C10" w:rsidRPr="00221BE3" w:rsidRDefault="00E431F0" w:rsidP="006156FD">
      <w:pPr>
        <w:rPr>
          <w:rFonts w:cs="Arial"/>
        </w:rPr>
      </w:pPr>
      <w:r w:rsidRPr="00221BE3">
        <w:rPr>
          <w:rFonts w:cs="Arial"/>
        </w:rPr>
        <w:t xml:space="preserve">Holder, M. (2025). </w:t>
      </w:r>
      <w:r w:rsidRPr="00221BE3">
        <w:rPr>
          <w:rFonts w:cs="Arial"/>
          <w:i/>
          <w:iCs/>
        </w:rPr>
        <w:t>Gender Pay Gap Statistics: a Comprehensive Analysis</w:t>
      </w:r>
      <w:r w:rsidRPr="00221BE3">
        <w:rPr>
          <w:rFonts w:cs="Arial"/>
        </w:rPr>
        <w:t>. [online] Equal Pay Today. Available at: https://www.equalpaytoday.org/gender-pay-gap-statistics/.</w:t>
      </w:r>
    </w:p>
    <w:p w14:paraId="54711273" w14:textId="77777777" w:rsidR="00197C10" w:rsidRPr="00221BE3" w:rsidRDefault="00E431F0" w:rsidP="006156FD">
      <w:pPr>
        <w:rPr>
          <w:rFonts w:cs="Arial"/>
        </w:rPr>
      </w:pPr>
      <w:r w:rsidRPr="00221BE3">
        <w:rPr>
          <w:rFonts w:cs="Arial"/>
        </w:rPr>
        <w:t xml:space="preserve">Immigration, Refugees and Citizenship Canada (2023). </w:t>
      </w:r>
      <w:r w:rsidRPr="00221BE3">
        <w:rPr>
          <w:rFonts w:cs="Arial"/>
          <w:i/>
          <w:iCs/>
        </w:rPr>
        <w:t>Express Entry Year-End Report 2022</w:t>
      </w:r>
      <w:r w:rsidRPr="00221BE3">
        <w:rPr>
          <w:rFonts w:cs="Arial"/>
        </w:rPr>
        <w:t>. [online] IRCC. Available at: https://www.canada.ca/content/dam/ircc/documents/pdf/english/corporate/publications-manuals/2022-ee-report-eng.pdf.</w:t>
      </w:r>
    </w:p>
    <w:p w14:paraId="10DDABE8" w14:textId="77777777" w:rsidR="00197C10" w:rsidRPr="00221BE3" w:rsidRDefault="00E431F0" w:rsidP="006156FD">
      <w:pPr>
        <w:rPr>
          <w:rFonts w:cs="Arial"/>
        </w:rPr>
      </w:pPr>
      <w:r w:rsidRPr="00221BE3">
        <w:rPr>
          <w:rFonts w:cs="Arial"/>
        </w:rPr>
        <w:t xml:space="preserve">ISC2 (2022). </w:t>
      </w:r>
      <w:r w:rsidRPr="00221BE3">
        <w:rPr>
          <w:rFonts w:cs="Arial"/>
          <w:i/>
          <w:iCs/>
        </w:rPr>
        <w:t>Cybersecurity Workforce Study 2022</w:t>
      </w:r>
      <w:r w:rsidRPr="00221BE3">
        <w:rPr>
          <w:rFonts w:cs="Arial"/>
        </w:rPr>
        <w:t>. [online] Available at: https://edge.sitecorecloud.io/internationf173-xmc4e73-prodbc0f-9660/media/Project/ISC2/Main/Media/documents/research/ISC2-Cybersecurity-Workforce-Study-2022.pdf.</w:t>
      </w:r>
    </w:p>
    <w:p w14:paraId="2318ACDD" w14:textId="77777777" w:rsidR="00197C10" w:rsidRPr="00197C10" w:rsidRDefault="00E431F0" w:rsidP="00197C10">
      <w:pPr>
        <w:rPr>
          <w:rFonts w:cs="Arial"/>
          <w:lang w:val="en-US"/>
        </w:rPr>
      </w:pPr>
      <w:r w:rsidRPr="00197C10">
        <w:rPr>
          <w:rFonts w:cs="Arial"/>
          <w:lang w:val="en-US"/>
        </w:rPr>
        <w:t xml:space="preserve">Jasper, M. (2013). </w:t>
      </w:r>
      <w:r w:rsidRPr="00197C10">
        <w:rPr>
          <w:rFonts w:cs="Arial"/>
          <w:i/>
          <w:iCs/>
          <w:lang w:val="en-US"/>
        </w:rPr>
        <w:t>Beginning Reflective Practice</w:t>
      </w:r>
      <w:r w:rsidRPr="00197C10">
        <w:rPr>
          <w:rFonts w:cs="Arial"/>
          <w:lang w:val="en-US"/>
        </w:rPr>
        <w:t>. 2nd ed. Cheltenham: Nelson Thornes.</w:t>
      </w:r>
    </w:p>
    <w:p w14:paraId="04AC5C00" w14:textId="77777777" w:rsidR="00197C10" w:rsidRPr="00221BE3" w:rsidRDefault="00E431F0" w:rsidP="006156FD">
      <w:pPr>
        <w:rPr>
          <w:rFonts w:cs="Arial"/>
        </w:rPr>
      </w:pPr>
      <w:r w:rsidRPr="00221BE3">
        <w:rPr>
          <w:rFonts w:cs="Arial"/>
        </w:rPr>
        <w:t xml:space="preserve">Katz, L.F. and Krueger, A.B. (2018). The Rise and Nature of Alternative Work Arrangements in the United States, 1995–2015. </w:t>
      </w:r>
      <w:r w:rsidRPr="00221BE3">
        <w:rPr>
          <w:rFonts w:cs="Arial"/>
          <w:i/>
          <w:iCs/>
        </w:rPr>
        <w:t>ILR Review</w:t>
      </w:r>
      <w:r w:rsidRPr="00221BE3">
        <w:rPr>
          <w:rFonts w:cs="Arial"/>
        </w:rPr>
        <w:t>, 72(2), pp.382–416.</w:t>
      </w:r>
    </w:p>
    <w:p w14:paraId="63522AF0" w14:textId="512C4169" w:rsidR="00197C10" w:rsidRPr="00221BE3" w:rsidRDefault="00E431F0" w:rsidP="006156FD">
      <w:pPr>
        <w:rPr>
          <w:rFonts w:cs="Arial"/>
        </w:rPr>
      </w:pPr>
      <w:r w:rsidRPr="00221BE3">
        <w:rPr>
          <w:rFonts w:cs="Arial"/>
        </w:rPr>
        <w:t xml:space="preserve">Kerr, W.R. and Kerr, S.P. (2020). Immigration Policy Levers for U.S. Innovation and Startups. </w:t>
      </w:r>
      <w:r w:rsidRPr="00221BE3">
        <w:rPr>
          <w:rFonts w:cs="Arial"/>
          <w:i/>
          <w:iCs/>
        </w:rPr>
        <w:t>NBER Working Paper No. w27040</w:t>
      </w:r>
      <w:r w:rsidRPr="00221BE3">
        <w:rPr>
          <w:rFonts w:cs="Arial"/>
        </w:rPr>
        <w:t xml:space="preserve">. </w:t>
      </w:r>
    </w:p>
    <w:p w14:paraId="62462934" w14:textId="77777777" w:rsidR="00197C10" w:rsidRPr="00221BE3" w:rsidRDefault="00E431F0" w:rsidP="006156FD">
      <w:pPr>
        <w:rPr>
          <w:rFonts w:cs="Arial"/>
        </w:rPr>
      </w:pPr>
      <w:r w:rsidRPr="00221BE3">
        <w:rPr>
          <w:rFonts w:cs="Arial"/>
        </w:rPr>
        <w:t xml:space="preserve">LinkedIn (2022). </w:t>
      </w:r>
      <w:r w:rsidRPr="00221BE3">
        <w:rPr>
          <w:rFonts w:cs="Arial"/>
          <w:i/>
          <w:iCs/>
        </w:rPr>
        <w:t>2022 Global Talent Trends: the Reinvention of Company Culture</w:t>
      </w:r>
      <w:r w:rsidRPr="00221BE3">
        <w:rPr>
          <w:rFonts w:cs="Arial"/>
        </w:rPr>
        <w:t>. [online] LinkedIn Corporation. Available at: https://business.linkedin.com/content/dam/me/business/en-us/talent-solutions-lodestone/body/pdf/global_talent_trends_2022.pdf.</w:t>
      </w:r>
    </w:p>
    <w:p w14:paraId="38A79EEF" w14:textId="77777777" w:rsidR="00197C10" w:rsidRPr="00221BE3" w:rsidRDefault="00E431F0" w:rsidP="006156FD">
      <w:pPr>
        <w:rPr>
          <w:rFonts w:cs="Arial"/>
        </w:rPr>
      </w:pPr>
      <w:r w:rsidRPr="00221BE3">
        <w:rPr>
          <w:rFonts w:cs="Arial"/>
        </w:rPr>
        <w:t xml:space="preserve">Lund, S., Madgavkar, A., Manyika, J., Smit, S., Ellingrud, K., Meaney, M. and Robinson, O. (2021). </w:t>
      </w:r>
      <w:r w:rsidRPr="00221BE3">
        <w:rPr>
          <w:rFonts w:cs="Arial"/>
          <w:i/>
          <w:iCs/>
        </w:rPr>
        <w:t>The Future of Work after COVID-19</w:t>
      </w:r>
      <w:r w:rsidRPr="00221BE3">
        <w:rPr>
          <w:rFonts w:cs="Arial"/>
        </w:rPr>
        <w:t>. [online] McKinsey &amp; Company. Available at: https://www.mckinsey.com/~/media/mckinsey/featured%20insights/future%20of%20organizations/the%20future%20of%20work%20after%20covid%2019/the-future-of-work-after-covid-19-report-vf.pdf.</w:t>
      </w:r>
    </w:p>
    <w:p w14:paraId="11891802" w14:textId="77777777" w:rsidR="00197C10" w:rsidRPr="00221BE3" w:rsidRDefault="00E431F0" w:rsidP="006156FD">
      <w:pPr>
        <w:rPr>
          <w:rFonts w:cs="Arial"/>
        </w:rPr>
      </w:pPr>
      <w:r w:rsidRPr="00221BE3">
        <w:rPr>
          <w:rFonts w:cs="Arial"/>
        </w:rPr>
        <w:t xml:space="preserve">ManpowerGroup (2025). </w:t>
      </w:r>
      <w:r w:rsidRPr="00221BE3">
        <w:rPr>
          <w:rFonts w:cs="Arial"/>
          <w:i/>
          <w:iCs/>
        </w:rPr>
        <w:t>Talent Shortage Survey 2025</w:t>
      </w:r>
      <w:r w:rsidRPr="00221BE3">
        <w:rPr>
          <w:rFonts w:cs="Arial"/>
        </w:rPr>
        <w:t>. [online] ManpowerGroup. Available at: https://www.manpowergroup.co.uk/b_talent-shortage-survey-2025/.</w:t>
      </w:r>
    </w:p>
    <w:p w14:paraId="536ACEC1" w14:textId="77777777" w:rsidR="00197C10" w:rsidRPr="00221BE3" w:rsidRDefault="00E431F0" w:rsidP="006156FD">
      <w:pPr>
        <w:rPr>
          <w:rFonts w:cs="Arial"/>
        </w:rPr>
      </w:pPr>
      <w:r w:rsidRPr="00221BE3">
        <w:rPr>
          <w:rFonts w:cs="Arial"/>
        </w:rPr>
        <w:t xml:space="preserve">McLeod, S. (2025). </w:t>
      </w:r>
      <w:r w:rsidRPr="00221BE3">
        <w:rPr>
          <w:rFonts w:cs="Arial"/>
          <w:i/>
          <w:iCs/>
        </w:rPr>
        <w:t>Gibbs Reflective Cycle</w:t>
      </w:r>
      <w:r w:rsidRPr="00221BE3">
        <w:rPr>
          <w:rFonts w:cs="Arial"/>
        </w:rPr>
        <w:t>. [online] Simply Psychology. Available at: https://www.simplypsychology.org/gibbs-reflective-cycle.html.</w:t>
      </w:r>
    </w:p>
    <w:p w14:paraId="438AADA3" w14:textId="77777777" w:rsidR="00197C10" w:rsidRPr="00221BE3" w:rsidRDefault="00E431F0" w:rsidP="006156FD">
      <w:pPr>
        <w:rPr>
          <w:rFonts w:cs="Arial"/>
        </w:rPr>
      </w:pPr>
      <w:r w:rsidRPr="00221BE3">
        <w:rPr>
          <w:rFonts w:cs="Arial"/>
        </w:rPr>
        <w:t xml:space="preserve">Microsoft (2023). </w:t>
      </w:r>
      <w:r w:rsidRPr="00221BE3">
        <w:rPr>
          <w:rFonts w:cs="Arial"/>
          <w:i/>
          <w:iCs/>
        </w:rPr>
        <w:t>2023 Work Trend Index: Annual Report</w:t>
      </w:r>
      <w:r w:rsidRPr="00221BE3">
        <w:rPr>
          <w:rFonts w:cs="Arial"/>
        </w:rPr>
        <w:t>. [online] Microsoft Corporation. Available at: https://assets.ctfassets.net/y8fb0rhks3b3/5eyZc6gDu1bzftdY6w3ZVV/beeb0f2e437044fc99a0408867a263d8/WTI_Annual_2023_Will_AI_Fix_Work_.pdf.</w:t>
      </w:r>
    </w:p>
    <w:p w14:paraId="3A3412CB" w14:textId="77777777" w:rsidR="00197C10" w:rsidRPr="00221BE3" w:rsidRDefault="00E431F0" w:rsidP="006156FD">
      <w:pPr>
        <w:rPr>
          <w:rFonts w:cs="Arial"/>
        </w:rPr>
      </w:pPr>
      <w:r w:rsidRPr="00221BE3">
        <w:rPr>
          <w:rFonts w:cs="Arial"/>
        </w:rPr>
        <w:t xml:space="preserve">Monterroso, O. and Vilán, D. (2025). </w:t>
      </w:r>
      <w:r w:rsidRPr="00221BE3">
        <w:rPr>
          <w:rFonts w:cs="Arial"/>
          <w:i/>
          <w:iCs/>
        </w:rPr>
        <w:t>Global Remittances Cycle</w:t>
      </w:r>
      <w:r w:rsidRPr="00221BE3">
        <w:rPr>
          <w:rFonts w:cs="Arial"/>
        </w:rPr>
        <w:t>. [online] Federal Reserve. Available at: https://www.federalreserve.gov/econres/notes/feds-notes/global-remittances-cycle-20250227.html.</w:t>
      </w:r>
    </w:p>
    <w:p w14:paraId="7AC1C1A5" w14:textId="77777777" w:rsidR="00197C10" w:rsidRPr="00221BE3" w:rsidRDefault="00E431F0" w:rsidP="006156FD">
      <w:pPr>
        <w:rPr>
          <w:rFonts w:cs="Arial"/>
        </w:rPr>
      </w:pPr>
      <w:r w:rsidRPr="00221BE3">
        <w:rPr>
          <w:rFonts w:cs="Arial"/>
        </w:rPr>
        <w:t xml:space="preserve">Ortiz-Ospina, E., Tzvetkova, S. and Roser, M. (2018). </w:t>
      </w:r>
      <w:r w:rsidRPr="00221BE3">
        <w:rPr>
          <w:rFonts w:cs="Arial"/>
          <w:i/>
          <w:iCs/>
        </w:rPr>
        <w:t>Women’s Employment</w:t>
      </w:r>
      <w:r w:rsidRPr="00221BE3">
        <w:rPr>
          <w:rFonts w:cs="Arial"/>
        </w:rPr>
        <w:t>. [online] Our World in Data. Available at: https://ourworldindata.org/female-labor-supply.</w:t>
      </w:r>
    </w:p>
    <w:p w14:paraId="762ED737" w14:textId="77777777" w:rsidR="00197C10" w:rsidRPr="00221BE3" w:rsidRDefault="00E431F0" w:rsidP="006156FD">
      <w:pPr>
        <w:rPr>
          <w:rFonts w:cs="Arial"/>
        </w:rPr>
      </w:pPr>
      <w:r w:rsidRPr="00221BE3">
        <w:rPr>
          <w:rFonts w:cs="Arial"/>
        </w:rPr>
        <w:t xml:space="preserve">PwC (2022). </w:t>
      </w:r>
      <w:r w:rsidRPr="00221BE3">
        <w:rPr>
          <w:rFonts w:cs="Arial"/>
          <w:i/>
          <w:iCs/>
        </w:rPr>
        <w:t>Global Investor Survey 2022</w:t>
      </w:r>
      <w:r w:rsidRPr="00221BE3">
        <w:rPr>
          <w:rFonts w:cs="Arial"/>
        </w:rPr>
        <w:t>. [online] PricewaterhouseCoopers. Available at: https://www.pwc.com/gx/en/global-investor-survey/PwC-Global-Investor-Survey-2022.pdf.</w:t>
      </w:r>
    </w:p>
    <w:p w14:paraId="7E0357FB" w14:textId="77777777" w:rsidR="00197C10" w:rsidRPr="00221BE3" w:rsidRDefault="00E431F0" w:rsidP="006156FD">
      <w:pPr>
        <w:rPr>
          <w:rFonts w:cs="Arial"/>
        </w:rPr>
      </w:pPr>
      <w:r w:rsidRPr="00221BE3">
        <w:rPr>
          <w:rFonts w:cs="Arial"/>
        </w:rPr>
        <w:t xml:space="preserve">Ravio (2024). </w:t>
      </w:r>
      <w:r w:rsidRPr="00221BE3">
        <w:rPr>
          <w:rFonts w:cs="Arial"/>
          <w:i/>
          <w:iCs/>
        </w:rPr>
        <w:t>Pay equity explained: What It Is and Why It Matters</w:t>
      </w:r>
      <w:r w:rsidRPr="00221BE3">
        <w:rPr>
          <w:rFonts w:cs="Arial"/>
        </w:rPr>
        <w:t>. [online] Ravio. Available at: https://ravio.com/blog/what-is-pay-equity.</w:t>
      </w:r>
    </w:p>
    <w:p w14:paraId="615333E3" w14:textId="77777777" w:rsidR="00197C10" w:rsidRPr="00221BE3" w:rsidRDefault="00E431F0" w:rsidP="006156FD">
      <w:pPr>
        <w:rPr>
          <w:rFonts w:cs="Arial"/>
        </w:rPr>
      </w:pPr>
      <w:r w:rsidRPr="00221BE3">
        <w:rPr>
          <w:rFonts w:cs="Arial"/>
        </w:rPr>
        <w:t xml:space="preserve">Rolewicz, L., Palmer, B. and Lobont, C. (2024). </w:t>
      </w:r>
      <w:r w:rsidRPr="00221BE3">
        <w:rPr>
          <w:rFonts w:cs="Arial"/>
          <w:i/>
          <w:iCs/>
        </w:rPr>
        <w:t>The NHS Workforce in Numbers</w:t>
      </w:r>
      <w:r w:rsidRPr="00221BE3">
        <w:rPr>
          <w:rFonts w:cs="Arial"/>
        </w:rPr>
        <w:t>. [online] The Nuffield Trust. Available at: https://www.nuffieldtrust.org.uk/resource/the-nhs-workforce-in-numbers.</w:t>
      </w:r>
    </w:p>
    <w:p w14:paraId="4FFA8778" w14:textId="77777777" w:rsidR="00197C10" w:rsidRPr="00221BE3" w:rsidRDefault="00E431F0" w:rsidP="006156FD">
      <w:pPr>
        <w:rPr>
          <w:rFonts w:cs="Arial"/>
        </w:rPr>
      </w:pPr>
      <w:r w:rsidRPr="00221BE3">
        <w:rPr>
          <w:rFonts w:cs="Arial"/>
        </w:rPr>
        <w:t xml:space="preserve">Schwab, K. (2016). </w:t>
      </w:r>
      <w:r w:rsidRPr="00221BE3">
        <w:rPr>
          <w:rFonts w:cs="Arial"/>
          <w:i/>
          <w:iCs/>
        </w:rPr>
        <w:t>The Fourth Industrial Revolution</w:t>
      </w:r>
      <w:r w:rsidRPr="00221BE3">
        <w:rPr>
          <w:rFonts w:cs="Arial"/>
        </w:rPr>
        <w:t>. [online] Geneva: World Economic Forum. Available at: https://law.unimelb.edu.au/__data/assets/pdf_file/0005/3385454/Schwab-The_Fourth_Industrial_Revolution_Klaus_S.pdf.</w:t>
      </w:r>
    </w:p>
    <w:p w14:paraId="592BF809" w14:textId="77777777" w:rsidR="00197C10" w:rsidRPr="00221BE3" w:rsidRDefault="00E431F0" w:rsidP="006156FD">
      <w:pPr>
        <w:rPr>
          <w:rFonts w:cs="Arial"/>
        </w:rPr>
      </w:pPr>
      <w:r w:rsidRPr="00221BE3">
        <w:rPr>
          <w:rFonts w:cs="Arial"/>
        </w:rPr>
        <w:t xml:space="preserve">Siemens (2019). </w:t>
      </w:r>
      <w:r w:rsidRPr="00221BE3">
        <w:rPr>
          <w:rFonts w:cs="Arial"/>
          <w:i/>
          <w:iCs/>
        </w:rPr>
        <w:t>Vocational Training at Siemens</w:t>
      </w:r>
      <w:r w:rsidRPr="00221BE3">
        <w:rPr>
          <w:rFonts w:cs="Arial"/>
        </w:rPr>
        <w:t>. [online] Siemens Press. Available at: https://press.siemens.com/global/en/feature/vocational-training-siemens.</w:t>
      </w:r>
    </w:p>
    <w:p w14:paraId="06D74B43" w14:textId="77777777" w:rsidR="00197C10" w:rsidRPr="00221BE3" w:rsidRDefault="00E431F0" w:rsidP="006156FD">
      <w:pPr>
        <w:rPr>
          <w:rFonts w:cs="Arial"/>
        </w:rPr>
      </w:pPr>
      <w:r w:rsidRPr="00221BE3">
        <w:rPr>
          <w:rFonts w:cs="Arial"/>
        </w:rPr>
        <w:t xml:space="preserve">Stone, R.J., Cox, A. and Gavin, M. (2020). </w:t>
      </w:r>
      <w:r w:rsidRPr="00221BE3">
        <w:rPr>
          <w:rFonts w:cs="Arial"/>
          <w:i/>
          <w:iCs/>
        </w:rPr>
        <w:t>Human Resource Management.</w:t>
      </w:r>
      <w:r w:rsidRPr="00221BE3">
        <w:rPr>
          <w:rFonts w:cs="Arial"/>
        </w:rPr>
        <w:t xml:space="preserve"> 10th ed. Wiley.</w:t>
      </w:r>
    </w:p>
    <w:p w14:paraId="0C6F0297" w14:textId="77777777" w:rsidR="00197C10" w:rsidRPr="00221BE3" w:rsidRDefault="00E431F0" w:rsidP="006156FD">
      <w:pPr>
        <w:rPr>
          <w:rFonts w:cs="Arial"/>
        </w:rPr>
      </w:pPr>
      <w:r w:rsidRPr="00221BE3">
        <w:rPr>
          <w:rFonts w:cs="Arial"/>
        </w:rPr>
        <w:t xml:space="preserve">Tarique, I. and Schuler, R.S. (2010). Global Talent Management: Literature Review, Integrative Framework, and Suggestions for Further Research. </w:t>
      </w:r>
      <w:r w:rsidRPr="00221BE3">
        <w:rPr>
          <w:rFonts w:cs="Arial"/>
          <w:i/>
          <w:iCs/>
        </w:rPr>
        <w:t>Journal of World Business</w:t>
      </w:r>
      <w:r w:rsidRPr="00221BE3">
        <w:rPr>
          <w:rFonts w:cs="Arial"/>
        </w:rPr>
        <w:t>, 45(2), pp.122–133.</w:t>
      </w:r>
    </w:p>
    <w:p w14:paraId="19C305A4" w14:textId="77777777" w:rsidR="00197C10" w:rsidRPr="00221BE3" w:rsidRDefault="00E431F0" w:rsidP="006156FD">
      <w:pPr>
        <w:rPr>
          <w:rFonts w:cs="Arial"/>
        </w:rPr>
      </w:pPr>
      <w:r w:rsidRPr="00221BE3">
        <w:rPr>
          <w:rFonts w:cs="Arial"/>
        </w:rPr>
        <w:t xml:space="preserve">Taylor, M., </w:t>
      </w:r>
      <w:r w:rsidR="00221BE3" w:rsidRPr="00221BE3">
        <w:rPr>
          <w:rFonts w:cs="Arial"/>
        </w:rPr>
        <w:t>Marsh,</w:t>
      </w:r>
      <w:r w:rsidRPr="00221BE3">
        <w:rPr>
          <w:rFonts w:cs="Arial"/>
        </w:rPr>
        <w:t xml:space="preserve"> G., Nicol, D. and Broadbent, P. (2017). </w:t>
      </w:r>
      <w:r w:rsidRPr="00221BE3">
        <w:rPr>
          <w:rFonts w:cs="Arial"/>
          <w:i/>
          <w:iCs/>
        </w:rPr>
        <w:t>Good work: the Taylor Review of Modern Working Practices</w:t>
      </w:r>
      <w:r w:rsidRPr="00221BE3">
        <w:rPr>
          <w:rFonts w:cs="Arial"/>
        </w:rPr>
        <w:t>. [online] Available at: https://assets.publishing.service.gov.uk/media/5a82dcdce5274a2e87dc35a4/good-work-taylor-review-modern-working-practices-rg.pdf.</w:t>
      </w:r>
    </w:p>
    <w:p w14:paraId="69BC338D" w14:textId="77777777" w:rsidR="00197C10" w:rsidRPr="00221BE3" w:rsidRDefault="00E431F0" w:rsidP="006156FD">
      <w:pPr>
        <w:rPr>
          <w:rFonts w:cs="Arial"/>
        </w:rPr>
      </w:pPr>
      <w:r w:rsidRPr="00221BE3">
        <w:rPr>
          <w:rFonts w:cs="Arial"/>
        </w:rPr>
        <w:t xml:space="preserve">Tirmizi, H. (2025). </w:t>
      </w:r>
      <w:r w:rsidRPr="00221BE3">
        <w:rPr>
          <w:rFonts w:cs="Arial"/>
          <w:i/>
          <w:iCs/>
        </w:rPr>
        <w:t>HR in the Age of Geopolitical Shifts: beyond Borders, beyond Boundaries</w:t>
      </w:r>
      <w:r w:rsidRPr="00221BE3">
        <w:rPr>
          <w:rFonts w:cs="Arial"/>
        </w:rPr>
        <w:t>. [online] LinkedIn. Available at: https://www.linkedin.com/pulse/hr-age-geo-political-shifts-beyond-borders-boundaries-hassan-iammf/ [Accessed 28 Oct. 2025].</w:t>
      </w:r>
    </w:p>
    <w:p w14:paraId="7412934B" w14:textId="77777777" w:rsidR="00197C10" w:rsidRPr="00221BE3" w:rsidRDefault="00E431F0" w:rsidP="006156FD">
      <w:pPr>
        <w:rPr>
          <w:rFonts w:cs="Arial"/>
        </w:rPr>
      </w:pPr>
      <w:r w:rsidRPr="00221BE3">
        <w:rPr>
          <w:rFonts w:cs="Arial"/>
        </w:rPr>
        <w:t xml:space="preserve">Trade Union Congress (2021). </w:t>
      </w:r>
      <w:r w:rsidRPr="00221BE3">
        <w:rPr>
          <w:rFonts w:cs="Arial"/>
          <w:i/>
          <w:iCs/>
        </w:rPr>
        <w:t>Gig Economy Workforce in England and Wales Has Almost Tripled in the Last Five Years – New TUC Research</w:t>
      </w:r>
      <w:r w:rsidRPr="00221BE3">
        <w:rPr>
          <w:rFonts w:cs="Arial"/>
        </w:rPr>
        <w:t>. [online] Trades Union Congress (TUC). Available at: https://www.tuc.org.uk/news/gig-economy-workforce-england-and-wales-has-almost-tripled-last-five-years-new-tuc-research.</w:t>
      </w:r>
    </w:p>
    <w:p w14:paraId="07A993BE" w14:textId="77777777" w:rsidR="00197C10" w:rsidRPr="00221BE3" w:rsidRDefault="00E431F0" w:rsidP="006156FD">
      <w:pPr>
        <w:rPr>
          <w:rFonts w:cs="Arial"/>
        </w:rPr>
      </w:pPr>
      <w:r w:rsidRPr="00221BE3">
        <w:rPr>
          <w:rFonts w:cs="Arial"/>
        </w:rPr>
        <w:t xml:space="preserve">United Nations (2025). </w:t>
      </w:r>
      <w:r w:rsidRPr="00221BE3">
        <w:rPr>
          <w:rFonts w:cs="Arial"/>
          <w:i/>
          <w:iCs/>
        </w:rPr>
        <w:t>International Migrant Stock 2024: Key Facts and Figures</w:t>
      </w:r>
      <w:r w:rsidRPr="00221BE3">
        <w:rPr>
          <w:rFonts w:cs="Arial"/>
        </w:rPr>
        <w:t>. [online] Department of Economic and Social Affairs. Available at: https://www.un.org/development/desa/pd/sites/www.un.org.development.desa.pd/files/undesa_pd_2025_intlmigstock_2024_key_facts_and_figures_advance-unedited.pdf.</w:t>
      </w:r>
    </w:p>
    <w:p w14:paraId="0F959E4B" w14:textId="77777777" w:rsidR="00197C10" w:rsidRPr="00221BE3" w:rsidRDefault="00E431F0" w:rsidP="006156FD">
      <w:pPr>
        <w:rPr>
          <w:rFonts w:cs="Arial"/>
        </w:rPr>
      </w:pPr>
      <w:r w:rsidRPr="00221BE3">
        <w:rPr>
          <w:rFonts w:cs="Arial"/>
        </w:rPr>
        <w:t xml:space="preserve">World Economic Forum (2020). </w:t>
      </w:r>
      <w:r w:rsidRPr="00221BE3">
        <w:rPr>
          <w:rFonts w:cs="Arial"/>
          <w:i/>
          <w:iCs/>
        </w:rPr>
        <w:t>The Future of Jobs Report 2020</w:t>
      </w:r>
      <w:r w:rsidRPr="00221BE3">
        <w:rPr>
          <w:rFonts w:cs="Arial"/>
        </w:rPr>
        <w:t>. [online] World Economic Forum. Available at: https://www3.weforum.org/docs/WEF_Future_of_Jobs_2020.pdf.</w:t>
      </w:r>
    </w:p>
    <w:p w14:paraId="79E6548C" w14:textId="77777777" w:rsidR="00197C10" w:rsidRPr="00221BE3" w:rsidRDefault="00E431F0" w:rsidP="006156FD">
      <w:pPr>
        <w:rPr>
          <w:rFonts w:cs="Arial"/>
        </w:rPr>
      </w:pPr>
      <w:r w:rsidRPr="00221BE3">
        <w:rPr>
          <w:rFonts w:cs="Arial"/>
        </w:rPr>
        <w:t xml:space="preserve">World Health Organisation (2024). </w:t>
      </w:r>
      <w:r w:rsidRPr="00221BE3">
        <w:rPr>
          <w:rFonts w:cs="Arial"/>
          <w:i/>
          <w:iCs/>
        </w:rPr>
        <w:t>Health Workforce</w:t>
      </w:r>
      <w:r w:rsidRPr="00221BE3">
        <w:rPr>
          <w:rFonts w:cs="Arial"/>
        </w:rPr>
        <w:t>. [online] World Health Organisation. Available at: https://www.who.int/health-topics/health-workforce#tab=tab_1.</w:t>
      </w:r>
    </w:p>
    <w:p w14:paraId="14466CA2" w14:textId="646537A9" w:rsidR="00197C10" w:rsidRPr="00221BE3" w:rsidRDefault="00E431F0" w:rsidP="006156FD">
      <w:pPr>
        <w:rPr>
          <w:rFonts w:cs="Arial"/>
        </w:rPr>
      </w:pPr>
      <w:r w:rsidRPr="00221BE3">
        <w:rPr>
          <w:rFonts w:cs="Arial"/>
        </w:rPr>
        <w:t xml:space="preserve">World Health Systems Facts (2023). </w:t>
      </w:r>
      <w:r w:rsidRPr="00221BE3">
        <w:rPr>
          <w:rFonts w:cs="Arial"/>
          <w:i/>
          <w:iCs/>
        </w:rPr>
        <w:t>Aging</w:t>
      </w:r>
      <w:r w:rsidRPr="00221BE3">
        <w:rPr>
          <w:rFonts w:cs="Arial"/>
        </w:rPr>
        <w:t>. [online] World Health Systems Facts. Available at: https://healthsystemsfacts.org/aging/.</w:t>
      </w:r>
    </w:p>
    <w:p w14:paraId="6CC23A5F" w14:textId="77777777" w:rsidR="00197C10" w:rsidRPr="00221BE3" w:rsidRDefault="00E431F0" w:rsidP="006156FD">
      <w:pPr>
        <w:rPr>
          <w:rFonts w:cs="Arial"/>
        </w:rPr>
      </w:pPr>
      <w:r w:rsidRPr="00221BE3">
        <w:rPr>
          <w:rFonts w:cs="Arial"/>
        </w:rPr>
        <w:t xml:space="preserve">World Population Review (2025). </w:t>
      </w:r>
      <w:r w:rsidRPr="00221BE3">
        <w:rPr>
          <w:rFonts w:cs="Arial"/>
          <w:i/>
          <w:iCs/>
        </w:rPr>
        <w:t>Refugees by Country 2025</w:t>
      </w:r>
      <w:r w:rsidRPr="00221BE3">
        <w:rPr>
          <w:rFonts w:cs="Arial"/>
        </w:rPr>
        <w:t xml:space="preserve">. [online] World Population Review. Available at: </w:t>
      </w:r>
      <w:hyperlink r:id="rId13" w:history="1">
        <w:r w:rsidR="00197C10" w:rsidRPr="00221BE3">
          <w:rPr>
            <w:rStyle w:val="Hyperlink"/>
            <w:rFonts w:cs="Arial"/>
            <w:color w:val="auto"/>
          </w:rPr>
          <w:t>https://worldpopulationreview.com/country-rankings/refugees-by-country</w:t>
        </w:r>
      </w:hyperlink>
      <w:r w:rsidRPr="00221BE3">
        <w:rPr>
          <w:rFonts w:cs="Arial"/>
        </w:rPr>
        <w:t>.</w:t>
      </w:r>
    </w:p>
    <w:p w14:paraId="72463F33" w14:textId="77777777" w:rsidR="00197C10" w:rsidRPr="00221BE3" w:rsidRDefault="00197C10" w:rsidP="006156FD">
      <w:pPr>
        <w:rPr>
          <w:rFonts w:cs="Arial"/>
          <w:lang w:val="en-US"/>
        </w:rPr>
      </w:pPr>
    </w:p>
    <w:p w14:paraId="19BED645" w14:textId="29D62B91" w:rsidR="00915DD0" w:rsidRPr="00221BE3" w:rsidRDefault="00915DD0" w:rsidP="006156FD">
      <w:pPr>
        <w:spacing w:after="160"/>
        <w:rPr>
          <w:rFonts w:cs="Arial"/>
        </w:rPr>
      </w:pPr>
    </w:p>
    <w:p w14:paraId="492EC312" w14:textId="77777777" w:rsidR="00915DD0" w:rsidRPr="00221BE3" w:rsidRDefault="00E431F0" w:rsidP="006156FD">
      <w:pPr>
        <w:rPr>
          <w:rFonts w:cs="Arial"/>
          <w:b/>
          <w:bCs/>
          <w:sz w:val="28"/>
        </w:rPr>
      </w:pPr>
      <w:r w:rsidRPr="00221BE3">
        <w:rPr>
          <w:rFonts w:cs="Arial"/>
          <w:b/>
          <w:bCs/>
          <w:sz w:val="28"/>
        </w:rPr>
        <w:t>Acknowledgement of Not Using Any AI Tools</w:t>
      </w:r>
    </w:p>
    <w:tbl>
      <w:tblPr>
        <w:tblW w:w="10005" w:type="dxa"/>
        <w:tblCellMar>
          <w:left w:w="0" w:type="dxa"/>
          <w:right w:w="0" w:type="dxa"/>
        </w:tblCellMar>
        <w:tblLook w:val="01E0" w:firstRow="1" w:lastRow="1" w:firstColumn="1" w:lastColumn="1" w:noHBand="0" w:noVBand="0"/>
      </w:tblPr>
      <w:tblGrid>
        <w:gridCol w:w="2004"/>
        <w:gridCol w:w="7025"/>
        <w:gridCol w:w="976"/>
      </w:tblGrid>
      <w:tr w:rsidR="00FD3B31" w14:paraId="6D429D84" w14:textId="77777777" w:rsidTr="00E04D13">
        <w:trPr>
          <w:trHeight w:val="684"/>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1FE779C" w14:textId="77777777" w:rsidR="00915DD0" w:rsidRPr="00221BE3" w:rsidRDefault="00E431F0" w:rsidP="006156FD">
            <w:pPr>
              <w:rPr>
                <w:rFonts w:cs="Arial"/>
                <w:lang w:val="en-US"/>
              </w:rPr>
            </w:pPr>
            <w:r w:rsidRPr="00221BE3">
              <w:rPr>
                <w:rFonts w:cs="Arial"/>
                <w:b/>
                <w:bCs/>
                <w:lang w:val="en-US"/>
              </w:rPr>
              <w:t>RESEARCH</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A3F6EFE" w14:textId="77777777" w:rsidR="00915DD0" w:rsidRPr="00221BE3" w:rsidRDefault="00E431F0" w:rsidP="006156FD">
            <w:pPr>
              <w:rPr>
                <w:rFonts w:cs="Arial"/>
                <w:lang w:val="en-US"/>
              </w:rPr>
            </w:pPr>
            <w:r w:rsidRPr="00221BE3">
              <w:rPr>
                <w:rFonts w:cs="Arial"/>
                <w:lang w:val="en-US"/>
              </w:rPr>
              <w:t>For this assessment, you can use Generative AI to support you in research, including searching for a bibliography and using tools to summarise, compare and interrogate materials.</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E91DF84"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2D388B3E"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0B18DB25"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FA1C28C" w14:textId="77777777" w:rsidR="00915DD0" w:rsidRPr="00221BE3" w:rsidRDefault="00E431F0" w:rsidP="006156FD">
            <w:pPr>
              <w:rPr>
                <w:rFonts w:cs="Arial"/>
                <w:lang w:val="en-US"/>
              </w:rPr>
            </w:pPr>
            <w:r w:rsidRPr="00221BE3">
              <w:rPr>
                <w:rFonts w:cs="Arial"/>
                <w:b/>
                <w:bCs/>
                <w:lang w:val="en-US"/>
              </w:rPr>
              <w:t>STRUCTURE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BB1366B" w14:textId="77777777" w:rsidR="00915DD0" w:rsidRPr="00221BE3" w:rsidRDefault="00E431F0" w:rsidP="006156FD">
            <w:pPr>
              <w:rPr>
                <w:rFonts w:cs="Arial"/>
                <w:lang w:val="en-US"/>
              </w:rPr>
            </w:pPr>
            <w:r w:rsidRPr="00221BE3">
              <w:rPr>
                <w:rFonts w:cs="Arial"/>
                <w:lang w:val="en-US"/>
              </w:rPr>
              <w:t>For this assessment, you can use Generative AI to support you in structuring your submission, including creating a draft argument structure, identifying parts and headings, etc.</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881A49B"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709479FD"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7A07A38C"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shd w:val="clear" w:color="auto" w:fill="00B050"/>
            <w:tcMar>
              <w:top w:w="15" w:type="dxa"/>
              <w:left w:w="15" w:type="dxa"/>
              <w:bottom w:w="0" w:type="dxa"/>
              <w:right w:w="15" w:type="dxa"/>
            </w:tcMar>
            <w:hideMark/>
          </w:tcPr>
          <w:p w14:paraId="539BD436" w14:textId="77777777" w:rsidR="00915DD0" w:rsidRPr="00221BE3" w:rsidRDefault="00E431F0" w:rsidP="006156FD">
            <w:pPr>
              <w:rPr>
                <w:rFonts w:cs="Arial"/>
                <w:lang w:val="en-US"/>
              </w:rPr>
            </w:pPr>
            <w:r w:rsidRPr="00221BE3">
              <w:rPr>
                <w:rFonts w:cs="Arial"/>
                <w:b/>
                <w:bCs/>
                <w:lang w:val="en-US"/>
              </w:rPr>
              <w:t>PROOFREADING</w:t>
            </w:r>
          </w:p>
        </w:tc>
        <w:tc>
          <w:tcPr>
            <w:tcW w:w="7025" w:type="dxa"/>
            <w:tcBorders>
              <w:top w:val="single" w:sz="6" w:space="0" w:color="9E9E9E"/>
              <w:left w:val="single" w:sz="6" w:space="0" w:color="9E9E9E"/>
              <w:bottom w:val="single" w:sz="6" w:space="0" w:color="9E9E9E"/>
              <w:right w:val="single" w:sz="6" w:space="0" w:color="9E9E9E"/>
            </w:tcBorders>
            <w:shd w:val="clear" w:color="auto" w:fill="00B050"/>
            <w:tcMar>
              <w:top w:w="15" w:type="dxa"/>
              <w:left w:w="15" w:type="dxa"/>
              <w:bottom w:w="0" w:type="dxa"/>
              <w:right w:w="15" w:type="dxa"/>
            </w:tcMar>
            <w:hideMark/>
          </w:tcPr>
          <w:p w14:paraId="1C28F72F" w14:textId="77777777" w:rsidR="00915DD0" w:rsidRPr="00221BE3" w:rsidRDefault="00E431F0" w:rsidP="006156FD">
            <w:pPr>
              <w:rPr>
                <w:rFonts w:cs="Arial"/>
                <w:lang w:val="en-US"/>
              </w:rPr>
            </w:pPr>
            <w:r w:rsidRPr="00221BE3">
              <w:rPr>
                <w:rFonts w:cs="Arial"/>
                <w:lang w:val="en-US"/>
              </w:rPr>
              <w:t>For this assessment, you can use Generative AI to check your text/creation for grammatical and syntactical mistakes, including rephrasing your work within specific standards.</w:t>
            </w:r>
          </w:p>
        </w:tc>
        <w:tc>
          <w:tcPr>
            <w:tcW w:w="976" w:type="dxa"/>
            <w:tcBorders>
              <w:top w:val="single" w:sz="6" w:space="0" w:color="9E9E9E"/>
              <w:left w:val="single" w:sz="6" w:space="0" w:color="9E9E9E"/>
              <w:bottom w:val="single" w:sz="6" w:space="0" w:color="9E9E9E"/>
              <w:right w:val="single" w:sz="6" w:space="0" w:color="9E9E9E"/>
            </w:tcBorders>
            <w:shd w:val="clear" w:color="auto" w:fill="00B050"/>
            <w:tcMar>
              <w:top w:w="15" w:type="dxa"/>
              <w:left w:w="15" w:type="dxa"/>
              <w:bottom w:w="0" w:type="dxa"/>
              <w:right w:w="15" w:type="dxa"/>
            </w:tcMar>
            <w:hideMark/>
          </w:tcPr>
          <w:p w14:paraId="6A9F7833"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02D32A3A"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5BBDFECF"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21A1FB6" w14:textId="77777777" w:rsidR="00915DD0" w:rsidRPr="00221BE3" w:rsidRDefault="00E431F0" w:rsidP="006156FD">
            <w:pPr>
              <w:rPr>
                <w:rFonts w:cs="Arial"/>
                <w:lang w:val="en-US"/>
              </w:rPr>
            </w:pPr>
            <w:r w:rsidRPr="00221BE3">
              <w:rPr>
                <w:rFonts w:cs="Arial"/>
                <w:b/>
                <w:bCs/>
                <w:lang w:val="en-US"/>
              </w:rPr>
              <w:t>WRITING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F3F3840" w14:textId="77777777" w:rsidR="00915DD0" w:rsidRPr="00221BE3" w:rsidRDefault="00E431F0" w:rsidP="006156FD">
            <w:pPr>
              <w:rPr>
                <w:rFonts w:cs="Arial"/>
                <w:lang w:val="en-US"/>
              </w:rPr>
            </w:pPr>
            <w:r w:rsidRPr="00221BE3">
              <w:rPr>
                <w:rFonts w:cs="Arial"/>
                <w:lang w:val="en-US"/>
              </w:rPr>
              <w:t>For this assessment, you can use Generative AI to create text for submission.</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75DAC65"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2FAB5A8F"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53BC0FBE"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2E52364" w14:textId="77777777" w:rsidR="00915DD0" w:rsidRPr="00221BE3" w:rsidRDefault="00E431F0" w:rsidP="006156FD">
            <w:pPr>
              <w:rPr>
                <w:rFonts w:cs="Arial"/>
                <w:lang w:val="en-US"/>
              </w:rPr>
            </w:pPr>
            <w:r w:rsidRPr="00221BE3">
              <w:rPr>
                <w:rFonts w:cs="Arial"/>
                <w:b/>
                <w:bCs/>
                <w:lang w:val="en-US"/>
              </w:rPr>
              <w:t>CREATIVE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B8B8526" w14:textId="77777777" w:rsidR="00915DD0" w:rsidRPr="00221BE3" w:rsidRDefault="00E431F0" w:rsidP="006156FD">
            <w:pPr>
              <w:rPr>
                <w:rFonts w:cs="Arial"/>
                <w:lang w:val="en-US"/>
              </w:rPr>
            </w:pPr>
            <w:r w:rsidRPr="00221BE3">
              <w:rPr>
                <w:rFonts w:cs="Arial"/>
                <w:lang w:val="en-US"/>
              </w:rPr>
              <w:t>For this assessment, you can use Generative AI to create creative materials, such as images.</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27FEA22"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4045E056"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385031FE"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0B4D751" w14:textId="77777777" w:rsidR="00915DD0" w:rsidRPr="00221BE3" w:rsidRDefault="00E431F0" w:rsidP="006156FD">
            <w:pPr>
              <w:rPr>
                <w:rFonts w:cs="Arial"/>
                <w:lang w:val="en-US"/>
              </w:rPr>
            </w:pPr>
            <w:r w:rsidRPr="00221BE3">
              <w:rPr>
                <w:rFonts w:cs="Arial"/>
                <w:b/>
                <w:bCs/>
                <w:lang w:val="en-US"/>
              </w:rPr>
              <w:t>PROGRAMMING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4B542D2" w14:textId="77777777" w:rsidR="00915DD0" w:rsidRPr="00221BE3" w:rsidRDefault="00E431F0" w:rsidP="006156FD">
            <w:pPr>
              <w:rPr>
                <w:rFonts w:cs="Arial"/>
                <w:lang w:val="en-US"/>
              </w:rPr>
            </w:pPr>
            <w:r w:rsidRPr="00221BE3">
              <w:rPr>
                <w:rFonts w:cs="Arial"/>
                <w:lang w:val="en-US"/>
              </w:rPr>
              <w:t>For this assessment, you can use Generative AI to create and check code.</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8D170FF" w14:textId="77777777" w:rsidR="00915DD0" w:rsidRPr="00221BE3" w:rsidRDefault="00E431F0" w:rsidP="006156FD">
            <w:pPr>
              <w:rPr>
                <w:rFonts w:cs="Arial"/>
                <w:lang w:val="en-US"/>
              </w:rPr>
            </w:pPr>
            <w:r w:rsidRPr="00221BE3">
              <w:rPr>
                <w:rFonts w:cs="Arial"/>
                <w:lang w:val="en-US"/>
              </w:rPr>
              <w:t xml:space="preserve">Yes </w:t>
            </w:r>
            <w:r w:rsidRPr="00221BE3">
              <w:rPr>
                <w:rFonts w:ascii="Segoe UI Symbol" w:hAnsi="Segoe UI Symbol" w:cs="Segoe UI Symbol"/>
                <w:lang w:val="en-US"/>
              </w:rPr>
              <w:t>☐</w:t>
            </w:r>
          </w:p>
          <w:p w14:paraId="35E8A008"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r w:rsidR="00FD3B31" w14:paraId="0380722D" w14:textId="77777777" w:rsidTr="00E04D13">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79AA401" w14:textId="77777777" w:rsidR="00915DD0" w:rsidRPr="00221BE3" w:rsidRDefault="00E431F0" w:rsidP="006156FD">
            <w:pPr>
              <w:rPr>
                <w:rFonts w:cs="Arial"/>
                <w:lang w:val="en-US"/>
              </w:rPr>
            </w:pPr>
            <w:r w:rsidRPr="00221BE3">
              <w:rPr>
                <w:rFonts w:cs="Arial"/>
                <w:b/>
                <w:bCs/>
                <w:lang w:val="en-US"/>
              </w:rPr>
              <w:t>NONE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292A630" w14:textId="77777777" w:rsidR="00915DD0" w:rsidRPr="00221BE3" w:rsidRDefault="00E431F0" w:rsidP="006156FD">
            <w:pPr>
              <w:rPr>
                <w:rFonts w:cs="Arial"/>
                <w:lang w:val="en-US"/>
              </w:rPr>
            </w:pPr>
            <w:r w:rsidRPr="00221BE3">
              <w:rPr>
                <w:rFonts w:cs="Arial"/>
                <w:lang w:val="en-US"/>
              </w:rPr>
              <w:t>For this assessment, you are not allowed to use any Generative AI support. This includes research support, structural support, writing and proofreading support, as well as creative support.</w:t>
            </w:r>
          </w:p>
        </w:tc>
        <w:tc>
          <w:tcPr>
            <w:tcW w:w="976"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EFE4199" w14:textId="77777777" w:rsidR="00915DD0" w:rsidRPr="00221BE3" w:rsidRDefault="00E431F0" w:rsidP="006156FD">
            <w:pPr>
              <w:rPr>
                <w:rFonts w:cs="Arial"/>
                <w:lang w:val="en-US"/>
              </w:rPr>
            </w:pPr>
            <w:r w:rsidRPr="00221BE3">
              <w:rPr>
                <w:rFonts w:cs="Arial"/>
                <w:lang w:val="en-US"/>
              </w:rPr>
              <w:t>Yes</w:t>
            </w:r>
            <w:r w:rsidRPr="00221BE3">
              <w:rPr>
                <w:rFonts w:ascii="Segoe UI Symbol" w:hAnsi="Segoe UI Symbol" w:cs="Segoe UI Symbol"/>
                <w:lang w:val="en-US"/>
              </w:rPr>
              <w:t>☐</w:t>
            </w:r>
          </w:p>
          <w:p w14:paraId="0B277356" w14:textId="77777777" w:rsidR="00915DD0" w:rsidRPr="00221BE3" w:rsidRDefault="00E431F0" w:rsidP="006156FD">
            <w:pPr>
              <w:rPr>
                <w:rFonts w:cs="Arial"/>
                <w:lang w:val="en-US"/>
              </w:rPr>
            </w:pPr>
            <w:r w:rsidRPr="00221BE3">
              <w:rPr>
                <w:rFonts w:cs="Arial"/>
                <w:lang w:val="en-US"/>
              </w:rPr>
              <w:t xml:space="preserve">No </w:t>
            </w:r>
            <w:r w:rsidRPr="00221BE3">
              <w:rPr>
                <w:rFonts w:ascii="Segoe UI Symbol" w:hAnsi="Segoe UI Symbol" w:cs="Segoe UI Symbol"/>
                <w:lang w:val="en-US"/>
              </w:rPr>
              <w:t>☐</w:t>
            </w:r>
          </w:p>
        </w:tc>
      </w:tr>
    </w:tbl>
    <w:p w14:paraId="71A8EA35" w14:textId="77777777" w:rsidR="001F546E" w:rsidRPr="00221BE3" w:rsidRDefault="001F546E" w:rsidP="006156FD">
      <w:pPr>
        <w:rPr>
          <w:rFonts w:cs="Arial"/>
        </w:rPr>
      </w:pPr>
    </w:p>
    <w:sectPr w:rsidR="001F546E" w:rsidRPr="00221BE3" w:rsidSect="0007399B">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1630C" w14:textId="77777777" w:rsidR="001F20F6" w:rsidRDefault="001F20F6">
      <w:pPr>
        <w:spacing w:line="240" w:lineRule="auto"/>
      </w:pPr>
      <w:r>
        <w:separator/>
      </w:r>
    </w:p>
  </w:endnote>
  <w:endnote w:type="continuationSeparator" w:id="0">
    <w:p w14:paraId="2084A29F" w14:textId="77777777" w:rsidR="001F20F6" w:rsidRDefault="001F20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984859"/>
      <w:docPartObj>
        <w:docPartGallery w:val="Page Numbers (Bottom of Page)"/>
        <w:docPartUnique/>
      </w:docPartObj>
    </w:sdtPr>
    <w:sdtEndPr>
      <w:rPr>
        <w:color w:val="7F7F7F" w:themeColor="background1" w:themeShade="7F"/>
        <w:spacing w:val="60"/>
      </w:rPr>
    </w:sdtEndPr>
    <w:sdtContent>
      <w:p w14:paraId="52141CAA" w14:textId="77777777" w:rsidR="003D2682" w:rsidRDefault="00E431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9C7DCC" w14:textId="77777777" w:rsidR="0007399B" w:rsidRDefault="00073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921A6" w14:textId="77777777" w:rsidR="001F20F6" w:rsidRDefault="001F20F6">
      <w:pPr>
        <w:spacing w:line="240" w:lineRule="auto"/>
      </w:pPr>
      <w:r>
        <w:separator/>
      </w:r>
    </w:p>
  </w:footnote>
  <w:footnote w:type="continuationSeparator" w:id="0">
    <w:p w14:paraId="1B6B650C" w14:textId="77777777" w:rsidR="001F20F6" w:rsidRDefault="001F20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06207"/>
    <w:multiLevelType w:val="hybridMultilevel"/>
    <w:tmpl w:val="9E5CBE34"/>
    <w:lvl w:ilvl="0" w:tplc="1A882572">
      <w:start w:val="1"/>
      <w:numFmt w:val="bullet"/>
      <w:lvlText w:val=""/>
      <w:lvlJc w:val="left"/>
      <w:pPr>
        <w:ind w:left="360" w:hanging="360"/>
      </w:pPr>
      <w:rPr>
        <w:rFonts w:ascii="Wingdings" w:hAnsi="Wingdings" w:hint="default"/>
      </w:rPr>
    </w:lvl>
    <w:lvl w:ilvl="1" w:tplc="CA50F672" w:tentative="1">
      <w:start w:val="1"/>
      <w:numFmt w:val="bullet"/>
      <w:lvlText w:val="o"/>
      <w:lvlJc w:val="left"/>
      <w:pPr>
        <w:ind w:left="1440" w:hanging="360"/>
      </w:pPr>
      <w:rPr>
        <w:rFonts w:ascii="Courier New" w:hAnsi="Courier New" w:cs="Courier New" w:hint="default"/>
      </w:rPr>
    </w:lvl>
    <w:lvl w:ilvl="2" w:tplc="21B46176" w:tentative="1">
      <w:start w:val="1"/>
      <w:numFmt w:val="bullet"/>
      <w:lvlText w:val=""/>
      <w:lvlJc w:val="left"/>
      <w:pPr>
        <w:ind w:left="2160" w:hanging="360"/>
      </w:pPr>
      <w:rPr>
        <w:rFonts w:ascii="Wingdings" w:hAnsi="Wingdings" w:hint="default"/>
      </w:rPr>
    </w:lvl>
    <w:lvl w:ilvl="3" w:tplc="5868F4F8" w:tentative="1">
      <w:start w:val="1"/>
      <w:numFmt w:val="bullet"/>
      <w:lvlText w:val=""/>
      <w:lvlJc w:val="left"/>
      <w:pPr>
        <w:ind w:left="2880" w:hanging="360"/>
      </w:pPr>
      <w:rPr>
        <w:rFonts w:ascii="Symbol" w:hAnsi="Symbol" w:hint="default"/>
      </w:rPr>
    </w:lvl>
    <w:lvl w:ilvl="4" w:tplc="95D0DB88" w:tentative="1">
      <w:start w:val="1"/>
      <w:numFmt w:val="bullet"/>
      <w:lvlText w:val="o"/>
      <w:lvlJc w:val="left"/>
      <w:pPr>
        <w:ind w:left="3600" w:hanging="360"/>
      </w:pPr>
      <w:rPr>
        <w:rFonts w:ascii="Courier New" w:hAnsi="Courier New" w:cs="Courier New" w:hint="default"/>
      </w:rPr>
    </w:lvl>
    <w:lvl w:ilvl="5" w:tplc="A600FADC" w:tentative="1">
      <w:start w:val="1"/>
      <w:numFmt w:val="bullet"/>
      <w:lvlText w:val=""/>
      <w:lvlJc w:val="left"/>
      <w:pPr>
        <w:ind w:left="4320" w:hanging="360"/>
      </w:pPr>
      <w:rPr>
        <w:rFonts w:ascii="Wingdings" w:hAnsi="Wingdings" w:hint="default"/>
      </w:rPr>
    </w:lvl>
    <w:lvl w:ilvl="6" w:tplc="50867D14" w:tentative="1">
      <w:start w:val="1"/>
      <w:numFmt w:val="bullet"/>
      <w:lvlText w:val=""/>
      <w:lvlJc w:val="left"/>
      <w:pPr>
        <w:ind w:left="5040" w:hanging="360"/>
      </w:pPr>
      <w:rPr>
        <w:rFonts w:ascii="Symbol" w:hAnsi="Symbol" w:hint="default"/>
      </w:rPr>
    </w:lvl>
    <w:lvl w:ilvl="7" w:tplc="02F49270" w:tentative="1">
      <w:start w:val="1"/>
      <w:numFmt w:val="bullet"/>
      <w:lvlText w:val="o"/>
      <w:lvlJc w:val="left"/>
      <w:pPr>
        <w:ind w:left="5760" w:hanging="360"/>
      </w:pPr>
      <w:rPr>
        <w:rFonts w:ascii="Courier New" w:hAnsi="Courier New" w:cs="Courier New" w:hint="default"/>
      </w:rPr>
    </w:lvl>
    <w:lvl w:ilvl="8" w:tplc="3AA8B73A" w:tentative="1">
      <w:start w:val="1"/>
      <w:numFmt w:val="bullet"/>
      <w:lvlText w:val=""/>
      <w:lvlJc w:val="left"/>
      <w:pPr>
        <w:ind w:left="6480" w:hanging="360"/>
      </w:pPr>
      <w:rPr>
        <w:rFonts w:ascii="Wingdings" w:hAnsi="Wingdings" w:hint="default"/>
      </w:rPr>
    </w:lvl>
  </w:abstractNum>
  <w:abstractNum w:abstractNumId="1" w15:restartNumberingAfterBreak="0">
    <w:nsid w:val="19F57CC5"/>
    <w:multiLevelType w:val="hybridMultilevel"/>
    <w:tmpl w:val="29D4226C"/>
    <w:lvl w:ilvl="0" w:tplc="99D2BA60">
      <w:start w:val="1"/>
      <w:numFmt w:val="decimal"/>
      <w:lvlText w:val="%1-"/>
      <w:lvlJc w:val="left"/>
      <w:pPr>
        <w:ind w:left="720" w:hanging="360"/>
      </w:pPr>
      <w:rPr>
        <w:rFonts w:hint="default"/>
      </w:rPr>
    </w:lvl>
    <w:lvl w:ilvl="1" w:tplc="8A321E28" w:tentative="1">
      <w:start w:val="1"/>
      <w:numFmt w:val="lowerLetter"/>
      <w:lvlText w:val="%2."/>
      <w:lvlJc w:val="left"/>
      <w:pPr>
        <w:ind w:left="1440" w:hanging="360"/>
      </w:pPr>
    </w:lvl>
    <w:lvl w:ilvl="2" w:tplc="6C4E8586" w:tentative="1">
      <w:start w:val="1"/>
      <w:numFmt w:val="lowerRoman"/>
      <w:lvlText w:val="%3."/>
      <w:lvlJc w:val="right"/>
      <w:pPr>
        <w:ind w:left="2160" w:hanging="180"/>
      </w:pPr>
    </w:lvl>
    <w:lvl w:ilvl="3" w:tplc="EE8899B8" w:tentative="1">
      <w:start w:val="1"/>
      <w:numFmt w:val="decimal"/>
      <w:lvlText w:val="%4."/>
      <w:lvlJc w:val="left"/>
      <w:pPr>
        <w:ind w:left="2880" w:hanging="360"/>
      </w:pPr>
    </w:lvl>
    <w:lvl w:ilvl="4" w:tplc="94E49CF0" w:tentative="1">
      <w:start w:val="1"/>
      <w:numFmt w:val="lowerLetter"/>
      <w:lvlText w:val="%5."/>
      <w:lvlJc w:val="left"/>
      <w:pPr>
        <w:ind w:left="3600" w:hanging="360"/>
      </w:pPr>
    </w:lvl>
    <w:lvl w:ilvl="5" w:tplc="4B72E32C" w:tentative="1">
      <w:start w:val="1"/>
      <w:numFmt w:val="lowerRoman"/>
      <w:lvlText w:val="%6."/>
      <w:lvlJc w:val="right"/>
      <w:pPr>
        <w:ind w:left="4320" w:hanging="180"/>
      </w:pPr>
    </w:lvl>
    <w:lvl w:ilvl="6" w:tplc="C1BCD2EE" w:tentative="1">
      <w:start w:val="1"/>
      <w:numFmt w:val="decimal"/>
      <w:lvlText w:val="%7."/>
      <w:lvlJc w:val="left"/>
      <w:pPr>
        <w:ind w:left="5040" w:hanging="360"/>
      </w:pPr>
    </w:lvl>
    <w:lvl w:ilvl="7" w:tplc="9C003F9E" w:tentative="1">
      <w:start w:val="1"/>
      <w:numFmt w:val="lowerLetter"/>
      <w:lvlText w:val="%8."/>
      <w:lvlJc w:val="left"/>
      <w:pPr>
        <w:ind w:left="5760" w:hanging="360"/>
      </w:pPr>
    </w:lvl>
    <w:lvl w:ilvl="8" w:tplc="21309714" w:tentative="1">
      <w:start w:val="1"/>
      <w:numFmt w:val="lowerRoman"/>
      <w:lvlText w:val="%9."/>
      <w:lvlJc w:val="right"/>
      <w:pPr>
        <w:ind w:left="6480" w:hanging="180"/>
      </w:pPr>
    </w:lvl>
  </w:abstractNum>
  <w:abstractNum w:abstractNumId="2" w15:restartNumberingAfterBreak="0">
    <w:nsid w:val="211254E6"/>
    <w:multiLevelType w:val="hybridMultilevel"/>
    <w:tmpl w:val="A8D0C43C"/>
    <w:lvl w:ilvl="0" w:tplc="A6FEEAFA">
      <w:start w:val="1"/>
      <w:numFmt w:val="bullet"/>
      <w:lvlText w:val=""/>
      <w:lvlJc w:val="left"/>
      <w:pPr>
        <w:ind w:left="360" w:hanging="360"/>
      </w:pPr>
      <w:rPr>
        <w:rFonts w:ascii="Symbol" w:hAnsi="Symbol" w:hint="default"/>
      </w:rPr>
    </w:lvl>
    <w:lvl w:ilvl="1" w:tplc="1BF252C6" w:tentative="1">
      <w:start w:val="1"/>
      <w:numFmt w:val="bullet"/>
      <w:lvlText w:val="o"/>
      <w:lvlJc w:val="left"/>
      <w:pPr>
        <w:ind w:left="1440" w:hanging="360"/>
      </w:pPr>
      <w:rPr>
        <w:rFonts w:ascii="Courier New" w:hAnsi="Courier New" w:cs="Courier New" w:hint="default"/>
      </w:rPr>
    </w:lvl>
    <w:lvl w:ilvl="2" w:tplc="EF74E44A" w:tentative="1">
      <w:start w:val="1"/>
      <w:numFmt w:val="bullet"/>
      <w:lvlText w:val=""/>
      <w:lvlJc w:val="left"/>
      <w:pPr>
        <w:ind w:left="2160" w:hanging="360"/>
      </w:pPr>
      <w:rPr>
        <w:rFonts w:ascii="Wingdings" w:hAnsi="Wingdings" w:hint="default"/>
      </w:rPr>
    </w:lvl>
    <w:lvl w:ilvl="3" w:tplc="8E52428C" w:tentative="1">
      <w:start w:val="1"/>
      <w:numFmt w:val="bullet"/>
      <w:lvlText w:val=""/>
      <w:lvlJc w:val="left"/>
      <w:pPr>
        <w:ind w:left="2880" w:hanging="360"/>
      </w:pPr>
      <w:rPr>
        <w:rFonts w:ascii="Symbol" w:hAnsi="Symbol" w:hint="default"/>
      </w:rPr>
    </w:lvl>
    <w:lvl w:ilvl="4" w:tplc="68A6FFD8" w:tentative="1">
      <w:start w:val="1"/>
      <w:numFmt w:val="bullet"/>
      <w:lvlText w:val="o"/>
      <w:lvlJc w:val="left"/>
      <w:pPr>
        <w:ind w:left="3600" w:hanging="360"/>
      </w:pPr>
      <w:rPr>
        <w:rFonts w:ascii="Courier New" w:hAnsi="Courier New" w:cs="Courier New" w:hint="default"/>
      </w:rPr>
    </w:lvl>
    <w:lvl w:ilvl="5" w:tplc="86529406" w:tentative="1">
      <w:start w:val="1"/>
      <w:numFmt w:val="bullet"/>
      <w:lvlText w:val=""/>
      <w:lvlJc w:val="left"/>
      <w:pPr>
        <w:ind w:left="4320" w:hanging="360"/>
      </w:pPr>
      <w:rPr>
        <w:rFonts w:ascii="Wingdings" w:hAnsi="Wingdings" w:hint="default"/>
      </w:rPr>
    </w:lvl>
    <w:lvl w:ilvl="6" w:tplc="12B8A2D6" w:tentative="1">
      <w:start w:val="1"/>
      <w:numFmt w:val="bullet"/>
      <w:lvlText w:val=""/>
      <w:lvlJc w:val="left"/>
      <w:pPr>
        <w:ind w:left="5040" w:hanging="360"/>
      </w:pPr>
      <w:rPr>
        <w:rFonts w:ascii="Symbol" w:hAnsi="Symbol" w:hint="default"/>
      </w:rPr>
    </w:lvl>
    <w:lvl w:ilvl="7" w:tplc="680644A2" w:tentative="1">
      <w:start w:val="1"/>
      <w:numFmt w:val="bullet"/>
      <w:lvlText w:val="o"/>
      <w:lvlJc w:val="left"/>
      <w:pPr>
        <w:ind w:left="5760" w:hanging="360"/>
      </w:pPr>
      <w:rPr>
        <w:rFonts w:ascii="Courier New" w:hAnsi="Courier New" w:cs="Courier New" w:hint="default"/>
      </w:rPr>
    </w:lvl>
    <w:lvl w:ilvl="8" w:tplc="66FE89D6" w:tentative="1">
      <w:start w:val="1"/>
      <w:numFmt w:val="bullet"/>
      <w:lvlText w:val=""/>
      <w:lvlJc w:val="left"/>
      <w:pPr>
        <w:ind w:left="6480" w:hanging="360"/>
      </w:pPr>
      <w:rPr>
        <w:rFonts w:ascii="Wingdings" w:hAnsi="Wingdings" w:hint="default"/>
      </w:rPr>
    </w:lvl>
  </w:abstractNum>
  <w:abstractNum w:abstractNumId="3" w15:restartNumberingAfterBreak="0">
    <w:nsid w:val="34D102A2"/>
    <w:multiLevelType w:val="hybridMultilevel"/>
    <w:tmpl w:val="3EC80968"/>
    <w:lvl w:ilvl="0" w:tplc="36CEE76C">
      <w:start w:val="1"/>
      <w:numFmt w:val="bullet"/>
      <w:lvlText w:val=""/>
      <w:lvlJc w:val="left"/>
      <w:pPr>
        <w:ind w:left="360" w:hanging="360"/>
      </w:pPr>
      <w:rPr>
        <w:rFonts w:ascii="Symbol" w:hAnsi="Symbol" w:hint="default"/>
      </w:rPr>
    </w:lvl>
    <w:lvl w:ilvl="1" w:tplc="D1B6D9AC" w:tentative="1">
      <w:start w:val="1"/>
      <w:numFmt w:val="bullet"/>
      <w:lvlText w:val="o"/>
      <w:lvlJc w:val="left"/>
      <w:pPr>
        <w:ind w:left="1440" w:hanging="360"/>
      </w:pPr>
      <w:rPr>
        <w:rFonts w:ascii="Courier New" w:hAnsi="Courier New" w:cs="Courier New" w:hint="default"/>
      </w:rPr>
    </w:lvl>
    <w:lvl w:ilvl="2" w:tplc="2FA8C462" w:tentative="1">
      <w:start w:val="1"/>
      <w:numFmt w:val="bullet"/>
      <w:lvlText w:val=""/>
      <w:lvlJc w:val="left"/>
      <w:pPr>
        <w:ind w:left="2160" w:hanging="360"/>
      </w:pPr>
      <w:rPr>
        <w:rFonts w:ascii="Wingdings" w:hAnsi="Wingdings" w:hint="default"/>
      </w:rPr>
    </w:lvl>
    <w:lvl w:ilvl="3" w:tplc="7B04C01E" w:tentative="1">
      <w:start w:val="1"/>
      <w:numFmt w:val="bullet"/>
      <w:lvlText w:val=""/>
      <w:lvlJc w:val="left"/>
      <w:pPr>
        <w:ind w:left="2880" w:hanging="360"/>
      </w:pPr>
      <w:rPr>
        <w:rFonts w:ascii="Symbol" w:hAnsi="Symbol" w:hint="default"/>
      </w:rPr>
    </w:lvl>
    <w:lvl w:ilvl="4" w:tplc="AFB434C4" w:tentative="1">
      <w:start w:val="1"/>
      <w:numFmt w:val="bullet"/>
      <w:lvlText w:val="o"/>
      <w:lvlJc w:val="left"/>
      <w:pPr>
        <w:ind w:left="3600" w:hanging="360"/>
      </w:pPr>
      <w:rPr>
        <w:rFonts w:ascii="Courier New" w:hAnsi="Courier New" w:cs="Courier New" w:hint="default"/>
      </w:rPr>
    </w:lvl>
    <w:lvl w:ilvl="5" w:tplc="8F6CCA02" w:tentative="1">
      <w:start w:val="1"/>
      <w:numFmt w:val="bullet"/>
      <w:lvlText w:val=""/>
      <w:lvlJc w:val="left"/>
      <w:pPr>
        <w:ind w:left="4320" w:hanging="360"/>
      </w:pPr>
      <w:rPr>
        <w:rFonts w:ascii="Wingdings" w:hAnsi="Wingdings" w:hint="default"/>
      </w:rPr>
    </w:lvl>
    <w:lvl w:ilvl="6" w:tplc="28F2564C" w:tentative="1">
      <w:start w:val="1"/>
      <w:numFmt w:val="bullet"/>
      <w:lvlText w:val=""/>
      <w:lvlJc w:val="left"/>
      <w:pPr>
        <w:ind w:left="5040" w:hanging="360"/>
      </w:pPr>
      <w:rPr>
        <w:rFonts w:ascii="Symbol" w:hAnsi="Symbol" w:hint="default"/>
      </w:rPr>
    </w:lvl>
    <w:lvl w:ilvl="7" w:tplc="08B68882" w:tentative="1">
      <w:start w:val="1"/>
      <w:numFmt w:val="bullet"/>
      <w:lvlText w:val="o"/>
      <w:lvlJc w:val="left"/>
      <w:pPr>
        <w:ind w:left="5760" w:hanging="360"/>
      </w:pPr>
      <w:rPr>
        <w:rFonts w:ascii="Courier New" w:hAnsi="Courier New" w:cs="Courier New" w:hint="default"/>
      </w:rPr>
    </w:lvl>
    <w:lvl w:ilvl="8" w:tplc="646CD9F6" w:tentative="1">
      <w:start w:val="1"/>
      <w:numFmt w:val="bullet"/>
      <w:lvlText w:val=""/>
      <w:lvlJc w:val="left"/>
      <w:pPr>
        <w:ind w:left="6480" w:hanging="360"/>
      </w:pPr>
      <w:rPr>
        <w:rFonts w:ascii="Wingdings" w:hAnsi="Wingdings" w:hint="default"/>
      </w:rPr>
    </w:lvl>
  </w:abstractNum>
  <w:abstractNum w:abstractNumId="4" w15:restartNumberingAfterBreak="0">
    <w:nsid w:val="7A851A18"/>
    <w:multiLevelType w:val="hybridMultilevel"/>
    <w:tmpl w:val="5AF87128"/>
    <w:lvl w:ilvl="0" w:tplc="3AFC42FE">
      <w:start w:val="1"/>
      <w:numFmt w:val="bullet"/>
      <w:lvlText w:val=""/>
      <w:lvlJc w:val="left"/>
      <w:pPr>
        <w:ind w:left="360" w:hanging="360"/>
      </w:pPr>
      <w:rPr>
        <w:rFonts w:ascii="Wingdings" w:hAnsi="Wingdings" w:hint="default"/>
      </w:rPr>
    </w:lvl>
    <w:lvl w:ilvl="1" w:tplc="609218BA" w:tentative="1">
      <w:start w:val="1"/>
      <w:numFmt w:val="bullet"/>
      <w:lvlText w:val="o"/>
      <w:lvlJc w:val="left"/>
      <w:pPr>
        <w:ind w:left="1440" w:hanging="360"/>
      </w:pPr>
      <w:rPr>
        <w:rFonts w:ascii="Courier New" w:hAnsi="Courier New" w:cs="Courier New" w:hint="default"/>
      </w:rPr>
    </w:lvl>
    <w:lvl w:ilvl="2" w:tplc="D99A953A" w:tentative="1">
      <w:start w:val="1"/>
      <w:numFmt w:val="bullet"/>
      <w:lvlText w:val=""/>
      <w:lvlJc w:val="left"/>
      <w:pPr>
        <w:ind w:left="2160" w:hanging="360"/>
      </w:pPr>
      <w:rPr>
        <w:rFonts w:ascii="Wingdings" w:hAnsi="Wingdings" w:hint="default"/>
      </w:rPr>
    </w:lvl>
    <w:lvl w:ilvl="3" w:tplc="66DEF072" w:tentative="1">
      <w:start w:val="1"/>
      <w:numFmt w:val="bullet"/>
      <w:lvlText w:val=""/>
      <w:lvlJc w:val="left"/>
      <w:pPr>
        <w:ind w:left="2880" w:hanging="360"/>
      </w:pPr>
      <w:rPr>
        <w:rFonts w:ascii="Symbol" w:hAnsi="Symbol" w:hint="default"/>
      </w:rPr>
    </w:lvl>
    <w:lvl w:ilvl="4" w:tplc="C78826F0" w:tentative="1">
      <w:start w:val="1"/>
      <w:numFmt w:val="bullet"/>
      <w:lvlText w:val="o"/>
      <w:lvlJc w:val="left"/>
      <w:pPr>
        <w:ind w:left="3600" w:hanging="360"/>
      </w:pPr>
      <w:rPr>
        <w:rFonts w:ascii="Courier New" w:hAnsi="Courier New" w:cs="Courier New" w:hint="default"/>
      </w:rPr>
    </w:lvl>
    <w:lvl w:ilvl="5" w:tplc="19287F2C" w:tentative="1">
      <w:start w:val="1"/>
      <w:numFmt w:val="bullet"/>
      <w:lvlText w:val=""/>
      <w:lvlJc w:val="left"/>
      <w:pPr>
        <w:ind w:left="4320" w:hanging="360"/>
      </w:pPr>
      <w:rPr>
        <w:rFonts w:ascii="Wingdings" w:hAnsi="Wingdings" w:hint="default"/>
      </w:rPr>
    </w:lvl>
    <w:lvl w:ilvl="6" w:tplc="5512F906" w:tentative="1">
      <w:start w:val="1"/>
      <w:numFmt w:val="bullet"/>
      <w:lvlText w:val=""/>
      <w:lvlJc w:val="left"/>
      <w:pPr>
        <w:ind w:left="5040" w:hanging="360"/>
      </w:pPr>
      <w:rPr>
        <w:rFonts w:ascii="Symbol" w:hAnsi="Symbol" w:hint="default"/>
      </w:rPr>
    </w:lvl>
    <w:lvl w:ilvl="7" w:tplc="FB709286" w:tentative="1">
      <w:start w:val="1"/>
      <w:numFmt w:val="bullet"/>
      <w:lvlText w:val="o"/>
      <w:lvlJc w:val="left"/>
      <w:pPr>
        <w:ind w:left="5760" w:hanging="360"/>
      </w:pPr>
      <w:rPr>
        <w:rFonts w:ascii="Courier New" w:hAnsi="Courier New" w:cs="Courier New" w:hint="default"/>
      </w:rPr>
    </w:lvl>
    <w:lvl w:ilvl="8" w:tplc="BFFA6D5E" w:tentative="1">
      <w:start w:val="1"/>
      <w:numFmt w:val="bullet"/>
      <w:lvlText w:val=""/>
      <w:lvlJc w:val="left"/>
      <w:pPr>
        <w:ind w:left="6480" w:hanging="360"/>
      </w:pPr>
      <w:rPr>
        <w:rFonts w:ascii="Wingdings" w:hAnsi="Wingdings" w:hint="default"/>
      </w:rPr>
    </w:lvl>
  </w:abstractNum>
  <w:num w:numId="1" w16cid:durableId="1201433104">
    <w:abstractNumId w:val="1"/>
  </w:num>
  <w:num w:numId="2" w16cid:durableId="1718046178">
    <w:abstractNumId w:val="2"/>
  </w:num>
  <w:num w:numId="3" w16cid:durableId="198789214">
    <w:abstractNumId w:val="3"/>
  </w:num>
  <w:num w:numId="4" w16cid:durableId="1126238737">
    <w:abstractNumId w:val="4"/>
  </w:num>
  <w:num w:numId="5" w16cid:durableId="1828782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8BB"/>
    <w:rsid w:val="0002366E"/>
    <w:rsid w:val="000441F2"/>
    <w:rsid w:val="000552A0"/>
    <w:rsid w:val="000738BB"/>
    <w:rsid w:val="0007399B"/>
    <w:rsid w:val="0008492C"/>
    <w:rsid w:val="000A2CAA"/>
    <w:rsid w:val="000B3785"/>
    <w:rsid w:val="0011448E"/>
    <w:rsid w:val="00154D9F"/>
    <w:rsid w:val="001700F0"/>
    <w:rsid w:val="00192952"/>
    <w:rsid w:val="00197C10"/>
    <w:rsid w:val="001D1131"/>
    <w:rsid w:val="001D328B"/>
    <w:rsid w:val="001E529C"/>
    <w:rsid w:val="001F08E3"/>
    <w:rsid w:val="001F20F6"/>
    <w:rsid w:val="001F546E"/>
    <w:rsid w:val="00221BE3"/>
    <w:rsid w:val="00225C2E"/>
    <w:rsid w:val="00232288"/>
    <w:rsid w:val="00287BA9"/>
    <w:rsid w:val="002A4EFC"/>
    <w:rsid w:val="002C70A6"/>
    <w:rsid w:val="0034201F"/>
    <w:rsid w:val="00354BAB"/>
    <w:rsid w:val="00365FCA"/>
    <w:rsid w:val="00367E19"/>
    <w:rsid w:val="003834F6"/>
    <w:rsid w:val="00390E63"/>
    <w:rsid w:val="003B2493"/>
    <w:rsid w:val="003C3717"/>
    <w:rsid w:val="003D2682"/>
    <w:rsid w:val="00412E62"/>
    <w:rsid w:val="004221B5"/>
    <w:rsid w:val="004331B1"/>
    <w:rsid w:val="004468A0"/>
    <w:rsid w:val="00462CAC"/>
    <w:rsid w:val="00486124"/>
    <w:rsid w:val="004941BA"/>
    <w:rsid w:val="004B38E5"/>
    <w:rsid w:val="004B7335"/>
    <w:rsid w:val="004C4DAA"/>
    <w:rsid w:val="004D03A5"/>
    <w:rsid w:val="004E260B"/>
    <w:rsid w:val="004F6D90"/>
    <w:rsid w:val="00532ACA"/>
    <w:rsid w:val="00565E28"/>
    <w:rsid w:val="005675D8"/>
    <w:rsid w:val="00574F90"/>
    <w:rsid w:val="005811FB"/>
    <w:rsid w:val="00593C51"/>
    <w:rsid w:val="005A1914"/>
    <w:rsid w:val="005D6FEF"/>
    <w:rsid w:val="006066F3"/>
    <w:rsid w:val="00610D03"/>
    <w:rsid w:val="006156FD"/>
    <w:rsid w:val="00616E55"/>
    <w:rsid w:val="006373F3"/>
    <w:rsid w:val="00645257"/>
    <w:rsid w:val="0065477B"/>
    <w:rsid w:val="006706FA"/>
    <w:rsid w:val="006C7248"/>
    <w:rsid w:val="00701125"/>
    <w:rsid w:val="00705D6E"/>
    <w:rsid w:val="00762382"/>
    <w:rsid w:val="007A42BC"/>
    <w:rsid w:val="007B260D"/>
    <w:rsid w:val="007E5661"/>
    <w:rsid w:val="007F5253"/>
    <w:rsid w:val="007F7D2F"/>
    <w:rsid w:val="00803CDD"/>
    <w:rsid w:val="00836DF9"/>
    <w:rsid w:val="0089347D"/>
    <w:rsid w:val="00897675"/>
    <w:rsid w:val="008B618F"/>
    <w:rsid w:val="008C319E"/>
    <w:rsid w:val="008D4036"/>
    <w:rsid w:val="008E28A8"/>
    <w:rsid w:val="009024A8"/>
    <w:rsid w:val="009139C9"/>
    <w:rsid w:val="00915DD0"/>
    <w:rsid w:val="00953D04"/>
    <w:rsid w:val="00973905"/>
    <w:rsid w:val="00987486"/>
    <w:rsid w:val="009C1032"/>
    <w:rsid w:val="009C4667"/>
    <w:rsid w:val="009E42F9"/>
    <w:rsid w:val="009E53D1"/>
    <w:rsid w:val="009F307B"/>
    <w:rsid w:val="009F51AC"/>
    <w:rsid w:val="00A36BD1"/>
    <w:rsid w:val="00A70E37"/>
    <w:rsid w:val="00AE52AC"/>
    <w:rsid w:val="00AF7BDC"/>
    <w:rsid w:val="00AF7DB6"/>
    <w:rsid w:val="00B0482D"/>
    <w:rsid w:val="00B11D9D"/>
    <w:rsid w:val="00B36939"/>
    <w:rsid w:val="00B452A0"/>
    <w:rsid w:val="00B55865"/>
    <w:rsid w:val="00B600D9"/>
    <w:rsid w:val="00B65C42"/>
    <w:rsid w:val="00B8732D"/>
    <w:rsid w:val="00B9172F"/>
    <w:rsid w:val="00BA3321"/>
    <w:rsid w:val="00BB196B"/>
    <w:rsid w:val="00BD7322"/>
    <w:rsid w:val="00BF4AF5"/>
    <w:rsid w:val="00C05F14"/>
    <w:rsid w:val="00C11FA3"/>
    <w:rsid w:val="00C17609"/>
    <w:rsid w:val="00C36475"/>
    <w:rsid w:val="00C37E40"/>
    <w:rsid w:val="00C40852"/>
    <w:rsid w:val="00C74121"/>
    <w:rsid w:val="00C77715"/>
    <w:rsid w:val="00CE3BB9"/>
    <w:rsid w:val="00D02B3B"/>
    <w:rsid w:val="00D10D16"/>
    <w:rsid w:val="00D34E0B"/>
    <w:rsid w:val="00D355EC"/>
    <w:rsid w:val="00D418BA"/>
    <w:rsid w:val="00D6200D"/>
    <w:rsid w:val="00D86A24"/>
    <w:rsid w:val="00D91233"/>
    <w:rsid w:val="00DB3121"/>
    <w:rsid w:val="00DC08BB"/>
    <w:rsid w:val="00DD0A2C"/>
    <w:rsid w:val="00DD7E0A"/>
    <w:rsid w:val="00DE1C79"/>
    <w:rsid w:val="00DE1FD5"/>
    <w:rsid w:val="00DF0D08"/>
    <w:rsid w:val="00E04D13"/>
    <w:rsid w:val="00E06C0A"/>
    <w:rsid w:val="00E12A87"/>
    <w:rsid w:val="00E25B86"/>
    <w:rsid w:val="00E431F0"/>
    <w:rsid w:val="00E54489"/>
    <w:rsid w:val="00EA1D35"/>
    <w:rsid w:val="00EB4875"/>
    <w:rsid w:val="00ED727F"/>
    <w:rsid w:val="00F0684B"/>
    <w:rsid w:val="00F56484"/>
    <w:rsid w:val="00F94B48"/>
    <w:rsid w:val="00FA2C57"/>
    <w:rsid w:val="00FB50AA"/>
    <w:rsid w:val="00FC323B"/>
    <w:rsid w:val="00FD3B31"/>
    <w:rsid w:val="00FE1F82"/>
    <w:rsid w:val="00FF35C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AD8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905"/>
    <w:pPr>
      <w:spacing w:before="360" w:after="360" w:line="360" w:lineRule="auto"/>
      <w:jc w:val="both"/>
    </w:pPr>
    <w:rPr>
      <w:rFonts w:ascii="Arial" w:hAnsi="Arial"/>
      <w:sz w:val="22"/>
    </w:rPr>
  </w:style>
  <w:style w:type="paragraph" w:styleId="Heading1">
    <w:name w:val="heading 1"/>
    <w:basedOn w:val="Normal"/>
    <w:next w:val="Normal"/>
    <w:link w:val="Heading1Char"/>
    <w:autoRedefine/>
    <w:uiPriority w:val="9"/>
    <w:qFormat/>
    <w:rsid w:val="00C36475"/>
    <w:pPr>
      <w:keepNext/>
      <w:keepLines/>
      <w:jc w:val="center"/>
      <w:outlineLvl w:val="0"/>
    </w:pPr>
    <w:rPr>
      <w:rFonts w:eastAsiaTheme="majorEastAsia" w:cs="Arial"/>
      <w:b/>
      <w:sz w:val="32"/>
      <w:szCs w:val="40"/>
    </w:rPr>
  </w:style>
  <w:style w:type="paragraph" w:styleId="Heading2">
    <w:name w:val="heading 2"/>
    <w:basedOn w:val="Normal"/>
    <w:next w:val="Normal"/>
    <w:link w:val="Heading2Char"/>
    <w:autoRedefine/>
    <w:uiPriority w:val="9"/>
    <w:unhideWhenUsed/>
    <w:qFormat/>
    <w:rsid w:val="00593C51"/>
    <w:pPr>
      <w:keepNext/>
      <w:keepLines/>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C37E40"/>
    <w:pPr>
      <w:keepNext/>
      <w:keepLines/>
      <w:outlineLvl w:val="2"/>
    </w:pPr>
    <w:rPr>
      <w:rFonts w:eastAsiaTheme="majorEastAsia" w:cstheme="majorBidi"/>
      <w:b/>
      <w:bCs/>
      <w:sz w:val="24"/>
      <w:szCs w:val="35"/>
    </w:rPr>
  </w:style>
  <w:style w:type="paragraph" w:styleId="Heading4">
    <w:name w:val="heading 4"/>
    <w:basedOn w:val="Normal"/>
    <w:next w:val="Normal"/>
    <w:link w:val="Heading4Char"/>
    <w:uiPriority w:val="9"/>
    <w:semiHidden/>
    <w:unhideWhenUsed/>
    <w:qFormat/>
    <w:rsid w:val="00DC08B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08B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C08B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08B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08B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08B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475"/>
    <w:rPr>
      <w:rFonts w:ascii="Arial" w:eastAsiaTheme="majorEastAsia" w:hAnsi="Arial" w:cs="Arial"/>
      <w:b/>
      <w:sz w:val="32"/>
      <w:szCs w:val="40"/>
    </w:rPr>
  </w:style>
  <w:style w:type="character" w:customStyle="1" w:styleId="Heading2Char">
    <w:name w:val="Heading 2 Char"/>
    <w:basedOn w:val="DefaultParagraphFont"/>
    <w:link w:val="Heading2"/>
    <w:uiPriority w:val="9"/>
    <w:rsid w:val="00593C51"/>
    <w:rPr>
      <w:rFonts w:ascii="Arial" w:eastAsiaTheme="majorEastAsia" w:hAnsi="Arial" w:cstheme="majorBidi"/>
      <w:b/>
      <w:sz w:val="26"/>
      <w:szCs w:val="32"/>
    </w:rPr>
  </w:style>
  <w:style w:type="paragraph" w:styleId="Caption">
    <w:name w:val="caption"/>
    <w:basedOn w:val="Normal"/>
    <w:next w:val="Normal"/>
    <w:uiPriority w:val="35"/>
    <w:unhideWhenUsed/>
    <w:qFormat/>
    <w:rsid w:val="003B2493"/>
    <w:pPr>
      <w:spacing w:after="200" w:line="240" w:lineRule="auto"/>
      <w:jc w:val="center"/>
    </w:pPr>
    <w:rPr>
      <w:b/>
      <w:iCs/>
      <w:color w:val="000000" w:themeColor="text1"/>
      <w:kern w:val="2"/>
      <w:sz w:val="20"/>
      <w:szCs w:val="18"/>
      <w:lang w:bidi="ar-SA"/>
    </w:rPr>
  </w:style>
  <w:style w:type="character" w:customStyle="1" w:styleId="Heading3Char">
    <w:name w:val="Heading 3 Char"/>
    <w:basedOn w:val="DefaultParagraphFont"/>
    <w:link w:val="Heading3"/>
    <w:uiPriority w:val="9"/>
    <w:rsid w:val="00C37E40"/>
    <w:rPr>
      <w:rFonts w:ascii="Arial" w:eastAsiaTheme="majorEastAsia" w:hAnsi="Arial" w:cstheme="majorBidi"/>
      <w:b/>
      <w:bCs/>
      <w:szCs w:val="35"/>
    </w:rPr>
  </w:style>
  <w:style w:type="character" w:customStyle="1" w:styleId="Heading4Char">
    <w:name w:val="Heading 4 Char"/>
    <w:basedOn w:val="DefaultParagraphFont"/>
    <w:link w:val="Heading4"/>
    <w:uiPriority w:val="9"/>
    <w:semiHidden/>
    <w:rsid w:val="00DC08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08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0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8BB"/>
    <w:rPr>
      <w:rFonts w:eastAsiaTheme="majorEastAsia" w:cstheme="majorBidi"/>
      <w:color w:val="272727" w:themeColor="text1" w:themeTint="D8"/>
    </w:rPr>
  </w:style>
  <w:style w:type="paragraph" w:styleId="Title">
    <w:name w:val="Title"/>
    <w:basedOn w:val="Normal"/>
    <w:next w:val="Normal"/>
    <w:link w:val="TitleChar"/>
    <w:uiPriority w:val="10"/>
    <w:qFormat/>
    <w:rsid w:val="00DC08B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C08B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C08BB"/>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C08B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C08B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08BB"/>
    <w:rPr>
      <w:rFonts w:ascii="Times New Roman" w:hAnsi="Times New Roman"/>
      <w:i/>
      <w:iCs/>
      <w:color w:val="404040" w:themeColor="text1" w:themeTint="BF"/>
    </w:rPr>
  </w:style>
  <w:style w:type="paragraph" w:styleId="ListParagraph">
    <w:name w:val="List Paragraph"/>
    <w:basedOn w:val="Normal"/>
    <w:uiPriority w:val="34"/>
    <w:qFormat/>
    <w:rsid w:val="00DC08BB"/>
    <w:pPr>
      <w:ind w:left="720"/>
      <w:contextualSpacing/>
    </w:pPr>
  </w:style>
  <w:style w:type="character" w:styleId="IntenseEmphasis">
    <w:name w:val="Intense Emphasis"/>
    <w:basedOn w:val="DefaultParagraphFont"/>
    <w:uiPriority w:val="21"/>
    <w:qFormat/>
    <w:rsid w:val="00DC08BB"/>
    <w:rPr>
      <w:i/>
      <w:iCs/>
      <w:color w:val="2F5496" w:themeColor="accent1" w:themeShade="BF"/>
    </w:rPr>
  </w:style>
  <w:style w:type="paragraph" w:styleId="IntenseQuote">
    <w:name w:val="Intense Quote"/>
    <w:basedOn w:val="Normal"/>
    <w:next w:val="Normal"/>
    <w:link w:val="IntenseQuoteChar"/>
    <w:uiPriority w:val="30"/>
    <w:qFormat/>
    <w:rsid w:val="00DC08BB"/>
    <w:pPr>
      <w:pBdr>
        <w:top w:val="single" w:sz="4" w:space="10" w:color="2F5496" w:themeColor="accent1" w:themeShade="BF"/>
        <w:bottom w:val="single" w:sz="4" w:space="10" w:color="2F5496" w:themeColor="accent1" w:themeShade="BF"/>
      </w:pBdr>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08BB"/>
    <w:rPr>
      <w:rFonts w:ascii="Times New Roman" w:hAnsi="Times New Roman"/>
      <w:i/>
      <w:iCs/>
      <w:color w:val="2F5496" w:themeColor="accent1" w:themeShade="BF"/>
    </w:rPr>
  </w:style>
  <w:style w:type="character" w:styleId="IntenseReference">
    <w:name w:val="Intense Reference"/>
    <w:basedOn w:val="DefaultParagraphFont"/>
    <w:uiPriority w:val="32"/>
    <w:qFormat/>
    <w:rsid w:val="00DC08BB"/>
    <w:rPr>
      <w:b/>
      <w:bCs/>
      <w:smallCaps/>
      <w:color w:val="2F5496" w:themeColor="accent1" w:themeShade="BF"/>
      <w:spacing w:val="5"/>
    </w:rPr>
  </w:style>
  <w:style w:type="paragraph" w:styleId="Header">
    <w:name w:val="header"/>
    <w:basedOn w:val="Normal"/>
    <w:link w:val="HeaderChar"/>
    <w:uiPriority w:val="99"/>
    <w:unhideWhenUsed/>
    <w:rsid w:val="0007399B"/>
    <w:pPr>
      <w:tabs>
        <w:tab w:val="center" w:pos="4513"/>
        <w:tab w:val="right" w:pos="9026"/>
      </w:tabs>
      <w:spacing w:line="240" w:lineRule="auto"/>
    </w:pPr>
  </w:style>
  <w:style w:type="character" w:customStyle="1" w:styleId="HeaderChar">
    <w:name w:val="Header Char"/>
    <w:basedOn w:val="DefaultParagraphFont"/>
    <w:link w:val="Header"/>
    <w:uiPriority w:val="99"/>
    <w:rsid w:val="0007399B"/>
    <w:rPr>
      <w:rFonts w:ascii="Times New Roman" w:hAnsi="Times New Roman"/>
    </w:rPr>
  </w:style>
  <w:style w:type="paragraph" w:styleId="Footer">
    <w:name w:val="footer"/>
    <w:basedOn w:val="Normal"/>
    <w:link w:val="FooterChar"/>
    <w:uiPriority w:val="99"/>
    <w:unhideWhenUsed/>
    <w:rsid w:val="0007399B"/>
    <w:pPr>
      <w:tabs>
        <w:tab w:val="center" w:pos="4513"/>
        <w:tab w:val="right" w:pos="9026"/>
      </w:tabs>
      <w:spacing w:line="240" w:lineRule="auto"/>
    </w:pPr>
  </w:style>
  <w:style w:type="character" w:customStyle="1" w:styleId="FooterChar">
    <w:name w:val="Footer Char"/>
    <w:basedOn w:val="DefaultParagraphFont"/>
    <w:link w:val="Footer"/>
    <w:uiPriority w:val="99"/>
    <w:rsid w:val="0007399B"/>
    <w:rPr>
      <w:rFonts w:ascii="Times New Roman" w:hAnsi="Times New Roman"/>
    </w:rPr>
  </w:style>
  <w:style w:type="paragraph" w:styleId="TOCHeading">
    <w:name w:val="TOC Heading"/>
    <w:basedOn w:val="Heading1"/>
    <w:next w:val="Normal"/>
    <w:uiPriority w:val="39"/>
    <w:unhideWhenUsed/>
    <w:qFormat/>
    <w:rsid w:val="000738BB"/>
    <w:pPr>
      <w:spacing w:before="240" w:line="259" w:lineRule="auto"/>
      <w:jc w:val="left"/>
      <w:outlineLvl w:val="9"/>
    </w:pPr>
    <w:rPr>
      <w:rFonts w:asciiTheme="majorHAnsi" w:hAnsiTheme="majorHAnsi"/>
      <w:b w:val="0"/>
      <w:color w:val="2F5496" w:themeColor="accent1" w:themeShade="BF"/>
      <w:szCs w:val="32"/>
      <w:lang w:val="en-US" w:bidi="ar-SA"/>
      <w14:ligatures w14:val="none"/>
    </w:rPr>
  </w:style>
  <w:style w:type="paragraph" w:styleId="TOC1">
    <w:name w:val="toc 1"/>
    <w:basedOn w:val="Normal"/>
    <w:next w:val="Normal"/>
    <w:autoRedefine/>
    <w:uiPriority w:val="39"/>
    <w:unhideWhenUsed/>
    <w:rsid w:val="000738BB"/>
    <w:pPr>
      <w:tabs>
        <w:tab w:val="right" w:leader="dot" w:pos="9350"/>
      </w:tabs>
      <w:spacing w:after="100"/>
    </w:pPr>
  </w:style>
  <w:style w:type="paragraph" w:styleId="TOC2">
    <w:name w:val="toc 2"/>
    <w:basedOn w:val="Normal"/>
    <w:next w:val="Normal"/>
    <w:autoRedefine/>
    <w:uiPriority w:val="39"/>
    <w:unhideWhenUsed/>
    <w:rsid w:val="000738BB"/>
    <w:pPr>
      <w:spacing w:after="100"/>
      <w:ind w:left="240"/>
    </w:pPr>
  </w:style>
  <w:style w:type="character" w:styleId="Hyperlink">
    <w:name w:val="Hyperlink"/>
    <w:basedOn w:val="DefaultParagraphFont"/>
    <w:uiPriority w:val="99"/>
    <w:unhideWhenUsed/>
    <w:rsid w:val="000738BB"/>
    <w:rPr>
      <w:color w:val="0563C1" w:themeColor="hyperlink"/>
      <w:u w:val="single"/>
    </w:rPr>
  </w:style>
  <w:style w:type="paragraph" w:styleId="TableofFigures">
    <w:name w:val="table of figures"/>
    <w:basedOn w:val="Normal"/>
    <w:next w:val="Normal"/>
    <w:uiPriority w:val="99"/>
    <w:unhideWhenUsed/>
    <w:rsid w:val="000738BB"/>
  </w:style>
  <w:style w:type="table" w:styleId="TableGrid">
    <w:name w:val="Table Grid"/>
    <w:basedOn w:val="TableNormal"/>
    <w:uiPriority w:val="39"/>
    <w:rsid w:val="004F6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10D03"/>
    <w:rPr>
      <w:color w:val="605E5C"/>
      <w:shd w:val="clear" w:color="auto" w:fill="E1DFDD"/>
    </w:rPr>
  </w:style>
  <w:style w:type="paragraph" w:styleId="TOC3">
    <w:name w:val="toc 3"/>
    <w:basedOn w:val="Normal"/>
    <w:next w:val="Normal"/>
    <w:autoRedefine/>
    <w:uiPriority w:val="39"/>
    <w:unhideWhenUsed/>
    <w:rsid w:val="00C37E4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orldpopulationreview.com/country-rankings/refugees-by-country"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C5980-7581-415E-ABA2-B889C0F127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5077</Words>
  <Characters>28939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2025-11-08T00:46:00Z</dcterms:created>
  <dcterms:modified xsi:type="dcterms:W3CDTF">2025-11-08T00:46:00Z</dcterms:modified>
</cp:coreProperties>
</file>