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62AEC" w14:textId="4A75C239" w:rsidR="00D34E57" w:rsidRDefault="00D34E57" w:rsidP="00D34E57">
      <w:pPr>
        <w:jc w:val="center"/>
        <w:rPr>
          <w:u w:val="single"/>
        </w:rPr>
      </w:pPr>
      <w:r w:rsidRPr="00387533">
        <w:rPr>
          <w:u w:val="single"/>
        </w:rPr>
        <w:t>MA Literature review DRAFT</w:t>
      </w:r>
      <w:r>
        <w:rPr>
          <w:u w:val="single"/>
        </w:rPr>
        <w:t xml:space="preserve"> 2</w:t>
      </w:r>
    </w:p>
    <w:p w14:paraId="6F9959A7" w14:textId="77777777" w:rsidR="00D34E57" w:rsidRDefault="00D34E57" w:rsidP="00D34E57">
      <w:pPr>
        <w:jc w:val="center"/>
        <w:rPr>
          <w:u w:val="single"/>
        </w:rPr>
      </w:pPr>
    </w:p>
    <w:p w14:paraId="6911452A" w14:textId="77777777" w:rsidR="00D34E57" w:rsidRDefault="00D34E57" w:rsidP="00D34E57">
      <w:pPr>
        <w:rPr>
          <w:u w:val="single"/>
        </w:rPr>
      </w:pPr>
      <w:r>
        <w:rPr>
          <w:u w:val="single"/>
        </w:rPr>
        <w:t xml:space="preserve">Chapter 2- Literature review </w:t>
      </w:r>
    </w:p>
    <w:p w14:paraId="29D9E6F5"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2.1 Introduction</w:t>
      </w:r>
    </w:p>
    <w:p w14:paraId="6F970CC2"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Violence against women and girls (VAWG) remains a significant challenge for policing, criminal </w:t>
      </w:r>
      <w:proofErr w:type="gramStart"/>
      <w:r w:rsidRPr="009733DF">
        <w:rPr>
          <w:rFonts w:ascii="Arial" w:hAnsi="Arial" w:cs="Arial"/>
          <w:color w:val="000000"/>
        </w:rPr>
        <w:t>justice</w:t>
      </w:r>
      <w:proofErr w:type="gramEnd"/>
      <w:r w:rsidRPr="009733DF">
        <w:rPr>
          <w:rFonts w:ascii="Arial" w:hAnsi="Arial" w:cs="Arial"/>
          <w:color w:val="000000"/>
        </w:rPr>
        <w:t xml:space="preserve"> and wider society, encompassing forms of gender-based violence including sexual violence, domestic abuse, stalking and harassment (Welsh Government, 2022). Although violence and abuse can affect individuals irrespective of gender, their prevalence and experience are substantially gendered, with women and girls disproportionately affected by </w:t>
      </w:r>
      <w:proofErr w:type="gramStart"/>
      <w:r w:rsidRPr="009733DF">
        <w:rPr>
          <w:rFonts w:ascii="Arial" w:hAnsi="Arial" w:cs="Arial"/>
          <w:color w:val="000000"/>
        </w:rPr>
        <w:t>particular forms</w:t>
      </w:r>
      <w:proofErr w:type="gramEnd"/>
      <w:r w:rsidRPr="009733DF">
        <w:rPr>
          <w:rFonts w:ascii="Arial" w:hAnsi="Arial" w:cs="Arial"/>
          <w:color w:val="000000"/>
        </w:rPr>
        <w:t xml:space="preserve"> of violence and abuse (Welsh Government, 2022). Recent Crime Survey for England and Wales (CSEW) data demonstrates the scale of sexual victimisation, estimating that approximately 900,000 people aged 16 years and over experienced sexual assault, including attempts, in the year ending March 2025, of whom approximately 739,000 were female (ONS, 2025a). Furthermore, an estimated 7.3% of women had experienced rape, including attempts, since the age of 16 (ONS, 2025a).</w:t>
      </w:r>
    </w:p>
    <w:p w14:paraId="16CF8EE0"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Despite this prevalence, formal reporting remains comparatively limited. Approximately 14.7% of victims of rape or assault by penetration reported their most recent experience to the police, while among victims who disclosed the incident to somebody other than the police, 38.5% believed that the police could not help (ONS, 2025b). Embarrassment and anticipated humiliation were also identified as reasons for non-reporting (ONS, 2025b). The disparity between estimated victimisation and police reporting demonstrates the importance of understanding the factors that influence women’s willingness to engage with policing. However, reporting decisions are complex and cannot necessarily be attributed to a single factor, requiring consideration of both individual and institutional influences.</w:t>
      </w:r>
    </w:p>
    <w:p w14:paraId="495DB084" w14:textId="0B29BF10"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Public confidence and police legitimacy are particularly relevant within this context because cooperation with the police may be influenced not only by perceptions of police effectiveness but also by judgements concerning the fairness and legitimacy with which police authority is exercised (Tyler, 2006; Jackson et al, 2012). These issues have acquired increased significance following highly publicised cases of </w:t>
      </w:r>
      <w:proofErr w:type="gramStart"/>
      <w:r w:rsidRPr="009733DF">
        <w:rPr>
          <w:rFonts w:ascii="Arial" w:hAnsi="Arial" w:cs="Arial"/>
          <w:color w:val="000000"/>
        </w:rPr>
        <w:lastRenderedPageBreak/>
        <w:t>police-perpetrated</w:t>
      </w:r>
      <w:proofErr w:type="gramEnd"/>
      <w:r w:rsidRPr="009733DF">
        <w:rPr>
          <w:rFonts w:ascii="Arial" w:hAnsi="Arial" w:cs="Arial"/>
          <w:color w:val="000000"/>
        </w:rPr>
        <w:t xml:space="preserve"> VAWG and subsequent scrutiny of organisational culture. The murder of Sarah Everard by serving Metropolitan Police officer Wayne </w:t>
      </w:r>
      <w:proofErr w:type="spellStart"/>
      <w:r w:rsidRPr="009733DF">
        <w:rPr>
          <w:rFonts w:ascii="Arial" w:hAnsi="Arial" w:cs="Arial"/>
          <w:color w:val="000000"/>
        </w:rPr>
        <w:t>Couzens</w:t>
      </w:r>
      <w:proofErr w:type="spellEnd"/>
      <w:r w:rsidRPr="009733DF">
        <w:rPr>
          <w:rFonts w:ascii="Arial" w:hAnsi="Arial" w:cs="Arial"/>
          <w:color w:val="000000"/>
        </w:rPr>
        <w:t xml:space="preserve"> contributed to renewed examination of police standards, </w:t>
      </w:r>
      <w:proofErr w:type="gramStart"/>
      <w:r w:rsidRPr="009733DF">
        <w:rPr>
          <w:rFonts w:ascii="Arial" w:hAnsi="Arial" w:cs="Arial"/>
          <w:color w:val="000000"/>
        </w:rPr>
        <w:t>misogyny</w:t>
      </w:r>
      <w:proofErr w:type="gramEnd"/>
      <w:r w:rsidRPr="009733DF">
        <w:rPr>
          <w:rFonts w:ascii="Arial" w:hAnsi="Arial" w:cs="Arial"/>
          <w:color w:val="000000"/>
        </w:rPr>
        <w:t xml:space="preserve"> and organisational accountability, including through the Casey Review and </w:t>
      </w:r>
      <w:proofErr w:type="spellStart"/>
      <w:r w:rsidRPr="009733DF">
        <w:rPr>
          <w:rFonts w:ascii="Arial" w:hAnsi="Arial" w:cs="Arial"/>
          <w:color w:val="000000"/>
        </w:rPr>
        <w:t>Angiolini</w:t>
      </w:r>
      <w:proofErr w:type="spellEnd"/>
      <w:r w:rsidRPr="009733DF">
        <w:rPr>
          <w:rFonts w:ascii="Arial" w:hAnsi="Arial" w:cs="Arial"/>
          <w:color w:val="000000"/>
        </w:rPr>
        <w:t xml:space="preserve"> Inquiry (Casey, 2023; </w:t>
      </w:r>
      <w:proofErr w:type="spellStart"/>
      <w:r w:rsidRPr="009733DF">
        <w:rPr>
          <w:rFonts w:ascii="Arial" w:hAnsi="Arial" w:cs="Arial"/>
          <w:color w:val="000000"/>
        </w:rPr>
        <w:t>Angiolini</w:t>
      </w:r>
      <w:proofErr w:type="spellEnd"/>
      <w:r w:rsidR="005904D8">
        <w:rPr>
          <w:rFonts w:ascii="Arial" w:hAnsi="Arial" w:cs="Arial"/>
          <w:color w:val="000000"/>
        </w:rPr>
        <w:t xml:space="preserve"> </w:t>
      </w:r>
      <w:r w:rsidR="005904D8" w:rsidRPr="009733DF">
        <w:rPr>
          <w:rFonts w:ascii="Arial" w:hAnsi="Arial" w:cs="Arial"/>
          <w:color w:val="000000"/>
        </w:rPr>
        <w:t>Inquiry</w:t>
      </w:r>
      <w:r w:rsidRPr="009733DF">
        <w:rPr>
          <w:rFonts w:ascii="Arial" w:hAnsi="Arial" w:cs="Arial"/>
          <w:color w:val="000000"/>
        </w:rPr>
        <w:t xml:space="preserve">, 2024; 2025). Significantly, the </w:t>
      </w:r>
      <w:proofErr w:type="spellStart"/>
      <w:r w:rsidRPr="009733DF">
        <w:rPr>
          <w:rFonts w:ascii="Arial" w:hAnsi="Arial" w:cs="Arial"/>
          <w:color w:val="000000"/>
        </w:rPr>
        <w:t>Angiolini</w:t>
      </w:r>
      <w:proofErr w:type="spellEnd"/>
      <w:r w:rsidRPr="009733DF">
        <w:rPr>
          <w:rFonts w:ascii="Arial" w:hAnsi="Arial" w:cs="Arial"/>
          <w:color w:val="000000"/>
        </w:rPr>
        <w:t xml:space="preserve"> Inquiry’s terms of reference include consideration of whether aspects of police culture create barriers to women reporting sexual offences (</w:t>
      </w:r>
      <w:proofErr w:type="spellStart"/>
      <w:r w:rsidRPr="009733DF">
        <w:rPr>
          <w:rFonts w:ascii="Arial" w:hAnsi="Arial" w:cs="Arial"/>
          <w:color w:val="000000"/>
        </w:rPr>
        <w:t>Angiolini</w:t>
      </w:r>
      <w:proofErr w:type="spellEnd"/>
      <w:r w:rsidRPr="009733DF">
        <w:rPr>
          <w:rFonts w:ascii="Arial" w:hAnsi="Arial" w:cs="Arial"/>
          <w:color w:val="000000"/>
        </w:rPr>
        <w:t xml:space="preserve"> Inquiry, 2023). This raises an important question concerning whether public perceptions of police culture may have consequences for women’s anticipated engagement with policing.</w:t>
      </w:r>
    </w:p>
    <w:p w14:paraId="78A3E278"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Such perceptions must also be situated within wider social constructions of victimhood. Christie’s (1986) concept of the ‘ideal victim’ demonstrates how recognition and legitimacy may be unevenly attributed according to characteristics surrounding victims, </w:t>
      </w:r>
      <w:proofErr w:type="gramStart"/>
      <w:r w:rsidRPr="009733DF">
        <w:rPr>
          <w:rFonts w:ascii="Arial" w:hAnsi="Arial" w:cs="Arial"/>
          <w:color w:val="000000"/>
        </w:rPr>
        <w:t>offenders</w:t>
      </w:r>
      <w:proofErr w:type="gramEnd"/>
      <w:r w:rsidRPr="009733DF">
        <w:rPr>
          <w:rFonts w:ascii="Arial" w:hAnsi="Arial" w:cs="Arial"/>
          <w:color w:val="000000"/>
        </w:rPr>
        <w:t xml:space="preserve"> and circumstances of victimisation. Within VAWG, victim-blaming, rape myths and intersecting inequalities may consequently influence expectations concerning credibility and institutional treatment (Christie, 1986; Duggan, 2018). Public perceptions may additionally be informed by high-profile cases and their representation within wider public discourse rather than solely through direct encounters with police. It is therefore necessary to distinguish between the actual characteristics of police organisations and public perceptions of those characteristics.</w:t>
      </w:r>
    </w:p>
    <w:p w14:paraId="7CAB6A0E"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The Welsh context provides a particularly important setting for examining these relationships. The Violence against Women, Domestic Abuse and Sexual Violence (Wales) Act 2015 established a statutory framework intended to improve the prevention of gender-based violence, domestic abuse and sexual violence and the protection and support available to those affected. The subsequent Violence Against Women, Domestic Abuse and Sexual Violence Strategy 2022–2026 emphasises prevention, survivor voice and cultural change while recognising wider inequalities including misogyny, </w:t>
      </w:r>
      <w:proofErr w:type="gramStart"/>
      <w:r w:rsidRPr="009733DF">
        <w:rPr>
          <w:rFonts w:ascii="Arial" w:hAnsi="Arial" w:cs="Arial"/>
          <w:color w:val="000000"/>
        </w:rPr>
        <w:t>racism</w:t>
      </w:r>
      <w:proofErr w:type="gramEnd"/>
      <w:r w:rsidRPr="009733DF">
        <w:rPr>
          <w:rFonts w:ascii="Arial" w:hAnsi="Arial" w:cs="Arial"/>
          <w:color w:val="000000"/>
        </w:rPr>
        <w:t xml:space="preserve"> and victim-blaming (Welsh Government, 2022). This distinctive policy environment provides an important context for examining women’s perceptions of policing and the potential implications for operational and strategic police leadership in Wales.</w:t>
      </w:r>
    </w:p>
    <w:p w14:paraId="3DC8DC5F"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lastRenderedPageBreak/>
        <w:t xml:space="preserve">Accordingly, this thematic literature review critically examines the relationship between police culture, police legitimacy, public </w:t>
      </w:r>
      <w:proofErr w:type="gramStart"/>
      <w:r w:rsidRPr="009733DF">
        <w:rPr>
          <w:rFonts w:ascii="Arial" w:hAnsi="Arial" w:cs="Arial"/>
          <w:color w:val="000000"/>
        </w:rPr>
        <w:t>confidence</w:t>
      </w:r>
      <w:proofErr w:type="gramEnd"/>
      <w:r w:rsidRPr="009733DF">
        <w:rPr>
          <w:rFonts w:ascii="Arial" w:hAnsi="Arial" w:cs="Arial"/>
          <w:color w:val="000000"/>
        </w:rPr>
        <w:t xml:space="preserve"> and women’s intentions to report VAWG. It first considers the conceptualisation and contemporary relevance of police culture before examining legitimacy, procedural justice, </w:t>
      </w:r>
      <w:proofErr w:type="gramStart"/>
      <w:r w:rsidRPr="009733DF">
        <w:rPr>
          <w:rFonts w:ascii="Arial" w:hAnsi="Arial" w:cs="Arial"/>
          <w:color w:val="000000"/>
        </w:rPr>
        <w:t>trust</w:t>
      </w:r>
      <w:proofErr w:type="gramEnd"/>
      <w:r w:rsidRPr="009733DF">
        <w:rPr>
          <w:rFonts w:ascii="Arial" w:hAnsi="Arial" w:cs="Arial"/>
          <w:color w:val="000000"/>
        </w:rPr>
        <w:t xml:space="preserve"> and public confidence. Literature concerning misogyny and VAWG within policing is then evaluated alongside Ideal Victim Theory, victim-blaming, rape myths and intersectionality. The review subsequently considers media representation and high-profile cases, followed by evidence concerning women’s reporting decisions and the distinctive Welsh VAWDASV context. Through critical synthesis of these themes, the review establishes the existing evidence base and identifies the research gap concerning the extent to which public perceptions of police culture influence women’s intentions to report VAWG in Wales.</w:t>
      </w:r>
    </w:p>
    <w:p w14:paraId="5F00BFEF"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2.2 Police Culture: Concepts, Characteristics and Contemporary Challenges</w:t>
      </w:r>
    </w:p>
    <w:p w14:paraId="340F6B0C"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Police culture has occupied a prominent position within policing and criminological scholarship because formal rules and organisational policies alone cannot fully explain how officers understand their role or exercise discretion in practice (Skolnick, 1966; Loftus, 2009; Reiner, 2010; Cockcroft, 2013). Skolnick’s (1966) seminal analysis proposed that the combination of danger and authority inherent within police work contributes to the development of a distinctive police ‘working personality’, particularly characterised by suspicion. Subsequent scholarship identified recurring cultural characteristics including solidarity, cynicism, social isolation, loyalty to colleagues, conservatism, </w:t>
      </w:r>
      <w:proofErr w:type="gramStart"/>
      <w:r w:rsidRPr="009733DF">
        <w:rPr>
          <w:rFonts w:ascii="Arial" w:hAnsi="Arial" w:cs="Arial"/>
          <w:color w:val="000000"/>
        </w:rPr>
        <w:t>machismo</w:t>
      </w:r>
      <w:proofErr w:type="gramEnd"/>
      <w:r w:rsidRPr="009733DF">
        <w:rPr>
          <w:rFonts w:ascii="Arial" w:hAnsi="Arial" w:cs="Arial"/>
          <w:color w:val="000000"/>
        </w:rPr>
        <w:t xml:space="preserve"> and an emphasis upon action-oriented policing (Reiner, 2010; Loftus, 2009; Cockcroft, 2013). Police culture can therefore be understood as an informal framework through which officers interpret occupational experiences and construct understandings of legitimate police work. However, the persistence of these characteristics within policing scholarship raises questions concerning whether traditional conceptualisations adequately capture the complexity of contemporary police organisations.</w:t>
      </w:r>
    </w:p>
    <w:p w14:paraId="333E5C55"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Importantly, police culture should not be conceptualised as inherently problematic. Occupational solidarity may provide practical and emotional support within work characterised by uncertainty, </w:t>
      </w:r>
      <w:proofErr w:type="gramStart"/>
      <w:r w:rsidRPr="009733DF">
        <w:rPr>
          <w:rFonts w:ascii="Arial" w:hAnsi="Arial" w:cs="Arial"/>
          <w:color w:val="000000"/>
        </w:rPr>
        <w:t>danger</w:t>
      </w:r>
      <w:proofErr w:type="gramEnd"/>
      <w:r w:rsidRPr="009733DF">
        <w:rPr>
          <w:rFonts w:ascii="Arial" w:hAnsi="Arial" w:cs="Arial"/>
          <w:color w:val="000000"/>
        </w:rPr>
        <w:t xml:space="preserve"> and exposure to distressing circumstances (Reiner, 2010; Cockcroft, 2013). Waddington (1999) similarly challenged </w:t>
      </w:r>
      <w:r w:rsidRPr="009733DF">
        <w:rPr>
          <w:rFonts w:ascii="Arial" w:hAnsi="Arial" w:cs="Arial"/>
          <w:color w:val="000000"/>
        </w:rPr>
        <w:lastRenderedPageBreak/>
        <w:t>interpretations of police ‘canteen culture’ that assumed controversial or prejudicial occupational talk necessarily translated into discriminatory operational behaviour. Instead, such discourse may sometimes function as expressive occupational talk through which officers collectively manage their experiences (Waddington, 1999). This exposes an important limitation of cultural explanations: evidence of problematic language or attitudes does not independently establish how officers exercise their powers.</w:t>
      </w:r>
    </w:p>
    <w:p w14:paraId="187925F6"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Nevertheless, subsequent empirical research suggests that traditional cultural characteristics cannot simply be dismissed as occupational rhetoric. Drawing upon ethnographic observations, Loftus (2009; 2010) identified considerable continuity in characteristics including cynicism, suspicion, </w:t>
      </w:r>
      <w:proofErr w:type="gramStart"/>
      <w:r w:rsidRPr="009733DF">
        <w:rPr>
          <w:rFonts w:ascii="Arial" w:hAnsi="Arial" w:cs="Arial"/>
          <w:color w:val="000000"/>
        </w:rPr>
        <w:t>solidarity</w:t>
      </w:r>
      <w:proofErr w:type="gramEnd"/>
      <w:r w:rsidRPr="009733DF">
        <w:rPr>
          <w:rFonts w:ascii="Arial" w:hAnsi="Arial" w:cs="Arial"/>
          <w:color w:val="000000"/>
        </w:rPr>
        <w:t xml:space="preserve"> and particular conceptions of ‘real’ police work. The ethnographic approach is valuable because it examines culture within everyday policing rather than relying solely upon self-reported attitudes. However, evidence from </w:t>
      </w:r>
      <w:proofErr w:type="gramStart"/>
      <w:r w:rsidRPr="009733DF">
        <w:rPr>
          <w:rFonts w:ascii="Arial" w:hAnsi="Arial" w:cs="Arial"/>
          <w:color w:val="000000"/>
        </w:rPr>
        <w:t>particular policing</w:t>
      </w:r>
      <w:proofErr w:type="gramEnd"/>
      <w:r w:rsidRPr="009733DF">
        <w:rPr>
          <w:rFonts w:ascii="Arial" w:hAnsi="Arial" w:cs="Arial"/>
          <w:color w:val="000000"/>
        </w:rPr>
        <w:t xml:space="preserve"> environments cannot demonstrate that identical characteristics exist uniformly across forces. Cockcroft (2006; 2013) similarly challenges deterministic accounts of a singular police culture, emphasising organisational, </w:t>
      </w:r>
      <w:proofErr w:type="gramStart"/>
      <w:r w:rsidRPr="009733DF">
        <w:rPr>
          <w:rFonts w:ascii="Arial" w:hAnsi="Arial" w:cs="Arial"/>
          <w:color w:val="000000"/>
        </w:rPr>
        <w:t>social</w:t>
      </w:r>
      <w:proofErr w:type="gramEnd"/>
      <w:r w:rsidRPr="009733DF">
        <w:rPr>
          <w:rFonts w:ascii="Arial" w:hAnsi="Arial" w:cs="Arial"/>
          <w:color w:val="000000"/>
        </w:rPr>
        <w:t xml:space="preserve"> and geographical variation and the existence of multiple police subcultures. Taken together, this literature suggests that traditional cultural characteristics retain explanatory value, but conceptualising police culture as fixed or homogeneous risks oversimplifying contemporary policing.</w:t>
      </w:r>
    </w:p>
    <w:p w14:paraId="38B9C5DB"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A distinction between occupational and organisational culture further strengthens this analysis. While occupational culture develops partly through shared experiences and peer relationships, organisational culture also encompasses leadership, accountability structures and behaviours that institutions formally or informally reward, tolerate or challenge (Cockcroft, 2013; College of Policing, 2023). Formal organisational values therefore cannot necessarily be treated as evidence of everyday organisational practice. Leadership responses to misconduct, supervisory </w:t>
      </w:r>
      <w:proofErr w:type="gramStart"/>
      <w:r w:rsidRPr="009733DF">
        <w:rPr>
          <w:rFonts w:ascii="Arial" w:hAnsi="Arial" w:cs="Arial"/>
          <w:color w:val="000000"/>
        </w:rPr>
        <w:t>behaviour</w:t>
      </w:r>
      <w:proofErr w:type="gramEnd"/>
      <w:r w:rsidRPr="009733DF">
        <w:rPr>
          <w:rFonts w:ascii="Arial" w:hAnsi="Arial" w:cs="Arial"/>
          <w:color w:val="000000"/>
        </w:rPr>
        <w:t xml:space="preserve"> and willingness to challenge inappropriate conduct may communicate expectations alongside written policies (College of Policing, 2023; Casey, 2023). This shifts analysis beyond individual attitudes towards the organisational mechanisms through which standards of behaviour are maintained.</w:t>
      </w:r>
    </w:p>
    <w:p w14:paraId="298128B2"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lastRenderedPageBreak/>
        <w:t xml:space="preserve">The relationship between solidarity and accountability illustrates this complexity. </w:t>
      </w:r>
      <w:proofErr w:type="spellStart"/>
      <w:r w:rsidRPr="009733DF">
        <w:rPr>
          <w:rFonts w:ascii="Arial" w:hAnsi="Arial" w:cs="Arial"/>
          <w:color w:val="000000"/>
        </w:rPr>
        <w:t>Westmarland’s</w:t>
      </w:r>
      <w:proofErr w:type="spellEnd"/>
      <w:r w:rsidRPr="009733DF">
        <w:rPr>
          <w:rFonts w:ascii="Arial" w:hAnsi="Arial" w:cs="Arial"/>
          <w:color w:val="000000"/>
        </w:rPr>
        <w:t xml:space="preserve"> (2005) examination of the ‘blue code of silence’ found that officers’ willingness to report colleagues varied according to the perceived seriousness of misconduct, challenging assumptions that solidarity inevitably results in silence. Nevertheless, the findings demonstrate that informal occupational norms may influence decisions about challenging colleagues (</w:t>
      </w:r>
      <w:proofErr w:type="spellStart"/>
      <w:r w:rsidRPr="009733DF">
        <w:rPr>
          <w:rFonts w:ascii="Arial" w:hAnsi="Arial" w:cs="Arial"/>
          <w:color w:val="000000"/>
        </w:rPr>
        <w:t>Westmarland</w:t>
      </w:r>
      <w:proofErr w:type="spellEnd"/>
      <w:r w:rsidRPr="009733DF">
        <w:rPr>
          <w:rFonts w:ascii="Arial" w:hAnsi="Arial" w:cs="Arial"/>
          <w:color w:val="000000"/>
        </w:rPr>
        <w:t xml:space="preserve">, 2005). Cultural problems therefore do not require widespread participation in misconduct; organisational significance may also arise where inappropriate behaviour is normalised, </w:t>
      </w:r>
      <w:proofErr w:type="gramStart"/>
      <w:r w:rsidRPr="009733DF">
        <w:rPr>
          <w:rFonts w:ascii="Arial" w:hAnsi="Arial" w:cs="Arial"/>
          <w:color w:val="000000"/>
        </w:rPr>
        <w:t>minimised</w:t>
      </w:r>
      <w:proofErr w:type="gramEnd"/>
      <w:r w:rsidRPr="009733DF">
        <w:rPr>
          <w:rFonts w:ascii="Arial" w:hAnsi="Arial" w:cs="Arial"/>
          <w:color w:val="000000"/>
        </w:rPr>
        <w:t xml:space="preserve"> or insufficiently challenged (</w:t>
      </w:r>
      <w:proofErr w:type="spellStart"/>
      <w:r w:rsidRPr="009733DF">
        <w:rPr>
          <w:rFonts w:ascii="Arial" w:hAnsi="Arial" w:cs="Arial"/>
          <w:color w:val="000000"/>
        </w:rPr>
        <w:t>Westmarland</w:t>
      </w:r>
      <w:proofErr w:type="spellEnd"/>
      <w:r w:rsidRPr="009733DF">
        <w:rPr>
          <w:rFonts w:ascii="Arial" w:hAnsi="Arial" w:cs="Arial"/>
          <w:color w:val="000000"/>
        </w:rPr>
        <w:t>, 2005; Casey, 2023).</w:t>
      </w:r>
    </w:p>
    <w:p w14:paraId="2E9283C2"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Contemporary professional frameworks increasingly recognise the organisational dimensions of ethical conduct. The College of Policing’s Code of Ethics identifies courage, respect and empathy, and public service as core ethical policing principles, while associated guidance places responsibility upon policing professionals to challenge inappropriate behaviour and upon leaders to create environments that support ethical practice (College of Policing, 2024a; 2024b). The Code of Practice for Ethical Policing similarly requires chief officers to consider organisational arrangements that promote ethical and professional behaviour (College of Policing, 2023). These frameworks demonstrate institutional recognition that professional standards depend not solely upon individual integrity but also upon leadership and organisational systems.</w:t>
      </w:r>
    </w:p>
    <w:p w14:paraId="744FE070"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However, recent independent scrutiny has questioned whether formal ethical expectations are consistently reflected in practice. The Casey Review (2023) identified significant concerns relating to misconduct, discrimination, </w:t>
      </w:r>
      <w:proofErr w:type="gramStart"/>
      <w:r w:rsidRPr="009733DF">
        <w:rPr>
          <w:rFonts w:ascii="Arial" w:hAnsi="Arial" w:cs="Arial"/>
          <w:color w:val="000000"/>
        </w:rPr>
        <w:t>leadership</w:t>
      </w:r>
      <w:proofErr w:type="gramEnd"/>
      <w:r w:rsidRPr="009733DF">
        <w:rPr>
          <w:rFonts w:ascii="Arial" w:hAnsi="Arial" w:cs="Arial"/>
          <w:color w:val="000000"/>
        </w:rPr>
        <w:t xml:space="preserve"> and organisational culture within the Metropolitan Police Service, concluding that the organisation was institutionally racist, misogynistic and homophobic. Importantly, the Review challenged explanations centred solely upon isolated individuals by identifying weaknesses in organisational systems responsible for detecting and addressing unacceptable behaviour (Casey, 2023). This supports an organisational interpretation of cultural problems, although Casey’s findings relate specifically to the Metropolitan Police and cannot establish the prevalence or characteristics of </w:t>
      </w:r>
      <w:r w:rsidRPr="009733DF">
        <w:rPr>
          <w:rFonts w:ascii="Arial" w:hAnsi="Arial" w:cs="Arial"/>
          <w:color w:val="000000"/>
        </w:rPr>
        <w:lastRenderedPageBreak/>
        <w:t>comparable issues across other forces. Such caution is consistent with Cockcroft’s (2006; 2013) emphasis upon variation between policing environments.</w:t>
      </w:r>
    </w:p>
    <w:p w14:paraId="2FFA579F"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This limitation is particularly relevant to the present study because evidence concerning the Metropolitan Police cannot automatically be generalised to the four Welsh police forces. However, the present research is concerned with</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public perceptions of police culture rather than establishing the objective characteristics of individual police organisations</w:t>
      </w:r>
      <w:r w:rsidRPr="009733DF">
        <w:rPr>
          <w:rFonts w:ascii="Arial" w:hAnsi="Arial" w:cs="Arial"/>
          <w:color w:val="000000"/>
        </w:rPr>
        <w:t>. This distinction is important because public evaluations of policing are not determined solely by assessments of crime-control effectiveness or direct operational outcomes; wider judgements concerning fairness, trustworthiness and legitimacy also contribute to how police institutions are evaluated (Tyler, 2006; Hough et al., 2010; Jackson et al., 2012). Highly publicised organisational failures may therefore form part of the broader context within which policing is judged, although the extent to which individuals generalise such incidents across forces cannot be assumed.</w:t>
      </w:r>
    </w:p>
    <w:p w14:paraId="58896AC0"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Police culture is consequently best conceptualised within this research as a multidimensional phenomenon encompassing occupational norms alongside organisational leadership, </w:t>
      </w:r>
      <w:proofErr w:type="gramStart"/>
      <w:r w:rsidRPr="009733DF">
        <w:rPr>
          <w:rFonts w:ascii="Arial" w:hAnsi="Arial" w:cs="Arial"/>
          <w:color w:val="000000"/>
        </w:rPr>
        <w:t>accountability</w:t>
      </w:r>
      <w:proofErr w:type="gramEnd"/>
      <w:r w:rsidRPr="009733DF">
        <w:rPr>
          <w:rFonts w:ascii="Arial" w:hAnsi="Arial" w:cs="Arial"/>
          <w:color w:val="000000"/>
        </w:rPr>
        <w:t xml:space="preserve"> and institutional responses to behaviour (Loftus, 2009; Reiner, 2010; Cockcroft, 2013; Casey, 2023). Existing evidence demonstrates continuity in traditional cultural characteristics while simultaneously revealing variation between policing contexts, meaning that neither a wholly uniform nor exclusively negative conception of police culture is adequately supported. For the present study, the central issue is how such culture is</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perceived externally</w:t>
      </w:r>
      <w:r w:rsidRPr="009733DF">
        <w:rPr>
          <w:rStyle w:val="apple-converted-space"/>
          <w:rFonts w:ascii="Arial" w:eastAsiaTheme="majorEastAsia" w:hAnsi="Arial" w:cs="Arial"/>
          <w:color w:val="000000"/>
        </w:rPr>
        <w:t> </w:t>
      </w:r>
      <w:r w:rsidRPr="009733DF">
        <w:rPr>
          <w:rFonts w:ascii="Arial" w:hAnsi="Arial" w:cs="Arial"/>
          <w:color w:val="000000"/>
        </w:rPr>
        <w:t xml:space="preserve">and whether those perceptions may affect women’s willingness to engage with policing. Understanding the potential mechanism through which this may occur requires consideration of police legitimacy, procedural justice, </w:t>
      </w:r>
      <w:proofErr w:type="gramStart"/>
      <w:r w:rsidRPr="009733DF">
        <w:rPr>
          <w:rFonts w:ascii="Arial" w:hAnsi="Arial" w:cs="Arial"/>
          <w:color w:val="000000"/>
        </w:rPr>
        <w:t>trust</w:t>
      </w:r>
      <w:proofErr w:type="gramEnd"/>
      <w:r w:rsidRPr="009733DF">
        <w:rPr>
          <w:rFonts w:ascii="Arial" w:hAnsi="Arial" w:cs="Arial"/>
          <w:color w:val="000000"/>
        </w:rPr>
        <w:t xml:space="preserve"> and public confidence.</w:t>
      </w:r>
    </w:p>
    <w:p w14:paraId="4B11D1B1"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 xml:space="preserve">2.3 Police Legitimacy, Procedural Justice, </w:t>
      </w:r>
      <w:proofErr w:type="gramStart"/>
      <w:r w:rsidRPr="009733DF">
        <w:rPr>
          <w:rFonts w:ascii="Arial" w:eastAsia="Times New Roman" w:hAnsi="Arial" w:cs="Arial"/>
          <w:b/>
          <w:bCs/>
          <w:color w:val="000000"/>
          <w:kern w:val="0"/>
          <w:u w:val="single"/>
          <w:lang w:eastAsia="en-GB"/>
          <w14:ligatures w14:val="none"/>
        </w:rPr>
        <w:t>Trust</w:t>
      </w:r>
      <w:proofErr w:type="gramEnd"/>
      <w:r w:rsidRPr="009733DF">
        <w:rPr>
          <w:rFonts w:ascii="Arial" w:eastAsia="Times New Roman" w:hAnsi="Arial" w:cs="Arial"/>
          <w:b/>
          <w:bCs/>
          <w:color w:val="000000"/>
          <w:kern w:val="0"/>
          <w:u w:val="single"/>
          <w:lang w:eastAsia="en-GB"/>
          <w14:ligatures w14:val="none"/>
        </w:rPr>
        <w:t xml:space="preserve"> and Public Confidence</w:t>
      </w:r>
    </w:p>
    <w:p w14:paraId="62B2AE10" w14:textId="38E99BA6"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Police legitimacy provides an important theoretical framework for understanding why perceptions of police culture may influence women’s willingness to engage with policing. Legitimacy broadly concerns whether members of the public recognise police authority as appropriate and deserving of support, rather than compliance being secured solely through coercion or fear of sanction (Tyler, 2006; Jackson et al, </w:t>
      </w:r>
      <w:r w:rsidRPr="009733DF">
        <w:rPr>
          <w:rFonts w:ascii="Arial" w:hAnsi="Arial" w:cs="Arial"/>
          <w:color w:val="000000"/>
        </w:rPr>
        <w:lastRenderedPageBreak/>
        <w:t xml:space="preserve">2012; Jackson and Bradford, 2013). Procedural Justice Theory develops this relationship by proposing that evaluations of legal authorities are shaped substantially by the fairness of the processes through which authority is exercised (Tyler, 2006). Within policing, procedurally just treatment is commonly associated with providing individuals with a voice, treating them with dignity and respect, demonstrating neutrality in decision-making and conveying trustworthy motives (Tyler, 2006; Mazerolle et al, 2013; McLean, 2024). Consequently, public evaluations of policing cannot be understood solely through crime-control effectiveness; the </w:t>
      </w:r>
      <w:proofErr w:type="gramStart"/>
      <w:r w:rsidRPr="009733DF">
        <w:rPr>
          <w:rFonts w:ascii="Arial" w:hAnsi="Arial" w:cs="Arial"/>
          <w:color w:val="000000"/>
        </w:rPr>
        <w:t>manner in which</w:t>
      </w:r>
      <w:proofErr w:type="gramEnd"/>
      <w:r w:rsidRPr="009733DF">
        <w:rPr>
          <w:rFonts w:ascii="Arial" w:hAnsi="Arial" w:cs="Arial"/>
          <w:color w:val="000000"/>
        </w:rPr>
        <w:t xml:space="preserve"> police authority is exercised is also important to perceptions of institutional legitimacy (Hough et al, 2010; Jackson et al, 2012).</w:t>
      </w:r>
    </w:p>
    <w:p w14:paraId="2DDB22EE"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Although closely related,</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trust, confidence and legitimacy should not be treated as interchangeable concepts</w:t>
      </w:r>
      <w:r w:rsidRPr="009733DF">
        <w:rPr>
          <w:rFonts w:ascii="Arial" w:hAnsi="Arial" w:cs="Arial"/>
          <w:color w:val="000000"/>
        </w:rPr>
        <w:t>. Trust concerns expectations regarding how police will behave, while confidence commonly reflects broader evaluations of police performance and competence; legitimacy concerns whether police authority is regarded as rightful and deserving of support (Jackson and Bradford, 2013). Maintaining these conceptual distinctions is important for the present study because a woman may, for example, recognise the legitimate authority of the police while simultaneously lacking confidence in how officers would respond to a report of VAWG. Treating these concepts as synonymous could therefore obscure the specific institutional perceptions that influence anticipated engagement with policing.</w:t>
      </w:r>
    </w:p>
    <w:p w14:paraId="6C4AB853" w14:textId="2FAE0CC5"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Empirical research broadly supports an association between procedural justice, </w:t>
      </w:r>
      <w:proofErr w:type="gramStart"/>
      <w:r w:rsidRPr="009733DF">
        <w:rPr>
          <w:rFonts w:ascii="Arial" w:hAnsi="Arial" w:cs="Arial"/>
          <w:color w:val="000000"/>
        </w:rPr>
        <w:t>trust</w:t>
      </w:r>
      <w:proofErr w:type="gramEnd"/>
      <w:r w:rsidRPr="009733DF">
        <w:rPr>
          <w:rFonts w:ascii="Arial" w:hAnsi="Arial" w:cs="Arial"/>
          <w:color w:val="000000"/>
        </w:rPr>
        <w:t xml:space="preserve"> and cooperation. Jackson et al</w:t>
      </w:r>
      <w:r>
        <w:rPr>
          <w:rFonts w:ascii="Arial" w:hAnsi="Arial" w:cs="Arial"/>
          <w:color w:val="000000"/>
        </w:rPr>
        <w:t xml:space="preserve"> </w:t>
      </w:r>
      <w:r w:rsidRPr="009733DF">
        <w:rPr>
          <w:rFonts w:ascii="Arial" w:hAnsi="Arial" w:cs="Arial"/>
          <w:color w:val="000000"/>
        </w:rPr>
        <w:t>(2012), drawing upon survey evidence, identified procedural fairness as important to institutional legitimacy, while Hough et al</w:t>
      </w:r>
      <w:r>
        <w:rPr>
          <w:rFonts w:ascii="Arial" w:hAnsi="Arial" w:cs="Arial"/>
          <w:color w:val="000000"/>
        </w:rPr>
        <w:t xml:space="preserve"> </w:t>
      </w:r>
      <w:r w:rsidRPr="009733DF">
        <w:rPr>
          <w:rFonts w:ascii="Arial" w:hAnsi="Arial" w:cs="Arial"/>
          <w:color w:val="000000"/>
        </w:rPr>
        <w:t xml:space="preserve">(2010) similarly demonstrate relationships between public trust, </w:t>
      </w:r>
      <w:proofErr w:type="gramStart"/>
      <w:r w:rsidRPr="009733DF">
        <w:rPr>
          <w:rFonts w:ascii="Arial" w:hAnsi="Arial" w:cs="Arial"/>
          <w:color w:val="000000"/>
        </w:rPr>
        <w:t>legitimacy</w:t>
      </w:r>
      <w:proofErr w:type="gramEnd"/>
      <w:r w:rsidRPr="009733DF">
        <w:rPr>
          <w:rFonts w:ascii="Arial" w:hAnsi="Arial" w:cs="Arial"/>
          <w:color w:val="000000"/>
        </w:rPr>
        <w:t xml:space="preserve"> and cooperation with criminal justice institutions. Experimental evidence also indicates that public confidence is not necessarily fixed. </w:t>
      </w:r>
      <w:proofErr w:type="spellStart"/>
      <w:r w:rsidRPr="009733DF">
        <w:rPr>
          <w:rFonts w:ascii="Arial" w:hAnsi="Arial" w:cs="Arial"/>
          <w:color w:val="000000"/>
        </w:rPr>
        <w:t>Hohl</w:t>
      </w:r>
      <w:proofErr w:type="spellEnd"/>
      <w:r w:rsidRPr="009733DF">
        <w:rPr>
          <w:rFonts w:ascii="Arial" w:hAnsi="Arial" w:cs="Arial"/>
          <w:color w:val="000000"/>
        </w:rPr>
        <w:t>, Bradford and Stanko (2010) found that police communication with communities improved measures of public confidence and perceptions of police-community engagement. Collectively, this evidence suggests that evaluations of policing may be shaped through both encounters with officers and broader assessments of whether the institution behaves fairly and demonstrates trustworthy intentions (</w:t>
      </w:r>
      <w:proofErr w:type="spellStart"/>
      <w:r w:rsidRPr="009733DF">
        <w:rPr>
          <w:rFonts w:ascii="Arial" w:hAnsi="Arial" w:cs="Arial"/>
          <w:color w:val="000000"/>
        </w:rPr>
        <w:t>Hohl</w:t>
      </w:r>
      <w:proofErr w:type="spellEnd"/>
      <w:r w:rsidRPr="009733DF">
        <w:rPr>
          <w:rFonts w:ascii="Arial" w:hAnsi="Arial" w:cs="Arial"/>
          <w:color w:val="000000"/>
        </w:rPr>
        <w:t xml:space="preserve">, Bradford and Stanko, 2010; Jackson et </w:t>
      </w:r>
      <w:r w:rsidRPr="009733DF">
        <w:rPr>
          <w:rFonts w:ascii="Arial" w:hAnsi="Arial" w:cs="Arial"/>
          <w:color w:val="000000"/>
        </w:rPr>
        <w:lastRenderedPageBreak/>
        <w:t>al, 2012). Perceptions of police culture may therefore provide one source from which women form wider judgements about institutional trustworthiness.</w:t>
      </w:r>
    </w:p>
    <w:p w14:paraId="4F68960C" w14:textId="22A05EAD"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However, the relationship between procedural justice and cooperation should not be interpreted as deterministic. Mazerolle et al</w:t>
      </w:r>
      <w:r>
        <w:rPr>
          <w:rFonts w:ascii="Arial" w:hAnsi="Arial" w:cs="Arial"/>
          <w:color w:val="000000"/>
        </w:rPr>
        <w:t xml:space="preserve"> </w:t>
      </w:r>
      <w:r w:rsidRPr="009733DF">
        <w:rPr>
          <w:rFonts w:ascii="Arial" w:hAnsi="Arial" w:cs="Arial"/>
          <w:color w:val="000000"/>
        </w:rPr>
        <w:t xml:space="preserve">’s (2013) systematic review found that procedurally just police interventions were associated with improvements in citizen satisfaction, confidence, </w:t>
      </w:r>
      <w:proofErr w:type="gramStart"/>
      <w:r w:rsidRPr="009733DF">
        <w:rPr>
          <w:rFonts w:ascii="Arial" w:hAnsi="Arial" w:cs="Arial"/>
          <w:color w:val="000000"/>
        </w:rPr>
        <w:t>compliance</w:t>
      </w:r>
      <w:proofErr w:type="gramEnd"/>
      <w:r w:rsidRPr="009733DF">
        <w:rPr>
          <w:rFonts w:ascii="Arial" w:hAnsi="Arial" w:cs="Arial"/>
          <w:color w:val="000000"/>
        </w:rPr>
        <w:t xml:space="preserve"> and cooperation, but also identified variation within the evidence base. More recently, McLean (2024) has questioned overly straightforward assumptions that procedural justice reliably produces legitimacy and compliance, highlighting conceptual and methodological limitations within the literature. These qualifications are important because an association between fair treatment and cooperation does not establish that procedural justice will outweigh other considerations when an individual decides whether to report victimisation.</w:t>
      </w:r>
    </w:p>
    <w:p w14:paraId="5EFB315D"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Crime-reporting research further demonstrates this complexity. Tarling and Morris (2010), analysing British Crime Survey data, found that reporting was influenced by offence seriousness and varied according to characteristics of the offence and victim-offender relationship. More recent analysis by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 xml:space="preserve">-Gil (2025) similarly challenges a straightforward relationship between institutional trust and reporting: trust in police effectiveness did not significantly predict whether violent victimisation was reported, whereas situational factors including injury and the presence of a weapon were significant. These findings are particularly important to the present research because they demonstrate that positive perceptions of policing cannot simply be assumed to produce reporting behaviour (Tarling and Morris, 2010;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 xml:space="preserve">-Gil, 2025). At the same time, evidence concerning violent crime generally may not fully capture the </w:t>
      </w:r>
      <w:proofErr w:type="gramStart"/>
      <w:r w:rsidRPr="009733DF">
        <w:rPr>
          <w:rFonts w:ascii="Arial" w:hAnsi="Arial" w:cs="Arial"/>
          <w:color w:val="000000"/>
        </w:rPr>
        <w:t>particular dynamics</w:t>
      </w:r>
      <w:proofErr w:type="gramEnd"/>
      <w:r w:rsidRPr="009733DF">
        <w:rPr>
          <w:rFonts w:ascii="Arial" w:hAnsi="Arial" w:cs="Arial"/>
          <w:color w:val="000000"/>
        </w:rPr>
        <w:t xml:space="preserve"> associated with VAWG, an issue examined later in this review.</w:t>
      </w:r>
    </w:p>
    <w:p w14:paraId="3FF6639D" w14:textId="7D5CD588"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Procedural justice and legitimacy therefore provide a</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plausible rather than predetermined mechanism</w:t>
      </w:r>
      <w:r w:rsidRPr="009733DF">
        <w:rPr>
          <w:rStyle w:val="apple-converted-space"/>
          <w:rFonts w:ascii="Arial" w:eastAsiaTheme="majorEastAsia" w:hAnsi="Arial" w:cs="Arial"/>
          <w:color w:val="000000"/>
        </w:rPr>
        <w:t> </w:t>
      </w:r>
      <w:r w:rsidRPr="009733DF">
        <w:rPr>
          <w:rFonts w:ascii="Arial" w:hAnsi="Arial" w:cs="Arial"/>
          <w:color w:val="000000"/>
        </w:rPr>
        <w:t xml:space="preserve">through which perceptions of police culture may influence reporting intentions. Where policing is perceived as unfair, </w:t>
      </w:r>
      <w:proofErr w:type="gramStart"/>
      <w:r w:rsidRPr="009733DF">
        <w:rPr>
          <w:rFonts w:ascii="Arial" w:hAnsi="Arial" w:cs="Arial"/>
          <w:color w:val="000000"/>
        </w:rPr>
        <w:t>untrustworthy</w:t>
      </w:r>
      <w:proofErr w:type="gramEnd"/>
      <w:r w:rsidRPr="009733DF">
        <w:rPr>
          <w:rFonts w:ascii="Arial" w:hAnsi="Arial" w:cs="Arial"/>
          <w:color w:val="000000"/>
        </w:rPr>
        <w:t xml:space="preserve"> or insufficiently accountable, willingness to seek police intervention may be weakened (Tyler, 2006; Jackson et al, 2012; McLean, 2024). However, existing evidence does not justify </w:t>
      </w:r>
      <w:proofErr w:type="gramStart"/>
      <w:r w:rsidRPr="009733DF">
        <w:rPr>
          <w:rFonts w:ascii="Arial" w:hAnsi="Arial" w:cs="Arial"/>
          <w:color w:val="000000"/>
        </w:rPr>
        <w:t>assuming that</w:t>
      </w:r>
      <w:proofErr w:type="gramEnd"/>
      <w:r w:rsidRPr="009733DF">
        <w:rPr>
          <w:rFonts w:ascii="Arial" w:hAnsi="Arial" w:cs="Arial"/>
          <w:color w:val="000000"/>
        </w:rPr>
        <w:t xml:space="preserve"> negative perceptions of police culture will necessarily prevent women from reporting VAWG, particularly given the multiple situational, </w:t>
      </w:r>
      <w:r w:rsidRPr="009733DF">
        <w:rPr>
          <w:rFonts w:ascii="Arial" w:hAnsi="Arial" w:cs="Arial"/>
          <w:color w:val="000000"/>
        </w:rPr>
        <w:lastRenderedPageBreak/>
        <w:t xml:space="preserve">interpersonal and institutional considerations involved (Tarling and Morris, 2010;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 xml:space="preserve">-Gil, 2025). The value of legitimacy theory to this dissertation therefore lies in providing a theoretical explanation to be empirically examined rather than a causal conclusion assumed in advance. This becomes particularly significant where perceptions concern misogyny, </w:t>
      </w:r>
      <w:proofErr w:type="gramStart"/>
      <w:r w:rsidRPr="009733DF">
        <w:rPr>
          <w:rFonts w:ascii="Arial" w:hAnsi="Arial" w:cs="Arial"/>
          <w:color w:val="000000"/>
        </w:rPr>
        <w:t>sexism</w:t>
      </w:r>
      <w:proofErr w:type="gramEnd"/>
      <w:r w:rsidRPr="009733DF">
        <w:rPr>
          <w:rFonts w:ascii="Arial" w:hAnsi="Arial" w:cs="Arial"/>
          <w:color w:val="000000"/>
        </w:rPr>
        <w:t xml:space="preserve"> and police responses to VAWG, which are considered in the following section.</w:t>
      </w:r>
    </w:p>
    <w:p w14:paraId="2CAEBFBA"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2.4 Police Culture, Misogyny and Violence Against Women and Girls</w:t>
      </w:r>
    </w:p>
    <w:p w14:paraId="1DDBF2FE"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The relationship between gender and police culture has been a longstanding concern within policing scholarship. Traditional accounts have characterised policing as a predominantly masculine occupational environment in which qualities associated with toughness, authority and action-oriented police work have historically acquired cultural value (Loftus, 2008; Silvestri, 2017). However, Silvestri (2017) cautions against treating a ‘cult of masculinity’ as a universal explanation for gender inequality within contemporary policing. This distinction is important because evidence of historically gendered occupational norms does not demonstrate that all officers hold misogynistic attitudes or that police culture is homogeneous. Rather, contemporary scholarship indicates both continuity and change, with traditional cultural characteristics persisting alongside considerable variation between policing environments (Brown, Fleming and Silvestri, 2021; </w:t>
      </w:r>
      <w:proofErr w:type="spellStart"/>
      <w:r w:rsidRPr="009733DF">
        <w:rPr>
          <w:rFonts w:ascii="Arial" w:hAnsi="Arial" w:cs="Arial"/>
          <w:color w:val="000000"/>
        </w:rPr>
        <w:t>Feilzer</w:t>
      </w:r>
      <w:proofErr w:type="spellEnd"/>
      <w:r w:rsidRPr="009733DF">
        <w:rPr>
          <w:rFonts w:ascii="Arial" w:hAnsi="Arial" w:cs="Arial"/>
          <w:color w:val="000000"/>
        </w:rPr>
        <w:t xml:space="preserve"> and Loftus, 2024).</w:t>
      </w:r>
    </w:p>
    <w:p w14:paraId="4454D8A1" w14:textId="6D78B592"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Evidence from women working within policing nevertheless demonstrates that gendered cultures can have tangible organisational consequences. Brown et al (2019), using survey data from 169 senior policewomen in England and Wales, found that negative characteristics of police occupational culture were associated with greater experiences of sexual harassment and sex discrimination. Similarly, Brown, Fleming and Silvestri (2021) identified traditional, </w:t>
      </w:r>
      <w:proofErr w:type="gramStart"/>
      <w:r w:rsidRPr="009733DF">
        <w:rPr>
          <w:rFonts w:ascii="Arial" w:hAnsi="Arial" w:cs="Arial"/>
          <w:color w:val="000000"/>
        </w:rPr>
        <w:t>transitional</w:t>
      </w:r>
      <w:proofErr w:type="gramEnd"/>
      <w:r w:rsidRPr="009733DF">
        <w:rPr>
          <w:rFonts w:ascii="Arial" w:hAnsi="Arial" w:cs="Arial"/>
          <w:color w:val="000000"/>
        </w:rPr>
        <w:t xml:space="preserve"> and changing cultural environments among policewomen, suggesting that organisational change has occurred without necessarily eliminating discriminatory experiences. More recently, </w:t>
      </w:r>
      <w:proofErr w:type="spellStart"/>
      <w:r w:rsidRPr="009733DF">
        <w:rPr>
          <w:rFonts w:ascii="Arial" w:hAnsi="Arial" w:cs="Arial"/>
          <w:color w:val="000000"/>
        </w:rPr>
        <w:t>Feilzer</w:t>
      </w:r>
      <w:proofErr w:type="spellEnd"/>
      <w:r w:rsidRPr="009733DF">
        <w:rPr>
          <w:rFonts w:ascii="Arial" w:hAnsi="Arial" w:cs="Arial"/>
          <w:color w:val="000000"/>
        </w:rPr>
        <w:t xml:space="preserve"> and Loftus (2024) question whether increased workforce diversity has eradicated problematic cultural characteristics or displaced some of them into specialist and less visible areas of policing. Increased representation of women should therefore not automatically be interpreted as evidence that gendered inequalities within police culture have disappeared (Charman, 2024).</w:t>
      </w:r>
    </w:p>
    <w:p w14:paraId="4C6142FC"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lastRenderedPageBreak/>
        <w:t xml:space="preserve">Misogyny may also have implications beyond the experiences of women employed within policing. Brown (2024) conceptualises police misogyny across individual, </w:t>
      </w:r>
      <w:proofErr w:type="gramStart"/>
      <w:r w:rsidRPr="009733DF">
        <w:rPr>
          <w:rFonts w:ascii="Arial" w:hAnsi="Arial" w:cs="Arial"/>
          <w:color w:val="000000"/>
        </w:rPr>
        <w:t>organisational</w:t>
      </w:r>
      <w:proofErr w:type="gramEnd"/>
      <w:r w:rsidRPr="009733DF">
        <w:rPr>
          <w:rFonts w:ascii="Arial" w:hAnsi="Arial" w:cs="Arial"/>
          <w:color w:val="000000"/>
        </w:rPr>
        <w:t xml:space="preserve"> and societal levels, highlighting its potential relevance both internally and to police responses to VAWG. This broader conceptualisation is significant because misogyny need not manifest solely through explicit individual hostility towards women; organisational processes may also influence whether inappropriate attitudes and behaviours are recognised, </w:t>
      </w:r>
      <w:proofErr w:type="gramStart"/>
      <w:r w:rsidRPr="009733DF">
        <w:rPr>
          <w:rFonts w:ascii="Arial" w:hAnsi="Arial" w:cs="Arial"/>
          <w:color w:val="000000"/>
        </w:rPr>
        <w:t>challenged</w:t>
      </w:r>
      <w:proofErr w:type="gramEnd"/>
      <w:r w:rsidRPr="009733DF">
        <w:rPr>
          <w:rFonts w:ascii="Arial" w:hAnsi="Arial" w:cs="Arial"/>
          <w:color w:val="000000"/>
        </w:rPr>
        <w:t xml:space="preserve"> or permitted to persist (Brown, 2024; </w:t>
      </w:r>
      <w:proofErr w:type="spellStart"/>
      <w:r w:rsidRPr="009733DF">
        <w:rPr>
          <w:rFonts w:ascii="Arial" w:hAnsi="Arial" w:cs="Arial"/>
          <w:color w:val="000000"/>
        </w:rPr>
        <w:t>Feilzer</w:t>
      </w:r>
      <w:proofErr w:type="spellEnd"/>
      <w:r w:rsidRPr="009733DF">
        <w:rPr>
          <w:rFonts w:ascii="Arial" w:hAnsi="Arial" w:cs="Arial"/>
          <w:color w:val="000000"/>
        </w:rPr>
        <w:t xml:space="preserve"> and Loftus, 2024). The College of Policing (2024c) similarly recognises that sexism and misogyny within policing may range from everyday behaviours to sexual harassment and physical assault, emphasising the need for systemic and organisational responses rather than reliance upon individual behavioural change alone.</w:t>
      </w:r>
    </w:p>
    <w:p w14:paraId="5E6CDF8A" w14:textId="167AF5D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High-profile cases have intensified scrutiny of these concerns. The murder of Sarah Everard by serving Metropolitan Police officer Wayne </w:t>
      </w:r>
      <w:proofErr w:type="spellStart"/>
      <w:r w:rsidRPr="009733DF">
        <w:rPr>
          <w:rFonts w:ascii="Arial" w:hAnsi="Arial" w:cs="Arial"/>
          <w:color w:val="000000"/>
        </w:rPr>
        <w:t>Couzens</w:t>
      </w:r>
      <w:proofErr w:type="spellEnd"/>
      <w:r w:rsidRPr="009733DF">
        <w:rPr>
          <w:rFonts w:ascii="Arial" w:hAnsi="Arial" w:cs="Arial"/>
          <w:color w:val="000000"/>
        </w:rPr>
        <w:t xml:space="preserve"> and the extensive sexual offending of former officer David Carrick raised serious questions regarding vetting, </w:t>
      </w:r>
      <w:proofErr w:type="gramStart"/>
      <w:r w:rsidRPr="009733DF">
        <w:rPr>
          <w:rFonts w:ascii="Arial" w:hAnsi="Arial" w:cs="Arial"/>
          <w:color w:val="000000"/>
        </w:rPr>
        <w:t>accountability</w:t>
      </w:r>
      <w:proofErr w:type="gramEnd"/>
      <w:r w:rsidRPr="009733DF">
        <w:rPr>
          <w:rFonts w:ascii="Arial" w:hAnsi="Arial" w:cs="Arial"/>
          <w:color w:val="000000"/>
        </w:rPr>
        <w:t xml:space="preserve"> and the ability of police organisations to identify predatory behaviour (Casey, 2023; </w:t>
      </w:r>
      <w:proofErr w:type="spellStart"/>
      <w:r w:rsidRPr="009733DF">
        <w:rPr>
          <w:rFonts w:ascii="Arial" w:hAnsi="Arial" w:cs="Arial"/>
          <w:color w:val="000000"/>
        </w:rPr>
        <w:t>Angiolini</w:t>
      </w:r>
      <w:proofErr w:type="spellEnd"/>
      <w:r w:rsidR="005904D8">
        <w:rPr>
          <w:rFonts w:ascii="Arial" w:hAnsi="Arial" w:cs="Arial"/>
          <w:color w:val="000000"/>
        </w:rPr>
        <w:t xml:space="preserve"> </w:t>
      </w:r>
      <w:r w:rsidR="005904D8" w:rsidRPr="009733DF">
        <w:rPr>
          <w:rFonts w:ascii="Arial" w:hAnsi="Arial" w:cs="Arial"/>
          <w:color w:val="000000"/>
        </w:rPr>
        <w:t>Inquiry</w:t>
      </w:r>
      <w:r w:rsidRPr="009733DF">
        <w:rPr>
          <w:rFonts w:ascii="Arial" w:hAnsi="Arial" w:cs="Arial"/>
          <w:color w:val="000000"/>
        </w:rPr>
        <w:t xml:space="preserve">, 2024). The </w:t>
      </w:r>
      <w:proofErr w:type="spellStart"/>
      <w:r w:rsidRPr="009733DF">
        <w:rPr>
          <w:rFonts w:ascii="Arial" w:hAnsi="Arial" w:cs="Arial"/>
          <w:color w:val="000000"/>
        </w:rPr>
        <w:t>Angiolini</w:t>
      </w:r>
      <w:proofErr w:type="spellEnd"/>
      <w:r w:rsidRPr="009733DF">
        <w:rPr>
          <w:rFonts w:ascii="Arial" w:hAnsi="Arial" w:cs="Arial"/>
          <w:color w:val="000000"/>
        </w:rPr>
        <w:t xml:space="preserve"> Inquiry (2024) identified missed opportunities and failures throughout </w:t>
      </w:r>
      <w:proofErr w:type="spellStart"/>
      <w:r w:rsidRPr="009733DF">
        <w:rPr>
          <w:rFonts w:ascii="Arial" w:hAnsi="Arial" w:cs="Arial"/>
          <w:color w:val="000000"/>
        </w:rPr>
        <w:t>Couzens</w:t>
      </w:r>
      <w:proofErr w:type="spellEnd"/>
      <w:r w:rsidRPr="009733DF">
        <w:rPr>
          <w:rFonts w:ascii="Arial" w:hAnsi="Arial" w:cs="Arial"/>
          <w:color w:val="000000"/>
        </w:rPr>
        <w:t xml:space="preserve">’ policing career, while the Casey Review (2023) located misogyny within wider institutional problems affecting the Metropolitan Police Service. However, these exceptionally serious cases cannot legitimately be treated as representative of police officers generally. Similarly, findings concerning the Metropolitan Police cannot establish the prevalence of comparable cultural problems across all police forces. Their wider significance instead lies in exposing organisational vulnerabilities through which inappropriate or predatory behaviour may remain undetected or insufficiently challenged (Casey, 2023; </w:t>
      </w:r>
      <w:proofErr w:type="spellStart"/>
      <w:r w:rsidRPr="009733DF">
        <w:rPr>
          <w:rFonts w:ascii="Arial" w:hAnsi="Arial" w:cs="Arial"/>
          <w:color w:val="000000"/>
        </w:rPr>
        <w:t>Angiolini</w:t>
      </w:r>
      <w:proofErr w:type="spellEnd"/>
      <w:r w:rsidR="005904D8">
        <w:rPr>
          <w:rFonts w:ascii="Arial" w:hAnsi="Arial" w:cs="Arial"/>
          <w:color w:val="000000"/>
        </w:rPr>
        <w:t xml:space="preserve"> </w:t>
      </w:r>
      <w:r w:rsidR="005904D8" w:rsidRPr="009733DF">
        <w:rPr>
          <w:rFonts w:ascii="Arial" w:hAnsi="Arial" w:cs="Arial"/>
          <w:color w:val="000000"/>
        </w:rPr>
        <w:t>Inquiry</w:t>
      </w:r>
      <w:r w:rsidRPr="009733DF">
        <w:rPr>
          <w:rFonts w:ascii="Arial" w:hAnsi="Arial" w:cs="Arial"/>
          <w:color w:val="000000"/>
        </w:rPr>
        <w:t>, 2024).</w:t>
      </w:r>
    </w:p>
    <w:p w14:paraId="70F57199" w14:textId="4ADA82EC"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Crucially, the potential consequences of such cultural concerns extend to public engagement with policing. The </w:t>
      </w:r>
      <w:proofErr w:type="spellStart"/>
      <w:r w:rsidRPr="009733DF">
        <w:rPr>
          <w:rFonts w:ascii="Arial" w:hAnsi="Arial" w:cs="Arial"/>
          <w:color w:val="000000"/>
        </w:rPr>
        <w:t>Angiolini</w:t>
      </w:r>
      <w:proofErr w:type="spellEnd"/>
      <w:r w:rsidRPr="009733DF">
        <w:rPr>
          <w:rFonts w:ascii="Arial" w:hAnsi="Arial" w:cs="Arial"/>
          <w:color w:val="000000"/>
        </w:rPr>
        <w:t xml:space="preserve"> Inquiry’s terms of reference specifically include consideration of whether aspects of police culture create barriers to reporting sexual crimes and how culture may affect police responses to reports made by women (</w:t>
      </w:r>
      <w:proofErr w:type="spellStart"/>
      <w:r w:rsidRPr="009733DF">
        <w:rPr>
          <w:rFonts w:ascii="Arial" w:hAnsi="Arial" w:cs="Arial"/>
          <w:color w:val="000000"/>
        </w:rPr>
        <w:t>Angiolini</w:t>
      </w:r>
      <w:proofErr w:type="spellEnd"/>
      <w:r w:rsidRPr="009733DF">
        <w:rPr>
          <w:rFonts w:ascii="Arial" w:hAnsi="Arial" w:cs="Arial"/>
          <w:color w:val="000000"/>
        </w:rPr>
        <w:t xml:space="preserve"> Inquiry, 2023). This provides authoritative recognition of a possible relationship between internal police culture and women’s reporting but does not </w:t>
      </w:r>
      <w:r w:rsidRPr="009733DF">
        <w:rPr>
          <w:rFonts w:ascii="Arial" w:hAnsi="Arial" w:cs="Arial"/>
          <w:color w:val="000000"/>
        </w:rPr>
        <w:lastRenderedPageBreak/>
        <w:t>establish the strength or direction of that relationship. Furthermore, research examining the experiences of policewomen provides important evidence concerning internal organisational culture but cannot automatically explain how women outside policing perceive that culture or whether those perceptions influence their behaviour (Brown et al, 2019; Brown, Fleming and Silvestri, 2021).</w:t>
      </w:r>
    </w:p>
    <w:p w14:paraId="418FACA2" w14:textId="6E6D04C9"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The literature therefore presents a more complex picture than a straightforward characterisation of </w:t>
      </w:r>
      <w:r>
        <w:rPr>
          <w:rFonts w:ascii="Arial" w:hAnsi="Arial" w:cs="Arial"/>
          <w:color w:val="000000"/>
        </w:rPr>
        <w:t>policing</w:t>
      </w:r>
      <w:r w:rsidRPr="009733DF">
        <w:rPr>
          <w:rFonts w:ascii="Arial" w:hAnsi="Arial" w:cs="Arial"/>
          <w:color w:val="000000"/>
        </w:rPr>
        <w:t xml:space="preserve"> as either misogynistic or culturally transformed. Evidence indicates that gendered and discriminatory characteristics persist within parts of policing, while simultaneously demonstrating organisational variation and evidence of cultural change (Brown, Fleming and Silvestri, 2021; </w:t>
      </w:r>
      <w:proofErr w:type="spellStart"/>
      <w:r w:rsidRPr="009733DF">
        <w:rPr>
          <w:rFonts w:ascii="Arial" w:hAnsi="Arial" w:cs="Arial"/>
          <w:color w:val="000000"/>
        </w:rPr>
        <w:t>Feilzer</w:t>
      </w:r>
      <w:proofErr w:type="spellEnd"/>
      <w:r w:rsidRPr="009733DF">
        <w:rPr>
          <w:rFonts w:ascii="Arial" w:hAnsi="Arial" w:cs="Arial"/>
          <w:color w:val="000000"/>
        </w:rPr>
        <w:t xml:space="preserve"> and Loftus, 2024). For the present research, the central issue is consequently not whether policing can be universally characterised as misogynistic, but whether</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women’s perceptions of contemporary police culture influence their confidence and intentions to report VAWG</w:t>
      </w:r>
      <w:r w:rsidRPr="009733DF">
        <w:rPr>
          <w:rFonts w:ascii="Arial" w:hAnsi="Arial" w:cs="Arial"/>
          <w:color w:val="000000"/>
        </w:rPr>
        <w:t xml:space="preserve">. Such perceptions may also depend upon expectations regarding which victims are considered credible, </w:t>
      </w:r>
      <w:proofErr w:type="gramStart"/>
      <w:r w:rsidRPr="009733DF">
        <w:rPr>
          <w:rFonts w:ascii="Arial" w:hAnsi="Arial" w:cs="Arial"/>
          <w:color w:val="000000"/>
        </w:rPr>
        <w:t>blameless</w:t>
      </w:r>
      <w:proofErr w:type="gramEnd"/>
      <w:r w:rsidRPr="009733DF">
        <w:rPr>
          <w:rFonts w:ascii="Arial" w:hAnsi="Arial" w:cs="Arial"/>
          <w:color w:val="000000"/>
        </w:rPr>
        <w:t xml:space="preserve"> and deserving of institutional protection. This requires consideration of Ideal Victim Theory, victim-blaming, rape myths and intersectionality.</w:t>
      </w:r>
    </w:p>
    <w:p w14:paraId="5EB7FB5A"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 xml:space="preserve">2.5 The ‘Ideal Victim’: Victim-Blaming, Rape </w:t>
      </w:r>
      <w:proofErr w:type="gramStart"/>
      <w:r w:rsidRPr="009733DF">
        <w:rPr>
          <w:rFonts w:ascii="Arial" w:eastAsia="Times New Roman" w:hAnsi="Arial" w:cs="Arial"/>
          <w:b/>
          <w:bCs/>
          <w:color w:val="000000"/>
          <w:kern w:val="0"/>
          <w:u w:val="single"/>
          <w:lang w:eastAsia="en-GB"/>
          <w14:ligatures w14:val="none"/>
        </w:rPr>
        <w:t>Myths</w:t>
      </w:r>
      <w:proofErr w:type="gramEnd"/>
      <w:r w:rsidRPr="009733DF">
        <w:rPr>
          <w:rFonts w:ascii="Arial" w:eastAsia="Times New Roman" w:hAnsi="Arial" w:cs="Arial"/>
          <w:b/>
          <w:bCs/>
          <w:color w:val="000000"/>
          <w:kern w:val="0"/>
          <w:u w:val="single"/>
          <w:lang w:eastAsia="en-GB"/>
          <w14:ligatures w14:val="none"/>
        </w:rPr>
        <w:t xml:space="preserve"> and Intersectionality</w:t>
      </w:r>
    </w:p>
    <w:p w14:paraId="6052FC58"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Christie’s (1986) concept of the ‘ideal victim’ provides an important theoretical framework for understanding how legitimacy and credibility may be unevenly attributed to victims. Christie (1986) argued that individuals are more readily granted legitimate victim status where they are perceived as weak, blameless for their victimisation, engaged in respectable </w:t>
      </w:r>
      <w:proofErr w:type="gramStart"/>
      <w:r w:rsidRPr="009733DF">
        <w:rPr>
          <w:rFonts w:ascii="Arial" w:hAnsi="Arial" w:cs="Arial"/>
          <w:color w:val="000000"/>
        </w:rPr>
        <w:t>activity</w:t>
      </w:r>
      <w:proofErr w:type="gramEnd"/>
      <w:r w:rsidRPr="009733DF">
        <w:rPr>
          <w:rFonts w:ascii="Arial" w:hAnsi="Arial" w:cs="Arial"/>
          <w:color w:val="000000"/>
        </w:rPr>
        <w:t xml:space="preserve"> and harmed by an identifiable and comparatively powerful offender. Victimhood is therefore not determined solely by the experience of harm but may also be shaped by socially constructed judgements concerning credibility, </w:t>
      </w:r>
      <w:proofErr w:type="gramStart"/>
      <w:r w:rsidRPr="009733DF">
        <w:rPr>
          <w:rFonts w:ascii="Arial" w:hAnsi="Arial" w:cs="Arial"/>
          <w:color w:val="000000"/>
        </w:rPr>
        <w:t>responsibility</w:t>
      </w:r>
      <w:proofErr w:type="gramEnd"/>
      <w:r w:rsidRPr="009733DF">
        <w:rPr>
          <w:rFonts w:ascii="Arial" w:hAnsi="Arial" w:cs="Arial"/>
          <w:color w:val="000000"/>
        </w:rPr>
        <w:t xml:space="preserve"> and deservingness (Christie, 1986; Duggan, 2018). The ‘ideal victim’ should not, however, be interpreted as representative of most experiences of victimisation. Its analytical value lies in demonstrating how individuals whose circumstances depart from socially recognised expectations may experience greater difficulty acquiring unequivocal victim status (Duggan, 2018; Long, 2021).</w:t>
      </w:r>
    </w:p>
    <w:p w14:paraId="0B2C33A5"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lastRenderedPageBreak/>
        <w:t>This framework is particularly relevant to sexual violence, where rape myths can construct narrow expectations concerning what constitutes a credible victim, a ‘real’ rape and appropriate behaviour before and following an assault (</w:t>
      </w:r>
      <w:proofErr w:type="spellStart"/>
      <w:r w:rsidRPr="009733DF">
        <w:rPr>
          <w:rFonts w:ascii="Arial" w:hAnsi="Arial" w:cs="Arial"/>
          <w:color w:val="000000"/>
        </w:rPr>
        <w:t>Sleath</w:t>
      </w:r>
      <w:proofErr w:type="spellEnd"/>
      <w:r w:rsidRPr="009733DF">
        <w:rPr>
          <w:rFonts w:ascii="Arial" w:hAnsi="Arial" w:cs="Arial"/>
          <w:color w:val="000000"/>
        </w:rPr>
        <w:t xml:space="preserve"> and Bull, 2015; </w:t>
      </w:r>
      <w:proofErr w:type="spellStart"/>
      <w:r w:rsidRPr="009733DF">
        <w:rPr>
          <w:rFonts w:ascii="Arial" w:hAnsi="Arial" w:cs="Arial"/>
          <w:color w:val="000000"/>
        </w:rPr>
        <w:t>Gravelin</w:t>
      </w:r>
      <w:proofErr w:type="spellEnd"/>
      <w:r w:rsidRPr="009733DF">
        <w:rPr>
          <w:rFonts w:ascii="Arial" w:hAnsi="Arial" w:cs="Arial"/>
          <w:color w:val="000000"/>
        </w:rPr>
        <w:t xml:space="preserve">, </w:t>
      </w:r>
      <w:proofErr w:type="spellStart"/>
      <w:r w:rsidRPr="009733DF">
        <w:rPr>
          <w:rFonts w:ascii="Arial" w:hAnsi="Arial" w:cs="Arial"/>
          <w:color w:val="000000"/>
        </w:rPr>
        <w:t>Biernat</w:t>
      </w:r>
      <w:proofErr w:type="spellEnd"/>
      <w:r w:rsidRPr="009733DF">
        <w:rPr>
          <w:rFonts w:ascii="Arial" w:hAnsi="Arial" w:cs="Arial"/>
          <w:color w:val="000000"/>
        </w:rPr>
        <w:t xml:space="preserve"> and Bucher, 2019). Assessments of victim responsibility and credibility may be influenced by factors including alcohol consumption, the victim’s relationship with the perpetrator and perceived conformity to gendered behavioural expectations (</w:t>
      </w:r>
      <w:proofErr w:type="spellStart"/>
      <w:r w:rsidRPr="009733DF">
        <w:rPr>
          <w:rFonts w:ascii="Arial" w:hAnsi="Arial" w:cs="Arial"/>
          <w:color w:val="000000"/>
        </w:rPr>
        <w:t>Sleath</w:t>
      </w:r>
      <w:proofErr w:type="spellEnd"/>
      <w:r w:rsidRPr="009733DF">
        <w:rPr>
          <w:rFonts w:ascii="Arial" w:hAnsi="Arial" w:cs="Arial"/>
          <w:color w:val="000000"/>
        </w:rPr>
        <w:t xml:space="preserve"> and Bull, 2015; </w:t>
      </w:r>
      <w:proofErr w:type="spellStart"/>
      <w:r w:rsidRPr="009733DF">
        <w:rPr>
          <w:rFonts w:ascii="Arial" w:hAnsi="Arial" w:cs="Arial"/>
          <w:color w:val="000000"/>
        </w:rPr>
        <w:t>Gravelin</w:t>
      </w:r>
      <w:proofErr w:type="spellEnd"/>
      <w:r w:rsidRPr="009733DF">
        <w:rPr>
          <w:rFonts w:ascii="Arial" w:hAnsi="Arial" w:cs="Arial"/>
          <w:color w:val="000000"/>
        </w:rPr>
        <w:t xml:space="preserve">, </w:t>
      </w:r>
      <w:proofErr w:type="spellStart"/>
      <w:r w:rsidRPr="009733DF">
        <w:rPr>
          <w:rFonts w:ascii="Arial" w:hAnsi="Arial" w:cs="Arial"/>
          <w:color w:val="000000"/>
        </w:rPr>
        <w:t>Biernat</w:t>
      </w:r>
      <w:proofErr w:type="spellEnd"/>
      <w:r w:rsidRPr="009733DF">
        <w:rPr>
          <w:rFonts w:ascii="Arial" w:hAnsi="Arial" w:cs="Arial"/>
          <w:color w:val="000000"/>
        </w:rPr>
        <w:t xml:space="preserve"> and Bucher, 2019). Importantly, such beliefs may influence not only external assessments of victims but also how victims interpret their own experiences. Egan and Wilson (2012) found higher rape myth acceptance among rape victims who had not reported their victimisation than among those who had reported, although the relatively small sample limits the generalisability of the findings. Consequently, rape myths may influence reporting decisions by shaping both women’s interpretations of their experiences and their expectations of how they will be perceived and treated by criminal justice institutions (Egan and Wilson, 2012).</w:t>
      </w:r>
    </w:p>
    <w:p w14:paraId="57CB51F0"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Evidence that similar assumptions may influence police decision-making further increases their relevance. </w:t>
      </w:r>
      <w:proofErr w:type="spellStart"/>
      <w:r w:rsidRPr="009733DF">
        <w:rPr>
          <w:rFonts w:ascii="Arial" w:hAnsi="Arial" w:cs="Arial"/>
          <w:color w:val="000000"/>
        </w:rPr>
        <w:t>Venema</w:t>
      </w:r>
      <w:proofErr w:type="spellEnd"/>
      <w:r w:rsidRPr="009733DF">
        <w:rPr>
          <w:rFonts w:ascii="Arial" w:hAnsi="Arial" w:cs="Arial"/>
          <w:color w:val="000000"/>
        </w:rPr>
        <w:t xml:space="preserve"> (2016) found that rape myth acceptance predicted aspects of police officers’ assessments and intended responses to sexual assault cases, while victim alcohol consumption was associated with a less vigorous intended response. Similarly, </w:t>
      </w:r>
      <w:proofErr w:type="spellStart"/>
      <w:r w:rsidRPr="009733DF">
        <w:rPr>
          <w:rFonts w:ascii="Arial" w:hAnsi="Arial" w:cs="Arial"/>
          <w:color w:val="000000"/>
        </w:rPr>
        <w:t>Sleath</w:t>
      </w:r>
      <w:proofErr w:type="spellEnd"/>
      <w:r w:rsidRPr="009733DF">
        <w:rPr>
          <w:rFonts w:ascii="Arial" w:hAnsi="Arial" w:cs="Arial"/>
          <w:color w:val="000000"/>
        </w:rPr>
        <w:t xml:space="preserve"> and Bull’s (2017) systematic review identified evidence that police perceptions of rape victims may influence case decision-making. Nevertheless, caution is required when interpreting this literature. Research based upon hypothetical scenarios and self-reported attitudes cannot fully replicate the complexity of real investigations or demonstrate that expressed attitudes consistently translate into operational behaviour (</w:t>
      </w:r>
      <w:proofErr w:type="spellStart"/>
      <w:r w:rsidRPr="009733DF">
        <w:rPr>
          <w:rFonts w:ascii="Arial" w:hAnsi="Arial" w:cs="Arial"/>
          <w:color w:val="000000"/>
        </w:rPr>
        <w:t>Venema</w:t>
      </w:r>
      <w:proofErr w:type="spellEnd"/>
      <w:r w:rsidRPr="009733DF">
        <w:rPr>
          <w:rFonts w:ascii="Arial" w:hAnsi="Arial" w:cs="Arial"/>
          <w:color w:val="000000"/>
        </w:rPr>
        <w:t>, 2016). Such evidence therefore identifies a potential mechanism through which stereotypes may affect institutional responses rather than establishing a uniform relationship between rape myths and police practice.</w:t>
      </w:r>
    </w:p>
    <w:p w14:paraId="0E09E875"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The continuing visibility of victim-blaming narratives was illustrated during a 2018 rape trial in Cork, Ireland. In closing submissions, defence counsel invited the jury to consider the 17-year-old complainant’s clothing, including her lace-front underwear, when considering whether she may have been open to a sexual encounter; the </w:t>
      </w:r>
      <w:r w:rsidRPr="009733DF">
        <w:rPr>
          <w:rFonts w:ascii="Arial" w:hAnsi="Arial" w:cs="Arial"/>
          <w:color w:val="000000"/>
        </w:rPr>
        <w:lastRenderedPageBreak/>
        <w:t xml:space="preserve">defendant was subsequently acquitted (The Irish Times, 2018a). The comments generated widespread criticism and public </w:t>
      </w:r>
      <w:proofErr w:type="gramStart"/>
      <w:r w:rsidRPr="009733DF">
        <w:rPr>
          <w:rFonts w:ascii="Arial" w:hAnsi="Arial" w:cs="Arial"/>
          <w:color w:val="000000"/>
        </w:rPr>
        <w:t>protests against</w:t>
      </w:r>
      <w:proofErr w:type="gramEnd"/>
      <w:r w:rsidRPr="009733DF">
        <w:rPr>
          <w:rFonts w:ascii="Arial" w:hAnsi="Arial" w:cs="Arial"/>
          <w:color w:val="000000"/>
        </w:rPr>
        <w:t xml:space="preserve"> victim-blaming and the use of women’s clothing to imply sexual consent (The Irish Times, 2018b). The case cannot demonstrate that the reference to the complainant’s underwear determined the jury’s verdict and should not be treated as empirical evidence of causation. Its relevance instead lies in illustrating how assumptions concerning women’s dress, sexuality and credibility can enter legal and public discourse surrounding sexual violence, reflecting wider concerns raised by Ideal Victim Theory about expectations of respectable and blameless victimhood (Christie, 1986; Duggan, 2018).</w:t>
      </w:r>
    </w:p>
    <w:p w14:paraId="3B639076"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However, gender alone is insufficient for understanding how ideal victimhood may operate. Crenshaw’s (1989; 1991) concept of intersectionality demonstrates that women’s experiences cannot always be adequately understood by examining gender independently from race and other structures of inequality. Applying a Critical Race Theory perspective to victimisation and police reporting, </w:t>
      </w:r>
      <w:proofErr w:type="gramStart"/>
      <w:r w:rsidRPr="009733DF">
        <w:rPr>
          <w:rFonts w:ascii="Arial" w:hAnsi="Arial" w:cs="Arial"/>
          <w:color w:val="000000"/>
        </w:rPr>
        <w:t>Long</w:t>
      </w:r>
      <w:proofErr w:type="gramEnd"/>
      <w:r w:rsidRPr="009733DF">
        <w:rPr>
          <w:rFonts w:ascii="Arial" w:hAnsi="Arial" w:cs="Arial"/>
          <w:color w:val="000000"/>
        </w:rPr>
        <w:t xml:space="preserve"> (2021) found that Black and Black mixed-race participants’ experiences of recognition as victims were mediated through intersections between race, gender, class and migration status. This challenges assumptions that characteristics associated with the ‘ideal victim’ are interpreted consistently across social groups and highlights how racialised and gendered assumptions may operate simultaneously (Long, 2021). Taylor’s (2022) analysis of 1,558 reported intimate-partner sexual-assault cases provides a further challenge to an uncritical application of Christie’s framework. Characteristics associated with ideal victimhood were related to case </w:t>
      </w:r>
      <w:proofErr w:type="gramStart"/>
      <w:r w:rsidRPr="009733DF">
        <w:rPr>
          <w:rFonts w:ascii="Arial" w:hAnsi="Arial" w:cs="Arial"/>
          <w:color w:val="000000"/>
        </w:rPr>
        <w:t>outcomes, but</w:t>
      </w:r>
      <w:proofErr w:type="gramEnd"/>
      <w:r w:rsidRPr="009733DF">
        <w:rPr>
          <w:rFonts w:ascii="Arial" w:hAnsi="Arial" w:cs="Arial"/>
          <w:color w:val="000000"/>
        </w:rPr>
        <w:t xml:space="preserve"> did not consistently operate in the direction predicted by the original theory, while race was also influential (Taylor, 2022). Ideal Victim Theory therefore retains analytical value but cannot independently account for the complexity and diversity of contemporary victimisation.</w:t>
      </w:r>
    </w:p>
    <w:p w14:paraId="65F3BB9B" w14:textId="4AE8B783"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For the present research, Ideal Victim Theory provides a useful but incomplete framework for understanding women’s anticipated engagement with policing. It demonstrates how perceptions of blame, credibility and deservingness may shape expectations of institutional responses, while rape myth and intersectional scholarship indicates that these processes may operate differently according to individual circumstances and social position (Christie, 1986; Crenshaw, 1991; Long, </w:t>
      </w:r>
      <w:r w:rsidRPr="009733DF">
        <w:rPr>
          <w:rFonts w:ascii="Arial" w:hAnsi="Arial" w:cs="Arial"/>
          <w:color w:val="000000"/>
        </w:rPr>
        <w:lastRenderedPageBreak/>
        <w:t>2021; Taylor, 2022). Women’s intentions to report VAWG may therefore be influenced partly by whether they anticipate being recognised as credible victims and treated accordingly by police. However, such expectations need not arise solely through personal encounters with criminal justice institutions. Public representations of victims and institutional responses may also contribute to perceptions of whose victimisation receives recognition and attention. The following section therefore considers media representation and high-profile cases as potential influences upon perceptions of victims and policing.</w:t>
      </w:r>
    </w:p>
    <w:p w14:paraId="4ED1CE2C"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2.6 Media Representation, High-Profile Cases and Perceptions of Policing</w:t>
      </w:r>
    </w:p>
    <w:p w14:paraId="36B2C215"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Media representation provides an important context through which public understandings of crime, victimhood and policing may be constructed, particularly where individuals have limited direct experience of criminal justice institutions. Research examining media consumption and attitudes towards policing suggests that exposure to media representations can be associated with perceptions of police misconduct, </w:t>
      </w:r>
      <w:proofErr w:type="gramStart"/>
      <w:r w:rsidRPr="009733DF">
        <w:rPr>
          <w:rFonts w:ascii="Arial" w:hAnsi="Arial" w:cs="Arial"/>
          <w:color w:val="000000"/>
        </w:rPr>
        <w:t>discrimination</w:t>
      </w:r>
      <w:proofErr w:type="gramEnd"/>
      <w:r w:rsidRPr="009733DF">
        <w:rPr>
          <w:rFonts w:ascii="Arial" w:hAnsi="Arial" w:cs="Arial"/>
          <w:color w:val="000000"/>
        </w:rPr>
        <w:t xml:space="preserve"> and legitimacy (Dowler and </w:t>
      </w:r>
      <w:proofErr w:type="spellStart"/>
      <w:r w:rsidRPr="009733DF">
        <w:rPr>
          <w:rFonts w:ascii="Arial" w:hAnsi="Arial" w:cs="Arial"/>
          <w:color w:val="000000"/>
        </w:rPr>
        <w:t>Zawilski</w:t>
      </w:r>
      <w:proofErr w:type="spellEnd"/>
      <w:r w:rsidRPr="009733DF">
        <w:rPr>
          <w:rFonts w:ascii="Arial" w:hAnsi="Arial" w:cs="Arial"/>
          <w:color w:val="000000"/>
        </w:rPr>
        <w:t xml:space="preserve">, 2007; </w:t>
      </w:r>
      <w:proofErr w:type="spellStart"/>
      <w:r w:rsidRPr="009733DF">
        <w:rPr>
          <w:rFonts w:ascii="Arial" w:hAnsi="Arial" w:cs="Arial"/>
          <w:color w:val="000000"/>
        </w:rPr>
        <w:t>Intravia</w:t>
      </w:r>
      <w:proofErr w:type="spellEnd"/>
      <w:r w:rsidRPr="009733DF">
        <w:rPr>
          <w:rFonts w:ascii="Arial" w:hAnsi="Arial" w:cs="Arial"/>
          <w:color w:val="000000"/>
        </w:rPr>
        <w:t xml:space="preserve">, Wolff and Piquero, 2018). Dowler and </w:t>
      </w:r>
      <w:proofErr w:type="spellStart"/>
      <w:r w:rsidRPr="009733DF">
        <w:rPr>
          <w:rFonts w:ascii="Arial" w:hAnsi="Arial" w:cs="Arial"/>
          <w:color w:val="000000"/>
        </w:rPr>
        <w:t>Zawilski</w:t>
      </w:r>
      <w:proofErr w:type="spellEnd"/>
      <w:r w:rsidRPr="009733DF">
        <w:rPr>
          <w:rFonts w:ascii="Arial" w:hAnsi="Arial" w:cs="Arial"/>
          <w:color w:val="000000"/>
        </w:rPr>
        <w:t xml:space="preserve"> (2007), for example, found that frequent television news consumption was associated with greater perceptions of police misconduct, with particularly pronounced relationships among minority respondents. Similarly, </w:t>
      </w:r>
      <w:proofErr w:type="spellStart"/>
      <w:r w:rsidRPr="009733DF">
        <w:rPr>
          <w:rFonts w:ascii="Arial" w:hAnsi="Arial" w:cs="Arial"/>
          <w:color w:val="000000"/>
        </w:rPr>
        <w:t>Intravia</w:t>
      </w:r>
      <w:proofErr w:type="spellEnd"/>
      <w:r w:rsidRPr="009733DF">
        <w:rPr>
          <w:rFonts w:ascii="Arial" w:hAnsi="Arial" w:cs="Arial"/>
          <w:color w:val="000000"/>
        </w:rPr>
        <w:t xml:space="preserve">, Wolff and Piquero (2018) identified associations between forms of media consumption and perceptions of police legitimacy. However, these relationships should not be interpreted as straightforward evidence that media coverage causes </w:t>
      </w:r>
      <w:proofErr w:type="gramStart"/>
      <w:r w:rsidRPr="009733DF">
        <w:rPr>
          <w:rFonts w:ascii="Arial" w:hAnsi="Arial" w:cs="Arial"/>
          <w:color w:val="000000"/>
        </w:rPr>
        <w:t>particular attitudes</w:t>
      </w:r>
      <w:proofErr w:type="gramEnd"/>
      <w:r w:rsidRPr="009733DF">
        <w:rPr>
          <w:rFonts w:ascii="Arial" w:hAnsi="Arial" w:cs="Arial"/>
          <w:color w:val="000000"/>
        </w:rPr>
        <w:t xml:space="preserve">. Individuals may selectively consume information consistent with pre-existing views, while interpretations of media content can differ between audiences (Dowler and </w:t>
      </w:r>
      <w:proofErr w:type="spellStart"/>
      <w:r w:rsidRPr="009733DF">
        <w:rPr>
          <w:rFonts w:ascii="Arial" w:hAnsi="Arial" w:cs="Arial"/>
          <w:color w:val="000000"/>
        </w:rPr>
        <w:t>Zawilski</w:t>
      </w:r>
      <w:proofErr w:type="spellEnd"/>
      <w:r w:rsidRPr="009733DF">
        <w:rPr>
          <w:rFonts w:ascii="Arial" w:hAnsi="Arial" w:cs="Arial"/>
          <w:color w:val="000000"/>
        </w:rPr>
        <w:t xml:space="preserve">, 2007; </w:t>
      </w:r>
      <w:proofErr w:type="spellStart"/>
      <w:r w:rsidRPr="009733DF">
        <w:rPr>
          <w:rFonts w:ascii="Arial" w:hAnsi="Arial" w:cs="Arial"/>
          <w:color w:val="000000"/>
        </w:rPr>
        <w:t>Intravia</w:t>
      </w:r>
      <w:proofErr w:type="spellEnd"/>
      <w:r w:rsidRPr="009733DF">
        <w:rPr>
          <w:rFonts w:ascii="Arial" w:hAnsi="Arial" w:cs="Arial"/>
          <w:color w:val="000000"/>
        </w:rPr>
        <w:t>, Wolff and Piquero, 2018). Media exposure is therefore better understood as one potential influence within the broader formation of perceptions of policing.</w:t>
      </w:r>
    </w:p>
    <w:p w14:paraId="757CE287"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Media representations may also shape wider understandings of legitimate victimhood. As established through Ideal Victim Theory, public recognition of victimisation may be influenced by socially constructed expectations concerning innocence, </w:t>
      </w:r>
      <w:proofErr w:type="gramStart"/>
      <w:r w:rsidRPr="009733DF">
        <w:rPr>
          <w:rFonts w:ascii="Arial" w:hAnsi="Arial" w:cs="Arial"/>
          <w:color w:val="000000"/>
        </w:rPr>
        <w:t>vulnerability</w:t>
      </w:r>
      <w:proofErr w:type="gramEnd"/>
      <w:r w:rsidRPr="009733DF">
        <w:rPr>
          <w:rFonts w:ascii="Arial" w:hAnsi="Arial" w:cs="Arial"/>
          <w:color w:val="000000"/>
        </w:rPr>
        <w:t xml:space="preserve"> and respectability (Christie, 1986; Duggan, 2018). When considered alongside intersectionality, this raises questions concerning whether characteristics including gender and race affect the visibility and representation </w:t>
      </w:r>
      <w:r w:rsidRPr="009733DF">
        <w:rPr>
          <w:rFonts w:ascii="Arial" w:hAnsi="Arial" w:cs="Arial"/>
          <w:color w:val="000000"/>
        </w:rPr>
        <w:lastRenderedPageBreak/>
        <w:t xml:space="preserve">afforded to </w:t>
      </w:r>
      <w:proofErr w:type="gramStart"/>
      <w:r w:rsidRPr="009733DF">
        <w:rPr>
          <w:rFonts w:ascii="Arial" w:hAnsi="Arial" w:cs="Arial"/>
          <w:color w:val="000000"/>
        </w:rPr>
        <w:t>particular victims</w:t>
      </w:r>
      <w:proofErr w:type="gramEnd"/>
      <w:r w:rsidRPr="009733DF">
        <w:rPr>
          <w:rFonts w:ascii="Arial" w:hAnsi="Arial" w:cs="Arial"/>
          <w:color w:val="000000"/>
        </w:rPr>
        <w:t xml:space="preserve"> (Crenshaw, 1991; Long, 2021). Media attention may consequently contribute to hierarchies of victimhood by amplifying </w:t>
      </w:r>
      <w:proofErr w:type="gramStart"/>
      <w:r w:rsidRPr="009733DF">
        <w:rPr>
          <w:rFonts w:ascii="Arial" w:hAnsi="Arial" w:cs="Arial"/>
          <w:color w:val="000000"/>
        </w:rPr>
        <w:t>particular cases</w:t>
      </w:r>
      <w:proofErr w:type="gramEnd"/>
      <w:r w:rsidRPr="009733DF">
        <w:rPr>
          <w:rFonts w:ascii="Arial" w:hAnsi="Arial" w:cs="Arial"/>
          <w:color w:val="000000"/>
        </w:rPr>
        <w:t xml:space="preserve"> while others receive comparatively limited visibility. Nevertheless, differences in coverage cannot automatically be attributed to race, </w:t>
      </w:r>
      <w:proofErr w:type="gramStart"/>
      <w:r w:rsidRPr="009733DF">
        <w:rPr>
          <w:rFonts w:ascii="Arial" w:hAnsi="Arial" w:cs="Arial"/>
          <w:color w:val="000000"/>
        </w:rPr>
        <w:t>gender</w:t>
      </w:r>
      <w:proofErr w:type="gramEnd"/>
      <w:r w:rsidRPr="009733DF">
        <w:rPr>
          <w:rFonts w:ascii="Arial" w:hAnsi="Arial" w:cs="Arial"/>
          <w:color w:val="000000"/>
        </w:rPr>
        <w:t xml:space="preserve"> or any single characteristic, since newsworthiness is also shaped by the circumstances, timing and wider context of individual cases.</w:t>
      </w:r>
    </w:p>
    <w:p w14:paraId="311A2493"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These issues became particularly visible within public discussion surrounding the murders of sisters </w:t>
      </w:r>
      <w:proofErr w:type="spellStart"/>
      <w:r w:rsidRPr="009733DF">
        <w:rPr>
          <w:rFonts w:ascii="Arial" w:hAnsi="Arial" w:cs="Arial"/>
          <w:color w:val="000000"/>
        </w:rPr>
        <w:t>Bibaa</w:t>
      </w:r>
      <w:proofErr w:type="spellEnd"/>
      <w:r w:rsidRPr="009733DF">
        <w:rPr>
          <w:rFonts w:ascii="Arial" w:hAnsi="Arial" w:cs="Arial"/>
          <w:color w:val="000000"/>
        </w:rPr>
        <w:t xml:space="preserve"> Henry and Nicole Smallman. The two Black women were murdered in a </w:t>
      </w:r>
      <w:proofErr w:type="gramStart"/>
      <w:r w:rsidRPr="009733DF">
        <w:rPr>
          <w:rFonts w:ascii="Arial" w:hAnsi="Arial" w:cs="Arial"/>
          <w:color w:val="000000"/>
        </w:rPr>
        <w:t>London park</w:t>
      </w:r>
      <w:proofErr w:type="gramEnd"/>
      <w:r w:rsidRPr="009733DF">
        <w:rPr>
          <w:rFonts w:ascii="Arial" w:hAnsi="Arial" w:cs="Arial"/>
          <w:color w:val="000000"/>
        </w:rPr>
        <w:t xml:space="preserve"> in June 2020 after celebrating Henry’s birthday. Their mother, Mina Smallman, subsequently argued that race affected the urgency with which her daughters’ disappearance was initially treated and contrasted their experience with the extensive response surrounding Sarah Everard’s disappearance and murder (The Independent, 2021). The case later acquired additional significance for perceptions of police culture when Metropolitan Police officers Deniz Jaffer and Jamie Lewis were convicted of misconduct in public office after taking and sharing photographs of the sisters’ bodies from the crime scene (IOPC, 2021). Their conduct provided a particularly serious example of professional misconduct involving murdered women and generated concerns regarding respect, </w:t>
      </w:r>
      <w:proofErr w:type="gramStart"/>
      <w:r w:rsidRPr="009733DF">
        <w:rPr>
          <w:rFonts w:ascii="Arial" w:hAnsi="Arial" w:cs="Arial"/>
          <w:color w:val="000000"/>
        </w:rPr>
        <w:t>accountability</w:t>
      </w:r>
      <w:proofErr w:type="gramEnd"/>
      <w:r w:rsidRPr="009733DF">
        <w:rPr>
          <w:rFonts w:ascii="Arial" w:hAnsi="Arial" w:cs="Arial"/>
          <w:color w:val="000000"/>
        </w:rPr>
        <w:t xml:space="preserve"> and organisational standards within policing (IOPC, 2021; Casey, 2023).</w:t>
      </w:r>
    </w:p>
    <w:p w14:paraId="106AB2E5"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However, critical analysis requires a distinction between perceptions of discriminatory treatment and evidence establishing its cause. The Independent Office for Police Conduct identified shortcomings in the Metropolitan Police response to the family’s missing-person reports, including failures concerning record-keeping and communication, but did not identify evidence that racial bias or stereotyping explained those initial failings (IOPC, 2022). Mina Smallman’s interpretation remains significant to understanding perceptions of institutional treatment, but it should not be presented as equivalent to an independently established finding of racial discrimination. This distinction is particularly relevant to the present study because</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public perceptions can have significance even where the causes attributed to an institutional failure remain contested or unproven</w:t>
      </w:r>
      <w:r w:rsidRPr="009733DF">
        <w:rPr>
          <w:rFonts w:ascii="Arial" w:hAnsi="Arial" w:cs="Arial"/>
          <w:color w:val="000000"/>
        </w:rPr>
        <w:t>.</w:t>
      </w:r>
    </w:p>
    <w:p w14:paraId="027B6BCE" w14:textId="06360383"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The comparison with Sarah Everard is therefore analytically valuable not because differences in media or institutional attention can simply be attributed to race, but </w:t>
      </w:r>
      <w:r w:rsidRPr="009733DF">
        <w:rPr>
          <w:rFonts w:ascii="Arial" w:hAnsi="Arial" w:cs="Arial"/>
          <w:color w:val="000000"/>
        </w:rPr>
        <w:lastRenderedPageBreak/>
        <w:t xml:space="preserve">because contrasting high-profile cases may contribute to broader public discussions concerning whose victimisation receives recognition and how policing responds to different women. Everard’s murder by </w:t>
      </w:r>
      <w:proofErr w:type="gramStart"/>
      <w:r w:rsidRPr="009733DF">
        <w:rPr>
          <w:rFonts w:ascii="Arial" w:hAnsi="Arial" w:cs="Arial"/>
          <w:color w:val="000000"/>
        </w:rPr>
        <w:t>a serving police</w:t>
      </w:r>
      <w:proofErr w:type="gramEnd"/>
      <w:r w:rsidRPr="009733DF">
        <w:rPr>
          <w:rFonts w:ascii="Arial" w:hAnsi="Arial" w:cs="Arial"/>
          <w:color w:val="000000"/>
        </w:rPr>
        <w:t xml:space="preserve"> officer also generated exceptional scrutiny of police culture and women’s safety, culminating in major institutional reviews including Casey (2023) and </w:t>
      </w:r>
      <w:proofErr w:type="spellStart"/>
      <w:r w:rsidRPr="009733DF">
        <w:rPr>
          <w:rFonts w:ascii="Arial" w:hAnsi="Arial" w:cs="Arial"/>
          <w:color w:val="000000"/>
        </w:rPr>
        <w:t>Angiolini</w:t>
      </w:r>
      <w:proofErr w:type="spellEnd"/>
      <w:r w:rsidRPr="009733DF">
        <w:rPr>
          <w:rFonts w:ascii="Arial" w:hAnsi="Arial" w:cs="Arial"/>
          <w:color w:val="000000"/>
        </w:rPr>
        <w:t xml:space="preserve"> </w:t>
      </w:r>
      <w:r w:rsidR="005904D8" w:rsidRPr="009733DF">
        <w:rPr>
          <w:rFonts w:ascii="Arial" w:hAnsi="Arial" w:cs="Arial"/>
          <w:color w:val="000000"/>
        </w:rPr>
        <w:t xml:space="preserve">Inquiry </w:t>
      </w:r>
      <w:r w:rsidRPr="009733DF">
        <w:rPr>
          <w:rFonts w:ascii="Arial" w:hAnsi="Arial" w:cs="Arial"/>
          <w:color w:val="000000"/>
        </w:rPr>
        <w:t>(2024). Such cases may consequently become symbolic of broader institutional concerns extending beyond the individual circumstances in which they occurred. However, their prominence also means caution is required when using exceptional cases to draw conclusions about policing generally.</w:t>
      </w:r>
    </w:p>
    <w:p w14:paraId="286E4980" w14:textId="5CD4F47B" w:rsidR="00D34E57"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For the present study, media representation is therefore relevant as one potential route through which perceptions of police culture and institutional trustworthiness may develop. Women need not have personally encountered misogyny, discriminatory </w:t>
      </w:r>
      <w:proofErr w:type="gramStart"/>
      <w:r w:rsidRPr="009733DF">
        <w:rPr>
          <w:rFonts w:ascii="Arial" w:hAnsi="Arial" w:cs="Arial"/>
          <w:color w:val="000000"/>
        </w:rPr>
        <w:t>treatment</w:t>
      </w:r>
      <w:proofErr w:type="gramEnd"/>
      <w:r w:rsidRPr="009733DF">
        <w:rPr>
          <w:rFonts w:ascii="Arial" w:hAnsi="Arial" w:cs="Arial"/>
          <w:color w:val="000000"/>
        </w:rPr>
        <w:t xml:space="preserve"> or inappropriate police responses for highly publicised accounts of such behaviour to contribute to their understanding of policing (Dowler and </w:t>
      </w:r>
      <w:proofErr w:type="spellStart"/>
      <w:r w:rsidRPr="009733DF">
        <w:rPr>
          <w:rFonts w:ascii="Arial" w:hAnsi="Arial" w:cs="Arial"/>
          <w:color w:val="000000"/>
        </w:rPr>
        <w:t>Zawilski</w:t>
      </w:r>
      <w:proofErr w:type="spellEnd"/>
      <w:r w:rsidRPr="009733DF">
        <w:rPr>
          <w:rFonts w:ascii="Arial" w:hAnsi="Arial" w:cs="Arial"/>
          <w:color w:val="000000"/>
        </w:rPr>
        <w:t xml:space="preserve">, 2007; </w:t>
      </w:r>
      <w:proofErr w:type="spellStart"/>
      <w:r w:rsidRPr="009733DF">
        <w:rPr>
          <w:rFonts w:ascii="Arial" w:hAnsi="Arial" w:cs="Arial"/>
          <w:color w:val="000000"/>
        </w:rPr>
        <w:t>Intravia</w:t>
      </w:r>
      <w:proofErr w:type="spellEnd"/>
      <w:r w:rsidRPr="009733DF">
        <w:rPr>
          <w:rFonts w:ascii="Arial" w:hAnsi="Arial" w:cs="Arial"/>
          <w:color w:val="000000"/>
        </w:rPr>
        <w:t xml:space="preserve">, Wolff and Piquero, 2018). Nevertheless, existing evidence does not establish that exposure to </w:t>
      </w:r>
      <w:proofErr w:type="gramStart"/>
      <w:r w:rsidRPr="009733DF">
        <w:rPr>
          <w:rFonts w:ascii="Arial" w:hAnsi="Arial" w:cs="Arial"/>
          <w:color w:val="000000"/>
        </w:rPr>
        <w:t>particular cases</w:t>
      </w:r>
      <w:proofErr w:type="gramEnd"/>
      <w:r w:rsidRPr="009733DF">
        <w:rPr>
          <w:rFonts w:ascii="Arial" w:hAnsi="Arial" w:cs="Arial"/>
          <w:color w:val="000000"/>
        </w:rPr>
        <w:t xml:space="preserve"> directly alters women’s willingness to report VAWG. The significance of media representation to this dissertation consequently lies in its potential contribution to the formation of perceptions rather than as an assumed determinant of reporting behaviour. Whether perceptions of policing ultimately influence reporting requires examination of the broader evidence concerning women’s decisions to report VAWG.</w:t>
      </w:r>
    </w:p>
    <w:p w14:paraId="10A9027C"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2.7 Women’s Decisions to Report Violence Against Women and Girls</w:t>
      </w:r>
    </w:p>
    <w:p w14:paraId="38A71D9C"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Under-reporting remains a significant challenge in responding to violence against women and girls (VAWG), as police-recorded offences cannot account for victimisation that is never disclosed to criminal justice agencies (ONS, 2025b). Decisions to report are complex and may be influenced by offence seriousness, the victim-offender relationship, fear of consequences, anticipated treatment by criminal justice professionals and beliefs regarding the effectiveness of police intervention (Tarling and Morris, 2010; </w:t>
      </w:r>
      <w:proofErr w:type="spellStart"/>
      <w:r w:rsidRPr="009733DF">
        <w:rPr>
          <w:rFonts w:ascii="Arial" w:hAnsi="Arial" w:cs="Arial"/>
          <w:color w:val="000000"/>
        </w:rPr>
        <w:t>Hohl</w:t>
      </w:r>
      <w:proofErr w:type="spellEnd"/>
      <w:r w:rsidRPr="009733DF">
        <w:rPr>
          <w:rFonts w:ascii="Arial" w:hAnsi="Arial" w:cs="Arial"/>
          <w:color w:val="000000"/>
        </w:rPr>
        <w:t xml:space="preserve"> and Stanko, 2015;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 xml:space="preserve">-Gil, 2025). Non-reporting should therefore not be interpreted solely as evidence of distrust in policing. Instead, reporting decisions appear to reflect an interaction between </w:t>
      </w:r>
      <w:r w:rsidRPr="009733DF">
        <w:rPr>
          <w:rFonts w:ascii="Arial" w:hAnsi="Arial" w:cs="Arial"/>
          <w:color w:val="000000"/>
        </w:rPr>
        <w:lastRenderedPageBreak/>
        <w:t>individual, situational and institutional factors, making it necessary to determine the relative importance of perceptions of policing within this process.</w:t>
      </w:r>
    </w:p>
    <w:p w14:paraId="6FC2FD41"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Research examining crime reporting demonstrates the importance of situational characteristics. Using British Crime Survey data, Tarling and Morris (2010) found that offence seriousness was particularly influential in decisions to report, alongside characteristics of victims and offenders. More recent evidence similarly challenges assumptions that confidence in policing necessarily translates into reporting behaviour. Analysing Crime Survey for England and Wales data,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 xml:space="preserve">-Gil (2025) found that trust in police effectiveness did not significantly predict whether violent victimisation was reported, whereas situational factors including injury and the presence of a weapon were significant predictors. This provides important </w:t>
      </w:r>
      <w:proofErr w:type="gramStart"/>
      <w:r w:rsidRPr="009733DF">
        <w:rPr>
          <w:rFonts w:ascii="Arial" w:hAnsi="Arial" w:cs="Arial"/>
          <w:color w:val="000000"/>
        </w:rPr>
        <w:t>counter-evidence</w:t>
      </w:r>
      <w:proofErr w:type="gramEnd"/>
      <w:r w:rsidRPr="009733DF">
        <w:rPr>
          <w:rFonts w:ascii="Arial" w:hAnsi="Arial" w:cs="Arial"/>
          <w:color w:val="000000"/>
        </w:rPr>
        <w:t xml:space="preserve"> to any straightforward relationship between perceptions of policing and reporting and demonstrates why the present study should not assume in advance that negative perceptions of police culture will reduce reporting intentions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-Gil, 2025).</w:t>
      </w:r>
    </w:p>
    <w:p w14:paraId="10A1158D"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However, evidence concerning violent crime generally may not adequately capture the distinctive dynamics associated with VAWG. Sexual violence and domestic abuse can involve intimate relationships, fear, shame, </w:t>
      </w:r>
      <w:proofErr w:type="gramStart"/>
      <w:r w:rsidRPr="009733DF">
        <w:rPr>
          <w:rFonts w:ascii="Arial" w:hAnsi="Arial" w:cs="Arial"/>
          <w:color w:val="000000"/>
        </w:rPr>
        <w:t>trauma</w:t>
      </w:r>
      <w:proofErr w:type="gramEnd"/>
      <w:r w:rsidRPr="009733DF">
        <w:rPr>
          <w:rFonts w:ascii="Arial" w:hAnsi="Arial" w:cs="Arial"/>
          <w:color w:val="000000"/>
        </w:rPr>
        <w:t xml:space="preserve"> and concerns regarding credibility, creating barriers that may differ from those associated with other forms of victimisation (</w:t>
      </w:r>
      <w:proofErr w:type="spellStart"/>
      <w:r w:rsidRPr="009733DF">
        <w:rPr>
          <w:rFonts w:ascii="Arial" w:hAnsi="Arial" w:cs="Arial"/>
          <w:color w:val="000000"/>
        </w:rPr>
        <w:t>Hohl</w:t>
      </w:r>
      <w:proofErr w:type="spellEnd"/>
      <w:r w:rsidRPr="009733DF">
        <w:rPr>
          <w:rFonts w:ascii="Arial" w:hAnsi="Arial" w:cs="Arial"/>
          <w:color w:val="000000"/>
        </w:rPr>
        <w:t xml:space="preserve"> and Stanko, 2015; ONS, 2025b). </w:t>
      </w:r>
      <w:proofErr w:type="spellStart"/>
      <w:r w:rsidRPr="009733DF">
        <w:rPr>
          <w:rFonts w:ascii="Arial" w:hAnsi="Arial" w:cs="Arial"/>
          <w:color w:val="000000"/>
        </w:rPr>
        <w:t>Hohl</w:t>
      </w:r>
      <w:proofErr w:type="spellEnd"/>
      <w:r w:rsidRPr="009733DF">
        <w:rPr>
          <w:rFonts w:ascii="Arial" w:hAnsi="Arial" w:cs="Arial"/>
          <w:color w:val="000000"/>
        </w:rPr>
        <w:t xml:space="preserve">, Johnson and </w:t>
      </w:r>
      <w:proofErr w:type="spellStart"/>
      <w:r w:rsidRPr="009733DF">
        <w:rPr>
          <w:rFonts w:ascii="Arial" w:hAnsi="Arial" w:cs="Arial"/>
          <w:color w:val="000000"/>
        </w:rPr>
        <w:t>Molisso</w:t>
      </w:r>
      <w:proofErr w:type="spellEnd"/>
      <w:r w:rsidRPr="009733DF">
        <w:rPr>
          <w:rFonts w:ascii="Arial" w:hAnsi="Arial" w:cs="Arial"/>
          <w:color w:val="000000"/>
        </w:rPr>
        <w:t xml:space="preserve"> (2022), examining victim-survivor experiences within the Project Bluestone pilot, identified the importance of police interactions to victim-survivors’ feelings of recognition and value, trust in policing and willingness to continue engaging with police. This provides VAWG-specific support for the relevance of procedural justice but should be interpreted cautiously because the pilot was conducted within one English police force, limiting its generalisability to other policing contexts (</w:t>
      </w:r>
      <w:proofErr w:type="spellStart"/>
      <w:r w:rsidRPr="009733DF">
        <w:rPr>
          <w:rFonts w:ascii="Arial" w:hAnsi="Arial" w:cs="Arial"/>
          <w:color w:val="000000"/>
        </w:rPr>
        <w:t>Hohl</w:t>
      </w:r>
      <w:proofErr w:type="spellEnd"/>
      <w:r w:rsidRPr="009733DF">
        <w:rPr>
          <w:rFonts w:ascii="Arial" w:hAnsi="Arial" w:cs="Arial"/>
          <w:color w:val="000000"/>
        </w:rPr>
        <w:t xml:space="preserve">, Johnson and </w:t>
      </w:r>
      <w:proofErr w:type="spellStart"/>
      <w:r w:rsidRPr="009733DF">
        <w:rPr>
          <w:rFonts w:ascii="Arial" w:hAnsi="Arial" w:cs="Arial"/>
          <w:color w:val="000000"/>
        </w:rPr>
        <w:t>Molisso</w:t>
      </w:r>
      <w:proofErr w:type="spellEnd"/>
      <w:r w:rsidRPr="009733DF">
        <w:rPr>
          <w:rFonts w:ascii="Arial" w:hAnsi="Arial" w:cs="Arial"/>
          <w:color w:val="000000"/>
        </w:rPr>
        <w:t>, 2022).</w:t>
      </w:r>
    </w:p>
    <w:p w14:paraId="160F18DD" w14:textId="698312B3"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More recent research provides further evidence concerning the quality of police responses to sexual violence. Smith et al</w:t>
      </w:r>
      <w:r>
        <w:rPr>
          <w:rFonts w:ascii="Arial" w:hAnsi="Arial" w:cs="Arial"/>
          <w:color w:val="000000"/>
        </w:rPr>
        <w:t xml:space="preserve"> </w:t>
      </w:r>
      <w:r w:rsidRPr="009733DF">
        <w:rPr>
          <w:rFonts w:ascii="Arial" w:hAnsi="Arial" w:cs="Arial"/>
          <w:color w:val="000000"/>
        </w:rPr>
        <w:t xml:space="preserve">(2025), drawing upon ethnographic observations, police video footage, interviews and focus groups across four police forces in England and Wales, identified considerable variation in responses to rape and serious sexual offences. Their research documented examples of insensitive </w:t>
      </w:r>
      <w:r w:rsidRPr="009733DF">
        <w:rPr>
          <w:rFonts w:ascii="Arial" w:hAnsi="Arial" w:cs="Arial"/>
          <w:color w:val="000000"/>
        </w:rPr>
        <w:lastRenderedPageBreak/>
        <w:t>treatment, cynical attitudes and investigative practices influenced by rape myths, alongside examples of positive police engagement (Smith et al, 2025). The methodological breadth of the study strengthens its ability to examine actual police practice beyond self-reported attitudes or hypothetical scenarios. Nevertheless, evidence of problematic police responses does not establish that women without direct experience of such treatment will anticipate similar responses or that these expectations will determine whether they report.</w:t>
      </w:r>
    </w:p>
    <w:p w14:paraId="2786E9DD"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Anticipated treatment may nevertheless be relevant before direct police contact occurs. MacLeod’s (2016) analysis of police interviews with rape complainants found that women employed discursive strategies that appeared to anticipate and pre-empt potential blame for their behaviour. When considered alongside the literature concerning rape myths and ideal victimhood, this suggests that reporting may involve not only recognising an experience as sufficiently serious to disclose, but also anticipating whether one will be regarded as a credible and legitimate victim (Christie, 1986; MacLeod, 2016; </w:t>
      </w:r>
      <w:proofErr w:type="spellStart"/>
      <w:r w:rsidRPr="009733DF">
        <w:rPr>
          <w:rFonts w:ascii="Arial" w:hAnsi="Arial" w:cs="Arial"/>
          <w:color w:val="000000"/>
        </w:rPr>
        <w:t>Sleath</w:t>
      </w:r>
      <w:proofErr w:type="spellEnd"/>
      <w:r w:rsidRPr="009733DF">
        <w:rPr>
          <w:rFonts w:ascii="Arial" w:hAnsi="Arial" w:cs="Arial"/>
          <w:color w:val="000000"/>
        </w:rPr>
        <w:t xml:space="preserve"> and Bull, 2017). Perceptions that victim-blaming or misogynistic attitudes exist within policing could therefore plausibly influence reporting intentions, although existing evidence does not establish the relative importance of such perceptions compared with other barriers.</w:t>
      </w:r>
    </w:p>
    <w:p w14:paraId="027342CE"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A further limitation within the literature concerns the distinction between</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actual reporting behaviour and reporting intentions</w:t>
      </w:r>
      <w:r w:rsidRPr="009733DF">
        <w:rPr>
          <w:rFonts w:ascii="Arial" w:hAnsi="Arial" w:cs="Arial"/>
          <w:b/>
          <w:bCs/>
          <w:color w:val="000000"/>
        </w:rPr>
        <w:t>.</w:t>
      </w:r>
      <w:r w:rsidRPr="009733DF">
        <w:rPr>
          <w:rFonts w:ascii="Arial" w:hAnsi="Arial" w:cs="Arial"/>
          <w:color w:val="000000"/>
        </w:rPr>
        <w:t xml:space="preserve"> Existing research predominantly examines individuals who have experienced victimisation and retrospectively considers whether that victimisation was reported to police (Tarling and Morris, 2010; </w:t>
      </w:r>
      <w:proofErr w:type="spellStart"/>
      <w:r w:rsidRPr="009733DF">
        <w:rPr>
          <w:rFonts w:ascii="Arial" w:hAnsi="Arial" w:cs="Arial"/>
          <w:color w:val="000000"/>
        </w:rPr>
        <w:t>Hohl</w:t>
      </w:r>
      <w:proofErr w:type="spellEnd"/>
      <w:r w:rsidRPr="009733DF">
        <w:rPr>
          <w:rFonts w:ascii="Arial" w:hAnsi="Arial" w:cs="Arial"/>
          <w:color w:val="000000"/>
        </w:rPr>
        <w:t xml:space="preserve">, Johnson and </w:t>
      </w:r>
      <w:proofErr w:type="spellStart"/>
      <w:r w:rsidRPr="009733DF">
        <w:rPr>
          <w:rFonts w:ascii="Arial" w:hAnsi="Arial" w:cs="Arial"/>
          <w:color w:val="000000"/>
        </w:rPr>
        <w:t>Molisso</w:t>
      </w:r>
      <w:proofErr w:type="spellEnd"/>
      <w:r w:rsidRPr="009733DF">
        <w:rPr>
          <w:rFonts w:ascii="Arial" w:hAnsi="Arial" w:cs="Arial"/>
          <w:color w:val="000000"/>
        </w:rPr>
        <w:t xml:space="preserve">, 2022;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 xml:space="preserve">-Gil, 2025). The present study instead examines women’s intentions to report VAWG, including women who may not have experienced such victimisation. Intended reporting cannot be assumed to replicate decisions made following an actual traumatic event, where emotional, </w:t>
      </w:r>
      <w:proofErr w:type="gramStart"/>
      <w:r w:rsidRPr="009733DF">
        <w:rPr>
          <w:rFonts w:ascii="Arial" w:hAnsi="Arial" w:cs="Arial"/>
          <w:color w:val="000000"/>
        </w:rPr>
        <w:t>relational</w:t>
      </w:r>
      <w:proofErr w:type="gramEnd"/>
      <w:r w:rsidRPr="009733DF">
        <w:rPr>
          <w:rFonts w:ascii="Arial" w:hAnsi="Arial" w:cs="Arial"/>
          <w:color w:val="000000"/>
        </w:rPr>
        <w:t xml:space="preserve"> and situational circumstances may alter behaviour. Nevertheless, this distinction also identifies an important gap: comparatively less is known about whether perceptions of police culture influence women’s anticipated willingness to seek police intervention.</w:t>
      </w:r>
    </w:p>
    <w:p w14:paraId="2E0EF385" w14:textId="64713A63"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Overall, existing evidence demonstrates that reporting VAWG is multifaceted and cannot adequately be explained through confidence or trust in policing alone (Tarling </w:t>
      </w:r>
      <w:r w:rsidRPr="009733DF">
        <w:rPr>
          <w:rFonts w:ascii="Arial" w:hAnsi="Arial" w:cs="Arial"/>
          <w:color w:val="000000"/>
        </w:rPr>
        <w:lastRenderedPageBreak/>
        <w:t xml:space="preserve">and Morris, 2010;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-Gil, 2025). At the same time, VAWG-specific research indicates that experienced and anticipated police treatment, victim credibility, procedural fairness and rape myths may influence engagement with policing (</w:t>
      </w:r>
      <w:proofErr w:type="spellStart"/>
      <w:r w:rsidRPr="009733DF">
        <w:rPr>
          <w:rFonts w:ascii="Arial" w:hAnsi="Arial" w:cs="Arial"/>
          <w:color w:val="000000"/>
        </w:rPr>
        <w:t>Hohl</w:t>
      </w:r>
      <w:proofErr w:type="spellEnd"/>
      <w:r w:rsidRPr="009733DF">
        <w:rPr>
          <w:rFonts w:ascii="Arial" w:hAnsi="Arial" w:cs="Arial"/>
          <w:color w:val="000000"/>
        </w:rPr>
        <w:t xml:space="preserve">, Johnson and </w:t>
      </w:r>
      <w:proofErr w:type="spellStart"/>
      <w:r w:rsidRPr="009733DF">
        <w:rPr>
          <w:rFonts w:ascii="Arial" w:hAnsi="Arial" w:cs="Arial"/>
          <w:color w:val="000000"/>
        </w:rPr>
        <w:t>Molisso</w:t>
      </w:r>
      <w:proofErr w:type="spellEnd"/>
      <w:r w:rsidRPr="009733DF">
        <w:rPr>
          <w:rFonts w:ascii="Arial" w:hAnsi="Arial" w:cs="Arial"/>
          <w:color w:val="000000"/>
        </w:rPr>
        <w:t>, 2022; Smith et al, 2025). The unresolved issue is therefore whether</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public perceptions of police culture specifically contribute to women’s intentions to report VAWG when considered alongside other influences</w:t>
      </w:r>
      <w:r w:rsidRPr="009733DF">
        <w:rPr>
          <w:rFonts w:ascii="Arial" w:hAnsi="Arial" w:cs="Arial"/>
          <w:color w:val="000000"/>
        </w:rPr>
        <w:t xml:space="preserve">. Addressing this question within Wales requires consideration of its distinctive legislative, </w:t>
      </w:r>
      <w:proofErr w:type="gramStart"/>
      <w:r w:rsidRPr="009733DF">
        <w:rPr>
          <w:rFonts w:ascii="Arial" w:hAnsi="Arial" w:cs="Arial"/>
          <w:color w:val="000000"/>
        </w:rPr>
        <w:t>strategic</w:t>
      </w:r>
      <w:proofErr w:type="gramEnd"/>
      <w:r w:rsidRPr="009733DF">
        <w:rPr>
          <w:rFonts w:ascii="Arial" w:hAnsi="Arial" w:cs="Arial"/>
          <w:color w:val="000000"/>
        </w:rPr>
        <w:t xml:space="preserve"> and policing context.</w:t>
      </w:r>
    </w:p>
    <w:p w14:paraId="63C64068"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2.8 The Welsh Context: VAWDASV, Policing and Strategic Leadership</w:t>
      </w:r>
    </w:p>
    <w:p w14:paraId="31BD17FB"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Wales provides a distinctive legislative and strategic context for examining women’s perceptions of policing and intentions to report violence against women and girls (VAWG). The Violence against Women, Domestic Abuse and Sexual Violence (Wales) Act 2015 established a statutory framework intended to improve the prevention of gender-based violence, domestic abuse and sexual violence and the protection and support available to those affected. The subsequent Violence Against Women, Domestic Abuse and Sexual Violence Strategy 2022–2026 developed this approach through an ambition to make Wales the safest place in Europe to be a woman and a commitment to addressing both the consequences and underlying causes of VAWDASV (Welsh Government, 2022).</w:t>
      </w:r>
    </w:p>
    <w:p w14:paraId="20EE2322"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The Welsh strategy is particularly relevant to the present research because it conceptualises VAWDASV as extending beyond individual incidents of offending. It recognises that misogyny, gender inequality, racism, victim-blaming and other cultural inequalities can contribute to environments in which harmful behaviour is normalised, while emphasising survivor voice, equality, prevention, trauma-informed </w:t>
      </w:r>
      <w:proofErr w:type="gramStart"/>
      <w:r w:rsidRPr="009733DF">
        <w:rPr>
          <w:rFonts w:ascii="Arial" w:hAnsi="Arial" w:cs="Arial"/>
          <w:color w:val="000000"/>
        </w:rPr>
        <w:t>practice</w:t>
      </w:r>
      <w:proofErr w:type="gramEnd"/>
      <w:r w:rsidRPr="009733DF">
        <w:rPr>
          <w:rFonts w:ascii="Arial" w:hAnsi="Arial" w:cs="Arial"/>
          <w:color w:val="000000"/>
        </w:rPr>
        <w:t xml:space="preserve"> and cultural change (Welsh Government, 2022). This approach complements the literature considered throughout this review concerning police culture, victim-</w:t>
      </w:r>
      <w:proofErr w:type="gramStart"/>
      <w:r w:rsidRPr="009733DF">
        <w:rPr>
          <w:rFonts w:ascii="Arial" w:hAnsi="Arial" w:cs="Arial"/>
          <w:color w:val="000000"/>
        </w:rPr>
        <w:t>blaming</w:t>
      </w:r>
      <w:proofErr w:type="gramEnd"/>
      <w:r w:rsidRPr="009733DF">
        <w:rPr>
          <w:rFonts w:ascii="Arial" w:hAnsi="Arial" w:cs="Arial"/>
          <w:color w:val="000000"/>
        </w:rPr>
        <w:t xml:space="preserve"> and intersectionality. However, recognition of these issues within policy does not demonstrate that strategic objectives are consistently reflected in women’s experiences or perceptions of criminal justice institutions. A distinction must therefore be maintained between</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policy ambition and empirical evidence of public confidence</w:t>
      </w:r>
      <w:r w:rsidRPr="009733DF">
        <w:rPr>
          <w:rFonts w:ascii="Arial" w:hAnsi="Arial" w:cs="Arial"/>
          <w:color w:val="000000"/>
        </w:rPr>
        <w:t>.</w:t>
      </w:r>
    </w:p>
    <w:p w14:paraId="02A92DC4"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lastRenderedPageBreak/>
        <w:t xml:space="preserve">The Welsh context is further complicated by the constitutional position of policing and criminal justice, which remain reserved matters, while several services relevant to preventing and responding to VAWDASV operate within devolved Welsh policy structures (Welsh Government, 2022). Effective responses consequently require collaboration between policing and devolved organisations including health, local </w:t>
      </w:r>
      <w:proofErr w:type="gramStart"/>
      <w:r w:rsidRPr="009733DF">
        <w:rPr>
          <w:rFonts w:ascii="Arial" w:hAnsi="Arial" w:cs="Arial"/>
          <w:color w:val="000000"/>
        </w:rPr>
        <w:t>government</w:t>
      </w:r>
      <w:proofErr w:type="gramEnd"/>
      <w:r w:rsidRPr="009733DF">
        <w:rPr>
          <w:rFonts w:ascii="Arial" w:hAnsi="Arial" w:cs="Arial"/>
          <w:color w:val="000000"/>
        </w:rPr>
        <w:t xml:space="preserve"> and specialist support services. The Welsh Government’s Blueprint approach reflects this complexity by establishing shared governance across devolved and non-devolved bodies and emphasising multi-agency responsibility for addressing VAWDASV (Welsh Government, 2022; Welsh Government, 2023). This whole-system model is particularly relevant to strategic leadership because confidence in reporting cannot necessarily be addressed by policing in isolation.</w:t>
      </w:r>
    </w:p>
    <w:p w14:paraId="015AAACD"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Recent Welsh policy indicates that these challenges remain ongoing. The National Adviser’s Annual Plan 2026–2027 recognises that further progress is required to achieve the ambition of making Wales the safest place in Europe to be a woman and prioritises stronger accountability, improved evidence, survivor involvement and effective collaboration across services (Welsh Government, 2026). The plan also maintains an intersectional approach, recognising that experiences of VAWDASV and access to appropriate responses can be shaped by overlapping inequalities (Welsh Government, 2026). These priorities reinforce the importance of avoiding an assumption that women in Wales constitute a homogeneous population and support the need for evidence capable of informing contemporary policy and practice.</w:t>
      </w:r>
    </w:p>
    <w:p w14:paraId="029FAFEF"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The Welsh framework also has implications for operational and strategic police leadership. Previous sections have demonstrated that organisational culture may be influenced by leadership, </w:t>
      </w:r>
      <w:proofErr w:type="gramStart"/>
      <w:r w:rsidRPr="009733DF">
        <w:rPr>
          <w:rFonts w:ascii="Arial" w:hAnsi="Arial" w:cs="Arial"/>
          <w:color w:val="000000"/>
        </w:rPr>
        <w:t>accountability</w:t>
      </w:r>
      <w:proofErr w:type="gramEnd"/>
      <w:r w:rsidRPr="009733DF">
        <w:rPr>
          <w:rFonts w:ascii="Arial" w:hAnsi="Arial" w:cs="Arial"/>
          <w:color w:val="000000"/>
        </w:rPr>
        <w:t xml:space="preserve"> and the extent to which inappropriate conduct is challenged (College of Policing, 2023; Casey, 2023). Within a whole-system VAWDASV response, police leaders must additionally consider how organisational standards and police-public interactions may affect confidence in policing and willingness to seek institutional support (Welsh Government, 2022; Welsh Government, 2026). Encouraging reporting therefore cannot be conceptualised solely as persuading individual women to approach police; consideration must also be given to whether policing is perceived as trustworthy, </w:t>
      </w:r>
      <w:proofErr w:type="gramStart"/>
      <w:r w:rsidRPr="009733DF">
        <w:rPr>
          <w:rFonts w:ascii="Arial" w:hAnsi="Arial" w:cs="Arial"/>
          <w:color w:val="000000"/>
        </w:rPr>
        <w:t>fair</w:t>
      </w:r>
      <w:proofErr w:type="gramEnd"/>
      <w:r w:rsidRPr="009733DF">
        <w:rPr>
          <w:rFonts w:ascii="Arial" w:hAnsi="Arial" w:cs="Arial"/>
          <w:color w:val="000000"/>
        </w:rPr>
        <w:t xml:space="preserve"> and capable of responding appropriately to VAWG.</w:t>
      </w:r>
    </w:p>
    <w:p w14:paraId="49FAFB89"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lastRenderedPageBreak/>
        <w:t xml:space="preserve">Nevertheless, the Welsh policy framework exposes an important limitation within the existing evidence base. National strategies establish expectations concerning prevention, survivor-centred practice, </w:t>
      </w:r>
      <w:proofErr w:type="gramStart"/>
      <w:r w:rsidRPr="009733DF">
        <w:rPr>
          <w:rFonts w:ascii="Arial" w:hAnsi="Arial" w:cs="Arial"/>
          <w:color w:val="000000"/>
        </w:rPr>
        <w:t>equality</w:t>
      </w:r>
      <w:proofErr w:type="gramEnd"/>
      <w:r w:rsidRPr="009733DF">
        <w:rPr>
          <w:rFonts w:ascii="Arial" w:hAnsi="Arial" w:cs="Arial"/>
          <w:color w:val="000000"/>
        </w:rPr>
        <w:t xml:space="preserve"> and institutional collaboration, but provide limited empirical evidence concerning</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how women themselves perceive contemporary police culture or whether those perceptions influence their intended reporting behaviour</w:t>
      </w:r>
      <w:r w:rsidRPr="009733DF">
        <w:rPr>
          <w:rFonts w:ascii="Arial" w:hAnsi="Arial" w:cs="Arial"/>
          <w:color w:val="000000"/>
        </w:rPr>
        <w:t xml:space="preserve">. Much of the research examined throughout this review additionally derives from England-and-Wales datasets, individual English police forces or the Metropolitan Police, limiting the conclusions that can be drawn specifically about women in Wales (Casey, 2023; </w:t>
      </w:r>
      <w:proofErr w:type="spellStart"/>
      <w:r w:rsidRPr="009733DF">
        <w:rPr>
          <w:rFonts w:ascii="Arial" w:hAnsi="Arial" w:cs="Arial"/>
          <w:color w:val="000000"/>
        </w:rPr>
        <w:t>Hohl</w:t>
      </w:r>
      <w:proofErr w:type="spellEnd"/>
      <w:r w:rsidRPr="009733DF">
        <w:rPr>
          <w:rFonts w:ascii="Arial" w:hAnsi="Arial" w:cs="Arial"/>
          <w:color w:val="000000"/>
        </w:rPr>
        <w:t xml:space="preserve">, Johnson and </w:t>
      </w:r>
      <w:proofErr w:type="spellStart"/>
      <w:r w:rsidRPr="009733DF">
        <w:rPr>
          <w:rFonts w:ascii="Arial" w:hAnsi="Arial" w:cs="Arial"/>
          <w:color w:val="000000"/>
        </w:rPr>
        <w:t>Molisso</w:t>
      </w:r>
      <w:proofErr w:type="spellEnd"/>
      <w:r w:rsidRPr="009733DF">
        <w:rPr>
          <w:rFonts w:ascii="Arial" w:hAnsi="Arial" w:cs="Arial"/>
          <w:color w:val="000000"/>
        </w:rPr>
        <w:t xml:space="preserve">, 2022;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-Gil, 2025). The existence of a distinctive Welsh legislative and strategic framework therefore strengthens the rationale for research focused specifically upon women in Wales rather than assuming that findings from wider British or English contexts are automatically transferable.</w:t>
      </w:r>
    </w:p>
    <w:p w14:paraId="53DA509E" w14:textId="41E47E16"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Overall, Wales has established an extensive statutory and strategic approach to VAWDASV which emphasises prevention, cultural change, survivor voice, </w:t>
      </w:r>
      <w:proofErr w:type="gramStart"/>
      <w:r w:rsidRPr="009733DF">
        <w:rPr>
          <w:rFonts w:ascii="Arial" w:hAnsi="Arial" w:cs="Arial"/>
          <w:color w:val="000000"/>
        </w:rPr>
        <w:t>intersectionality</w:t>
      </w:r>
      <w:proofErr w:type="gramEnd"/>
      <w:r w:rsidRPr="009733DF">
        <w:rPr>
          <w:rFonts w:ascii="Arial" w:hAnsi="Arial" w:cs="Arial"/>
          <w:color w:val="000000"/>
        </w:rPr>
        <w:t xml:space="preserve"> and whole-system collaboration (Welsh Government, 2022; Welsh Government, 2026). However, policy ambition cannot establish whether women perceive policing as trustworthy or whether concerns regarding police culture influence their intentions to report VAWG. Examining this relationship has potential relevance for operational and strategic leaders because understanding which perceptions are associated with reporting confidence may help identify where organisational and public-facing responses should be directed. The final section therefore synthesises the literature considered throughout this review and identifies the specific research gap addressed by the present study.</w:t>
      </w:r>
    </w:p>
    <w:p w14:paraId="7DB6036F" w14:textId="77777777" w:rsidR="009733DF" w:rsidRPr="009733DF" w:rsidRDefault="009733DF" w:rsidP="009733DF">
      <w:pPr>
        <w:spacing w:before="100" w:beforeAutospacing="1" w:after="100" w:afterAutospacing="1" w:line="360" w:lineRule="auto"/>
        <w:outlineLvl w:val="1"/>
        <w:rPr>
          <w:rFonts w:ascii="Arial" w:eastAsia="Times New Roman" w:hAnsi="Arial" w:cs="Arial"/>
          <w:b/>
          <w:bCs/>
          <w:color w:val="000000"/>
          <w:kern w:val="0"/>
          <w:u w:val="single"/>
          <w:lang w:eastAsia="en-GB"/>
          <w14:ligatures w14:val="none"/>
        </w:rPr>
      </w:pPr>
      <w:r w:rsidRPr="009733DF">
        <w:rPr>
          <w:rFonts w:ascii="Arial" w:eastAsia="Times New Roman" w:hAnsi="Arial" w:cs="Arial"/>
          <w:b/>
          <w:bCs/>
          <w:color w:val="000000"/>
          <w:kern w:val="0"/>
          <w:u w:val="single"/>
          <w:lang w:eastAsia="en-GB"/>
          <w14:ligatures w14:val="none"/>
        </w:rPr>
        <w:t>2.9 Research Gap and Conclusion</w:t>
      </w:r>
    </w:p>
    <w:p w14:paraId="211117F6" w14:textId="422AE168"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This review has demonstrated that police culture, legitimacy, public </w:t>
      </w:r>
      <w:proofErr w:type="gramStart"/>
      <w:r w:rsidRPr="009733DF">
        <w:rPr>
          <w:rFonts w:ascii="Arial" w:hAnsi="Arial" w:cs="Arial"/>
          <w:color w:val="000000"/>
        </w:rPr>
        <w:t>confidence</w:t>
      </w:r>
      <w:proofErr w:type="gramEnd"/>
      <w:r w:rsidRPr="009733DF">
        <w:rPr>
          <w:rFonts w:ascii="Arial" w:hAnsi="Arial" w:cs="Arial"/>
          <w:color w:val="000000"/>
        </w:rPr>
        <w:t xml:space="preserve"> and the reporting of violence against women and girls (VAWG) are interconnected but distinct areas of scholarship. Established research indicates that police culture may encompass occupational norms relating to solidarity, </w:t>
      </w:r>
      <w:proofErr w:type="gramStart"/>
      <w:r w:rsidRPr="009733DF">
        <w:rPr>
          <w:rFonts w:ascii="Arial" w:hAnsi="Arial" w:cs="Arial"/>
          <w:color w:val="000000"/>
        </w:rPr>
        <w:t>masculinity</w:t>
      </w:r>
      <w:proofErr w:type="gramEnd"/>
      <w:r w:rsidRPr="009733DF">
        <w:rPr>
          <w:rFonts w:ascii="Arial" w:hAnsi="Arial" w:cs="Arial"/>
          <w:color w:val="000000"/>
        </w:rPr>
        <w:t xml:space="preserve"> and discretion, while contemporary scholarship emphasises organisational variation and the influence of leadership and accountability upon cultural practices (Loftus, 2009; Reiner, 2010; Cockcroft, 2013; </w:t>
      </w:r>
      <w:proofErr w:type="spellStart"/>
      <w:r w:rsidRPr="009733DF">
        <w:rPr>
          <w:rFonts w:ascii="Arial" w:hAnsi="Arial" w:cs="Arial"/>
          <w:color w:val="000000"/>
        </w:rPr>
        <w:t>Feilzer</w:t>
      </w:r>
      <w:proofErr w:type="spellEnd"/>
      <w:r w:rsidRPr="009733DF">
        <w:rPr>
          <w:rFonts w:ascii="Arial" w:hAnsi="Arial" w:cs="Arial"/>
          <w:color w:val="000000"/>
        </w:rPr>
        <w:t xml:space="preserve"> and Loftus, 2024). Evidence concerning </w:t>
      </w:r>
      <w:r w:rsidRPr="009733DF">
        <w:rPr>
          <w:rFonts w:ascii="Arial" w:hAnsi="Arial" w:cs="Arial"/>
          <w:color w:val="000000"/>
        </w:rPr>
        <w:lastRenderedPageBreak/>
        <w:t xml:space="preserve">misogyny, discrimination and </w:t>
      </w:r>
      <w:proofErr w:type="gramStart"/>
      <w:r w:rsidRPr="009733DF">
        <w:rPr>
          <w:rFonts w:ascii="Arial" w:hAnsi="Arial" w:cs="Arial"/>
          <w:color w:val="000000"/>
        </w:rPr>
        <w:t>police-perpetrated</w:t>
      </w:r>
      <w:proofErr w:type="gramEnd"/>
      <w:r w:rsidRPr="009733DF">
        <w:rPr>
          <w:rFonts w:ascii="Arial" w:hAnsi="Arial" w:cs="Arial"/>
          <w:color w:val="000000"/>
        </w:rPr>
        <w:t xml:space="preserve"> VAWG has further intensified scrutiny of organisational culture and professional standards within policing (Casey, 2023; </w:t>
      </w:r>
      <w:proofErr w:type="spellStart"/>
      <w:r w:rsidRPr="009733DF">
        <w:rPr>
          <w:rFonts w:ascii="Arial" w:hAnsi="Arial" w:cs="Arial"/>
          <w:color w:val="000000"/>
        </w:rPr>
        <w:t>Angiolini</w:t>
      </w:r>
      <w:proofErr w:type="spellEnd"/>
      <w:r w:rsidR="005904D8" w:rsidRPr="005904D8">
        <w:rPr>
          <w:rFonts w:ascii="Arial" w:hAnsi="Arial" w:cs="Arial"/>
          <w:color w:val="000000"/>
        </w:rPr>
        <w:t xml:space="preserve"> </w:t>
      </w:r>
      <w:r w:rsidR="005904D8" w:rsidRPr="009733DF">
        <w:rPr>
          <w:rFonts w:ascii="Arial" w:hAnsi="Arial" w:cs="Arial"/>
          <w:color w:val="000000"/>
        </w:rPr>
        <w:t>Inquiry</w:t>
      </w:r>
      <w:r w:rsidRPr="009733DF">
        <w:rPr>
          <w:rFonts w:ascii="Arial" w:hAnsi="Arial" w:cs="Arial"/>
          <w:color w:val="000000"/>
        </w:rPr>
        <w:t>, 2024; Brown, 2024). However, evidence of cultural problems within police organisations does not establish how women outside policing perceive that culture or whether such perceptions influence their anticipated engagement with police.</w:t>
      </w:r>
    </w:p>
    <w:p w14:paraId="0ADBF7FC" w14:textId="4CC9F80A"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Procedural justice and police legitimacy provide a plausible theoretical mechanism through which this relationship may operate. Fairness, respectful </w:t>
      </w:r>
      <w:proofErr w:type="gramStart"/>
      <w:r w:rsidRPr="009733DF">
        <w:rPr>
          <w:rFonts w:ascii="Arial" w:hAnsi="Arial" w:cs="Arial"/>
          <w:color w:val="000000"/>
        </w:rPr>
        <w:t>treatment</w:t>
      </w:r>
      <w:proofErr w:type="gramEnd"/>
      <w:r w:rsidRPr="009733DF">
        <w:rPr>
          <w:rFonts w:ascii="Arial" w:hAnsi="Arial" w:cs="Arial"/>
          <w:color w:val="000000"/>
        </w:rPr>
        <w:t xml:space="preserve"> and trustworthy exercise of authority are associated with legitimacy and public cooperation, yet the evidence does not support a deterministic relationship between positive attitudes towards police and reporting behaviour (Tyler, 2006; Jackson et al, 2012; McLean, 2024;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-Gil, 2025). VAWG presents additional complexities because victim-blaming, rape myths and expectations regarding credibility may influence engagement with criminal justice institutions (</w:t>
      </w:r>
      <w:proofErr w:type="spellStart"/>
      <w:r w:rsidRPr="009733DF">
        <w:rPr>
          <w:rFonts w:ascii="Arial" w:hAnsi="Arial" w:cs="Arial"/>
          <w:color w:val="000000"/>
        </w:rPr>
        <w:t>Sleath</w:t>
      </w:r>
      <w:proofErr w:type="spellEnd"/>
      <w:r w:rsidRPr="009733DF">
        <w:rPr>
          <w:rFonts w:ascii="Arial" w:hAnsi="Arial" w:cs="Arial"/>
          <w:color w:val="000000"/>
        </w:rPr>
        <w:t xml:space="preserve"> and Bull, 2017; </w:t>
      </w:r>
      <w:proofErr w:type="spellStart"/>
      <w:r w:rsidRPr="009733DF">
        <w:rPr>
          <w:rFonts w:ascii="Arial" w:hAnsi="Arial" w:cs="Arial"/>
          <w:color w:val="000000"/>
        </w:rPr>
        <w:t>Hohl</w:t>
      </w:r>
      <w:proofErr w:type="spellEnd"/>
      <w:r w:rsidRPr="009733DF">
        <w:rPr>
          <w:rFonts w:ascii="Arial" w:hAnsi="Arial" w:cs="Arial"/>
          <w:color w:val="000000"/>
        </w:rPr>
        <w:t xml:space="preserve">, Johnson and </w:t>
      </w:r>
      <w:proofErr w:type="spellStart"/>
      <w:r w:rsidRPr="009733DF">
        <w:rPr>
          <w:rFonts w:ascii="Arial" w:hAnsi="Arial" w:cs="Arial"/>
          <w:color w:val="000000"/>
        </w:rPr>
        <w:t>Molisso</w:t>
      </w:r>
      <w:proofErr w:type="spellEnd"/>
      <w:r w:rsidRPr="009733DF">
        <w:rPr>
          <w:rFonts w:ascii="Arial" w:hAnsi="Arial" w:cs="Arial"/>
          <w:color w:val="000000"/>
        </w:rPr>
        <w:t>, 2022; Smith et al, 2025). Ideal Victim Theory and intersectional scholarship further demonstrate that such expectations may operate differently according to victims’ circumstances and social positions (Christie, 1986; Crenshaw, 1991; Long, 2021).</w:t>
      </w:r>
    </w:p>
    <w:p w14:paraId="4FB995A3"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A significant gap therefore exists</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at the intersection of these bodies of literature</w:t>
      </w:r>
      <w:r w:rsidRPr="009733DF">
        <w:rPr>
          <w:rFonts w:ascii="Arial" w:hAnsi="Arial" w:cs="Arial"/>
          <w:b/>
          <w:bCs/>
          <w:color w:val="000000"/>
        </w:rPr>
        <w:t>.</w:t>
      </w:r>
      <w:r w:rsidRPr="009733DF">
        <w:rPr>
          <w:rFonts w:ascii="Arial" w:hAnsi="Arial" w:cs="Arial"/>
          <w:color w:val="000000"/>
        </w:rPr>
        <w:t xml:space="preserve"> Existing research has extensively examined police culture, legitimacy, VAWG and crime reporting separately, but comparatively limited evidence establishes whether</w:t>
      </w:r>
      <w:r w:rsidRPr="009733DF">
        <w:rPr>
          <w:rStyle w:val="apple-converted-space"/>
          <w:rFonts w:ascii="Arial" w:eastAsiaTheme="majorEastAsia" w:hAnsi="Arial" w:cs="Arial"/>
          <w:color w:val="000000"/>
        </w:rPr>
        <w:t> </w:t>
      </w:r>
      <w:r w:rsidRPr="009733DF">
        <w:rPr>
          <w:rStyle w:val="Strong"/>
          <w:rFonts w:ascii="Arial" w:eastAsiaTheme="majorEastAsia" w:hAnsi="Arial" w:cs="Arial"/>
          <w:b w:val="0"/>
          <w:bCs w:val="0"/>
          <w:color w:val="000000"/>
        </w:rPr>
        <w:t>public perceptions of police culture specifically influence women’s intentions to report VAWG</w:t>
      </w:r>
      <w:r w:rsidRPr="009733DF">
        <w:rPr>
          <w:rFonts w:ascii="Arial" w:hAnsi="Arial" w:cs="Arial"/>
          <w:color w:val="000000"/>
        </w:rPr>
        <w:t xml:space="preserve">. Furthermore, much of the evidence reviewed derives from England-and-Wales datasets, individual English forces or the Metropolitan Police, limiting conclusions that can be drawn specifically about women in Wales (Casey, 2023; </w:t>
      </w:r>
      <w:proofErr w:type="spellStart"/>
      <w:r w:rsidRPr="009733DF">
        <w:rPr>
          <w:rFonts w:ascii="Arial" w:hAnsi="Arial" w:cs="Arial"/>
          <w:color w:val="000000"/>
        </w:rPr>
        <w:t>Hohl</w:t>
      </w:r>
      <w:proofErr w:type="spellEnd"/>
      <w:r w:rsidRPr="009733DF">
        <w:rPr>
          <w:rFonts w:ascii="Arial" w:hAnsi="Arial" w:cs="Arial"/>
          <w:color w:val="000000"/>
        </w:rPr>
        <w:t xml:space="preserve">, Johnson and </w:t>
      </w:r>
      <w:proofErr w:type="spellStart"/>
      <w:r w:rsidRPr="009733DF">
        <w:rPr>
          <w:rFonts w:ascii="Arial" w:hAnsi="Arial" w:cs="Arial"/>
          <w:color w:val="000000"/>
        </w:rPr>
        <w:t>Molisso</w:t>
      </w:r>
      <w:proofErr w:type="spellEnd"/>
      <w:r w:rsidRPr="009733DF">
        <w:rPr>
          <w:rFonts w:ascii="Arial" w:hAnsi="Arial" w:cs="Arial"/>
          <w:color w:val="000000"/>
        </w:rPr>
        <w:t xml:space="preserve">, 2022; </w:t>
      </w:r>
      <w:proofErr w:type="spellStart"/>
      <w:r w:rsidRPr="009733DF">
        <w:rPr>
          <w:rFonts w:ascii="Arial" w:hAnsi="Arial" w:cs="Arial"/>
          <w:color w:val="000000"/>
        </w:rPr>
        <w:t>Timukaite</w:t>
      </w:r>
      <w:proofErr w:type="spellEnd"/>
      <w:r w:rsidRPr="009733DF">
        <w:rPr>
          <w:rFonts w:ascii="Arial" w:hAnsi="Arial" w:cs="Arial"/>
          <w:color w:val="000000"/>
        </w:rPr>
        <w:t xml:space="preserve"> and </w:t>
      </w:r>
      <w:proofErr w:type="spellStart"/>
      <w:r w:rsidRPr="009733DF">
        <w:rPr>
          <w:rFonts w:ascii="Arial" w:hAnsi="Arial" w:cs="Arial"/>
          <w:color w:val="000000"/>
        </w:rPr>
        <w:t>Buil</w:t>
      </w:r>
      <w:proofErr w:type="spellEnd"/>
      <w:r w:rsidRPr="009733DF">
        <w:rPr>
          <w:rFonts w:ascii="Arial" w:hAnsi="Arial" w:cs="Arial"/>
          <w:color w:val="000000"/>
        </w:rPr>
        <w:t xml:space="preserve">-Gil, 2025). This limitation is particularly important given Wales’s distinctive statutory and strategic approach to VAWDASV, which emphasises prevention, cultural change, survivor voice, </w:t>
      </w:r>
      <w:proofErr w:type="gramStart"/>
      <w:r w:rsidRPr="009733DF">
        <w:rPr>
          <w:rFonts w:ascii="Arial" w:hAnsi="Arial" w:cs="Arial"/>
          <w:color w:val="000000"/>
        </w:rPr>
        <w:t>intersectionality</w:t>
      </w:r>
      <w:proofErr w:type="gramEnd"/>
      <w:r w:rsidRPr="009733DF">
        <w:rPr>
          <w:rFonts w:ascii="Arial" w:hAnsi="Arial" w:cs="Arial"/>
          <w:color w:val="000000"/>
        </w:rPr>
        <w:t xml:space="preserve"> and whole-system collaboration (Welsh Government, 2022; Welsh Government, 2026).</w:t>
      </w:r>
    </w:p>
    <w:p w14:paraId="6B127D2B" w14:textId="77777777" w:rsidR="009733DF" w:rsidRPr="009733DF" w:rsidRDefault="009733DF" w:rsidP="009733DF">
      <w:pPr>
        <w:pStyle w:val="pdq2pgselectionanchorcontainer"/>
        <w:spacing w:line="360" w:lineRule="auto"/>
        <w:rPr>
          <w:rFonts w:ascii="Arial" w:hAnsi="Arial" w:cs="Arial"/>
          <w:color w:val="000000"/>
        </w:rPr>
      </w:pPr>
      <w:r w:rsidRPr="009733DF">
        <w:rPr>
          <w:rFonts w:ascii="Arial" w:hAnsi="Arial" w:cs="Arial"/>
          <w:color w:val="000000"/>
        </w:rPr>
        <w:t xml:space="preserve">The present study addresses this gap by examining women’s perceptions of contemporary police culture in Wales and investigating the extent to which these </w:t>
      </w:r>
      <w:r w:rsidRPr="009733DF">
        <w:rPr>
          <w:rFonts w:ascii="Arial" w:hAnsi="Arial" w:cs="Arial"/>
          <w:color w:val="000000"/>
        </w:rPr>
        <w:lastRenderedPageBreak/>
        <w:t>perceptions influence their intentions to report VAWG. It additionally seeks to identify the factors most strongly associated with reporting confidence and to consider the implications for operational and strategic police leadership. In doing so, the study connects previously overlapping but insufficiently integrated areas of scholarship within a specifically Welsh context. The following chapter outlines the methodological approach adopted to investigate these relationships.</w:t>
      </w:r>
    </w:p>
    <w:p w14:paraId="23B14E45" w14:textId="07816979" w:rsidR="009733DF" w:rsidRDefault="009733DF">
      <w:pPr>
        <w:rPr>
          <w:rFonts w:ascii="Arial" w:hAnsi="Arial" w:cs="Arial"/>
          <w:b/>
          <w:bCs/>
          <w:u w:val="single"/>
        </w:rPr>
      </w:pPr>
      <w:r w:rsidRPr="009733DF">
        <w:rPr>
          <w:rFonts w:ascii="Arial" w:hAnsi="Arial" w:cs="Arial"/>
          <w:b/>
          <w:bCs/>
          <w:u w:val="single"/>
        </w:rPr>
        <w:t xml:space="preserve">2.10 References </w:t>
      </w:r>
    </w:p>
    <w:p w14:paraId="0BFAF818" w14:textId="77777777" w:rsidR="009733DF" w:rsidRPr="009733DF" w:rsidRDefault="009733DF" w:rsidP="009733DF">
      <w:pPr>
        <w:pStyle w:val="pdq2pgselectionanchorcontainer"/>
        <w:spacing w:line="360" w:lineRule="auto"/>
        <w:rPr>
          <w:rFonts w:ascii="Arial" w:hAnsi="Arial" w:cs="Arial"/>
          <w:color w:val="000000"/>
        </w:rPr>
      </w:pPr>
      <w:proofErr w:type="spellStart"/>
      <w:r w:rsidRPr="009733DF">
        <w:rPr>
          <w:rFonts w:ascii="Arial" w:hAnsi="Arial" w:cs="Arial"/>
          <w:color w:val="000000"/>
        </w:rPr>
        <w:t>Angiolini</w:t>
      </w:r>
      <w:proofErr w:type="spellEnd"/>
      <w:r w:rsidRPr="009733DF">
        <w:rPr>
          <w:rFonts w:ascii="Arial" w:hAnsi="Arial" w:cs="Arial"/>
          <w:color w:val="000000"/>
        </w:rPr>
        <w:t xml:space="preserve"> Inquiry (2023)</w:t>
      </w:r>
      <w:r w:rsidRPr="009733DF">
        <w:rPr>
          <w:rStyle w:val="apple-converted-space"/>
          <w:rFonts w:ascii="Arial" w:eastAsiaTheme="majorEastAsia" w:hAnsi="Arial" w:cs="Arial"/>
          <w:color w:val="000000"/>
        </w:rPr>
        <w:t> </w:t>
      </w:r>
      <w:proofErr w:type="spellStart"/>
      <w:r w:rsidRPr="009733DF">
        <w:rPr>
          <w:rStyle w:val="Emphasis"/>
          <w:rFonts w:ascii="Arial" w:eastAsiaTheme="majorEastAsia" w:hAnsi="Arial" w:cs="Arial"/>
          <w:color w:val="000000"/>
        </w:rPr>
        <w:t>Angiolini</w:t>
      </w:r>
      <w:proofErr w:type="spellEnd"/>
      <w:r w:rsidRPr="009733DF">
        <w:rPr>
          <w:rStyle w:val="Emphasis"/>
          <w:rFonts w:ascii="Arial" w:eastAsiaTheme="majorEastAsia" w:hAnsi="Arial" w:cs="Arial"/>
          <w:color w:val="000000"/>
        </w:rPr>
        <w:t xml:space="preserve"> Inquiry Part 2: Terms of Reference</w:t>
      </w:r>
      <w:r w:rsidRPr="009733DF">
        <w:rPr>
          <w:rFonts w:ascii="Arial" w:hAnsi="Arial" w:cs="Arial"/>
          <w:color w:val="000000"/>
        </w:rPr>
        <w:t>. London: Home Office.</w:t>
      </w:r>
    </w:p>
    <w:p w14:paraId="360C6AA4"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Angiolini</w:t>
      </w:r>
      <w:proofErr w:type="spellEnd"/>
      <w:r w:rsidRPr="009733DF">
        <w:rPr>
          <w:rFonts w:ascii="Arial" w:hAnsi="Arial" w:cs="Arial"/>
          <w:color w:val="000000"/>
        </w:rPr>
        <w:t xml:space="preserve"> Inquiry (2024)</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 xml:space="preserve">The </w:t>
      </w:r>
      <w:proofErr w:type="spellStart"/>
      <w:r w:rsidRPr="009733DF">
        <w:rPr>
          <w:rStyle w:val="Emphasis"/>
          <w:rFonts w:ascii="Arial" w:eastAsiaTheme="majorEastAsia" w:hAnsi="Arial" w:cs="Arial"/>
          <w:color w:val="000000"/>
        </w:rPr>
        <w:t>Angiolini</w:t>
      </w:r>
      <w:proofErr w:type="spellEnd"/>
      <w:r w:rsidRPr="009733DF">
        <w:rPr>
          <w:rStyle w:val="Emphasis"/>
          <w:rFonts w:ascii="Arial" w:eastAsiaTheme="majorEastAsia" w:hAnsi="Arial" w:cs="Arial"/>
          <w:color w:val="000000"/>
        </w:rPr>
        <w:t xml:space="preserve"> Inquiry Part 1 Report</w:t>
      </w:r>
      <w:r w:rsidRPr="009733DF">
        <w:rPr>
          <w:rFonts w:ascii="Arial" w:hAnsi="Arial" w:cs="Arial"/>
          <w:color w:val="000000"/>
        </w:rPr>
        <w:t>. London: Home Office.</w:t>
      </w:r>
    </w:p>
    <w:p w14:paraId="1563D8B8"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Angiolini</w:t>
      </w:r>
      <w:proofErr w:type="spellEnd"/>
      <w:r w:rsidRPr="009733DF">
        <w:rPr>
          <w:rFonts w:ascii="Arial" w:hAnsi="Arial" w:cs="Arial"/>
          <w:color w:val="000000"/>
        </w:rPr>
        <w:t xml:space="preserve"> Inquiry (2025)</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 xml:space="preserve">The </w:t>
      </w:r>
      <w:proofErr w:type="spellStart"/>
      <w:r w:rsidRPr="009733DF">
        <w:rPr>
          <w:rStyle w:val="Emphasis"/>
          <w:rFonts w:ascii="Arial" w:eastAsiaTheme="majorEastAsia" w:hAnsi="Arial" w:cs="Arial"/>
          <w:color w:val="000000"/>
        </w:rPr>
        <w:t>Angiolini</w:t>
      </w:r>
      <w:proofErr w:type="spellEnd"/>
      <w:r w:rsidRPr="009733DF">
        <w:rPr>
          <w:rStyle w:val="Emphasis"/>
          <w:rFonts w:ascii="Arial" w:eastAsiaTheme="majorEastAsia" w:hAnsi="Arial" w:cs="Arial"/>
          <w:color w:val="000000"/>
        </w:rPr>
        <w:t xml:space="preserve"> Inquiry Part 2 First Report: Prevention of Sexually Motivated Crimes Against Women in Public</w:t>
      </w:r>
      <w:r w:rsidRPr="009733DF">
        <w:rPr>
          <w:rFonts w:ascii="Arial" w:hAnsi="Arial" w:cs="Arial"/>
          <w:color w:val="000000"/>
        </w:rPr>
        <w:t>. London: Home Office.</w:t>
      </w:r>
    </w:p>
    <w:p w14:paraId="327DB4BB"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Brown, J., Fleming, J., Silvestri, M., Linton, K. and </w:t>
      </w:r>
      <w:proofErr w:type="spellStart"/>
      <w:r w:rsidRPr="009733DF">
        <w:rPr>
          <w:rFonts w:ascii="Arial" w:hAnsi="Arial" w:cs="Arial"/>
          <w:color w:val="000000"/>
        </w:rPr>
        <w:t>Gouseti</w:t>
      </w:r>
      <w:proofErr w:type="spellEnd"/>
      <w:r w:rsidRPr="009733DF">
        <w:rPr>
          <w:rFonts w:ascii="Arial" w:hAnsi="Arial" w:cs="Arial"/>
          <w:color w:val="000000"/>
        </w:rPr>
        <w:t>, I. (2019) ‘Implications of police occupational culture in discriminatory experiences of senior women in police forces in England and Wales’,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Policing and Society</w:t>
      </w:r>
      <w:r w:rsidRPr="009733DF">
        <w:rPr>
          <w:rFonts w:ascii="Arial" w:hAnsi="Arial" w:cs="Arial"/>
          <w:color w:val="000000"/>
        </w:rPr>
        <w:t>, 29(2), pp. 121–136.</w:t>
      </w:r>
    </w:p>
    <w:p w14:paraId="1B8B3204"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Brown, J., Fleming, J. and Silvestri, M. (2021) ‘Policewomen’s perceptions of occupational culture in the changing policing environment of England and Wales: a study in liminality’,</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Police Journal</w:t>
      </w:r>
      <w:r w:rsidRPr="009733DF">
        <w:rPr>
          <w:rFonts w:ascii="Arial" w:hAnsi="Arial" w:cs="Arial"/>
          <w:color w:val="000000"/>
        </w:rPr>
        <w:t>, 94(3), pp. 259–281.</w:t>
      </w:r>
    </w:p>
    <w:p w14:paraId="460A9340"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Brown, J. (2024) ‘Police and misogyny’, in Fyfe, N. and Henry, A. (eds.)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Research Handbook of Policing and Society</w:t>
      </w:r>
      <w:r w:rsidRPr="009733DF">
        <w:rPr>
          <w:rFonts w:ascii="Arial" w:hAnsi="Arial" w:cs="Arial"/>
          <w:color w:val="000000"/>
        </w:rPr>
        <w:t>. Cheltenham: Edward Elgar.</w:t>
      </w:r>
    </w:p>
    <w:p w14:paraId="1EBFE940"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Casey, L. (2023)</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Final Report: An Independent Review into the Standards of Behaviour and Internal Culture of the Metropolitan Police Service</w:t>
      </w:r>
      <w:r w:rsidRPr="009733DF">
        <w:rPr>
          <w:rFonts w:ascii="Arial" w:hAnsi="Arial" w:cs="Arial"/>
          <w:color w:val="000000"/>
        </w:rPr>
        <w:t>. London: Metropolitan Police Service.</w:t>
      </w:r>
    </w:p>
    <w:p w14:paraId="4363FE69"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Charman, S. (2024) ‘Steering a path to cultural change: emerging and enduring characteristics of policing cultures in the UK’,</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International Journal of Police Science &amp; Management</w:t>
      </w:r>
      <w:r w:rsidRPr="009733DF">
        <w:rPr>
          <w:rFonts w:ascii="Arial" w:hAnsi="Arial" w:cs="Arial"/>
          <w:color w:val="000000"/>
        </w:rPr>
        <w:t>.</w:t>
      </w:r>
    </w:p>
    <w:p w14:paraId="6E23EAE4"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lastRenderedPageBreak/>
        <w:t>Christie, N. (1986) ‘The ideal victim’, in Fattah, E.A. (ed.)</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From Crime Policy to Victim Policy: Reorienting the Justice System</w:t>
      </w:r>
      <w:r w:rsidRPr="009733DF">
        <w:rPr>
          <w:rFonts w:ascii="Arial" w:hAnsi="Arial" w:cs="Arial"/>
          <w:color w:val="000000"/>
        </w:rPr>
        <w:t>. London: Macmillan, pp. 17–30.</w:t>
      </w:r>
    </w:p>
    <w:p w14:paraId="72F72A7B"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Cockcroft, T. (2006) ‘The notion of a police culture’, in O’Neill, M., Marks, M. and Singh, A.M. (eds.)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Police Occupational Culture: New Debates and Directions</w:t>
      </w:r>
      <w:r w:rsidRPr="009733DF">
        <w:rPr>
          <w:rFonts w:ascii="Arial" w:hAnsi="Arial" w:cs="Arial"/>
          <w:color w:val="000000"/>
        </w:rPr>
        <w:t>. Oxford: Elsevier.</w:t>
      </w:r>
    </w:p>
    <w:p w14:paraId="0F25A20E"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Cockcroft, T. (2013)</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Police Culture: Themes and Concepts</w:t>
      </w:r>
      <w:r w:rsidRPr="009733DF">
        <w:rPr>
          <w:rFonts w:ascii="Arial" w:hAnsi="Arial" w:cs="Arial"/>
          <w:color w:val="000000"/>
        </w:rPr>
        <w:t>. Abingdon: Routledge.</w:t>
      </w:r>
    </w:p>
    <w:p w14:paraId="31C69FD2"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College of Policing (2023)</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Code of Practice for Ethical Policing</w:t>
      </w:r>
      <w:r w:rsidRPr="009733DF">
        <w:rPr>
          <w:rFonts w:ascii="Arial" w:hAnsi="Arial" w:cs="Arial"/>
          <w:color w:val="000000"/>
        </w:rPr>
        <w:t>. Coventry: College of Policing.</w:t>
      </w:r>
    </w:p>
    <w:p w14:paraId="2BEDFFA0"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College of Policing (2024a)</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Code of Ethics</w:t>
      </w:r>
      <w:r w:rsidRPr="009733DF">
        <w:rPr>
          <w:rFonts w:ascii="Arial" w:hAnsi="Arial" w:cs="Arial"/>
          <w:color w:val="000000"/>
        </w:rPr>
        <w:t>. Coventry: College of Policing.</w:t>
      </w:r>
    </w:p>
    <w:p w14:paraId="647469C6"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College of Policing (2024b)</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Guidance for Ethical and Professional Behaviour in Policing</w:t>
      </w:r>
      <w:r w:rsidRPr="009733DF">
        <w:rPr>
          <w:rFonts w:ascii="Arial" w:hAnsi="Arial" w:cs="Arial"/>
          <w:color w:val="000000"/>
        </w:rPr>
        <w:t>. Coventry: College of Policing.</w:t>
      </w:r>
    </w:p>
    <w:p w14:paraId="610ACA29"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College of Policing (2024c)</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Sexism and Misogyny in Policing</w:t>
      </w:r>
      <w:r w:rsidRPr="009733DF">
        <w:rPr>
          <w:rFonts w:ascii="Arial" w:hAnsi="Arial" w:cs="Arial"/>
          <w:color w:val="000000"/>
        </w:rPr>
        <w:t>. Coventry: College of Policing.</w:t>
      </w:r>
    </w:p>
    <w:p w14:paraId="75FA830C"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Crenshaw, K. (1989) ‘Demarginalizing the intersection of race and sex: a Black feminist critique of antidiscrimination doctrine, feminist theory and antiracist politics’,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University of Chicago Legal Forum</w:t>
      </w:r>
      <w:r w:rsidRPr="009733DF">
        <w:rPr>
          <w:rFonts w:ascii="Arial" w:hAnsi="Arial" w:cs="Arial"/>
          <w:color w:val="000000"/>
        </w:rPr>
        <w:t>, 1989(1), pp. 139–167.</w:t>
      </w:r>
    </w:p>
    <w:p w14:paraId="268262BD"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Crenshaw, K. (1991) ‘Mapping the margins: intersectionality, identity politics, and violence against women of </w:t>
      </w:r>
      <w:proofErr w:type="spellStart"/>
      <w:r w:rsidRPr="009733DF">
        <w:rPr>
          <w:rFonts w:ascii="Arial" w:hAnsi="Arial" w:cs="Arial"/>
          <w:color w:val="000000"/>
        </w:rPr>
        <w:t>color</w:t>
      </w:r>
      <w:proofErr w:type="spellEnd"/>
      <w:r w:rsidRPr="009733DF">
        <w:rPr>
          <w:rFonts w:ascii="Arial" w:hAnsi="Arial" w:cs="Arial"/>
          <w:color w:val="000000"/>
        </w:rPr>
        <w:t>’,</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Stanford Law Review</w:t>
      </w:r>
      <w:r w:rsidRPr="009733DF">
        <w:rPr>
          <w:rFonts w:ascii="Arial" w:hAnsi="Arial" w:cs="Arial"/>
          <w:color w:val="000000"/>
        </w:rPr>
        <w:t>, 43(6), pp. 1241–1299.</w:t>
      </w:r>
    </w:p>
    <w:p w14:paraId="7312BE67"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Dowler, K. and </w:t>
      </w:r>
      <w:proofErr w:type="spellStart"/>
      <w:r w:rsidRPr="009733DF">
        <w:rPr>
          <w:rFonts w:ascii="Arial" w:hAnsi="Arial" w:cs="Arial"/>
          <w:color w:val="000000"/>
        </w:rPr>
        <w:t>Zawilski</w:t>
      </w:r>
      <w:proofErr w:type="spellEnd"/>
      <w:r w:rsidRPr="009733DF">
        <w:rPr>
          <w:rFonts w:ascii="Arial" w:hAnsi="Arial" w:cs="Arial"/>
          <w:color w:val="000000"/>
        </w:rPr>
        <w:t>, V. (2007) ‘Public perceptions of police misconduct and discrimination: examining the impact of media consumption’,</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Journal of Criminal Justice</w:t>
      </w:r>
      <w:r w:rsidRPr="009733DF">
        <w:rPr>
          <w:rFonts w:ascii="Arial" w:hAnsi="Arial" w:cs="Arial"/>
          <w:color w:val="000000"/>
        </w:rPr>
        <w:t>, 35(2), pp. 193–203.</w:t>
      </w:r>
    </w:p>
    <w:p w14:paraId="311F7C24"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Duggan, M. (ed.) (2018)</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Revisiting the ‘Ideal Victim’: Developments in Critical Victimology</w:t>
      </w:r>
      <w:r w:rsidRPr="009733DF">
        <w:rPr>
          <w:rFonts w:ascii="Arial" w:hAnsi="Arial" w:cs="Arial"/>
          <w:color w:val="000000"/>
        </w:rPr>
        <w:t>. Bristol: Policy Press.</w:t>
      </w:r>
    </w:p>
    <w:p w14:paraId="1FEA3B2F"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Egan, R. and Wilson, C. (2012) ‘Rape victims’ attitudes to rape myth acceptance’,</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Psychiatry, Psychology and Law</w:t>
      </w:r>
      <w:r w:rsidRPr="009733DF">
        <w:rPr>
          <w:rFonts w:ascii="Arial" w:hAnsi="Arial" w:cs="Arial"/>
          <w:color w:val="000000"/>
        </w:rPr>
        <w:t>, 19(3), pp. 345–357.</w:t>
      </w:r>
    </w:p>
    <w:p w14:paraId="77ED4633"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lastRenderedPageBreak/>
        <w:t>Feilzer</w:t>
      </w:r>
      <w:proofErr w:type="spellEnd"/>
      <w:r w:rsidRPr="009733DF">
        <w:rPr>
          <w:rFonts w:ascii="Arial" w:hAnsi="Arial" w:cs="Arial"/>
          <w:color w:val="000000"/>
        </w:rPr>
        <w:t>, M. and Loftus, B. (2024) ‘Scrutiny of police institutions and the spectre of culture’,</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Political Quarterly</w:t>
      </w:r>
      <w:r w:rsidRPr="009733DF">
        <w:rPr>
          <w:rFonts w:ascii="Arial" w:hAnsi="Arial" w:cs="Arial"/>
          <w:color w:val="000000"/>
        </w:rPr>
        <w:t>, 95, pp. 514–522.</w:t>
      </w:r>
    </w:p>
    <w:p w14:paraId="64AB0158"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Gravelin</w:t>
      </w:r>
      <w:proofErr w:type="spellEnd"/>
      <w:r w:rsidRPr="009733DF">
        <w:rPr>
          <w:rFonts w:ascii="Arial" w:hAnsi="Arial" w:cs="Arial"/>
          <w:color w:val="000000"/>
        </w:rPr>
        <w:t xml:space="preserve">, C.R., </w:t>
      </w:r>
      <w:proofErr w:type="spellStart"/>
      <w:r w:rsidRPr="009733DF">
        <w:rPr>
          <w:rFonts w:ascii="Arial" w:hAnsi="Arial" w:cs="Arial"/>
          <w:color w:val="000000"/>
        </w:rPr>
        <w:t>Biernat</w:t>
      </w:r>
      <w:proofErr w:type="spellEnd"/>
      <w:r w:rsidRPr="009733DF">
        <w:rPr>
          <w:rFonts w:ascii="Arial" w:hAnsi="Arial" w:cs="Arial"/>
          <w:color w:val="000000"/>
        </w:rPr>
        <w:t>, M. and Bucher, C.E. (2019) ‘Blaming the victim of acquaintance rape: individual, situational, and sociocultural factors’,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Frontiers in Psychology</w:t>
      </w:r>
      <w:r w:rsidRPr="009733DF">
        <w:rPr>
          <w:rFonts w:ascii="Arial" w:hAnsi="Arial" w:cs="Arial"/>
          <w:color w:val="000000"/>
        </w:rPr>
        <w:t>, 9, article 2422.</w:t>
      </w:r>
    </w:p>
    <w:p w14:paraId="0F5F7FB0"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Hohl</w:t>
      </w:r>
      <w:proofErr w:type="spellEnd"/>
      <w:r w:rsidRPr="009733DF">
        <w:rPr>
          <w:rFonts w:ascii="Arial" w:hAnsi="Arial" w:cs="Arial"/>
          <w:color w:val="000000"/>
        </w:rPr>
        <w:t>, K., Bradford, B. and Stanko, E.A. (2010) ‘Influencing trust and confidence in the Metropolitan Police: results from an experiment testing the effect of leaflet-drops on public opinion’,</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British Journal of Criminology</w:t>
      </w:r>
      <w:r w:rsidRPr="009733DF">
        <w:rPr>
          <w:rFonts w:ascii="Arial" w:hAnsi="Arial" w:cs="Arial"/>
          <w:color w:val="000000"/>
        </w:rPr>
        <w:t>, 50(3), pp. 491–513.</w:t>
      </w:r>
    </w:p>
    <w:p w14:paraId="5DB239EF"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Hohl</w:t>
      </w:r>
      <w:proofErr w:type="spellEnd"/>
      <w:r w:rsidRPr="009733DF">
        <w:rPr>
          <w:rFonts w:ascii="Arial" w:hAnsi="Arial" w:cs="Arial"/>
          <w:color w:val="000000"/>
        </w:rPr>
        <w:t>, K. and Stanko, E.A. (2015) ‘Complaints of rape and the criminal justice system: fresh evidence on the attrition problem in England and Wales’,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European Journal of Criminology</w:t>
      </w:r>
      <w:r w:rsidRPr="009733DF">
        <w:rPr>
          <w:rFonts w:ascii="Arial" w:hAnsi="Arial" w:cs="Arial"/>
          <w:color w:val="000000"/>
        </w:rPr>
        <w:t>, 12(3), pp. 324–341.</w:t>
      </w:r>
    </w:p>
    <w:p w14:paraId="19656C1B"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Hohl</w:t>
      </w:r>
      <w:proofErr w:type="spellEnd"/>
      <w:r w:rsidRPr="009733DF">
        <w:rPr>
          <w:rFonts w:ascii="Arial" w:hAnsi="Arial" w:cs="Arial"/>
          <w:color w:val="000000"/>
        </w:rPr>
        <w:t xml:space="preserve">, K., Johnson, K. and </w:t>
      </w:r>
      <w:proofErr w:type="spellStart"/>
      <w:r w:rsidRPr="009733DF">
        <w:rPr>
          <w:rFonts w:ascii="Arial" w:hAnsi="Arial" w:cs="Arial"/>
          <w:color w:val="000000"/>
        </w:rPr>
        <w:t>Molisso</w:t>
      </w:r>
      <w:proofErr w:type="spellEnd"/>
      <w:r w:rsidRPr="009733DF">
        <w:rPr>
          <w:rFonts w:ascii="Arial" w:hAnsi="Arial" w:cs="Arial"/>
          <w:color w:val="000000"/>
        </w:rPr>
        <w:t>, S. (2022) ‘A procedural justice theory approach to police engagement with victim-survivors of rape and sexual assault: initial findings of the “Project Bluestone” pilot study’,</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International Criminology</w:t>
      </w:r>
      <w:r w:rsidRPr="009733DF">
        <w:rPr>
          <w:rFonts w:ascii="Arial" w:hAnsi="Arial" w:cs="Arial"/>
          <w:color w:val="000000"/>
        </w:rPr>
        <w:t>, 2, pp. 253–261.</w:t>
      </w:r>
    </w:p>
    <w:p w14:paraId="62F0F8F6"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Hough, M., Jackson, J., Bradford, B., </w:t>
      </w:r>
      <w:proofErr w:type="spellStart"/>
      <w:r w:rsidRPr="009733DF">
        <w:rPr>
          <w:rFonts w:ascii="Arial" w:hAnsi="Arial" w:cs="Arial"/>
          <w:color w:val="000000"/>
        </w:rPr>
        <w:t>Myhill</w:t>
      </w:r>
      <w:proofErr w:type="spellEnd"/>
      <w:r w:rsidRPr="009733DF">
        <w:rPr>
          <w:rFonts w:ascii="Arial" w:hAnsi="Arial" w:cs="Arial"/>
          <w:color w:val="000000"/>
        </w:rPr>
        <w:t>, A. and Quinton, P. (2010) ‘Procedural justice, trust, and institutional legitimacy’,</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Policing: A Journal of Policy and Practice</w:t>
      </w:r>
      <w:r w:rsidRPr="009733DF">
        <w:rPr>
          <w:rFonts w:ascii="Arial" w:hAnsi="Arial" w:cs="Arial"/>
          <w:color w:val="000000"/>
        </w:rPr>
        <w:t>, 4(3), pp. 203–210.</w:t>
      </w:r>
    </w:p>
    <w:p w14:paraId="518BD533"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Independent Office for Police Conduct (IOPC) (2021)</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Former Metropolitan Police Service Officers Jailed for Taking Photographs at Crime Scene</w:t>
      </w:r>
      <w:r w:rsidRPr="009733DF">
        <w:rPr>
          <w:rFonts w:ascii="Arial" w:hAnsi="Arial" w:cs="Arial"/>
          <w:color w:val="000000"/>
        </w:rPr>
        <w:t>. London: Independent Office for Police Conduct.</w:t>
      </w:r>
    </w:p>
    <w:p w14:paraId="7C7EEB94"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Independent Office for Police Conduct (IOPC) (2022)</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Failings Identified in How the MPS Handled Missing Persons Reports for Murdered Sisters</w:t>
      </w:r>
      <w:r w:rsidRPr="009733DF">
        <w:rPr>
          <w:rFonts w:ascii="Arial" w:hAnsi="Arial" w:cs="Arial"/>
          <w:color w:val="000000"/>
        </w:rPr>
        <w:t>. London: Independent Office for Police Conduct.</w:t>
      </w:r>
    </w:p>
    <w:p w14:paraId="2C2075BE"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Intravia</w:t>
      </w:r>
      <w:proofErr w:type="spellEnd"/>
      <w:r w:rsidRPr="009733DF">
        <w:rPr>
          <w:rFonts w:ascii="Arial" w:hAnsi="Arial" w:cs="Arial"/>
          <w:color w:val="000000"/>
        </w:rPr>
        <w:t>, J., Wolff, K.T. and Piquero, A.R. (2018) ‘Media consumption and perceptions of police legitimacy’,</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Policing: An International Journal</w:t>
      </w:r>
      <w:r w:rsidRPr="009733DF">
        <w:rPr>
          <w:rFonts w:ascii="Arial" w:hAnsi="Arial" w:cs="Arial"/>
          <w:color w:val="000000"/>
        </w:rPr>
        <w:t>, 41(5), pp. 593–607.</w:t>
      </w:r>
    </w:p>
    <w:p w14:paraId="7451BFEE"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lastRenderedPageBreak/>
        <w:t xml:space="preserve">Jackson, J., Bradford, B., Hough, M., </w:t>
      </w:r>
      <w:proofErr w:type="spellStart"/>
      <w:r w:rsidRPr="009733DF">
        <w:rPr>
          <w:rFonts w:ascii="Arial" w:hAnsi="Arial" w:cs="Arial"/>
          <w:color w:val="000000"/>
        </w:rPr>
        <w:t>Myhill</w:t>
      </w:r>
      <w:proofErr w:type="spellEnd"/>
      <w:r w:rsidRPr="009733DF">
        <w:rPr>
          <w:rFonts w:ascii="Arial" w:hAnsi="Arial" w:cs="Arial"/>
          <w:color w:val="000000"/>
        </w:rPr>
        <w:t xml:space="preserve">, A., Quinton, </w:t>
      </w:r>
      <w:proofErr w:type="gramStart"/>
      <w:r w:rsidRPr="009733DF">
        <w:rPr>
          <w:rFonts w:ascii="Arial" w:hAnsi="Arial" w:cs="Arial"/>
          <w:color w:val="000000"/>
        </w:rPr>
        <w:t>P.</w:t>
      </w:r>
      <w:proofErr w:type="gramEnd"/>
      <w:r w:rsidRPr="009733DF">
        <w:rPr>
          <w:rFonts w:ascii="Arial" w:hAnsi="Arial" w:cs="Arial"/>
          <w:color w:val="000000"/>
        </w:rPr>
        <w:t xml:space="preserve"> and Tyler, T.R. (2012) ‘Why do people comply with the law? Legitimacy and the influence of legal institutions’,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British Journal of Criminology</w:t>
      </w:r>
      <w:r w:rsidRPr="009733DF">
        <w:rPr>
          <w:rFonts w:ascii="Arial" w:hAnsi="Arial" w:cs="Arial"/>
          <w:color w:val="000000"/>
        </w:rPr>
        <w:t>, 52(6), pp. 1051–1071.</w:t>
      </w:r>
    </w:p>
    <w:p w14:paraId="7F3CF95B"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Jackson, J. and Bradford, B. (2013) ‘Police legitimacy: a conceptual review’, in </w:t>
      </w:r>
      <w:proofErr w:type="spellStart"/>
      <w:r w:rsidRPr="009733DF">
        <w:rPr>
          <w:rFonts w:ascii="Arial" w:hAnsi="Arial" w:cs="Arial"/>
          <w:color w:val="000000"/>
        </w:rPr>
        <w:t>Tankebe</w:t>
      </w:r>
      <w:proofErr w:type="spellEnd"/>
      <w:r w:rsidRPr="009733DF">
        <w:rPr>
          <w:rFonts w:ascii="Arial" w:hAnsi="Arial" w:cs="Arial"/>
          <w:color w:val="000000"/>
        </w:rPr>
        <w:t>, J. and Liebling, A. (eds.)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Legitimacy and Criminal Justice: An International Exploration</w:t>
      </w:r>
      <w:r w:rsidRPr="009733DF">
        <w:rPr>
          <w:rFonts w:ascii="Arial" w:hAnsi="Arial" w:cs="Arial"/>
          <w:color w:val="000000"/>
        </w:rPr>
        <w:t>. Oxford: Oxford University Press.</w:t>
      </w:r>
    </w:p>
    <w:p w14:paraId="6137077A"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Loftus, B. (2008) ‘Dominant culture interrupted: recognition, resentment and the politics of change in an English police force’,</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British Journal of Criminology</w:t>
      </w:r>
      <w:r w:rsidRPr="009733DF">
        <w:rPr>
          <w:rFonts w:ascii="Arial" w:hAnsi="Arial" w:cs="Arial"/>
          <w:color w:val="000000"/>
        </w:rPr>
        <w:t>, 48(6), pp. 756–777.</w:t>
      </w:r>
    </w:p>
    <w:p w14:paraId="1726B10F"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Loftus, B. (2009)</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Police Culture in a Changing World</w:t>
      </w:r>
      <w:r w:rsidRPr="009733DF">
        <w:rPr>
          <w:rFonts w:ascii="Arial" w:hAnsi="Arial" w:cs="Arial"/>
          <w:color w:val="000000"/>
        </w:rPr>
        <w:t>. Oxford: Oxford University Press.</w:t>
      </w:r>
    </w:p>
    <w:p w14:paraId="426348D7"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Loftus, B. (2010) ‘Police occupational culture: classic themes, altered times’,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Policing and Society</w:t>
      </w:r>
      <w:r w:rsidRPr="009733DF">
        <w:rPr>
          <w:rFonts w:ascii="Arial" w:hAnsi="Arial" w:cs="Arial"/>
          <w:color w:val="000000"/>
        </w:rPr>
        <w:t>, 20(1), pp. 1–20.</w:t>
      </w:r>
    </w:p>
    <w:p w14:paraId="75EE4960"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Long, L.J. (2021) ‘The ideal victim: a critical race theory (CRT) approach’,</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International Review of Victimology</w:t>
      </w:r>
      <w:r w:rsidRPr="009733DF">
        <w:rPr>
          <w:rFonts w:ascii="Arial" w:hAnsi="Arial" w:cs="Arial"/>
          <w:color w:val="000000"/>
        </w:rPr>
        <w:t>, 27(3), pp. 344–362.</w:t>
      </w:r>
    </w:p>
    <w:p w14:paraId="5181EFF2"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MacLeod, N. (2016) ‘“I thought I’d be safe there”: pre-empting blame in the talk of women reporting rape’,</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Journal of Pragmatics</w:t>
      </w:r>
      <w:r w:rsidRPr="009733DF">
        <w:rPr>
          <w:rFonts w:ascii="Arial" w:hAnsi="Arial" w:cs="Arial"/>
          <w:color w:val="000000"/>
        </w:rPr>
        <w:t>, 96, pp. 96–109.</w:t>
      </w:r>
    </w:p>
    <w:p w14:paraId="00DEEB5D"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Mazerolle, L., Bennett, S., Davis, J., </w:t>
      </w:r>
      <w:proofErr w:type="spellStart"/>
      <w:r w:rsidRPr="009733DF">
        <w:rPr>
          <w:rFonts w:ascii="Arial" w:hAnsi="Arial" w:cs="Arial"/>
          <w:color w:val="000000"/>
        </w:rPr>
        <w:t>Sargeant</w:t>
      </w:r>
      <w:proofErr w:type="spellEnd"/>
      <w:r w:rsidRPr="009733DF">
        <w:rPr>
          <w:rFonts w:ascii="Arial" w:hAnsi="Arial" w:cs="Arial"/>
          <w:color w:val="000000"/>
        </w:rPr>
        <w:t>, E. and Manning, M. (2013) ‘Procedural justice and police legitimacy: a systematic review of the research evidence’,</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Journal of Experimental Criminology</w:t>
      </w:r>
      <w:r w:rsidRPr="009733DF">
        <w:rPr>
          <w:rFonts w:ascii="Arial" w:hAnsi="Arial" w:cs="Arial"/>
          <w:color w:val="000000"/>
        </w:rPr>
        <w:t>, 9, pp. 245–274.</w:t>
      </w:r>
    </w:p>
    <w:p w14:paraId="02F7F71A"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McLean, S.J. (2024) ‘Police legitimacy, procedural justice, and formal social control’,</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 xml:space="preserve">Oxford Research </w:t>
      </w:r>
      <w:proofErr w:type="spellStart"/>
      <w:r w:rsidRPr="009733DF">
        <w:rPr>
          <w:rStyle w:val="Emphasis"/>
          <w:rFonts w:ascii="Arial" w:eastAsiaTheme="majorEastAsia" w:hAnsi="Arial" w:cs="Arial"/>
          <w:color w:val="000000"/>
        </w:rPr>
        <w:t>Encyclopedia</w:t>
      </w:r>
      <w:proofErr w:type="spellEnd"/>
      <w:r w:rsidRPr="009733DF">
        <w:rPr>
          <w:rStyle w:val="Emphasis"/>
          <w:rFonts w:ascii="Arial" w:eastAsiaTheme="majorEastAsia" w:hAnsi="Arial" w:cs="Arial"/>
          <w:color w:val="000000"/>
        </w:rPr>
        <w:t xml:space="preserve"> of Criminology and Criminal Justice</w:t>
      </w:r>
      <w:r w:rsidRPr="009733DF">
        <w:rPr>
          <w:rFonts w:ascii="Arial" w:hAnsi="Arial" w:cs="Arial"/>
          <w:color w:val="000000"/>
        </w:rPr>
        <w:t>. Oxford: Oxford University Press.</w:t>
      </w:r>
    </w:p>
    <w:p w14:paraId="7DCF4947"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Office for National Statistics (ONS) (2025a)</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Sexual Offences in England and Wales Overview: Year Ending March 2025</w:t>
      </w:r>
      <w:r w:rsidRPr="009733DF">
        <w:rPr>
          <w:rFonts w:ascii="Arial" w:hAnsi="Arial" w:cs="Arial"/>
          <w:color w:val="000000"/>
        </w:rPr>
        <w:t>. Newport: Office for National Statistics.</w:t>
      </w:r>
    </w:p>
    <w:p w14:paraId="143B3446"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lastRenderedPageBreak/>
        <w:t>Office for National Statistics (ONS) (2025b)</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 xml:space="preserve">Nature of Sexual Assault by Rape or Penetration, </w:t>
      </w:r>
      <w:proofErr w:type="gramStart"/>
      <w:r w:rsidRPr="009733DF">
        <w:rPr>
          <w:rStyle w:val="Emphasis"/>
          <w:rFonts w:ascii="Arial" w:eastAsiaTheme="majorEastAsia" w:hAnsi="Arial" w:cs="Arial"/>
          <w:color w:val="000000"/>
        </w:rPr>
        <w:t>England</w:t>
      </w:r>
      <w:proofErr w:type="gramEnd"/>
      <w:r w:rsidRPr="009733DF">
        <w:rPr>
          <w:rStyle w:val="Emphasis"/>
          <w:rFonts w:ascii="Arial" w:eastAsiaTheme="majorEastAsia" w:hAnsi="Arial" w:cs="Arial"/>
          <w:color w:val="000000"/>
        </w:rPr>
        <w:t xml:space="preserve"> and Wales: Year Ending March 2025</w:t>
      </w:r>
      <w:r w:rsidRPr="009733DF">
        <w:rPr>
          <w:rFonts w:ascii="Arial" w:hAnsi="Arial" w:cs="Arial"/>
          <w:color w:val="000000"/>
        </w:rPr>
        <w:t>. Newport: Office for National Statistics.</w:t>
      </w:r>
    </w:p>
    <w:p w14:paraId="3E5115CE"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Reiner, R. (2010)</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Politics of the Police</w:t>
      </w:r>
      <w:r w:rsidRPr="009733DF">
        <w:rPr>
          <w:rFonts w:ascii="Arial" w:hAnsi="Arial" w:cs="Arial"/>
          <w:color w:val="000000"/>
        </w:rPr>
        <w:t xml:space="preserve">. 4th </w:t>
      </w:r>
      <w:proofErr w:type="spellStart"/>
      <w:r w:rsidRPr="009733DF">
        <w:rPr>
          <w:rFonts w:ascii="Arial" w:hAnsi="Arial" w:cs="Arial"/>
          <w:color w:val="000000"/>
        </w:rPr>
        <w:t>edn</w:t>
      </w:r>
      <w:proofErr w:type="spellEnd"/>
      <w:r w:rsidRPr="009733DF">
        <w:rPr>
          <w:rFonts w:ascii="Arial" w:hAnsi="Arial" w:cs="Arial"/>
          <w:color w:val="000000"/>
        </w:rPr>
        <w:t>. Oxford: Oxford University Press.</w:t>
      </w:r>
    </w:p>
    <w:p w14:paraId="47BE5867"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Silvestri, M. (2017) ‘Police culture and gender: revisiting the “cult of masculinity”’,</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Policing: A Journal of Policy and Practice</w:t>
      </w:r>
      <w:r w:rsidRPr="009733DF">
        <w:rPr>
          <w:rFonts w:ascii="Arial" w:hAnsi="Arial" w:cs="Arial"/>
          <w:color w:val="000000"/>
        </w:rPr>
        <w:t>, 11(3), pp. 289–300.</w:t>
      </w:r>
    </w:p>
    <w:p w14:paraId="6C5235B7"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Skolnick, J.H. (1966)</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Justice Without Trial: Law Enforcement in Democratic Society</w:t>
      </w:r>
      <w:r w:rsidRPr="009733DF">
        <w:rPr>
          <w:rFonts w:ascii="Arial" w:hAnsi="Arial" w:cs="Arial"/>
          <w:color w:val="000000"/>
        </w:rPr>
        <w:t>. New York: Wiley.</w:t>
      </w:r>
    </w:p>
    <w:p w14:paraId="28E3A691"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Sleath</w:t>
      </w:r>
      <w:proofErr w:type="spellEnd"/>
      <w:r w:rsidRPr="009733DF">
        <w:rPr>
          <w:rFonts w:ascii="Arial" w:hAnsi="Arial" w:cs="Arial"/>
          <w:color w:val="000000"/>
        </w:rPr>
        <w:t>, E. and Bull, R. (2015) ‘A brief report on rape myth acceptance: differences between police officers, law students, and psychology students in the United Kingdom’,</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Violence and Victims</w:t>
      </w:r>
      <w:r w:rsidRPr="009733DF">
        <w:rPr>
          <w:rFonts w:ascii="Arial" w:hAnsi="Arial" w:cs="Arial"/>
          <w:color w:val="000000"/>
        </w:rPr>
        <w:t>, 30(1), pp. 136–147.</w:t>
      </w:r>
    </w:p>
    <w:p w14:paraId="4079D088"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Sleath</w:t>
      </w:r>
      <w:proofErr w:type="spellEnd"/>
      <w:r w:rsidRPr="009733DF">
        <w:rPr>
          <w:rFonts w:ascii="Arial" w:hAnsi="Arial" w:cs="Arial"/>
          <w:color w:val="000000"/>
        </w:rPr>
        <w:t>, E. and Bull, R. (2017) ‘Police perceptions of rape victims and the impact on case decision making: a systematic review’,</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 xml:space="preserve">Aggression and Violent </w:t>
      </w:r>
      <w:proofErr w:type="spellStart"/>
      <w:r w:rsidRPr="009733DF">
        <w:rPr>
          <w:rStyle w:val="Emphasis"/>
          <w:rFonts w:ascii="Arial" w:eastAsiaTheme="majorEastAsia" w:hAnsi="Arial" w:cs="Arial"/>
          <w:color w:val="000000"/>
        </w:rPr>
        <w:t>Behavior</w:t>
      </w:r>
      <w:proofErr w:type="spellEnd"/>
      <w:r w:rsidRPr="009733DF">
        <w:rPr>
          <w:rFonts w:ascii="Arial" w:hAnsi="Arial" w:cs="Arial"/>
          <w:color w:val="000000"/>
        </w:rPr>
        <w:t>, 34, pp. 102–112.</w:t>
      </w:r>
    </w:p>
    <w:p w14:paraId="1C41D2AA"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Smith, O., Johnson, K., Brooks-Hay, O., </w:t>
      </w:r>
      <w:proofErr w:type="spellStart"/>
      <w:r w:rsidRPr="009733DF">
        <w:rPr>
          <w:rFonts w:ascii="Arial" w:hAnsi="Arial" w:cs="Arial"/>
          <w:color w:val="000000"/>
        </w:rPr>
        <w:t>Friskney</w:t>
      </w:r>
      <w:proofErr w:type="spellEnd"/>
      <w:r w:rsidRPr="009733DF">
        <w:rPr>
          <w:rFonts w:ascii="Arial" w:hAnsi="Arial" w:cs="Arial"/>
          <w:color w:val="000000"/>
        </w:rPr>
        <w:t>, R., Geoghegan-</w:t>
      </w:r>
      <w:proofErr w:type="spellStart"/>
      <w:r w:rsidRPr="009733DF">
        <w:rPr>
          <w:rFonts w:ascii="Arial" w:hAnsi="Arial" w:cs="Arial"/>
          <w:color w:val="000000"/>
        </w:rPr>
        <w:t>Fittall</w:t>
      </w:r>
      <w:proofErr w:type="spellEnd"/>
      <w:r w:rsidRPr="009733DF">
        <w:rPr>
          <w:rFonts w:ascii="Arial" w:hAnsi="Arial" w:cs="Arial"/>
          <w:color w:val="000000"/>
        </w:rPr>
        <w:t xml:space="preserve">, S., Hillyard, S., </w:t>
      </w:r>
      <w:proofErr w:type="spellStart"/>
      <w:r w:rsidRPr="009733DF">
        <w:rPr>
          <w:rFonts w:ascii="Arial" w:hAnsi="Arial" w:cs="Arial"/>
          <w:color w:val="000000"/>
        </w:rPr>
        <w:t>Hohl</w:t>
      </w:r>
      <w:proofErr w:type="spellEnd"/>
      <w:r w:rsidRPr="009733DF">
        <w:rPr>
          <w:rFonts w:ascii="Arial" w:hAnsi="Arial" w:cs="Arial"/>
          <w:color w:val="000000"/>
        </w:rPr>
        <w:t xml:space="preserve">, K., Jennings, B., </w:t>
      </w:r>
      <w:proofErr w:type="spellStart"/>
      <w:r w:rsidRPr="009733DF">
        <w:rPr>
          <w:rFonts w:ascii="Arial" w:hAnsi="Arial" w:cs="Arial"/>
          <w:color w:val="000000"/>
        </w:rPr>
        <w:t>Molisso</w:t>
      </w:r>
      <w:proofErr w:type="spellEnd"/>
      <w:r w:rsidRPr="009733DF">
        <w:rPr>
          <w:rFonts w:ascii="Arial" w:hAnsi="Arial" w:cs="Arial"/>
          <w:color w:val="000000"/>
        </w:rPr>
        <w:t xml:space="preserve">, S., </w:t>
      </w:r>
      <w:proofErr w:type="spellStart"/>
      <w:r w:rsidRPr="009733DF">
        <w:rPr>
          <w:rFonts w:ascii="Arial" w:hAnsi="Arial" w:cs="Arial"/>
          <w:color w:val="000000"/>
        </w:rPr>
        <w:t>Myhill</w:t>
      </w:r>
      <w:proofErr w:type="spellEnd"/>
      <w:r w:rsidRPr="009733DF">
        <w:rPr>
          <w:rFonts w:ascii="Arial" w:hAnsi="Arial" w:cs="Arial"/>
          <w:color w:val="000000"/>
        </w:rPr>
        <w:t>, A. and Walling-</w:t>
      </w:r>
      <w:proofErr w:type="spellStart"/>
      <w:r w:rsidRPr="009733DF">
        <w:rPr>
          <w:rFonts w:ascii="Arial" w:hAnsi="Arial" w:cs="Arial"/>
          <w:color w:val="000000"/>
        </w:rPr>
        <w:t>Wefelmeyer</w:t>
      </w:r>
      <w:proofErr w:type="spellEnd"/>
      <w:r w:rsidRPr="009733DF">
        <w:rPr>
          <w:rFonts w:ascii="Arial" w:hAnsi="Arial" w:cs="Arial"/>
          <w:color w:val="000000"/>
        </w:rPr>
        <w:t>, R. (2025) ‘The systemic procedural injustice faced by victim-survivors in police responses to rape and “serious” sexual offences: a comprehensive study of four forces in England and Wales’,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International Journal of Law, Crime and Justice</w:t>
      </w:r>
      <w:r w:rsidRPr="009733DF">
        <w:rPr>
          <w:rFonts w:ascii="Arial" w:hAnsi="Arial" w:cs="Arial"/>
          <w:color w:val="000000"/>
        </w:rPr>
        <w:t>, 82, article 100756.</w:t>
      </w:r>
      <w:r w:rsidRPr="009733DF">
        <w:rPr>
          <w:rStyle w:val="apple-converted-space"/>
          <w:rFonts w:ascii="Arial" w:eastAsiaTheme="majorEastAsia" w:hAnsi="Arial" w:cs="Arial"/>
          <w:color w:val="000000"/>
        </w:rPr>
        <w:t> </w:t>
      </w:r>
    </w:p>
    <w:p w14:paraId="243B94C2"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Tarling, R. and Morris, K. (2010) ‘Reporting crime to the police’,</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British Journal of Criminology</w:t>
      </w:r>
      <w:r w:rsidRPr="009733DF">
        <w:rPr>
          <w:rFonts w:ascii="Arial" w:hAnsi="Arial" w:cs="Arial"/>
          <w:color w:val="000000"/>
        </w:rPr>
        <w:t>, 50(3), pp. 474–490.</w:t>
      </w:r>
    </w:p>
    <w:p w14:paraId="1CC69784"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Taylor, S.M. (2022) ‘</w:t>
      </w:r>
      <w:proofErr w:type="spellStart"/>
      <w:r w:rsidRPr="009733DF">
        <w:rPr>
          <w:rFonts w:ascii="Arial" w:hAnsi="Arial" w:cs="Arial"/>
          <w:color w:val="000000"/>
        </w:rPr>
        <w:t>Unfounding</w:t>
      </w:r>
      <w:proofErr w:type="spellEnd"/>
      <w:r w:rsidRPr="009733DF">
        <w:rPr>
          <w:rFonts w:ascii="Arial" w:hAnsi="Arial" w:cs="Arial"/>
          <w:color w:val="000000"/>
        </w:rPr>
        <w:t xml:space="preserve"> the ideal victim: does Christie’s ideal victim explain police response to intimate partner sexual assault?’,</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Violence and Victims</w:t>
      </w:r>
      <w:r w:rsidRPr="009733DF">
        <w:rPr>
          <w:rFonts w:ascii="Arial" w:hAnsi="Arial" w:cs="Arial"/>
          <w:color w:val="000000"/>
        </w:rPr>
        <w:t>, 37(2), pp. 201–221.</w:t>
      </w:r>
    </w:p>
    <w:p w14:paraId="09AF6FE8"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 xml:space="preserve">The Independent (2021) ‘Mother of </w:t>
      </w:r>
      <w:proofErr w:type="spellStart"/>
      <w:r w:rsidRPr="009733DF">
        <w:rPr>
          <w:rFonts w:ascii="Arial" w:hAnsi="Arial" w:cs="Arial"/>
          <w:color w:val="000000"/>
        </w:rPr>
        <w:t>Bibaa</w:t>
      </w:r>
      <w:proofErr w:type="spellEnd"/>
      <w:r w:rsidRPr="009733DF">
        <w:rPr>
          <w:rFonts w:ascii="Arial" w:hAnsi="Arial" w:cs="Arial"/>
          <w:color w:val="000000"/>
        </w:rPr>
        <w:t xml:space="preserve"> Henry and Nicole Smallman says race means their deaths weren’t taken seriously’,</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Independent</w:t>
      </w:r>
      <w:r w:rsidRPr="009733DF">
        <w:rPr>
          <w:rFonts w:ascii="Arial" w:hAnsi="Arial" w:cs="Arial"/>
          <w:color w:val="000000"/>
        </w:rPr>
        <w:t>, 26 March.</w:t>
      </w:r>
    </w:p>
    <w:p w14:paraId="2A64DFAA"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lastRenderedPageBreak/>
        <w:t>The Irish Times (2018a) ‘Rally against “victim blaming” organised after thong claim in rape trial’,</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Irish Times</w:t>
      </w:r>
      <w:r w:rsidRPr="009733DF">
        <w:rPr>
          <w:rFonts w:ascii="Arial" w:hAnsi="Arial" w:cs="Arial"/>
          <w:color w:val="000000"/>
        </w:rPr>
        <w:t>, 12 November.</w:t>
      </w:r>
    </w:p>
    <w:p w14:paraId="7AE54210"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The Irish Times (2018b) ‘“Victim blaming” criticised at protests over lawyer’s thong comments’,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Irish Times</w:t>
      </w:r>
      <w:r w:rsidRPr="009733DF">
        <w:rPr>
          <w:rFonts w:ascii="Arial" w:hAnsi="Arial" w:cs="Arial"/>
          <w:color w:val="000000"/>
        </w:rPr>
        <w:t>, 14 November.</w:t>
      </w:r>
    </w:p>
    <w:p w14:paraId="482460B0"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Timukaite</w:t>
      </w:r>
      <w:proofErr w:type="spellEnd"/>
      <w:r w:rsidRPr="009733DF">
        <w:rPr>
          <w:rFonts w:ascii="Arial" w:hAnsi="Arial" w:cs="Arial"/>
          <w:color w:val="000000"/>
        </w:rPr>
        <w:t xml:space="preserve">, A. and </w:t>
      </w:r>
      <w:proofErr w:type="spellStart"/>
      <w:r w:rsidRPr="009733DF">
        <w:rPr>
          <w:rFonts w:ascii="Arial" w:hAnsi="Arial" w:cs="Arial"/>
          <w:color w:val="000000"/>
        </w:rPr>
        <w:t>Buil</w:t>
      </w:r>
      <w:proofErr w:type="spellEnd"/>
      <w:r w:rsidRPr="009733DF">
        <w:rPr>
          <w:rFonts w:ascii="Arial" w:hAnsi="Arial" w:cs="Arial"/>
          <w:color w:val="000000"/>
        </w:rPr>
        <w:t>-Gil, D. (2025) ‘Trust in the police and crime reporting: reassessing assumptions in the context of violent crime in England and Wales’,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International Review of Victimology</w:t>
      </w:r>
      <w:r w:rsidRPr="009733DF">
        <w:rPr>
          <w:rFonts w:ascii="Arial" w:hAnsi="Arial" w:cs="Arial"/>
          <w:color w:val="000000"/>
        </w:rPr>
        <w:t>, 31(2), pp. 265–284.</w:t>
      </w:r>
      <w:r w:rsidRPr="009733DF">
        <w:rPr>
          <w:rStyle w:val="apple-converted-space"/>
          <w:rFonts w:ascii="Arial" w:eastAsiaTheme="majorEastAsia" w:hAnsi="Arial" w:cs="Arial"/>
          <w:color w:val="000000"/>
        </w:rPr>
        <w:t> </w:t>
      </w:r>
    </w:p>
    <w:p w14:paraId="369E29F6"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Tyler, T.R. (2006)</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Why People Obey the Law</w:t>
      </w:r>
      <w:r w:rsidRPr="009733DF">
        <w:rPr>
          <w:rFonts w:ascii="Arial" w:hAnsi="Arial" w:cs="Arial"/>
          <w:color w:val="000000"/>
        </w:rPr>
        <w:t xml:space="preserve">. 2nd </w:t>
      </w:r>
      <w:proofErr w:type="spellStart"/>
      <w:r w:rsidRPr="009733DF">
        <w:rPr>
          <w:rFonts w:ascii="Arial" w:hAnsi="Arial" w:cs="Arial"/>
          <w:color w:val="000000"/>
        </w:rPr>
        <w:t>edn</w:t>
      </w:r>
      <w:proofErr w:type="spellEnd"/>
      <w:r w:rsidRPr="009733DF">
        <w:rPr>
          <w:rFonts w:ascii="Arial" w:hAnsi="Arial" w:cs="Arial"/>
          <w:color w:val="000000"/>
        </w:rPr>
        <w:t>. Princeton, NJ: Princeton University Press.</w:t>
      </w:r>
    </w:p>
    <w:p w14:paraId="6CBC9D07"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Venema</w:t>
      </w:r>
      <w:proofErr w:type="spellEnd"/>
      <w:r w:rsidRPr="009733DF">
        <w:rPr>
          <w:rFonts w:ascii="Arial" w:hAnsi="Arial" w:cs="Arial"/>
          <w:color w:val="000000"/>
        </w:rPr>
        <w:t>, R.M. (2016) ‘Police officer schema of sexual assault reports: real rape, ambiguous cases, and false reports’,</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Journal of Interpersonal Violence</w:t>
      </w:r>
      <w:r w:rsidRPr="009733DF">
        <w:rPr>
          <w:rFonts w:ascii="Arial" w:hAnsi="Arial" w:cs="Arial"/>
          <w:color w:val="000000"/>
        </w:rPr>
        <w:t>, 31(5), pp. 872–899.</w:t>
      </w:r>
    </w:p>
    <w:p w14:paraId="1AE10D81"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Waddington, P.A.J. (1999) ‘Police (canteen) sub-culture: an appreciation’,</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The British Journal of Criminology</w:t>
      </w:r>
      <w:r w:rsidRPr="009733DF">
        <w:rPr>
          <w:rFonts w:ascii="Arial" w:hAnsi="Arial" w:cs="Arial"/>
          <w:color w:val="000000"/>
        </w:rPr>
        <w:t>, 39(2), pp. 287–309.</w:t>
      </w:r>
    </w:p>
    <w:p w14:paraId="46CFE05C"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Welsh Government (2022)</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Violence Against Women, Domestic Abuse and Sexual Violence: Strategy 2022 to 2026</w:t>
      </w:r>
      <w:r w:rsidRPr="009733DF">
        <w:rPr>
          <w:rFonts w:ascii="Arial" w:hAnsi="Arial" w:cs="Arial"/>
          <w:color w:val="000000"/>
        </w:rPr>
        <w:t>. Cardiff: Welsh Government.</w:t>
      </w:r>
    </w:p>
    <w:p w14:paraId="2FDF02BD" w14:textId="77777777"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Welsh Government (2023)</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Violence Against Women, Domestic Abuse and Sexual Violence: Blueprint High Level Action Plan</w:t>
      </w:r>
      <w:r w:rsidRPr="009733DF">
        <w:rPr>
          <w:rFonts w:ascii="Arial" w:hAnsi="Arial" w:cs="Arial"/>
          <w:color w:val="000000"/>
        </w:rPr>
        <w:t>. Cardiff: Welsh Government.</w:t>
      </w:r>
    </w:p>
    <w:p w14:paraId="1978D3EB" w14:textId="04863C8A" w:rsidR="009733DF" w:rsidRPr="009733DF" w:rsidRDefault="009733DF" w:rsidP="009733DF">
      <w:pPr>
        <w:pStyle w:val="NormalWeb"/>
        <w:spacing w:line="360" w:lineRule="auto"/>
        <w:rPr>
          <w:rFonts w:ascii="Arial" w:hAnsi="Arial" w:cs="Arial"/>
          <w:color w:val="000000"/>
        </w:rPr>
      </w:pPr>
      <w:r w:rsidRPr="009733DF">
        <w:rPr>
          <w:rFonts w:ascii="Arial" w:hAnsi="Arial" w:cs="Arial"/>
          <w:color w:val="000000"/>
        </w:rPr>
        <w:t>Welsh Government (2026)</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Violence Against Women, Domestic Abuse and Sexual Violence: National Advisers Annual Plan 2026 to 2027</w:t>
      </w:r>
      <w:r w:rsidRPr="009733DF">
        <w:rPr>
          <w:rFonts w:ascii="Arial" w:hAnsi="Arial" w:cs="Arial"/>
          <w:color w:val="000000"/>
        </w:rPr>
        <w:t xml:space="preserve">. Cardiff: Welsh Government. </w:t>
      </w:r>
    </w:p>
    <w:p w14:paraId="4B66AE3F" w14:textId="77777777" w:rsidR="009733DF" w:rsidRPr="009733DF" w:rsidRDefault="009733DF" w:rsidP="009733DF">
      <w:pPr>
        <w:pStyle w:val="NormalWeb"/>
        <w:spacing w:line="360" w:lineRule="auto"/>
        <w:rPr>
          <w:rFonts w:ascii="Arial" w:hAnsi="Arial" w:cs="Arial"/>
          <w:color w:val="000000"/>
        </w:rPr>
      </w:pPr>
      <w:proofErr w:type="spellStart"/>
      <w:r w:rsidRPr="009733DF">
        <w:rPr>
          <w:rFonts w:ascii="Arial" w:hAnsi="Arial" w:cs="Arial"/>
          <w:color w:val="000000"/>
        </w:rPr>
        <w:t>Westmarland</w:t>
      </w:r>
      <w:proofErr w:type="spellEnd"/>
      <w:r w:rsidRPr="009733DF">
        <w:rPr>
          <w:rFonts w:ascii="Arial" w:hAnsi="Arial" w:cs="Arial"/>
          <w:color w:val="000000"/>
        </w:rPr>
        <w:t>, L. (2005) ‘Police ethics and integrity: breaking the blue code of silence’,</w:t>
      </w:r>
      <w:r w:rsidRPr="009733DF">
        <w:rPr>
          <w:rStyle w:val="apple-converted-space"/>
          <w:rFonts w:ascii="Arial" w:eastAsiaTheme="majorEastAsia" w:hAnsi="Arial" w:cs="Arial"/>
          <w:color w:val="000000"/>
        </w:rPr>
        <w:t> </w:t>
      </w:r>
      <w:r w:rsidRPr="009733DF">
        <w:rPr>
          <w:rStyle w:val="Emphasis"/>
          <w:rFonts w:ascii="Arial" w:eastAsiaTheme="majorEastAsia" w:hAnsi="Arial" w:cs="Arial"/>
          <w:color w:val="000000"/>
        </w:rPr>
        <w:t>Policing and Society</w:t>
      </w:r>
      <w:r w:rsidRPr="009733DF">
        <w:rPr>
          <w:rFonts w:ascii="Arial" w:hAnsi="Arial" w:cs="Arial"/>
          <w:color w:val="000000"/>
        </w:rPr>
        <w:t>, 15(2), pp. 145–165.</w:t>
      </w:r>
    </w:p>
    <w:p w14:paraId="3D37727D" w14:textId="77777777" w:rsidR="009733DF" w:rsidRPr="009733DF" w:rsidRDefault="009733DF" w:rsidP="009733DF">
      <w:pPr>
        <w:pStyle w:val="NormalWeb"/>
        <w:spacing w:line="360" w:lineRule="auto"/>
        <w:rPr>
          <w:rFonts w:ascii="Arial" w:hAnsi="Arial" w:cs="Arial"/>
          <w:color w:val="000000"/>
        </w:rPr>
      </w:pPr>
      <w:r w:rsidRPr="009733DF">
        <w:rPr>
          <w:rStyle w:val="Emphasis"/>
          <w:rFonts w:ascii="Arial" w:eastAsiaTheme="majorEastAsia" w:hAnsi="Arial" w:cs="Arial"/>
          <w:color w:val="000000"/>
        </w:rPr>
        <w:t>Violence against Women, Domestic Abuse and Sexual Violence (Wales) Act 2015</w:t>
      </w:r>
      <w:r w:rsidRPr="009733DF">
        <w:rPr>
          <w:rFonts w:ascii="Arial" w:hAnsi="Arial" w:cs="Arial"/>
          <w:color w:val="000000"/>
        </w:rPr>
        <w:t xml:space="preserve">, </w:t>
      </w:r>
      <w:proofErr w:type="spellStart"/>
      <w:r w:rsidRPr="009733DF">
        <w:rPr>
          <w:rFonts w:ascii="Arial" w:hAnsi="Arial" w:cs="Arial"/>
          <w:color w:val="000000"/>
        </w:rPr>
        <w:t>anaw</w:t>
      </w:r>
      <w:proofErr w:type="spellEnd"/>
      <w:r w:rsidRPr="009733DF">
        <w:rPr>
          <w:rFonts w:ascii="Arial" w:hAnsi="Arial" w:cs="Arial"/>
          <w:color w:val="000000"/>
        </w:rPr>
        <w:t xml:space="preserve"> 3.</w:t>
      </w:r>
    </w:p>
    <w:p w14:paraId="74C36E7A" w14:textId="77777777" w:rsidR="009733DF" w:rsidRPr="009733DF" w:rsidRDefault="009733DF">
      <w:pPr>
        <w:rPr>
          <w:rFonts w:ascii="Arial" w:hAnsi="Arial" w:cs="Arial"/>
          <w:b/>
          <w:bCs/>
          <w:u w:val="single"/>
        </w:rPr>
      </w:pPr>
    </w:p>
    <w:sectPr w:rsidR="009733DF" w:rsidRPr="00973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E57"/>
    <w:rsid w:val="005904D8"/>
    <w:rsid w:val="009733DF"/>
    <w:rsid w:val="00A21A5B"/>
    <w:rsid w:val="00D34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B692BC"/>
  <w15:chartTrackingRefBased/>
  <w15:docId w15:val="{1FCED2C1-3149-4942-AC01-FB824A669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E57"/>
  </w:style>
  <w:style w:type="paragraph" w:styleId="Heading1">
    <w:name w:val="heading 1"/>
    <w:basedOn w:val="Normal"/>
    <w:next w:val="Normal"/>
    <w:link w:val="Heading1Char"/>
    <w:uiPriority w:val="9"/>
    <w:qFormat/>
    <w:rsid w:val="00D34E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4E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E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E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E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E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E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E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E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E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4E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E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E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E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E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E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E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E57"/>
    <w:rPr>
      <w:rFonts w:eastAsiaTheme="majorEastAsia" w:cstheme="majorBidi"/>
      <w:color w:val="272727" w:themeColor="text1" w:themeTint="D8"/>
    </w:rPr>
  </w:style>
  <w:style w:type="paragraph" w:styleId="Title">
    <w:name w:val="Title"/>
    <w:basedOn w:val="Normal"/>
    <w:next w:val="Normal"/>
    <w:link w:val="TitleChar"/>
    <w:uiPriority w:val="10"/>
    <w:qFormat/>
    <w:rsid w:val="00D34E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E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E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E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E57"/>
    <w:pPr>
      <w:spacing w:before="160"/>
      <w:jc w:val="center"/>
    </w:pPr>
    <w:rPr>
      <w:i/>
      <w:iCs/>
      <w:color w:val="404040" w:themeColor="text1" w:themeTint="BF"/>
    </w:rPr>
  </w:style>
  <w:style w:type="character" w:customStyle="1" w:styleId="QuoteChar">
    <w:name w:val="Quote Char"/>
    <w:basedOn w:val="DefaultParagraphFont"/>
    <w:link w:val="Quote"/>
    <w:uiPriority w:val="29"/>
    <w:rsid w:val="00D34E57"/>
    <w:rPr>
      <w:i/>
      <w:iCs/>
      <w:color w:val="404040" w:themeColor="text1" w:themeTint="BF"/>
    </w:rPr>
  </w:style>
  <w:style w:type="paragraph" w:styleId="ListParagraph">
    <w:name w:val="List Paragraph"/>
    <w:basedOn w:val="Normal"/>
    <w:uiPriority w:val="34"/>
    <w:qFormat/>
    <w:rsid w:val="00D34E57"/>
    <w:pPr>
      <w:ind w:left="720"/>
      <w:contextualSpacing/>
    </w:pPr>
  </w:style>
  <w:style w:type="character" w:styleId="IntenseEmphasis">
    <w:name w:val="Intense Emphasis"/>
    <w:basedOn w:val="DefaultParagraphFont"/>
    <w:uiPriority w:val="21"/>
    <w:qFormat/>
    <w:rsid w:val="00D34E57"/>
    <w:rPr>
      <w:i/>
      <w:iCs/>
      <w:color w:val="0F4761" w:themeColor="accent1" w:themeShade="BF"/>
    </w:rPr>
  </w:style>
  <w:style w:type="paragraph" w:styleId="IntenseQuote">
    <w:name w:val="Intense Quote"/>
    <w:basedOn w:val="Normal"/>
    <w:next w:val="Normal"/>
    <w:link w:val="IntenseQuoteChar"/>
    <w:uiPriority w:val="30"/>
    <w:qFormat/>
    <w:rsid w:val="00D34E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E57"/>
    <w:rPr>
      <w:i/>
      <w:iCs/>
      <w:color w:val="0F4761" w:themeColor="accent1" w:themeShade="BF"/>
    </w:rPr>
  </w:style>
  <w:style w:type="character" w:styleId="IntenseReference">
    <w:name w:val="Intense Reference"/>
    <w:basedOn w:val="DefaultParagraphFont"/>
    <w:uiPriority w:val="32"/>
    <w:qFormat/>
    <w:rsid w:val="00D34E57"/>
    <w:rPr>
      <w:b/>
      <w:bCs/>
      <w:smallCaps/>
      <w:color w:val="0F4761" w:themeColor="accent1" w:themeShade="BF"/>
      <w:spacing w:val="5"/>
    </w:rPr>
  </w:style>
  <w:style w:type="paragraph" w:customStyle="1" w:styleId="pdq2pgselectionanchorcontainer">
    <w:name w:val="pdq2pg_selectionanchorcontainer"/>
    <w:basedOn w:val="Normal"/>
    <w:rsid w:val="009733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9733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733DF"/>
  </w:style>
  <w:style w:type="character" w:styleId="Strong">
    <w:name w:val="Strong"/>
    <w:basedOn w:val="DefaultParagraphFont"/>
    <w:uiPriority w:val="22"/>
    <w:qFormat/>
    <w:rsid w:val="009733DF"/>
    <w:rPr>
      <w:b/>
      <w:bCs/>
    </w:rPr>
  </w:style>
  <w:style w:type="character" w:styleId="Emphasis">
    <w:name w:val="Emphasis"/>
    <w:basedOn w:val="DefaultParagraphFont"/>
    <w:uiPriority w:val="20"/>
    <w:qFormat/>
    <w:rsid w:val="009733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87045">
      <w:bodyDiv w:val="1"/>
      <w:marLeft w:val="0"/>
      <w:marRight w:val="0"/>
      <w:marTop w:val="0"/>
      <w:marBottom w:val="0"/>
      <w:divBdr>
        <w:top w:val="none" w:sz="0" w:space="0" w:color="auto"/>
        <w:left w:val="none" w:sz="0" w:space="0" w:color="auto"/>
        <w:bottom w:val="none" w:sz="0" w:space="0" w:color="auto"/>
        <w:right w:val="none" w:sz="0" w:space="0" w:color="auto"/>
      </w:divBdr>
    </w:div>
    <w:div w:id="84884664">
      <w:bodyDiv w:val="1"/>
      <w:marLeft w:val="0"/>
      <w:marRight w:val="0"/>
      <w:marTop w:val="0"/>
      <w:marBottom w:val="0"/>
      <w:divBdr>
        <w:top w:val="none" w:sz="0" w:space="0" w:color="auto"/>
        <w:left w:val="none" w:sz="0" w:space="0" w:color="auto"/>
        <w:bottom w:val="none" w:sz="0" w:space="0" w:color="auto"/>
        <w:right w:val="none" w:sz="0" w:space="0" w:color="auto"/>
      </w:divBdr>
    </w:div>
    <w:div w:id="122502989">
      <w:bodyDiv w:val="1"/>
      <w:marLeft w:val="0"/>
      <w:marRight w:val="0"/>
      <w:marTop w:val="0"/>
      <w:marBottom w:val="0"/>
      <w:divBdr>
        <w:top w:val="none" w:sz="0" w:space="0" w:color="auto"/>
        <w:left w:val="none" w:sz="0" w:space="0" w:color="auto"/>
        <w:bottom w:val="none" w:sz="0" w:space="0" w:color="auto"/>
        <w:right w:val="none" w:sz="0" w:space="0" w:color="auto"/>
      </w:divBdr>
    </w:div>
    <w:div w:id="265160353">
      <w:bodyDiv w:val="1"/>
      <w:marLeft w:val="0"/>
      <w:marRight w:val="0"/>
      <w:marTop w:val="0"/>
      <w:marBottom w:val="0"/>
      <w:divBdr>
        <w:top w:val="none" w:sz="0" w:space="0" w:color="auto"/>
        <w:left w:val="none" w:sz="0" w:space="0" w:color="auto"/>
        <w:bottom w:val="none" w:sz="0" w:space="0" w:color="auto"/>
        <w:right w:val="none" w:sz="0" w:space="0" w:color="auto"/>
      </w:divBdr>
    </w:div>
    <w:div w:id="279998911">
      <w:bodyDiv w:val="1"/>
      <w:marLeft w:val="0"/>
      <w:marRight w:val="0"/>
      <w:marTop w:val="0"/>
      <w:marBottom w:val="0"/>
      <w:divBdr>
        <w:top w:val="none" w:sz="0" w:space="0" w:color="auto"/>
        <w:left w:val="none" w:sz="0" w:space="0" w:color="auto"/>
        <w:bottom w:val="none" w:sz="0" w:space="0" w:color="auto"/>
        <w:right w:val="none" w:sz="0" w:space="0" w:color="auto"/>
      </w:divBdr>
    </w:div>
    <w:div w:id="283200222">
      <w:bodyDiv w:val="1"/>
      <w:marLeft w:val="0"/>
      <w:marRight w:val="0"/>
      <w:marTop w:val="0"/>
      <w:marBottom w:val="0"/>
      <w:divBdr>
        <w:top w:val="none" w:sz="0" w:space="0" w:color="auto"/>
        <w:left w:val="none" w:sz="0" w:space="0" w:color="auto"/>
        <w:bottom w:val="none" w:sz="0" w:space="0" w:color="auto"/>
        <w:right w:val="none" w:sz="0" w:space="0" w:color="auto"/>
      </w:divBdr>
    </w:div>
    <w:div w:id="301227733">
      <w:bodyDiv w:val="1"/>
      <w:marLeft w:val="0"/>
      <w:marRight w:val="0"/>
      <w:marTop w:val="0"/>
      <w:marBottom w:val="0"/>
      <w:divBdr>
        <w:top w:val="none" w:sz="0" w:space="0" w:color="auto"/>
        <w:left w:val="none" w:sz="0" w:space="0" w:color="auto"/>
        <w:bottom w:val="none" w:sz="0" w:space="0" w:color="auto"/>
        <w:right w:val="none" w:sz="0" w:space="0" w:color="auto"/>
      </w:divBdr>
    </w:div>
    <w:div w:id="345792061">
      <w:bodyDiv w:val="1"/>
      <w:marLeft w:val="0"/>
      <w:marRight w:val="0"/>
      <w:marTop w:val="0"/>
      <w:marBottom w:val="0"/>
      <w:divBdr>
        <w:top w:val="none" w:sz="0" w:space="0" w:color="auto"/>
        <w:left w:val="none" w:sz="0" w:space="0" w:color="auto"/>
        <w:bottom w:val="none" w:sz="0" w:space="0" w:color="auto"/>
        <w:right w:val="none" w:sz="0" w:space="0" w:color="auto"/>
      </w:divBdr>
    </w:div>
    <w:div w:id="395903363">
      <w:bodyDiv w:val="1"/>
      <w:marLeft w:val="0"/>
      <w:marRight w:val="0"/>
      <w:marTop w:val="0"/>
      <w:marBottom w:val="0"/>
      <w:divBdr>
        <w:top w:val="none" w:sz="0" w:space="0" w:color="auto"/>
        <w:left w:val="none" w:sz="0" w:space="0" w:color="auto"/>
        <w:bottom w:val="none" w:sz="0" w:space="0" w:color="auto"/>
        <w:right w:val="none" w:sz="0" w:space="0" w:color="auto"/>
      </w:divBdr>
    </w:div>
    <w:div w:id="442966638">
      <w:bodyDiv w:val="1"/>
      <w:marLeft w:val="0"/>
      <w:marRight w:val="0"/>
      <w:marTop w:val="0"/>
      <w:marBottom w:val="0"/>
      <w:divBdr>
        <w:top w:val="none" w:sz="0" w:space="0" w:color="auto"/>
        <w:left w:val="none" w:sz="0" w:space="0" w:color="auto"/>
        <w:bottom w:val="none" w:sz="0" w:space="0" w:color="auto"/>
        <w:right w:val="none" w:sz="0" w:space="0" w:color="auto"/>
      </w:divBdr>
    </w:div>
    <w:div w:id="477766020">
      <w:bodyDiv w:val="1"/>
      <w:marLeft w:val="0"/>
      <w:marRight w:val="0"/>
      <w:marTop w:val="0"/>
      <w:marBottom w:val="0"/>
      <w:divBdr>
        <w:top w:val="none" w:sz="0" w:space="0" w:color="auto"/>
        <w:left w:val="none" w:sz="0" w:space="0" w:color="auto"/>
        <w:bottom w:val="none" w:sz="0" w:space="0" w:color="auto"/>
        <w:right w:val="none" w:sz="0" w:space="0" w:color="auto"/>
      </w:divBdr>
    </w:div>
    <w:div w:id="483005992">
      <w:bodyDiv w:val="1"/>
      <w:marLeft w:val="0"/>
      <w:marRight w:val="0"/>
      <w:marTop w:val="0"/>
      <w:marBottom w:val="0"/>
      <w:divBdr>
        <w:top w:val="none" w:sz="0" w:space="0" w:color="auto"/>
        <w:left w:val="none" w:sz="0" w:space="0" w:color="auto"/>
        <w:bottom w:val="none" w:sz="0" w:space="0" w:color="auto"/>
        <w:right w:val="none" w:sz="0" w:space="0" w:color="auto"/>
      </w:divBdr>
    </w:div>
    <w:div w:id="532883124">
      <w:bodyDiv w:val="1"/>
      <w:marLeft w:val="0"/>
      <w:marRight w:val="0"/>
      <w:marTop w:val="0"/>
      <w:marBottom w:val="0"/>
      <w:divBdr>
        <w:top w:val="none" w:sz="0" w:space="0" w:color="auto"/>
        <w:left w:val="none" w:sz="0" w:space="0" w:color="auto"/>
        <w:bottom w:val="none" w:sz="0" w:space="0" w:color="auto"/>
        <w:right w:val="none" w:sz="0" w:space="0" w:color="auto"/>
      </w:divBdr>
    </w:div>
    <w:div w:id="553203860">
      <w:bodyDiv w:val="1"/>
      <w:marLeft w:val="0"/>
      <w:marRight w:val="0"/>
      <w:marTop w:val="0"/>
      <w:marBottom w:val="0"/>
      <w:divBdr>
        <w:top w:val="none" w:sz="0" w:space="0" w:color="auto"/>
        <w:left w:val="none" w:sz="0" w:space="0" w:color="auto"/>
        <w:bottom w:val="none" w:sz="0" w:space="0" w:color="auto"/>
        <w:right w:val="none" w:sz="0" w:space="0" w:color="auto"/>
      </w:divBdr>
    </w:div>
    <w:div w:id="561332657">
      <w:bodyDiv w:val="1"/>
      <w:marLeft w:val="0"/>
      <w:marRight w:val="0"/>
      <w:marTop w:val="0"/>
      <w:marBottom w:val="0"/>
      <w:divBdr>
        <w:top w:val="none" w:sz="0" w:space="0" w:color="auto"/>
        <w:left w:val="none" w:sz="0" w:space="0" w:color="auto"/>
        <w:bottom w:val="none" w:sz="0" w:space="0" w:color="auto"/>
        <w:right w:val="none" w:sz="0" w:space="0" w:color="auto"/>
      </w:divBdr>
    </w:div>
    <w:div w:id="563835943">
      <w:bodyDiv w:val="1"/>
      <w:marLeft w:val="0"/>
      <w:marRight w:val="0"/>
      <w:marTop w:val="0"/>
      <w:marBottom w:val="0"/>
      <w:divBdr>
        <w:top w:val="none" w:sz="0" w:space="0" w:color="auto"/>
        <w:left w:val="none" w:sz="0" w:space="0" w:color="auto"/>
        <w:bottom w:val="none" w:sz="0" w:space="0" w:color="auto"/>
        <w:right w:val="none" w:sz="0" w:space="0" w:color="auto"/>
      </w:divBdr>
    </w:div>
    <w:div w:id="612597047">
      <w:bodyDiv w:val="1"/>
      <w:marLeft w:val="0"/>
      <w:marRight w:val="0"/>
      <w:marTop w:val="0"/>
      <w:marBottom w:val="0"/>
      <w:divBdr>
        <w:top w:val="none" w:sz="0" w:space="0" w:color="auto"/>
        <w:left w:val="none" w:sz="0" w:space="0" w:color="auto"/>
        <w:bottom w:val="none" w:sz="0" w:space="0" w:color="auto"/>
        <w:right w:val="none" w:sz="0" w:space="0" w:color="auto"/>
      </w:divBdr>
    </w:div>
    <w:div w:id="634723209">
      <w:bodyDiv w:val="1"/>
      <w:marLeft w:val="0"/>
      <w:marRight w:val="0"/>
      <w:marTop w:val="0"/>
      <w:marBottom w:val="0"/>
      <w:divBdr>
        <w:top w:val="none" w:sz="0" w:space="0" w:color="auto"/>
        <w:left w:val="none" w:sz="0" w:space="0" w:color="auto"/>
        <w:bottom w:val="none" w:sz="0" w:space="0" w:color="auto"/>
        <w:right w:val="none" w:sz="0" w:space="0" w:color="auto"/>
      </w:divBdr>
    </w:div>
    <w:div w:id="651102266">
      <w:bodyDiv w:val="1"/>
      <w:marLeft w:val="0"/>
      <w:marRight w:val="0"/>
      <w:marTop w:val="0"/>
      <w:marBottom w:val="0"/>
      <w:divBdr>
        <w:top w:val="none" w:sz="0" w:space="0" w:color="auto"/>
        <w:left w:val="none" w:sz="0" w:space="0" w:color="auto"/>
        <w:bottom w:val="none" w:sz="0" w:space="0" w:color="auto"/>
        <w:right w:val="none" w:sz="0" w:space="0" w:color="auto"/>
      </w:divBdr>
      <w:divsChild>
        <w:div w:id="1843543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546204">
      <w:bodyDiv w:val="1"/>
      <w:marLeft w:val="0"/>
      <w:marRight w:val="0"/>
      <w:marTop w:val="0"/>
      <w:marBottom w:val="0"/>
      <w:divBdr>
        <w:top w:val="none" w:sz="0" w:space="0" w:color="auto"/>
        <w:left w:val="none" w:sz="0" w:space="0" w:color="auto"/>
        <w:bottom w:val="none" w:sz="0" w:space="0" w:color="auto"/>
        <w:right w:val="none" w:sz="0" w:space="0" w:color="auto"/>
      </w:divBdr>
    </w:div>
    <w:div w:id="770471892">
      <w:bodyDiv w:val="1"/>
      <w:marLeft w:val="0"/>
      <w:marRight w:val="0"/>
      <w:marTop w:val="0"/>
      <w:marBottom w:val="0"/>
      <w:divBdr>
        <w:top w:val="none" w:sz="0" w:space="0" w:color="auto"/>
        <w:left w:val="none" w:sz="0" w:space="0" w:color="auto"/>
        <w:bottom w:val="none" w:sz="0" w:space="0" w:color="auto"/>
        <w:right w:val="none" w:sz="0" w:space="0" w:color="auto"/>
      </w:divBdr>
    </w:div>
    <w:div w:id="798760534">
      <w:bodyDiv w:val="1"/>
      <w:marLeft w:val="0"/>
      <w:marRight w:val="0"/>
      <w:marTop w:val="0"/>
      <w:marBottom w:val="0"/>
      <w:divBdr>
        <w:top w:val="none" w:sz="0" w:space="0" w:color="auto"/>
        <w:left w:val="none" w:sz="0" w:space="0" w:color="auto"/>
        <w:bottom w:val="none" w:sz="0" w:space="0" w:color="auto"/>
        <w:right w:val="none" w:sz="0" w:space="0" w:color="auto"/>
      </w:divBdr>
    </w:div>
    <w:div w:id="800735487">
      <w:bodyDiv w:val="1"/>
      <w:marLeft w:val="0"/>
      <w:marRight w:val="0"/>
      <w:marTop w:val="0"/>
      <w:marBottom w:val="0"/>
      <w:divBdr>
        <w:top w:val="none" w:sz="0" w:space="0" w:color="auto"/>
        <w:left w:val="none" w:sz="0" w:space="0" w:color="auto"/>
        <w:bottom w:val="none" w:sz="0" w:space="0" w:color="auto"/>
        <w:right w:val="none" w:sz="0" w:space="0" w:color="auto"/>
      </w:divBdr>
    </w:div>
    <w:div w:id="809372027">
      <w:bodyDiv w:val="1"/>
      <w:marLeft w:val="0"/>
      <w:marRight w:val="0"/>
      <w:marTop w:val="0"/>
      <w:marBottom w:val="0"/>
      <w:divBdr>
        <w:top w:val="none" w:sz="0" w:space="0" w:color="auto"/>
        <w:left w:val="none" w:sz="0" w:space="0" w:color="auto"/>
        <w:bottom w:val="none" w:sz="0" w:space="0" w:color="auto"/>
        <w:right w:val="none" w:sz="0" w:space="0" w:color="auto"/>
      </w:divBdr>
    </w:div>
    <w:div w:id="891427921">
      <w:bodyDiv w:val="1"/>
      <w:marLeft w:val="0"/>
      <w:marRight w:val="0"/>
      <w:marTop w:val="0"/>
      <w:marBottom w:val="0"/>
      <w:divBdr>
        <w:top w:val="none" w:sz="0" w:space="0" w:color="auto"/>
        <w:left w:val="none" w:sz="0" w:space="0" w:color="auto"/>
        <w:bottom w:val="none" w:sz="0" w:space="0" w:color="auto"/>
        <w:right w:val="none" w:sz="0" w:space="0" w:color="auto"/>
      </w:divBdr>
    </w:div>
    <w:div w:id="927466042">
      <w:bodyDiv w:val="1"/>
      <w:marLeft w:val="0"/>
      <w:marRight w:val="0"/>
      <w:marTop w:val="0"/>
      <w:marBottom w:val="0"/>
      <w:divBdr>
        <w:top w:val="none" w:sz="0" w:space="0" w:color="auto"/>
        <w:left w:val="none" w:sz="0" w:space="0" w:color="auto"/>
        <w:bottom w:val="none" w:sz="0" w:space="0" w:color="auto"/>
        <w:right w:val="none" w:sz="0" w:space="0" w:color="auto"/>
      </w:divBdr>
    </w:div>
    <w:div w:id="957251096">
      <w:bodyDiv w:val="1"/>
      <w:marLeft w:val="0"/>
      <w:marRight w:val="0"/>
      <w:marTop w:val="0"/>
      <w:marBottom w:val="0"/>
      <w:divBdr>
        <w:top w:val="none" w:sz="0" w:space="0" w:color="auto"/>
        <w:left w:val="none" w:sz="0" w:space="0" w:color="auto"/>
        <w:bottom w:val="none" w:sz="0" w:space="0" w:color="auto"/>
        <w:right w:val="none" w:sz="0" w:space="0" w:color="auto"/>
      </w:divBdr>
    </w:div>
    <w:div w:id="1007681660">
      <w:bodyDiv w:val="1"/>
      <w:marLeft w:val="0"/>
      <w:marRight w:val="0"/>
      <w:marTop w:val="0"/>
      <w:marBottom w:val="0"/>
      <w:divBdr>
        <w:top w:val="none" w:sz="0" w:space="0" w:color="auto"/>
        <w:left w:val="none" w:sz="0" w:space="0" w:color="auto"/>
        <w:bottom w:val="none" w:sz="0" w:space="0" w:color="auto"/>
        <w:right w:val="none" w:sz="0" w:space="0" w:color="auto"/>
      </w:divBdr>
    </w:div>
    <w:div w:id="1037126361">
      <w:bodyDiv w:val="1"/>
      <w:marLeft w:val="0"/>
      <w:marRight w:val="0"/>
      <w:marTop w:val="0"/>
      <w:marBottom w:val="0"/>
      <w:divBdr>
        <w:top w:val="none" w:sz="0" w:space="0" w:color="auto"/>
        <w:left w:val="none" w:sz="0" w:space="0" w:color="auto"/>
        <w:bottom w:val="none" w:sz="0" w:space="0" w:color="auto"/>
        <w:right w:val="none" w:sz="0" w:space="0" w:color="auto"/>
      </w:divBdr>
    </w:div>
    <w:div w:id="1045175972">
      <w:bodyDiv w:val="1"/>
      <w:marLeft w:val="0"/>
      <w:marRight w:val="0"/>
      <w:marTop w:val="0"/>
      <w:marBottom w:val="0"/>
      <w:divBdr>
        <w:top w:val="none" w:sz="0" w:space="0" w:color="auto"/>
        <w:left w:val="none" w:sz="0" w:space="0" w:color="auto"/>
        <w:bottom w:val="none" w:sz="0" w:space="0" w:color="auto"/>
        <w:right w:val="none" w:sz="0" w:space="0" w:color="auto"/>
      </w:divBdr>
    </w:div>
    <w:div w:id="1064526794">
      <w:bodyDiv w:val="1"/>
      <w:marLeft w:val="0"/>
      <w:marRight w:val="0"/>
      <w:marTop w:val="0"/>
      <w:marBottom w:val="0"/>
      <w:divBdr>
        <w:top w:val="none" w:sz="0" w:space="0" w:color="auto"/>
        <w:left w:val="none" w:sz="0" w:space="0" w:color="auto"/>
        <w:bottom w:val="none" w:sz="0" w:space="0" w:color="auto"/>
        <w:right w:val="none" w:sz="0" w:space="0" w:color="auto"/>
      </w:divBdr>
    </w:div>
    <w:div w:id="1099788085">
      <w:bodyDiv w:val="1"/>
      <w:marLeft w:val="0"/>
      <w:marRight w:val="0"/>
      <w:marTop w:val="0"/>
      <w:marBottom w:val="0"/>
      <w:divBdr>
        <w:top w:val="none" w:sz="0" w:space="0" w:color="auto"/>
        <w:left w:val="none" w:sz="0" w:space="0" w:color="auto"/>
        <w:bottom w:val="none" w:sz="0" w:space="0" w:color="auto"/>
        <w:right w:val="none" w:sz="0" w:space="0" w:color="auto"/>
      </w:divBdr>
    </w:div>
    <w:div w:id="1109007176">
      <w:bodyDiv w:val="1"/>
      <w:marLeft w:val="0"/>
      <w:marRight w:val="0"/>
      <w:marTop w:val="0"/>
      <w:marBottom w:val="0"/>
      <w:divBdr>
        <w:top w:val="none" w:sz="0" w:space="0" w:color="auto"/>
        <w:left w:val="none" w:sz="0" w:space="0" w:color="auto"/>
        <w:bottom w:val="none" w:sz="0" w:space="0" w:color="auto"/>
        <w:right w:val="none" w:sz="0" w:space="0" w:color="auto"/>
      </w:divBdr>
    </w:div>
    <w:div w:id="1121533726">
      <w:bodyDiv w:val="1"/>
      <w:marLeft w:val="0"/>
      <w:marRight w:val="0"/>
      <w:marTop w:val="0"/>
      <w:marBottom w:val="0"/>
      <w:divBdr>
        <w:top w:val="none" w:sz="0" w:space="0" w:color="auto"/>
        <w:left w:val="none" w:sz="0" w:space="0" w:color="auto"/>
        <w:bottom w:val="none" w:sz="0" w:space="0" w:color="auto"/>
        <w:right w:val="none" w:sz="0" w:space="0" w:color="auto"/>
      </w:divBdr>
    </w:div>
    <w:div w:id="1153334164">
      <w:bodyDiv w:val="1"/>
      <w:marLeft w:val="0"/>
      <w:marRight w:val="0"/>
      <w:marTop w:val="0"/>
      <w:marBottom w:val="0"/>
      <w:divBdr>
        <w:top w:val="none" w:sz="0" w:space="0" w:color="auto"/>
        <w:left w:val="none" w:sz="0" w:space="0" w:color="auto"/>
        <w:bottom w:val="none" w:sz="0" w:space="0" w:color="auto"/>
        <w:right w:val="none" w:sz="0" w:space="0" w:color="auto"/>
      </w:divBdr>
    </w:div>
    <w:div w:id="1164391098">
      <w:bodyDiv w:val="1"/>
      <w:marLeft w:val="0"/>
      <w:marRight w:val="0"/>
      <w:marTop w:val="0"/>
      <w:marBottom w:val="0"/>
      <w:divBdr>
        <w:top w:val="none" w:sz="0" w:space="0" w:color="auto"/>
        <w:left w:val="none" w:sz="0" w:space="0" w:color="auto"/>
        <w:bottom w:val="none" w:sz="0" w:space="0" w:color="auto"/>
        <w:right w:val="none" w:sz="0" w:space="0" w:color="auto"/>
      </w:divBdr>
    </w:div>
    <w:div w:id="1188324295">
      <w:bodyDiv w:val="1"/>
      <w:marLeft w:val="0"/>
      <w:marRight w:val="0"/>
      <w:marTop w:val="0"/>
      <w:marBottom w:val="0"/>
      <w:divBdr>
        <w:top w:val="none" w:sz="0" w:space="0" w:color="auto"/>
        <w:left w:val="none" w:sz="0" w:space="0" w:color="auto"/>
        <w:bottom w:val="none" w:sz="0" w:space="0" w:color="auto"/>
        <w:right w:val="none" w:sz="0" w:space="0" w:color="auto"/>
      </w:divBdr>
    </w:div>
    <w:div w:id="1295215662">
      <w:bodyDiv w:val="1"/>
      <w:marLeft w:val="0"/>
      <w:marRight w:val="0"/>
      <w:marTop w:val="0"/>
      <w:marBottom w:val="0"/>
      <w:divBdr>
        <w:top w:val="none" w:sz="0" w:space="0" w:color="auto"/>
        <w:left w:val="none" w:sz="0" w:space="0" w:color="auto"/>
        <w:bottom w:val="none" w:sz="0" w:space="0" w:color="auto"/>
        <w:right w:val="none" w:sz="0" w:space="0" w:color="auto"/>
      </w:divBdr>
    </w:div>
    <w:div w:id="1296646071">
      <w:bodyDiv w:val="1"/>
      <w:marLeft w:val="0"/>
      <w:marRight w:val="0"/>
      <w:marTop w:val="0"/>
      <w:marBottom w:val="0"/>
      <w:divBdr>
        <w:top w:val="none" w:sz="0" w:space="0" w:color="auto"/>
        <w:left w:val="none" w:sz="0" w:space="0" w:color="auto"/>
        <w:bottom w:val="none" w:sz="0" w:space="0" w:color="auto"/>
        <w:right w:val="none" w:sz="0" w:space="0" w:color="auto"/>
      </w:divBdr>
    </w:div>
    <w:div w:id="1307783378">
      <w:bodyDiv w:val="1"/>
      <w:marLeft w:val="0"/>
      <w:marRight w:val="0"/>
      <w:marTop w:val="0"/>
      <w:marBottom w:val="0"/>
      <w:divBdr>
        <w:top w:val="none" w:sz="0" w:space="0" w:color="auto"/>
        <w:left w:val="none" w:sz="0" w:space="0" w:color="auto"/>
        <w:bottom w:val="none" w:sz="0" w:space="0" w:color="auto"/>
        <w:right w:val="none" w:sz="0" w:space="0" w:color="auto"/>
      </w:divBdr>
    </w:div>
    <w:div w:id="1320353799">
      <w:bodyDiv w:val="1"/>
      <w:marLeft w:val="0"/>
      <w:marRight w:val="0"/>
      <w:marTop w:val="0"/>
      <w:marBottom w:val="0"/>
      <w:divBdr>
        <w:top w:val="none" w:sz="0" w:space="0" w:color="auto"/>
        <w:left w:val="none" w:sz="0" w:space="0" w:color="auto"/>
        <w:bottom w:val="none" w:sz="0" w:space="0" w:color="auto"/>
        <w:right w:val="none" w:sz="0" w:space="0" w:color="auto"/>
      </w:divBdr>
    </w:div>
    <w:div w:id="1343045491">
      <w:bodyDiv w:val="1"/>
      <w:marLeft w:val="0"/>
      <w:marRight w:val="0"/>
      <w:marTop w:val="0"/>
      <w:marBottom w:val="0"/>
      <w:divBdr>
        <w:top w:val="none" w:sz="0" w:space="0" w:color="auto"/>
        <w:left w:val="none" w:sz="0" w:space="0" w:color="auto"/>
        <w:bottom w:val="none" w:sz="0" w:space="0" w:color="auto"/>
        <w:right w:val="none" w:sz="0" w:space="0" w:color="auto"/>
      </w:divBdr>
    </w:div>
    <w:div w:id="1343505644">
      <w:bodyDiv w:val="1"/>
      <w:marLeft w:val="0"/>
      <w:marRight w:val="0"/>
      <w:marTop w:val="0"/>
      <w:marBottom w:val="0"/>
      <w:divBdr>
        <w:top w:val="none" w:sz="0" w:space="0" w:color="auto"/>
        <w:left w:val="none" w:sz="0" w:space="0" w:color="auto"/>
        <w:bottom w:val="none" w:sz="0" w:space="0" w:color="auto"/>
        <w:right w:val="none" w:sz="0" w:space="0" w:color="auto"/>
      </w:divBdr>
    </w:div>
    <w:div w:id="1387491114">
      <w:bodyDiv w:val="1"/>
      <w:marLeft w:val="0"/>
      <w:marRight w:val="0"/>
      <w:marTop w:val="0"/>
      <w:marBottom w:val="0"/>
      <w:divBdr>
        <w:top w:val="none" w:sz="0" w:space="0" w:color="auto"/>
        <w:left w:val="none" w:sz="0" w:space="0" w:color="auto"/>
        <w:bottom w:val="none" w:sz="0" w:space="0" w:color="auto"/>
        <w:right w:val="none" w:sz="0" w:space="0" w:color="auto"/>
      </w:divBdr>
    </w:div>
    <w:div w:id="1414626030">
      <w:bodyDiv w:val="1"/>
      <w:marLeft w:val="0"/>
      <w:marRight w:val="0"/>
      <w:marTop w:val="0"/>
      <w:marBottom w:val="0"/>
      <w:divBdr>
        <w:top w:val="none" w:sz="0" w:space="0" w:color="auto"/>
        <w:left w:val="none" w:sz="0" w:space="0" w:color="auto"/>
        <w:bottom w:val="none" w:sz="0" w:space="0" w:color="auto"/>
        <w:right w:val="none" w:sz="0" w:space="0" w:color="auto"/>
      </w:divBdr>
    </w:div>
    <w:div w:id="1455364149">
      <w:bodyDiv w:val="1"/>
      <w:marLeft w:val="0"/>
      <w:marRight w:val="0"/>
      <w:marTop w:val="0"/>
      <w:marBottom w:val="0"/>
      <w:divBdr>
        <w:top w:val="none" w:sz="0" w:space="0" w:color="auto"/>
        <w:left w:val="none" w:sz="0" w:space="0" w:color="auto"/>
        <w:bottom w:val="none" w:sz="0" w:space="0" w:color="auto"/>
        <w:right w:val="none" w:sz="0" w:space="0" w:color="auto"/>
      </w:divBdr>
    </w:div>
    <w:div w:id="1551072102">
      <w:bodyDiv w:val="1"/>
      <w:marLeft w:val="0"/>
      <w:marRight w:val="0"/>
      <w:marTop w:val="0"/>
      <w:marBottom w:val="0"/>
      <w:divBdr>
        <w:top w:val="none" w:sz="0" w:space="0" w:color="auto"/>
        <w:left w:val="none" w:sz="0" w:space="0" w:color="auto"/>
        <w:bottom w:val="none" w:sz="0" w:space="0" w:color="auto"/>
        <w:right w:val="none" w:sz="0" w:space="0" w:color="auto"/>
      </w:divBdr>
    </w:div>
    <w:div w:id="1553425207">
      <w:bodyDiv w:val="1"/>
      <w:marLeft w:val="0"/>
      <w:marRight w:val="0"/>
      <w:marTop w:val="0"/>
      <w:marBottom w:val="0"/>
      <w:divBdr>
        <w:top w:val="none" w:sz="0" w:space="0" w:color="auto"/>
        <w:left w:val="none" w:sz="0" w:space="0" w:color="auto"/>
        <w:bottom w:val="none" w:sz="0" w:space="0" w:color="auto"/>
        <w:right w:val="none" w:sz="0" w:space="0" w:color="auto"/>
      </w:divBdr>
    </w:div>
    <w:div w:id="1560359770">
      <w:bodyDiv w:val="1"/>
      <w:marLeft w:val="0"/>
      <w:marRight w:val="0"/>
      <w:marTop w:val="0"/>
      <w:marBottom w:val="0"/>
      <w:divBdr>
        <w:top w:val="none" w:sz="0" w:space="0" w:color="auto"/>
        <w:left w:val="none" w:sz="0" w:space="0" w:color="auto"/>
        <w:bottom w:val="none" w:sz="0" w:space="0" w:color="auto"/>
        <w:right w:val="none" w:sz="0" w:space="0" w:color="auto"/>
      </w:divBdr>
    </w:div>
    <w:div w:id="1574117441">
      <w:bodyDiv w:val="1"/>
      <w:marLeft w:val="0"/>
      <w:marRight w:val="0"/>
      <w:marTop w:val="0"/>
      <w:marBottom w:val="0"/>
      <w:divBdr>
        <w:top w:val="none" w:sz="0" w:space="0" w:color="auto"/>
        <w:left w:val="none" w:sz="0" w:space="0" w:color="auto"/>
        <w:bottom w:val="none" w:sz="0" w:space="0" w:color="auto"/>
        <w:right w:val="none" w:sz="0" w:space="0" w:color="auto"/>
      </w:divBdr>
    </w:div>
    <w:div w:id="1599364559">
      <w:bodyDiv w:val="1"/>
      <w:marLeft w:val="0"/>
      <w:marRight w:val="0"/>
      <w:marTop w:val="0"/>
      <w:marBottom w:val="0"/>
      <w:divBdr>
        <w:top w:val="none" w:sz="0" w:space="0" w:color="auto"/>
        <w:left w:val="none" w:sz="0" w:space="0" w:color="auto"/>
        <w:bottom w:val="none" w:sz="0" w:space="0" w:color="auto"/>
        <w:right w:val="none" w:sz="0" w:space="0" w:color="auto"/>
      </w:divBdr>
    </w:div>
    <w:div w:id="1613317263">
      <w:bodyDiv w:val="1"/>
      <w:marLeft w:val="0"/>
      <w:marRight w:val="0"/>
      <w:marTop w:val="0"/>
      <w:marBottom w:val="0"/>
      <w:divBdr>
        <w:top w:val="none" w:sz="0" w:space="0" w:color="auto"/>
        <w:left w:val="none" w:sz="0" w:space="0" w:color="auto"/>
        <w:bottom w:val="none" w:sz="0" w:space="0" w:color="auto"/>
        <w:right w:val="none" w:sz="0" w:space="0" w:color="auto"/>
      </w:divBdr>
    </w:div>
    <w:div w:id="1693342891">
      <w:bodyDiv w:val="1"/>
      <w:marLeft w:val="0"/>
      <w:marRight w:val="0"/>
      <w:marTop w:val="0"/>
      <w:marBottom w:val="0"/>
      <w:divBdr>
        <w:top w:val="none" w:sz="0" w:space="0" w:color="auto"/>
        <w:left w:val="none" w:sz="0" w:space="0" w:color="auto"/>
        <w:bottom w:val="none" w:sz="0" w:space="0" w:color="auto"/>
        <w:right w:val="none" w:sz="0" w:space="0" w:color="auto"/>
      </w:divBdr>
    </w:div>
    <w:div w:id="1708873547">
      <w:bodyDiv w:val="1"/>
      <w:marLeft w:val="0"/>
      <w:marRight w:val="0"/>
      <w:marTop w:val="0"/>
      <w:marBottom w:val="0"/>
      <w:divBdr>
        <w:top w:val="none" w:sz="0" w:space="0" w:color="auto"/>
        <w:left w:val="none" w:sz="0" w:space="0" w:color="auto"/>
        <w:bottom w:val="none" w:sz="0" w:space="0" w:color="auto"/>
        <w:right w:val="none" w:sz="0" w:space="0" w:color="auto"/>
      </w:divBdr>
    </w:div>
    <w:div w:id="1709572675">
      <w:bodyDiv w:val="1"/>
      <w:marLeft w:val="0"/>
      <w:marRight w:val="0"/>
      <w:marTop w:val="0"/>
      <w:marBottom w:val="0"/>
      <w:divBdr>
        <w:top w:val="none" w:sz="0" w:space="0" w:color="auto"/>
        <w:left w:val="none" w:sz="0" w:space="0" w:color="auto"/>
        <w:bottom w:val="none" w:sz="0" w:space="0" w:color="auto"/>
        <w:right w:val="none" w:sz="0" w:space="0" w:color="auto"/>
      </w:divBdr>
    </w:div>
    <w:div w:id="1784957276">
      <w:bodyDiv w:val="1"/>
      <w:marLeft w:val="0"/>
      <w:marRight w:val="0"/>
      <w:marTop w:val="0"/>
      <w:marBottom w:val="0"/>
      <w:divBdr>
        <w:top w:val="none" w:sz="0" w:space="0" w:color="auto"/>
        <w:left w:val="none" w:sz="0" w:space="0" w:color="auto"/>
        <w:bottom w:val="none" w:sz="0" w:space="0" w:color="auto"/>
        <w:right w:val="none" w:sz="0" w:space="0" w:color="auto"/>
      </w:divBdr>
    </w:div>
    <w:div w:id="1789158951">
      <w:bodyDiv w:val="1"/>
      <w:marLeft w:val="0"/>
      <w:marRight w:val="0"/>
      <w:marTop w:val="0"/>
      <w:marBottom w:val="0"/>
      <w:divBdr>
        <w:top w:val="none" w:sz="0" w:space="0" w:color="auto"/>
        <w:left w:val="none" w:sz="0" w:space="0" w:color="auto"/>
        <w:bottom w:val="none" w:sz="0" w:space="0" w:color="auto"/>
        <w:right w:val="none" w:sz="0" w:space="0" w:color="auto"/>
      </w:divBdr>
    </w:div>
    <w:div w:id="1789618676">
      <w:bodyDiv w:val="1"/>
      <w:marLeft w:val="0"/>
      <w:marRight w:val="0"/>
      <w:marTop w:val="0"/>
      <w:marBottom w:val="0"/>
      <w:divBdr>
        <w:top w:val="none" w:sz="0" w:space="0" w:color="auto"/>
        <w:left w:val="none" w:sz="0" w:space="0" w:color="auto"/>
        <w:bottom w:val="none" w:sz="0" w:space="0" w:color="auto"/>
        <w:right w:val="none" w:sz="0" w:space="0" w:color="auto"/>
      </w:divBdr>
    </w:div>
    <w:div w:id="1807237327">
      <w:bodyDiv w:val="1"/>
      <w:marLeft w:val="0"/>
      <w:marRight w:val="0"/>
      <w:marTop w:val="0"/>
      <w:marBottom w:val="0"/>
      <w:divBdr>
        <w:top w:val="none" w:sz="0" w:space="0" w:color="auto"/>
        <w:left w:val="none" w:sz="0" w:space="0" w:color="auto"/>
        <w:bottom w:val="none" w:sz="0" w:space="0" w:color="auto"/>
        <w:right w:val="none" w:sz="0" w:space="0" w:color="auto"/>
      </w:divBdr>
    </w:div>
    <w:div w:id="1840579945">
      <w:bodyDiv w:val="1"/>
      <w:marLeft w:val="0"/>
      <w:marRight w:val="0"/>
      <w:marTop w:val="0"/>
      <w:marBottom w:val="0"/>
      <w:divBdr>
        <w:top w:val="none" w:sz="0" w:space="0" w:color="auto"/>
        <w:left w:val="none" w:sz="0" w:space="0" w:color="auto"/>
        <w:bottom w:val="none" w:sz="0" w:space="0" w:color="auto"/>
        <w:right w:val="none" w:sz="0" w:space="0" w:color="auto"/>
      </w:divBdr>
    </w:div>
    <w:div w:id="1862623521">
      <w:bodyDiv w:val="1"/>
      <w:marLeft w:val="0"/>
      <w:marRight w:val="0"/>
      <w:marTop w:val="0"/>
      <w:marBottom w:val="0"/>
      <w:divBdr>
        <w:top w:val="none" w:sz="0" w:space="0" w:color="auto"/>
        <w:left w:val="none" w:sz="0" w:space="0" w:color="auto"/>
        <w:bottom w:val="none" w:sz="0" w:space="0" w:color="auto"/>
        <w:right w:val="none" w:sz="0" w:space="0" w:color="auto"/>
      </w:divBdr>
    </w:div>
    <w:div w:id="1938444419">
      <w:bodyDiv w:val="1"/>
      <w:marLeft w:val="0"/>
      <w:marRight w:val="0"/>
      <w:marTop w:val="0"/>
      <w:marBottom w:val="0"/>
      <w:divBdr>
        <w:top w:val="none" w:sz="0" w:space="0" w:color="auto"/>
        <w:left w:val="none" w:sz="0" w:space="0" w:color="auto"/>
        <w:bottom w:val="none" w:sz="0" w:space="0" w:color="auto"/>
        <w:right w:val="none" w:sz="0" w:space="0" w:color="auto"/>
      </w:divBdr>
    </w:div>
    <w:div w:id="1956982508">
      <w:bodyDiv w:val="1"/>
      <w:marLeft w:val="0"/>
      <w:marRight w:val="0"/>
      <w:marTop w:val="0"/>
      <w:marBottom w:val="0"/>
      <w:divBdr>
        <w:top w:val="none" w:sz="0" w:space="0" w:color="auto"/>
        <w:left w:val="none" w:sz="0" w:space="0" w:color="auto"/>
        <w:bottom w:val="none" w:sz="0" w:space="0" w:color="auto"/>
        <w:right w:val="none" w:sz="0" w:space="0" w:color="auto"/>
      </w:divBdr>
    </w:div>
    <w:div w:id="1990741927">
      <w:bodyDiv w:val="1"/>
      <w:marLeft w:val="0"/>
      <w:marRight w:val="0"/>
      <w:marTop w:val="0"/>
      <w:marBottom w:val="0"/>
      <w:divBdr>
        <w:top w:val="none" w:sz="0" w:space="0" w:color="auto"/>
        <w:left w:val="none" w:sz="0" w:space="0" w:color="auto"/>
        <w:bottom w:val="none" w:sz="0" w:space="0" w:color="auto"/>
        <w:right w:val="none" w:sz="0" w:space="0" w:color="auto"/>
      </w:divBdr>
    </w:div>
    <w:div w:id="2013297509">
      <w:bodyDiv w:val="1"/>
      <w:marLeft w:val="0"/>
      <w:marRight w:val="0"/>
      <w:marTop w:val="0"/>
      <w:marBottom w:val="0"/>
      <w:divBdr>
        <w:top w:val="none" w:sz="0" w:space="0" w:color="auto"/>
        <w:left w:val="none" w:sz="0" w:space="0" w:color="auto"/>
        <w:bottom w:val="none" w:sz="0" w:space="0" w:color="auto"/>
        <w:right w:val="none" w:sz="0" w:space="0" w:color="auto"/>
      </w:divBdr>
    </w:div>
    <w:div w:id="2018651157">
      <w:bodyDiv w:val="1"/>
      <w:marLeft w:val="0"/>
      <w:marRight w:val="0"/>
      <w:marTop w:val="0"/>
      <w:marBottom w:val="0"/>
      <w:divBdr>
        <w:top w:val="none" w:sz="0" w:space="0" w:color="auto"/>
        <w:left w:val="none" w:sz="0" w:space="0" w:color="auto"/>
        <w:bottom w:val="none" w:sz="0" w:space="0" w:color="auto"/>
        <w:right w:val="none" w:sz="0" w:space="0" w:color="auto"/>
      </w:divBdr>
    </w:div>
    <w:div w:id="2018733405">
      <w:bodyDiv w:val="1"/>
      <w:marLeft w:val="0"/>
      <w:marRight w:val="0"/>
      <w:marTop w:val="0"/>
      <w:marBottom w:val="0"/>
      <w:divBdr>
        <w:top w:val="none" w:sz="0" w:space="0" w:color="auto"/>
        <w:left w:val="none" w:sz="0" w:space="0" w:color="auto"/>
        <w:bottom w:val="none" w:sz="0" w:space="0" w:color="auto"/>
        <w:right w:val="none" w:sz="0" w:space="0" w:color="auto"/>
      </w:divBdr>
    </w:div>
    <w:div w:id="2093624647">
      <w:bodyDiv w:val="1"/>
      <w:marLeft w:val="0"/>
      <w:marRight w:val="0"/>
      <w:marTop w:val="0"/>
      <w:marBottom w:val="0"/>
      <w:divBdr>
        <w:top w:val="none" w:sz="0" w:space="0" w:color="auto"/>
        <w:left w:val="none" w:sz="0" w:space="0" w:color="auto"/>
        <w:bottom w:val="none" w:sz="0" w:space="0" w:color="auto"/>
        <w:right w:val="none" w:sz="0" w:space="0" w:color="auto"/>
      </w:divBdr>
    </w:div>
    <w:div w:id="211505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28</Pages>
  <Words>9586</Words>
  <Characters>54643</Characters>
  <Application>Microsoft Office Word</Application>
  <DocSecurity>0</DocSecurity>
  <Lines>455</Lines>
  <Paragraphs>128</Paragraphs>
  <ScaleCrop>false</ScaleCrop>
  <Company/>
  <LinksUpToDate>false</LinksUpToDate>
  <CharactersWithSpaces>64101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3</cp:revision>
  <dcterms:created xsi:type="dcterms:W3CDTF">2026-08-14T13:50:00Z</dcterms:created>
  <dcterms:modified xsi:type="dcterms:W3CDTF">2026-08-14T14:18:00Z</dcterms:modified>
</cp:coreProperties>
</file>