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DAF5DE" w14:textId="77777777" w:rsidR="00254B07" w:rsidRPr="00ED11D1" w:rsidRDefault="00833687" w:rsidP="00ED11D1">
      <w:pPr>
        <w:pStyle w:val="Title"/>
        <w:rPr>
          <w:rFonts w:ascii="Arial" w:hAnsi="Arial" w:cs="Arial"/>
        </w:rPr>
      </w:pPr>
      <w:bookmarkStart w:id="0" w:name="_heading=h.ufek76t8wlpi" w:colFirst="0" w:colLast="0"/>
      <w:bookmarkEnd w:id="0"/>
      <w:r w:rsidRPr="00ED11D1">
        <w:rPr>
          <w:rFonts w:ascii="Arial" w:hAnsi="Arial" w:cs="Arial"/>
          <w:noProof/>
        </w:rPr>
        <w:drawing>
          <wp:inline distT="0" distB="0" distL="0" distR="0" wp14:anchorId="44F9F97D" wp14:editId="5BFF674F">
            <wp:extent cx="2524125" cy="952500"/>
            <wp:effectExtent l="0" t="0" r="9525" b="0"/>
            <wp:docPr id="174777096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l="5090" r="3463"/>
                    <a:stretch>
                      <a:fillRect/>
                    </a:stretch>
                  </pic:blipFill>
                  <pic:spPr>
                    <a:xfrm>
                      <a:off x="0" y="0"/>
                      <a:ext cx="2525826" cy="953142"/>
                    </a:xfrm>
                    <a:prstGeom prst="rect">
                      <a:avLst/>
                    </a:prstGeom>
                    <a:ln/>
                  </pic:spPr>
                </pic:pic>
              </a:graphicData>
            </a:graphic>
          </wp:inline>
        </w:drawing>
      </w:r>
    </w:p>
    <w:p w14:paraId="27173777" w14:textId="77777777" w:rsidR="00254B07" w:rsidRPr="00ED11D1" w:rsidRDefault="00254B07" w:rsidP="00ED11D1">
      <w:pPr>
        <w:pStyle w:val="Title"/>
        <w:rPr>
          <w:rFonts w:ascii="Arial" w:hAnsi="Arial" w:cs="Arial"/>
        </w:rPr>
      </w:pPr>
    </w:p>
    <w:p w14:paraId="40B7A6C6" w14:textId="44EB3F58" w:rsidR="00254B07" w:rsidRPr="00E31C8E" w:rsidRDefault="00E31C8E" w:rsidP="00ED11D1">
      <w:pPr>
        <w:pStyle w:val="Title"/>
        <w:rPr>
          <w:rFonts w:ascii="Arial" w:hAnsi="Arial" w:cs="Arial"/>
          <w:sz w:val="28"/>
          <w:szCs w:val="28"/>
        </w:rPr>
      </w:pPr>
      <w:r w:rsidRPr="00E31C8E">
        <w:rPr>
          <w:rFonts w:ascii="Arial" w:hAnsi="Arial" w:cs="Arial"/>
          <w:sz w:val="28"/>
          <w:szCs w:val="28"/>
        </w:rPr>
        <w:t xml:space="preserve">MASTER OF BUSINESS ADMINISTRATION </w:t>
      </w:r>
    </w:p>
    <w:p w14:paraId="6085CBE6" w14:textId="19B06F96" w:rsidR="00254B07" w:rsidRPr="00E31C8E" w:rsidRDefault="00E31C8E" w:rsidP="00ED11D1">
      <w:pPr>
        <w:pStyle w:val="Title"/>
        <w:rPr>
          <w:rFonts w:ascii="Arial" w:hAnsi="Arial" w:cs="Arial"/>
          <w:sz w:val="28"/>
          <w:szCs w:val="28"/>
        </w:rPr>
      </w:pPr>
      <w:r w:rsidRPr="00E31C8E">
        <w:rPr>
          <w:rFonts w:ascii="Arial" w:hAnsi="Arial" w:cs="Arial"/>
          <w:sz w:val="28"/>
          <w:szCs w:val="28"/>
        </w:rPr>
        <w:t xml:space="preserve">FINANCIAL MANAGEMENT </w:t>
      </w:r>
    </w:p>
    <w:p w14:paraId="07EC2BD2" w14:textId="6D3006A0" w:rsidR="00254B07" w:rsidRPr="00E31C8E" w:rsidRDefault="00E31C8E" w:rsidP="00ED11D1">
      <w:pPr>
        <w:pStyle w:val="Title"/>
        <w:rPr>
          <w:rFonts w:ascii="Arial" w:hAnsi="Arial" w:cs="Arial"/>
          <w:sz w:val="28"/>
          <w:szCs w:val="28"/>
        </w:rPr>
      </w:pPr>
      <w:r w:rsidRPr="00E31C8E">
        <w:rPr>
          <w:rFonts w:ascii="Arial" w:hAnsi="Arial" w:cs="Arial"/>
          <w:sz w:val="28"/>
          <w:szCs w:val="28"/>
        </w:rPr>
        <w:t>LCMB7002</w:t>
      </w:r>
    </w:p>
    <w:p w14:paraId="0A59D509" w14:textId="77777777" w:rsidR="00254B07" w:rsidRPr="00E31C8E" w:rsidRDefault="00254B07" w:rsidP="00ED11D1">
      <w:pPr>
        <w:pStyle w:val="Title"/>
        <w:jc w:val="both"/>
        <w:rPr>
          <w:rFonts w:ascii="Arial" w:hAnsi="Arial" w:cs="Arial"/>
          <w:sz w:val="28"/>
          <w:szCs w:val="28"/>
        </w:rPr>
      </w:pPr>
    </w:p>
    <w:p w14:paraId="334E6129" w14:textId="1DD82F7D" w:rsidR="00254B07" w:rsidRPr="00E31C8E" w:rsidRDefault="00E31C8E" w:rsidP="00ED11D1">
      <w:pPr>
        <w:pStyle w:val="Title"/>
        <w:rPr>
          <w:rFonts w:ascii="Arial" w:hAnsi="Arial" w:cs="Arial"/>
          <w:sz w:val="28"/>
          <w:szCs w:val="28"/>
        </w:rPr>
      </w:pPr>
      <w:r w:rsidRPr="00E31C8E">
        <w:rPr>
          <w:rFonts w:ascii="Arial" w:hAnsi="Arial" w:cs="Arial"/>
          <w:sz w:val="28"/>
          <w:szCs w:val="28"/>
        </w:rPr>
        <w:t>ASSESSMENT COMPONENT: FINANCIAL PERFORMANCE AND MANAGEMENT</w:t>
      </w:r>
    </w:p>
    <w:p w14:paraId="60F21FC9" w14:textId="77777777" w:rsidR="00254B07" w:rsidRPr="00E31C8E" w:rsidRDefault="00254B07" w:rsidP="00ED11D1">
      <w:pPr>
        <w:pStyle w:val="Title"/>
        <w:rPr>
          <w:rFonts w:ascii="Arial" w:hAnsi="Arial" w:cs="Arial"/>
          <w:sz w:val="28"/>
          <w:szCs w:val="28"/>
        </w:rPr>
      </w:pPr>
    </w:p>
    <w:p w14:paraId="43BA3D35" w14:textId="77777777" w:rsidR="00254B07" w:rsidRPr="00E31C8E" w:rsidRDefault="00833687" w:rsidP="00ED11D1">
      <w:pPr>
        <w:pStyle w:val="Title"/>
        <w:rPr>
          <w:rFonts w:ascii="Arial" w:hAnsi="Arial" w:cs="Arial"/>
          <w:sz w:val="28"/>
          <w:szCs w:val="28"/>
        </w:rPr>
      </w:pPr>
      <w:bookmarkStart w:id="1" w:name="_heading=h.95kxpruze29m" w:colFirst="0" w:colLast="0"/>
      <w:bookmarkEnd w:id="1"/>
      <w:r w:rsidRPr="00E31C8E">
        <w:rPr>
          <w:rFonts w:ascii="Arial" w:hAnsi="Arial" w:cs="Arial"/>
          <w:sz w:val="28"/>
          <w:szCs w:val="28"/>
        </w:rPr>
        <w:t>FINANCIAL PERFORMANCE EVALUATION, WORKING CAPITAL MANAGEMENT, STRATEGIC FINANCIAL RESTRUCTURING, AND INVESTMENT APPRAISAL OF INTERCONTINENTAL HOTELS GROUP (IHG): A FIVE-YEAR FINANCIAL ANALYSIS</w:t>
      </w:r>
    </w:p>
    <w:p w14:paraId="5ACAF644" w14:textId="09A2960C" w:rsidR="00254B07" w:rsidRDefault="00254B07" w:rsidP="00ED11D1">
      <w:pPr>
        <w:rPr>
          <w:rFonts w:ascii="Arial" w:hAnsi="Arial" w:cs="Arial"/>
        </w:rPr>
      </w:pPr>
    </w:p>
    <w:p w14:paraId="3D62F059" w14:textId="77777777" w:rsidR="00E31C8E" w:rsidRPr="00ED11D1" w:rsidRDefault="00E31C8E" w:rsidP="00ED11D1">
      <w:pPr>
        <w:rPr>
          <w:rFonts w:ascii="Arial" w:hAnsi="Arial" w:cs="Arial"/>
        </w:rPr>
      </w:pPr>
    </w:p>
    <w:p w14:paraId="37566AA4" w14:textId="59F710F6" w:rsidR="00254B07" w:rsidRPr="00ED11D1" w:rsidRDefault="00833687" w:rsidP="00ED11D1">
      <w:pPr>
        <w:pStyle w:val="Title"/>
        <w:rPr>
          <w:rFonts w:ascii="Arial" w:hAnsi="Arial" w:cs="Arial"/>
          <w:sz w:val="24"/>
          <w:szCs w:val="24"/>
        </w:rPr>
      </w:pPr>
      <w:r w:rsidRPr="00ED11D1">
        <w:rPr>
          <w:rFonts w:ascii="Arial" w:hAnsi="Arial" w:cs="Arial"/>
          <w:sz w:val="24"/>
          <w:szCs w:val="24"/>
        </w:rPr>
        <w:t>Lecturer name:</w:t>
      </w:r>
      <w:r w:rsidR="00E31C8E">
        <w:rPr>
          <w:rFonts w:ascii="Arial" w:hAnsi="Arial" w:cs="Arial"/>
          <w:sz w:val="24"/>
          <w:szCs w:val="24"/>
        </w:rPr>
        <w:t xml:space="preserve"> </w:t>
      </w:r>
      <w:proofErr w:type="spellStart"/>
      <w:r w:rsidR="00E31C8E" w:rsidRPr="00E31C8E">
        <w:rPr>
          <w:rFonts w:ascii="Arial" w:hAnsi="Arial" w:cs="Arial"/>
          <w:b w:val="0"/>
          <w:bCs w:val="0"/>
          <w:sz w:val="24"/>
          <w:szCs w:val="24"/>
        </w:rPr>
        <w:t>Shengfeng</w:t>
      </w:r>
      <w:proofErr w:type="spellEnd"/>
      <w:r w:rsidR="00E31C8E" w:rsidRPr="00E31C8E">
        <w:rPr>
          <w:rFonts w:ascii="Arial" w:hAnsi="Arial" w:cs="Arial"/>
          <w:b w:val="0"/>
          <w:bCs w:val="0"/>
          <w:sz w:val="24"/>
          <w:szCs w:val="24"/>
        </w:rPr>
        <w:t xml:space="preserve"> Mei</w:t>
      </w:r>
      <w:r w:rsidR="00E31C8E">
        <w:rPr>
          <w:rFonts w:ascii="Arial" w:hAnsi="Arial" w:cs="Arial"/>
          <w:b w:val="0"/>
          <w:bCs w:val="0"/>
          <w:sz w:val="24"/>
          <w:szCs w:val="24"/>
        </w:rPr>
        <w:t>,</w:t>
      </w:r>
      <w:r w:rsidR="00E31C8E" w:rsidRPr="00E31C8E">
        <w:rPr>
          <w:rFonts w:ascii="Arial" w:hAnsi="Arial" w:cs="Arial"/>
          <w:b w:val="0"/>
          <w:bCs w:val="0"/>
          <w:sz w:val="24"/>
          <w:szCs w:val="24"/>
        </w:rPr>
        <w:t xml:space="preserve"> Patrick Yeboah</w:t>
      </w:r>
    </w:p>
    <w:p w14:paraId="0945EA8D" w14:textId="77777777" w:rsidR="00254B07" w:rsidRPr="00ED11D1" w:rsidRDefault="00254B07" w:rsidP="00ED11D1">
      <w:pPr>
        <w:pStyle w:val="Title"/>
        <w:rPr>
          <w:rFonts w:ascii="Arial" w:hAnsi="Arial" w:cs="Arial"/>
          <w:sz w:val="24"/>
          <w:szCs w:val="24"/>
        </w:rPr>
      </w:pPr>
    </w:p>
    <w:p w14:paraId="5A43D5F3" w14:textId="12F04E40" w:rsidR="00254B07" w:rsidRPr="00ED11D1" w:rsidRDefault="00833687" w:rsidP="00ED11D1">
      <w:pPr>
        <w:pStyle w:val="Title"/>
        <w:rPr>
          <w:rFonts w:ascii="Arial" w:hAnsi="Arial" w:cs="Arial"/>
          <w:sz w:val="24"/>
          <w:szCs w:val="24"/>
        </w:rPr>
      </w:pPr>
      <w:r w:rsidRPr="00ED11D1">
        <w:rPr>
          <w:rFonts w:ascii="Arial" w:hAnsi="Arial" w:cs="Arial"/>
          <w:sz w:val="24"/>
          <w:szCs w:val="24"/>
        </w:rPr>
        <w:t>Student name:</w:t>
      </w:r>
      <w:r w:rsidR="00CC3D1D">
        <w:rPr>
          <w:rFonts w:ascii="Arial" w:hAnsi="Arial" w:cs="Arial"/>
          <w:sz w:val="24"/>
          <w:szCs w:val="24"/>
        </w:rPr>
        <w:t xml:space="preserve"> </w:t>
      </w:r>
      <w:proofErr w:type="spellStart"/>
      <w:r w:rsidR="00CC3D1D" w:rsidRPr="00CC3D1D">
        <w:rPr>
          <w:rFonts w:ascii="Arial" w:hAnsi="Arial" w:cs="Arial"/>
          <w:b w:val="0"/>
          <w:bCs w:val="0"/>
          <w:sz w:val="24"/>
          <w:szCs w:val="24"/>
        </w:rPr>
        <w:t>Milankumar</w:t>
      </w:r>
      <w:proofErr w:type="spellEnd"/>
      <w:r w:rsidR="00CC3D1D" w:rsidRPr="00CC3D1D">
        <w:rPr>
          <w:rFonts w:ascii="Arial" w:hAnsi="Arial" w:cs="Arial"/>
          <w:b w:val="0"/>
          <w:bCs w:val="0"/>
          <w:sz w:val="24"/>
          <w:szCs w:val="24"/>
        </w:rPr>
        <w:t xml:space="preserve"> </w:t>
      </w:r>
      <w:proofErr w:type="spellStart"/>
      <w:r w:rsidR="00CC3D1D" w:rsidRPr="00CC3D1D">
        <w:rPr>
          <w:rFonts w:ascii="Arial" w:hAnsi="Arial" w:cs="Arial"/>
          <w:b w:val="0"/>
          <w:bCs w:val="0"/>
          <w:sz w:val="24"/>
          <w:szCs w:val="24"/>
        </w:rPr>
        <w:t>manishkumar</w:t>
      </w:r>
      <w:proofErr w:type="spellEnd"/>
      <w:r w:rsidR="00CC3D1D">
        <w:rPr>
          <w:rFonts w:ascii="Arial" w:hAnsi="Arial" w:cs="Arial"/>
          <w:b w:val="0"/>
          <w:bCs w:val="0"/>
          <w:sz w:val="24"/>
          <w:szCs w:val="24"/>
        </w:rPr>
        <w:t xml:space="preserve"> </w:t>
      </w:r>
      <w:r w:rsidR="00CC3D1D" w:rsidRPr="00CC3D1D">
        <w:rPr>
          <w:rFonts w:ascii="Arial" w:hAnsi="Arial" w:cs="Arial"/>
          <w:b w:val="0"/>
          <w:bCs w:val="0"/>
          <w:sz w:val="24"/>
          <w:szCs w:val="24"/>
        </w:rPr>
        <w:t>Upadhyay</w:t>
      </w:r>
    </w:p>
    <w:p w14:paraId="7773A3FD" w14:textId="2311E394" w:rsidR="00254B07" w:rsidRPr="00ED11D1" w:rsidRDefault="00833687" w:rsidP="00ED11D1">
      <w:pPr>
        <w:pStyle w:val="Title"/>
        <w:rPr>
          <w:rFonts w:ascii="Arial" w:hAnsi="Arial" w:cs="Arial"/>
          <w:sz w:val="24"/>
          <w:szCs w:val="24"/>
        </w:rPr>
      </w:pPr>
      <w:r w:rsidRPr="00ED11D1">
        <w:rPr>
          <w:rFonts w:ascii="Arial" w:hAnsi="Arial" w:cs="Arial"/>
          <w:sz w:val="24"/>
          <w:szCs w:val="24"/>
        </w:rPr>
        <w:t>Student ID:</w:t>
      </w:r>
      <w:r w:rsidR="00CC3D1D">
        <w:rPr>
          <w:rFonts w:ascii="Arial" w:hAnsi="Arial" w:cs="Arial"/>
          <w:sz w:val="24"/>
          <w:szCs w:val="24"/>
        </w:rPr>
        <w:t xml:space="preserve"> </w:t>
      </w:r>
      <w:r w:rsidR="00CC3D1D" w:rsidRPr="00CC3D1D">
        <w:rPr>
          <w:rFonts w:ascii="Arial" w:hAnsi="Arial" w:cs="Arial"/>
          <w:b w:val="0"/>
          <w:bCs w:val="0"/>
          <w:sz w:val="24"/>
          <w:szCs w:val="24"/>
        </w:rPr>
        <w:t>2541470</w:t>
      </w:r>
    </w:p>
    <w:p w14:paraId="2A672383" w14:textId="77777777" w:rsidR="00254B07" w:rsidRPr="00ED11D1" w:rsidRDefault="00254B07" w:rsidP="00ED11D1">
      <w:pPr>
        <w:pStyle w:val="Title"/>
        <w:rPr>
          <w:rFonts w:ascii="Arial" w:hAnsi="Arial" w:cs="Arial"/>
          <w:sz w:val="24"/>
          <w:szCs w:val="24"/>
        </w:rPr>
      </w:pPr>
    </w:p>
    <w:p w14:paraId="51CA2325" w14:textId="3C3421BA" w:rsidR="00254B07" w:rsidRPr="00ED11D1" w:rsidRDefault="00833687" w:rsidP="00ED11D1">
      <w:pPr>
        <w:pStyle w:val="Title"/>
        <w:rPr>
          <w:rFonts w:ascii="Arial" w:hAnsi="Arial" w:cs="Arial"/>
          <w:sz w:val="24"/>
          <w:szCs w:val="24"/>
        </w:rPr>
      </w:pPr>
      <w:r w:rsidRPr="00ED11D1">
        <w:rPr>
          <w:rFonts w:ascii="Arial" w:hAnsi="Arial" w:cs="Arial"/>
          <w:sz w:val="24"/>
          <w:szCs w:val="24"/>
        </w:rPr>
        <w:t xml:space="preserve">Word count: </w:t>
      </w:r>
      <w:r w:rsidRPr="00E31C8E">
        <w:rPr>
          <w:rFonts w:ascii="Arial" w:hAnsi="Arial" w:cs="Arial"/>
          <w:b w:val="0"/>
          <w:bCs w:val="0"/>
          <w:sz w:val="24"/>
          <w:szCs w:val="24"/>
        </w:rPr>
        <w:t>5</w:t>
      </w:r>
      <w:r w:rsidR="009423E3" w:rsidRPr="00E31C8E">
        <w:rPr>
          <w:rFonts w:ascii="Arial" w:hAnsi="Arial" w:cs="Arial"/>
          <w:b w:val="0"/>
          <w:bCs w:val="0"/>
          <w:sz w:val="24"/>
          <w:szCs w:val="24"/>
        </w:rPr>
        <w:t>201</w:t>
      </w:r>
    </w:p>
    <w:p w14:paraId="52B31204" w14:textId="77777777" w:rsidR="00254B07" w:rsidRPr="00ED11D1" w:rsidRDefault="00254B07" w:rsidP="00ED11D1">
      <w:pPr>
        <w:pStyle w:val="Title"/>
        <w:rPr>
          <w:rFonts w:ascii="Arial" w:hAnsi="Arial" w:cs="Arial"/>
          <w:sz w:val="24"/>
          <w:szCs w:val="24"/>
        </w:rPr>
      </w:pPr>
    </w:p>
    <w:p w14:paraId="3AC6F98C" w14:textId="230E1BCA" w:rsidR="00254B07" w:rsidRPr="00ED11D1" w:rsidRDefault="00833687" w:rsidP="00ED11D1">
      <w:pPr>
        <w:pStyle w:val="Title"/>
        <w:rPr>
          <w:rFonts w:ascii="Arial" w:hAnsi="Arial" w:cs="Arial"/>
          <w:sz w:val="24"/>
          <w:szCs w:val="24"/>
        </w:rPr>
      </w:pPr>
      <w:r w:rsidRPr="00ED11D1">
        <w:rPr>
          <w:rFonts w:ascii="Arial" w:hAnsi="Arial" w:cs="Arial"/>
          <w:sz w:val="24"/>
          <w:szCs w:val="24"/>
        </w:rPr>
        <w:t xml:space="preserve">Submission date: </w:t>
      </w:r>
      <w:r w:rsidR="00E31C8E" w:rsidRPr="00E31C8E">
        <w:rPr>
          <w:rFonts w:ascii="Arial" w:hAnsi="Arial" w:cs="Arial"/>
          <w:b w:val="0"/>
          <w:bCs w:val="0"/>
          <w:sz w:val="24"/>
          <w:szCs w:val="24"/>
        </w:rPr>
        <w:t>13th August 2026</w:t>
      </w:r>
      <w:r w:rsidRPr="00ED11D1">
        <w:rPr>
          <w:rFonts w:ascii="Arial" w:hAnsi="Arial" w:cs="Arial"/>
          <w:sz w:val="24"/>
          <w:szCs w:val="24"/>
        </w:rPr>
        <w:t xml:space="preserve">     </w:t>
      </w:r>
    </w:p>
    <w:p w14:paraId="7E603E61" w14:textId="77777777" w:rsidR="00254B07" w:rsidRPr="00ED11D1" w:rsidRDefault="00833687" w:rsidP="00ED11D1">
      <w:pPr>
        <w:rPr>
          <w:rFonts w:ascii="Arial" w:hAnsi="Arial" w:cs="Arial"/>
          <w:b/>
          <w:bCs/>
        </w:rPr>
      </w:pPr>
      <w:r w:rsidRPr="00ED11D1">
        <w:rPr>
          <w:rFonts w:ascii="Arial" w:hAnsi="Arial" w:cs="Arial"/>
        </w:rPr>
        <w:br w:type="page"/>
      </w:r>
    </w:p>
    <w:p w14:paraId="4D461D3A" w14:textId="32FB3348" w:rsidR="00254B07" w:rsidRPr="00ED11D1" w:rsidRDefault="00833687" w:rsidP="00ED11D1">
      <w:pPr>
        <w:jc w:val="center"/>
        <w:rPr>
          <w:rFonts w:ascii="Arial" w:hAnsi="Arial" w:cs="Arial"/>
          <w:b/>
          <w:bCs/>
        </w:rPr>
      </w:pPr>
      <w:r w:rsidRPr="00ED11D1">
        <w:rPr>
          <w:rFonts w:ascii="Arial" w:hAnsi="Arial" w:cs="Arial"/>
          <w:b/>
          <w:bCs/>
        </w:rPr>
        <w:lastRenderedPageBreak/>
        <w:t>Executive Summary</w:t>
      </w:r>
    </w:p>
    <w:p w14:paraId="69EB1A82" w14:textId="77777777" w:rsidR="005112D9" w:rsidRPr="00ED11D1" w:rsidRDefault="005112D9" w:rsidP="00ED11D1">
      <w:pPr>
        <w:jc w:val="center"/>
        <w:rPr>
          <w:rFonts w:ascii="Arial" w:hAnsi="Arial" w:cs="Arial"/>
          <w:b/>
          <w:bCs/>
        </w:rPr>
      </w:pPr>
    </w:p>
    <w:p w14:paraId="15DC1C01" w14:textId="77777777" w:rsidR="00254B07" w:rsidRPr="00ED11D1" w:rsidRDefault="00833687" w:rsidP="00ED11D1">
      <w:pPr>
        <w:rPr>
          <w:rFonts w:ascii="Arial" w:hAnsi="Arial" w:cs="Arial"/>
        </w:rPr>
      </w:pPr>
      <w:r w:rsidRPr="00ED11D1">
        <w:rPr>
          <w:rFonts w:ascii="Arial" w:hAnsi="Arial" w:cs="Arial"/>
        </w:rPr>
        <w:t>The financial health of InterContinental Hotels Group (IHG) was analysed for the period 2021-2025, considering its profitability, liquidity, working capital management, financial restructuring, and investment appraisal. After the pandemic recovery, IHG's revenues rose substantially and its net profit improved, in addition to the overall improvement in asset utilisation, the analysis found. However, key reasons given for the lack of liquidity ratios and negative shareholders' equity were the company's asset-light business model and its capital management rather than its operating performance. The report also considered the reasons why the company was utilizing working capital, as well as made some recommendations on how to boost cash flow, aspects of digital innovation and smart financing options. The Net Present Value (NPV) analysis showed that the investment project is financially viable and helps to generate a value adding investment. Finally, the report reiterated the importance of AI in data analysis, explaining that AI is improving the efficiency of the game of numbers, but protocols and systems have to be put in place to ensure the academic rigor and accuracy of the game of numbers.</w:t>
      </w:r>
    </w:p>
    <w:p w14:paraId="382B155A" w14:textId="77777777" w:rsidR="00254B07" w:rsidRPr="00ED11D1" w:rsidRDefault="00833687" w:rsidP="00ED11D1">
      <w:pPr>
        <w:rPr>
          <w:rFonts w:ascii="Arial" w:hAnsi="Arial" w:cs="Arial"/>
        </w:rPr>
      </w:pPr>
      <w:r w:rsidRPr="00ED11D1">
        <w:rPr>
          <w:rFonts w:ascii="Arial" w:hAnsi="Arial" w:cs="Arial"/>
        </w:rPr>
        <w:br w:type="page"/>
      </w:r>
    </w:p>
    <w:p w14:paraId="67DEE001" w14:textId="309AEB6C" w:rsidR="00254B07" w:rsidRDefault="00833687" w:rsidP="00ED11D1">
      <w:pPr>
        <w:keepNext/>
        <w:keepLines/>
        <w:pBdr>
          <w:top w:val="nil"/>
          <w:left w:val="nil"/>
          <w:bottom w:val="nil"/>
          <w:right w:val="nil"/>
          <w:between w:val="nil"/>
        </w:pBdr>
        <w:jc w:val="center"/>
        <w:rPr>
          <w:rFonts w:ascii="Arial" w:hAnsi="Arial" w:cs="Arial"/>
          <w:b/>
          <w:bCs/>
          <w:color w:val="000000"/>
        </w:rPr>
      </w:pPr>
      <w:r w:rsidRPr="00ED11D1">
        <w:rPr>
          <w:rFonts w:ascii="Arial" w:hAnsi="Arial" w:cs="Arial"/>
          <w:b/>
          <w:bCs/>
          <w:color w:val="000000"/>
        </w:rPr>
        <w:lastRenderedPageBreak/>
        <w:t>Table of Contents</w:t>
      </w:r>
    </w:p>
    <w:p w14:paraId="42466E84" w14:textId="77777777" w:rsidR="009423E3" w:rsidRPr="00ED11D1" w:rsidRDefault="009423E3" w:rsidP="00ED11D1">
      <w:pPr>
        <w:keepNext/>
        <w:keepLines/>
        <w:pBdr>
          <w:top w:val="nil"/>
          <w:left w:val="nil"/>
          <w:bottom w:val="nil"/>
          <w:right w:val="nil"/>
          <w:between w:val="nil"/>
        </w:pBdr>
        <w:jc w:val="center"/>
        <w:rPr>
          <w:rFonts w:ascii="Arial" w:hAnsi="Arial" w:cs="Arial"/>
          <w:b/>
          <w:bCs/>
          <w:color w:val="000000"/>
        </w:rPr>
      </w:pPr>
    </w:p>
    <w:sdt>
      <w:sdtPr>
        <w:rPr>
          <w:rFonts w:ascii="Arial" w:hAnsi="Arial" w:cs="Arial"/>
          <w:b w:val="0"/>
          <w:bCs w:val="0"/>
          <w:i w:val="0"/>
          <w:iCs w:val="0"/>
        </w:rPr>
        <w:id w:val="1888495489"/>
        <w:docPartObj>
          <w:docPartGallery w:val="Table of Contents"/>
          <w:docPartUnique/>
        </w:docPartObj>
      </w:sdtPr>
      <w:sdtEndPr/>
      <w:sdtContent>
        <w:p w14:paraId="6AE92A88" w14:textId="1D734F95" w:rsidR="009423E3" w:rsidRPr="00001717" w:rsidRDefault="00833687" w:rsidP="009423E3">
          <w:pPr>
            <w:pStyle w:val="TOC1"/>
            <w:tabs>
              <w:tab w:val="right" w:leader="dot" w:pos="9016"/>
            </w:tabs>
            <w:jc w:val="both"/>
            <w:rPr>
              <w:rFonts w:ascii="Arial" w:eastAsiaTheme="minorEastAsia" w:hAnsi="Arial" w:cs="Arial"/>
              <w:b w:val="0"/>
              <w:bCs w:val="0"/>
              <w:i w:val="0"/>
              <w:iCs w:val="0"/>
              <w:noProof/>
              <w:lang w:val="en-IN"/>
            </w:rPr>
          </w:pPr>
          <w:r w:rsidRPr="00001717">
            <w:rPr>
              <w:rFonts w:ascii="Arial" w:hAnsi="Arial" w:cs="Arial"/>
            </w:rPr>
            <w:fldChar w:fldCharType="begin"/>
          </w:r>
          <w:r w:rsidRPr="00001717">
            <w:rPr>
              <w:rFonts w:ascii="Arial" w:hAnsi="Arial" w:cs="Arial"/>
            </w:rPr>
            <w:instrText xml:space="preserve"> TOC \h \u \z \t "Heading 1,1,Heading 2,2,Heading 3,3,"</w:instrText>
          </w:r>
          <w:r w:rsidRPr="00001717">
            <w:rPr>
              <w:rFonts w:ascii="Arial" w:hAnsi="Arial" w:cs="Arial"/>
            </w:rPr>
            <w:fldChar w:fldCharType="separate"/>
          </w:r>
          <w:hyperlink w:anchor="_Toc237518230" w:history="1">
            <w:r w:rsidR="009423E3" w:rsidRPr="00001717">
              <w:rPr>
                <w:rStyle w:val="Hyperlink"/>
                <w:rFonts w:ascii="Arial" w:hAnsi="Arial" w:cs="Arial"/>
                <w:b w:val="0"/>
                <w:bCs w:val="0"/>
                <w:i w:val="0"/>
                <w:iCs w:val="0"/>
                <w:noProof/>
                <w:color w:val="auto"/>
              </w:rPr>
              <w:t>1. Introduction</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_Toc237518230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5</w:t>
            </w:r>
            <w:r w:rsidR="009423E3" w:rsidRPr="00001717">
              <w:rPr>
                <w:rFonts w:ascii="Arial" w:hAnsi="Arial" w:cs="Arial"/>
                <w:b w:val="0"/>
                <w:bCs w:val="0"/>
                <w:i w:val="0"/>
                <w:iCs w:val="0"/>
                <w:noProof/>
                <w:webHidden/>
              </w:rPr>
              <w:fldChar w:fldCharType="end"/>
            </w:r>
          </w:hyperlink>
        </w:p>
        <w:p w14:paraId="0E11923B" w14:textId="0AFB3DF9"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31" w:history="1">
            <w:r w:rsidR="009423E3" w:rsidRPr="00001717">
              <w:rPr>
                <w:rStyle w:val="Hyperlink"/>
                <w:rFonts w:ascii="Arial" w:hAnsi="Arial" w:cs="Arial"/>
                <w:b w:val="0"/>
                <w:bCs w:val="0"/>
                <w:i w:val="0"/>
                <w:iCs w:val="0"/>
                <w:noProof/>
                <w:color w:val="auto"/>
              </w:rPr>
              <w:t>2. Financial Health Check</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_Toc237518231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5</w:t>
            </w:r>
            <w:r w:rsidR="009423E3" w:rsidRPr="00001717">
              <w:rPr>
                <w:rFonts w:ascii="Arial" w:hAnsi="Arial" w:cs="Arial"/>
                <w:b w:val="0"/>
                <w:bCs w:val="0"/>
                <w:i w:val="0"/>
                <w:iCs w:val="0"/>
                <w:noProof/>
                <w:webHidden/>
              </w:rPr>
              <w:fldChar w:fldCharType="end"/>
            </w:r>
          </w:hyperlink>
        </w:p>
        <w:p w14:paraId="5323876C" w14:textId="2F0B4FF2"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32" w:history="1">
            <w:r w:rsidR="009423E3" w:rsidRPr="00001717">
              <w:rPr>
                <w:rStyle w:val="Hyperlink"/>
                <w:rFonts w:ascii="Arial" w:hAnsi="Arial" w:cs="Arial"/>
                <w:b w:val="0"/>
                <w:bCs w:val="0"/>
                <w:noProof/>
                <w:color w:val="auto"/>
                <w:sz w:val="24"/>
                <w:szCs w:val="24"/>
              </w:rPr>
              <w:t>2.1 Overview of Financial Performance</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_Toc237518232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5</w:t>
            </w:r>
            <w:r w:rsidR="009423E3" w:rsidRPr="00001717">
              <w:rPr>
                <w:rFonts w:ascii="Arial" w:hAnsi="Arial" w:cs="Arial"/>
                <w:b w:val="0"/>
                <w:bCs w:val="0"/>
                <w:noProof/>
                <w:webHidden/>
                <w:sz w:val="24"/>
                <w:szCs w:val="24"/>
              </w:rPr>
              <w:fldChar w:fldCharType="end"/>
            </w:r>
          </w:hyperlink>
        </w:p>
        <w:p w14:paraId="150F1799" w14:textId="33ADE4AD"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33" w:history="1">
            <w:r w:rsidR="009423E3" w:rsidRPr="00001717">
              <w:rPr>
                <w:rStyle w:val="Hyperlink"/>
                <w:rFonts w:ascii="Arial" w:hAnsi="Arial" w:cs="Arial"/>
                <w:b w:val="0"/>
                <w:bCs w:val="0"/>
                <w:noProof/>
                <w:color w:val="auto"/>
                <w:sz w:val="24"/>
                <w:szCs w:val="24"/>
              </w:rPr>
              <w:t>2.2 Ratio Analysis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_Toc237518233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5</w:t>
            </w:r>
            <w:r w:rsidR="009423E3" w:rsidRPr="00001717">
              <w:rPr>
                <w:rFonts w:ascii="Arial" w:hAnsi="Arial" w:cs="Arial"/>
                <w:b w:val="0"/>
                <w:bCs w:val="0"/>
                <w:noProof/>
                <w:webHidden/>
                <w:sz w:val="24"/>
                <w:szCs w:val="24"/>
              </w:rPr>
              <w:fldChar w:fldCharType="end"/>
            </w:r>
          </w:hyperlink>
        </w:p>
        <w:p w14:paraId="7F09087E" w14:textId="319A67A5" w:rsidR="009423E3" w:rsidRPr="00001717" w:rsidRDefault="008D375B" w:rsidP="009423E3">
          <w:pPr>
            <w:pStyle w:val="TOC3"/>
            <w:tabs>
              <w:tab w:val="right" w:leader="dot" w:pos="9016"/>
            </w:tabs>
            <w:spacing w:before="120"/>
            <w:jc w:val="both"/>
            <w:rPr>
              <w:rFonts w:ascii="Arial" w:eastAsiaTheme="minorEastAsia" w:hAnsi="Arial" w:cs="Arial"/>
              <w:noProof/>
              <w:sz w:val="24"/>
              <w:szCs w:val="24"/>
              <w:lang w:val="en-IN"/>
            </w:rPr>
          </w:pPr>
          <w:hyperlink w:anchor="_Toc237518234" w:history="1">
            <w:r w:rsidR="009423E3" w:rsidRPr="00001717">
              <w:rPr>
                <w:rStyle w:val="Hyperlink"/>
                <w:rFonts w:ascii="Arial" w:hAnsi="Arial" w:cs="Arial"/>
                <w:noProof/>
                <w:color w:val="auto"/>
                <w:sz w:val="24"/>
                <w:szCs w:val="24"/>
              </w:rPr>
              <w:t>2.2.1 Profitability Ratios</w:t>
            </w:r>
            <w:r w:rsidR="009423E3" w:rsidRPr="00001717">
              <w:rPr>
                <w:rFonts w:ascii="Arial" w:hAnsi="Arial" w:cs="Arial"/>
                <w:noProof/>
                <w:webHidden/>
                <w:sz w:val="24"/>
                <w:szCs w:val="24"/>
              </w:rPr>
              <w:tab/>
            </w:r>
            <w:r w:rsidR="009423E3" w:rsidRPr="00001717">
              <w:rPr>
                <w:rFonts w:ascii="Arial" w:hAnsi="Arial" w:cs="Arial"/>
                <w:noProof/>
                <w:webHidden/>
                <w:sz w:val="24"/>
                <w:szCs w:val="24"/>
              </w:rPr>
              <w:fldChar w:fldCharType="begin"/>
            </w:r>
            <w:r w:rsidR="009423E3" w:rsidRPr="00001717">
              <w:rPr>
                <w:rFonts w:ascii="Arial" w:hAnsi="Arial" w:cs="Arial"/>
                <w:noProof/>
                <w:webHidden/>
                <w:sz w:val="24"/>
                <w:szCs w:val="24"/>
              </w:rPr>
              <w:instrText xml:space="preserve"> PAGEREF _Toc237518234 \h </w:instrText>
            </w:r>
            <w:r w:rsidR="009423E3" w:rsidRPr="00001717">
              <w:rPr>
                <w:rFonts w:ascii="Arial" w:hAnsi="Arial" w:cs="Arial"/>
                <w:noProof/>
                <w:webHidden/>
                <w:sz w:val="24"/>
                <w:szCs w:val="24"/>
              </w:rPr>
            </w:r>
            <w:r w:rsidR="009423E3" w:rsidRPr="00001717">
              <w:rPr>
                <w:rFonts w:ascii="Arial" w:hAnsi="Arial" w:cs="Arial"/>
                <w:noProof/>
                <w:webHidden/>
                <w:sz w:val="24"/>
                <w:szCs w:val="24"/>
              </w:rPr>
              <w:fldChar w:fldCharType="separate"/>
            </w:r>
            <w:r w:rsidR="009423E3" w:rsidRPr="00001717">
              <w:rPr>
                <w:rFonts w:ascii="Arial" w:hAnsi="Arial" w:cs="Arial"/>
                <w:noProof/>
                <w:webHidden/>
                <w:sz w:val="24"/>
                <w:szCs w:val="24"/>
              </w:rPr>
              <w:t>6</w:t>
            </w:r>
            <w:r w:rsidR="009423E3" w:rsidRPr="00001717">
              <w:rPr>
                <w:rFonts w:ascii="Arial" w:hAnsi="Arial" w:cs="Arial"/>
                <w:noProof/>
                <w:webHidden/>
                <w:sz w:val="24"/>
                <w:szCs w:val="24"/>
              </w:rPr>
              <w:fldChar w:fldCharType="end"/>
            </w:r>
          </w:hyperlink>
        </w:p>
        <w:p w14:paraId="1897C7A8" w14:textId="5C0E66C2" w:rsidR="009423E3" w:rsidRPr="00001717" w:rsidRDefault="008D375B" w:rsidP="009423E3">
          <w:pPr>
            <w:pStyle w:val="TOC3"/>
            <w:tabs>
              <w:tab w:val="right" w:leader="dot" w:pos="9016"/>
            </w:tabs>
            <w:spacing w:before="120"/>
            <w:jc w:val="both"/>
            <w:rPr>
              <w:rFonts w:ascii="Arial" w:eastAsiaTheme="minorEastAsia" w:hAnsi="Arial" w:cs="Arial"/>
              <w:noProof/>
              <w:sz w:val="24"/>
              <w:szCs w:val="24"/>
              <w:lang w:val="en-IN"/>
            </w:rPr>
          </w:pPr>
          <w:hyperlink w:anchor="_Toc237518235" w:history="1">
            <w:r w:rsidR="009423E3" w:rsidRPr="00001717">
              <w:rPr>
                <w:rStyle w:val="Hyperlink"/>
                <w:rFonts w:ascii="Arial" w:hAnsi="Arial" w:cs="Arial"/>
                <w:noProof/>
                <w:color w:val="auto"/>
                <w:sz w:val="24"/>
                <w:szCs w:val="24"/>
              </w:rPr>
              <w:t>2.2.2 Liquidity Ratios</w:t>
            </w:r>
            <w:r w:rsidR="009423E3" w:rsidRPr="00001717">
              <w:rPr>
                <w:rFonts w:ascii="Arial" w:hAnsi="Arial" w:cs="Arial"/>
                <w:noProof/>
                <w:webHidden/>
                <w:sz w:val="24"/>
                <w:szCs w:val="24"/>
              </w:rPr>
              <w:tab/>
            </w:r>
            <w:r w:rsidR="009423E3" w:rsidRPr="00001717">
              <w:rPr>
                <w:rFonts w:ascii="Arial" w:hAnsi="Arial" w:cs="Arial"/>
                <w:noProof/>
                <w:webHidden/>
                <w:sz w:val="24"/>
                <w:szCs w:val="24"/>
              </w:rPr>
              <w:fldChar w:fldCharType="begin"/>
            </w:r>
            <w:r w:rsidR="009423E3" w:rsidRPr="00001717">
              <w:rPr>
                <w:rFonts w:ascii="Arial" w:hAnsi="Arial" w:cs="Arial"/>
                <w:noProof/>
                <w:webHidden/>
                <w:sz w:val="24"/>
                <w:szCs w:val="24"/>
              </w:rPr>
              <w:instrText xml:space="preserve"> PAGEREF _Toc237518235 \h </w:instrText>
            </w:r>
            <w:r w:rsidR="009423E3" w:rsidRPr="00001717">
              <w:rPr>
                <w:rFonts w:ascii="Arial" w:hAnsi="Arial" w:cs="Arial"/>
                <w:noProof/>
                <w:webHidden/>
                <w:sz w:val="24"/>
                <w:szCs w:val="24"/>
              </w:rPr>
            </w:r>
            <w:r w:rsidR="009423E3" w:rsidRPr="00001717">
              <w:rPr>
                <w:rFonts w:ascii="Arial" w:hAnsi="Arial" w:cs="Arial"/>
                <w:noProof/>
                <w:webHidden/>
                <w:sz w:val="24"/>
                <w:szCs w:val="24"/>
              </w:rPr>
              <w:fldChar w:fldCharType="separate"/>
            </w:r>
            <w:r w:rsidR="009423E3" w:rsidRPr="00001717">
              <w:rPr>
                <w:rFonts w:ascii="Arial" w:hAnsi="Arial" w:cs="Arial"/>
                <w:noProof/>
                <w:webHidden/>
                <w:sz w:val="24"/>
                <w:szCs w:val="24"/>
              </w:rPr>
              <w:t>7</w:t>
            </w:r>
            <w:r w:rsidR="009423E3" w:rsidRPr="00001717">
              <w:rPr>
                <w:rFonts w:ascii="Arial" w:hAnsi="Arial" w:cs="Arial"/>
                <w:noProof/>
                <w:webHidden/>
                <w:sz w:val="24"/>
                <w:szCs w:val="24"/>
              </w:rPr>
              <w:fldChar w:fldCharType="end"/>
            </w:r>
          </w:hyperlink>
        </w:p>
        <w:p w14:paraId="11D33181" w14:textId="73DFC969" w:rsidR="009423E3" w:rsidRPr="00001717" w:rsidRDefault="008D375B" w:rsidP="009423E3">
          <w:pPr>
            <w:pStyle w:val="TOC3"/>
            <w:tabs>
              <w:tab w:val="right" w:leader="dot" w:pos="9016"/>
            </w:tabs>
            <w:spacing w:before="120"/>
            <w:jc w:val="both"/>
            <w:rPr>
              <w:rFonts w:ascii="Arial" w:eastAsiaTheme="minorEastAsia" w:hAnsi="Arial" w:cs="Arial"/>
              <w:noProof/>
              <w:sz w:val="24"/>
              <w:szCs w:val="24"/>
              <w:lang w:val="en-IN"/>
            </w:rPr>
          </w:pPr>
          <w:hyperlink w:anchor="_Toc237518236" w:history="1">
            <w:r w:rsidR="009423E3" w:rsidRPr="00001717">
              <w:rPr>
                <w:rStyle w:val="Hyperlink"/>
                <w:rFonts w:ascii="Arial" w:hAnsi="Arial" w:cs="Arial"/>
                <w:noProof/>
                <w:color w:val="auto"/>
                <w:sz w:val="24"/>
                <w:szCs w:val="24"/>
              </w:rPr>
              <w:t>2.2.3 Efficiency Ratios</w:t>
            </w:r>
            <w:r w:rsidR="009423E3" w:rsidRPr="00001717">
              <w:rPr>
                <w:rFonts w:ascii="Arial" w:hAnsi="Arial" w:cs="Arial"/>
                <w:noProof/>
                <w:webHidden/>
                <w:sz w:val="24"/>
                <w:szCs w:val="24"/>
              </w:rPr>
              <w:tab/>
            </w:r>
            <w:r w:rsidR="009423E3" w:rsidRPr="00001717">
              <w:rPr>
                <w:rFonts w:ascii="Arial" w:hAnsi="Arial" w:cs="Arial"/>
                <w:noProof/>
                <w:webHidden/>
                <w:sz w:val="24"/>
                <w:szCs w:val="24"/>
              </w:rPr>
              <w:fldChar w:fldCharType="begin"/>
            </w:r>
            <w:r w:rsidR="009423E3" w:rsidRPr="00001717">
              <w:rPr>
                <w:rFonts w:ascii="Arial" w:hAnsi="Arial" w:cs="Arial"/>
                <w:noProof/>
                <w:webHidden/>
                <w:sz w:val="24"/>
                <w:szCs w:val="24"/>
              </w:rPr>
              <w:instrText xml:space="preserve"> PAGEREF _Toc237518236 \h </w:instrText>
            </w:r>
            <w:r w:rsidR="009423E3" w:rsidRPr="00001717">
              <w:rPr>
                <w:rFonts w:ascii="Arial" w:hAnsi="Arial" w:cs="Arial"/>
                <w:noProof/>
                <w:webHidden/>
                <w:sz w:val="24"/>
                <w:szCs w:val="24"/>
              </w:rPr>
            </w:r>
            <w:r w:rsidR="009423E3" w:rsidRPr="00001717">
              <w:rPr>
                <w:rFonts w:ascii="Arial" w:hAnsi="Arial" w:cs="Arial"/>
                <w:noProof/>
                <w:webHidden/>
                <w:sz w:val="24"/>
                <w:szCs w:val="24"/>
              </w:rPr>
              <w:fldChar w:fldCharType="separate"/>
            </w:r>
            <w:r w:rsidR="009423E3" w:rsidRPr="00001717">
              <w:rPr>
                <w:rFonts w:ascii="Arial" w:hAnsi="Arial" w:cs="Arial"/>
                <w:noProof/>
                <w:webHidden/>
                <w:sz w:val="24"/>
                <w:szCs w:val="24"/>
              </w:rPr>
              <w:t>8</w:t>
            </w:r>
            <w:r w:rsidR="009423E3" w:rsidRPr="00001717">
              <w:rPr>
                <w:rFonts w:ascii="Arial" w:hAnsi="Arial" w:cs="Arial"/>
                <w:noProof/>
                <w:webHidden/>
                <w:sz w:val="24"/>
                <w:szCs w:val="24"/>
              </w:rPr>
              <w:fldChar w:fldCharType="end"/>
            </w:r>
          </w:hyperlink>
        </w:p>
        <w:p w14:paraId="6E1EE18D" w14:textId="0F8DB174" w:rsidR="009423E3" w:rsidRPr="00001717" w:rsidRDefault="008D375B" w:rsidP="009423E3">
          <w:pPr>
            <w:pStyle w:val="TOC3"/>
            <w:tabs>
              <w:tab w:val="right" w:leader="dot" w:pos="9016"/>
            </w:tabs>
            <w:spacing w:before="120"/>
            <w:jc w:val="both"/>
            <w:rPr>
              <w:rFonts w:ascii="Arial" w:eastAsiaTheme="minorEastAsia" w:hAnsi="Arial" w:cs="Arial"/>
              <w:noProof/>
              <w:sz w:val="24"/>
              <w:szCs w:val="24"/>
              <w:lang w:val="en-IN"/>
            </w:rPr>
          </w:pPr>
          <w:hyperlink w:anchor="_Toc237518237" w:history="1">
            <w:r w:rsidR="009423E3" w:rsidRPr="00001717">
              <w:rPr>
                <w:rStyle w:val="Hyperlink"/>
                <w:rFonts w:ascii="Arial" w:hAnsi="Arial" w:cs="Arial"/>
                <w:noProof/>
                <w:color w:val="auto"/>
                <w:sz w:val="24"/>
                <w:szCs w:val="24"/>
              </w:rPr>
              <w:t>2.2.4 Leverage and Coverage Ratios</w:t>
            </w:r>
            <w:r w:rsidR="009423E3" w:rsidRPr="00001717">
              <w:rPr>
                <w:rFonts w:ascii="Arial" w:hAnsi="Arial" w:cs="Arial"/>
                <w:noProof/>
                <w:webHidden/>
                <w:sz w:val="24"/>
                <w:szCs w:val="24"/>
              </w:rPr>
              <w:tab/>
            </w:r>
            <w:r w:rsidR="009423E3" w:rsidRPr="00001717">
              <w:rPr>
                <w:rFonts w:ascii="Arial" w:hAnsi="Arial" w:cs="Arial"/>
                <w:noProof/>
                <w:webHidden/>
                <w:sz w:val="24"/>
                <w:szCs w:val="24"/>
              </w:rPr>
              <w:fldChar w:fldCharType="begin"/>
            </w:r>
            <w:r w:rsidR="009423E3" w:rsidRPr="00001717">
              <w:rPr>
                <w:rFonts w:ascii="Arial" w:hAnsi="Arial" w:cs="Arial"/>
                <w:noProof/>
                <w:webHidden/>
                <w:sz w:val="24"/>
                <w:szCs w:val="24"/>
              </w:rPr>
              <w:instrText xml:space="preserve"> PAGEREF _Toc237518237 \h </w:instrText>
            </w:r>
            <w:r w:rsidR="009423E3" w:rsidRPr="00001717">
              <w:rPr>
                <w:rFonts w:ascii="Arial" w:hAnsi="Arial" w:cs="Arial"/>
                <w:noProof/>
                <w:webHidden/>
                <w:sz w:val="24"/>
                <w:szCs w:val="24"/>
              </w:rPr>
            </w:r>
            <w:r w:rsidR="009423E3" w:rsidRPr="00001717">
              <w:rPr>
                <w:rFonts w:ascii="Arial" w:hAnsi="Arial" w:cs="Arial"/>
                <w:noProof/>
                <w:webHidden/>
                <w:sz w:val="24"/>
                <w:szCs w:val="24"/>
              </w:rPr>
              <w:fldChar w:fldCharType="separate"/>
            </w:r>
            <w:r w:rsidR="009423E3" w:rsidRPr="00001717">
              <w:rPr>
                <w:rFonts w:ascii="Arial" w:hAnsi="Arial" w:cs="Arial"/>
                <w:noProof/>
                <w:webHidden/>
                <w:sz w:val="24"/>
                <w:szCs w:val="24"/>
              </w:rPr>
              <w:t>9</w:t>
            </w:r>
            <w:r w:rsidR="009423E3" w:rsidRPr="00001717">
              <w:rPr>
                <w:rFonts w:ascii="Arial" w:hAnsi="Arial" w:cs="Arial"/>
                <w:noProof/>
                <w:webHidden/>
                <w:sz w:val="24"/>
                <w:szCs w:val="24"/>
              </w:rPr>
              <w:fldChar w:fldCharType="end"/>
            </w:r>
          </w:hyperlink>
        </w:p>
        <w:p w14:paraId="31BFC733" w14:textId="5B2FFF39" w:rsidR="009423E3" w:rsidRPr="00001717" w:rsidRDefault="008D375B" w:rsidP="009423E3">
          <w:pPr>
            <w:pStyle w:val="TOC3"/>
            <w:tabs>
              <w:tab w:val="right" w:leader="dot" w:pos="9016"/>
            </w:tabs>
            <w:spacing w:before="120"/>
            <w:jc w:val="both"/>
            <w:rPr>
              <w:rFonts w:ascii="Arial" w:eastAsiaTheme="minorEastAsia" w:hAnsi="Arial" w:cs="Arial"/>
              <w:noProof/>
              <w:sz w:val="24"/>
              <w:szCs w:val="24"/>
              <w:lang w:val="en-IN"/>
            </w:rPr>
          </w:pPr>
          <w:hyperlink w:anchor="_Toc237518238" w:history="1">
            <w:r w:rsidR="009423E3" w:rsidRPr="00001717">
              <w:rPr>
                <w:rStyle w:val="Hyperlink"/>
                <w:rFonts w:ascii="Arial" w:hAnsi="Arial" w:cs="Arial"/>
                <w:noProof/>
                <w:color w:val="auto"/>
                <w:sz w:val="24"/>
                <w:szCs w:val="24"/>
              </w:rPr>
              <w:t>2.2.5 Investment and Cash Flow Ratios</w:t>
            </w:r>
            <w:r w:rsidR="009423E3" w:rsidRPr="00001717">
              <w:rPr>
                <w:rFonts w:ascii="Arial" w:hAnsi="Arial" w:cs="Arial"/>
                <w:noProof/>
                <w:webHidden/>
                <w:sz w:val="24"/>
                <w:szCs w:val="24"/>
              </w:rPr>
              <w:tab/>
            </w:r>
            <w:r w:rsidR="009423E3" w:rsidRPr="00001717">
              <w:rPr>
                <w:rFonts w:ascii="Arial" w:hAnsi="Arial" w:cs="Arial"/>
                <w:noProof/>
                <w:webHidden/>
                <w:sz w:val="24"/>
                <w:szCs w:val="24"/>
              </w:rPr>
              <w:fldChar w:fldCharType="begin"/>
            </w:r>
            <w:r w:rsidR="009423E3" w:rsidRPr="00001717">
              <w:rPr>
                <w:rFonts w:ascii="Arial" w:hAnsi="Arial" w:cs="Arial"/>
                <w:noProof/>
                <w:webHidden/>
                <w:sz w:val="24"/>
                <w:szCs w:val="24"/>
              </w:rPr>
              <w:instrText xml:space="preserve"> PAGEREF _Toc237518238 \h </w:instrText>
            </w:r>
            <w:r w:rsidR="009423E3" w:rsidRPr="00001717">
              <w:rPr>
                <w:rFonts w:ascii="Arial" w:hAnsi="Arial" w:cs="Arial"/>
                <w:noProof/>
                <w:webHidden/>
                <w:sz w:val="24"/>
                <w:szCs w:val="24"/>
              </w:rPr>
            </w:r>
            <w:r w:rsidR="009423E3" w:rsidRPr="00001717">
              <w:rPr>
                <w:rFonts w:ascii="Arial" w:hAnsi="Arial" w:cs="Arial"/>
                <w:noProof/>
                <w:webHidden/>
                <w:sz w:val="24"/>
                <w:szCs w:val="24"/>
              </w:rPr>
              <w:fldChar w:fldCharType="separate"/>
            </w:r>
            <w:r w:rsidR="009423E3" w:rsidRPr="00001717">
              <w:rPr>
                <w:rFonts w:ascii="Arial" w:hAnsi="Arial" w:cs="Arial"/>
                <w:noProof/>
                <w:webHidden/>
                <w:sz w:val="24"/>
                <w:szCs w:val="24"/>
              </w:rPr>
              <w:t>10</w:t>
            </w:r>
            <w:r w:rsidR="009423E3" w:rsidRPr="00001717">
              <w:rPr>
                <w:rFonts w:ascii="Arial" w:hAnsi="Arial" w:cs="Arial"/>
                <w:noProof/>
                <w:webHidden/>
                <w:sz w:val="24"/>
                <w:szCs w:val="24"/>
              </w:rPr>
              <w:fldChar w:fldCharType="end"/>
            </w:r>
          </w:hyperlink>
        </w:p>
        <w:p w14:paraId="2549B570" w14:textId="229DBBCB"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39" w:history="1">
            <w:r w:rsidR="009423E3" w:rsidRPr="00001717">
              <w:rPr>
                <w:rStyle w:val="Hyperlink"/>
                <w:rFonts w:ascii="Arial" w:hAnsi="Arial" w:cs="Arial"/>
                <w:b w:val="0"/>
                <w:bCs w:val="0"/>
                <w:noProof/>
                <w:color w:val="auto"/>
                <w:sz w:val="24"/>
                <w:szCs w:val="24"/>
              </w:rPr>
              <w:t>2.3 Trend Analysis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_Toc237518239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11</w:t>
            </w:r>
            <w:r w:rsidR="009423E3" w:rsidRPr="00001717">
              <w:rPr>
                <w:rFonts w:ascii="Arial" w:hAnsi="Arial" w:cs="Arial"/>
                <w:b w:val="0"/>
                <w:bCs w:val="0"/>
                <w:noProof/>
                <w:webHidden/>
                <w:sz w:val="24"/>
                <w:szCs w:val="24"/>
              </w:rPr>
              <w:fldChar w:fldCharType="end"/>
            </w:r>
          </w:hyperlink>
        </w:p>
        <w:p w14:paraId="17C24F39" w14:textId="322D8637"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0" w:history="1">
            <w:r w:rsidR="009423E3" w:rsidRPr="00001717">
              <w:rPr>
                <w:rStyle w:val="Hyperlink"/>
                <w:rFonts w:ascii="Arial" w:hAnsi="Arial" w:cs="Arial"/>
                <w:b w:val="0"/>
                <w:bCs w:val="0"/>
                <w:noProof/>
                <w:color w:val="auto"/>
                <w:sz w:val="24"/>
                <w:szCs w:val="24"/>
              </w:rPr>
              <w:t>2.4 Strengths and Weaknesses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_Toc237518240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12</w:t>
            </w:r>
            <w:r w:rsidR="009423E3" w:rsidRPr="00001717">
              <w:rPr>
                <w:rFonts w:ascii="Arial" w:hAnsi="Arial" w:cs="Arial"/>
                <w:b w:val="0"/>
                <w:bCs w:val="0"/>
                <w:noProof/>
                <w:webHidden/>
                <w:sz w:val="24"/>
                <w:szCs w:val="24"/>
              </w:rPr>
              <w:fldChar w:fldCharType="end"/>
            </w:r>
          </w:hyperlink>
        </w:p>
        <w:p w14:paraId="146606C4" w14:textId="03987E41"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41" w:history="1">
            <w:r w:rsidR="009423E3" w:rsidRPr="00001717">
              <w:rPr>
                <w:rStyle w:val="Hyperlink"/>
                <w:rFonts w:ascii="Arial" w:hAnsi="Arial" w:cs="Arial"/>
                <w:b w:val="0"/>
                <w:bCs w:val="0"/>
                <w:i w:val="0"/>
                <w:iCs w:val="0"/>
                <w:noProof/>
                <w:color w:val="auto"/>
              </w:rPr>
              <w:t>3. Working Capital Management Analysis</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_Toc237518241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13</w:t>
            </w:r>
            <w:r w:rsidR="009423E3" w:rsidRPr="00001717">
              <w:rPr>
                <w:rFonts w:ascii="Arial" w:hAnsi="Arial" w:cs="Arial"/>
                <w:b w:val="0"/>
                <w:bCs w:val="0"/>
                <w:i w:val="0"/>
                <w:iCs w:val="0"/>
                <w:noProof/>
                <w:webHidden/>
              </w:rPr>
              <w:fldChar w:fldCharType="end"/>
            </w:r>
          </w:hyperlink>
        </w:p>
        <w:p w14:paraId="291E4480" w14:textId="1729373B"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2" w:history="1">
            <w:r w:rsidR="009423E3" w:rsidRPr="00001717">
              <w:rPr>
                <w:rStyle w:val="Hyperlink"/>
                <w:rFonts w:ascii="Arial" w:hAnsi="Arial" w:cs="Arial"/>
                <w:b w:val="0"/>
                <w:bCs w:val="0"/>
                <w:noProof/>
                <w:color w:val="auto"/>
                <w:sz w:val="24"/>
                <w:szCs w:val="24"/>
              </w:rPr>
              <w:t>3.1 Cash Operating Cycle</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_Toc237518242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13</w:t>
            </w:r>
            <w:r w:rsidR="009423E3" w:rsidRPr="00001717">
              <w:rPr>
                <w:rFonts w:ascii="Arial" w:hAnsi="Arial" w:cs="Arial"/>
                <w:b w:val="0"/>
                <w:bCs w:val="0"/>
                <w:noProof/>
                <w:webHidden/>
                <w:sz w:val="24"/>
                <w:szCs w:val="24"/>
              </w:rPr>
              <w:fldChar w:fldCharType="end"/>
            </w:r>
          </w:hyperlink>
        </w:p>
        <w:p w14:paraId="0936BE4A" w14:textId="4636DB3E"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3" w:history="1">
            <w:r w:rsidR="009423E3" w:rsidRPr="00001717">
              <w:rPr>
                <w:rStyle w:val="Hyperlink"/>
                <w:rFonts w:ascii="Arial" w:hAnsi="Arial" w:cs="Arial"/>
                <w:b w:val="0"/>
                <w:bCs w:val="0"/>
                <w:noProof/>
                <w:color w:val="auto"/>
                <w:sz w:val="24"/>
                <w:szCs w:val="24"/>
              </w:rPr>
              <w:t>3.2 Liquidity Evaluation</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_Toc237518243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13</w:t>
            </w:r>
            <w:r w:rsidR="009423E3" w:rsidRPr="00001717">
              <w:rPr>
                <w:rFonts w:ascii="Arial" w:hAnsi="Arial" w:cs="Arial"/>
                <w:b w:val="0"/>
                <w:bCs w:val="0"/>
                <w:noProof/>
                <w:webHidden/>
                <w:sz w:val="24"/>
                <w:szCs w:val="24"/>
              </w:rPr>
              <w:fldChar w:fldCharType="end"/>
            </w:r>
          </w:hyperlink>
        </w:p>
        <w:p w14:paraId="142EE3EB" w14:textId="593B20E4"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4" w:history="1">
            <w:r w:rsidR="009423E3" w:rsidRPr="00001717">
              <w:rPr>
                <w:rStyle w:val="Hyperlink"/>
                <w:rFonts w:ascii="Arial" w:hAnsi="Arial" w:cs="Arial"/>
                <w:b w:val="0"/>
                <w:bCs w:val="0"/>
                <w:noProof/>
                <w:color w:val="auto"/>
                <w:sz w:val="24"/>
                <w:szCs w:val="24"/>
              </w:rPr>
              <w:t>3.3 Improvement Strategies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_Toc237518244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14</w:t>
            </w:r>
            <w:r w:rsidR="009423E3" w:rsidRPr="00001717">
              <w:rPr>
                <w:rFonts w:ascii="Arial" w:hAnsi="Arial" w:cs="Arial"/>
                <w:b w:val="0"/>
                <w:bCs w:val="0"/>
                <w:noProof/>
                <w:webHidden/>
                <w:sz w:val="24"/>
                <w:szCs w:val="24"/>
              </w:rPr>
              <w:fldChar w:fldCharType="end"/>
            </w:r>
          </w:hyperlink>
        </w:p>
        <w:p w14:paraId="65EA6956" w14:textId="245CCD1B"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5" w:history="1">
            <w:r w:rsidR="009423E3" w:rsidRPr="00001717">
              <w:rPr>
                <w:rStyle w:val="Hyperlink"/>
                <w:rFonts w:ascii="Arial" w:hAnsi="Arial" w:cs="Arial"/>
                <w:b w:val="0"/>
                <w:bCs w:val="0"/>
                <w:noProof/>
                <w:color w:val="auto"/>
                <w:sz w:val="24"/>
                <w:szCs w:val="24"/>
              </w:rPr>
              <w:t>3.4 Financing Options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_Toc237518245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15</w:t>
            </w:r>
            <w:r w:rsidR="009423E3" w:rsidRPr="00001717">
              <w:rPr>
                <w:rFonts w:ascii="Arial" w:hAnsi="Arial" w:cs="Arial"/>
                <w:b w:val="0"/>
                <w:bCs w:val="0"/>
                <w:noProof/>
                <w:webHidden/>
                <w:sz w:val="24"/>
                <w:szCs w:val="24"/>
              </w:rPr>
              <w:fldChar w:fldCharType="end"/>
            </w:r>
          </w:hyperlink>
        </w:p>
        <w:p w14:paraId="6CD80692" w14:textId="61CA0341"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46" w:history="1">
            <w:r w:rsidR="009423E3" w:rsidRPr="00001717">
              <w:rPr>
                <w:rStyle w:val="Hyperlink"/>
                <w:rFonts w:ascii="Arial" w:hAnsi="Arial" w:cs="Arial"/>
                <w:b w:val="0"/>
                <w:bCs w:val="0"/>
                <w:i w:val="0"/>
                <w:iCs w:val="0"/>
                <w:noProof/>
                <w:color w:val="auto"/>
              </w:rPr>
              <w:t>4. Strategic Financial Restructuring Plan</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_Toc237518246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15</w:t>
            </w:r>
            <w:r w:rsidR="009423E3" w:rsidRPr="00001717">
              <w:rPr>
                <w:rFonts w:ascii="Arial" w:hAnsi="Arial" w:cs="Arial"/>
                <w:b w:val="0"/>
                <w:bCs w:val="0"/>
                <w:i w:val="0"/>
                <w:iCs w:val="0"/>
                <w:noProof/>
                <w:webHidden/>
              </w:rPr>
              <w:fldChar w:fldCharType="end"/>
            </w:r>
          </w:hyperlink>
        </w:p>
        <w:p w14:paraId="3680F252" w14:textId="0BB9B0F7"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7" w:history="1">
            <w:r w:rsidR="009423E3" w:rsidRPr="00001717">
              <w:rPr>
                <w:rStyle w:val="Hyperlink"/>
                <w:rFonts w:ascii="Arial" w:hAnsi="Arial" w:cs="Arial"/>
                <w:b w:val="0"/>
                <w:bCs w:val="0"/>
                <w:noProof/>
                <w:color w:val="auto"/>
                <w:sz w:val="24"/>
                <w:szCs w:val="24"/>
              </w:rPr>
              <w:t>4.1 Need for Restructuring</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_Toc237518247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15</w:t>
            </w:r>
            <w:r w:rsidR="009423E3" w:rsidRPr="00001717">
              <w:rPr>
                <w:rFonts w:ascii="Arial" w:hAnsi="Arial" w:cs="Arial"/>
                <w:b w:val="0"/>
                <w:bCs w:val="0"/>
                <w:noProof/>
                <w:webHidden/>
                <w:sz w:val="24"/>
                <w:szCs w:val="24"/>
              </w:rPr>
              <w:fldChar w:fldCharType="end"/>
            </w:r>
          </w:hyperlink>
        </w:p>
        <w:p w14:paraId="0BDD0132" w14:textId="45710018"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8" w:history="1">
            <w:r w:rsidR="009423E3" w:rsidRPr="00001717">
              <w:rPr>
                <w:rStyle w:val="Hyperlink"/>
                <w:rFonts w:ascii="Arial" w:hAnsi="Arial" w:cs="Arial"/>
                <w:b w:val="0"/>
                <w:bCs w:val="0"/>
                <w:noProof/>
                <w:color w:val="auto"/>
                <w:sz w:val="24"/>
                <w:szCs w:val="24"/>
              </w:rPr>
              <w:t>4.2 Proposed Strategies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_Toc237518248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16</w:t>
            </w:r>
            <w:r w:rsidR="009423E3" w:rsidRPr="00001717">
              <w:rPr>
                <w:rFonts w:ascii="Arial" w:hAnsi="Arial" w:cs="Arial"/>
                <w:b w:val="0"/>
                <w:bCs w:val="0"/>
                <w:noProof/>
                <w:webHidden/>
                <w:sz w:val="24"/>
                <w:szCs w:val="24"/>
              </w:rPr>
              <w:fldChar w:fldCharType="end"/>
            </w:r>
          </w:hyperlink>
        </w:p>
        <w:p w14:paraId="388380A1" w14:textId="16E8B0B2"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49" w:history="1">
            <w:r w:rsidR="009423E3" w:rsidRPr="00001717">
              <w:rPr>
                <w:rStyle w:val="Hyperlink"/>
                <w:rFonts w:ascii="Arial" w:hAnsi="Arial" w:cs="Arial"/>
                <w:b w:val="0"/>
                <w:bCs w:val="0"/>
                <w:noProof/>
                <w:color w:val="auto"/>
                <w:sz w:val="24"/>
                <w:szCs w:val="24"/>
              </w:rPr>
              <w:t>4.3 Impact Analysis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_Toc237518249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16</w:t>
            </w:r>
            <w:r w:rsidR="009423E3" w:rsidRPr="00001717">
              <w:rPr>
                <w:rFonts w:ascii="Arial" w:hAnsi="Arial" w:cs="Arial"/>
                <w:b w:val="0"/>
                <w:bCs w:val="0"/>
                <w:noProof/>
                <w:webHidden/>
                <w:sz w:val="24"/>
                <w:szCs w:val="24"/>
              </w:rPr>
              <w:fldChar w:fldCharType="end"/>
            </w:r>
          </w:hyperlink>
        </w:p>
        <w:p w14:paraId="27EA7370" w14:textId="08D5453F"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0" w:history="1">
            <w:r w:rsidR="009423E3" w:rsidRPr="00001717">
              <w:rPr>
                <w:rStyle w:val="Hyperlink"/>
                <w:rFonts w:ascii="Arial" w:hAnsi="Arial" w:cs="Arial"/>
                <w:b w:val="0"/>
                <w:bCs w:val="0"/>
                <w:noProof/>
                <w:color w:val="auto"/>
                <w:sz w:val="24"/>
                <w:szCs w:val="24"/>
              </w:rPr>
              <w:t>4.4 Global &amp; Ethical Considerations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_Toc237518250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17</w:t>
            </w:r>
            <w:r w:rsidR="009423E3" w:rsidRPr="00001717">
              <w:rPr>
                <w:rFonts w:ascii="Arial" w:hAnsi="Arial" w:cs="Arial"/>
                <w:b w:val="0"/>
                <w:bCs w:val="0"/>
                <w:noProof/>
                <w:webHidden/>
                <w:sz w:val="24"/>
                <w:szCs w:val="24"/>
              </w:rPr>
              <w:fldChar w:fldCharType="end"/>
            </w:r>
          </w:hyperlink>
        </w:p>
        <w:p w14:paraId="685B4615" w14:textId="79A6B104"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51" w:history="1">
            <w:r w:rsidR="009423E3" w:rsidRPr="00001717">
              <w:rPr>
                <w:rStyle w:val="Hyperlink"/>
                <w:rFonts w:ascii="Arial" w:hAnsi="Arial" w:cs="Arial"/>
                <w:b w:val="0"/>
                <w:bCs w:val="0"/>
                <w:i w:val="0"/>
                <w:iCs w:val="0"/>
                <w:noProof/>
                <w:color w:val="auto"/>
              </w:rPr>
              <w:t>5. Investment Appraisal &amp; Capital Budgeting</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_Toc237518251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18</w:t>
            </w:r>
            <w:r w:rsidR="009423E3" w:rsidRPr="00001717">
              <w:rPr>
                <w:rFonts w:ascii="Arial" w:hAnsi="Arial" w:cs="Arial"/>
                <w:b w:val="0"/>
                <w:bCs w:val="0"/>
                <w:i w:val="0"/>
                <w:iCs w:val="0"/>
                <w:noProof/>
                <w:webHidden/>
              </w:rPr>
              <w:fldChar w:fldCharType="end"/>
            </w:r>
          </w:hyperlink>
        </w:p>
        <w:p w14:paraId="109C8EE4" w14:textId="329B9766"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2" w:history="1">
            <w:r w:rsidR="009423E3" w:rsidRPr="00001717">
              <w:rPr>
                <w:rStyle w:val="Hyperlink"/>
                <w:rFonts w:ascii="Arial" w:hAnsi="Arial" w:cs="Arial"/>
                <w:b w:val="0"/>
                <w:bCs w:val="0"/>
                <w:noProof/>
                <w:color w:val="auto"/>
                <w:sz w:val="24"/>
                <w:szCs w:val="24"/>
              </w:rPr>
              <w:t>5.1 Project Evaluation Methods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_Toc237518252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18</w:t>
            </w:r>
            <w:r w:rsidR="009423E3" w:rsidRPr="00001717">
              <w:rPr>
                <w:rFonts w:ascii="Arial" w:hAnsi="Arial" w:cs="Arial"/>
                <w:b w:val="0"/>
                <w:bCs w:val="0"/>
                <w:noProof/>
                <w:webHidden/>
                <w:sz w:val="24"/>
                <w:szCs w:val="24"/>
              </w:rPr>
              <w:fldChar w:fldCharType="end"/>
            </w:r>
          </w:hyperlink>
        </w:p>
        <w:p w14:paraId="61226C96" w14:textId="133021DE"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3" w:history="1">
            <w:r w:rsidR="009423E3" w:rsidRPr="00001717">
              <w:rPr>
                <w:rStyle w:val="Hyperlink"/>
                <w:rFonts w:ascii="Arial" w:hAnsi="Arial" w:cs="Arial"/>
                <w:b w:val="0"/>
                <w:bCs w:val="0"/>
                <w:noProof/>
                <w:color w:val="auto"/>
                <w:sz w:val="24"/>
                <w:szCs w:val="24"/>
              </w:rPr>
              <w:t>5.2 Evaluation of Projects A, B, and C</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_Toc237518253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18</w:t>
            </w:r>
            <w:r w:rsidR="009423E3" w:rsidRPr="00001717">
              <w:rPr>
                <w:rFonts w:ascii="Arial" w:hAnsi="Arial" w:cs="Arial"/>
                <w:b w:val="0"/>
                <w:bCs w:val="0"/>
                <w:noProof/>
                <w:webHidden/>
                <w:sz w:val="24"/>
                <w:szCs w:val="24"/>
              </w:rPr>
              <w:fldChar w:fldCharType="end"/>
            </w:r>
          </w:hyperlink>
        </w:p>
        <w:p w14:paraId="00AC9355" w14:textId="565A568A"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4" w:history="1">
            <w:r w:rsidR="009423E3" w:rsidRPr="00001717">
              <w:rPr>
                <w:rStyle w:val="Hyperlink"/>
                <w:rFonts w:ascii="Arial" w:hAnsi="Arial" w:cs="Arial"/>
                <w:b w:val="0"/>
                <w:bCs w:val="0"/>
                <w:noProof/>
                <w:color w:val="auto"/>
                <w:sz w:val="24"/>
                <w:szCs w:val="24"/>
              </w:rPr>
              <w:t>5.3 Project Selection</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_Toc237518254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19</w:t>
            </w:r>
            <w:r w:rsidR="009423E3" w:rsidRPr="00001717">
              <w:rPr>
                <w:rFonts w:ascii="Arial" w:hAnsi="Arial" w:cs="Arial"/>
                <w:b w:val="0"/>
                <w:bCs w:val="0"/>
                <w:noProof/>
                <w:webHidden/>
                <w:sz w:val="24"/>
                <w:szCs w:val="24"/>
              </w:rPr>
              <w:fldChar w:fldCharType="end"/>
            </w:r>
          </w:hyperlink>
        </w:p>
        <w:p w14:paraId="779CD960" w14:textId="6CF9A116"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5" w:history="1">
            <w:r w:rsidR="009423E3" w:rsidRPr="00001717">
              <w:rPr>
                <w:rStyle w:val="Hyperlink"/>
                <w:rFonts w:ascii="Arial" w:hAnsi="Arial" w:cs="Arial"/>
                <w:b w:val="0"/>
                <w:bCs w:val="0"/>
                <w:noProof/>
                <w:color w:val="auto"/>
                <w:sz w:val="24"/>
                <w:szCs w:val="24"/>
              </w:rPr>
              <w:t>5.4 Capital Rationing Decision</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_Toc237518255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19</w:t>
            </w:r>
            <w:r w:rsidR="009423E3" w:rsidRPr="00001717">
              <w:rPr>
                <w:rFonts w:ascii="Arial" w:hAnsi="Arial" w:cs="Arial"/>
                <w:b w:val="0"/>
                <w:bCs w:val="0"/>
                <w:noProof/>
                <w:webHidden/>
                <w:sz w:val="24"/>
                <w:szCs w:val="24"/>
              </w:rPr>
              <w:fldChar w:fldCharType="end"/>
            </w:r>
          </w:hyperlink>
        </w:p>
        <w:p w14:paraId="574C2C3D" w14:textId="3F89D92B"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56" w:history="1">
            <w:r w:rsidR="009423E3" w:rsidRPr="00001717">
              <w:rPr>
                <w:rStyle w:val="Hyperlink"/>
                <w:rFonts w:ascii="Arial" w:hAnsi="Arial" w:cs="Arial"/>
                <w:b w:val="0"/>
                <w:bCs w:val="0"/>
                <w:noProof/>
                <w:color w:val="auto"/>
                <w:sz w:val="24"/>
                <w:szCs w:val="24"/>
              </w:rPr>
              <w:t>5.5 Risk Considerations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_Toc237518256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20</w:t>
            </w:r>
            <w:r w:rsidR="009423E3" w:rsidRPr="00001717">
              <w:rPr>
                <w:rFonts w:ascii="Arial" w:hAnsi="Arial" w:cs="Arial"/>
                <w:b w:val="0"/>
                <w:bCs w:val="0"/>
                <w:noProof/>
                <w:webHidden/>
                <w:sz w:val="24"/>
                <w:szCs w:val="24"/>
              </w:rPr>
              <w:fldChar w:fldCharType="end"/>
            </w:r>
          </w:hyperlink>
        </w:p>
        <w:p w14:paraId="204A08FD" w14:textId="6D1EC26E"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57" w:history="1">
            <w:r w:rsidR="009423E3" w:rsidRPr="00001717">
              <w:rPr>
                <w:rStyle w:val="Hyperlink"/>
                <w:rFonts w:ascii="Arial" w:hAnsi="Arial" w:cs="Arial"/>
                <w:b w:val="0"/>
                <w:bCs w:val="0"/>
                <w:i w:val="0"/>
                <w:iCs w:val="0"/>
                <w:noProof/>
                <w:color w:val="auto"/>
              </w:rPr>
              <w:t>6. Critical Reflection on AI Usage</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_Toc237518257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20</w:t>
            </w:r>
            <w:r w:rsidR="009423E3" w:rsidRPr="00001717">
              <w:rPr>
                <w:rFonts w:ascii="Arial" w:hAnsi="Arial" w:cs="Arial"/>
                <w:b w:val="0"/>
                <w:bCs w:val="0"/>
                <w:i w:val="0"/>
                <w:iCs w:val="0"/>
                <w:noProof/>
                <w:webHidden/>
              </w:rPr>
              <w:fldChar w:fldCharType="end"/>
            </w:r>
          </w:hyperlink>
        </w:p>
        <w:p w14:paraId="534789CE" w14:textId="3740F3A6"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58" w:history="1">
            <w:r w:rsidR="009423E3" w:rsidRPr="00001717">
              <w:rPr>
                <w:rStyle w:val="Hyperlink"/>
                <w:rFonts w:ascii="Arial" w:hAnsi="Arial" w:cs="Arial"/>
                <w:b w:val="0"/>
                <w:bCs w:val="0"/>
                <w:i w:val="0"/>
                <w:iCs w:val="0"/>
                <w:noProof/>
                <w:color w:val="auto"/>
              </w:rPr>
              <w:t>7. Conclusion</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_Toc237518258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21</w:t>
            </w:r>
            <w:r w:rsidR="009423E3" w:rsidRPr="00001717">
              <w:rPr>
                <w:rFonts w:ascii="Arial" w:hAnsi="Arial" w:cs="Arial"/>
                <w:b w:val="0"/>
                <w:bCs w:val="0"/>
                <w:i w:val="0"/>
                <w:iCs w:val="0"/>
                <w:noProof/>
                <w:webHidden/>
              </w:rPr>
              <w:fldChar w:fldCharType="end"/>
            </w:r>
          </w:hyperlink>
        </w:p>
        <w:p w14:paraId="7A7E9101" w14:textId="63EC1C53"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59" w:history="1">
            <w:r w:rsidR="009423E3" w:rsidRPr="00001717">
              <w:rPr>
                <w:rStyle w:val="Hyperlink"/>
                <w:rFonts w:ascii="Arial" w:hAnsi="Arial" w:cs="Arial"/>
                <w:b w:val="0"/>
                <w:bCs w:val="0"/>
                <w:i w:val="0"/>
                <w:iCs w:val="0"/>
                <w:noProof/>
                <w:color w:val="auto"/>
              </w:rPr>
              <w:t>References</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_Toc237518259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23</w:t>
            </w:r>
            <w:r w:rsidR="009423E3" w:rsidRPr="00001717">
              <w:rPr>
                <w:rFonts w:ascii="Arial" w:hAnsi="Arial" w:cs="Arial"/>
                <w:b w:val="0"/>
                <w:bCs w:val="0"/>
                <w:i w:val="0"/>
                <w:iCs w:val="0"/>
                <w:noProof/>
                <w:webHidden/>
              </w:rPr>
              <w:fldChar w:fldCharType="end"/>
            </w:r>
          </w:hyperlink>
        </w:p>
        <w:p w14:paraId="648DC627" w14:textId="6AB843E2" w:rsidR="009423E3" w:rsidRPr="00001717" w:rsidRDefault="008D375B" w:rsidP="009423E3">
          <w:pPr>
            <w:pStyle w:val="TOC1"/>
            <w:tabs>
              <w:tab w:val="right" w:leader="dot" w:pos="9016"/>
            </w:tabs>
            <w:jc w:val="both"/>
            <w:rPr>
              <w:rFonts w:ascii="Arial" w:eastAsiaTheme="minorEastAsia" w:hAnsi="Arial" w:cs="Arial"/>
              <w:b w:val="0"/>
              <w:bCs w:val="0"/>
              <w:i w:val="0"/>
              <w:iCs w:val="0"/>
              <w:noProof/>
              <w:lang w:val="en-IN"/>
            </w:rPr>
          </w:pPr>
          <w:hyperlink w:anchor="_Toc237518260" w:history="1">
            <w:r w:rsidR="009423E3" w:rsidRPr="00001717">
              <w:rPr>
                <w:rStyle w:val="Hyperlink"/>
                <w:rFonts w:ascii="Arial" w:hAnsi="Arial" w:cs="Arial"/>
                <w:b w:val="0"/>
                <w:bCs w:val="0"/>
                <w:i w:val="0"/>
                <w:iCs w:val="0"/>
                <w:noProof/>
                <w:color w:val="auto"/>
              </w:rPr>
              <w:t>Appendices</w:t>
            </w:r>
            <w:r w:rsidR="009423E3" w:rsidRPr="00001717">
              <w:rPr>
                <w:rFonts w:ascii="Arial" w:hAnsi="Arial" w:cs="Arial"/>
                <w:b w:val="0"/>
                <w:bCs w:val="0"/>
                <w:i w:val="0"/>
                <w:iCs w:val="0"/>
                <w:noProof/>
                <w:webHidden/>
              </w:rPr>
              <w:tab/>
            </w:r>
            <w:r w:rsidR="009423E3" w:rsidRPr="00001717">
              <w:rPr>
                <w:rFonts w:ascii="Arial" w:hAnsi="Arial" w:cs="Arial"/>
                <w:b w:val="0"/>
                <w:bCs w:val="0"/>
                <w:i w:val="0"/>
                <w:iCs w:val="0"/>
                <w:noProof/>
                <w:webHidden/>
              </w:rPr>
              <w:fldChar w:fldCharType="begin"/>
            </w:r>
            <w:r w:rsidR="009423E3" w:rsidRPr="00001717">
              <w:rPr>
                <w:rFonts w:ascii="Arial" w:hAnsi="Arial" w:cs="Arial"/>
                <w:b w:val="0"/>
                <w:bCs w:val="0"/>
                <w:i w:val="0"/>
                <w:iCs w:val="0"/>
                <w:noProof/>
                <w:webHidden/>
              </w:rPr>
              <w:instrText xml:space="preserve"> PAGEREF _Toc237518260 \h </w:instrText>
            </w:r>
            <w:r w:rsidR="009423E3" w:rsidRPr="00001717">
              <w:rPr>
                <w:rFonts w:ascii="Arial" w:hAnsi="Arial" w:cs="Arial"/>
                <w:b w:val="0"/>
                <w:bCs w:val="0"/>
                <w:i w:val="0"/>
                <w:iCs w:val="0"/>
                <w:noProof/>
                <w:webHidden/>
              </w:rPr>
            </w:r>
            <w:r w:rsidR="009423E3" w:rsidRPr="00001717">
              <w:rPr>
                <w:rFonts w:ascii="Arial" w:hAnsi="Arial" w:cs="Arial"/>
                <w:b w:val="0"/>
                <w:bCs w:val="0"/>
                <w:i w:val="0"/>
                <w:iCs w:val="0"/>
                <w:noProof/>
                <w:webHidden/>
              </w:rPr>
              <w:fldChar w:fldCharType="separate"/>
            </w:r>
            <w:r w:rsidR="009423E3" w:rsidRPr="00001717">
              <w:rPr>
                <w:rFonts w:ascii="Arial" w:hAnsi="Arial" w:cs="Arial"/>
                <w:b w:val="0"/>
                <w:bCs w:val="0"/>
                <w:i w:val="0"/>
                <w:iCs w:val="0"/>
                <w:noProof/>
                <w:webHidden/>
              </w:rPr>
              <w:t>27</w:t>
            </w:r>
            <w:r w:rsidR="009423E3" w:rsidRPr="00001717">
              <w:rPr>
                <w:rFonts w:ascii="Arial" w:hAnsi="Arial" w:cs="Arial"/>
                <w:b w:val="0"/>
                <w:bCs w:val="0"/>
                <w:i w:val="0"/>
                <w:iCs w:val="0"/>
                <w:noProof/>
                <w:webHidden/>
              </w:rPr>
              <w:fldChar w:fldCharType="end"/>
            </w:r>
          </w:hyperlink>
        </w:p>
        <w:p w14:paraId="2DF7AA80" w14:textId="61BAE79C"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61" w:history="1">
            <w:r w:rsidR="009423E3" w:rsidRPr="00001717">
              <w:rPr>
                <w:rStyle w:val="Hyperlink"/>
                <w:rFonts w:ascii="Arial" w:hAnsi="Arial" w:cs="Arial"/>
                <w:b w:val="0"/>
                <w:bCs w:val="0"/>
                <w:noProof/>
                <w:color w:val="auto"/>
                <w:sz w:val="24"/>
                <w:szCs w:val="24"/>
              </w:rPr>
              <w:t>Appendix 1: Income Statement</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_Toc237518261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27</w:t>
            </w:r>
            <w:r w:rsidR="009423E3" w:rsidRPr="00001717">
              <w:rPr>
                <w:rFonts w:ascii="Arial" w:hAnsi="Arial" w:cs="Arial"/>
                <w:b w:val="0"/>
                <w:bCs w:val="0"/>
                <w:noProof/>
                <w:webHidden/>
                <w:sz w:val="24"/>
                <w:szCs w:val="24"/>
              </w:rPr>
              <w:fldChar w:fldCharType="end"/>
            </w:r>
          </w:hyperlink>
        </w:p>
        <w:p w14:paraId="1154AC4C" w14:textId="5B4153A6"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62" w:history="1">
            <w:r w:rsidR="009423E3" w:rsidRPr="00001717">
              <w:rPr>
                <w:rStyle w:val="Hyperlink"/>
                <w:rFonts w:ascii="Arial" w:hAnsi="Arial" w:cs="Arial"/>
                <w:b w:val="0"/>
                <w:bCs w:val="0"/>
                <w:noProof/>
                <w:color w:val="auto"/>
                <w:sz w:val="24"/>
                <w:szCs w:val="24"/>
              </w:rPr>
              <w:t>Appendix 2: Balance Sheet</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_Toc237518262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28</w:t>
            </w:r>
            <w:r w:rsidR="009423E3" w:rsidRPr="00001717">
              <w:rPr>
                <w:rFonts w:ascii="Arial" w:hAnsi="Arial" w:cs="Arial"/>
                <w:b w:val="0"/>
                <w:bCs w:val="0"/>
                <w:noProof/>
                <w:webHidden/>
                <w:sz w:val="24"/>
                <w:szCs w:val="24"/>
              </w:rPr>
              <w:fldChar w:fldCharType="end"/>
            </w:r>
          </w:hyperlink>
        </w:p>
        <w:p w14:paraId="78629122" w14:textId="70BF1DF8"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63" w:history="1">
            <w:r w:rsidR="009423E3" w:rsidRPr="00001717">
              <w:rPr>
                <w:rStyle w:val="Hyperlink"/>
                <w:rFonts w:ascii="Arial" w:hAnsi="Arial" w:cs="Arial"/>
                <w:b w:val="0"/>
                <w:bCs w:val="0"/>
                <w:noProof/>
                <w:color w:val="auto"/>
                <w:sz w:val="24"/>
                <w:szCs w:val="24"/>
              </w:rPr>
              <w:t>Appendix 3: Ratio Analysis</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_Toc237518263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29</w:t>
            </w:r>
            <w:r w:rsidR="009423E3" w:rsidRPr="00001717">
              <w:rPr>
                <w:rFonts w:ascii="Arial" w:hAnsi="Arial" w:cs="Arial"/>
                <w:b w:val="0"/>
                <w:bCs w:val="0"/>
                <w:noProof/>
                <w:webHidden/>
                <w:sz w:val="24"/>
                <w:szCs w:val="24"/>
              </w:rPr>
              <w:fldChar w:fldCharType="end"/>
            </w:r>
          </w:hyperlink>
        </w:p>
        <w:p w14:paraId="7866C806" w14:textId="7549C097" w:rsidR="009423E3" w:rsidRPr="00001717" w:rsidRDefault="008D375B" w:rsidP="009423E3">
          <w:pPr>
            <w:pStyle w:val="TOC2"/>
            <w:tabs>
              <w:tab w:val="right" w:leader="dot" w:pos="9016"/>
            </w:tabs>
            <w:jc w:val="both"/>
            <w:rPr>
              <w:rFonts w:ascii="Arial" w:eastAsiaTheme="minorEastAsia" w:hAnsi="Arial" w:cs="Arial"/>
              <w:b w:val="0"/>
              <w:bCs w:val="0"/>
              <w:noProof/>
              <w:sz w:val="24"/>
              <w:szCs w:val="24"/>
              <w:lang w:val="en-IN"/>
            </w:rPr>
          </w:pPr>
          <w:hyperlink w:anchor="_Toc237518264" w:history="1">
            <w:r w:rsidR="009423E3" w:rsidRPr="00001717">
              <w:rPr>
                <w:rStyle w:val="Hyperlink"/>
                <w:rFonts w:ascii="Arial" w:hAnsi="Arial" w:cs="Arial"/>
                <w:b w:val="0"/>
                <w:bCs w:val="0"/>
                <w:noProof/>
                <w:color w:val="auto"/>
                <w:sz w:val="24"/>
                <w:szCs w:val="24"/>
              </w:rPr>
              <w:t>Appendix 4: Investment Appraisal Calculation</w:t>
            </w:r>
            <w:r w:rsidR="009423E3" w:rsidRPr="00001717">
              <w:rPr>
                <w:rFonts w:ascii="Arial" w:hAnsi="Arial" w:cs="Arial"/>
                <w:b w:val="0"/>
                <w:bCs w:val="0"/>
                <w:noProof/>
                <w:webHidden/>
                <w:sz w:val="24"/>
                <w:szCs w:val="24"/>
              </w:rPr>
              <w:tab/>
            </w:r>
            <w:r w:rsidR="009423E3" w:rsidRPr="00001717">
              <w:rPr>
                <w:rFonts w:ascii="Arial" w:hAnsi="Arial" w:cs="Arial"/>
                <w:b w:val="0"/>
                <w:bCs w:val="0"/>
                <w:noProof/>
                <w:webHidden/>
                <w:sz w:val="24"/>
                <w:szCs w:val="24"/>
              </w:rPr>
              <w:fldChar w:fldCharType="begin"/>
            </w:r>
            <w:r w:rsidR="009423E3" w:rsidRPr="00001717">
              <w:rPr>
                <w:rFonts w:ascii="Arial" w:hAnsi="Arial" w:cs="Arial"/>
                <w:b w:val="0"/>
                <w:bCs w:val="0"/>
                <w:noProof/>
                <w:webHidden/>
                <w:sz w:val="24"/>
                <w:szCs w:val="24"/>
              </w:rPr>
              <w:instrText xml:space="preserve"> PAGEREF _Toc237518264 \h </w:instrText>
            </w:r>
            <w:r w:rsidR="009423E3" w:rsidRPr="00001717">
              <w:rPr>
                <w:rFonts w:ascii="Arial" w:hAnsi="Arial" w:cs="Arial"/>
                <w:b w:val="0"/>
                <w:bCs w:val="0"/>
                <w:noProof/>
                <w:webHidden/>
                <w:sz w:val="24"/>
                <w:szCs w:val="24"/>
              </w:rPr>
            </w:r>
            <w:r w:rsidR="009423E3" w:rsidRPr="00001717">
              <w:rPr>
                <w:rFonts w:ascii="Arial" w:hAnsi="Arial" w:cs="Arial"/>
                <w:b w:val="0"/>
                <w:bCs w:val="0"/>
                <w:noProof/>
                <w:webHidden/>
                <w:sz w:val="24"/>
                <w:szCs w:val="24"/>
              </w:rPr>
              <w:fldChar w:fldCharType="separate"/>
            </w:r>
            <w:r w:rsidR="009423E3" w:rsidRPr="00001717">
              <w:rPr>
                <w:rFonts w:ascii="Arial" w:hAnsi="Arial" w:cs="Arial"/>
                <w:b w:val="0"/>
                <w:bCs w:val="0"/>
                <w:noProof/>
                <w:webHidden/>
                <w:sz w:val="24"/>
                <w:szCs w:val="24"/>
              </w:rPr>
              <w:t>31</w:t>
            </w:r>
            <w:r w:rsidR="009423E3" w:rsidRPr="00001717">
              <w:rPr>
                <w:rFonts w:ascii="Arial" w:hAnsi="Arial" w:cs="Arial"/>
                <w:b w:val="0"/>
                <w:bCs w:val="0"/>
                <w:noProof/>
                <w:webHidden/>
                <w:sz w:val="24"/>
                <w:szCs w:val="24"/>
              </w:rPr>
              <w:fldChar w:fldCharType="end"/>
            </w:r>
          </w:hyperlink>
        </w:p>
        <w:p w14:paraId="237981B2" w14:textId="1A1485FE" w:rsidR="00254B07" w:rsidRPr="00001717" w:rsidRDefault="00833687" w:rsidP="00ED11D1">
          <w:pPr>
            <w:rPr>
              <w:rFonts w:ascii="Arial" w:hAnsi="Arial" w:cs="Arial"/>
            </w:rPr>
          </w:pPr>
          <w:r w:rsidRPr="00001717">
            <w:rPr>
              <w:rFonts w:ascii="Arial" w:hAnsi="Arial" w:cs="Arial"/>
            </w:rPr>
            <w:fldChar w:fldCharType="end"/>
          </w:r>
        </w:p>
      </w:sdtContent>
    </w:sdt>
    <w:p w14:paraId="0771623C" w14:textId="77777777" w:rsidR="00254B07" w:rsidRPr="00001717" w:rsidRDefault="00254B07" w:rsidP="00ED11D1">
      <w:pPr>
        <w:rPr>
          <w:rFonts w:ascii="Arial" w:hAnsi="Arial" w:cs="Arial"/>
        </w:rPr>
      </w:pPr>
    </w:p>
    <w:p w14:paraId="23D23FBC" w14:textId="77777777" w:rsidR="00254B07" w:rsidRPr="00ED11D1" w:rsidRDefault="00833687" w:rsidP="00ED11D1">
      <w:pPr>
        <w:rPr>
          <w:rFonts w:ascii="Arial" w:hAnsi="Arial" w:cs="Arial"/>
          <w:b/>
          <w:bCs/>
        </w:rPr>
      </w:pPr>
      <w:bookmarkStart w:id="2" w:name="_heading=h.f3gc6z121pxu" w:colFirst="0" w:colLast="0"/>
      <w:bookmarkEnd w:id="2"/>
      <w:r w:rsidRPr="00ED11D1">
        <w:rPr>
          <w:rFonts w:ascii="Arial" w:hAnsi="Arial" w:cs="Arial"/>
        </w:rPr>
        <w:br w:type="page"/>
      </w:r>
    </w:p>
    <w:p w14:paraId="53E3E204" w14:textId="77777777" w:rsidR="00254B07" w:rsidRPr="00CC3D1D" w:rsidRDefault="00833687" w:rsidP="009423E3">
      <w:pPr>
        <w:pStyle w:val="Heading1"/>
        <w:rPr>
          <w:rFonts w:ascii="Arial" w:hAnsi="Arial" w:cs="Arial"/>
        </w:rPr>
      </w:pPr>
      <w:bookmarkStart w:id="3" w:name="_Toc237518230"/>
      <w:r w:rsidRPr="00CC3D1D">
        <w:rPr>
          <w:rFonts w:ascii="Arial" w:hAnsi="Arial" w:cs="Arial"/>
        </w:rPr>
        <w:lastRenderedPageBreak/>
        <w:t>1. Introduction</w:t>
      </w:r>
      <w:bookmarkEnd w:id="3"/>
    </w:p>
    <w:p w14:paraId="6862A1AC" w14:textId="5C7CC2CB" w:rsidR="00254B07" w:rsidRPr="00CC3D1D" w:rsidRDefault="00833687" w:rsidP="009423E3">
      <w:pPr>
        <w:rPr>
          <w:rFonts w:ascii="Arial" w:hAnsi="Arial" w:cs="Arial"/>
        </w:rPr>
      </w:pPr>
      <w:r w:rsidRPr="00CC3D1D">
        <w:rPr>
          <w:rFonts w:ascii="Arial" w:hAnsi="Arial" w:cs="Arial"/>
        </w:rPr>
        <w:t>InterContinental Hotels Group (IHG) is a worldwide hospitality group with a diverse portfolio of hotel brands and an asset-light business model, including franchising and management contracts. Financial statement analysis, ratio analysis and trend analysis will be used to determine IHG's financial viability in the period 202</w:t>
      </w:r>
      <w:r w:rsidR="00921769" w:rsidRPr="00CC3D1D">
        <w:rPr>
          <w:rFonts w:ascii="Arial" w:hAnsi="Arial" w:cs="Arial"/>
        </w:rPr>
        <w:t>0</w:t>
      </w:r>
      <w:r w:rsidRPr="00CC3D1D">
        <w:rPr>
          <w:rFonts w:ascii="Arial" w:hAnsi="Arial" w:cs="Arial"/>
        </w:rPr>
        <w:t xml:space="preserve"> to 202</w:t>
      </w:r>
      <w:r w:rsidR="00921769" w:rsidRPr="00CC3D1D">
        <w:rPr>
          <w:rFonts w:ascii="Arial" w:hAnsi="Arial" w:cs="Arial"/>
        </w:rPr>
        <w:t>4</w:t>
      </w:r>
      <w:r w:rsidRPr="00CC3D1D">
        <w:rPr>
          <w:rFonts w:ascii="Arial" w:hAnsi="Arial" w:cs="Arial"/>
        </w:rPr>
        <w:t>. It further examines working capital management, liquidity and financing strategies before proposing a strategic financial restructuring plan. Three investment projects are appraised using investment appraisal techniques, and then a critical reflection on the role of Artificial Intelligence in the preparation of this report is made.</w:t>
      </w:r>
    </w:p>
    <w:p w14:paraId="2AE124BE" w14:textId="77777777" w:rsidR="00254B07" w:rsidRPr="00CC3D1D" w:rsidRDefault="00833687" w:rsidP="009423E3">
      <w:pPr>
        <w:pStyle w:val="Heading1"/>
        <w:rPr>
          <w:rFonts w:ascii="Arial" w:hAnsi="Arial" w:cs="Arial"/>
        </w:rPr>
      </w:pPr>
      <w:bookmarkStart w:id="4" w:name="_Toc237518231"/>
      <w:r w:rsidRPr="00CC3D1D">
        <w:rPr>
          <w:rFonts w:ascii="Arial" w:hAnsi="Arial" w:cs="Arial"/>
        </w:rPr>
        <w:t>2. Financial Health Check</w:t>
      </w:r>
      <w:bookmarkEnd w:id="4"/>
    </w:p>
    <w:p w14:paraId="1A4B5E06" w14:textId="77777777" w:rsidR="00254B07" w:rsidRPr="00CC3D1D" w:rsidRDefault="00833687" w:rsidP="009423E3">
      <w:pPr>
        <w:pStyle w:val="Heading2"/>
        <w:rPr>
          <w:rFonts w:ascii="Arial" w:hAnsi="Arial" w:cs="Arial"/>
        </w:rPr>
      </w:pPr>
      <w:bookmarkStart w:id="5" w:name="_Toc237518232"/>
      <w:r w:rsidRPr="00CC3D1D">
        <w:rPr>
          <w:rFonts w:ascii="Arial" w:hAnsi="Arial" w:cs="Arial"/>
        </w:rPr>
        <w:t>2.1 Overview of Financial Performance</w:t>
      </w:r>
      <w:bookmarkEnd w:id="5"/>
    </w:p>
    <w:p w14:paraId="5862CD37" w14:textId="77777777" w:rsidR="00254B07" w:rsidRPr="00CC3D1D" w:rsidRDefault="00833687" w:rsidP="009423E3">
      <w:pPr>
        <w:rPr>
          <w:rFonts w:ascii="Arial" w:hAnsi="Arial" w:cs="Arial"/>
        </w:rPr>
      </w:pPr>
      <w:r w:rsidRPr="00CC3D1D">
        <w:rPr>
          <w:rFonts w:ascii="Arial" w:hAnsi="Arial" w:cs="Arial"/>
        </w:rPr>
        <w:t>In the world of hospitality, even when the industry is uncertain, InterContinental Hotels Group (IHG) has shown a noticeable increase in financial recovery from 2020 to 2024. This time period is focused for the financial analysis. IHG's revenue grew from US$2,394 million in 2020 to US$4,923 million in 2024, with the significant recovery achieved after international travel re-opened and demand for leisure and business rooms picked up [</w:t>
      </w:r>
      <w:r w:rsidRPr="00CC3D1D">
        <w:rPr>
          <w:rFonts w:ascii="Arial" w:hAnsi="Arial" w:cs="Arial"/>
          <w:b/>
          <w:bCs/>
          <w:i/>
          <w:iCs/>
        </w:rPr>
        <w:t>Refer to Appendix 1</w:t>
      </w:r>
      <w:r w:rsidRPr="00CC3D1D">
        <w:rPr>
          <w:rFonts w:ascii="Arial" w:hAnsi="Arial" w:cs="Arial"/>
        </w:rPr>
        <w:t>]. Support from having a franchise and management contracts, coupled with the company's asset-light model have allowed revenue growth, without having to invest significantly into hotel ownership. During this period, profitability has also increased significantly. The net profit was negatively positioned in 2020 but quickly turned positive on a much larger basis in 2024 in line with recovering hotel demand and enhanced operating performance. This was also reflected in a growing ratio analysis, where Operating Profit Margin went from negative 6.39% in 2020 to 21.15% in 2024. Also, Net Profit Margin increased from negative 10.86% to 12.76%. IHG's asset utilisation also worked well, with Asset Turnover rising from 0.52x to 1.03x during the same timeframe. Liquidity, however, was an issue of concern, and the negative shareholders' equity remained as an issue with respect to certain traditional equity measures. Sharma et al. (2021) emphasised the crucial role of innovation and adaptability for enhancing the resiliency of a hotel during market disruptions. Overall, IHG's financial and post-pandemic recovery were very positive, with improving profit and more efficient asset use.</w:t>
      </w:r>
    </w:p>
    <w:p w14:paraId="6167AA4B" w14:textId="77777777" w:rsidR="00254B07" w:rsidRPr="00CC3D1D" w:rsidRDefault="00833687" w:rsidP="009423E3">
      <w:pPr>
        <w:pStyle w:val="Heading2"/>
        <w:rPr>
          <w:rFonts w:ascii="Arial" w:hAnsi="Arial" w:cs="Arial"/>
        </w:rPr>
      </w:pPr>
      <w:bookmarkStart w:id="6" w:name="_Toc237518233"/>
      <w:r w:rsidRPr="00CC3D1D">
        <w:rPr>
          <w:rFonts w:ascii="Arial" w:hAnsi="Arial" w:cs="Arial"/>
        </w:rPr>
        <w:t>2.2 Ratio Analysis</w:t>
      </w:r>
      <w:bookmarkEnd w:id="6"/>
    </w:p>
    <w:p w14:paraId="60FCEDFD" w14:textId="77777777" w:rsidR="00254B07" w:rsidRPr="00CC3D1D" w:rsidRDefault="00833687" w:rsidP="009423E3">
      <w:pPr>
        <w:rPr>
          <w:rFonts w:ascii="Arial" w:hAnsi="Arial" w:cs="Arial"/>
        </w:rPr>
      </w:pPr>
      <w:r w:rsidRPr="00CC3D1D">
        <w:rPr>
          <w:rFonts w:ascii="Arial" w:hAnsi="Arial" w:cs="Arial"/>
        </w:rPr>
        <w:t xml:space="preserve">The financial ratio analysis considered profitability, liquidity, operational efficiency, financial leverage and investment performance of IHG and gave a systematic </w:t>
      </w:r>
      <w:r w:rsidRPr="00CC3D1D">
        <w:rPr>
          <w:rFonts w:ascii="Arial" w:hAnsi="Arial" w:cs="Arial"/>
        </w:rPr>
        <w:lastRenderedPageBreak/>
        <w:t>evaluation of these areas. The analysis does not focus on each ratio separately, but instead classifies the ratios into five financial families for a holistic assessment of the financial position of the company. The ratios reflected IHG's consolidated financial statements 2020-2024 and illustrated IHG's recovery since the Covid-19 disruption, as well as ongoing liquidity and capital-structure issues. The Excel analysis yields robust results in profitability, asset utilisation and operating cash generation, though not as rosy in the case of liquidity which deteriorated towards 2024.</w:t>
      </w:r>
    </w:p>
    <w:p w14:paraId="6242EE95" w14:textId="77777777" w:rsidR="00254B07" w:rsidRPr="00CC3D1D" w:rsidRDefault="00833687" w:rsidP="009423E3">
      <w:pPr>
        <w:pStyle w:val="Heading3"/>
        <w:rPr>
          <w:rFonts w:ascii="Arial" w:hAnsi="Arial" w:cs="Arial"/>
        </w:rPr>
      </w:pPr>
      <w:bookmarkStart w:id="7" w:name="_Toc237518234"/>
      <w:r w:rsidRPr="00CC3D1D">
        <w:rPr>
          <w:rFonts w:ascii="Arial" w:hAnsi="Arial" w:cs="Arial"/>
        </w:rPr>
        <w:t>2.2.1 Profitability Ratios</w:t>
      </w:r>
      <w:bookmarkEnd w:id="7"/>
    </w:p>
    <w:p w14:paraId="3CC7A4A5" w14:textId="77777777" w:rsidR="00254B07" w:rsidRPr="00CC3D1D" w:rsidRDefault="00833687" w:rsidP="009423E3">
      <w:pPr>
        <w:rPr>
          <w:rFonts w:ascii="Arial" w:hAnsi="Arial" w:cs="Arial"/>
        </w:rPr>
      </w:pPr>
      <w:r w:rsidRPr="00CC3D1D">
        <w:rPr>
          <w:rFonts w:ascii="Arial" w:hAnsi="Arial" w:cs="Arial"/>
        </w:rPr>
        <w:t>The profitability family includes Gross Profit Margin, Operating Profit Margin and Net Profit Margin. These ratios indicate IHG's ability to generate gross profit, operating profit and net profit from revenue generated.</w:t>
      </w:r>
    </w:p>
    <w:p w14:paraId="5204119A" w14:textId="4013F92A" w:rsidR="00254B07" w:rsidRPr="00CC3D1D" w:rsidRDefault="00B658DE" w:rsidP="009423E3">
      <w:pPr>
        <w:jc w:val="center"/>
        <w:rPr>
          <w:rFonts w:ascii="Arial" w:hAnsi="Arial" w:cs="Arial"/>
        </w:rPr>
      </w:pPr>
      <w:r w:rsidRPr="00CC3D1D">
        <w:rPr>
          <w:rFonts w:ascii="Arial" w:hAnsi="Arial" w:cs="Arial"/>
          <w:noProof/>
        </w:rPr>
        <w:drawing>
          <wp:inline distT="0" distB="0" distL="0" distR="0" wp14:anchorId="594A99DF" wp14:editId="0B0F3B3B">
            <wp:extent cx="5731510" cy="3161665"/>
            <wp:effectExtent l="0" t="0" r="2540" b="635"/>
            <wp:docPr id="1" name="Chart 1">
              <a:extLst xmlns:a="http://schemas.openxmlformats.org/drawingml/2006/main">
                <a:ext uri="{FF2B5EF4-FFF2-40B4-BE49-F238E27FC236}">
                  <a16:creationId xmlns:a16="http://schemas.microsoft.com/office/drawing/2014/main" id="{C371CAC4-D567-C69A-F827-B384117D97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241B9D" w14:textId="27A2755B" w:rsidR="00254B07" w:rsidRPr="00CC3D1D" w:rsidRDefault="00833687" w:rsidP="009423E3">
      <w:pPr>
        <w:jc w:val="center"/>
        <w:rPr>
          <w:rFonts w:ascii="Arial" w:hAnsi="Arial" w:cs="Arial"/>
          <w:b/>
          <w:bCs/>
        </w:rPr>
      </w:pPr>
      <w:r w:rsidRPr="00CC3D1D">
        <w:rPr>
          <w:rFonts w:ascii="Arial" w:hAnsi="Arial" w:cs="Arial"/>
          <w:b/>
          <w:bCs/>
        </w:rPr>
        <w:t>Figure 1: Profitability Ratio</w:t>
      </w:r>
    </w:p>
    <w:p w14:paraId="61440144" w14:textId="77777777" w:rsidR="00254B07" w:rsidRPr="00CC3D1D" w:rsidRDefault="00833687" w:rsidP="009423E3">
      <w:pPr>
        <w:jc w:val="center"/>
        <w:rPr>
          <w:rFonts w:ascii="Arial" w:hAnsi="Arial" w:cs="Arial"/>
        </w:rPr>
      </w:pPr>
      <w:r w:rsidRPr="00CC3D1D">
        <w:rPr>
          <w:rFonts w:ascii="Arial" w:hAnsi="Arial" w:cs="Arial"/>
        </w:rPr>
        <w:t>(Source: Excel)</w:t>
      </w:r>
    </w:p>
    <w:p w14:paraId="08F1867E" w14:textId="4E2A1E37" w:rsidR="00254B07" w:rsidRPr="00CC3D1D" w:rsidRDefault="00833687" w:rsidP="009423E3">
      <w:pPr>
        <w:rPr>
          <w:rFonts w:ascii="Arial" w:hAnsi="Arial" w:cs="Arial"/>
        </w:rPr>
      </w:pPr>
      <w:r w:rsidRPr="00CC3D1D">
        <w:rPr>
          <w:rFonts w:ascii="Arial" w:hAnsi="Arial" w:cs="Arial"/>
        </w:rPr>
        <w:t>IHG's Gross Profit Margin remained relatively stable, declining from 85.21% in 2020 to 83.28% in 2021, before recovering to 83.35% in 2022, 83.95% in 2023 and 84.87% in 2024</w:t>
      </w:r>
      <w:r w:rsidR="00B658DE" w:rsidRPr="00CC3D1D">
        <w:rPr>
          <w:rFonts w:ascii="Arial" w:hAnsi="Arial" w:cs="Arial"/>
        </w:rPr>
        <w:t xml:space="preserve"> [</w:t>
      </w:r>
      <w:r w:rsidR="00B658DE" w:rsidRPr="00CC3D1D">
        <w:rPr>
          <w:rFonts w:ascii="Arial" w:hAnsi="Arial" w:cs="Arial"/>
          <w:b/>
          <w:bCs/>
          <w:i/>
          <w:iCs/>
        </w:rPr>
        <w:t>Refer to Appendix 3</w:t>
      </w:r>
      <w:r w:rsidR="00B658DE" w:rsidRPr="00CC3D1D">
        <w:rPr>
          <w:rFonts w:ascii="Arial" w:hAnsi="Arial" w:cs="Arial"/>
        </w:rPr>
        <w:t>]</w:t>
      </w:r>
      <w:r w:rsidRPr="00CC3D1D">
        <w:rPr>
          <w:rFonts w:ascii="Arial" w:hAnsi="Arial" w:cs="Arial"/>
        </w:rPr>
        <w:t xml:space="preserve">. Successful cost control in the face of a changing operating environment. The Operating Profit Margin showed a stronger recovery, moving from -6.39% in 2020 to 16.99% in 2021, 16.14% in 2022, and peaking at 23.05% in 2023 before moderating to 21.15% in 2024. The large percentage gain is attributed to the restoration of hotel demand and IHG's successful profitability of the increase in its hotel investments. It was the asset-light business strategy, which relied </w:t>
      </w:r>
      <w:r w:rsidRPr="00CC3D1D">
        <w:rPr>
          <w:rFonts w:ascii="Arial" w:hAnsi="Arial" w:cs="Arial"/>
        </w:rPr>
        <w:lastRenderedPageBreak/>
        <w:t>heavily on franchising and management contracts, that has contributed to being profitable, too, without a great deal of capital tied up in hotels. Similarly, the Net Profit Margin improved significantly from -10.86% in 2020 to 9.12% in 2021, 9.66% in 2022 and 16.22% in 2023, before declining to 12.76% in 2024. This shows that overall profitability has recovered significantly from the pandemic. Tong-On et al. (2021) concluded that BI, data analytics boost hotel profitability by enhancing revenue management, forecasting and decision making. Moreover, Amoako et al. (2023) noted the impact of digital innovation on customer satisfaction and repeat bookings. In general, the three profitability indexes show robust recovery in the financial outcome, with 2024 showing risks of further cost reduction and revenue generation.</w:t>
      </w:r>
    </w:p>
    <w:p w14:paraId="34C14739" w14:textId="77777777" w:rsidR="00254B07" w:rsidRPr="00CC3D1D" w:rsidRDefault="00833687" w:rsidP="009423E3">
      <w:pPr>
        <w:pStyle w:val="Heading3"/>
        <w:rPr>
          <w:rFonts w:ascii="Arial" w:hAnsi="Arial" w:cs="Arial"/>
        </w:rPr>
      </w:pPr>
      <w:bookmarkStart w:id="8" w:name="_Toc237518235"/>
      <w:r w:rsidRPr="00CC3D1D">
        <w:rPr>
          <w:rFonts w:ascii="Arial" w:hAnsi="Arial" w:cs="Arial"/>
        </w:rPr>
        <w:t>2.2.2 Liquidity Ratios</w:t>
      </w:r>
      <w:bookmarkEnd w:id="8"/>
    </w:p>
    <w:p w14:paraId="75D61911" w14:textId="46FCEAA1" w:rsidR="00254B07" w:rsidRPr="00CC3D1D" w:rsidRDefault="005112D9" w:rsidP="009423E3">
      <w:pPr>
        <w:rPr>
          <w:rFonts w:ascii="Arial" w:hAnsi="Arial" w:cs="Arial"/>
        </w:rPr>
      </w:pPr>
      <w:r w:rsidRPr="00CC3D1D">
        <w:rPr>
          <w:rFonts w:ascii="Arial" w:hAnsi="Arial" w:cs="Arial"/>
        </w:rPr>
        <w:t xml:space="preserve">As inspired by the ideas of </w:t>
      </w:r>
      <w:proofErr w:type="spellStart"/>
      <w:r w:rsidRPr="00CC3D1D">
        <w:rPr>
          <w:rFonts w:ascii="Arial" w:hAnsi="Arial" w:cs="Arial"/>
        </w:rPr>
        <w:t>Gunawan</w:t>
      </w:r>
      <w:proofErr w:type="spellEnd"/>
      <w:r w:rsidRPr="00CC3D1D">
        <w:rPr>
          <w:rFonts w:ascii="Arial" w:hAnsi="Arial" w:cs="Arial"/>
        </w:rPr>
        <w:t xml:space="preserve"> (2023), liquidity ratios reflect a company’s current resourcing of short-term debt obligations with current assets. </w:t>
      </w:r>
      <w:r w:rsidR="00833687" w:rsidRPr="00CC3D1D">
        <w:rPr>
          <w:rFonts w:ascii="Arial" w:hAnsi="Arial" w:cs="Arial"/>
        </w:rPr>
        <w:t>Current Ratio, Quick Ratio and Cash Ratio</w:t>
      </w:r>
      <w:r w:rsidRPr="00CC3D1D">
        <w:rPr>
          <w:rFonts w:ascii="Arial" w:hAnsi="Arial" w:cs="Arial"/>
        </w:rPr>
        <w:t>s</w:t>
      </w:r>
      <w:r w:rsidR="00833687" w:rsidRPr="00CC3D1D">
        <w:rPr>
          <w:rFonts w:ascii="Arial" w:hAnsi="Arial" w:cs="Arial"/>
        </w:rPr>
        <w:t xml:space="preserve"> </w:t>
      </w:r>
      <w:r w:rsidRPr="00CC3D1D">
        <w:rPr>
          <w:rFonts w:ascii="Arial" w:hAnsi="Arial" w:cs="Arial"/>
        </w:rPr>
        <w:t>constitute</w:t>
      </w:r>
      <w:r w:rsidR="00833687" w:rsidRPr="00CC3D1D">
        <w:rPr>
          <w:rFonts w:ascii="Arial" w:hAnsi="Arial" w:cs="Arial"/>
        </w:rPr>
        <w:t xml:space="preserve"> liquidity </w:t>
      </w:r>
      <w:r w:rsidRPr="00CC3D1D">
        <w:rPr>
          <w:rFonts w:ascii="Arial" w:hAnsi="Arial" w:cs="Arial"/>
        </w:rPr>
        <w:t>ratios,</w:t>
      </w:r>
      <w:r w:rsidR="00833687" w:rsidRPr="00CC3D1D">
        <w:rPr>
          <w:rFonts w:ascii="Arial" w:hAnsi="Arial" w:cs="Arial"/>
        </w:rPr>
        <w:t xml:space="preserve"> which offer a more global perspective of IHG's ability to settle its short-term obligations.</w:t>
      </w:r>
    </w:p>
    <w:p w14:paraId="318C8655" w14:textId="25CEB8F6" w:rsidR="00254B07" w:rsidRPr="00CC3D1D" w:rsidRDefault="005112D9" w:rsidP="009423E3">
      <w:pPr>
        <w:jc w:val="center"/>
        <w:rPr>
          <w:rFonts w:ascii="Arial" w:hAnsi="Arial" w:cs="Arial"/>
        </w:rPr>
      </w:pPr>
      <w:r w:rsidRPr="00CC3D1D">
        <w:rPr>
          <w:rFonts w:ascii="Arial" w:hAnsi="Arial" w:cs="Arial"/>
          <w:noProof/>
        </w:rPr>
        <w:drawing>
          <wp:inline distT="0" distB="0" distL="0" distR="0" wp14:anchorId="01FD43CF" wp14:editId="26DCFC7C">
            <wp:extent cx="5731510" cy="3161665"/>
            <wp:effectExtent l="0" t="0" r="2540" b="635"/>
            <wp:docPr id="2" name="Chart 2">
              <a:extLst xmlns:a="http://schemas.openxmlformats.org/drawingml/2006/main">
                <a:ext uri="{FF2B5EF4-FFF2-40B4-BE49-F238E27FC236}">
                  <a16:creationId xmlns:a16="http://schemas.microsoft.com/office/drawing/2014/main" id="{4D2DDD14-8168-6D87-0DDA-6B947FE9F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9A6972" w14:textId="3D848984" w:rsidR="005112D9" w:rsidRPr="00CC3D1D" w:rsidRDefault="005112D9" w:rsidP="009423E3">
      <w:pPr>
        <w:jc w:val="center"/>
        <w:rPr>
          <w:rFonts w:ascii="Arial" w:hAnsi="Arial" w:cs="Arial"/>
        </w:rPr>
      </w:pPr>
      <w:r w:rsidRPr="00CC3D1D">
        <w:rPr>
          <w:rFonts w:ascii="Arial" w:hAnsi="Arial" w:cs="Arial"/>
          <w:noProof/>
        </w:rPr>
        <w:lastRenderedPageBreak/>
        <w:drawing>
          <wp:inline distT="0" distB="0" distL="0" distR="0" wp14:anchorId="209C69DE" wp14:editId="5067C867">
            <wp:extent cx="5731510" cy="2827020"/>
            <wp:effectExtent l="0" t="0" r="2540" b="11430"/>
            <wp:docPr id="4" name="Chart 4">
              <a:extLst xmlns:a="http://schemas.openxmlformats.org/drawingml/2006/main">
                <a:ext uri="{FF2B5EF4-FFF2-40B4-BE49-F238E27FC236}">
                  <a16:creationId xmlns:a16="http://schemas.microsoft.com/office/drawing/2014/main" id="{00000000-0008-0000-03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0A26BE" w14:textId="6085AE00" w:rsidR="00254B07" w:rsidRPr="00CC3D1D" w:rsidRDefault="00833687" w:rsidP="009423E3">
      <w:pPr>
        <w:jc w:val="center"/>
        <w:rPr>
          <w:rFonts w:ascii="Arial" w:hAnsi="Arial" w:cs="Arial"/>
          <w:b/>
          <w:bCs/>
        </w:rPr>
      </w:pPr>
      <w:r w:rsidRPr="00CC3D1D">
        <w:rPr>
          <w:rFonts w:ascii="Arial" w:hAnsi="Arial" w:cs="Arial"/>
          <w:b/>
          <w:bCs/>
        </w:rPr>
        <w:t>Figure 2: Liquidity Ratio</w:t>
      </w:r>
    </w:p>
    <w:p w14:paraId="5B7D4C3F" w14:textId="77777777" w:rsidR="00254B07" w:rsidRPr="00CC3D1D" w:rsidRDefault="00833687" w:rsidP="009423E3">
      <w:pPr>
        <w:jc w:val="center"/>
        <w:rPr>
          <w:rFonts w:ascii="Arial" w:hAnsi="Arial" w:cs="Arial"/>
        </w:rPr>
      </w:pPr>
      <w:r w:rsidRPr="00CC3D1D">
        <w:rPr>
          <w:rFonts w:ascii="Arial" w:hAnsi="Arial" w:cs="Arial"/>
        </w:rPr>
        <w:t>(Source: Excel)</w:t>
      </w:r>
    </w:p>
    <w:p w14:paraId="70E2E539" w14:textId="4D81BAA2" w:rsidR="00254B07" w:rsidRPr="00CC3D1D" w:rsidRDefault="00833687" w:rsidP="009423E3">
      <w:pPr>
        <w:rPr>
          <w:rFonts w:ascii="Arial" w:hAnsi="Arial" w:cs="Arial"/>
        </w:rPr>
      </w:pPr>
      <w:r w:rsidRPr="00CC3D1D">
        <w:rPr>
          <w:rFonts w:ascii="Arial" w:hAnsi="Arial" w:cs="Arial"/>
        </w:rPr>
        <w:t>The Current Ratio increased from 1.20x in 2020 to 1.27x in 2021 and 1.09x in 2022, before declining to 0.97x in both 2023 and 2024</w:t>
      </w:r>
      <w:r w:rsidR="005112D9" w:rsidRPr="00CC3D1D">
        <w:rPr>
          <w:rFonts w:ascii="Arial" w:hAnsi="Arial" w:cs="Arial"/>
        </w:rPr>
        <w:t xml:space="preserve"> [</w:t>
      </w:r>
      <w:r w:rsidR="005112D9" w:rsidRPr="00CC3D1D">
        <w:rPr>
          <w:rFonts w:ascii="Arial" w:hAnsi="Arial" w:cs="Arial"/>
          <w:b/>
          <w:bCs/>
          <w:i/>
          <w:iCs/>
        </w:rPr>
        <w:t>Refer to Appendix 3</w:t>
      </w:r>
      <w:r w:rsidR="005112D9" w:rsidRPr="00CC3D1D">
        <w:rPr>
          <w:rFonts w:ascii="Arial" w:hAnsi="Arial" w:cs="Arial"/>
        </w:rPr>
        <w:t>]</w:t>
      </w:r>
      <w:r w:rsidRPr="00CC3D1D">
        <w:rPr>
          <w:rFonts w:ascii="Arial" w:hAnsi="Arial" w:cs="Arial"/>
        </w:rPr>
        <w:t xml:space="preserve">. Similarly, the Quick Ratio decreased from 1.20x in 2020 and 1.27x in 2021 to 1.08x in 2022 and 0.97x in 2023 and 2024. However, the small discrepancy is the inventory levels at IHG are reduced. The Cash Ratio showed greater deterioration, declining from 0.90x in 2020 and 0.89x in 2021 to 0.63x in 2022, 0.60x in 2023 and 0.52x in 2024. This signified lower day-to-day liquidity position in meeting short term debts. </w:t>
      </w:r>
      <w:proofErr w:type="spellStart"/>
      <w:r w:rsidRPr="00CC3D1D">
        <w:rPr>
          <w:rFonts w:ascii="Arial" w:hAnsi="Arial" w:cs="Arial"/>
        </w:rPr>
        <w:t>Crespí-Cladera</w:t>
      </w:r>
      <w:proofErr w:type="spellEnd"/>
      <w:r w:rsidRPr="00CC3D1D">
        <w:rPr>
          <w:rFonts w:ascii="Arial" w:hAnsi="Arial" w:cs="Arial"/>
        </w:rPr>
        <w:t xml:space="preserve"> et al. (2021) highlighted how critical effective liquidity control is in post-disruption hospitality firms. In summary, IHG's liquidity ratios were declining, suggesting good need to improve its short-term liquidity management, despite of cash flows generated by recurring fees.</w:t>
      </w:r>
    </w:p>
    <w:p w14:paraId="4B80C1D4" w14:textId="77777777" w:rsidR="00254B07" w:rsidRPr="00CC3D1D" w:rsidRDefault="00833687" w:rsidP="009423E3">
      <w:pPr>
        <w:pStyle w:val="Heading3"/>
        <w:rPr>
          <w:rFonts w:ascii="Arial" w:hAnsi="Arial" w:cs="Arial"/>
        </w:rPr>
      </w:pPr>
      <w:bookmarkStart w:id="9" w:name="_Toc237518236"/>
      <w:r w:rsidRPr="00CC3D1D">
        <w:rPr>
          <w:rFonts w:ascii="Arial" w:hAnsi="Arial" w:cs="Arial"/>
        </w:rPr>
        <w:t>2.2.3 Efficiency Ratios</w:t>
      </w:r>
      <w:bookmarkEnd w:id="9"/>
    </w:p>
    <w:p w14:paraId="2598C140" w14:textId="0F1CBEB5" w:rsidR="00254B07" w:rsidRPr="00CC3D1D" w:rsidRDefault="005112D9" w:rsidP="009423E3">
      <w:pPr>
        <w:rPr>
          <w:rFonts w:ascii="Arial" w:hAnsi="Arial" w:cs="Arial"/>
        </w:rPr>
      </w:pPr>
      <w:r w:rsidRPr="00CC3D1D">
        <w:rPr>
          <w:rFonts w:ascii="Arial" w:hAnsi="Arial" w:cs="Arial"/>
        </w:rPr>
        <w:t>E</w:t>
      </w:r>
      <w:r w:rsidR="00833687" w:rsidRPr="00CC3D1D">
        <w:rPr>
          <w:rFonts w:ascii="Arial" w:hAnsi="Arial" w:cs="Arial"/>
        </w:rPr>
        <w:t xml:space="preserve">fficiency </w:t>
      </w:r>
      <w:r w:rsidRPr="00CC3D1D">
        <w:rPr>
          <w:rFonts w:ascii="Arial" w:hAnsi="Arial" w:cs="Arial"/>
        </w:rPr>
        <w:t>ratios</w:t>
      </w:r>
      <w:r w:rsidR="00833687" w:rsidRPr="00CC3D1D">
        <w:rPr>
          <w:rFonts w:ascii="Arial" w:hAnsi="Arial" w:cs="Arial"/>
        </w:rPr>
        <w:t xml:space="preserve"> include </w:t>
      </w:r>
      <w:r w:rsidRPr="00CC3D1D">
        <w:rPr>
          <w:rFonts w:ascii="Arial" w:hAnsi="Arial" w:cs="Arial"/>
        </w:rPr>
        <w:t>asset turnover and fixed asset turnover to</w:t>
      </w:r>
      <w:r w:rsidR="00833687" w:rsidRPr="00CC3D1D">
        <w:rPr>
          <w:rFonts w:ascii="Arial" w:hAnsi="Arial" w:cs="Arial"/>
        </w:rPr>
        <w:t xml:space="preserve"> measure how well IHG utilizes asset base to produce revenue.</w:t>
      </w:r>
    </w:p>
    <w:p w14:paraId="6EB244EB" w14:textId="5CCCE6A4" w:rsidR="005112D9" w:rsidRPr="00CC3D1D" w:rsidRDefault="005112D9" w:rsidP="009423E3">
      <w:pPr>
        <w:jc w:val="center"/>
        <w:rPr>
          <w:rFonts w:ascii="Arial" w:hAnsi="Arial" w:cs="Arial"/>
        </w:rPr>
      </w:pPr>
      <w:r w:rsidRPr="00CC3D1D">
        <w:rPr>
          <w:rFonts w:ascii="Arial" w:hAnsi="Arial" w:cs="Arial"/>
          <w:noProof/>
        </w:rPr>
        <w:lastRenderedPageBreak/>
        <w:drawing>
          <wp:inline distT="0" distB="0" distL="0" distR="0" wp14:anchorId="447A6134" wp14:editId="147CE64C">
            <wp:extent cx="5953125" cy="3419475"/>
            <wp:effectExtent l="0" t="0" r="9525" b="9525"/>
            <wp:docPr id="3" name="Chart 3">
              <a:extLst xmlns:a="http://schemas.openxmlformats.org/drawingml/2006/main">
                <a:ext uri="{FF2B5EF4-FFF2-40B4-BE49-F238E27FC236}">
                  <a16:creationId xmlns:a16="http://schemas.microsoft.com/office/drawing/2014/main" id="{0AFE2A06-D42A-DECF-8975-7E8E237261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A382F4" w14:textId="3BB906F5" w:rsidR="00254B07" w:rsidRPr="00CC3D1D" w:rsidRDefault="00833687" w:rsidP="009423E3">
      <w:pPr>
        <w:jc w:val="center"/>
        <w:rPr>
          <w:rFonts w:ascii="Arial" w:hAnsi="Arial" w:cs="Arial"/>
          <w:b/>
          <w:bCs/>
        </w:rPr>
      </w:pPr>
      <w:r w:rsidRPr="00CC3D1D">
        <w:rPr>
          <w:rFonts w:ascii="Arial" w:hAnsi="Arial" w:cs="Arial"/>
          <w:b/>
          <w:bCs/>
        </w:rPr>
        <w:t>Figure 3: Efficiency Ratios</w:t>
      </w:r>
    </w:p>
    <w:p w14:paraId="6BE38D8D" w14:textId="77777777" w:rsidR="00254B07" w:rsidRPr="00CC3D1D" w:rsidRDefault="00833687" w:rsidP="009423E3">
      <w:pPr>
        <w:jc w:val="center"/>
        <w:rPr>
          <w:rFonts w:ascii="Arial" w:hAnsi="Arial" w:cs="Arial"/>
        </w:rPr>
      </w:pPr>
      <w:r w:rsidRPr="00CC3D1D">
        <w:rPr>
          <w:rFonts w:ascii="Arial" w:hAnsi="Arial" w:cs="Arial"/>
        </w:rPr>
        <w:t>(Source: Excel)</w:t>
      </w:r>
    </w:p>
    <w:p w14:paraId="13BA3BEF" w14:textId="11726C8E" w:rsidR="00254B07" w:rsidRPr="00CC3D1D" w:rsidRDefault="00833687" w:rsidP="009423E3">
      <w:pPr>
        <w:rPr>
          <w:rFonts w:ascii="Arial" w:hAnsi="Arial" w:cs="Arial"/>
        </w:rPr>
      </w:pPr>
      <w:r w:rsidRPr="00CC3D1D">
        <w:rPr>
          <w:rFonts w:ascii="Arial" w:hAnsi="Arial" w:cs="Arial"/>
        </w:rPr>
        <w:t>IHG's Asset Turnover improved consistently from 0.52x in 2020 to 0.60x in 2021, 0.87x in 2022, 1.02x in 2023 and 1.03x in 2024</w:t>
      </w:r>
      <w:r w:rsidR="00A73A33" w:rsidRPr="00CC3D1D">
        <w:rPr>
          <w:rFonts w:ascii="Arial" w:hAnsi="Arial" w:cs="Arial"/>
        </w:rPr>
        <w:t xml:space="preserve"> [</w:t>
      </w:r>
      <w:r w:rsidR="00A73A33" w:rsidRPr="00CC3D1D">
        <w:rPr>
          <w:rFonts w:ascii="Arial" w:hAnsi="Arial" w:cs="Arial"/>
          <w:b/>
          <w:bCs/>
          <w:i/>
          <w:iCs/>
        </w:rPr>
        <w:t>Refer to Appendix 3</w:t>
      </w:r>
      <w:r w:rsidR="00A73A33" w:rsidRPr="00CC3D1D">
        <w:rPr>
          <w:rFonts w:ascii="Arial" w:hAnsi="Arial" w:cs="Arial"/>
        </w:rPr>
        <w:t>]</w:t>
      </w:r>
      <w:r w:rsidRPr="00CC3D1D">
        <w:rPr>
          <w:rFonts w:ascii="Arial" w:hAnsi="Arial" w:cs="Arial"/>
        </w:rPr>
        <w:t>. This is nearly doubled over the past five years, and shows IHG was more efficient at utilizing their facility to generate income. The Fixed Asset Turnover shows an even stronger improvement, rising from 9.39x in 2020 to 17.20x in 2021, 26.48x in 2022, 29.83x in 2023 and 32.93x in 2024. An exceptional ratio, in keeping with IHG's policy of keeping its assets light and the group making high levels of revenue from commercial franchise and management agreements. The results have therefore proved to show that IHG is making increasing revenues without proportionately building up their machine footprint. This offers a meaningful explanation of the impressive ROA and profitability accomplishment.</w:t>
      </w:r>
    </w:p>
    <w:p w14:paraId="6A99EDE7" w14:textId="77777777" w:rsidR="00254B07" w:rsidRPr="00CC3D1D" w:rsidRDefault="00833687" w:rsidP="009423E3">
      <w:pPr>
        <w:pStyle w:val="Heading3"/>
        <w:rPr>
          <w:rFonts w:ascii="Arial" w:hAnsi="Arial" w:cs="Arial"/>
        </w:rPr>
      </w:pPr>
      <w:bookmarkStart w:id="10" w:name="_Toc237518237"/>
      <w:r w:rsidRPr="00CC3D1D">
        <w:rPr>
          <w:rFonts w:ascii="Arial" w:hAnsi="Arial" w:cs="Arial"/>
        </w:rPr>
        <w:t>2.2.4 Leverage and Coverage Ratios</w:t>
      </w:r>
      <w:bookmarkEnd w:id="10"/>
    </w:p>
    <w:p w14:paraId="2E48ABF5" w14:textId="77777777" w:rsidR="00254B07" w:rsidRPr="00CC3D1D" w:rsidRDefault="00833687" w:rsidP="009423E3">
      <w:pPr>
        <w:rPr>
          <w:rFonts w:ascii="Arial" w:hAnsi="Arial" w:cs="Arial"/>
        </w:rPr>
      </w:pPr>
      <w:r w:rsidRPr="00CC3D1D">
        <w:rPr>
          <w:rFonts w:ascii="Arial" w:hAnsi="Arial" w:cs="Arial"/>
        </w:rPr>
        <w:t>Interest Coverage Ratio and Debt-to-Equity Ratio are among the leverage and coverage family of ratios.</w:t>
      </w:r>
    </w:p>
    <w:p w14:paraId="34F9A534" w14:textId="0E8497BE" w:rsidR="00254B07" w:rsidRPr="00CC3D1D" w:rsidRDefault="00A73A33" w:rsidP="009423E3">
      <w:pPr>
        <w:jc w:val="center"/>
        <w:rPr>
          <w:rFonts w:ascii="Arial" w:hAnsi="Arial" w:cs="Arial"/>
        </w:rPr>
      </w:pPr>
      <w:r w:rsidRPr="00CC3D1D">
        <w:rPr>
          <w:rFonts w:ascii="Arial" w:hAnsi="Arial" w:cs="Arial"/>
          <w:noProof/>
        </w:rPr>
        <w:lastRenderedPageBreak/>
        <w:drawing>
          <wp:inline distT="0" distB="0" distL="0" distR="0" wp14:anchorId="0FBE112B" wp14:editId="1E6E163C">
            <wp:extent cx="5867400" cy="3514725"/>
            <wp:effectExtent l="0" t="0" r="0" b="9525"/>
            <wp:docPr id="5" name="Chart 5">
              <a:extLst xmlns:a="http://schemas.openxmlformats.org/drawingml/2006/main">
                <a:ext uri="{FF2B5EF4-FFF2-40B4-BE49-F238E27FC236}">
                  <a16:creationId xmlns:a16="http://schemas.microsoft.com/office/drawing/2014/main" id="{14A11BDF-7CAC-D39D-58B9-0420FA5156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439581" w14:textId="39EA57B5" w:rsidR="00254B07" w:rsidRPr="00CC3D1D" w:rsidRDefault="00833687" w:rsidP="009423E3">
      <w:pPr>
        <w:jc w:val="center"/>
        <w:rPr>
          <w:rFonts w:ascii="Arial" w:hAnsi="Arial" w:cs="Arial"/>
          <w:b/>
          <w:bCs/>
        </w:rPr>
      </w:pPr>
      <w:r w:rsidRPr="00CC3D1D">
        <w:rPr>
          <w:rFonts w:ascii="Arial" w:hAnsi="Arial" w:cs="Arial"/>
          <w:b/>
          <w:bCs/>
        </w:rPr>
        <w:t xml:space="preserve">Figure 4: </w:t>
      </w:r>
      <w:bookmarkStart w:id="11" w:name="bookmark=id.dm5ac7j6ntub" w:colFirst="0" w:colLast="0"/>
      <w:bookmarkEnd w:id="11"/>
      <w:r w:rsidRPr="00CC3D1D">
        <w:rPr>
          <w:rFonts w:ascii="Arial" w:hAnsi="Arial" w:cs="Arial"/>
          <w:b/>
          <w:bCs/>
        </w:rPr>
        <w:t>Leverage and Coverage Ratios</w:t>
      </w:r>
    </w:p>
    <w:p w14:paraId="03CB58FF" w14:textId="77777777" w:rsidR="00254B07" w:rsidRPr="00CC3D1D" w:rsidRDefault="00833687" w:rsidP="009423E3">
      <w:pPr>
        <w:jc w:val="center"/>
        <w:rPr>
          <w:rFonts w:ascii="Arial" w:hAnsi="Arial" w:cs="Arial"/>
        </w:rPr>
      </w:pPr>
      <w:r w:rsidRPr="00CC3D1D">
        <w:rPr>
          <w:rFonts w:ascii="Arial" w:hAnsi="Arial" w:cs="Arial"/>
        </w:rPr>
        <w:t>(Source: Excel)</w:t>
      </w:r>
    </w:p>
    <w:p w14:paraId="2B21EE07" w14:textId="76183BAD" w:rsidR="00254B07" w:rsidRPr="00CC3D1D" w:rsidRDefault="00833687" w:rsidP="009423E3">
      <w:pPr>
        <w:rPr>
          <w:rFonts w:ascii="Arial" w:hAnsi="Arial" w:cs="Arial"/>
        </w:rPr>
      </w:pPr>
      <w:r w:rsidRPr="00CC3D1D">
        <w:rPr>
          <w:rFonts w:ascii="Arial" w:hAnsi="Arial" w:cs="Arial"/>
        </w:rPr>
        <w:t>IHG's Interest Coverage Ratio improved significantly from -1.06x in 2020 to 3.36x in 2021, 5.32x in 2022 and 11.71x in 2023, before declining to 5.13x in 2024. The improvement signifies IHG improved dramatically in its financial contribution capacity from operating profit. The 2024 deprecation needs to be watched, but coverage is also good and significantly higher than the 2020 burrows. The Debt-to-Equity Ratio was negative throughout the period, measuring -2.27x in 2020, -2.20x in 2021, -1.75x in 2022, -1.84x in 2023 and -1.60x in 2024</w:t>
      </w:r>
      <w:r w:rsidR="00A73A33" w:rsidRPr="00CC3D1D">
        <w:rPr>
          <w:rFonts w:ascii="Arial" w:hAnsi="Arial" w:cs="Arial"/>
        </w:rPr>
        <w:t xml:space="preserve"> [</w:t>
      </w:r>
      <w:r w:rsidR="00A73A33" w:rsidRPr="00CC3D1D">
        <w:rPr>
          <w:rFonts w:ascii="Arial" w:hAnsi="Arial" w:cs="Arial"/>
          <w:b/>
          <w:bCs/>
          <w:i/>
          <w:iCs/>
        </w:rPr>
        <w:t>Refer to Appendix 3</w:t>
      </w:r>
      <w:r w:rsidR="00A73A33" w:rsidRPr="00CC3D1D">
        <w:rPr>
          <w:rFonts w:ascii="Arial" w:hAnsi="Arial" w:cs="Arial"/>
        </w:rPr>
        <w:t>]</w:t>
      </w:r>
      <w:r w:rsidRPr="00CC3D1D">
        <w:rPr>
          <w:rFonts w:ascii="Arial" w:hAnsi="Arial" w:cs="Arial"/>
        </w:rPr>
        <w:t xml:space="preserve">. The ratio should not therefore use a conventional leverage benchmark as IHG had negative shareholders' equity for the period. </w:t>
      </w:r>
      <w:r w:rsidR="00A73A33" w:rsidRPr="00CC3D1D">
        <w:rPr>
          <w:rFonts w:ascii="Arial" w:hAnsi="Arial" w:cs="Arial"/>
        </w:rPr>
        <w:t>Therefore,</w:t>
      </w:r>
      <w:r w:rsidRPr="00CC3D1D">
        <w:rPr>
          <w:rFonts w:ascii="Arial" w:hAnsi="Arial" w:cs="Arial"/>
        </w:rPr>
        <w:t xml:space="preserve"> the negative ratio is primarily due to the business' capital structure, and not a negative debt to equity ratio. This resonates with </w:t>
      </w:r>
      <w:r w:rsidR="00A73A33" w:rsidRPr="00CC3D1D">
        <w:rPr>
          <w:rFonts w:ascii="Arial" w:hAnsi="Arial" w:cs="Arial"/>
        </w:rPr>
        <w:t xml:space="preserve">the ideas of </w:t>
      </w:r>
      <w:proofErr w:type="spellStart"/>
      <w:r w:rsidRPr="00CC3D1D">
        <w:rPr>
          <w:rFonts w:ascii="Arial" w:hAnsi="Arial" w:cs="Arial"/>
        </w:rPr>
        <w:t>Lusiana</w:t>
      </w:r>
      <w:proofErr w:type="spellEnd"/>
      <w:r w:rsidRPr="00CC3D1D">
        <w:rPr>
          <w:rFonts w:ascii="Arial" w:hAnsi="Arial" w:cs="Arial"/>
        </w:rPr>
        <w:t xml:space="preserve"> et al. (2021) who believe that multiple financial indicators, not a single ratio, should be used to assess financial performance.</w:t>
      </w:r>
    </w:p>
    <w:p w14:paraId="4FB54FA5" w14:textId="77777777" w:rsidR="00254B07" w:rsidRPr="00CC3D1D" w:rsidRDefault="00833687" w:rsidP="009423E3">
      <w:pPr>
        <w:pStyle w:val="Heading3"/>
        <w:rPr>
          <w:rFonts w:ascii="Arial" w:hAnsi="Arial" w:cs="Arial"/>
        </w:rPr>
      </w:pPr>
      <w:bookmarkStart w:id="12" w:name="_Toc237518238"/>
      <w:r w:rsidRPr="00CC3D1D">
        <w:rPr>
          <w:rFonts w:ascii="Arial" w:hAnsi="Arial" w:cs="Arial"/>
        </w:rPr>
        <w:t>2.2.5 Investment and Cash Flow Ratios</w:t>
      </w:r>
      <w:bookmarkEnd w:id="12"/>
    </w:p>
    <w:p w14:paraId="79BD4341" w14:textId="77777777" w:rsidR="00254B07" w:rsidRPr="00CC3D1D" w:rsidRDefault="00833687" w:rsidP="009423E3">
      <w:pPr>
        <w:rPr>
          <w:rFonts w:ascii="Arial" w:hAnsi="Arial" w:cs="Arial"/>
        </w:rPr>
      </w:pPr>
      <w:r w:rsidRPr="00CC3D1D">
        <w:rPr>
          <w:rFonts w:ascii="Arial" w:hAnsi="Arial" w:cs="Arial"/>
        </w:rPr>
        <w:t>The final ratio family is a composite ratio of ROE, ROA, P/E, Operating Cash Flow Ratio and Free Cash Flow Margin reflecting shareholder returns on assets, asset performance, market valuation and capability of generating money from cash.</w:t>
      </w:r>
    </w:p>
    <w:p w14:paraId="6CCA1E67" w14:textId="0CEE7AEB" w:rsidR="00254B07" w:rsidRPr="00CC3D1D" w:rsidRDefault="00527479" w:rsidP="009423E3">
      <w:pPr>
        <w:jc w:val="center"/>
        <w:rPr>
          <w:rFonts w:ascii="Arial" w:hAnsi="Arial" w:cs="Arial"/>
        </w:rPr>
      </w:pPr>
      <w:r w:rsidRPr="00CC3D1D">
        <w:rPr>
          <w:rFonts w:ascii="Arial" w:hAnsi="Arial" w:cs="Arial"/>
          <w:noProof/>
        </w:rPr>
        <w:lastRenderedPageBreak/>
        <w:drawing>
          <wp:inline distT="0" distB="0" distL="0" distR="0" wp14:anchorId="33EE3175" wp14:editId="1FDB3857">
            <wp:extent cx="6010275" cy="3867150"/>
            <wp:effectExtent l="0" t="0" r="9525" b="0"/>
            <wp:docPr id="6" name="Chart 6">
              <a:extLst xmlns:a="http://schemas.openxmlformats.org/drawingml/2006/main">
                <a:ext uri="{FF2B5EF4-FFF2-40B4-BE49-F238E27FC236}">
                  <a16:creationId xmlns:a16="http://schemas.microsoft.com/office/drawing/2014/main" id="{B2C798FA-A9B3-87FE-7970-0D5CD76D1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FD571F" w14:textId="76C18C22" w:rsidR="00254B07" w:rsidRPr="00CC3D1D" w:rsidRDefault="00833687" w:rsidP="009423E3">
      <w:pPr>
        <w:jc w:val="center"/>
        <w:rPr>
          <w:rFonts w:ascii="Arial" w:hAnsi="Arial" w:cs="Arial"/>
          <w:b/>
          <w:bCs/>
        </w:rPr>
      </w:pPr>
      <w:r w:rsidRPr="00CC3D1D">
        <w:rPr>
          <w:rFonts w:ascii="Arial" w:hAnsi="Arial" w:cs="Arial"/>
          <w:b/>
          <w:bCs/>
        </w:rPr>
        <w:t>Figure 5: Investment and Cash Flow Ratios</w:t>
      </w:r>
    </w:p>
    <w:p w14:paraId="320403EC" w14:textId="77777777" w:rsidR="00254B07" w:rsidRPr="00CC3D1D" w:rsidRDefault="00833687" w:rsidP="009423E3">
      <w:pPr>
        <w:jc w:val="center"/>
        <w:rPr>
          <w:rFonts w:ascii="Arial" w:hAnsi="Arial" w:cs="Arial"/>
        </w:rPr>
      </w:pPr>
      <w:r w:rsidRPr="00CC3D1D">
        <w:rPr>
          <w:rFonts w:ascii="Arial" w:hAnsi="Arial" w:cs="Arial"/>
        </w:rPr>
        <w:t>(Source: Excel)</w:t>
      </w:r>
    </w:p>
    <w:p w14:paraId="5F174F65" w14:textId="70B69EAD" w:rsidR="00254B07" w:rsidRPr="00CC3D1D" w:rsidRDefault="00833687" w:rsidP="009423E3">
      <w:pPr>
        <w:rPr>
          <w:rFonts w:ascii="Arial" w:hAnsi="Arial" w:cs="Arial"/>
        </w:rPr>
      </w:pPr>
      <w:r w:rsidRPr="00CC3D1D">
        <w:rPr>
          <w:rFonts w:ascii="Arial" w:hAnsi="Arial" w:cs="Arial"/>
        </w:rPr>
        <w:t>The ROA improved from -5.63% in 2020 to 5.45% in 2021, 8.40% in 2022, and 16.61% in 2023, before declining to 13.14% in 2024. Even with the drop, ROA was considerably better than in 2020, indicating good asset utilisation. ROE is a ratio that is viewed with caution as negative shareholders' equity impacted the ratio</w:t>
      </w:r>
      <w:r w:rsidR="00FF49DF" w:rsidRPr="00CC3D1D">
        <w:rPr>
          <w:rFonts w:ascii="Arial" w:hAnsi="Arial" w:cs="Arial"/>
        </w:rPr>
        <w:t xml:space="preserve"> (</w:t>
      </w:r>
      <w:proofErr w:type="spellStart"/>
      <w:r w:rsidR="00FF49DF" w:rsidRPr="00CC3D1D">
        <w:rPr>
          <w:rFonts w:ascii="Arial" w:hAnsi="Arial" w:cs="Arial"/>
        </w:rPr>
        <w:t>Saputra</w:t>
      </w:r>
      <w:proofErr w:type="spellEnd"/>
      <w:r w:rsidR="00FF49DF" w:rsidRPr="00CC3D1D">
        <w:rPr>
          <w:rFonts w:ascii="Arial" w:hAnsi="Arial" w:cs="Arial"/>
        </w:rPr>
        <w:t>, 2022)</w:t>
      </w:r>
      <w:r w:rsidRPr="00CC3D1D">
        <w:rPr>
          <w:rFonts w:ascii="Arial" w:hAnsi="Arial" w:cs="Arial"/>
        </w:rPr>
        <w:t>. I</w:t>
      </w:r>
      <w:r w:rsidR="002662BA" w:rsidRPr="00CC3D1D">
        <w:rPr>
          <w:rFonts w:ascii="Arial" w:hAnsi="Arial" w:cs="Arial"/>
        </w:rPr>
        <w:t>n case of IHG, i</w:t>
      </w:r>
      <w:r w:rsidRPr="00CC3D1D">
        <w:rPr>
          <w:rFonts w:ascii="Arial" w:hAnsi="Arial" w:cs="Arial"/>
        </w:rPr>
        <w:t>t declined from 15.62% in 2020 to -15.94% in 2021, -24.22% in 2022, -42.08% in 2023 and -29.47% in 2024</w:t>
      </w:r>
      <w:r w:rsidR="002662BA" w:rsidRPr="00CC3D1D">
        <w:rPr>
          <w:rFonts w:ascii="Arial" w:hAnsi="Arial" w:cs="Arial"/>
        </w:rPr>
        <w:t xml:space="preserve"> [</w:t>
      </w:r>
      <w:r w:rsidR="002662BA" w:rsidRPr="00CC3D1D">
        <w:rPr>
          <w:rFonts w:ascii="Arial" w:hAnsi="Arial" w:cs="Arial"/>
          <w:b/>
          <w:bCs/>
          <w:i/>
          <w:iCs/>
        </w:rPr>
        <w:t>Refer to Appendix 3</w:t>
      </w:r>
      <w:r w:rsidR="002662BA" w:rsidRPr="00CC3D1D">
        <w:rPr>
          <w:rFonts w:ascii="Arial" w:hAnsi="Arial" w:cs="Arial"/>
        </w:rPr>
        <w:t>]</w:t>
      </w:r>
      <w:r w:rsidRPr="00CC3D1D">
        <w:rPr>
          <w:rFonts w:ascii="Arial" w:hAnsi="Arial" w:cs="Arial"/>
        </w:rPr>
        <w:t>. These numbers are not to be taken as conventional shareholder returns</w:t>
      </w:r>
      <w:r w:rsidR="002662BA" w:rsidRPr="00CC3D1D">
        <w:rPr>
          <w:rFonts w:ascii="Arial" w:hAnsi="Arial" w:cs="Arial"/>
        </w:rPr>
        <w:t>.</w:t>
      </w:r>
      <w:r w:rsidRPr="00CC3D1D">
        <w:rPr>
          <w:rFonts w:ascii="Arial" w:hAnsi="Arial" w:cs="Arial"/>
        </w:rPr>
        <w:t xml:space="preserve"> The P/E ratio was not meaningful in 2020</w:t>
      </w:r>
      <w:r w:rsidR="002662BA" w:rsidRPr="00CC3D1D">
        <w:rPr>
          <w:rFonts w:ascii="Arial" w:hAnsi="Arial" w:cs="Arial"/>
        </w:rPr>
        <w:t>,</w:t>
      </w:r>
      <w:r w:rsidRPr="00CC3D1D">
        <w:rPr>
          <w:rFonts w:ascii="Arial" w:hAnsi="Arial" w:cs="Arial"/>
        </w:rPr>
        <w:t xml:space="preserve"> but reached 45.10x in 2021, 28.32x in 2022, 20.67x in 2023 and 32.42x in 2024, indicating changing market expectations. The operating cash flow ratio improved from 0.07x to 0.38x, and the free cash flow margin improved from 2.55% to 13.12% during 2020 to 2024. Overall, these findings showed higher profitability/return on assets and higher cash generation.</w:t>
      </w:r>
    </w:p>
    <w:p w14:paraId="1C4DCDA7" w14:textId="77777777" w:rsidR="00254B07" w:rsidRPr="00CC3D1D" w:rsidRDefault="00833687" w:rsidP="009423E3">
      <w:pPr>
        <w:pStyle w:val="Heading2"/>
        <w:rPr>
          <w:rFonts w:ascii="Arial" w:hAnsi="Arial" w:cs="Arial"/>
        </w:rPr>
      </w:pPr>
      <w:bookmarkStart w:id="13" w:name="_Toc237518239"/>
      <w:r w:rsidRPr="00CC3D1D">
        <w:rPr>
          <w:rFonts w:ascii="Arial" w:hAnsi="Arial" w:cs="Arial"/>
        </w:rPr>
        <w:t>2.3 Trend Analysis</w:t>
      </w:r>
      <w:bookmarkEnd w:id="13"/>
    </w:p>
    <w:p w14:paraId="6FD75216" w14:textId="0F22AF85" w:rsidR="00254B07" w:rsidRPr="00CC3D1D" w:rsidRDefault="00833687" w:rsidP="009423E3">
      <w:pPr>
        <w:rPr>
          <w:rFonts w:ascii="Arial" w:hAnsi="Arial" w:cs="Arial"/>
        </w:rPr>
      </w:pPr>
      <w:r w:rsidRPr="00CC3D1D">
        <w:rPr>
          <w:rFonts w:ascii="Arial" w:hAnsi="Arial" w:cs="Arial"/>
        </w:rPr>
        <w:t xml:space="preserve">IHG's </w:t>
      </w:r>
      <w:r w:rsidR="002662BA" w:rsidRPr="00CC3D1D">
        <w:rPr>
          <w:rFonts w:ascii="Arial" w:hAnsi="Arial" w:cs="Arial"/>
        </w:rPr>
        <w:t>five-year</w:t>
      </w:r>
      <w:r w:rsidRPr="00CC3D1D">
        <w:rPr>
          <w:rFonts w:ascii="Arial" w:hAnsi="Arial" w:cs="Arial"/>
        </w:rPr>
        <w:t xml:space="preserve"> ratio trends reflect a large bounce back in performance after COVID-19, with </w:t>
      </w:r>
      <w:r w:rsidR="0018496C" w:rsidRPr="00CC3D1D">
        <w:rPr>
          <w:rFonts w:ascii="Arial" w:hAnsi="Arial" w:cs="Arial"/>
        </w:rPr>
        <w:t xml:space="preserve">improvement in </w:t>
      </w:r>
      <w:r w:rsidRPr="00CC3D1D">
        <w:rPr>
          <w:rFonts w:ascii="Arial" w:hAnsi="Arial" w:cs="Arial"/>
        </w:rPr>
        <w:t>profitability, efficiency, financial coverage and cash generation. The profitability grew significantly, with Gross profit margin bouncing back to 84.87%, Operating profit margin at 21.15% and Net Profit margin at 12.76% in 2024</w:t>
      </w:r>
      <w:r w:rsidR="00921769" w:rsidRPr="00CC3D1D">
        <w:rPr>
          <w:rFonts w:ascii="Arial" w:hAnsi="Arial" w:cs="Arial"/>
        </w:rPr>
        <w:t xml:space="preserve"> </w:t>
      </w:r>
      <w:r w:rsidR="00921769" w:rsidRPr="00CC3D1D">
        <w:rPr>
          <w:rFonts w:ascii="Arial" w:hAnsi="Arial" w:cs="Arial"/>
        </w:rPr>
        <w:lastRenderedPageBreak/>
        <w:t>(Annual Report, 2020; Annual Report, 2024)</w:t>
      </w:r>
      <w:r w:rsidRPr="00CC3D1D">
        <w:rPr>
          <w:rFonts w:ascii="Arial" w:hAnsi="Arial" w:cs="Arial"/>
        </w:rPr>
        <w:t xml:space="preserve">. Operating margins rebounded strongly after 2020 when both had negative scores, with the same thing happening for net margins. </w:t>
      </w:r>
      <w:r w:rsidR="0018496C" w:rsidRPr="00CC3D1D">
        <w:rPr>
          <w:rFonts w:ascii="Arial" w:hAnsi="Arial" w:cs="Arial"/>
        </w:rPr>
        <w:t>It</w:t>
      </w:r>
      <w:r w:rsidRPr="00CC3D1D">
        <w:rPr>
          <w:rFonts w:ascii="Arial" w:hAnsi="Arial" w:cs="Arial"/>
        </w:rPr>
        <w:t xml:space="preserve"> shows that IHG has restored their business to profitable operations by building demand, through pricing and asset-light network. There was a dramatic increase in efficiency as well. </w:t>
      </w:r>
      <w:r w:rsidR="0018496C" w:rsidRPr="00CC3D1D">
        <w:rPr>
          <w:rFonts w:ascii="Arial" w:hAnsi="Arial" w:cs="Arial"/>
        </w:rPr>
        <w:t>U</w:t>
      </w:r>
      <w:r w:rsidRPr="00CC3D1D">
        <w:rPr>
          <w:rFonts w:ascii="Arial" w:hAnsi="Arial" w:cs="Arial"/>
        </w:rPr>
        <w:t>tilization of the company's asset base enhanced</w:t>
      </w:r>
      <w:r w:rsidR="0018496C" w:rsidRPr="00CC3D1D">
        <w:rPr>
          <w:rFonts w:ascii="Arial" w:hAnsi="Arial" w:cs="Arial"/>
        </w:rPr>
        <w:t>,</w:t>
      </w:r>
      <w:r w:rsidRPr="00CC3D1D">
        <w:rPr>
          <w:rFonts w:ascii="Arial" w:hAnsi="Arial" w:cs="Arial"/>
        </w:rPr>
        <w:t xml:space="preserve"> as seen in the increase in the Asset Turnover and increase in the Fixed Asset Turnover from 0.52x in 2020 to 1.03x and 9.39x to 32.93x respectively in 2024</w:t>
      </w:r>
      <w:r w:rsidR="0018496C" w:rsidRPr="00CC3D1D">
        <w:rPr>
          <w:rFonts w:ascii="Arial" w:hAnsi="Arial" w:cs="Arial"/>
        </w:rPr>
        <w:t xml:space="preserve"> [</w:t>
      </w:r>
      <w:r w:rsidR="0018496C" w:rsidRPr="00CC3D1D">
        <w:rPr>
          <w:rFonts w:ascii="Arial" w:hAnsi="Arial" w:cs="Arial"/>
          <w:b/>
          <w:bCs/>
          <w:i/>
          <w:iCs/>
        </w:rPr>
        <w:t>Refer to Appendix 3</w:t>
      </w:r>
      <w:r w:rsidR="0018496C" w:rsidRPr="00CC3D1D">
        <w:rPr>
          <w:rFonts w:ascii="Arial" w:hAnsi="Arial" w:cs="Arial"/>
        </w:rPr>
        <w:t>]</w:t>
      </w:r>
      <w:r w:rsidRPr="00CC3D1D">
        <w:rPr>
          <w:rFonts w:ascii="Arial" w:hAnsi="Arial" w:cs="Arial"/>
        </w:rPr>
        <w:t>. Interest Coverage also improved, although not drastically, from -1.06x to 5.13x, and after hitting a high of 11.71x in 2023, showed signs of catching up with finance costs. Conversely, liquidity got reduced, as Current Ratio fell to 0.97x and Cash Ratio reduced from 0.53x to 0.52x in 2024. The cash-flow performance was better with Free Cash Flow Margin improving to 13.12%, however. The negative shareholder's equity had also continued to skew ROE and leverage ratios. During the pandemic, Sharma et al. (2021) identified that innovation and operational adaptability builds resilience in the Hospitality sector in times of uncertainty. Overall</w:t>
      </w:r>
      <w:r w:rsidR="0018496C" w:rsidRPr="00CC3D1D">
        <w:rPr>
          <w:rFonts w:ascii="Arial" w:hAnsi="Arial" w:cs="Arial"/>
        </w:rPr>
        <w:t>,</w:t>
      </w:r>
      <w:r w:rsidRPr="00CC3D1D">
        <w:rPr>
          <w:rFonts w:ascii="Arial" w:hAnsi="Arial" w:cs="Arial"/>
        </w:rPr>
        <w:t xml:space="preserve"> IHG had greater profitability, efficiency and cash generation</w:t>
      </w:r>
      <w:r w:rsidR="0018496C" w:rsidRPr="00CC3D1D">
        <w:rPr>
          <w:rFonts w:ascii="Arial" w:hAnsi="Arial" w:cs="Arial"/>
        </w:rPr>
        <w:t>. H</w:t>
      </w:r>
      <w:r w:rsidRPr="00CC3D1D">
        <w:rPr>
          <w:rFonts w:ascii="Arial" w:hAnsi="Arial" w:cs="Arial"/>
        </w:rPr>
        <w:t>owever</w:t>
      </w:r>
      <w:r w:rsidR="0018496C" w:rsidRPr="00CC3D1D">
        <w:rPr>
          <w:rFonts w:ascii="Arial" w:hAnsi="Arial" w:cs="Arial"/>
        </w:rPr>
        <w:t>,</w:t>
      </w:r>
      <w:r w:rsidRPr="00CC3D1D">
        <w:rPr>
          <w:rFonts w:ascii="Arial" w:hAnsi="Arial" w:cs="Arial"/>
        </w:rPr>
        <w:t xml:space="preserve"> liquidity and capital structure were areas of focus that needed to be monitored.</w:t>
      </w:r>
    </w:p>
    <w:p w14:paraId="32750EB4" w14:textId="77777777" w:rsidR="00254B07" w:rsidRPr="00CC3D1D" w:rsidRDefault="00833687" w:rsidP="009423E3">
      <w:pPr>
        <w:pStyle w:val="Heading2"/>
        <w:rPr>
          <w:rFonts w:ascii="Arial" w:hAnsi="Arial" w:cs="Arial"/>
        </w:rPr>
      </w:pPr>
      <w:bookmarkStart w:id="14" w:name="_Toc237518240"/>
      <w:r w:rsidRPr="00CC3D1D">
        <w:rPr>
          <w:rFonts w:ascii="Arial" w:hAnsi="Arial" w:cs="Arial"/>
        </w:rPr>
        <w:t>2.4 Strengths and Weaknesses</w:t>
      </w:r>
      <w:bookmarkEnd w:id="14"/>
    </w:p>
    <w:p w14:paraId="77A63CFA" w14:textId="77777777" w:rsidR="0018496C" w:rsidRPr="00CC3D1D" w:rsidRDefault="00833687" w:rsidP="009423E3">
      <w:pPr>
        <w:rPr>
          <w:rFonts w:ascii="Arial" w:hAnsi="Arial" w:cs="Arial"/>
        </w:rPr>
      </w:pPr>
      <w:r w:rsidRPr="00CC3D1D">
        <w:rPr>
          <w:rFonts w:ascii="Arial" w:hAnsi="Arial" w:cs="Arial"/>
        </w:rPr>
        <w:t xml:space="preserve">There were several strengths shown by IHG in the 5-year ratio analysis. The Gross Profit Margin for 2024 has returned to 84.87%, while Operating Profit Margin and Net Profit Margin have both maintained their strength at 21.15% and 12.76% respectively. Efficiency also greatly benefitted, as Asset Turnover rose to 1.03x and Fixed Asset Turnover grew to 32.93x, showing a cost-efficient usage of its asset-light business model. Moreover, Interest Coverage had improved to 5.13x in 2024, and Operating Cash Flow Ratio had jumped to 0.38x, showing a superior cash generation potential and the Free Cash Flow Margin was also positive at 13.12%. Amoako et al. (2022) noted that engendering collaboration among stakeholders can increase the sustainability and competitiveness of tourism organisations in the longer run. </w:t>
      </w:r>
    </w:p>
    <w:p w14:paraId="4FC1DAD8" w14:textId="51443075" w:rsidR="00254B07" w:rsidRPr="00CC3D1D" w:rsidRDefault="0018496C" w:rsidP="009423E3">
      <w:pPr>
        <w:rPr>
          <w:rFonts w:ascii="Arial" w:hAnsi="Arial" w:cs="Arial"/>
        </w:rPr>
      </w:pPr>
      <w:r w:rsidRPr="00CC3D1D">
        <w:rPr>
          <w:rFonts w:ascii="Arial" w:hAnsi="Arial" w:cs="Arial"/>
        </w:rPr>
        <w:t>Despite these</w:t>
      </w:r>
      <w:r w:rsidR="00833687" w:rsidRPr="00CC3D1D">
        <w:rPr>
          <w:rFonts w:ascii="Arial" w:hAnsi="Arial" w:cs="Arial"/>
        </w:rPr>
        <w:t xml:space="preserve">, there were crucial shortcomings for IHG. Current and Quick Ratios reduced down to 0.97x and 0.52x respectively, pointing to </w:t>
      </w:r>
      <w:r w:rsidRPr="00CC3D1D">
        <w:rPr>
          <w:rFonts w:ascii="Arial" w:hAnsi="Arial" w:cs="Arial"/>
        </w:rPr>
        <w:t>it</w:t>
      </w:r>
      <w:r w:rsidR="00833687" w:rsidRPr="00CC3D1D">
        <w:rPr>
          <w:rFonts w:ascii="Arial" w:hAnsi="Arial" w:cs="Arial"/>
        </w:rPr>
        <w:t xml:space="preserve"> having less liquidity in short</w:t>
      </w:r>
      <w:r w:rsidRPr="00CC3D1D">
        <w:rPr>
          <w:rFonts w:ascii="Arial" w:hAnsi="Arial" w:cs="Arial"/>
        </w:rPr>
        <w:t>-</w:t>
      </w:r>
      <w:r w:rsidR="00833687" w:rsidRPr="00CC3D1D">
        <w:rPr>
          <w:rFonts w:ascii="Arial" w:hAnsi="Arial" w:cs="Arial"/>
        </w:rPr>
        <w:t xml:space="preserve">term. A negative shareholders equity also skewed ROE and Debt to Equity ratio causing the use of these ratios as traditional indicators of performance to be hindered. Furthermore, the Cash Conversion Cycle was negative in 2024 (-258.30 days), suggesting good working capital usage, but significant dependence on long credit </w:t>
      </w:r>
      <w:r w:rsidR="00833687" w:rsidRPr="00CC3D1D">
        <w:rPr>
          <w:rFonts w:ascii="Arial" w:hAnsi="Arial" w:cs="Arial"/>
        </w:rPr>
        <w:lastRenderedPageBreak/>
        <w:t xml:space="preserve">periods with suppliers. Positive opportunities may be further impacted by external risk factors such as inflation, </w:t>
      </w:r>
      <w:proofErr w:type="spellStart"/>
      <w:r w:rsidR="00833687" w:rsidRPr="00CC3D1D">
        <w:rPr>
          <w:rFonts w:ascii="Arial" w:hAnsi="Arial" w:cs="Arial"/>
        </w:rPr>
        <w:t>labor</w:t>
      </w:r>
      <w:proofErr w:type="spellEnd"/>
      <w:r w:rsidR="00833687" w:rsidRPr="00CC3D1D">
        <w:rPr>
          <w:rFonts w:ascii="Arial" w:hAnsi="Arial" w:cs="Arial"/>
        </w:rPr>
        <w:t xml:space="preserve"> shortages, and climate related risks. Financial risks pose a growing threat to corporate financing and performance related to climate change (Zhou et al., 2023).</w:t>
      </w:r>
    </w:p>
    <w:p w14:paraId="5AF566EF" w14:textId="77777777" w:rsidR="00254B07" w:rsidRPr="00CC3D1D" w:rsidRDefault="00833687" w:rsidP="009423E3">
      <w:pPr>
        <w:pStyle w:val="Heading1"/>
        <w:rPr>
          <w:rFonts w:ascii="Arial" w:hAnsi="Arial" w:cs="Arial"/>
        </w:rPr>
      </w:pPr>
      <w:bookmarkStart w:id="15" w:name="_Toc237518241"/>
      <w:r w:rsidRPr="00CC3D1D">
        <w:rPr>
          <w:rFonts w:ascii="Arial" w:hAnsi="Arial" w:cs="Arial"/>
        </w:rPr>
        <w:t>3. Working Capital Management Analysis</w:t>
      </w:r>
      <w:bookmarkEnd w:id="15"/>
    </w:p>
    <w:p w14:paraId="137AD032" w14:textId="77777777" w:rsidR="00254B07" w:rsidRPr="00CC3D1D" w:rsidRDefault="00833687" w:rsidP="009423E3">
      <w:pPr>
        <w:pStyle w:val="Heading2"/>
        <w:rPr>
          <w:rFonts w:ascii="Arial" w:hAnsi="Arial" w:cs="Arial"/>
        </w:rPr>
      </w:pPr>
      <w:bookmarkStart w:id="16" w:name="_Toc237518242"/>
      <w:r w:rsidRPr="00CC3D1D">
        <w:rPr>
          <w:rFonts w:ascii="Arial" w:hAnsi="Arial" w:cs="Arial"/>
        </w:rPr>
        <w:t>3.1 Cash Operating Cycle</w:t>
      </w:r>
      <w:bookmarkEnd w:id="16"/>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06"/>
        <w:gridCol w:w="1064"/>
        <w:gridCol w:w="1062"/>
        <w:gridCol w:w="1062"/>
        <w:gridCol w:w="1062"/>
        <w:gridCol w:w="1060"/>
      </w:tblGrid>
      <w:tr w:rsidR="00CC3D1D" w:rsidRPr="00CC3D1D" w14:paraId="7237E334" w14:textId="77777777">
        <w:tc>
          <w:tcPr>
            <w:tcW w:w="3706" w:type="dxa"/>
          </w:tcPr>
          <w:p w14:paraId="6991BAD2" w14:textId="77777777" w:rsidR="00254B07" w:rsidRPr="00CC3D1D" w:rsidRDefault="00833687" w:rsidP="009423E3">
            <w:pPr>
              <w:spacing w:line="360" w:lineRule="auto"/>
              <w:jc w:val="center"/>
              <w:rPr>
                <w:rFonts w:ascii="Arial" w:hAnsi="Arial" w:cs="Arial"/>
                <w:b/>
                <w:bCs/>
              </w:rPr>
            </w:pPr>
            <w:r w:rsidRPr="00CC3D1D">
              <w:rPr>
                <w:rFonts w:ascii="Arial" w:hAnsi="Arial" w:cs="Arial"/>
                <w:b/>
                <w:bCs/>
              </w:rPr>
              <w:t>Working Capital Metric</w:t>
            </w:r>
          </w:p>
        </w:tc>
        <w:tc>
          <w:tcPr>
            <w:tcW w:w="1064" w:type="dxa"/>
          </w:tcPr>
          <w:p w14:paraId="16B8EE05" w14:textId="77777777" w:rsidR="00254B07" w:rsidRPr="00CC3D1D" w:rsidRDefault="00833687" w:rsidP="009423E3">
            <w:pPr>
              <w:spacing w:line="360" w:lineRule="auto"/>
              <w:jc w:val="right"/>
              <w:rPr>
                <w:rFonts w:ascii="Arial" w:hAnsi="Arial" w:cs="Arial"/>
                <w:b/>
                <w:bCs/>
              </w:rPr>
            </w:pPr>
            <w:r w:rsidRPr="00CC3D1D">
              <w:rPr>
                <w:rFonts w:ascii="Arial" w:hAnsi="Arial" w:cs="Arial"/>
                <w:b/>
                <w:bCs/>
              </w:rPr>
              <w:t>2020</w:t>
            </w:r>
          </w:p>
        </w:tc>
        <w:tc>
          <w:tcPr>
            <w:tcW w:w="1062" w:type="dxa"/>
          </w:tcPr>
          <w:p w14:paraId="4F900697" w14:textId="77777777" w:rsidR="00254B07" w:rsidRPr="00CC3D1D" w:rsidRDefault="00833687" w:rsidP="009423E3">
            <w:pPr>
              <w:spacing w:line="360" w:lineRule="auto"/>
              <w:jc w:val="right"/>
              <w:rPr>
                <w:rFonts w:ascii="Arial" w:hAnsi="Arial" w:cs="Arial"/>
                <w:b/>
                <w:bCs/>
              </w:rPr>
            </w:pPr>
            <w:r w:rsidRPr="00CC3D1D">
              <w:rPr>
                <w:rFonts w:ascii="Arial" w:hAnsi="Arial" w:cs="Arial"/>
                <w:b/>
                <w:bCs/>
              </w:rPr>
              <w:t>2021</w:t>
            </w:r>
          </w:p>
        </w:tc>
        <w:tc>
          <w:tcPr>
            <w:tcW w:w="1062" w:type="dxa"/>
          </w:tcPr>
          <w:p w14:paraId="6359A15A" w14:textId="77777777" w:rsidR="00254B07" w:rsidRPr="00CC3D1D" w:rsidRDefault="00833687" w:rsidP="009423E3">
            <w:pPr>
              <w:spacing w:line="360" w:lineRule="auto"/>
              <w:jc w:val="right"/>
              <w:rPr>
                <w:rFonts w:ascii="Arial" w:hAnsi="Arial" w:cs="Arial"/>
                <w:b/>
                <w:bCs/>
              </w:rPr>
            </w:pPr>
            <w:r w:rsidRPr="00CC3D1D">
              <w:rPr>
                <w:rFonts w:ascii="Arial" w:hAnsi="Arial" w:cs="Arial"/>
                <w:b/>
                <w:bCs/>
              </w:rPr>
              <w:t>2022</w:t>
            </w:r>
          </w:p>
        </w:tc>
        <w:tc>
          <w:tcPr>
            <w:tcW w:w="1062" w:type="dxa"/>
          </w:tcPr>
          <w:p w14:paraId="008FD304" w14:textId="77777777" w:rsidR="00254B07" w:rsidRPr="00CC3D1D" w:rsidRDefault="00833687" w:rsidP="009423E3">
            <w:pPr>
              <w:spacing w:line="360" w:lineRule="auto"/>
              <w:jc w:val="right"/>
              <w:rPr>
                <w:rFonts w:ascii="Arial" w:hAnsi="Arial" w:cs="Arial"/>
                <w:b/>
                <w:bCs/>
              </w:rPr>
            </w:pPr>
            <w:r w:rsidRPr="00CC3D1D">
              <w:rPr>
                <w:rFonts w:ascii="Arial" w:hAnsi="Arial" w:cs="Arial"/>
                <w:b/>
                <w:bCs/>
              </w:rPr>
              <w:t>2023</w:t>
            </w:r>
          </w:p>
        </w:tc>
        <w:tc>
          <w:tcPr>
            <w:tcW w:w="1060" w:type="dxa"/>
          </w:tcPr>
          <w:p w14:paraId="289EE159" w14:textId="77777777" w:rsidR="00254B07" w:rsidRPr="00CC3D1D" w:rsidRDefault="00833687" w:rsidP="009423E3">
            <w:pPr>
              <w:spacing w:line="360" w:lineRule="auto"/>
              <w:jc w:val="right"/>
              <w:rPr>
                <w:rFonts w:ascii="Arial" w:hAnsi="Arial" w:cs="Arial"/>
                <w:b/>
                <w:bCs/>
              </w:rPr>
            </w:pPr>
            <w:r w:rsidRPr="00CC3D1D">
              <w:rPr>
                <w:rFonts w:ascii="Arial" w:hAnsi="Arial" w:cs="Arial"/>
                <w:b/>
                <w:bCs/>
              </w:rPr>
              <w:t>2024</w:t>
            </w:r>
          </w:p>
        </w:tc>
      </w:tr>
      <w:tr w:rsidR="00CC3D1D" w:rsidRPr="00CC3D1D" w14:paraId="571CFB4F" w14:textId="77777777">
        <w:tc>
          <w:tcPr>
            <w:tcW w:w="3706" w:type="dxa"/>
          </w:tcPr>
          <w:p w14:paraId="65143F5B" w14:textId="77777777" w:rsidR="00254B07" w:rsidRPr="00CC3D1D" w:rsidRDefault="00833687" w:rsidP="009423E3">
            <w:pPr>
              <w:spacing w:line="360" w:lineRule="auto"/>
              <w:jc w:val="left"/>
              <w:rPr>
                <w:rFonts w:ascii="Arial" w:hAnsi="Arial" w:cs="Arial"/>
              </w:rPr>
            </w:pPr>
            <w:r w:rsidRPr="00CC3D1D">
              <w:rPr>
                <w:rFonts w:ascii="Arial" w:hAnsi="Arial" w:cs="Arial"/>
                <w:b/>
                <w:bCs/>
              </w:rPr>
              <w:t>Inventory Days</w:t>
            </w:r>
          </w:p>
        </w:tc>
        <w:tc>
          <w:tcPr>
            <w:tcW w:w="1064" w:type="dxa"/>
          </w:tcPr>
          <w:p w14:paraId="54CF7939" w14:textId="77777777" w:rsidR="00254B07" w:rsidRPr="00CC3D1D" w:rsidRDefault="00833687" w:rsidP="009423E3">
            <w:pPr>
              <w:spacing w:line="360" w:lineRule="auto"/>
              <w:jc w:val="right"/>
              <w:rPr>
                <w:rFonts w:ascii="Arial" w:hAnsi="Arial" w:cs="Arial"/>
              </w:rPr>
            </w:pPr>
            <w:r w:rsidRPr="00CC3D1D">
              <w:rPr>
                <w:rFonts w:ascii="Arial" w:hAnsi="Arial" w:cs="Arial"/>
              </w:rPr>
              <w:t>5.16</w:t>
            </w:r>
          </w:p>
        </w:tc>
        <w:tc>
          <w:tcPr>
            <w:tcW w:w="1062" w:type="dxa"/>
          </w:tcPr>
          <w:p w14:paraId="366A6084" w14:textId="77777777" w:rsidR="00254B07" w:rsidRPr="00CC3D1D" w:rsidRDefault="00833687" w:rsidP="009423E3">
            <w:pPr>
              <w:spacing w:line="360" w:lineRule="auto"/>
              <w:jc w:val="right"/>
              <w:rPr>
                <w:rFonts w:ascii="Arial" w:hAnsi="Arial" w:cs="Arial"/>
              </w:rPr>
            </w:pPr>
            <w:r w:rsidRPr="00CC3D1D">
              <w:rPr>
                <w:rFonts w:ascii="Arial" w:hAnsi="Arial" w:cs="Arial"/>
              </w:rPr>
              <w:t>3.00</w:t>
            </w:r>
          </w:p>
        </w:tc>
        <w:tc>
          <w:tcPr>
            <w:tcW w:w="1062" w:type="dxa"/>
          </w:tcPr>
          <w:p w14:paraId="2A057581" w14:textId="77777777" w:rsidR="00254B07" w:rsidRPr="00CC3D1D" w:rsidRDefault="00833687" w:rsidP="009423E3">
            <w:pPr>
              <w:spacing w:line="360" w:lineRule="auto"/>
              <w:jc w:val="right"/>
              <w:rPr>
                <w:rFonts w:ascii="Arial" w:hAnsi="Arial" w:cs="Arial"/>
              </w:rPr>
            </w:pPr>
            <w:r w:rsidRPr="00CC3D1D">
              <w:rPr>
                <w:rFonts w:ascii="Arial" w:hAnsi="Arial" w:cs="Arial"/>
              </w:rPr>
              <w:t>2.25</w:t>
            </w:r>
          </w:p>
        </w:tc>
        <w:tc>
          <w:tcPr>
            <w:tcW w:w="1062" w:type="dxa"/>
          </w:tcPr>
          <w:p w14:paraId="2E79AFA1" w14:textId="77777777" w:rsidR="00254B07" w:rsidRPr="00CC3D1D" w:rsidRDefault="00833687" w:rsidP="009423E3">
            <w:pPr>
              <w:spacing w:line="360" w:lineRule="auto"/>
              <w:jc w:val="right"/>
              <w:rPr>
                <w:rFonts w:ascii="Arial" w:hAnsi="Arial" w:cs="Arial"/>
              </w:rPr>
            </w:pPr>
            <w:r w:rsidRPr="00CC3D1D">
              <w:rPr>
                <w:rFonts w:ascii="Arial" w:hAnsi="Arial" w:cs="Arial"/>
              </w:rPr>
              <w:t>2.46</w:t>
            </w:r>
          </w:p>
        </w:tc>
        <w:tc>
          <w:tcPr>
            <w:tcW w:w="1060" w:type="dxa"/>
          </w:tcPr>
          <w:p w14:paraId="0D537E32" w14:textId="77777777" w:rsidR="00254B07" w:rsidRPr="00CC3D1D" w:rsidRDefault="00833687" w:rsidP="009423E3">
            <w:pPr>
              <w:spacing w:line="360" w:lineRule="auto"/>
              <w:jc w:val="right"/>
              <w:rPr>
                <w:rFonts w:ascii="Arial" w:hAnsi="Arial" w:cs="Arial"/>
              </w:rPr>
            </w:pPr>
            <w:r w:rsidRPr="00CC3D1D">
              <w:rPr>
                <w:rFonts w:ascii="Arial" w:hAnsi="Arial" w:cs="Arial"/>
              </w:rPr>
              <w:t>1.96</w:t>
            </w:r>
          </w:p>
        </w:tc>
      </w:tr>
      <w:tr w:rsidR="00CC3D1D" w:rsidRPr="00CC3D1D" w14:paraId="63BC3317" w14:textId="77777777">
        <w:tc>
          <w:tcPr>
            <w:tcW w:w="3706" w:type="dxa"/>
          </w:tcPr>
          <w:p w14:paraId="0DE1F9EB" w14:textId="77777777" w:rsidR="00254B07" w:rsidRPr="00CC3D1D" w:rsidRDefault="00833687" w:rsidP="009423E3">
            <w:pPr>
              <w:spacing w:line="360" w:lineRule="auto"/>
              <w:jc w:val="left"/>
              <w:rPr>
                <w:rFonts w:ascii="Arial" w:hAnsi="Arial" w:cs="Arial"/>
              </w:rPr>
            </w:pPr>
            <w:r w:rsidRPr="00CC3D1D">
              <w:rPr>
                <w:rFonts w:ascii="Arial" w:hAnsi="Arial" w:cs="Arial"/>
                <w:b/>
                <w:bCs/>
              </w:rPr>
              <w:t>Trade Receivable Days</w:t>
            </w:r>
          </w:p>
        </w:tc>
        <w:tc>
          <w:tcPr>
            <w:tcW w:w="1064" w:type="dxa"/>
          </w:tcPr>
          <w:p w14:paraId="313D5548" w14:textId="77777777" w:rsidR="00254B07" w:rsidRPr="00CC3D1D" w:rsidRDefault="00833687" w:rsidP="009423E3">
            <w:pPr>
              <w:spacing w:line="360" w:lineRule="auto"/>
              <w:jc w:val="right"/>
              <w:rPr>
                <w:rFonts w:ascii="Arial" w:hAnsi="Arial" w:cs="Arial"/>
              </w:rPr>
            </w:pPr>
            <w:r w:rsidRPr="00CC3D1D">
              <w:rPr>
                <w:rFonts w:ascii="Arial" w:hAnsi="Arial" w:cs="Arial"/>
              </w:rPr>
              <w:t>78.37</w:t>
            </w:r>
          </w:p>
        </w:tc>
        <w:tc>
          <w:tcPr>
            <w:tcW w:w="1062" w:type="dxa"/>
          </w:tcPr>
          <w:p w14:paraId="18FD8BBE" w14:textId="77777777" w:rsidR="00254B07" w:rsidRPr="00CC3D1D" w:rsidRDefault="00833687" w:rsidP="009423E3">
            <w:pPr>
              <w:spacing w:line="360" w:lineRule="auto"/>
              <w:jc w:val="right"/>
              <w:rPr>
                <w:rFonts w:ascii="Arial" w:hAnsi="Arial" w:cs="Arial"/>
              </w:rPr>
            </w:pPr>
            <w:r w:rsidRPr="00CC3D1D">
              <w:rPr>
                <w:rFonts w:ascii="Arial" w:hAnsi="Arial" w:cs="Arial"/>
              </w:rPr>
              <w:t>72.07</w:t>
            </w:r>
          </w:p>
        </w:tc>
        <w:tc>
          <w:tcPr>
            <w:tcW w:w="1062" w:type="dxa"/>
          </w:tcPr>
          <w:p w14:paraId="51E6B0AB" w14:textId="77777777" w:rsidR="00254B07" w:rsidRPr="00CC3D1D" w:rsidRDefault="00833687" w:rsidP="009423E3">
            <w:pPr>
              <w:spacing w:line="360" w:lineRule="auto"/>
              <w:jc w:val="right"/>
              <w:rPr>
                <w:rFonts w:ascii="Arial" w:hAnsi="Arial" w:cs="Arial"/>
              </w:rPr>
            </w:pPr>
            <w:r w:rsidRPr="00CC3D1D">
              <w:rPr>
                <w:rFonts w:ascii="Arial" w:hAnsi="Arial" w:cs="Arial"/>
              </w:rPr>
              <w:t>60.58</w:t>
            </w:r>
          </w:p>
        </w:tc>
        <w:tc>
          <w:tcPr>
            <w:tcW w:w="1062" w:type="dxa"/>
          </w:tcPr>
          <w:p w14:paraId="1A147640" w14:textId="77777777" w:rsidR="00254B07" w:rsidRPr="00CC3D1D" w:rsidRDefault="00833687" w:rsidP="009423E3">
            <w:pPr>
              <w:spacing w:line="360" w:lineRule="auto"/>
              <w:jc w:val="right"/>
              <w:rPr>
                <w:rFonts w:ascii="Arial" w:hAnsi="Arial" w:cs="Arial"/>
              </w:rPr>
            </w:pPr>
            <w:r w:rsidRPr="00CC3D1D">
              <w:rPr>
                <w:rFonts w:ascii="Arial" w:hAnsi="Arial" w:cs="Arial"/>
              </w:rPr>
              <w:t>58.41</w:t>
            </w:r>
          </w:p>
        </w:tc>
        <w:tc>
          <w:tcPr>
            <w:tcW w:w="1060" w:type="dxa"/>
          </w:tcPr>
          <w:p w14:paraId="1E093ED5" w14:textId="77777777" w:rsidR="00254B07" w:rsidRPr="00CC3D1D" w:rsidRDefault="00833687" w:rsidP="009423E3">
            <w:pPr>
              <w:spacing w:line="360" w:lineRule="auto"/>
              <w:jc w:val="right"/>
              <w:rPr>
                <w:rFonts w:ascii="Arial" w:hAnsi="Arial" w:cs="Arial"/>
              </w:rPr>
            </w:pPr>
            <w:r w:rsidRPr="00CC3D1D">
              <w:rPr>
                <w:rFonts w:ascii="Arial" w:hAnsi="Arial" w:cs="Arial"/>
              </w:rPr>
              <w:t>58.20</w:t>
            </w:r>
          </w:p>
        </w:tc>
      </w:tr>
      <w:tr w:rsidR="00CC3D1D" w:rsidRPr="00CC3D1D" w14:paraId="4DE11FC3" w14:textId="77777777">
        <w:tc>
          <w:tcPr>
            <w:tcW w:w="3706" w:type="dxa"/>
          </w:tcPr>
          <w:p w14:paraId="4600DEA9" w14:textId="77777777" w:rsidR="00254B07" w:rsidRPr="00CC3D1D" w:rsidRDefault="00833687" w:rsidP="009423E3">
            <w:pPr>
              <w:spacing w:line="360" w:lineRule="auto"/>
              <w:jc w:val="left"/>
              <w:rPr>
                <w:rFonts w:ascii="Arial" w:hAnsi="Arial" w:cs="Arial"/>
              </w:rPr>
            </w:pPr>
            <w:r w:rsidRPr="00CC3D1D">
              <w:rPr>
                <w:rFonts w:ascii="Arial" w:hAnsi="Arial" w:cs="Arial"/>
                <w:b/>
                <w:bCs/>
              </w:rPr>
              <w:t>Trade Payable Days</w:t>
            </w:r>
          </w:p>
        </w:tc>
        <w:tc>
          <w:tcPr>
            <w:tcW w:w="1064" w:type="dxa"/>
          </w:tcPr>
          <w:p w14:paraId="2A6AC30D" w14:textId="77777777" w:rsidR="00254B07" w:rsidRPr="00CC3D1D" w:rsidRDefault="00833687" w:rsidP="009423E3">
            <w:pPr>
              <w:spacing w:line="360" w:lineRule="auto"/>
              <w:jc w:val="right"/>
              <w:rPr>
                <w:rFonts w:ascii="Arial" w:hAnsi="Arial" w:cs="Arial"/>
              </w:rPr>
            </w:pPr>
            <w:r w:rsidRPr="00CC3D1D">
              <w:rPr>
                <w:rFonts w:ascii="Arial" w:hAnsi="Arial" w:cs="Arial"/>
              </w:rPr>
              <w:t>480.48</w:t>
            </w:r>
          </w:p>
        </w:tc>
        <w:tc>
          <w:tcPr>
            <w:tcW w:w="1062" w:type="dxa"/>
          </w:tcPr>
          <w:p w14:paraId="5CC99267" w14:textId="77777777" w:rsidR="00254B07" w:rsidRPr="00CC3D1D" w:rsidRDefault="00833687" w:rsidP="009423E3">
            <w:pPr>
              <w:spacing w:line="360" w:lineRule="auto"/>
              <w:jc w:val="right"/>
              <w:rPr>
                <w:rFonts w:ascii="Arial" w:hAnsi="Arial" w:cs="Arial"/>
              </w:rPr>
            </w:pPr>
            <w:r w:rsidRPr="00CC3D1D">
              <w:rPr>
                <w:rFonts w:ascii="Arial" w:hAnsi="Arial" w:cs="Arial"/>
              </w:rPr>
              <w:t>434.85</w:t>
            </w:r>
          </w:p>
        </w:tc>
        <w:tc>
          <w:tcPr>
            <w:tcW w:w="1062" w:type="dxa"/>
          </w:tcPr>
          <w:p w14:paraId="3C025A9A" w14:textId="77777777" w:rsidR="00254B07" w:rsidRPr="00CC3D1D" w:rsidRDefault="00833687" w:rsidP="009423E3">
            <w:pPr>
              <w:spacing w:line="360" w:lineRule="auto"/>
              <w:jc w:val="right"/>
              <w:rPr>
                <w:rFonts w:ascii="Arial" w:hAnsi="Arial" w:cs="Arial"/>
              </w:rPr>
            </w:pPr>
            <w:r w:rsidRPr="00CC3D1D">
              <w:rPr>
                <w:rFonts w:ascii="Arial" w:hAnsi="Arial" w:cs="Arial"/>
              </w:rPr>
              <w:t>392.60</w:t>
            </w:r>
          </w:p>
        </w:tc>
        <w:tc>
          <w:tcPr>
            <w:tcW w:w="1062" w:type="dxa"/>
          </w:tcPr>
          <w:p w14:paraId="415A8FFA" w14:textId="77777777" w:rsidR="00254B07" w:rsidRPr="00CC3D1D" w:rsidRDefault="00833687" w:rsidP="009423E3">
            <w:pPr>
              <w:spacing w:line="360" w:lineRule="auto"/>
              <w:jc w:val="right"/>
              <w:rPr>
                <w:rFonts w:ascii="Arial" w:hAnsi="Arial" w:cs="Arial"/>
              </w:rPr>
            </w:pPr>
            <w:r w:rsidRPr="00CC3D1D">
              <w:rPr>
                <w:rFonts w:ascii="Arial" w:hAnsi="Arial" w:cs="Arial"/>
              </w:rPr>
              <w:t>349.75</w:t>
            </w:r>
          </w:p>
        </w:tc>
        <w:tc>
          <w:tcPr>
            <w:tcW w:w="1060" w:type="dxa"/>
          </w:tcPr>
          <w:p w14:paraId="4A522EFB" w14:textId="77777777" w:rsidR="00254B07" w:rsidRPr="00CC3D1D" w:rsidRDefault="00833687" w:rsidP="009423E3">
            <w:pPr>
              <w:spacing w:line="360" w:lineRule="auto"/>
              <w:jc w:val="right"/>
              <w:rPr>
                <w:rFonts w:ascii="Arial" w:hAnsi="Arial" w:cs="Arial"/>
              </w:rPr>
            </w:pPr>
            <w:r w:rsidRPr="00CC3D1D">
              <w:rPr>
                <w:rFonts w:ascii="Arial" w:hAnsi="Arial" w:cs="Arial"/>
              </w:rPr>
              <w:t>318.46</w:t>
            </w:r>
          </w:p>
        </w:tc>
      </w:tr>
      <w:tr w:rsidR="00CC3D1D" w:rsidRPr="00CC3D1D" w14:paraId="4D7A0961" w14:textId="77777777">
        <w:tc>
          <w:tcPr>
            <w:tcW w:w="3706" w:type="dxa"/>
          </w:tcPr>
          <w:p w14:paraId="508C47BE" w14:textId="77777777" w:rsidR="00254B07" w:rsidRPr="00CC3D1D" w:rsidRDefault="00833687" w:rsidP="009423E3">
            <w:pPr>
              <w:spacing w:line="360" w:lineRule="auto"/>
              <w:jc w:val="left"/>
              <w:rPr>
                <w:rFonts w:ascii="Arial" w:hAnsi="Arial" w:cs="Arial"/>
              </w:rPr>
            </w:pPr>
            <w:r w:rsidRPr="00CC3D1D">
              <w:rPr>
                <w:rFonts w:ascii="Arial" w:hAnsi="Arial" w:cs="Arial"/>
                <w:b/>
                <w:bCs/>
              </w:rPr>
              <w:t>Cash Conversion Cycle (Days)</w:t>
            </w:r>
          </w:p>
        </w:tc>
        <w:tc>
          <w:tcPr>
            <w:tcW w:w="1064" w:type="dxa"/>
          </w:tcPr>
          <w:p w14:paraId="30A91DF0" w14:textId="77777777" w:rsidR="00254B07" w:rsidRPr="00CC3D1D" w:rsidRDefault="00833687" w:rsidP="009423E3">
            <w:pPr>
              <w:spacing w:line="360" w:lineRule="auto"/>
              <w:jc w:val="right"/>
              <w:rPr>
                <w:rFonts w:ascii="Arial" w:hAnsi="Arial" w:cs="Arial"/>
              </w:rPr>
            </w:pPr>
            <w:r w:rsidRPr="00CC3D1D">
              <w:rPr>
                <w:rFonts w:ascii="Arial" w:hAnsi="Arial" w:cs="Arial"/>
                <w:b/>
                <w:bCs/>
              </w:rPr>
              <w:t>-396.96</w:t>
            </w:r>
          </w:p>
        </w:tc>
        <w:tc>
          <w:tcPr>
            <w:tcW w:w="1062" w:type="dxa"/>
          </w:tcPr>
          <w:p w14:paraId="62EE58D3" w14:textId="77777777" w:rsidR="00254B07" w:rsidRPr="00CC3D1D" w:rsidRDefault="00833687" w:rsidP="009423E3">
            <w:pPr>
              <w:spacing w:line="360" w:lineRule="auto"/>
              <w:jc w:val="right"/>
              <w:rPr>
                <w:rFonts w:ascii="Arial" w:hAnsi="Arial" w:cs="Arial"/>
              </w:rPr>
            </w:pPr>
            <w:r w:rsidRPr="00CC3D1D">
              <w:rPr>
                <w:rFonts w:ascii="Arial" w:hAnsi="Arial" w:cs="Arial"/>
                <w:b/>
                <w:bCs/>
              </w:rPr>
              <w:t>-359.77</w:t>
            </w:r>
          </w:p>
        </w:tc>
        <w:tc>
          <w:tcPr>
            <w:tcW w:w="1062" w:type="dxa"/>
          </w:tcPr>
          <w:p w14:paraId="6CD29248" w14:textId="77777777" w:rsidR="00254B07" w:rsidRPr="00CC3D1D" w:rsidRDefault="00833687" w:rsidP="009423E3">
            <w:pPr>
              <w:spacing w:line="360" w:lineRule="auto"/>
              <w:jc w:val="right"/>
              <w:rPr>
                <w:rFonts w:ascii="Arial" w:hAnsi="Arial" w:cs="Arial"/>
              </w:rPr>
            </w:pPr>
            <w:r w:rsidRPr="00CC3D1D">
              <w:rPr>
                <w:rFonts w:ascii="Arial" w:hAnsi="Arial" w:cs="Arial"/>
                <w:b/>
                <w:bCs/>
              </w:rPr>
              <w:t>-329.76</w:t>
            </w:r>
          </w:p>
        </w:tc>
        <w:tc>
          <w:tcPr>
            <w:tcW w:w="1062" w:type="dxa"/>
          </w:tcPr>
          <w:p w14:paraId="6542C91E" w14:textId="77777777" w:rsidR="00254B07" w:rsidRPr="00CC3D1D" w:rsidRDefault="00833687" w:rsidP="009423E3">
            <w:pPr>
              <w:spacing w:line="360" w:lineRule="auto"/>
              <w:jc w:val="right"/>
              <w:rPr>
                <w:rFonts w:ascii="Arial" w:hAnsi="Arial" w:cs="Arial"/>
              </w:rPr>
            </w:pPr>
            <w:r w:rsidRPr="00CC3D1D">
              <w:rPr>
                <w:rFonts w:ascii="Arial" w:hAnsi="Arial" w:cs="Arial"/>
                <w:b/>
                <w:bCs/>
              </w:rPr>
              <w:t>-288.88</w:t>
            </w:r>
          </w:p>
        </w:tc>
        <w:tc>
          <w:tcPr>
            <w:tcW w:w="1060" w:type="dxa"/>
          </w:tcPr>
          <w:p w14:paraId="4E2A7291" w14:textId="77777777" w:rsidR="00254B07" w:rsidRPr="00CC3D1D" w:rsidRDefault="00833687" w:rsidP="009423E3">
            <w:pPr>
              <w:spacing w:line="360" w:lineRule="auto"/>
              <w:jc w:val="right"/>
              <w:rPr>
                <w:rFonts w:ascii="Arial" w:hAnsi="Arial" w:cs="Arial"/>
              </w:rPr>
            </w:pPr>
            <w:r w:rsidRPr="00CC3D1D">
              <w:rPr>
                <w:rFonts w:ascii="Arial" w:hAnsi="Arial" w:cs="Arial"/>
                <w:b/>
                <w:bCs/>
              </w:rPr>
              <w:t>-258.30</w:t>
            </w:r>
          </w:p>
        </w:tc>
      </w:tr>
    </w:tbl>
    <w:p w14:paraId="5DC6ACDF" w14:textId="77777777" w:rsidR="00254B07" w:rsidRPr="00CC3D1D" w:rsidRDefault="00833687" w:rsidP="009423E3">
      <w:pPr>
        <w:jc w:val="center"/>
        <w:rPr>
          <w:rFonts w:ascii="Arial" w:hAnsi="Arial" w:cs="Arial"/>
          <w:b/>
          <w:bCs/>
        </w:rPr>
      </w:pPr>
      <w:r w:rsidRPr="00CC3D1D">
        <w:rPr>
          <w:rFonts w:ascii="Arial" w:hAnsi="Arial" w:cs="Arial"/>
          <w:b/>
          <w:bCs/>
        </w:rPr>
        <w:t>Table 1: Cash Operating Cycle Analysis</w:t>
      </w:r>
    </w:p>
    <w:p w14:paraId="29E2D0AA" w14:textId="5F404F92" w:rsidR="00254B07" w:rsidRPr="00CC3D1D" w:rsidRDefault="00833687" w:rsidP="009423E3">
      <w:pPr>
        <w:rPr>
          <w:rFonts w:ascii="Arial" w:hAnsi="Arial" w:cs="Arial"/>
        </w:rPr>
      </w:pPr>
      <w:r w:rsidRPr="00CC3D1D">
        <w:rPr>
          <w:rFonts w:ascii="Arial" w:hAnsi="Arial" w:cs="Arial"/>
        </w:rPr>
        <w:t>This was done through a numerical expected assessment of IHG's working capital efficiency calculations from the Cash Operating Cycle (CCC)</w:t>
      </w:r>
      <w:r w:rsidR="00085A72" w:rsidRPr="00CC3D1D">
        <w:rPr>
          <w:rFonts w:ascii="Arial" w:hAnsi="Arial" w:cs="Arial"/>
        </w:rPr>
        <w:t xml:space="preserve">. It </w:t>
      </w:r>
      <w:r w:rsidRPr="00CC3D1D">
        <w:rPr>
          <w:rFonts w:ascii="Arial" w:hAnsi="Arial" w:cs="Arial"/>
        </w:rPr>
        <w:t xml:space="preserve">included </w:t>
      </w:r>
      <w:r w:rsidR="00085A72" w:rsidRPr="00CC3D1D">
        <w:rPr>
          <w:rFonts w:ascii="Arial" w:hAnsi="Arial" w:cs="Arial"/>
        </w:rPr>
        <w:t>inventory days, trade receivable days and trade payable days. As</w:t>
      </w:r>
      <w:r w:rsidRPr="00CC3D1D">
        <w:rPr>
          <w:rFonts w:ascii="Arial" w:hAnsi="Arial" w:cs="Arial"/>
        </w:rPr>
        <w:t xml:space="preserve"> calculat</w:t>
      </w:r>
      <w:r w:rsidR="00085A72" w:rsidRPr="00CC3D1D">
        <w:rPr>
          <w:rFonts w:ascii="Arial" w:hAnsi="Arial" w:cs="Arial"/>
        </w:rPr>
        <w:t>ed</w:t>
      </w:r>
      <w:r w:rsidRPr="00CC3D1D">
        <w:rPr>
          <w:rFonts w:ascii="Arial" w:hAnsi="Arial" w:cs="Arial"/>
        </w:rPr>
        <w:t>, Inventory Days declined from 5.16 days in 2020 to 3.00 days in 2021, 2.25 days in 2022, 2.46 days in 2023 and 1.96 days in 2024. In addition, the Trade Receivable Days increased from 58.20 to 78.37 days over the same period. Meanwhile, Trade Payable Days decreased from 480.48 days in 2020 to 318.46 days in 2024. As a result, the CCC improved from -396.96 days to -258.30 days, but remained strong and negative for the entire period. This meant that IHG tended to be paid in cash-in-</w:t>
      </w:r>
      <w:r w:rsidR="00921769" w:rsidRPr="00CC3D1D">
        <w:rPr>
          <w:rFonts w:ascii="Arial" w:hAnsi="Arial" w:cs="Arial"/>
        </w:rPr>
        <w:t>advance</w:t>
      </w:r>
      <w:r w:rsidRPr="00CC3D1D">
        <w:rPr>
          <w:rFonts w:ascii="Arial" w:hAnsi="Arial" w:cs="Arial"/>
        </w:rPr>
        <w:t>, effectively providing liquidity and easing their working-capital needs</w:t>
      </w:r>
      <w:r w:rsidR="00921769" w:rsidRPr="00CC3D1D">
        <w:rPr>
          <w:rFonts w:ascii="Arial" w:hAnsi="Arial" w:cs="Arial"/>
        </w:rPr>
        <w:t xml:space="preserve"> (Annual Report, 2024)</w:t>
      </w:r>
      <w:r w:rsidRPr="00CC3D1D">
        <w:rPr>
          <w:rFonts w:ascii="Arial" w:hAnsi="Arial" w:cs="Arial"/>
        </w:rPr>
        <w:t xml:space="preserve">. </w:t>
      </w:r>
      <w:r w:rsidR="00085A72" w:rsidRPr="00CC3D1D">
        <w:rPr>
          <w:rFonts w:ascii="Arial" w:hAnsi="Arial" w:cs="Arial"/>
        </w:rPr>
        <w:t>G</w:t>
      </w:r>
      <w:r w:rsidRPr="00CC3D1D">
        <w:rPr>
          <w:rFonts w:ascii="Arial" w:hAnsi="Arial" w:cs="Arial"/>
        </w:rPr>
        <w:t>ood supply chain coordination boosts operational resiliency and cash flow management</w:t>
      </w:r>
      <w:r w:rsidR="00085A72" w:rsidRPr="00CC3D1D">
        <w:rPr>
          <w:rFonts w:ascii="Arial" w:hAnsi="Arial" w:cs="Arial"/>
        </w:rPr>
        <w:t xml:space="preserve"> (González-Torres et al. 2021)</w:t>
      </w:r>
      <w:r w:rsidRPr="00CC3D1D">
        <w:rPr>
          <w:rFonts w:ascii="Arial" w:hAnsi="Arial" w:cs="Arial"/>
        </w:rPr>
        <w:t xml:space="preserve">. </w:t>
      </w:r>
      <w:r w:rsidR="00085A72" w:rsidRPr="00CC3D1D">
        <w:rPr>
          <w:rFonts w:ascii="Arial" w:hAnsi="Arial" w:cs="Arial"/>
        </w:rPr>
        <w:t>Therefore</w:t>
      </w:r>
      <w:r w:rsidRPr="00CC3D1D">
        <w:rPr>
          <w:rFonts w:ascii="Arial" w:hAnsi="Arial" w:cs="Arial"/>
        </w:rPr>
        <w:t>, the</w:t>
      </w:r>
      <w:r w:rsidR="00085A72" w:rsidRPr="00CC3D1D">
        <w:rPr>
          <w:rFonts w:ascii="Arial" w:hAnsi="Arial" w:cs="Arial"/>
        </w:rPr>
        <w:t>se</w:t>
      </w:r>
      <w:r w:rsidRPr="00CC3D1D">
        <w:rPr>
          <w:rFonts w:ascii="Arial" w:hAnsi="Arial" w:cs="Arial"/>
        </w:rPr>
        <w:t xml:space="preserve"> results illustrated high working-capital efficiency in line with IHG's asset-light strategy.</w:t>
      </w:r>
    </w:p>
    <w:p w14:paraId="7D6BC193" w14:textId="77777777" w:rsidR="00254B07" w:rsidRPr="00CC3D1D" w:rsidRDefault="00833687" w:rsidP="009423E3">
      <w:pPr>
        <w:pStyle w:val="Heading2"/>
        <w:rPr>
          <w:rFonts w:ascii="Arial" w:hAnsi="Arial" w:cs="Arial"/>
        </w:rPr>
      </w:pPr>
      <w:bookmarkStart w:id="17" w:name="_Toc237518243"/>
      <w:r w:rsidRPr="00CC3D1D">
        <w:rPr>
          <w:rFonts w:ascii="Arial" w:hAnsi="Arial" w:cs="Arial"/>
        </w:rPr>
        <w:t>3.2 Liquidity Evaluation</w:t>
      </w:r>
      <w:bookmarkEnd w:id="17"/>
    </w:p>
    <w:p w14:paraId="137EE492" w14:textId="77777777" w:rsidR="00623AB1" w:rsidRPr="00CC3D1D" w:rsidRDefault="00833687" w:rsidP="009423E3">
      <w:pPr>
        <w:rPr>
          <w:rFonts w:ascii="Arial" w:hAnsi="Arial" w:cs="Arial"/>
        </w:rPr>
      </w:pPr>
      <w:r w:rsidRPr="00CC3D1D">
        <w:rPr>
          <w:rFonts w:ascii="Arial" w:hAnsi="Arial" w:cs="Arial"/>
        </w:rPr>
        <w:t xml:space="preserve">Liquidity assessment is the reflection of the ability of IHG to meet its short-term debts and have enough financial resources for short-term business needs. Overall, the combined </w:t>
      </w:r>
      <w:r w:rsidR="00921769" w:rsidRPr="00CC3D1D">
        <w:rPr>
          <w:rFonts w:ascii="Arial" w:hAnsi="Arial" w:cs="Arial"/>
        </w:rPr>
        <w:t xml:space="preserve">current ratio, quick ratio and cash ratio </w:t>
      </w:r>
      <w:r w:rsidRPr="00CC3D1D">
        <w:rPr>
          <w:rFonts w:ascii="Arial" w:hAnsi="Arial" w:cs="Arial"/>
        </w:rPr>
        <w:t>showed a general trend to deteriorate in the review</w:t>
      </w:r>
      <w:r w:rsidR="00921769" w:rsidRPr="00CC3D1D">
        <w:rPr>
          <w:rFonts w:ascii="Arial" w:hAnsi="Arial" w:cs="Arial"/>
        </w:rPr>
        <w:t>ed</w:t>
      </w:r>
      <w:r w:rsidRPr="00CC3D1D">
        <w:rPr>
          <w:rFonts w:ascii="Arial" w:hAnsi="Arial" w:cs="Arial"/>
        </w:rPr>
        <w:t xml:space="preserve"> period. Results </w:t>
      </w:r>
      <w:r w:rsidR="00921769" w:rsidRPr="00CC3D1D">
        <w:rPr>
          <w:rFonts w:ascii="Arial" w:hAnsi="Arial" w:cs="Arial"/>
        </w:rPr>
        <w:t>are</w:t>
      </w:r>
      <w:r w:rsidRPr="00CC3D1D">
        <w:rPr>
          <w:rFonts w:ascii="Arial" w:hAnsi="Arial" w:cs="Arial"/>
        </w:rPr>
        <w:t xml:space="preserve"> not seen as a direct sign of immediate financial strain, but rather, in the context of IHG's asset-light operating model and robust cash generating ability. The</w:t>
      </w:r>
      <w:r w:rsidR="00921769" w:rsidRPr="00CC3D1D">
        <w:rPr>
          <w:rFonts w:ascii="Arial" w:hAnsi="Arial" w:cs="Arial"/>
        </w:rPr>
        <w:t>se</w:t>
      </w:r>
      <w:r w:rsidRPr="00CC3D1D">
        <w:rPr>
          <w:rFonts w:ascii="Arial" w:hAnsi="Arial" w:cs="Arial"/>
        </w:rPr>
        <w:t xml:space="preserve"> ratios have slowly declined in 2024 to 0.97x in both the Current and Quick Ratios, which means they had slightly more current </w:t>
      </w:r>
      <w:r w:rsidRPr="00CC3D1D">
        <w:rPr>
          <w:rFonts w:ascii="Arial" w:hAnsi="Arial" w:cs="Arial"/>
        </w:rPr>
        <w:lastRenderedPageBreak/>
        <w:t xml:space="preserve">liabilities. The Cash Ratio fell even further to 0.52x, which </w:t>
      </w:r>
      <w:r w:rsidR="00921769" w:rsidRPr="00CC3D1D">
        <w:rPr>
          <w:rFonts w:ascii="Arial" w:hAnsi="Arial" w:cs="Arial"/>
        </w:rPr>
        <w:t>revealed</w:t>
      </w:r>
      <w:r w:rsidRPr="00CC3D1D">
        <w:rPr>
          <w:rFonts w:ascii="Arial" w:hAnsi="Arial" w:cs="Arial"/>
        </w:rPr>
        <w:t xml:space="preserve"> that cash on hand represented approximately half of current liabilities. </w:t>
      </w:r>
      <w:r w:rsidR="00921769" w:rsidRPr="00CC3D1D">
        <w:rPr>
          <w:rFonts w:ascii="Arial" w:hAnsi="Arial" w:cs="Arial"/>
        </w:rPr>
        <w:t>R</w:t>
      </w:r>
      <w:r w:rsidRPr="00CC3D1D">
        <w:rPr>
          <w:rFonts w:ascii="Arial" w:hAnsi="Arial" w:cs="Arial"/>
        </w:rPr>
        <w:t>esults of the present analysis show</w:t>
      </w:r>
      <w:r w:rsidR="00921769" w:rsidRPr="00CC3D1D">
        <w:rPr>
          <w:rFonts w:ascii="Arial" w:hAnsi="Arial" w:cs="Arial"/>
        </w:rPr>
        <w:t>ed</w:t>
      </w:r>
      <w:r w:rsidRPr="00CC3D1D">
        <w:rPr>
          <w:rFonts w:ascii="Arial" w:hAnsi="Arial" w:cs="Arial"/>
        </w:rPr>
        <w:t xml:space="preserve"> the significance of effective cash flow planning and control of working capital</w:t>
      </w:r>
      <w:r w:rsidR="00921769" w:rsidRPr="00CC3D1D">
        <w:rPr>
          <w:rFonts w:ascii="Arial" w:hAnsi="Arial" w:cs="Arial"/>
        </w:rPr>
        <w:t xml:space="preserve"> (Annual Report, 2024)</w:t>
      </w:r>
      <w:r w:rsidRPr="00CC3D1D">
        <w:rPr>
          <w:rFonts w:ascii="Arial" w:hAnsi="Arial" w:cs="Arial"/>
        </w:rPr>
        <w:t xml:space="preserve">. </w:t>
      </w:r>
    </w:p>
    <w:p w14:paraId="29EE30F8" w14:textId="5E8AF251" w:rsidR="00254B07" w:rsidRPr="00CC3D1D" w:rsidRDefault="00833687" w:rsidP="009423E3">
      <w:pPr>
        <w:rPr>
          <w:rFonts w:ascii="Arial" w:hAnsi="Arial" w:cs="Arial"/>
        </w:rPr>
      </w:pPr>
      <w:r w:rsidRPr="00CC3D1D">
        <w:rPr>
          <w:rFonts w:ascii="Arial" w:hAnsi="Arial" w:cs="Arial"/>
        </w:rPr>
        <w:t>The negative Cash Conversion Cycle of -258.30 days in 2024 is especially significant as IHG made its operating cash generation before paying its suppliers. This minimizes the need to finance working capital requirements from outside sources, which buffets certain low liquidity ratios. Therefore, the standard measure of liquidity, 1.0x, is not a good criterion for liquidity. The high level of recurring franchise and management fee revenue also gives IHG a relatively predictable operating cash flow to support its short-term cash needs. However, covering everything on cash will mean that management keeps enough cash reserve and is careful on the payment obligations. Jafari et al. (2023) highlighted that in today's volatile market environment, businesses in the hospitality sector are increasingly prioritising financial resilience and efficient liquidity management. Hence, IHG's cash forecasting could be improved; there is a need to keep liquidity buffers in place and optimise working-capital policies for sustainable growth.</w:t>
      </w:r>
    </w:p>
    <w:p w14:paraId="31D96AA5" w14:textId="77777777" w:rsidR="00254B07" w:rsidRPr="00CC3D1D" w:rsidRDefault="00833687" w:rsidP="009423E3">
      <w:pPr>
        <w:pStyle w:val="Heading2"/>
        <w:rPr>
          <w:rFonts w:ascii="Arial" w:hAnsi="Arial" w:cs="Arial"/>
        </w:rPr>
      </w:pPr>
      <w:bookmarkStart w:id="18" w:name="_Toc237518244"/>
      <w:r w:rsidRPr="00CC3D1D">
        <w:rPr>
          <w:rFonts w:ascii="Arial" w:hAnsi="Arial" w:cs="Arial"/>
        </w:rPr>
        <w:t>3.3 Improvement Strategies</w:t>
      </w:r>
      <w:bookmarkEnd w:id="18"/>
    </w:p>
    <w:p w14:paraId="7CDCF987" w14:textId="5A33D591" w:rsidR="00254B07" w:rsidRPr="00CC3D1D" w:rsidRDefault="00833687" w:rsidP="009423E3">
      <w:pPr>
        <w:rPr>
          <w:rFonts w:ascii="Arial" w:hAnsi="Arial" w:cs="Arial"/>
        </w:rPr>
      </w:pPr>
      <w:r w:rsidRPr="00CC3D1D">
        <w:rPr>
          <w:rFonts w:ascii="Arial" w:hAnsi="Arial" w:cs="Arial"/>
        </w:rPr>
        <w:t xml:space="preserve">While IHG's asset-light approach is conducive to effective use of working capital, there are still a number of nodes that can be strengthened to give IHG further liquidity strength. Implementing a sophisticated Business Intelligence (BI) system can make business cash flow planning more effective and meet the funding needs of the company. If digital payment solution and automation of the work on receivables will be implemented, the collection processes, both from customers at the franchisee's level and from corporate customers, would be shortened. Further, being better able to negotiate terms of payment with the supplier that would be more favourable, but still while maintaining good business relations, would improve cash flow flexibility. Food and beverage operations could benefit from having better inventory control, which will lower the holding costs and minimise waste. Further, the implementation of </w:t>
      </w:r>
      <w:r w:rsidR="00085A72" w:rsidRPr="00CC3D1D">
        <w:rPr>
          <w:rFonts w:ascii="Arial" w:hAnsi="Arial" w:cs="Arial"/>
        </w:rPr>
        <w:t>AI</w:t>
      </w:r>
      <w:r w:rsidRPr="00CC3D1D">
        <w:rPr>
          <w:rFonts w:ascii="Arial" w:hAnsi="Arial" w:cs="Arial"/>
        </w:rPr>
        <w:t xml:space="preserve"> and predictive analytics would also help to improve accuracy of forecasts, pricing and planning. </w:t>
      </w:r>
      <w:proofErr w:type="spellStart"/>
      <w:r w:rsidRPr="00CC3D1D">
        <w:rPr>
          <w:rFonts w:ascii="Arial" w:hAnsi="Arial" w:cs="Arial"/>
        </w:rPr>
        <w:t>Mariani</w:t>
      </w:r>
      <w:proofErr w:type="spellEnd"/>
      <w:r w:rsidRPr="00CC3D1D">
        <w:rPr>
          <w:rFonts w:ascii="Arial" w:hAnsi="Arial" w:cs="Arial"/>
        </w:rPr>
        <w:t xml:space="preserve"> and </w:t>
      </w:r>
      <w:proofErr w:type="spellStart"/>
      <w:r w:rsidRPr="00CC3D1D">
        <w:rPr>
          <w:rFonts w:ascii="Arial" w:hAnsi="Arial" w:cs="Arial"/>
        </w:rPr>
        <w:t>Borghi</w:t>
      </w:r>
      <w:proofErr w:type="spellEnd"/>
      <w:r w:rsidRPr="00CC3D1D">
        <w:rPr>
          <w:rFonts w:ascii="Arial" w:hAnsi="Arial" w:cs="Arial"/>
        </w:rPr>
        <w:t xml:space="preserve"> (2024) argue</w:t>
      </w:r>
      <w:r w:rsidR="00085A72" w:rsidRPr="00CC3D1D">
        <w:rPr>
          <w:rFonts w:ascii="Arial" w:hAnsi="Arial" w:cs="Arial"/>
        </w:rPr>
        <w:t>d</w:t>
      </w:r>
      <w:r w:rsidRPr="00CC3D1D">
        <w:rPr>
          <w:rFonts w:ascii="Arial" w:hAnsi="Arial" w:cs="Arial"/>
        </w:rPr>
        <w:t xml:space="preserve"> that AI facilitates more rapid and accurate decision-making processes, which helps enhance service operations and organisational resilience. These will help build liquidity as well as increase efficiency and sustainability for IHG's long-term growth.</w:t>
      </w:r>
    </w:p>
    <w:p w14:paraId="445DBC16" w14:textId="77777777" w:rsidR="00254B07" w:rsidRPr="00CC3D1D" w:rsidRDefault="00833687" w:rsidP="009423E3">
      <w:pPr>
        <w:pStyle w:val="Heading2"/>
        <w:rPr>
          <w:rFonts w:ascii="Arial" w:hAnsi="Arial" w:cs="Arial"/>
        </w:rPr>
      </w:pPr>
      <w:bookmarkStart w:id="19" w:name="_Toc237518245"/>
      <w:r w:rsidRPr="00CC3D1D">
        <w:rPr>
          <w:rFonts w:ascii="Arial" w:hAnsi="Arial" w:cs="Arial"/>
        </w:rPr>
        <w:lastRenderedPageBreak/>
        <w:t>3.4 Financing Options</w:t>
      </w:r>
      <w:bookmarkEnd w:id="19"/>
    </w:p>
    <w:p w14:paraId="5B055E33" w14:textId="26F4656E" w:rsidR="00254B07" w:rsidRPr="00CC3D1D" w:rsidRDefault="00833687" w:rsidP="009423E3">
      <w:pPr>
        <w:rPr>
          <w:rFonts w:ascii="Arial" w:hAnsi="Arial" w:cs="Arial"/>
        </w:rPr>
      </w:pPr>
      <w:r w:rsidRPr="00CC3D1D">
        <w:rPr>
          <w:rFonts w:ascii="Arial" w:hAnsi="Arial" w:cs="Arial"/>
        </w:rPr>
        <w:t xml:space="preserve">Contingent on IHG's liquidity requirements, it can partner with financing methods such as short-term or long-term financing in accordance with their strategic targets. These are temporary financing, which are in the short-term nature, </w:t>
      </w:r>
      <w:r w:rsidR="00085A72" w:rsidRPr="00CC3D1D">
        <w:rPr>
          <w:rFonts w:ascii="Arial" w:hAnsi="Arial" w:cs="Arial"/>
        </w:rPr>
        <w:t>such as</w:t>
      </w:r>
      <w:r w:rsidRPr="00CC3D1D">
        <w:rPr>
          <w:rFonts w:ascii="Arial" w:hAnsi="Arial" w:cs="Arial"/>
        </w:rPr>
        <w:t xml:space="preserve"> bank overdrafts, use of trade credit or the placement of revolving credit facilities, and can help to arrange and deal with the seasonal demand for working capital, but may not be suitable for long-term growth as there is a risk of refinancing and fluctuating interest rates. The </w:t>
      </w:r>
      <w:r w:rsidR="00085A72" w:rsidRPr="00CC3D1D">
        <w:rPr>
          <w:rFonts w:ascii="Arial" w:hAnsi="Arial" w:cs="Arial"/>
        </w:rPr>
        <w:t>long-term</w:t>
      </w:r>
      <w:r w:rsidRPr="00CC3D1D">
        <w:rPr>
          <w:rFonts w:ascii="Arial" w:hAnsi="Arial" w:cs="Arial"/>
        </w:rPr>
        <w:t xml:space="preserve"> financing are debt finance, corporate bond, and bank loan and equity finance is used for sources of finance that involve strategic investments and expansion abroad. Cost containment and flexibility over a long period of time might be suitable for IHG in order to utilise their capabilities of a bond issue for future growth. According to Sadiq et al. (2022), sustainable finance allows organisations to harmonise their financial and environmental and social efforts. Therefore, a sustainable financing model must be accepted that ensures a financially balanced capital structure, growth in expansion, digital innovation and environmental sustainability for IHG.</w:t>
      </w:r>
    </w:p>
    <w:p w14:paraId="77FBABEE" w14:textId="77777777" w:rsidR="00254B07" w:rsidRPr="00CC3D1D" w:rsidRDefault="00833687" w:rsidP="009423E3">
      <w:pPr>
        <w:pStyle w:val="Heading1"/>
        <w:rPr>
          <w:rFonts w:ascii="Arial" w:hAnsi="Arial" w:cs="Arial"/>
        </w:rPr>
      </w:pPr>
      <w:bookmarkStart w:id="20" w:name="_Toc237518246"/>
      <w:r w:rsidRPr="00CC3D1D">
        <w:rPr>
          <w:rFonts w:ascii="Arial" w:hAnsi="Arial" w:cs="Arial"/>
        </w:rPr>
        <w:t>4. Strategic Financial Restructuring Plan</w:t>
      </w:r>
      <w:bookmarkEnd w:id="20"/>
    </w:p>
    <w:p w14:paraId="0CFFCEC3" w14:textId="77777777" w:rsidR="00254B07" w:rsidRPr="00CC3D1D" w:rsidRDefault="00833687" w:rsidP="009423E3">
      <w:pPr>
        <w:pStyle w:val="Heading2"/>
        <w:rPr>
          <w:rFonts w:ascii="Arial" w:hAnsi="Arial" w:cs="Arial"/>
        </w:rPr>
      </w:pPr>
      <w:bookmarkStart w:id="21" w:name="_Toc237518247"/>
      <w:r w:rsidRPr="00CC3D1D">
        <w:rPr>
          <w:rFonts w:ascii="Arial" w:hAnsi="Arial" w:cs="Arial"/>
        </w:rPr>
        <w:t>4.1 Need for Restructuring</w:t>
      </w:r>
      <w:bookmarkEnd w:id="21"/>
    </w:p>
    <w:p w14:paraId="4CABC7B6" w14:textId="77777777" w:rsidR="00254B07" w:rsidRPr="00CC3D1D" w:rsidRDefault="00833687" w:rsidP="009423E3">
      <w:pPr>
        <w:rPr>
          <w:rFonts w:ascii="Arial" w:hAnsi="Arial" w:cs="Arial"/>
        </w:rPr>
      </w:pPr>
      <w:r w:rsidRPr="00CC3D1D">
        <w:rPr>
          <w:rFonts w:ascii="Arial" w:hAnsi="Arial" w:cs="Arial"/>
        </w:rPr>
        <w:t xml:space="preserve">While IHG has proven to have good revenue growth and improving financial performance, strategic financial restructuring is now essential in order to be more resilient in the future. In 2025, the firm's net share repurchases coupled with dividend payments brought the negative shareholders' equity of –US$2,736 million, notwithstanding its robust operating performance (Annual Report, 2025). Besides, the relatively low level of liquidity ratios and the uncertainties in the world economy also point to the continued need for solid financial flexibility. Future operating costs and investments may also be impacted by rising inflation and increased borrowing rates as well as geopolitical tensions. The constant changes in customers' expectations, digital transformation, and sustainability are creating pressures on the hospitality business and the need for ongoing financial restructuring. According to </w:t>
      </w:r>
      <w:proofErr w:type="spellStart"/>
      <w:r w:rsidRPr="00CC3D1D">
        <w:rPr>
          <w:rFonts w:ascii="Arial" w:hAnsi="Arial" w:cs="Arial"/>
        </w:rPr>
        <w:t>Crespí-Cladera</w:t>
      </w:r>
      <w:proofErr w:type="spellEnd"/>
      <w:r w:rsidRPr="00CC3D1D">
        <w:rPr>
          <w:rFonts w:ascii="Arial" w:hAnsi="Arial" w:cs="Arial"/>
        </w:rPr>
        <w:t xml:space="preserve"> et al. (2021), financial pressure faced by hospitality firms should be resolved by building up their capital structure and increasing their financial flexibility so that they can achieve their long-term resilience. IHG needs to regularly reassess its financial policies, allocate capital and investment priorities appropriately to have an adequate </w:t>
      </w:r>
      <w:r w:rsidRPr="00CC3D1D">
        <w:rPr>
          <w:rFonts w:ascii="Arial" w:hAnsi="Arial" w:cs="Arial"/>
        </w:rPr>
        <w:lastRenderedPageBreak/>
        <w:t>amount of capital resources for future growth and provide a stable return to its shareholders.</w:t>
      </w:r>
    </w:p>
    <w:p w14:paraId="751965C9" w14:textId="77777777" w:rsidR="00254B07" w:rsidRPr="00CC3D1D" w:rsidRDefault="00833687" w:rsidP="009423E3">
      <w:pPr>
        <w:pStyle w:val="Heading2"/>
        <w:rPr>
          <w:rFonts w:ascii="Arial" w:hAnsi="Arial" w:cs="Arial"/>
        </w:rPr>
      </w:pPr>
      <w:bookmarkStart w:id="22" w:name="_Toc237518248"/>
      <w:r w:rsidRPr="00CC3D1D">
        <w:rPr>
          <w:rFonts w:ascii="Arial" w:hAnsi="Arial" w:cs="Arial"/>
        </w:rPr>
        <w:t>4.2 Proposed Strategies</w:t>
      </w:r>
      <w:bookmarkEnd w:id="22"/>
    </w:p>
    <w:p w14:paraId="6A62B399" w14:textId="77777777" w:rsidR="00254B07" w:rsidRPr="00CC3D1D" w:rsidRDefault="00833687" w:rsidP="009423E3">
      <w:pPr>
        <w:rPr>
          <w:rFonts w:ascii="Arial" w:hAnsi="Arial" w:cs="Arial"/>
        </w:rPr>
      </w:pPr>
      <w:r w:rsidRPr="00CC3D1D">
        <w:rPr>
          <w:rFonts w:ascii="Arial" w:hAnsi="Arial" w:cs="Arial"/>
        </w:rPr>
        <w:t>IHG needs to implement several financial restructuring measures as an aid to sustainable growth and to build a secure long-term financial position. Firstly, the company will need to maintain its asset-light strategy and continue to grow its franchise and management fees, rather than making substantial investments in hotel ownership. This approach could lower the up-front cost of the project and provide steady, consistent revenue while running the business. Secondly, gradually correct capital structure by reducing the scale of shares repurchased in the future and retaining a larger percentage of profits to enhance shareholders' equity and financial strength. Debt refinancing must also be considered when the interest rate is more favourable, helping to optimise the financing costs and also cash flow effectiveness. IHG should continue to invest in digital transformation and give greater emphasis on developing AI functionalities, data analytics, and customer relationship management systems, for increased operational efficiency and greater guest satisfaction. Furthermore, the enhanced commitment to environmental, social and governance (ESG) initiatives would boost the company's reputation and aid in delivering long-term value creation. Farooq et al. (2022) found that by promoting environmentally sustainable practices, HRM for green organisations positively impacts innovation and organisational performance in luxury hotels. Therefore, expanding sustainability programmes in parallel with digital innovations would enhance the financial situation and, overall, the competitive position. All these restructuring measures would have a positive effect on profitability, operational efficiency and financial stability, and would assist IHG's strategy for the foreseeable future.</w:t>
      </w:r>
    </w:p>
    <w:p w14:paraId="6790DDDB" w14:textId="77777777" w:rsidR="00254B07" w:rsidRPr="00CC3D1D" w:rsidRDefault="00833687" w:rsidP="009423E3">
      <w:pPr>
        <w:pStyle w:val="Heading2"/>
        <w:rPr>
          <w:rFonts w:ascii="Arial" w:hAnsi="Arial" w:cs="Arial"/>
        </w:rPr>
      </w:pPr>
      <w:bookmarkStart w:id="23" w:name="_Toc237518249"/>
      <w:r w:rsidRPr="00CC3D1D">
        <w:rPr>
          <w:rFonts w:ascii="Arial" w:hAnsi="Arial" w:cs="Arial"/>
        </w:rPr>
        <w:t>4.3 Impact Analysis</w:t>
      </w:r>
      <w:bookmarkEnd w:id="23"/>
    </w:p>
    <w:p w14:paraId="3B9BFC44" w14:textId="77777777" w:rsidR="00254B07" w:rsidRPr="00CC3D1D" w:rsidRDefault="00833687" w:rsidP="009423E3">
      <w:pPr>
        <w:rPr>
          <w:rFonts w:ascii="Arial" w:hAnsi="Arial" w:cs="Arial"/>
        </w:rPr>
      </w:pPr>
      <w:r w:rsidRPr="00CC3D1D">
        <w:rPr>
          <w:rFonts w:ascii="Arial" w:hAnsi="Arial" w:cs="Arial"/>
        </w:rPr>
        <w:t xml:space="preserve">The restructuring plans detailed will provide IHG with good financial and operating results. The asset-light model will generate lower capital investment costs and more recurring income stream from management and franchise fees, resulting in more profits and cash generated for the organisation. The more it does, the more the power of the company would definitely get strengthened in the long run for which retention of earnings shows. The power of the company would certainly get only strengthened with every earnings being retained. The finance costs might also be lowered and the financing process would offer financial flexibility by refinancing the loans if it is </w:t>
      </w:r>
      <w:r w:rsidRPr="00CC3D1D">
        <w:rPr>
          <w:rFonts w:ascii="Arial" w:hAnsi="Arial" w:cs="Arial"/>
        </w:rPr>
        <w:lastRenderedPageBreak/>
        <w:t>identified that the Finance Rates are favourable. Additionally, an enhanced digital boost in investment would lead to more productive working efficiency and a greater revenue management and customer satisfaction, it is likely to produce better long-term growth performance and lead to better revenues. Besides this, AI could also be leveraged to enhance resilient service operations regarding decision-making, service operating performance and optimising the creation of customer value (</w:t>
      </w:r>
      <w:proofErr w:type="spellStart"/>
      <w:r w:rsidRPr="00CC3D1D">
        <w:rPr>
          <w:rFonts w:ascii="Arial" w:hAnsi="Arial" w:cs="Arial"/>
        </w:rPr>
        <w:t>Mariani</w:t>
      </w:r>
      <w:proofErr w:type="spellEnd"/>
      <w:r w:rsidRPr="00CC3D1D">
        <w:rPr>
          <w:rFonts w:ascii="Arial" w:hAnsi="Arial" w:cs="Arial"/>
        </w:rPr>
        <w:t xml:space="preserve"> and </w:t>
      </w:r>
      <w:proofErr w:type="spellStart"/>
      <w:r w:rsidRPr="00CC3D1D">
        <w:rPr>
          <w:rFonts w:ascii="Arial" w:hAnsi="Arial" w:cs="Arial"/>
        </w:rPr>
        <w:t>Borghi</w:t>
      </w:r>
      <w:proofErr w:type="spellEnd"/>
      <w:r w:rsidRPr="00CC3D1D">
        <w:rPr>
          <w:rFonts w:ascii="Arial" w:hAnsi="Arial" w:cs="Arial"/>
        </w:rPr>
        <w:t>, 2024). As part of IHG's rebalance in its overall financial stability, the restructuring plan is expected to create a positive impact on IHG's shareholder value and improve IHG's ability to respond to market dynamics. All this would help the company to remain competitive and profit out of the world of tourism.</w:t>
      </w:r>
    </w:p>
    <w:p w14:paraId="6A299125" w14:textId="77777777" w:rsidR="00254B07" w:rsidRPr="00CC3D1D" w:rsidRDefault="00833687" w:rsidP="009423E3">
      <w:pPr>
        <w:pStyle w:val="Heading2"/>
        <w:rPr>
          <w:rFonts w:ascii="Arial" w:hAnsi="Arial" w:cs="Arial"/>
        </w:rPr>
      </w:pPr>
      <w:bookmarkStart w:id="24" w:name="_Toc237518250"/>
      <w:r w:rsidRPr="00CC3D1D">
        <w:rPr>
          <w:rFonts w:ascii="Arial" w:hAnsi="Arial" w:cs="Arial"/>
        </w:rPr>
        <w:t>4.4 Global &amp; Ethical Considerations</w:t>
      </w:r>
      <w:bookmarkEnd w:id="24"/>
    </w:p>
    <w:p w14:paraId="57B22D7A" w14:textId="4E79062E" w:rsidR="00254B07" w:rsidRPr="00CC3D1D" w:rsidRDefault="00833687" w:rsidP="009423E3">
      <w:pPr>
        <w:rPr>
          <w:rFonts w:ascii="Arial" w:hAnsi="Arial" w:cs="Arial"/>
        </w:rPr>
      </w:pPr>
      <w:r w:rsidRPr="00CC3D1D">
        <w:rPr>
          <w:rFonts w:ascii="Arial" w:hAnsi="Arial" w:cs="Arial"/>
        </w:rPr>
        <w:t xml:space="preserve">A multinational hotel firm like IHG needs to take into account international financial risks and ethical obligations in the pursuance of financial restructuring. The flow of revenues, operating costs and investment returns from foreign sources may be subject to substantial fluctuations due to exchange rate changes, inflation and foreign policy risks. Therefore, proper foreign exchange risk management and spreading business around the world are still critical factors to keep financial stability even. Furthermore, environmental sustainability and corporate governance are additional factors which have reflected in investors' confidence and sustainable competitiveness to a larger extent. Implementing ESG strategies, lower carbon footprints and doing good business is both a trend gaining momentum and a way to enhance corporate image and sustainable financial outcomes. </w:t>
      </w:r>
      <w:proofErr w:type="spellStart"/>
      <w:r w:rsidRPr="00CC3D1D">
        <w:rPr>
          <w:rFonts w:ascii="Arial" w:hAnsi="Arial" w:cs="Arial"/>
        </w:rPr>
        <w:t>Kılıç</w:t>
      </w:r>
      <w:proofErr w:type="spellEnd"/>
      <w:r w:rsidRPr="00CC3D1D">
        <w:rPr>
          <w:rFonts w:ascii="Arial" w:hAnsi="Arial" w:cs="Arial"/>
        </w:rPr>
        <w:t xml:space="preserve"> et al. (2021) reported that by adopting sustainability governance, organisational performance is also improved, leading to sustainable long-term competitiveness in the hospitality industry. Additionally, ethical decision-making, transparent financial reporting, and responsible stakeholder relationships will foster investor trust and compliance with regulations in global markets. IHG will equip itself with better satisfaction of current customers, increase its financial performance and build longer-term shareholder value. Financial discipline and sustainability, and ethical governance policies, hand-in-hand, will improve IHG's global reputation.</w:t>
      </w:r>
    </w:p>
    <w:p w14:paraId="13EF0129" w14:textId="77777777" w:rsidR="00921769" w:rsidRPr="00CC3D1D" w:rsidRDefault="00921769" w:rsidP="009423E3">
      <w:pPr>
        <w:rPr>
          <w:rFonts w:ascii="Arial" w:hAnsi="Arial" w:cs="Arial"/>
        </w:rPr>
      </w:pPr>
    </w:p>
    <w:p w14:paraId="698796E1" w14:textId="77777777" w:rsidR="00254B07" w:rsidRPr="00CC3D1D" w:rsidRDefault="00833687" w:rsidP="009423E3">
      <w:pPr>
        <w:pStyle w:val="Heading1"/>
        <w:rPr>
          <w:rFonts w:ascii="Arial" w:hAnsi="Arial" w:cs="Arial"/>
        </w:rPr>
      </w:pPr>
      <w:bookmarkStart w:id="25" w:name="_Toc237518251"/>
      <w:r w:rsidRPr="00CC3D1D">
        <w:rPr>
          <w:rFonts w:ascii="Arial" w:hAnsi="Arial" w:cs="Arial"/>
        </w:rPr>
        <w:lastRenderedPageBreak/>
        <w:t>5. Investment Appraisal &amp; Capital Budgeting</w:t>
      </w:r>
      <w:bookmarkEnd w:id="25"/>
    </w:p>
    <w:p w14:paraId="11B435B8" w14:textId="77777777" w:rsidR="00254B07" w:rsidRPr="00CC3D1D" w:rsidRDefault="00833687" w:rsidP="009423E3">
      <w:pPr>
        <w:pStyle w:val="Heading2"/>
        <w:rPr>
          <w:rFonts w:ascii="Arial" w:hAnsi="Arial" w:cs="Arial"/>
        </w:rPr>
      </w:pPr>
      <w:bookmarkStart w:id="26" w:name="_Toc237518252"/>
      <w:r w:rsidRPr="00CC3D1D">
        <w:rPr>
          <w:rFonts w:ascii="Arial" w:hAnsi="Arial" w:cs="Arial"/>
        </w:rPr>
        <w:t>5.1 Project Evaluation Methods</w:t>
      </w:r>
      <w:bookmarkEnd w:id="26"/>
    </w:p>
    <w:p w14:paraId="497D909C" w14:textId="637277AB" w:rsidR="00254B07" w:rsidRPr="00CC3D1D" w:rsidRDefault="00833687" w:rsidP="009423E3">
      <w:pPr>
        <w:rPr>
          <w:rFonts w:ascii="Arial" w:hAnsi="Arial" w:cs="Arial"/>
        </w:rPr>
      </w:pPr>
      <w:r w:rsidRPr="00CC3D1D">
        <w:rPr>
          <w:rFonts w:ascii="Arial" w:hAnsi="Arial" w:cs="Arial"/>
        </w:rPr>
        <w:t xml:space="preserve">Using the utility criteria Payback Period, Accounting Rate of Return (ARR), Net Present Value (NPV), Internal Rate of Return (IRR) and Profitability Index (PI), IHG's three investment projects were evaluated. It was assumed that the initial investment was £50m, the project life </w:t>
      </w:r>
      <w:r w:rsidR="00ED11D1" w:rsidRPr="00CC3D1D">
        <w:rPr>
          <w:rFonts w:ascii="Arial" w:hAnsi="Arial" w:cs="Arial"/>
        </w:rPr>
        <w:t xml:space="preserve">is </w:t>
      </w:r>
      <w:r w:rsidRPr="00CC3D1D">
        <w:rPr>
          <w:rFonts w:ascii="Arial" w:hAnsi="Arial" w:cs="Arial"/>
        </w:rPr>
        <w:t xml:space="preserve">5 years, </w:t>
      </w:r>
      <w:r w:rsidR="00ED11D1" w:rsidRPr="00CC3D1D">
        <w:rPr>
          <w:rFonts w:ascii="Arial" w:hAnsi="Arial" w:cs="Arial"/>
        </w:rPr>
        <w:t xml:space="preserve">and </w:t>
      </w:r>
      <w:r w:rsidRPr="00CC3D1D">
        <w:rPr>
          <w:rFonts w:ascii="Arial" w:hAnsi="Arial" w:cs="Arial"/>
        </w:rPr>
        <w:t xml:space="preserve">the residual value </w:t>
      </w:r>
      <w:r w:rsidR="00ED11D1" w:rsidRPr="00CC3D1D">
        <w:rPr>
          <w:rFonts w:ascii="Arial" w:hAnsi="Arial" w:cs="Arial"/>
        </w:rPr>
        <w:t xml:space="preserve">is </w:t>
      </w:r>
      <w:r w:rsidRPr="00CC3D1D">
        <w:rPr>
          <w:rFonts w:ascii="Arial" w:hAnsi="Arial" w:cs="Arial"/>
        </w:rPr>
        <w:t>£0</w:t>
      </w:r>
      <w:r w:rsidR="00ED11D1" w:rsidRPr="00CC3D1D">
        <w:rPr>
          <w:rFonts w:ascii="Arial" w:hAnsi="Arial" w:cs="Arial"/>
        </w:rPr>
        <w:t xml:space="preserve">, with a </w:t>
      </w:r>
      <w:r w:rsidRPr="00CC3D1D">
        <w:rPr>
          <w:rFonts w:ascii="Arial" w:hAnsi="Arial" w:cs="Arial"/>
        </w:rPr>
        <w:t xml:space="preserve">discount rate </w:t>
      </w:r>
      <w:r w:rsidR="00ED11D1" w:rsidRPr="00CC3D1D">
        <w:rPr>
          <w:rFonts w:ascii="Arial" w:hAnsi="Arial" w:cs="Arial"/>
        </w:rPr>
        <w:t xml:space="preserve">of </w:t>
      </w:r>
      <w:r w:rsidRPr="00CC3D1D">
        <w:rPr>
          <w:rFonts w:ascii="Arial" w:hAnsi="Arial" w:cs="Arial"/>
        </w:rPr>
        <w:t xml:space="preserve">8%. </w:t>
      </w:r>
      <w:r w:rsidR="00921769" w:rsidRPr="00CC3D1D">
        <w:rPr>
          <w:rFonts w:ascii="Arial" w:hAnsi="Arial" w:cs="Arial"/>
        </w:rPr>
        <w:t>T</w:t>
      </w:r>
      <w:r w:rsidRPr="00CC3D1D">
        <w:rPr>
          <w:rFonts w:ascii="Arial" w:hAnsi="Arial" w:cs="Arial"/>
        </w:rPr>
        <w:t>hese assumptions are in place to be consistent with the previous figure of US$80 million investment and 12% rate</w:t>
      </w:r>
      <w:r w:rsidR="00921769" w:rsidRPr="00CC3D1D">
        <w:rPr>
          <w:rFonts w:ascii="Arial" w:hAnsi="Arial" w:cs="Arial"/>
        </w:rPr>
        <w:t xml:space="preserve"> [</w:t>
      </w:r>
      <w:r w:rsidR="00921769" w:rsidRPr="00CC3D1D">
        <w:rPr>
          <w:rFonts w:ascii="Arial" w:hAnsi="Arial" w:cs="Arial"/>
          <w:b/>
          <w:bCs/>
          <w:i/>
          <w:iCs/>
        </w:rPr>
        <w:t>Refer to Appendix 4</w:t>
      </w:r>
      <w:r w:rsidR="00921769" w:rsidRPr="00CC3D1D">
        <w:rPr>
          <w:rFonts w:ascii="Arial" w:hAnsi="Arial" w:cs="Arial"/>
        </w:rPr>
        <w:t>]</w:t>
      </w:r>
      <w:r w:rsidRPr="00CC3D1D">
        <w:rPr>
          <w:rFonts w:ascii="Arial" w:hAnsi="Arial" w:cs="Arial"/>
        </w:rPr>
        <w:t>. This was</w:t>
      </w:r>
      <w:r w:rsidR="00921769" w:rsidRPr="00CC3D1D">
        <w:rPr>
          <w:rFonts w:ascii="Arial" w:hAnsi="Arial" w:cs="Arial"/>
        </w:rPr>
        <w:t>,</w:t>
      </w:r>
      <w:r w:rsidRPr="00CC3D1D">
        <w:rPr>
          <w:rFonts w:ascii="Arial" w:hAnsi="Arial" w:cs="Arial"/>
        </w:rPr>
        <w:t xml:space="preserve"> especially relevant for NPV</w:t>
      </w:r>
      <w:r w:rsidR="00921769" w:rsidRPr="00CC3D1D">
        <w:rPr>
          <w:rFonts w:ascii="Arial" w:hAnsi="Arial" w:cs="Arial"/>
        </w:rPr>
        <w:t>,</w:t>
      </w:r>
      <w:r w:rsidRPr="00CC3D1D">
        <w:rPr>
          <w:rFonts w:ascii="Arial" w:hAnsi="Arial" w:cs="Arial"/>
        </w:rPr>
        <w:t xml:space="preserve"> as </w:t>
      </w:r>
      <w:r w:rsidR="00921769" w:rsidRPr="00CC3D1D">
        <w:rPr>
          <w:rFonts w:ascii="Arial" w:hAnsi="Arial" w:cs="Arial"/>
        </w:rPr>
        <w:t>it</w:t>
      </w:r>
      <w:r w:rsidRPr="00CC3D1D">
        <w:rPr>
          <w:rFonts w:ascii="Arial" w:hAnsi="Arial" w:cs="Arial"/>
        </w:rPr>
        <w:t xml:space="preserve"> took into account the time value of money and whether the discounted future cash flows surpassed the initial investment. </w:t>
      </w:r>
      <w:r w:rsidR="0026103E" w:rsidRPr="00CC3D1D">
        <w:rPr>
          <w:rFonts w:ascii="Arial" w:hAnsi="Arial" w:cs="Arial"/>
        </w:rPr>
        <w:t xml:space="preserve">As per </w:t>
      </w:r>
      <w:r w:rsidRPr="00CC3D1D">
        <w:rPr>
          <w:rFonts w:ascii="Arial" w:hAnsi="Arial" w:cs="Arial"/>
        </w:rPr>
        <w:t>Sadiq et al. (2022)</w:t>
      </w:r>
      <w:r w:rsidR="0026103E" w:rsidRPr="00CC3D1D">
        <w:rPr>
          <w:rFonts w:ascii="Arial" w:hAnsi="Arial" w:cs="Arial"/>
        </w:rPr>
        <w:t xml:space="preserve">, </w:t>
      </w:r>
      <w:r w:rsidRPr="00CC3D1D">
        <w:rPr>
          <w:rFonts w:ascii="Arial" w:hAnsi="Arial" w:cs="Arial"/>
        </w:rPr>
        <w:t xml:space="preserve">there is a need to link investment appraisal with the </w:t>
      </w:r>
      <w:r w:rsidR="00085A72" w:rsidRPr="00CC3D1D">
        <w:rPr>
          <w:rFonts w:ascii="Arial" w:hAnsi="Arial" w:cs="Arial"/>
        </w:rPr>
        <w:t>long-term</w:t>
      </w:r>
      <w:r w:rsidRPr="00CC3D1D">
        <w:rPr>
          <w:rFonts w:ascii="Arial" w:hAnsi="Arial" w:cs="Arial"/>
        </w:rPr>
        <w:t xml:space="preserve"> organisational goals. Hence the five techniques would form a complete framework for the evaluation of the projects.</w:t>
      </w:r>
    </w:p>
    <w:p w14:paraId="7121966C" w14:textId="77777777" w:rsidR="00254B07" w:rsidRPr="00CC3D1D" w:rsidRDefault="00833687" w:rsidP="009423E3">
      <w:pPr>
        <w:pStyle w:val="Heading2"/>
        <w:rPr>
          <w:rFonts w:ascii="Arial" w:hAnsi="Arial" w:cs="Arial"/>
        </w:rPr>
      </w:pPr>
      <w:bookmarkStart w:id="27" w:name="_Toc237518253"/>
      <w:r w:rsidRPr="00CC3D1D">
        <w:rPr>
          <w:rFonts w:ascii="Arial" w:hAnsi="Arial" w:cs="Arial"/>
        </w:rPr>
        <w:t>5.2 Evaluation of Projects A, B, and C</w:t>
      </w:r>
      <w:bookmarkEnd w:id="27"/>
    </w:p>
    <w:p w14:paraId="3094A0B3" w14:textId="57A8C164" w:rsidR="00254B07" w:rsidRPr="00CC3D1D" w:rsidRDefault="0026103E" w:rsidP="009423E3">
      <w:pPr>
        <w:rPr>
          <w:rFonts w:ascii="Arial" w:hAnsi="Arial" w:cs="Arial"/>
        </w:rPr>
      </w:pPr>
      <w:r w:rsidRPr="00CC3D1D">
        <w:rPr>
          <w:rFonts w:ascii="Arial" w:hAnsi="Arial" w:cs="Arial"/>
        </w:rPr>
        <w:t>Estimations</w:t>
      </w:r>
      <w:r w:rsidR="00ED11D1" w:rsidRPr="00CC3D1D">
        <w:rPr>
          <w:rFonts w:ascii="Arial" w:hAnsi="Arial" w:cs="Arial"/>
        </w:rPr>
        <w:t>,</w:t>
      </w:r>
      <w:r w:rsidRPr="00CC3D1D">
        <w:rPr>
          <w:rFonts w:ascii="Arial" w:hAnsi="Arial" w:cs="Arial"/>
        </w:rPr>
        <w:t xml:space="preserve"> as done in</w:t>
      </w:r>
      <w:r w:rsidR="00833687" w:rsidRPr="00CC3D1D">
        <w:rPr>
          <w:rFonts w:ascii="Arial" w:hAnsi="Arial" w:cs="Arial"/>
        </w:rPr>
        <w:t xml:space="preserve"> </w:t>
      </w:r>
      <w:r w:rsidRPr="00CC3D1D">
        <w:rPr>
          <w:rFonts w:ascii="Arial" w:hAnsi="Arial" w:cs="Arial"/>
        </w:rPr>
        <w:t>Appendix 4</w:t>
      </w:r>
      <w:r w:rsidR="00ED11D1" w:rsidRPr="00CC3D1D">
        <w:rPr>
          <w:rFonts w:ascii="Arial" w:hAnsi="Arial" w:cs="Arial"/>
        </w:rPr>
        <w:t>,</w:t>
      </w:r>
      <w:r w:rsidRPr="00CC3D1D">
        <w:rPr>
          <w:rFonts w:ascii="Arial" w:hAnsi="Arial" w:cs="Arial"/>
        </w:rPr>
        <w:t xml:space="preserve"> </w:t>
      </w:r>
      <w:r w:rsidR="00833687" w:rsidRPr="00CC3D1D">
        <w:rPr>
          <w:rFonts w:ascii="Arial" w:hAnsi="Arial" w:cs="Arial"/>
        </w:rPr>
        <w:t xml:space="preserve">revealed that project A gave a negative NPV of -£6.54 million and project B </w:t>
      </w:r>
      <w:r w:rsidR="00ED11D1" w:rsidRPr="00CC3D1D">
        <w:rPr>
          <w:rFonts w:ascii="Arial" w:hAnsi="Arial" w:cs="Arial"/>
        </w:rPr>
        <w:t xml:space="preserve">has </w:t>
      </w:r>
      <w:r w:rsidR="00833687" w:rsidRPr="00CC3D1D">
        <w:rPr>
          <w:rFonts w:ascii="Arial" w:hAnsi="Arial" w:cs="Arial"/>
        </w:rPr>
        <w:t>a negative NPV of -£6.08 million. Project C, on the other hand, had a positive NPV of £0.858</w:t>
      </w:r>
      <w:r w:rsidR="00ED11D1" w:rsidRPr="00CC3D1D">
        <w:rPr>
          <w:rFonts w:ascii="Arial" w:hAnsi="Arial" w:cs="Arial"/>
        </w:rPr>
        <w:t xml:space="preserve"> </w:t>
      </w:r>
      <w:r w:rsidR="00833687" w:rsidRPr="00CC3D1D">
        <w:rPr>
          <w:rFonts w:ascii="Arial" w:hAnsi="Arial" w:cs="Arial"/>
        </w:rPr>
        <w:t>m</w:t>
      </w:r>
      <w:r w:rsidR="00ED11D1" w:rsidRPr="00CC3D1D">
        <w:rPr>
          <w:rFonts w:ascii="Arial" w:hAnsi="Arial" w:cs="Arial"/>
        </w:rPr>
        <w:t>illion</w:t>
      </w:r>
      <w:r w:rsidR="00833687" w:rsidRPr="00CC3D1D">
        <w:rPr>
          <w:rFonts w:ascii="Arial" w:hAnsi="Arial" w:cs="Arial"/>
        </w:rPr>
        <w:t xml:space="preserve">. Project C, therefore, was the only project with a positive NPV at the required 8% return. It also recorded the lowest Payback Period of 3.6 years, and the highest ARR of 6%. </w:t>
      </w:r>
      <w:r w:rsidR="006E1BC2" w:rsidRPr="00CC3D1D">
        <w:rPr>
          <w:rFonts w:ascii="Arial" w:hAnsi="Arial" w:cs="Arial"/>
        </w:rPr>
        <w:t xml:space="preserve">Also, the cumulative cash flow of Project A, B and C at the end of 5 years are estimated to be 4.0, 5.0 and 15.0 years respectively </w:t>
      </w:r>
      <w:r w:rsidR="001B7C86" w:rsidRPr="00CC3D1D">
        <w:rPr>
          <w:rFonts w:ascii="Arial" w:hAnsi="Arial" w:cs="Arial"/>
        </w:rPr>
        <w:t>(</w:t>
      </w:r>
      <w:r w:rsidR="001B7C86" w:rsidRPr="00CC3D1D">
        <w:rPr>
          <w:rFonts w:ascii="Arial" w:hAnsi="Arial" w:cs="Arial"/>
          <w:i/>
          <w:iCs/>
        </w:rPr>
        <w:t>as shown in figure 6</w:t>
      </w:r>
      <w:r w:rsidR="001B7C86" w:rsidRPr="00CC3D1D">
        <w:rPr>
          <w:rFonts w:ascii="Arial" w:hAnsi="Arial" w:cs="Arial"/>
        </w:rPr>
        <w:t>)</w:t>
      </w:r>
      <w:r w:rsidR="006E1BC2" w:rsidRPr="00CC3D1D">
        <w:rPr>
          <w:rFonts w:ascii="Arial" w:hAnsi="Arial" w:cs="Arial"/>
        </w:rPr>
        <w:t xml:space="preserve">. </w:t>
      </w:r>
      <w:r w:rsidR="00833687" w:rsidRPr="00CC3D1D">
        <w:rPr>
          <w:rFonts w:ascii="Arial" w:hAnsi="Arial" w:cs="Arial"/>
        </w:rPr>
        <w:t>Project A and B do not meet the acceptance criterion of NPV due to not recovering the initial investment at the required rate with the discounted cash flows. By using digital technologies and Artificial Intelligence, service industry can benefit from enhancing touchpoints that bring operational efficiency and organisational resilience</w:t>
      </w:r>
      <w:r w:rsidRPr="00CC3D1D">
        <w:rPr>
          <w:rFonts w:ascii="Arial" w:hAnsi="Arial" w:cs="Arial"/>
        </w:rPr>
        <w:t xml:space="preserve"> (</w:t>
      </w:r>
      <w:proofErr w:type="spellStart"/>
      <w:r w:rsidR="002448DE" w:rsidRPr="00CC3D1D">
        <w:rPr>
          <w:rFonts w:ascii="Arial" w:hAnsi="Arial" w:cs="Arial"/>
        </w:rPr>
        <w:t>Ezeagwuna</w:t>
      </w:r>
      <w:proofErr w:type="spellEnd"/>
      <w:r w:rsidRPr="00CC3D1D">
        <w:rPr>
          <w:rFonts w:ascii="Arial" w:hAnsi="Arial" w:cs="Arial"/>
        </w:rPr>
        <w:t xml:space="preserve">, </w:t>
      </w:r>
      <w:r w:rsidR="00833687" w:rsidRPr="00CC3D1D">
        <w:rPr>
          <w:rFonts w:ascii="Arial" w:hAnsi="Arial" w:cs="Arial"/>
        </w:rPr>
        <w:t>202</w:t>
      </w:r>
      <w:r w:rsidR="002448DE" w:rsidRPr="00CC3D1D">
        <w:rPr>
          <w:rFonts w:ascii="Arial" w:hAnsi="Arial" w:cs="Arial"/>
        </w:rPr>
        <w:t>6</w:t>
      </w:r>
      <w:r w:rsidR="00833687" w:rsidRPr="00CC3D1D">
        <w:rPr>
          <w:rFonts w:ascii="Arial" w:hAnsi="Arial" w:cs="Arial"/>
        </w:rPr>
        <w:t>). Thus, Project C was most financially attractive.</w:t>
      </w:r>
    </w:p>
    <w:p w14:paraId="3BAEAE77" w14:textId="1EA7778B" w:rsidR="006E1BC2" w:rsidRPr="00CC3D1D" w:rsidRDefault="006E1BC2" w:rsidP="009423E3">
      <w:pPr>
        <w:jc w:val="center"/>
        <w:rPr>
          <w:rFonts w:ascii="Arial" w:hAnsi="Arial" w:cs="Arial"/>
        </w:rPr>
      </w:pPr>
      <w:r w:rsidRPr="00CC3D1D">
        <w:rPr>
          <w:rFonts w:ascii="Arial" w:hAnsi="Arial" w:cs="Arial"/>
          <w:noProof/>
        </w:rPr>
        <w:lastRenderedPageBreak/>
        <w:drawing>
          <wp:inline distT="0" distB="0" distL="0" distR="0" wp14:anchorId="6BA668B2" wp14:editId="64E3E8DD">
            <wp:extent cx="5731510" cy="3129915"/>
            <wp:effectExtent l="0" t="0" r="2540" b="13335"/>
            <wp:docPr id="8" name="Chart 8">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7EF8CF" w14:textId="274365AB" w:rsidR="006E1BC2" w:rsidRPr="00CC3D1D" w:rsidRDefault="006E1BC2" w:rsidP="009423E3">
      <w:pPr>
        <w:jc w:val="center"/>
        <w:rPr>
          <w:rFonts w:ascii="Arial" w:hAnsi="Arial" w:cs="Arial"/>
          <w:b/>
          <w:bCs/>
        </w:rPr>
      </w:pPr>
      <w:r w:rsidRPr="00CC3D1D">
        <w:rPr>
          <w:rFonts w:ascii="Arial" w:hAnsi="Arial" w:cs="Arial"/>
          <w:b/>
          <w:bCs/>
        </w:rPr>
        <w:t xml:space="preserve">Figure 6: </w:t>
      </w:r>
      <w:r w:rsidR="00DE04CF" w:rsidRPr="00CC3D1D">
        <w:rPr>
          <w:rFonts w:ascii="Arial" w:hAnsi="Arial" w:cs="Arial"/>
          <w:b/>
          <w:bCs/>
        </w:rPr>
        <w:t>Cumulative cash flow and payback period of Projects A, B and C</w:t>
      </w:r>
    </w:p>
    <w:p w14:paraId="19A1C05A" w14:textId="0528BDA4" w:rsidR="006E1BC2" w:rsidRPr="00CC3D1D" w:rsidRDefault="006E1BC2" w:rsidP="009423E3">
      <w:pPr>
        <w:jc w:val="center"/>
        <w:rPr>
          <w:rFonts w:ascii="Arial" w:hAnsi="Arial" w:cs="Arial"/>
        </w:rPr>
      </w:pPr>
      <w:r w:rsidRPr="00CC3D1D">
        <w:rPr>
          <w:rFonts w:ascii="Arial" w:hAnsi="Arial" w:cs="Arial"/>
        </w:rPr>
        <w:t>(Source: Excel)</w:t>
      </w:r>
    </w:p>
    <w:p w14:paraId="50E5C96B" w14:textId="77777777" w:rsidR="00254B07" w:rsidRPr="00CC3D1D" w:rsidRDefault="00833687" w:rsidP="009423E3">
      <w:pPr>
        <w:pStyle w:val="Heading2"/>
        <w:rPr>
          <w:rFonts w:ascii="Arial" w:hAnsi="Arial" w:cs="Arial"/>
        </w:rPr>
      </w:pPr>
      <w:bookmarkStart w:id="28" w:name="_Toc237518254"/>
      <w:r w:rsidRPr="00CC3D1D">
        <w:rPr>
          <w:rFonts w:ascii="Arial" w:hAnsi="Arial" w:cs="Arial"/>
        </w:rPr>
        <w:t>5.3 Project Selection</w:t>
      </w:r>
      <w:bookmarkEnd w:id="28"/>
    </w:p>
    <w:p w14:paraId="1A6CF846" w14:textId="0CD0BA93" w:rsidR="00254B07" w:rsidRPr="00CC3D1D" w:rsidRDefault="00833687" w:rsidP="009423E3">
      <w:pPr>
        <w:rPr>
          <w:rFonts w:ascii="Arial" w:hAnsi="Arial" w:cs="Arial"/>
        </w:rPr>
      </w:pPr>
      <w:r w:rsidRPr="00CC3D1D">
        <w:rPr>
          <w:rFonts w:ascii="Arial" w:hAnsi="Arial" w:cs="Arial"/>
        </w:rPr>
        <w:t>The reason why Project C is being chosen is because it has a positive NPV of £0.858 million, excluding the 8% return of the invested capital</w:t>
      </w:r>
      <w:r w:rsidR="006E1BC2" w:rsidRPr="00CC3D1D">
        <w:rPr>
          <w:rFonts w:ascii="Arial" w:hAnsi="Arial" w:cs="Arial"/>
        </w:rPr>
        <w:t xml:space="preserve">. It </w:t>
      </w:r>
      <w:r w:rsidRPr="00CC3D1D">
        <w:rPr>
          <w:rFonts w:ascii="Arial" w:hAnsi="Arial" w:cs="Arial"/>
        </w:rPr>
        <w:t>mean</w:t>
      </w:r>
      <w:r w:rsidR="006E1BC2" w:rsidRPr="00CC3D1D">
        <w:rPr>
          <w:rFonts w:ascii="Arial" w:hAnsi="Arial" w:cs="Arial"/>
        </w:rPr>
        <w:t>s</w:t>
      </w:r>
      <w:r w:rsidRPr="00CC3D1D">
        <w:rPr>
          <w:rFonts w:ascii="Arial" w:hAnsi="Arial" w:cs="Arial"/>
        </w:rPr>
        <w:t xml:space="preserve"> that </w:t>
      </w:r>
      <w:r w:rsidR="006E1BC2" w:rsidRPr="00CC3D1D">
        <w:rPr>
          <w:rFonts w:ascii="Arial" w:hAnsi="Arial" w:cs="Arial"/>
        </w:rPr>
        <w:t>Project C</w:t>
      </w:r>
      <w:r w:rsidRPr="00CC3D1D">
        <w:rPr>
          <w:rFonts w:ascii="Arial" w:hAnsi="Arial" w:cs="Arial"/>
        </w:rPr>
        <w:t xml:space="preserve"> would make a profit from the investment. The 6% ARR also presented the highest accounting return of the projects, with the </w:t>
      </w:r>
      <w:r w:rsidR="00085A72" w:rsidRPr="00CC3D1D">
        <w:rPr>
          <w:rFonts w:ascii="Arial" w:hAnsi="Arial" w:cs="Arial"/>
        </w:rPr>
        <w:t>3.6-year</w:t>
      </w:r>
      <w:r w:rsidRPr="00CC3D1D">
        <w:rPr>
          <w:rFonts w:ascii="Arial" w:hAnsi="Arial" w:cs="Arial"/>
        </w:rPr>
        <w:t xml:space="preserve"> payback being relatively fast, also suggesting good accounting return. The project may be integrated with the broader goals of the customer experience, operational efficiency, and digitalisation of IHG. According to Tong-On et al (2021), business intelligence and the use of data analytics can enhance the decision-making process, also operation and competitiveness in the hospitality sector. Hence, option C, which was the most financially viable and strategically aligned, was the most suitable option.</w:t>
      </w:r>
    </w:p>
    <w:p w14:paraId="617D4635" w14:textId="77777777" w:rsidR="00254B07" w:rsidRPr="00CC3D1D" w:rsidRDefault="00833687" w:rsidP="009423E3">
      <w:pPr>
        <w:pStyle w:val="Heading2"/>
        <w:rPr>
          <w:rFonts w:ascii="Arial" w:hAnsi="Arial" w:cs="Arial"/>
        </w:rPr>
      </w:pPr>
      <w:bookmarkStart w:id="29" w:name="_Toc237518255"/>
      <w:r w:rsidRPr="00CC3D1D">
        <w:rPr>
          <w:rFonts w:ascii="Arial" w:hAnsi="Arial" w:cs="Arial"/>
        </w:rPr>
        <w:t>5.4 Capital Rationing Decision</w:t>
      </w:r>
      <w:bookmarkEnd w:id="29"/>
    </w:p>
    <w:p w14:paraId="1DFB429C" w14:textId="070DA6C1" w:rsidR="00254B07" w:rsidRPr="00CC3D1D" w:rsidRDefault="00833687" w:rsidP="009423E3">
      <w:pPr>
        <w:rPr>
          <w:rFonts w:ascii="Arial" w:hAnsi="Arial" w:cs="Arial"/>
        </w:rPr>
      </w:pPr>
      <w:r w:rsidRPr="00CC3D1D">
        <w:rPr>
          <w:rFonts w:ascii="Arial" w:hAnsi="Arial" w:cs="Arial"/>
        </w:rPr>
        <w:t>In a capital rationing situation, the one with the most positive NPV is the proper choice</w:t>
      </w:r>
      <w:r w:rsidR="00D22C36" w:rsidRPr="00CC3D1D">
        <w:rPr>
          <w:rFonts w:ascii="Arial" w:hAnsi="Arial" w:cs="Arial"/>
        </w:rPr>
        <w:t>. H</w:t>
      </w:r>
      <w:r w:rsidRPr="00CC3D1D">
        <w:rPr>
          <w:rFonts w:ascii="Arial" w:hAnsi="Arial" w:cs="Arial"/>
        </w:rPr>
        <w:t xml:space="preserve">ence, IHG should agree to undertake Project C since it was the only project offering a positive NPV. </w:t>
      </w:r>
      <w:r w:rsidR="00D22C36" w:rsidRPr="00CC3D1D">
        <w:rPr>
          <w:rFonts w:ascii="Arial" w:hAnsi="Arial" w:cs="Arial"/>
        </w:rPr>
        <w:t>P</w:t>
      </w:r>
      <w:r w:rsidRPr="00CC3D1D">
        <w:rPr>
          <w:rFonts w:ascii="Arial" w:hAnsi="Arial" w:cs="Arial"/>
        </w:rPr>
        <w:t xml:space="preserve">rojects A and B will have negative cash flows, their NPVs are - £6.54 million and - £6.08 million respectively, and </w:t>
      </w:r>
      <w:r w:rsidR="00E107D1" w:rsidRPr="00CC3D1D">
        <w:rPr>
          <w:rFonts w:ascii="Arial" w:hAnsi="Arial" w:cs="Arial"/>
        </w:rPr>
        <w:t>need to</w:t>
      </w:r>
      <w:r w:rsidRPr="00CC3D1D">
        <w:rPr>
          <w:rFonts w:ascii="Arial" w:hAnsi="Arial" w:cs="Arial"/>
        </w:rPr>
        <w:t xml:space="preserve"> be rated as less important</w:t>
      </w:r>
      <w:r w:rsidR="00D7495D" w:rsidRPr="00CC3D1D">
        <w:rPr>
          <w:rFonts w:ascii="Arial" w:hAnsi="Arial" w:cs="Arial"/>
        </w:rPr>
        <w:t xml:space="preserve"> [</w:t>
      </w:r>
      <w:r w:rsidR="00D7495D" w:rsidRPr="00CC3D1D">
        <w:rPr>
          <w:rFonts w:ascii="Arial" w:hAnsi="Arial" w:cs="Arial"/>
          <w:b/>
          <w:bCs/>
          <w:i/>
          <w:iCs/>
        </w:rPr>
        <w:t>Refer to Appendix 4</w:t>
      </w:r>
      <w:r w:rsidR="00D7495D" w:rsidRPr="00CC3D1D">
        <w:rPr>
          <w:rFonts w:ascii="Arial" w:hAnsi="Arial" w:cs="Arial"/>
        </w:rPr>
        <w:t>]</w:t>
      </w:r>
      <w:r w:rsidRPr="00CC3D1D">
        <w:rPr>
          <w:rFonts w:ascii="Arial" w:hAnsi="Arial" w:cs="Arial"/>
        </w:rPr>
        <w:t xml:space="preserve">. At an assumed discount rate of 8%, both investments would decrease the value of the shareholder's investment. Project C </w:t>
      </w:r>
      <w:r w:rsidR="00E107D1" w:rsidRPr="00CC3D1D">
        <w:rPr>
          <w:rFonts w:ascii="Arial" w:hAnsi="Arial" w:cs="Arial"/>
        </w:rPr>
        <w:t>can, however,</w:t>
      </w:r>
      <w:r w:rsidRPr="00CC3D1D">
        <w:rPr>
          <w:rFonts w:ascii="Arial" w:hAnsi="Arial" w:cs="Arial"/>
        </w:rPr>
        <w:t xml:space="preserve"> create value after meeting its required return as it had a positive NPV. Projects A and B may be </w:t>
      </w:r>
      <w:r w:rsidRPr="00CC3D1D">
        <w:rPr>
          <w:rFonts w:ascii="Arial" w:hAnsi="Arial" w:cs="Arial"/>
        </w:rPr>
        <w:lastRenderedPageBreak/>
        <w:t xml:space="preserve">reconsidered if additional funding becomes available once the cash inflows have been enhanced or investment costs reduced. </w:t>
      </w:r>
      <w:proofErr w:type="spellStart"/>
      <w:r w:rsidRPr="00CC3D1D">
        <w:rPr>
          <w:rFonts w:ascii="Arial" w:hAnsi="Arial" w:cs="Arial"/>
        </w:rPr>
        <w:t>Barakuda</w:t>
      </w:r>
      <w:proofErr w:type="spellEnd"/>
      <w:r w:rsidRPr="00CC3D1D">
        <w:rPr>
          <w:rFonts w:ascii="Arial" w:hAnsi="Arial" w:cs="Arial"/>
        </w:rPr>
        <w:t xml:space="preserve"> et al. (2022) highlighted the need to invest scarce resources in investments that can provide sustainable value.</w:t>
      </w:r>
    </w:p>
    <w:p w14:paraId="4B372EF7" w14:textId="77777777" w:rsidR="00254B07" w:rsidRPr="00CC3D1D" w:rsidRDefault="00833687" w:rsidP="009423E3">
      <w:pPr>
        <w:pStyle w:val="Heading2"/>
        <w:rPr>
          <w:rFonts w:ascii="Arial" w:hAnsi="Arial" w:cs="Arial"/>
        </w:rPr>
      </w:pPr>
      <w:bookmarkStart w:id="30" w:name="_Toc237518256"/>
      <w:r w:rsidRPr="00CC3D1D">
        <w:rPr>
          <w:rFonts w:ascii="Arial" w:hAnsi="Arial" w:cs="Arial"/>
        </w:rPr>
        <w:t>5.5 Risk Considerations</w:t>
      </w:r>
      <w:bookmarkEnd w:id="30"/>
    </w:p>
    <w:p w14:paraId="1F11A0D6" w14:textId="4E5E9F39" w:rsidR="00254B07" w:rsidRPr="00CC3D1D" w:rsidRDefault="00833687" w:rsidP="009423E3">
      <w:pPr>
        <w:rPr>
          <w:rFonts w:ascii="Arial" w:hAnsi="Arial" w:cs="Arial"/>
        </w:rPr>
      </w:pPr>
      <w:r w:rsidRPr="00CC3D1D">
        <w:rPr>
          <w:rFonts w:ascii="Arial" w:hAnsi="Arial" w:cs="Arial"/>
        </w:rPr>
        <w:t xml:space="preserve">Even with the positive assessment, Project C faced several risks such as slower technology adoption, cyber threats, rising inflation, shifting customer preferences, and the global economy. It is possible that cash inflows will not be as anticipated and implementation expenses may be higher as a result of such factors. A change in the cost of capital may also impact the NPV and attractiveness of the project. </w:t>
      </w:r>
      <w:r w:rsidR="00D7495D" w:rsidRPr="00CC3D1D">
        <w:rPr>
          <w:rFonts w:ascii="Arial" w:hAnsi="Arial" w:cs="Arial"/>
        </w:rPr>
        <w:t>As per Chauhan et al. (2026), e</w:t>
      </w:r>
      <w:r w:rsidRPr="00CC3D1D">
        <w:rPr>
          <w:rFonts w:ascii="Arial" w:hAnsi="Arial" w:cs="Arial"/>
        </w:rPr>
        <w:t>mployee training, integration of systems and organisation adaptation may be additional aspects for digital transformation. IHG should</w:t>
      </w:r>
      <w:r w:rsidR="00D7495D" w:rsidRPr="00CC3D1D">
        <w:rPr>
          <w:rFonts w:ascii="Arial" w:hAnsi="Arial" w:cs="Arial"/>
        </w:rPr>
        <w:t>,</w:t>
      </w:r>
      <w:r w:rsidRPr="00CC3D1D">
        <w:rPr>
          <w:rFonts w:ascii="Arial" w:hAnsi="Arial" w:cs="Arial"/>
        </w:rPr>
        <w:t xml:space="preserve"> therefore</w:t>
      </w:r>
      <w:r w:rsidR="00D7495D" w:rsidRPr="00CC3D1D">
        <w:rPr>
          <w:rFonts w:ascii="Arial" w:hAnsi="Arial" w:cs="Arial"/>
        </w:rPr>
        <w:t>,</w:t>
      </w:r>
      <w:r w:rsidRPr="00CC3D1D">
        <w:rPr>
          <w:rFonts w:ascii="Arial" w:hAnsi="Arial" w:cs="Arial"/>
        </w:rPr>
        <w:t xml:space="preserve"> monitor actual cash flows against forecasted cash flows, review projects regularly and have contingency plans for when cash flows are lower and/or if costs go over. Overall, investment in project C would be preferred as it had the only positive NPV of £0.858 million, the shortest payback period and highest ARR but effective risk management would be required to ensure the anticipated advantages are realised.</w:t>
      </w:r>
    </w:p>
    <w:p w14:paraId="0253E2D3" w14:textId="77777777" w:rsidR="00254B07" w:rsidRPr="00CC3D1D" w:rsidRDefault="00833687" w:rsidP="009423E3">
      <w:pPr>
        <w:pStyle w:val="Heading1"/>
        <w:rPr>
          <w:rFonts w:ascii="Arial" w:hAnsi="Arial" w:cs="Arial"/>
        </w:rPr>
      </w:pPr>
      <w:bookmarkStart w:id="31" w:name="_Toc237518257"/>
      <w:r w:rsidRPr="00CC3D1D">
        <w:rPr>
          <w:rFonts w:ascii="Arial" w:hAnsi="Arial" w:cs="Arial"/>
        </w:rPr>
        <w:t>6. Critical Reflection on AI Usage</w:t>
      </w:r>
      <w:bookmarkEnd w:id="31"/>
    </w:p>
    <w:p w14:paraId="67316B27" w14:textId="130A1299" w:rsidR="00254B07" w:rsidRPr="00CC3D1D" w:rsidRDefault="00833687" w:rsidP="009423E3">
      <w:pPr>
        <w:rPr>
          <w:rFonts w:ascii="Arial" w:hAnsi="Arial" w:cs="Arial"/>
        </w:rPr>
      </w:pPr>
      <w:r w:rsidRPr="00CC3D1D">
        <w:rPr>
          <w:rFonts w:ascii="Arial" w:hAnsi="Arial" w:cs="Arial"/>
        </w:rPr>
        <w:t>In this financial management report, I</w:t>
      </w:r>
      <w:r w:rsidR="00085A72" w:rsidRPr="00CC3D1D">
        <w:rPr>
          <w:rFonts w:ascii="Arial" w:hAnsi="Arial" w:cs="Arial"/>
        </w:rPr>
        <w:t xml:space="preserve"> have</w:t>
      </w:r>
      <w:r w:rsidRPr="00CC3D1D">
        <w:rPr>
          <w:rFonts w:ascii="Arial" w:hAnsi="Arial" w:cs="Arial"/>
        </w:rPr>
        <w:t xml:space="preserve"> used Artificial Intelligence (AI) </w:t>
      </w:r>
      <w:r w:rsidR="00921769" w:rsidRPr="00CC3D1D">
        <w:rPr>
          <w:rFonts w:ascii="Arial" w:hAnsi="Arial" w:cs="Arial"/>
        </w:rPr>
        <w:t xml:space="preserve">only </w:t>
      </w:r>
      <w:r w:rsidRPr="00CC3D1D">
        <w:rPr>
          <w:rFonts w:ascii="Arial" w:hAnsi="Arial" w:cs="Arial"/>
        </w:rPr>
        <w:t xml:space="preserve">as a tool of research, data organisation, financial interpretation and academic writing. My first challenge was in connecting together the various financial ratios and how to use those to make an overall judgment as to the financial health of IHG. I used AI to make sense of purpose of individual ratios, and it also revealed to me that no single ratio demonstrates financial analysis. The formulas for profitability, liquidity, efficiency, leverage and investment ratios helped me learn about what each ratio is and the type of information it conveys about business performance. The financial statements in Excel were a valuable tool that I used in my work. Initially, the Net Profit Margin, ROA and ROE were the main focus. I noticed however that by developing the wider ratio analysis it helped me appreciate the relationship between Gross Profit Margin, Operating Profit Margin and Net Profit Margin. One additional lesson that I learned is that profitability need not translate to liquidity. While IHG became more profitable, its financial performance was also seen to be on the decline with lesser Current (Quick and Cash) Ratios which reinforced the cross-checking of financial performance from multiple angles. These calculations helped to clarify the concept of Cash Conversion Cycle (CCC) for working capital management. I thought that IHG's asset-light business </w:t>
      </w:r>
      <w:r w:rsidRPr="00CC3D1D">
        <w:rPr>
          <w:rFonts w:ascii="Arial" w:hAnsi="Arial" w:cs="Arial"/>
        </w:rPr>
        <w:lastRenderedPageBreak/>
        <w:t>was enough to convince me of this conclusion, but when I started computing Inventory Days, Receivable Days and Payable Days, I realized that there is some validity to that logic. Also, the negative CCC for 2024 of -258.30 days clarified its working-capital position, as IHG was generally able to settle its supplier obligations after receiving cash.</w:t>
      </w:r>
    </w:p>
    <w:p w14:paraId="6DE8A157" w14:textId="301BBD70" w:rsidR="00254B07" w:rsidRPr="00CC3D1D" w:rsidRDefault="00A50314" w:rsidP="009423E3">
      <w:pPr>
        <w:rPr>
          <w:rFonts w:ascii="Arial" w:hAnsi="Arial" w:cs="Arial"/>
        </w:rPr>
      </w:pPr>
      <w:r w:rsidRPr="00CC3D1D">
        <w:rPr>
          <w:rFonts w:ascii="Arial" w:hAnsi="Arial" w:cs="Arial"/>
        </w:rPr>
        <w:t xml:space="preserve">As per the ideas of </w:t>
      </w:r>
      <w:proofErr w:type="spellStart"/>
      <w:r w:rsidRPr="00CC3D1D">
        <w:rPr>
          <w:rFonts w:ascii="Arial" w:hAnsi="Arial" w:cs="Arial"/>
        </w:rPr>
        <w:t>Fridson</w:t>
      </w:r>
      <w:proofErr w:type="spellEnd"/>
      <w:r w:rsidRPr="00CC3D1D">
        <w:rPr>
          <w:rFonts w:ascii="Arial" w:hAnsi="Arial" w:cs="Arial"/>
        </w:rPr>
        <w:t xml:space="preserve"> and Alvarez (2022), </w:t>
      </w:r>
      <w:r w:rsidR="0007130E" w:rsidRPr="00CC3D1D">
        <w:rPr>
          <w:rFonts w:ascii="Arial" w:hAnsi="Arial" w:cs="Arial"/>
        </w:rPr>
        <w:t xml:space="preserve">financial analysis </w:t>
      </w:r>
      <w:r w:rsidRPr="00CC3D1D">
        <w:rPr>
          <w:rFonts w:ascii="Arial" w:hAnsi="Arial" w:cs="Arial"/>
        </w:rPr>
        <w:t xml:space="preserve">has to incorporate appreciation of business strategy, the business that you are in and management decisions. </w:t>
      </w:r>
      <w:r w:rsidR="00833687" w:rsidRPr="00CC3D1D">
        <w:rPr>
          <w:rFonts w:ascii="Arial" w:hAnsi="Arial" w:cs="Arial"/>
        </w:rPr>
        <w:t xml:space="preserve">A second key learning experience was understanding how to </w:t>
      </w:r>
      <w:r w:rsidR="00D7495D" w:rsidRPr="00CC3D1D">
        <w:rPr>
          <w:rFonts w:ascii="Arial" w:hAnsi="Arial" w:cs="Arial"/>
        </w:rPr>
        <w:t>analyse</w:t>
      </w:r>
      <w:r w:rsidR="00833687" w:rsidRPr="00CC3D1D">
        <w:rPr>
          <w:rFonts w:ascii="Arial" w:hAnsi="Arial" w:cs="Arial"/>
        </w:rPr>
        <w:t xml:space="preserve"> negative ROE. One could have taken the numbers back just as one could look at a negative ROE as poor performance. IHG, however, revealed that their negative shareholders' equity led to the ratio being skewed by the capital structure, and so was different from what it seemed. It helped me to learn not to make decisions based on individual ratios based off the financial factors. AI also provided me with ideas on possible reasons and ways to enhance the presentation of my study, but some of the information and interpretations generated from AI needed to be corrected. I have therefore compared the financial details with IHG's Annual Reports as well as academics against the original journal sources. It helped me develop my critical thinking skills and understanding that what AI provides is suggestions not infallible facts. </w:t>
      </w:r>
      <w:r w:rsidR="00921769" w:rsidRPr="00CC3D1D">
        <w:rPr>
          <w:rFonts w:ascii="Arial" w:hAnsi="Arial" w:cs="Arial"/>
        </w:rPr>
        <w:t>This overall</w:t>
      </w:r>
      <w:r w:rsidR="00833687" w:rsidRPr="00CC3D1D">
        <w:rPr>
          <w:rFonts w:ascii="Arial" w:hAnsi="Arial" w:cs="Arial"/>
        </w:rPr>
        <w:t xml:space="preserve"> experience helped me to modify my financial analysis approach. I</w:t>
      </w:r>
      <w:r w:rsidR="00921769" w:rsidRPr="00CC3D1D">
        <w:rPr>
          <w:rFonts w:ascii="Arial" w:hAnsi="Arial" w:cs="Arial"/>
        </w:rPr>
        <w:t>n future, I</w:t>
      </w:r>
      <w:r w:rsidR="00833687" w:rsidRPr="00CC3D1D">
        <w:rPr>
          <w:rFonts w:ascii="Arial" w:hAnsi="Arial" w:cs="Arial"/>
        </w:rPr>
        <w:t xml:space="preserve"> would prefer starting with the original financial statements, the Excel calculations and only relying on AI for interpretation and/or presentation of the information. I </w:t>
      </w:r>
      <w:r w:rsidR="00921769" w:rsidRPr="00CC3D1D">
        <w:rPr>
          <w:rFonts w:ascii="Arial" w:hAnsi="Arial" w:cs="Arial"/>
        </w:rPr>
        <w:t>will</w:t>
      </w:r>
      <w:r w:rsidR="00833687" w:rsidRPr="00CC3D1D">
        <w:rPr>
          <w:rFonts w:ascii="Arial" w:hAnsi="Arial" w:cs="Arial"/>
        </w:rPr>
        <w:t xml:space="preserve"> also check the numbers myself to double check results and use AI as a tool to assist with my own judgment. </w:t>
      </w:r>
    </w:p>
    <w:p w14:paraId="10828636" w14:textId="77777777" w:rsidR="00254B07" w:rsidRPr="00CC3D1D" w:rsidRDefault="00833687" w:rsidP="009423E3">
      <w:pPr>
        <w:pStyle w:val="Heading1"/>
        <w:rPr>
          <w:rFonts w:ascii="Arial" w:hAnsi="Arial" w:cs="Arial"/>
        </w:rPr>
      </w:pPr>
      <w:bookmarkStart w:id="32" w:name="_Toc237518258"/>
      <w:r w:rsidRPr="00CC3D1D">
        <w:rPr>
          <w:rFonts w:ascii="Arial" w:hAnsi="Arial" w:cs="Arial"/>
        </w:rPr>
        <w:t>7. Conclusion</w:t>
      </w:r>
      <w:bookmarkEnd w:id="32"/>
    </w:p>
    <w:p w14:paraId="7A6385FA" w14:textId="72FDDA17" w:rsidR="00254B07" w:rsidRPr="00CC3D1D" w:rsidRDefault="00833687" w:rsidP="009423E3">
      <w:pPr>
        <w:rPr>
          <w:rFonts w:ascii="Arial" w:hAnsi="Arial" w:cs="Arial"/>
        </w:rPr>
      </w:pPr>
      <w:r w:rsidRPr="00CC3D1D">
        <w:rPr>
          <w:rFonts w:ascii="Arial" w:hAnsi="Arial" w:cs="Arial"/>
        </w:rPr>
        <w:t xml:space="preserve">The assessment of </w:t>
      </w:r>
      <w:r w:rsidR="00085A72" w:rsidRPr="00CC3D1D">
        <w:rPr>
          <w:rFonts w:ascii="Arial" w:hAnsi="Arial" w:cs="Arial"/>
        </w:rPr>
        <w:t>financial performance, working capital management, strategic financial restructuring and investment appraisal</w:t>
      </w:r>
      <w:r w:rsidRPr="00CC3D1D">
        <w:rPr>
          <w:rFonts w:ascii="Arial" w:hAnsi="Arial" w:cs="Arial"/>
        </w:rPr>
        <w:t xml:space="preserve"> of InterContinental Hotels Group (IHG) is covered </w:t>
      </w:r>
      <w:r w:rsidR="00085A72" w:rsidRPr="00CC3D1D">
        <w:rPr>
          <w:rFonts w:ascii="Arial" w:hAnsi="Arial" w:cs="Arial"/>
        </w:rPr>
        <w:t xml:space="preserve">for </w:t>
      </w:r>
      <w:r w:rsidRPr="00CC3D1D">
        <w:rPr>
          <w:rFonts w:ascii="Arial" w:hAnsi="Arial" w:cs="Arial"/>
        </w:rPr>
        <w:t>the year 202</w:t>
      </w:r>
      <w:r w:rsidR="00085A72" w:rsidRPr="00CC3D1D">
        <w:rPr>
          <w:rFonts w:ascii="Arial" w:hAnsi="Arial" w:cs="Arial"/>
        </w:rPr>
        <w:t>0</w:t>
      </w:r>
      <w:r w:rsidRPr="00CC3D1D">
        <w:rPr>
          <w:rFonts w:ascii="Arial" w:hAnsi="Arial" w:cs="Arial"/>
        </w:rPr>
        <w:t>-202</w:t>
      </w:r>
      <w:r w:rsidR="00085A72" w:rsidRPr="00CC3D1D">
        <w:rPr>
          <w:rFonts w:ascii="Arial" w:hAnsi="Arial" w:cs="Arial"/>
        </w:rPr>
        <w:t>4</w:t>
      </w:r>
      <w:r w:rsidRPr="00CC3D1D">
        <w:rPr>
          <w:rFonts w:ascii="Arial" w:hAnsi="Arial" w:cs="Arial"/>
        </w:rPr>
        <w:t xml:space="preserve">. Overall, the results do appear to be positive and representative of the effectiveness of the company in implementing their asset light business model as reflected in the model's revenues which showed positive growth, alongside asset utilisation and profitability being improved. The liquidity ratios were not as good as normal ratios and the negative share equity was particularly associated with the process of capital usage, rather than with bad operations. Further investment in digital transformation, sustainable investment, and good capital management </w:t>
      </w:r>
      <w:r w:rsidR="00085A72" w:rsidRPr="00CC3D1D">
        <w:rPr>
          <w:rFonts w:ascii="Arial" w:hAnsi="Arial" w:cs="Arial"/>
        </w:rPr>
        <w:t>has</w:t>
      </w:r>
      <w:r w:rsidRPr="00CC3D1D">
        <w:rPr>
          <w:rFonts w:ascii="Arial" w:hAnsi="Arial" w:cs="Arial"/>
        </w:rPr>
        <w:t xml:space="preserve"> the potential to further enhance the power of finance in the future; </w:t>
      </w:r>
      <w:r w:rsidRPr="00CC3D1D">
        <w:rPr>
          <w:rFonts w:ascii="Arial" w:hAnsi="Arial" w:cs="Arial"/>
        </w:rPr>
        <w:lastRenderedPageBreak/>
        <w:t>the case of Financial Restructuring options and positive investment appraisal is just such an example. Consequently, IHG will continue its path to profitable growth, sustain an improvement of shareholder value and will be a major player in the hospitality industry worldwide.</w:t>
      </w:r>
    </w:p>
    <w:p w14:paraId="5717C925" w14:textId="77777777" w:rsidR="00254B07" w:rsidRPr="00ED11D1" w:rsidRDefault="00833687" w:rsidP="00ED11D1">
      <w:pPr>
        <w:pStyle w:val="Heading1"/>
        <w:rPr>
          <w:rFonts w:ascii="Arial" w:hAnsi="Arial" w:cs="Arial"/>
        </w:rPr>
      </w:pPr>
      <w:r w:rsidRPr="00CC3D1D">
        <w:rPr>
          <w:rFonts w:ascii="Arial" w:hAnsi="Arial" w:cs="Arial"/>
        </w:rPr>
        <w:br w:type="page"/>
      </w:r>
      <w:bookmarkStart w:id="33" w:name="_Toc237518259"/>
      <w:r w:rsidRPr="00ED11D1">
        <w:rPr>
          <w:rFonts w:ascii="Arial" w:hAnsi="Arial" w:cs="Arial"/>
        </w:rPr>
        <w:lastRenderedPageBreak/>
        <w:t>References</w:t>
      </w:r>
      <w:bookmarkEnd w:id="33"/>
    </w:p>
    <w:p w14:paraId="738F2145" w14:textId="77777777" w:rsidR="00ED11D1" w:rsidRPr="00ED11D1" w:rsidRDefault="00ED11D1" w:rsidP="00ED11D1">
      <w:pPr>
        <w:spacing w:after="240"/>
        <w:rPr>
          <w:rFonts w:ascii="Arial" w:hAnsi="Arial" w:cs="Arial"/>
          <w:color w:val="0000FF"/>
          <w:u w:val="single"/>
        </w:rPr>
      </w:pPr>
      <w:r w:rsidRPr="00ED11D1">
        <w:rPr>
          <w:rFonts w:ascii="Arial" w:hAnsi="Arial" w:cs="Arial"/>
          <w:color w:val="222222"/>
          <w:highlight w:val="white"/>
        </w:rPr>
        <w:t xml:space="preserve">Amoako, G.K., Doe, J.K. and </w:t>
      </w:r>
      <w:proofErr w:type="spellStart"/>
      <w:r w:rsidRPr="00ED11D1">
        <w:rPr>
          <w:rFonts w:ascii="Arial" w:hAnsi="Arial" w:cs="Arial"/>
          <w:color w:val="222222"/>
          <w:highlight w:val="white"/>
        </w:rPr>
        <w:t>Neequaye</w:t>
      </w:r>
      <w:proofErr w:type="spellEnd"/>
      <w:r w:rsidRPr="00ED11D1">
        <w:rPr>
          <w:rFonts w:ascii="Arial" w:hAnsi="Arial" w:cs="Arial"/>
          <w:color w:val="222222"/>
          <w:highlight w:val="white"/>
        </w:rPr>
        <w:t>, E.K., 2023. Online innovation and repurchase intentions in hotels: the mediating effect of customer experience. </w:t>
      </w:r>
      <w:r w:rsidRPr="00ED11D1">
        <w:rPr>
          <w:rFonts w:ascii="Arial" w:hAnsi="Arial" w:cs="Arial"/>
          <w:i/>
          <w:iCs/>
          <w:color w:val="222222"/>
          <w:highlight w:val="white"/>
        </w:rPr>
        <w:t>International Hospitality Review</w:t>
      </w:r>
      <w:r w:rsidRPr="00ED11D1">
        <w:rPr>
          <w:rFonts w:ascii="Arial" w:hAnsi="Arial" w:cs="Arial"/>
          <w:color w:val="222222"/>
          <w:highlight w:val="white"/>
        </w:rPr>
        <w:t>, </w:t>
      </w:r>
      <w:r w:rsidRPr="00ED11D1">
        <w:rPr>
          <w:rFonts w:ascii="Arial" w:hAnsi="Arial" w:cs="Arial"/>
          <w:i/>
          <w:iCs/>
          <w:color w:val="222222"/>
          <w:highlight w:val="white"/>
        </w:rPr>
        <w:t>37</w:t>
      </w:r>
      <w:r w:rsidRPr="00ED11D1">
        <w:rPr>
          <w:rFonts w:ascii="Arial" w:hAnsi="Arial" w:cs="Arial"/>
          <w:color w:val="222222"/>
          <w:highlight w:val="white"/>
        </w:rPr>
        <w:t xml:space="preserve">(1), pp.28-47. </w:t>
      </w:r>
      <w:hyperlink r:id="rId15">
        <w:r w:rsidRPr="00ED11D1">
          <w:rPr>
            <w:rFonts w:ascii="Arial" w:hAnsi="Arial" w:cs="Arial"/>
            <w:color w:val="0000FF"/>
            <w:highlight w:val="white"/>
            <w:u w:val="single"/>
          </w:rPr>
          <w:t>https://www.emerald.com/ihr/article/37/1/28/112773</w:t>
        </w:r>
      </w:hyperlink>
    </w:p>
    <w:p w14:paraId="54FC4163" w14:textId="77777777" w:rsidR="00ED11D1" w:rsidRPr="00ED11D1" w:rsidRDefault="00ED11D1" w:rsidP="00ED11D1">
      <w:pPr>
        <w:spacing w:after="240"/>
        <w:rPr>
          <w:rFonts w:ascii="Arial" w:hAnsi="Arial" w:cs="Arial"/>
          <w:color w:val="0000FF"/>
          <w:u w:val="single"/>
        </w:rPr>
      </w:pPr>
      <w:r w:rsidRPr="00ED11D1">
        <w:rPr>
          <w:rFonts w:ascii="Arial" w:hAnsi="Arial" w:cs="Arial"/>
          <w:color w:val="222222"/>
          <w:highlight w:val="white"/>
        </w:rPr>
        <w:t xml:space="preserve">Amoako, G.K., </w:t>
      </w:r>
      <w:proofErr w:type="spellStart"/>
      <w:r w:rsidRPr="00ED11D1">
        <w:rPr>
          <w:rFonts w:ascii="Arial" w:hAnsi="Arial" w:cs="Arial"/>
          <w:color w:val="222222"/>
          <w:highlight w:val="white"/>
        </w:rPr>
        <w:t>Obuobisa</w:t>
      </w:r>
      <w:proofErr w:type="spellEnd"/>
      <w:r w:rsidRPr="00ED11D1">
        <w:rPr>
          <w:rFonts w:ascii="Arial" w:hAnsi="Arial" w:cs="Arial"/>
          <w:color w:val="222222"/>
          <w:highlight w:val="white"/>
        </w:rPr>
        <w:t xml:space="preserve">-Darko, T. and Ohene </w:t>
      </w:r>
      <w:proofErr w:type="spellStart"/>
      <w:r w:rsidRPr="00ED11D1">
        <w:rPr>
          <w:rFonts w:ascii="Arial" w:hAnsi="Arial" w:cs="Arial"/>
          <w:color w:val="222222"/>
          <w:highlight w:val="white"/>
        </w:rPr>
        <w:t>Marfo</w:t>
      </w:r>
      <w:proofErr w:type="spellEnd"/>
      <w:r w:rsidRPr="00ED11D1">
        <w:rPr>
          <w:rFonts w:ascii="Arial" w:hAnsi="Arial" w:cs="Arial"/>
          <w:color w:val="222222"/>
          <w:highlight w:val="white"/>
        </w:rPr>
        <w:t>, S., 2022. Stakeholder role in tourism sustainability: The case of Kwame Nkrumah Mausoleum and centre for art and culture in Ghana. </w:t>
      </w:r>
      <w:r w:rsidRPr="00ED11D1">
        <w:rPr>
          <w:rFonts w:ascii="Arial" w:hAnsi="Arial" w:cs="Arial"/>
          <w:i/>
          <w:iCs/>
          <w:color w:val="222222"/>
          <w:highlight w:val="white"/>
        </w:rPr>
        <w:t>International Hospitality Review</w:t>
      </w:r>
      <w:r w:rsidRPr="00ED11D1">
        <w:rPr>
          <w:rFonts w:ascii="Arial" w:hAnsi="Arial" w:cs="Arial"/>
          <w:color w:val="222222"/>
          <w:highlight w:val="white"/>
        </w:rPr>
        <w:t>, </w:t>
      </w:r>
      <w:r w:rsidRPr="00ED11D1">
        <w:rPr>
          <w:rFonts w:ascii="Arial" w:hAnsi="Arial" w:cs="Arial"/>
          <w:i/>
          <w:iCs/>
          <w:color w:val="222222"/>
          <w:highlight w:val="white"/>
        </w:rPr>
        <w:t>36</w:t>
      </w:r>
      <w:r w:rsidRPr="00ED11D1">
        <w:rPr>
          <w:rFonts w:ascii="Arial" w:hAnsi="Arial" w:cs="Arial"/>
          <w:color w:val="222222"/>
          <w:highlight w:val="white"/>
        </w:rPr>
        <w:t xml:space="preserve">(1), pp.25-44. </w:t>
      </w:r>
      <w:hyperlink r:id="rId16">
        <w:r w:rsidRPr="00ED11D1">
          <w:rPr>
            <w:rFonts w:ascii="Arial" w:hAnsi="Arial" w:cs="Arial"/>
            <w:color w:val="0000FF"/>
            <w:highlight w:val="white"/>
            <w:u w:val="single"/>
          </w:rPr>
          <w:t>https://www.emerald.com/ihr/article/36/1/25/107192</w:t>
        </w:r>
      </w:hyperlink>
    </w:p>
    <w:p w14:paraId="6C654D67" w14:textId="77777777" w:rsidR="00ED11D1" w:rsidRPr="00CC3D1D" w:rsidRDefault="00ED11D1" w:rsidP="00ED11D1">
      <w:pPr>
        <w:pStyle w:val="NormalWeb"/>
        <w:spacing w:before="0" w:beforeAutospacing="0" w:after="240" w:afterAutospacing="0" w:line="360" w:lineRule="auto"/>
        <w:jc w:val="both"/>
        <w:rPr>
          <w:rFonts w:ascii="Arial" w:hAnsi="Arial" w:cs="Arial"/>
        </w:rPr>
      </w:pPr>
      <w:r w:rsidRPr="00CC3D1D">
        <w:rPr>
          <w:rFonts w:ascii="Arial" w:hAnsi="Arial" w:cs="Arial"/>
        </w:rPr>
        <w:t xml:space="preserve">Annual Report, 2020. </w:t>
      </w:r>
      <w:r w:rsidRPr="00CC3D1D">
        <w:rPr>
          <w:rFonts w:ascii="Arial" w:hAnsi="Arial" w:cs="Arial"/>
          <w:i/>
          <w:iCs/>
        </w:rPr>
        <w:t>IHG Annual Report 2020.</w:t>
      </w:r>
      <w:r w:rsidRPr="00CC3D1D">
        <w:rPr>
          <w:rFonts w:ascii="Arial" w:hAnsi="Arial" w:cs="Arial"/>
        </w:rPr>
        <w:t xml:space="preserve"> Available at: </w:t>
      </w:r>
      <w:hyperlink r:id="rId17" w:history="1">
        <w:r w:rsidRPr="00ED11D1">
          <w:rPr>
            <w:rStyle w:val="Hyperlink"/>
            <w:rFonts w:ascii="Arial" w:hAnsi="Arial" w:cs="Arial"/>
          </w:rPr>
          <w:t>www.ihgplc.com/~/media/Files/I/Ihg-Plc/investors/shareholder-center/annual-reports-and-responsible-business-reports/annual-reports/2020/ihg-2020ar.pdf</w:t>
        </w:r>
      </w:hyperlink>
      <w:r w:rsidRPr="00ED11D1">
        <w:rPr>
          <w:rFonts w:ascii="Arial" w:hAnsi="Arial" w:cs="Arial"/>
          <w:color w:val="FF0000"/>
        </w:rPr>
        <w:t xml:space="preserve"> </w:t>
      </w:r>
      <w:r w:rsidRPr="00CC3D1D">
        <w:rPr>
          <w:rFonts w:ascii="Arial" w:hAnsi="Arial" w:cs="Arial"/>
        </w:rPr>
        <w:t>[Accessed on 30.07.2026].</w:t>
      </w:r>
    </w:p>
    <w:p w14:paraId="05574B7A"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t>Annual Report, 2021.</w:t>
      </w:r>
      <w:r w:rsidRPr="00ED11D1">
        <w:rPr>
          <w:rFonts w:ascii="Arial" w:hAnsi="Arial" w:cs="Arial"/>
          <w:i/>
          <w:iCs/>
          <w:color w:val="000000"/>
        </w:rPr>
        <w:t xml:space="preserve"> IHG Annual Report 2021.</w:t>
      </w:r>
      <w:r w:rsidRPr="00ED11D1">
        <w:rPr>
          <w:rFonts w:ascii="Arial" w:hAnsi="Arial" w:cs="Arial"/>
          <w:color w:val="000000"/>
        </w:rPr>
        <w:t xml:space="preserve"> Available at: </w:t>
      </w:r>
      <w:hyperlink r:id="rId18" w:history="1">
        <w:r w:rsidRPr="00ED11D1">
          <w:rPr>
            <w:rStyle w:val="Hyperlink"/>
            <w:rFonts w:ascii="Arial" w:hAnsi="Arial" w:cs="Arial"/>
          </w:rPr>
          <w:t>https://www.annualreports.com/HostedData/AnnualReportArchive/i/NYSE_IHG_2021.pdf</w:t>
        </w:r>
      </w:hyperlink>
      <w:r w:rsidRPr="00ED11D1">
        <w:rPr>
          <w:rFonts w:ascii="Arial" w:hAnsi="Arial" w:cs="Arial"/>
          <w:color w:val="000000"/>
        </w:rPr>
        <w:t xml:space="preserve"> [Accessed on 28.07.2026].</w:t>
      </w:r>
    </w:p>
    <w:p w14:paraId="00F73FE5"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t>Annual Report, 2022.</w:t>
      </w:r>
      <w:r w:rsidRPr="00ED11D1">
        <w:rPr>
          <w:rFonts w:ascii="Arial" w:hAnsi="Arial" w:cs="Arial"/>
          <w:i/>
          <w:iCs/>
          <w:color w:val="000000"/>
        </w:rPr>
        <w:t xml:space="preserve"> IHG Annual Report 2022</w:t>
      </w:r>
      <w:r w:rsidRPr="00ED11D1">
        <w:rPr>
          <w:rFonts w:ascii="Arial" w:hAnsi="Arial" w:cs="Arial"/>
          <w:color w:val="000000"/>
        </w:rPr>
        <w:t xml:space="preserve">. Available at: </w:t>
      </w:r>
      <w:hyperlink r:id="rId19" w:history="1">
        <w:r w:rsidRPr="00ED11D1">
          <w:rPr>
            <w:rStyle w:val="Hyperlink"/>
            <w:rFonts w:ascii="Arial" w:hAnsi="Arial" w:cs="Arial"/>
          </w:rPr>
          <w:t>https://www.annualreports.com/HostedData/AnnualReportArchive/i/NYSE_IHG_2022.pdf</w:t>
        </w:r>
      </w:hyperlink>
      <w:r w:rsidRPr="00ED11D1">
        <w:rPr>
          <w:rFonts w:ascii="Arial" w:hAnsi="Arial" w:cs="Arial"/>
          <w:color w:val="000000"/>
        </w:rPr>
        <w:t xml:space="preserve"> [Accessed on 29.07.2026].</w:t>
      </w:r>
    </w:p>
    <w:p w14:paraId="285AECFD"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t xml:space="preserve">Annual Report, 2023. </w:t>
      </w:r>
      <w:r w:rsidRPr="00ED11D1">
        <w:rPr>
          <w:rFonts w:ascii="Arial" w:hAnsi="Arial" w:cs="Arial"/>
          <w:i/>
          <w:iCs/>
          <w:color w:val="000000"/>
        </w:rPr>
        <w:t>IHG</w:t>
      </w:r>
      <w:r w:rsidRPr="00ED11D1">
        <w:rPr>
          <w:rFonts w:ascii="Arial" w:hAnsi="Arial" w:cs="Arial"/>
          <w:color w:val="000000"/>
        </w:rPr>
        <w:t xml:space="preserve"> </w:t>
      </w:r>
      <w:r w:rsidRPr="00ED11D1">
        <w:rPr>
          <w:rFonts w:ascii="Arial" w:hAnsi="Arial" w:cs="Arial"/>
          <w:i/>
          <w:iCs/>
          <w:color w:val="000000"/>
        </w:rPr>
        <w:t>Annual</w:t>
      </w:r>
      <w:r w:rsidRPr="00ED11D1">
        <w:rPr>
          <w:rFonts w:ascii="Arial" w:hAnsi="Arial" w:cs="Arial"/>
          <w:color w:val="000000"/>
        </w:rPr>
        <w:t xml:space="preserve"> </w:t>
      </w:r>
      <w:r w:rsidRPr="00ED11D1">
        <w:rPr>
          <w:rFonts w:ascii="Arial" w:hAnsi="Arial" w:cs="Arial"/>
          <w:i/>
          <w:iCs/>
          <w:color w:val="000000"/>
        </w:rPr>
        <w:t>Report</w:t>
      </w:r>
      <w:r w:rsidRPr="00ED11D1">
        <w:rPr>
          <w:rFonts w:ascii="Arial" w:hAnsi="Arial" w:cs="Arial"/>
          <w:color w:val="000000"/>
        </w:rPr>
        <w:t xml:space="preserve"> </w:t>
      </w:r>
      <w:r w:rsidRPr="00ED11D1">
        <w:rPr>
          <w:rFonts w:ascii="Arial" w:hAnsi="Arial" w:cs="Arial"/>
          <w:i/>
          <w:iCs/>
          <w:color w:val="000000"/>
        </w:rPr>
        <w:t>2023</w:t>
      </w:r>
      <w:r w:rsidRPr="00ED11D1">
        <w:rPr>
          <w:rFonts w:ascii="Arial" w:hAnsi="Arial" w:cs="Arial"/>
          <w:color w:val="000000"/>
        </w:rPr>
        <w:t xml:space="preserve">. Available at: </w:t>
      </w:r>
      <w:hyperlink r:id="rId20" w:history="1">
        <w:r w:rsidRPr="00ED11D1">
          <w:rPr>
            <w:rStyle w:val="Hyperlink"/>
            <w:rFonts w:ascii="Arial" w:hAnsi="Arial" w:cs="Arial"/>
          </w:rPr>
          <w:t>https://www.annualreports.com/HostedData/AnnualReportArchive/i/NYSE_IHG_2023.pdf</w:t>
        </w:r>
      </w:hyperlink>
      <w:r w:rsidRPr="00ED11D1">
        <w:rPr>
          <w:rFonts w:ascii="Arial" w:hAnsi="Arial" w:cs="Arial"/>
          <w:color w:val="000000"/>
        </w:rPr>
        <w:t xml:space="preserve"> [Accessed on 28.07.2026].</w:t>
      </w:r>
    </w:p>
    <w:p w14:paraId="4342739D"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t xml:space="preserve">Annual Report, 2024. </w:t>
      </w:r>
      <w:r w:rsidRPr="00ED11D1">
        <w:rPr>
          <w:rFonts w:ascii="Arial" w:hAnsi="Arial" w:cs="Arial"/>
          <w:i/>
          <w:iCs/>
          <w:color w:val="000000"/>
        </w:rPr>
        <w:t>IHG</w:t>
      </w:r>
      <w:r w:rsidRPr="00ED11D1">
        <w:rPr>
          <w:rFonts w:ascii="Arial" w:hAnsi="Arial" w:cs="Arial"/>
          <w:color w:val="000000"/>
        </w:rPr>
        <w:t xml:space="preserve"> </w:t>
      </w:r>
      <w:r w:rsidRPr="00ED11D1">
        <w:rPr>
          <w:rFonts w:ascii="Arial" w:hAnsi="Arial" w:cs="Arial"/>
          <w:i/>
          <w:iCs/>
          <w:color w:val="000000"/>
        </w:rPr>
        <w:t>Annual</w:t>
      </w:r>
      <w:r w:rsidRPr="00ED11D1">
        <w:rPr>
          <w:rFonts w:ascii="Arial" w:hAnsi="Arial" w:cs="Arial"/>
          <w:color w:val="000000"/>
        </w:rPr>
        <w:t xml:space="preserve"> </w:t>
      </w:r>
      <w:r w:rsidRPr="00ED11D1">
        <w:rPr>
          <w:rFonts w:ascii="Arial" w:hAnsi="Arial" w:cs="Arial"/>
          <w:i/>
          <w:iCs/>
          <w:color w:val="000000"/>
        </w:rPr>
        <w:t>Report</w:t>
      </w:r>
      <w:r w:rsidRPr="00ED11D1">
        <w:rPr>
          <w:rFonts w:ascii="Arial" w:hAnsi="Arial" w:cs="Arial"/>
          <w:color w:val="000000"/>
        </w:rPr>
        <w:t xml:space="preserve"> </w:t>
      </w:r>
      <w:r w:rsidRPr="00ED11D1">
        <w:rPr>
          <w:rFonts w:ascii="Arial" w:hAnsi="Arial" w:cs="Arial"/>
          <w:i/>
          <w:iCs/>
          <w:color w:val="000000"/>
        </w:rPr>
        <w:t>2024</w:t>
      </w:r>
      <w:r w:rsidRPr="00ED11D1">
        <w:rPr>
          <w:rFonts w:ascii="Arial" w:hAnsi="Arial" w:cs="Arial"/>
          <w:color w:val="000000"/>
        </w:rPr>
        <w:t xml:space="preserve">. Available at: </w:t>
      </w:r>
      <w:hyperlink r:id="rId21" w:history="1">
        <w:r w:rsidRPr="00ED11D1">
          <w:rPr>
            <w:rStyle w:val="Hyperlink"/>
            <w:rFonts w:ascii="Arial" w:hAnsi="Arial" w:cs="Arial"/>
          </w:rPr>
          <w:t>https://www.annualreports.com/HostedData/AnnualReports/PDF/NYSE_IHG_2024.pdf</w:t>
        </w:r>
      </w:hyperlink>
      <w:r w:rsidRPr="00ED11D1">
        <w:rPr>
          <w:rFonts w:ascii="Arial" w:hAnsi="Arial" w:cs="Arial"/>
          <w:color w:val="000000"/>
        </w:rPr>
        <w:t xml:space="preserve"> [Accessed on 27.07.2026].</w:t>
      </w:r>
    </w:p>
    <w:p w14:paraId="675A1ADF"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t xml:space="preserve">Annual Report, 2025. </w:t>
      </w:r>
      <w:r w:rsidRPr="00ED11D1">
        <w:rPr>
          <w:rFonts w:ascii="Arial" w:hAnsi="Arial" w:cs="Arial"/>
          <w:i/>
          <w:iCs/>
          <w:color w:val="000000"/>
        </w:rPr>
        <w:t>IHG</w:t>
      </w:r>
      <w:r w:rsidRPr="00ED11D1">
        <w:rPr>
          <w:rFonts w:ascii="Arial" w:hAnsi="Arial" w:cs="Arial"/>
          <w:color w:val="000000"/>
        </w:rPr>
        <w:t xml:space="preserve"> </w:t>
      </w:r>
      <w:r w:rsidRPr="00ED11D1">
        <w:rPr>
          <w:rFonts w:ascii="Arial" w:hAnsi="Arial" w:cs="Arial"/>
          <w:i/>
          <w:iCs/>
          <w:color w:val="000000"/>
        </w:rPr>
        <w:t>Annual</w:t>
      </w:r>
      <w:r w:rsidRPr="00ED11D1">
        <w:rPr>
          <w:rFonts w:ascii="Arial" w:hAnsi="Arial" w:cs="Arial"/>
          <w:color w:val="000000"/>
        </w:rPr>
        <w:t xml:space="preserve"> </w:t>
      </w:r>
      <w:r w:rsidRPr="00ED11D1">
        <w:rPr>
          <w:rFonts w:ascii="Arial" w:hAnsi="Arial" w:cs="Arial"/>
          <w:i/>
          <w:iCs/>
          <w:color w:val="000000"/>
        </w:rPr>
        <w:t>Report</w:t>
      </w:r>
      <w:r w:rsidRPr="00ED11D1">
        <w:rPr>
          <w:rFonts w:ascii="Arial" w:hAnsi="Arial" w:cs="Arial"/>
          <w:color w:val="000000"/>
        </w:rPr>
        <w:t xml:space="preserve"> </w:t>
      </w:r>
      <w:r w:rsidRPr="00ED11D1">
        <w:rPr>
          <w:rFonts w:ascii="Arial" w:hAnsi="Arial" w:cs="Arial"/>
          <w:i/>
          <w:iCs/>
          <w:color w:val="000000"/>
        </w:rPr>
        <w:t>2025</w:t>
      </w:r>
      <w:r w:rsidRPr="00ED11D1">
        <w:rPr>
          <w:rFonts w:ascii="Arial" w:hAnsi="Arial" w:cs="Arial"/>
          <w:color w:val="000000"/>
        </w:rPr>
        <w:t xml:space="preserve">. Available at: </w:t>
      </w:r>
      <w:hyperlink r:id="rId22" w:history="1">
        <w:r w:rsidRPr="00ED11D1">
          <w:rPr>
            <w:rStyle w:val="Hyperlink"/>
            <w:rFonts w:ascii="Arial" w:hAnsi="Arial" w:cs="Arial"/>
          </w:rPr>
          <w:t>https://www.ihgplc.com/~/media/Files/I/Ihg-Plc/investors/annual-report/2025/ihg-ar25-interactive.pdf</w:t>
        </w:r>
      </w:hyperlink>
      <w:r w:rsidRPr="00ED11D1">
        <w:rPr>
          <w:rFonts w:ascii="Arial" w:hAnsi="Arial" w:cs="Arial"/>
          <w:color w:val="000000"/>
        </w:rPr>
        <w:t xml:space="preserve"> [Accessed on 28.07.2026].</w:t>
      </w:r>
    </w:p>
    <w:p w14:paraId="06C5D474" w14:textId="77777777" w:rsidR="00ED11D1" w:rsidRPr="00ED11D1" w:rsidRDefault="00ED11D1" w:rsidP="00ED11D1">
      <w:pPr>
        <w:pStyle w:val="NormalWeb"/>
        <w:spacing w:before="0" w:beforeAutospacing="0" w:after="240" w:afterAutospacing="0" w:line="360" w:lineRule="auto"/>
        <w:jc w:val="both"/>
        <w:rPr>
          <w:rFonts w:ascii="Arial" w:hAnsi="Arial" w:cs="Arial"/>
          <w:color w:val="FF0000"/>
        </w:rPr>
      </w:pPr>
      <w:r w:rsidRPr="00CC3D1D">
        <w:rPr>
          <w:rFonts w:ascii="Arial" w:hAnsi="Arial" w:cs="Arial"/>
        </w:rPr>
        <w:lastRenderedPageBreak/>
        <w:t xml:space="preserve">Chauhan, P.K., Kaur, P., </w:t>
      </w:r>
      <w:proofErr w:type="spellStart"/>
      <w:r w:rsidRPr="00CC3D1D">
        <w:rPr>
          <w:rFonts w:ascii="Arial" w:hAnsi="Arial" w:cs="Arial"/>
        </w:rPr>
        <w:t>Amshupali</w:t>
      </w:r>
      <w:proofErr w:type="spellEnd"/>
      <w:r w:rsidRPr="00CC3D1D">
        <w:rPr>
          <w:rFonts w:ascii="Arial" w:hAnsi="Arial" w:cs="Arial"/>
        </w:rPr>
        <w:t xml:space="preserve">, V., Singh, P., Tariq, M.H. and Vijayalakshmi, A.S., 2026. Digital Transformation and Change Management: A Study of Organizational Adaptation. </w:t>
      </w:r>
      <w:r w:rsidRPr="00CC3D1D">
        <w:rPr>
          <w:rFonts w:ascii="Arial" w:hAnsi="Arial" w:cs="Arial"/>
          <w:i/>
          <w:iCs/>
        </w:rPr>
        <w:t>Journal of African Development, 7,</w:t>
      </w:r>
      <w:r w:rsidRPr="00CC3D1D">
        <w:rPr>
          <w:rFonts w:ascii="Arial" w:hAnsi="Arial" w:cs="Arial"/>
        </w:rPr>
        <w:t xml:space="preserve"> pp.929-935. </w:t>
      </w:r>
      <w:hyperlink r:id="rId23" w:history="1">
        <w:r w:rsidRPr="00ED11D1">
          <w:rPr>
            <w:rStyle w:val="Hyperlink"/>
            <w:rFonts w:ascii="Arial" w:hAnsi="Arial" w:cs="Arial"/>
          </w:rPr>
          <w:t>https://afea-jad.com/article/digital-transformation-and-change-management-a-study-of-organizational-adaptation-240/</w:t>
        </w:r>
      </w:hyperlink>
      <w:r w:rsidRPr="00ED11D1">
        <w:rPr>
          <w:rFonts w:ascii="Arial" w:hAnsi="Arial" w:cs="Arial"/>
          <w:color w:val="FF0000"/>
        </w:rPr>
        <w:t xml:space="preserve"> </w:t>
      </w:r>
    </w:p>
    <w:p w14:paraId="6E7407C8" w14:textId="77777777" w:rsidR="00ED11D1" w:rsidRPr="00ED11D1" w:rsidRDefault="00ED11D1" w:rsidP="00ED11D1">
      <w:pPr>
        <w:spacing w:after="240"/>
        <w:rPr>
          <w:rFonts w:ascii="Arial" w:hAnsi="Arial" w:cs="Arial"/>
          <w:color w:val="0000FF"/>
          <w:u w:val="single"/>
        </w:rPr>
      </w:pPr>
      <w:proofErr w:type="spellStart"/>
      <w:r w:rsidRPr="00ED11D1">
        <w:rPr>
          <w:rFonts w:ascii="Arial" w:hAnsi="Arial" w:cs="Arial"/>
          <w:color w:val="222222"/>
          <w:highlight w:val="white"/>
        </w:rPr>
        <w:t>Crespí-Cladera</w:t>
      </w:r>
      <w:proofErr w:type="spellEnd"/>
      <w:r w:rsidRPr="00ED11D1">
        <w:rPr>
          <w:rFonts w:ascii="Arial" w:hAnsi="Arial" w:cs="Arial"/>
          <w:color w:val="222222"/>
          <w:highlight w:val="white"/>
        </w:rPr>
        <w:t>, R., Martín-Oliver, A. and Pascual-</w:t>
      </w:r>
      <w:proofErr w:type="spellStart"/>
      <w:r w:rsidRPr="00ED11D1">
        <w:rPr>
          <w:rFonts w:ascii="Arial" w:hAnsi="Arial" w:cs="Arial"/>
          <w:color w:val="222222"/>
          <w:highlight w:val="white"/>
        </w:rPr>
        <w:t>Fuster</w:t>
      </w:r>
      <w:proofErr w:type="spellEnd"/>
      <w:r w:rsidRPr="00ED11D1">
        <w:rPr>
          <w:rFonts w:ascii="Arial" w:hAnsi="Arial" w:cs="Arial"/>
          <w:color w:val="222222"/>
          <w:highlight w:val="white"/>
        </w:rPr>
        <w:t>, B., 2021. Financial distress in the hospitality industry during the Covid-19 disaster. </w:t>
      </w:r>
      <w:r w:rsidRPr="00ED11D1">
        <w:rPr>
          <w:rFonts w:ascii="Arial" w:hAnsi="Arial" w:cs="Arial"/>
          <w:i/>
          <w:iCs/>
          <w:color w:val="222222"/>
          <w:highlight w:val="white"/>
        </w:rPr>
        <w:t>Tourism Management</w:t>
      </w:r>
      <w:r w:rsidRPr="00ED11D1">
        <w:rPr>
          <w:rFonts w:ascii="Arial" w:hAnsi="Arial" w:cs="Arial"/>
          <w:color w:val="222222"/>
          <w:highlight w:val="white"/>
        </w:rPr>
        <w:t>, </w:t>
      </w:r>
      <w:r w:rsidRPr="00ED11D1">
        <w:rPr>
          <w:rFonts w:ascii="Arial" w:hAnsi="Arial" w:cs="Arial"/>
          <w:i/>
          <w:iCs/>
          <w:color w:val="222222"/>
          <w:highlight w:val="white"/>
        </w:rPr>
        <w:t>85</w:t>
      </w:r>
      <w:r w:rsidRPr="00ED11D1">
        <w:rPr>
          <w:rFonts w:ascii="Arial" w:hAnsi="Arial" w:cs="Arial"/>
          <w:color w:val="222222"/>
          <w:highlight w:val="white"/>
        </w:rPr>
        <w:t xml:space="preserve">, p.104301. </w:t>
      </w:r>
      <w:hyperlink r:id="rId24">
        <w:r w:rsidRPr="00ED11D1">
          <w:rPr>
            <w:rFonts w:ascii="Arial" w:hAnsi="Arial" w:cs="Arial"/>
            <w:color w:val="0000FF"/>
            <w:highlight w:val="white"/>
            <w:u w:val="single"/>
          </w:rPr>
          <w:t>https://www.sciencedirect.com/science/article/pii/S0261517721000200</w:t>
        </w:r>
      </w:hyperlink>
    </w:p>
    <w:p w14:paraId="745B72D9" w14:textId="77777777" w:rsidR="00ED11D1" w:rsidRPr="00ED11D1" w:rsidRDefault="00ED11D1" w:rsidP="00ED11D1">
      <w:pPr>
        <w:pStyle w:val="NormalWeb"/>
        <w:spacing w:before="0" w:beforeAutospacing="0" w:after="240" w:afterAutospacing="0" w:line="360" w:lineRule="auto"/>
        <w:jc w:val="both"/>
        <w:rPr>
          <w:rFonts w:ascii="Arial" w:hAnsi="Arial" w:cs="Arial"/>
          <w:color w:val="FF0000"/>
        </w:rPr>
      </w:pPr>
      <w:proofErr w:type="spellStart"/>
      <w:r w:rsidRPr="00CC3D1D">
        <w:rPr>
          <w:rFonts w:ascii="Arial" w:hAnsi="Arial" w:cs="Arial"/>
        </w:rPr>
        <w:t>Ezeagwuna</w:t>
      </w:r>
      <w:proofErr w:type="spellEnd"/>
      <w:r w:rsidRPr="00CC3D1D">
        <w:rPr>
          <w:rFonts w:ascii="Arial" w:hAnsi="Arial" w:cs="Arial"/>
        </w:rPr>
        <w:t>, D., 2026. Digital Transformation and Business Resilience: How Service Now-Powered Automation Improves Organizational Performance, Risk Management, and Customer Satisfaction</w:t>
      </w:r>
      <w:r w:rsidRPr="00CC3D1D">
        <w:rPr>
          <w:rFonts w:ascii="Arial" w:hAnsi="Arial" w:cs="Arial"/>
          <w:i/>
          <w:iCs/>
        </w:rPr>
        <w:t>. Journal of Data Analysis and Critical Management, 2</w:t>
      </w:r>
      <w:r w:rsidRPr="00CC3D1D">
        <w:rPr>
          <w:rFonts w:ascii="Arial" w:hAnsi="Arial" w:cs="Arial"/>
        </w:rPr>
        <w:t xml:space="preserve">(01), pp.48-62. </w:t>
      </w:r>
      <w:hyperlink r:id="rId25" w:history="1">
        <w:r w:rsidRPr="00ED11D1">
          <w:rPr>
            <w:rStyle w:val="Hyperlink"/>
            <w:rFonts w:ascii="Arial" w:hAnsi="Arial" w:cs="Arial"/>
          </w:rPr>
          <w:t>https://jdacm.com/index.php/jdacm/article/download/110/77</w:t>
        </w:r>
      </w:hyperlink>
      <w:r w:rsidRPr="00ED11D1">
        <w:rPr>
          <w:rFonts w:ascii="Arial" w:hAnsi="Arial" w:cs="Arial"/>
          <w:color w:val="FF0000"/>
        </w:rPr>
        <w:t xml:space="preserve"> </w:t>
      </w:r>
    </w:p>
    <w:p w14:paraId="7351DDF3"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Farooq, R., Zhang, Z., Talwar, S. and </w:t>
      </w:r>
      <w:proofErr w:type="spellStart"/>
      <w:r w:rsidRPr="00ED11D1">
        <w:rPr>
          <w:rFonts w:ascii="Arial" w:hAnsi="Arial" w:cs="Arial"/>
          <w:color w:val="222222"/>
          <w:highlight w:val="white"/>
        </w:rPr>
        <w:t>Dhir</w:t>
      </w:r>
      <w:proofErr w:type="spellEnd"/>
      <w:r w:rsidRPr="00ED11D1">
        <w:rPr>
          <w:rFonts w:ascii="Arial" w:hAnsi="Arial" w:cs="Arial"/>
          <w:color w:val="222222"/>
          <w:highlight w:val="white"/>
        </w:rPr>
        <w:t>, A., 2022. Do green human resource management and self-efficacy facilitate green creativity? A study of luxury hotels and resorts. </w:t>
      </w:r>
      <w:r w:rsidRPr="00ED11D1">
        <w:rPr>
          <w:rFonts w:ascii="Arial" w:hAnsi="Arial" w:cs="Arial"/>
          <w:i/>
          <w:iCs/>
          <w:color w:val="222222"/>
          <w:highlight w:val="white"/>
        </w:rPr>
        <w:t>Journal of Sustainable Tourism</w:t>
      </w:r>
      <w:r w:rsidRPr="00ED11D1">
        <w:rPr>
          <w:rFonts w:ascii="Arial" w:hAnsi="Arial" w:cs="Arial"/>
          <w:color w:val="222222"/>
          <w:highlight w:val="white"/>
        </w:rPr>
        <w:t>, </w:t>
      </w:r>
      <w:r w:rsidRPr="00ED11D1">
        <w:rPr>
          <w:rFonts w:ascii="Arial" w:hAnsi="Arial" w:cs="Arial"/>
          <w:i/>
          <w:iCs/>
          <w:color w:val="222222"/>
          <w:highlight w:val="white"/>
        </w:rPr>
        <w:t>30</w:t>
      </w:r>
      <w:r w:rsidRPr="00ED11D1">
        <w:rPr>
          <w:rFonts w:ascii="Arial" w:hAnsi="Arial" w:cs="Arial"/>
          <w:color w:val="222222"/>
          <w:highlight w:val="white"/>
        </w:rPr>
        <w:t xml:space="preserve">(4), pp.824-845. </w:t>
      </w:r>
      <w:hyperlink r:id="rId26">
        <w:r w:rsidRPr="00ED11D1">
          <w:rPr>
            <w:rFonts w:ascii="Arial" w:hAnsi="Arial" w:cs="Arial"/>
            <w:color w:val="0000FF"/>
            <w:highlight w:val="white"/>
            <w:u w:val="single"/>
          </w:rPr>
          <w:t>https://www.tandfonline.com/doi/abs/10.1080/09669582.2021.1891239</w:t>
        </w:r>
      </w:hyperlink>
    </w:p>
    <w:p w14:paraId="26BC9B81" w14:textId="77777777" w:rsidR="00ED11D1" w:rsidRPr="00ED11D1" w:rsidRDefault="00ED11D1" w:rsidP="00ED11D1">
      <w:pPr>
        <w:pStyle w:val="NormalWeb"/>
        <w:spacing w:before="0" w:beforeAutospacing="0" w:after="240" w:afterAutospacing="0" w:line="360" w:lineRule="auto"/>
        <w:jc w:val="both"/>
        <w:rPr>
          <w:rFonts w:ascii="Arial" w:hAnsi="Arial" w:cs="Arial"/>
        </w:rPr>
      </w:pPr>
      <w:proofErr w:type="spellStart"/>
      <w:r w:rsidRPr="00ED11D1">
        <w:rPr>
          <w:rFonts w:ascii="Arial" w:hAnsi="Arial" w:cs="Arial"/>
          <w:color w:val="222222"/>
          <w:shd w:val="clear" w:color="auto" w:fill="FFFFFF"/>
        </w:rPr>
        <w:t>Fridson</w:t>
      </w:r>
      <w:proofErr w:type="spellEnd"/>
      <w:r w:rsidRPr="00ED11D1">
        <w:rPr>
          <w:rFonts w:ascii="Arial" w:hAnsi="Arial" w:cs="Arial"/>
          <w:color w:val="222222"/>
          <w:shd w:val="clear" w:color="auto" w:fill="FFFFFF"/>
        </w:rPr>
        <w:t xml:space="preserve">, M.S. and Alvarez, F., 2022. </w:t>
      </w:r>
      <w:r w:rsidRPr="00ED11D1">
        <w:rPr>
          <w:rFonts w:ascii="Arial" w:hAnsi="Arial" w:cs="Arial"/>
          <w:i/>
          <w:iCs/>
          <w:color w:val="222222"/>
          <w:shd w:val="clear" w:color="auto" w:fill="FFFFFF"/>
        </w:rPr>
        <w:t xml:space="preserve">Financial statement analysis: a practitioner’s guide. </w:t>
      </w:r>
      <w:r w:rsidRPr="00ED11D1">
        <w:rPr>
          <w:rFonts w:ascii="Arial" w:hAnsi="Arial" w:cs="Arial"/>
          <w:color w:val="222222"/>
          <w:shd w:val="clear" w:color="auto" w:fill="FFFFFF"/>
        </w:rPr>
        <w:t xml:space="preserve">John Wiley &amp; Sons. </w:t>
      </w:r>
      <w:hyperlink r:id="rId27" w:history="1">
        <w:r w:rsidRPr="00ED11D1">
          <w:rPr>
            <w:rStyle w:val="Hyperlink"/>
            <w:rFonts w:ascii="Arial" w:hAnsi="Arial" w:cs="Arial"/>
            <w:shd w:val="clear" w:color="auto" w:fill="FFFFFF"/>
          </w:rPr>
          <w:t>https://books.google.com/books?hl=en&amp;lr=&amp;id=wn5qEAAAQBAJ&amp;oi=fnd&amp;pg=PA25&amp;dq=Financial+analysis+is+helpful+for+business+&amp;ots=BvXDKKvaN-&amp;sig=PU39v7cmRaH61_ATsRyMXdigUls</w:t>
        </w:r>
      </w:hyperlink>
      <w:r w:rsidRPr="00ED11D1">
        <w:rPr>
          <w:rFonts w:ascii="Arial" w:hAnsi="Arial" w:cs="Arial"/>
          <w:color w:val="222222"/>
          <w:shd w:val="clear" w:color="auto" w:fill="FFFFFF"/>
        </w:rPr>
        <w:t> </w:t>
      </w:r>
    </w:p>
    <w:p w14:paraId="2CA670D1"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González-Torres, T., Rodríguez-Sánchez, J.L. and </w:t>
      </w:r>
      <w:proofErr w:type="spellStart"/>
      <w:r w:rsidRPr="00ED11D1">
        <w:rPr>
          <w:rFonts w:ascii="Arial" w:hAnsi="Arial" w:cs="Arial"/>
          <w:color w:val="222222"/>
          <w:highlight w:val="white"/>
        </w:rPr>
        <w:t>Pelechano</w:t>
      </w:r>
      <w:proofErr w:type="spellEnd"/>
      <w:r w:rsidRPr="00ED11D1">
        <w:rPr>
          <w:rFonts w:ascii="Arial" w:hAnsi="Arial" w:cs="Arial"/>
          <w:color w:val="222222"/>
          <w:highlight w:val="white"/>
        </w:rPr>
        <w:t>-Barahona, E., 2021. Managing relationships in the Tourism Supply Chain to overcome epidemic outbreaks: The case of COVID-19 and the hospitality industry in Spain. </w:t>
      </w:r>
      <w:r w:rsidRPr="00ED11D1">
        <w:rPr>
          <w:rFonts w:ascii="Arial" w:hAnsi="Arial" w:cs="Arial"/>
          <w:i/>
          <w:iCs/>
          <w:color w:val="222222"/>
          <w:highlight w:val="white"/>
        </w:rPr>
        <w:t>International journal of hospitality management</w:t>
      </w:r>
      <w:r w:rsidRPr="00ED11D1">
        <w:rPr>
          <w:rFonts w:ascii="Arial" w:hAnsi="Arial" w:cs="Arial"/>
          <w:color w:val="222222"/>
          <w:highlight w:val="white"/>
        </w:rPr>
        <w:t>, </w:t>
      </w:r>
      <w:r w:rsidRPr="00ED11D1">
        <w:rPr>
          <w:rFonts w:ascii="Arial" w:hAnsi="Arial" w:cs="Arial"/>
          <w:i/>
          <w:iCs/>
          <w:color w:val="222222"/>
          <w:highlight w:val="white"/>
        </w:rPr>
        <w:t>92</w:t>
      </w:r>
      <w:r w:rsidRPr="00ED11D1">
        <w:rPr>
          <w:rFonts w:ascii="Arial" w:hAnsi="Arial" w:cs="Arial"/>
          <w:color w:val="222222"/>
          <w:highlight w:val="white"/>
        </w:rPr>
        <w:t xml:space="preserve">, p.102733. </w:t>
      </w:r>
      <w:hyperlink r:id="rId28">
        <w:r w:rsidRPr="00ED11D1">
          <w:rPr>
            <w:rFonts w:ascii="Arial" w:hAnsi="Arial" w:cs="Arial"/>
            <w:color w:val="0000FF"/>
            <w:highlight w:val="white"/>
            <w:u w:val="single"/>
          </w:rPr>
          <w:t>https://www.sciencedirect.com/science/article/pii/S0278431920302851</w:t>
        </w:r>
      </w:hyperlink>
    </w:p>
    <w:p w14:paraId="0842CA4F" w14:textId="77777777" w:rsidR="00ED11D1" w:rsidRPr="00ED11D1" w:rsidRDefault="00ED11D1" w:rsidP="00ED11D1">
      <w:pPr>
        <w:spacing w:after="240"/>
        <w:rPr>
          <w:rFonts w:ascii="Arial" w:hAnsi="Arial" w:cs="Arial"/>
        </w:rPr>
      </w:pPr>
      <w:proofErr w:type="spellStart"/>
      <w:r w:rsidRPr="00ED11D1">
        <w:rPr>
          <w:rFonts w:ascii="Arial" w:hAnsi="Arial" w:cs="Arial"/>
        </w:rPr>
        <w:t>Gunawan</w:t>
      </w:r>
      <w:proofErr w:type="spellEnd"/>
      <w:r w:rsidRPr="00ED11D1">
        <w:rPr>
          <w:rFonts w:ascii="Arial" w:hAnsi="Arial" w:cs="Arial"/>
        </w:rPr>
        <w:t xml:space="preserve">, E., (2023). Liquidity Ratio Analysis in Financing Short Term Liabilities. </w:t>
      </w:r>
      <w:r w:rsidRPr="00ED11D1">
        <w:rPr>
          <w:rFonts w:ascii="Arial" w:hAnsi="Arial" w:cs="Arial"/>
          <w:i/>
          <w:iCs/>
        </w:rPr>
        <w:t>International Journal of Health, Economics, and Social Sciences (IJHESS), 5</w:t>
      </w:r>
      <w:r w:rsidRPr="00ED11D1">
        <w:rPr>
          <w:rFonts w:ascii="Arial" w:hAnsi="Arial" w:cs="Arial"/>
        </w:rPr>
        <w:t xml:space="preserve">(2), pp.157-162. </w:t>
      </w:r>
      <w:hyperlink r:id="rId29" w:history="1">
        <w:r w:rsidRPr="00ED11D1">
          <w:rPr>
            <w:rStyle w:val="Hyperlink"/>
            <w:rFonts w:ascii="Arial" w:hAnsi="Arial" w:cs="Arial"/>
          </w:rPr>
          <w:t>https://jurnal.unismuhpalu.ac.id/index.php/IJHESS/article/view/3611</w:t>
        </w:r>
      </w:hyperlink>
      <w:r w:rsidRPr="00ED11D1">
        <w:rPr>
          <w:rFonts w:ascii="Arial" w:hAnsi="Arial" w:cs="Arial"/>
        </w:rPr>
        <w:t xml:space="preserve"> </w:t>
      </w:r>
    </w:p>
    <w:p w14:paraId="0557FE03" w14:textId="77777777" w:rsidR="00ED11D1" w:rsidRPr="00ED11D1" w:rsidRDefault="00ED11D1" w:rsidP="00ED11D1">
      <w:pPr>
        <w:pStyle w:val="NormalWeb"/>
        <w:spacing w:before="0" w:beforeAutospacing="0" w:after="240" w:afterAutospacing="0" w:line="360" w:lineRule="auto"/>
        <w:jc w:val="both"/>
        <w:rPr>
          <w:rFonts w:ascii="Arial" w:hAnsi="Arial" w:cs="Arial"/>
        </w:rPr>
      </w:pPr>
      <w:r w:rsidRPr="00ED11D1">
        <w:rPr>
          <w:rFonts w:ascii="Arial" w:hAnsi="Arial" w:cs="Arial"/>
          <w:color w:val="000000"/>
        </w:rPr>
        <w:lastRenderedPageBreak/>
        <w:t xml:space="preserve">IHG, 2026. </w:t>
      </w:r>
      <w:r w:rsidRPr="00ED11D1">
        <w:rPr>
          <w:rFonts w:ascii="Arial" w:hAnsi="Arial" w:cs="Arial"/>
          <w:i/>
          <w:iCs/>
          <w:color w:val="000000"/>
        </w:rPr>
        <w:t>About Us.</w:t>
      </w:r>
      <w:r w:rsidRPr="00ED11D1">
        <w:rPr>
          <w:rFonts w:ascii="Arial" w:hAnsi="Arial" w:cs="Arial"/>
          <w:color w:val="000000"/>
        </w:rPr>
        <w:t xml:space="preserve"> Available at: </w:t>
      </w:r>
      <w:hyperlink r:id="rId30" w:history="1">
        <w:r w:rsidRPr="00ED11D1">
          <w:rPr>
            <w:rStyle w:val="Hyperlink"/>
            <w:rFonts w:ascii="Arial" w:hAnsi="Arial" w:cs="Arial"/>
          </w:rPr>
          <w:t>https://www.ihgplc.com/about-us</w:t>
        </w:r>
      </w:hyperlink>
      <w:r w:rsidRPr="00ED11D1">
        <w:rPr>
          <w:rFonts w:ascii="Arial" w:hAnsi="Arial" w:cs="Arial"/>
          <w:color w:val="000000"/>
        </w:rPr>
        <w:t xml:space="preserve"> [Accessed on 24.07.2026].</w:t>
      </w:r>
    </w:p>
    <w:p w14:paraId="1BB86D3E"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Jafari, K., </w:t>
      </w:r>
      <w:proofErr w:type="spellStart"/>
      <w:r w:rsidRPr="00ED11D1">
        <w:rPr>
          <w:rFonts w:ascii="Arial" w:hAnsi="Arial" w:cs="Arial"/>
          <w:color w:val="222222"/>
          <w:highlight w:val="white"/>
        </w:rPr>
        <w:t>Özduran</w:t>
      </w:r>
      <w:proofErr w:type="spellEnd"/>
      <w:r w:rsidRPr="00ED11D1">
        <w:rPr>
          <w:rFonts w:ascii="Arial" w:hAnsi="Arial" w:cs="Arial"/>
          <w:color w:val="222222"/>
          <w:highlight w:val="white"/>
        </w:rPr>
        <w:t xml:space="preserve">, A. and </w:t>
      </w:r>
      <w:proofErr w:type="spellStart"/>
      <w:r w:rsidRPr="00ED11D1">
        <w:rPr>
          <w:rFonts w:ascii="Arial" w:hAnsi="Arial" w:cs="Arial"/>
          <w:color w:val="222222"/>
          <w:highlight w:val="white"/>
        </w:rPr>
        <w:t>Saydam</w:t>
      </w:r>
      <w:proofErr w:type="spellEnd"/>
      <w:r w:rsidRPr="00ED11D1">
        <w:rPr>
          <w:rFonts w:ascii="Arial" w:hAnsi="Arial" w:cs="Arial"/>
          <w:color w:val="222222"/>
          <w:highlight w:val="white"/>
        </w:rPr>
        <w:t>, M.B., 2023. Hospitality and tourism industry amid COVID-19 pandemic: voices from small Mediterranean town. </w:t>
      </w:r>
      <w:r w:rsidRPr="00ED11D1">
        <w:rPr>
          <w:rFonts w:ascii="Arial" w:hAnsi="Arial" w:cs="Arial"/>
          <w:i/>
          <w:iCs/>
          <w:color w:val="222222"/>
          <w:highlight w:val="white"/>
        </w:rPr>
        <w:t>International Hospitality Review</w:t>
      </w:r>
      <w:r w:rsidRPr="00ED11D1">
        <w:rPr>
          <w:rFonts w:ascii="Arial" w:hAnsi="Arial" w:cs="Arial"/>
          <w:color w:val="222222"/>
          <w:highlight w:val="white"/>
        </w:rPr>
        <w:t>, </w:t>
      </w:r>
      <w:r w:rsidRPr="00ED11D1">
        <w:rPr>
          <w:rFonts w:ascii="Arial" w:hAnsi="Arial" w:cs="Arial"/>
          <w:i/>
          <w:iCs/>
          <w:color w:val="222222"/>
          <w:highlight w:val="white"/>
        </w:rPr>
        <w:t>37</w:t>
      </w:r>
      <w:r w:rsidRPr="00ED11D1">
        <w:rPr>
          <w:rFonts w:ascii="Arial" w:hAnsi="Arial" w:cs="Arial"/>
          <w:color w:val="222222"/>
          <w:highlight w:val="white"/>
        </w:rPr>
        <w:t xml:space="preserve">(2), pp.243-264. </w:t>
      </w:r>
      <w:hyperlink r:id="rId31">
        <w:r w:rsidRPr="00ED11D1">
          <w:rPr>
            <w:rFonts w:ascii="Arial" w:hAnsi="Arial" w:cs="Arial"/>
            <w:color w:val="0000FF"/>
            <w:highlight w:val="white"/>
            <w:u w:val="single"/>
          </w:rPr>
          <w:t>https://www.emerald.com/ihr/article/37/2/243/106539</w:t>
        </w:r>
      </w:hyperlink>
    </w:p>
    <w:p w14:paraId="0D43A730" w14:textId="77777777" w:rsidR="00ED11D1" w:rsidRPr="00ED11D1" w:rsidRDefault="00ED11D1" w:rsidP="00ED11D1">
      <w:pPr>
        <w:spacing w:after="240"/>
        <w:rPr>
          <w:rFonts w:ascii="Arial" w:hAnsi="Arial" w:cs="Arial"/>
        </w:rPr>
      </w:pPr>
      <w:proofErr w:type="spellStart"/>
      <w:r w:rsidRPr="00ED11D1">
        <w:rPr>
          <w:rFonts w:ascii="Arial" w:hAnsi="Arial" w:cs="Arial"/>
          <w:color w:val="222222"/>
          <w:highlight w:val="white"/>
        </w:rPr>
        <w:t>Kılıç</w:t>
      </w:r>
      <w:proofErr w:type="spellEnd"/>
      <w:r w:rsidRPr="00ED11D1">
        <w:rPr>
          <w:rFonts w:ascii="Arial" w:hAnsi="Arial" w:cs="Arial"/>
          <w:color w:val="222222"/>
          <w:highlight w:val="white"/>
        </w:rPr>
        <w:t xml:space="preserve">, M., </w:t>
      </w:r>
      <w:proofErr w:type="spellStart"/>
      <w:r w:rsidRPr="00ED11D1">
        <w:rPr>
          <w:rFonts w:ascii="Arial" w:hAnsi="Arial" w:cs="Arial"/>
          <w:color w:val="222222"/>
          <w:highlight w:val="white"/>
        </w:rPr>
        <w:t>Uyar</w:t>
      </w:r>
      <w:proofErr w:type="spellEnd"/>
      <w:r w:rsidRPr="00ED11D1">
        <w:rPr>
          <w:rFonts w:ascii="Arial" w:hAnsi="Arial" w:cs="Arial"/>
          <w:color w:val="222222"/>
          <w:highlight w:val="white"/>
        </w:rPr>
        <w:t xml:space="preserve">, A., </w:t>
      </w:r>
      <w:proofErr w:type="spellStart"/>
      <w:r w:rsidRPr="00ED11D1">
        <w:rPr>
          <w:rFonts w:ascii="Arial" w:hAnsi="Arial" w:cs="Arial"/>
          <w:color w:val="222222"/>
          <w:highlight w:val="white"/>
        </w:rPr>
        <w:t>Kuzey</w:t>
      </w:r>
      <w:proofErr w:type="spellEnd"/>
      <w:r w:rsidRPr="00ED11D1">
        <w:rPr>
          <w:rFonts w:ascii="Arial" w:hAnsi="Arial" w:cs="Arial"/>
          <w:color w:val="222222"/>
          <w:highlight w:val="white"/>
        </w:rPr>
        <w:t xml:space="preserve">, C. and </w:t>
      </w:r>
      <w:proofErr w:type="spellStart"/>
      <w:r w:rsidRPr="00ED11D1">
        <w:rPr>
          <w:rFonts w:ascii="Arial" w:hAnsi="Arial" w:cs="Arial"/>
          <w:color w:val="222222"/>
          <w:highlight w:val="white"/>
        </w:rPr>
        <w:t>Karaman</w:t>
      </w:r>
      <w:proofErr w:type="spellEnd"/>
      <w:r w:rsidRPr="00ED11D1">
        <w:rPr>
          <w:rFonts w:ascii="Arial" w:hAnsi="Arial" w:cs="Arial"/>
          <w:color w:val="222222"/>
          <w:highlight w:val="white"/>
        </w:rPr>
        <w:t>, A., 2021. Drivers and consequences of sustainability committee existence? Evidence from the hospitality and tourism industry. </w:t>
      </w:r>
      <w:r w:rsidRPr="00ED11D1">
        <w:rPr>
          <w:rFonts w:ascii="Arial" w:hAnsi="Arial" w:cs="Arial"/>
          <w:i/>
          <w:iCs/>
          <w:color w:val="222222"/>
          <w:highlight w:val="white"/>
        </w:rPr>
        <w:t>International Journal of Hospitality Management</w:t>
      </w:r>
      <w:r w:rsidRPr="00ED11D1">
        <w:rPr>
          <w:rFonts w:ascii="Arial" w:hAnsi="Arial" w:cs="Arial"/>
          <w:color w:val="222222"/>
          <w:highlight w:val="white"/>
        </w:rPr>
        <w:t>, </w:t>
      </w:r>
      <w:r w:rsidRPr="00ED11D1">
        <w:rPr>
          <w:rFonts w:ascii="Arial" w:hAnsi="Arial" w:cs="Arial"/>
          <w:i/>
          <w:iCs/>
          <w:color w:val="222222"/>
          <w:highlight w:val="white"/>
        </w:rPr>
        <w:t>92</w:t>
      </w:r>
      <w:r w:rsidRPr="00ED11D1">
        <w:rPr>
          <w:rFonts w:ascii="Arial" w:hAnsi="Arial" w:cs="Arial"/>
          <w:color w:val="222222"/>
          <w:highlight w:val="white"/>
        </w:rPr>
        <w:t xml:space="preserve">. </w:t>
      </w:r>
      <w:hyperlink r:id="rId32">
        <w:r w:rsidRPr="00ED11D1">
          <w:rPr>
            <w:rFonts w:ascii="Arial" w:hAnsi="Arial" w:cs="Arial"/>
            <w:color w:val="0000FF"/>
            <w:highlight w:val="white"/>
            <w:u w:val="single"/>
          </w:rPr>
          <w:t>https://avesis.samsun.edu.tr/yayin/2506d47f-c297-4a0d-905e-90cb42f3ad67/drivers-and-consequences-of-sustainability-committee-existence-evidence-from-the-hospitality-and-tourism-industry</w:t>
        </w:r>
      </w:hyperlink>
    </w:p>
    <w:p w14:paraId="777190BC" w14:textId="77777777" w:rsidR="00ED11D1" w:rsidRPr="00ED11D1" w:rsidRDefault="00ED11D1" w:rsidP="00ED11D1">
      <w:pPr>
        <w:spacing w:after="240"/>
        <w:rPr>
          <w:rFonts w:ascii="Arial" w:hAnsi="Arial" w:cs="Arial"/>
        </w:rPr>
      </w:pPr>
      <w:proofErr w:type="spellStart"/>
      <w:r w:rsidRPr="00ED11D1">
        <w:rPr>
          <w:rFonts w:ascii="Arial" w:hAnsi="Arial" w:cs="Arial"/>
          <w:color w:val="222222"/>
          <w:highlight w:val="white"/>
        </w:rPr>
        <w:t>Lusiana</w:t>
      </w:r>
      <w:proofErr w:type="spellEnd"/>
      <w:r w:rsidRPr="00ED11D1">
        <w:rPr>
          <w:rFonts w:ascii="Arial" w:hAnsi="Arial" w:cs="Arial"/>
          <w:color w:val="222222"/>
          <w:highlight w:val="white"/>
        </w:rPr>
        <w:t xml:space="preserve">, M., </w:t>
      </w:r>
      <w:proofErr w:type="spellStart"/>
      <w:r w:rsidRPr="00ED11D1">
        <w:rPr>
          <w:rFonts w:ascii="Arial" w:hAnsi="Arial" w:cs="Arial"/>
          <w:color w:val="222222"/>
          <w:highlight w:val="white"/>
        </w:rPr>
        <w:t>Haat</w:t>
      </w:r>
      <w:proofErr w:type="spellEnd"/>
      <w:r w:rsidRPr="00ED11D1">
        <w:rPr>
          <w:rFonts w:ascii="Arial" w:hAnsi="Arial" w:cs="Arial"/>
          <w:color w:val="222222"/>
          <w:highlight w:val="white"/>
        </w:rPr>
        <w:t xml:space="preserve">, M.H.C., </w:t>
      </w:r>
      <w:proofErr w:type="spellStart"/>
      <w:r w:rsidRPr="00ED11D1">
        <w:rPr>
          <w:rFonts w:ascii="Arial" w:hAnsi="Arial" w:cs="Arial"/>
          <w:color w:val="222222"/>
          <w:highlight w:val="white"/>
        </w:rPr>
        <w:t>Saputra</w:t>
      </w:r>
      <w:proofErr w:type="spellEnd"/>
      <w:r w:rsidRPr="00ED11D1">
        <w:rPr>
          <w:rFonts w:ascii="Arial" w:hAnsi="Arial" w:cs="Arial"/>
          <w:color w:val="222222"/>
          <w:highlight w:val="white"/>
        </w:rPr>
        <w:t xml:space="preserve">, J., </w:t>
      </w:r>
      <w:proofErr w:type="spellStart"/>
      <w:r w:rsidRPr="00ED11D1">
        <w:rPr>
          <w:rFonts w:ascii="Arial" w:hAnsi="Arial" w:cs="Arial"/>
          <w:color w:val="222222"/>
          <w:highlight w:val="white"/>
        </w:rPr>
        <w:t>Yusliza</w:t>
      </w:r>
      <w:proofErr w:type="spellEnd"/>
      <w:r w:rsidRPr="00ED11D1">
        <w:rPr>
          <w:rFonts w:ascii="Arial" w:hAnsi="Arial" w:cs="Arial"/>
          <w:color w:val="222222"/>
          <w:highlight w:val="white"/>
        </w:rPr>
        <w:t>, M.Y., Muhammad, Z. and Bon, A.T., 2021, March. A review of green accounting, corporate social responsibility disclosure, financial performance and firm value literature. In </w:t>
      </w:r>
      <w:r w:rsidRPr="00ED11D1">
        <w:rPr>
          <w:rFonts w:ascii="Arial" w:hAnsi="Arial" w:cs="Arial"/>
          <w:i/>
          <w:iCs/>
          <w:color w:val="222222"/>
          <w:highlight w:val="white"/>
        </w:rPr>
        <w:t>Proceedings of the International Conference on Industrial Engineering and Operations Management</w:t>
      </w:r>
      <w:r w:rsidRPr="00ED11D1">
        <w:rPr>
          <w:rFonts w:ascii="Arial" w:hAnsi="Arial" w:cs="Arial"/>
          <w:color w:val="222222"/>
          <w:highlight w:val="white"/>
        </w:rPr>
        <w:t xml:space="preserve"> (Vol. 7, No. 2, pp. 5622-5640). </w:t>
      </w:r>
      <w:hyperlink r:id="rId33">
        <w:r w:rsidRPr="00ED11D1">
          <w:rPr>
            <w:rFonts w:ascii="Arial" w:hAnsi="Arial" w:cs="Arial"/>
            <w:color w:val="0000FF"/>
            <w:highlight w:val="white"/>
            <w:u w:val="single"/>
          </w:rPr>
          <w:t>https://www.researchgate.net/profile/Jumadil-Saputra/publication/375513115_A_Review_of_Green_Accounting_Corporate_Social_Responsibility_Disclosure_Financial_Performance_and_Firm_Value_Literature/links/682eecc5026fee1034fa12c3/A-Review-of-Green-Accounting-Corporate-Social-Responsibility-Disclosure-Financial-Performance-and-Firm-Value-Literature.pdf</w:t>
        </w:r>
      </w:hyperlink>
    </w:p>
    <w:p w14:paraId="5ACA7441" w14:textId="77777777" w:rsidR="00ED11D1" w:rsidRPr="00ED11D1" w:rsidRDefault="00ED11D1" w:rsidP="00ED11D1">
      <w:pPr>
        <w:spacing w:after="240"/>
        <w:rPr>
          <w:rFonts w:ascii="Arial" w:hAnsi="Arial" w:cs="Arial"/>
        </w:rPr>
      </w:pPr>
      <w:proofErr w:type="spellStart"/>
      <w:r w:rsidRPr="00ED11D1">
        <w:rPr>
          <w:rFonts w:ascii="Arial" w:hAnsi="Arial" w:cs="Arial"/>
          <w:color w:val="222222"/>
          <w:highlight w:val="white"/>
        </w:rPr>
        <w:t>Mariani</w:t>
      </w:r>
      <w:proofErr w:type="spellEnd"/>
      <w:r w:rsidRPr="00ED11D1">
        <w:rPr>
          <w:rFonts w:ascii="Arial" w:hAnsi="Arial" w:cs="Arial"/>
          <w:color w:val="222222"/>
          <w:highlight w:val="white"/>
        </w:rPr>
        <w:t xml:space="preserve">, M. and </w:t>
      </w:r>
      <w:proofErr w:type="spellStart"/>
      <w:r w:rsidRPr="00ED11D1">
        <w:rPr>
          <w:rFonts w:ascii="Arial" w:hAnsi="Arial" w:cs="Arial"/>
          <w:color w:val="222222"/>
          <w:highlight w:val="white"/>
        </w:rPr>
        <w:t>Borghi</w:t>
      </w:r>
      <w:proofErr w:type="spellEnd"/>
      <w:r w:rsidRPr="00ED11D1">
        <w:rPr>
          <w:rFonts w:ascii="Arial" w:hAnsi="Arial" w:cs="Arial"/>
          <w:color w:val="222222"/>
          <w:highlight w:val="white"/>
        </w:rPr>
        <w:t>, M., 2021. Customers’ evaluation of mechanical artificial intelligence in hospitality services: a study using online reviews analytics. </w:t>
      </w:r>
      <w:r w:rsidRPr="00ED11D1">
        <w:rPr>
          <w:rFonts w:ascii="Arial" w:hAnsi="Arial" w:cs="Arial"/>
          <w:i/>
          <w:iCs/>
          <w:color w:val="222222"/>
          <w:highlight w:val="white"/>
        </w:rPr>
        <w:t>International Journal of Contemporary Hospitality Management</w:t>
      </w:r>
      <w:r w:rsidRPr="00ED11D1">
        <w:rPr>
          <w:rFonts w:ascii="Arial" w:hAnsi="Arial" w:cs="Arial"/>
          <w:color w:val="222222"/>
          <w:highlight w:val="white"/>
        </w:rPr>
        <w:t>, </w:t>
      </w:r>
      <w:r w:rsidRPr="00ED11D1">
        <w:rPr>
          <w:rFonts w:ascii="Arial" w:hAnsi="Arial" w:cs="Arial"/>
          <w:i/>
          <w:iCs/>
          <w:color w:val="222222"/>
          <w:highlight w:val="white"/>
        </w:rPr>
        <w:t>33</w:t>
      </w:r>
      <w:r w:rsidRPr="00ED11D1">
        <w:rPr>
          <w:rFonts w:ascii="Arial" w:hAnsi="Arial" w:cs="Arial"/>
          <w:color w:val="222222"/>
          <w:highlight w:val="white"/>
        </w:rPr>
        <w:t xml:space="preserve">(11), pp.3956-3976. </w:t>
      </w:r>
      <w:hyperlink r:id="rId34">
        <w:r w:rsidRPr="00ED11D1">
          <w:rPr>
            <w:rFonts w:ascii="Arial" w:hAnsi="Arial" w:cs="Arial"/>
            <w:color w:val="0000FF"/>
            <w:highlight w:val="white"/>
            <w:u w:val="single"/>
          </w:rPr>
          <w:t>https://www.emerald.com/ijchm/article/33/11/3956/126269</w:t>
        </w:r>
      </w:hyperlink>
    </w:p>
    <w:p w14:paraId="23DADA7A" w14:textId="77777777" w:rsidR="00ED11D1" w:rsidRPr="00ED11D1" w:rsidRDefault="00ED11D1" w:rsidP="00ED11D1">
      <w:pPr>
        <w:spacing w:after="240"/>
        <w:rPr>
          <w:rFonts w:ascii="Arial" w:hAnsi="Arial" w:cs="Arial"/>
        </w:rPr>
      </w:pPr>
      <w:proofErr w:type="spellStart"/>
      <w:r w:rsidRPr="00ED11D1">
        <w:rPr>
          <w:rFonts w:ascii="Arial" w:hAnsi="Arial" w:cs="Arial"/>
          <w:color w:val="222222"/>
          <w:highlight w:val="white"/>
        </w:rPr>
        <w:t>Mariani</w:t>
      </w:r>
      <w:proofErr w:type="spellEnd"/>
      <w:r w:rsidRPr="00ED11D1">
        <w:rPr>
          <w:rFonts w:ascii="Arial" w:hAnsi="Arial" w:cs="Arial"/>
          <w:color w:val="222222"/>
          <w:highlight w:val="white"/>
        </w:rPr>
        <w:t xml:space="preserve">, M.M. and </w:t>
      </w:r>
      <w:proofErr w:type="spellStart"/>
      <w:r w:rsidRPr="00ED11D1">
        <w:rPr>
          <w:rFonts w:ascii="Arial" w:hAnsi="Arial" w:cs="Arial"/>
          <w:color w:val="222222"/>
          <w:highlight w:val="white"/>
        </w:rPr>
        <w:t>Borghi</w:t>
      </w:r>
      <w:proofErr w:type="spellEnd"/>
      <w:r w:rsidRPr="00ED11D1">
        <w:rPr>
          <w:rFonts w:ascii="Arial" w:hAnsi="Arial" w:cs="Arial"/>
          <w:color w:val="222222"/>
          <w:highlight w:val="white"/>
        </w:rPr>
        <w:t>, M., 2024. Artificial intelligence in service industries: customers’ assessment of service production and resilient service operations. </w:t>
      </w:r>
      <w:r w:rsidRPr="00ED11D1">
        <w:rPr>
          <w:rFonts w:ascii="Arial" w:hAnsi="Arial" w:cs="Arial"/>
          <w:i/>
          <w:iCs/>
          <w:color w:val="222222"/>
          <w:highlight w:val="white"/>
        </w:rPr>
        <w:t>International Journal of Production Research</w:t>
      </w:r>
      <w:r w:rsidRPr="00ED11D1">
        <w:rPr>
          <w:rFonts w:ascii="Arial" w:hAnsi="Arial" w:cs="Arial"/>
          <w:color w:val="222222"/>
          <w:highlight w:val="white"/>
        </w:rPr>
        <w:t>, </w:t>
      </w:r>
      <w:r w:rsidRPr="00ED11D1">
        <w:rPr>
          <w:rFonts w:ascii="Arial" w:hAnsi="Arial" w:cs="Arial"/>
          <w:i/>
          <w:iCs/>
          <w:color w:val="222222"/>
          <w:highlight w:val="white"/>
        </w:rPr>
        <w:t>62</w:t>
      </w:r>
      <w:r w:rsidRPr="00ED11D1">
        <w:rPr>
          <w:rFonts w:ascii="Arial" w:hAnsi="Arial" w:cs="Arial"/>
          <w:color w:val="222222"/>
          <w:highlight w:val="white"/>
        </w:rPr>
        <w:t xml:space="preserve">(15), pp.5400-5416. </w:t>
      </w:r>
      <w:hyperlink r:id="rId35">
        <w:r w:rsidRPr="00ED11D1">
          <w:rPr>
            <w:rFonts w:ascii="Arial" w:hAnsi="Arial" w:cs="Arial"/>
            <w:color w:val="0000FF"/>
            <w:highlight w:val="white"/>
            <w:u w:val="single"/>
          </w:rPr>
          <w:t>https://www.tandfonline.com/doi/abs/10.1080/00207543.2022.2160027</w:t>
        </w:r>
      </w:hyperlink>
    </w:p>
    <w:p w14:paraId="1DFC2D46" w14:textId="77777777" w:rsidR="00ED11D1" w:rsidRPr="00ED11D1" w:rsidRDefault="00ED11D1" w:rsidP="00ED11D1">
      <w:pPr>
        <w:spacing w:after="240"/>
        <w:rPr>
          <w:rFonts w:ascii="Arial" w:hAnsi="Arial" w:cs="Arial"/>
        </w:rPr>
      </w:pPr>
      <w:r w:rsidRPr="00ED11D1">
        <w:rPr>
          <w:rFonts w:ascii="Arial" w:hAnsi="Arial" w:cs="Arial"/>
          <w:color w:val="222222"/>
          <w:highlight w:val="white"/>
        </w:rPr>
        <w:lastRenderedPageBreak/>
        <w:t>Norris, C.L., Taylor Jr, S. and Taylor, D.C., 2021. Pivot! How the restaurant industry adapted during COVID-19 restrictions. </w:t>
      </w:r>
      <w:r w:rsidRPr="00ED11D1">
        <w:rPr>
          <w:rFonts w:ascii="Arial" w:hAnsi="Arial" w:cs="Arial"/>
          <w:i/>
          <w:iCs/>
          <w:color w:val="222222"/>
          <w:highlight w:val="white"/>
        </w:rPr>
        <w:t>International Hospitality Review</w:t>
      </w:r>
      <w:r w:rsidRPr="00ED11D1">
        <w:rPr>
          <w:rFonts w:ascii="Arial" w:hAnsi="Arial" w:cs="Arial"/>
          <w:color w:val="222222"/>
          <w:highlight w:val="white"/>
        </w:rPr>
        <w:t>, </w:t>
      </w:r>
      <w:r w:rsidRPr="00ED11D1">
        <w:rPr>
          <w:rFonts w:ascii="Arial" w:hAnsi="Arial" w:cs="Arial"/>
          <w:i/>
          <w:iCs/>
          <w:color w:val="222222"/>
          <w:highlight w:val="white"/>
        </w:rPr>
        <w:t>35</w:t>
      </w:r>
      <w:r w:rsidRPr="00ED11D1">
        <w:rPr>
          <w:rFonts w:ascii="Arial" w:hAnsi="Arial" w:cs="Arial"/>
          <w:color w:val="222222"/>
          <w:highlight w:val="white"/>
        </w:rPr>
        <w:t xml:space="preserve">(2), pp.132-155. </w:t>
      </w:r>
      <w:hyperlink r:id="rId36">
        <w:r w:rsidRPr="00ED11D1">
          <w:rPr>
            <w:rFonts w:ascii="Arial" w:hAnsi="Arial" w:cs="Arial"/>
            <w:color w:val="0000FF"/>
            <w:highlight w:val="white"/>
            <w:u w:val="single"/>
          </w:rPr>
          <w:t>https://www.emerald.com/ihr/article/35/2/132/111049</w:t>
        </w:r>
      </w:hyperlink>
    </w:p>
    <w:p w14:paraId="6E619DAF"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Sadiq, M., </w:t>
      </w:r>
      <w:proofErr w:type="spellStart"/>
      <w:r w:rsidRPr="00ED11D1">
        <w:rPr>
          <w:rFonts w:ascii="Arial" w:hAnsi="Arial" w:cs="Arial"/>
          <w:color w:val="222222"/>
          <w:highlight w:val="white"/>
        </w:rPr>
        <w:t>Nonthapot</w:t>
      </w:r>
      <w:proofErr w:type="spellEnd"/>
      <w:r w:rsidRPr="00ED11D1">
        <w:rPr>
          <w:rFonts w:ascii="Arial" w:hAnsi="Arial" w:cs="Arial"/>
          <w:color w:val="222222"/>
          <w:highlight w:val="white"/>
        </w:rPr>
        <w:t xml:space="preserve">, S., Mohamad, S., Chee </w:t>
      </w:r>
      <w:proofErr w:type="spellStart"/>
      <w:r w:rsidRPr="00ED11D1">
        <w:rPr>
          <w:rFonts w:ascii="Arial" w:hAnsi="Arial" w:cs="Arial"/>
          <w:color w:val="222222"/>
          <w:highlight w:val="white"/>
        </w:rPr>
        <w:t>Keong</w:t>
      </w:r>
      <w:proofErr w:type="spellEnd"/>
      <w:r w:rsidRPr="00ED11D1">
        <w:rPr>
          <w:rFonts w:ascii="Arial" w:hAnsi="Arial" w:cs="Arial"/>
          <w:color w:val="222222"/>
          <w:highlight w:val="white"/>
        </w:rPr>
        <w:t>, O., Ehsanullah, S. and Iqbal, N., 2022. Does green finance matter for sustainable entrepreneurship and environmental corporate social responsibility during COVID-</w:t>
      </w:r>
      <w:proofErr w:type="gramStart"/>
      <w:r w:rsidRPr="00ED11D1">
        <w:rPr>
          <w:rFonts w:ascii="Arial" w:hAnsi="Arial" w:cs="Arial"/>
          <w:color w:val="222222"/>
          <w:highlight w:val="white"/>
        </w:rPr>
        <w:t>19?.</w:t>
      </w:r>
      <w:proofErr w:type="gramEnd"/>
      <w:r w:rsidRPr="00ED11D1">
        <w:rPr>
          <w:rFonts w:ascii="Arial" w:hAnsi="Arial" w:cs="Arial"/>
          <w:color w:val="222222"/>
          <w:highlight w:val="white"/>
        </w:rPr>
        <w:t> </w:t>
      </w:r>
      <w:r w:rsidRPr="00ED11D1">
        <w:rPr>
          <w:rFonts w:ascii="Arial" w:hAnsi="Arial" w:cs="Arial"/>
          <w:i/>
          <w:iCs/>
          <w:color w:val="222222"/>
          <w:highlight w:val="white"/>
        </w:rPr>
        <w:t>China Finance Review International</w:t>
      </w:r>
      <w:r w:rsidRPr="00ED11D1">
        <w:rPr>
          <w:rFonts w:ascii="Arial" w:hAnsi="Arial" w:cs="Arial"/>
          <w:color w:val="222222"/>
          <w:highlight w:val="white"/>
        </w:rPr>
        <w:t>, </w:t>
      </w:r>
      <w:r w:rsidRPr="00ED11D1">
        <w:rPr>
          <w:rFonts w:ascii="Arial" w:hAnsi="Arial" w:cs="Arial"/>
          <w:i/>
          <w:iCs/>
          <w:color w:val="222222"/>
          <w:highlight w:val="white"/>
        </w:rPr>
        <w:t>12</w:t>
      </w:r>
      <w:r w:rsidRPr="00ED11D1">
        <w:rPr>
          <w:rFonts w:ascii="Arial" w:hAnsi="Arial" w:cs="Arial"/>
          <w:color w:val="222222"/>
          <w:highlight w:val="white"/>
        </w:rPr>
        <w:t xml:space="preserve">(2), pp.317-333. </w:t>
      </w:r>
      <w:hyperlink r:id="rId37">
        <w:r w:rsidRPr="00ED11D1">
          <w:rPr>
            <w:rFonts w:ascii="Arial" w:hAnsi="Arial" w:cs="Arial"/>
            <w:color w:val="0000FF"/>
            <w:highlight w:val="white"/>
            <w:u w:val="single"/>
          </w:rPr>
          <w:t>https://www.emerald.com/cfri/article/12/2/317/110794</w:t>
        </w:r>
      </w:hyperlink>
    </w:p>
    <w:p w14:paraId="31EB38D0" w14:textId="77777777" w:rsidR="00ED11D1" w:rsidRPr="00ED11D1" w:rsidRDefault="00ED11D1" w:rsidP="00ED11D1">
      <w:pPr>
        <w:pStyle w:val="NormalWeb"/>
        <w:spacing w:before="0" w:beforeAutospacing="0" w:after="240" w:afterAutospacing="0" w:line="360" w:lineRule="auto"/>
        <w:jc w:val="both"/>
        <w:rPr>
          <w:rFonts w:ascii="Arial" w:hAnsi="Arial" w:cs="Arial"/>
          <w:color w:val="000000"/>
        </w:rPr>
      </w:pPr>
      <w:proofErr w:type="spellStart"/>
      <w:r w:rsidRPr="00CC3D1D">
        <w:rPr>
          <w:rFonts w:ascii="Arial" w:hAnsi="Arial" w:cs="Arial"/>
        </w:rPr>
        <w:t>Saputra</w:t>
      </w:r>
      <w:proofErr w:type="spellEnd"/>
      <w:r w:rsidRPr="00CC3D1D">
        <w:rPr>
          <w:rFonts w:ascii="Arial" w:hAnsi="Arial" w:cs="Arial"/>
        </w:rPr>
        <w:t xml:space="preserve">, F., 2022. Analysis effect return on assets (ROA), return on equity (ROE) and price </w:t>
      </w:r>
      <w:proofErr w:type="spellStart"/>
      <w:r w:rsidRPr="00CC3D1D">
        <w:rPr>
          <w:rFonts w:ascii="Arial" w:hAnsi="Arial" w:cs="Arial"/>
        </w:rPr>
        <w:t>earning</w:t>
      </w:r>
      <w:proofErr w:type="spellEnd"/>
      <w:r w:rsidRPr="00CC3D1D">
        <w:rPr>
          <w:rFonts w:ascii="Arial" w:hAnsi="Arial" w:cs="Arial"/>
        </w:rPr>
        <w:t xml:space="preserve"> ratio (PER) on stock prices of coal companies in the Indonesia Stock Exchange (IDX) period 2018-2021. </w:t>
      </w:r>
      <w:proofErr w:type="spellStart"/>
      <w:r w:rsidRPr="00CC3D1D">
        <w:rPr>
          <w:rFonts w:ascii="Arial" w:hAnsi="Arial" w:cs="Arial"/>
          <w:i/>
          <w:iCs/>
        </w:rPr>
        <w:t>Dinasti</w:t>
      </w:r>
      <w:proofErr w:type="spellEnd"/>
      <w:r w:rsidRPr="00CC3D1D">
        <w:rPr>
          <w:rFonts w:ascii="Arial" w:hAnsi="Arial" w:cs="Arial"/>
          <w:i/>
          <w:iCs/>
        </w:rPr>
        <w:t xml:space="preserve"> International Journal of Economics, Finance &amp; Accounting, 3</w:t>
      </w:r>
      <w:r w:rsidRPr="00CC3D1D">
        <w:rPr>
          <w:rFonts w:ascii="Arial" w:hAnsi="Arial" w:cs="Arial"/>
        </w:rPr>
        <w:t xml:space="preserve">(1), pp.82-94. </w:t>
      </w:r>
      <w:hyperlink r:id="rId38" w:history="1">
        <w:r w:rsidRPr="00ED11D1">
          <w:rPr>
            <w:rStyle w:val="Hyperlink"/>
            <w:rFonts w:ascii="Arial" w:hAnsi="Arial" w:cs="Arial"/>
          </w:rPr>
          <w:t>https://www.researchgate.net/profile/Farhan-Saputra-3/publication/361115446_Analysis_Effect_Return_on_Assets_ROA_Return_on_Equity_ROE_and_Price_Earning_Ratio_PER_on_Stock_Prices_of_Coal_Companies_in_the_Indonesia_Stock_Exchange_IDX_Period_2018-2021/links/629e17b055273755ebd7cc7b/Analysis-Effect-Return-on-Assets-ROA-Return-on-Equity-ROE-and-Price-Earning-Ratio-PER-on-Stock-Prices-of-Coal-Companies-in-the-Indonesia-Stock-Exchange-IDX-Period-2018-2021.pdf</w:t>
        </w:r>
      </w:hyperlink>
      <w:r w:rsidRPr="00ED11D1">
        <w:rPr>
          <w:rFonts w:ascii="Arial" w:hAnsi="Arial" w:cs="Arial"/>
          <w:color w:val="000000"/>
        </w:rPr>
        <w:t xml:space="preserve"> </w:t>
      </w:r>
    </w:p>
    <w:p w14:paraId="27EF4F51"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Sharma, A., Shin, H., Santa-María, M.J. and </w:t>
      </w:r>
      <w:proofErr w:type="spellStart"/>
      <w:r w:rsidRPr="00ED11D1">
        <w:rPr>
          <w:rFonts w:ascii="Arial" w:hAnsi="Arial" w:cs="Arial"/>
          <w:color w:val="222222"/>
          <w:highlight w:val="white"/>
        </w:rPr>
        <w:t>Nicolau</w:t>
      </w:r>
      <w:proofErr w:type="spellEnd"/>
      <w:r w:rsidRPr="00ED11D1">
        <w:rPr>
          <w:rFonts w:ascii="Arial" w:hAnsi="Arial" w:cs="Arial"/>
          <w:color w:val="222222"/>
          <w:highlight w:val="white"/>
        </w:rPr>
        <w:t>, J.L., 2021. Hotels' COVID-19 innovation and performance. </w:t>
      </w:r>
      <w:r w:rsidRPr="00ED11D1">
        <w:rPr>
          <w:rFonts w:ascii="Arial" w:hAnsi="Arial" w:cs="Arial"/>
          <w:i/>
          <w:iCs/>
          <w:color w:val="222222"/>
          <w:highlight w:val="white"/>
        </w:rPr>
        <w:t>Annals of Tourism Research</w:t>
      </w:r>
      <w:r w:rsidRPr="00ED11D1">
        <w:rPr>
          <w:rFonts w:ascii="Arial" w:hAnsi="Arial" w:cs="Arial"/>
          <w:color w:val="222222"/>
          <w:highlight w:val="white"/>
        </w:rPr>
        <w:t>, </w:t>
      </w:r>
      <w:r w:rsidRPr="00ED11D1">
        <w:rPr>
          <w:rFonts w:ascii="Arial" w:hAnsi="Arial" w:cs="Arial"/>
          <w:i/>
          <w:iCs/>
          <w:color w:val="222222"/>
          <w:highlight w:val="white"/>
        </w:rPr>
        <w:t>88</w:t>
      </w:r>
      <w:r w:rsidRPr="00ED11D1">
        <w:rPr>
          <w:rFonts w:ascii="Arial" w:hAnsi="Arial" w:cs="Arial"/>
          <w:color w:val="222222"/>
          <w:highlight w:val="white"/>
        </w:rPr>
        <w:t xml:space="preserve">, p.103180. </w:t>
      </w:r>
      <w:hyperlink r:id="rId39">
        <w:r w:rsidRPr="00ED11D1">
          <w:rPr>
            <w:rFonts w:ascii="Arial" w:hAnsi="Arial" w:cs="Arial"/>
            <w:color w:val="0000FF"/>
            <w:highlight w:val="white"/>
            <w:u w:val="single"/>
          </w:rPr>
          <w:t>https://www.sciencedirect.com/science/article/pii/S0160738321000426</w:t>
        </w:r>
      </w:hyperlink>
    </w:p>
    <w:p w14:paraId="22C2A268" w14:textId="77777777" w:rsidR="00ED11D1" w:rsidRPr="00ED11D1" w:rsidRDefault="00ED11D1" w:rsidP="00ED11D1">
      <w:pPr>
        <w:spacing w:after="240"/>
        <w:rPr>
          <w:rFonts w:ascii="Arial" w:hAnsi="Arial" w:cs="Arial"/>
        </w:rPr>
      </w:pPr>
      <w:r w:rsidRPr="00ED11D1">
        <w:rPr>
          <w:rFonts w:ascii="Arial" w:hAnsi="Arial" w:cs="Arial"/>
          <w:color w:val="222222"/>
          <w:highlight w:val="white"/>
        </w:rPr>
        <w:t xml:space="preserve">Tong-On, P., </w:t>
      </w:r>
      <w:proofErr w:type="spellStart"/>
      <w:r w:rsidRPr="00ED11D1">
        <w:rPr>
          <w:rFonts w:ascii="Arial" w:hAnsi="Arial" w:cs="Arial"/>
          <w:color w:val="222222"/>
          <w:highlight w:val="white"/>
        </w:rPr>
        <w:t>Siripipatthanakul</w:t>
      </w:r>
      <w:proofErr w:type="spellEnd"/>
      <w:r w:rsidRPr="00ED11D1">
        <w:rPr>
          <w:rFonts w:ascii="Arial" w:hAnsi="Arial" w:cs="Arial"/>
          <w:color w:val="222222"/>
          <w:highlight w:val="white"/>
        </w:rPr>
        <w:t xml:space="preserve">, S. and </w:t>
      </w:r>
      <w:proofErr w:type="spellStart"/>
      <w:r w:rsidRPr="00ED11D1">
        <w:rPr>
          <w:rFonts w:ascii="Arial" w:hAnsi="Arial" w:cs="Arial"/>
          <w:color w:val="222222"/>
          <w:highlight w:val="white"/>
        </w:rPr>
        <w:t>Phayaphrom</w:t>
      </w:r>
      <w:proofErr w:type="spellEnd"/>
      <w:r w:rsidRPr="00ED11D1">
        <w:rPr>
          <w:rFonts w:ascii="Arial" w:hAnsi="Arial" w:cs="Arial"/>
          <w:color w:val="222222"/>
          <w:highlight w:val="white"/>
        </w:rPr>
        <w:t>, B., 2021. The implementation of business intelligence using data analytics and its effects towards on performance in the hotel industry in Thailand. </w:t>
      </w:r>
      <w:r w:rsidRPr="00ED11D1">
        <w:rPr>
          <w:rFonts w:ascii="Arial" w:hAnsi="Arial" w:cs="Arial"/>
          <w:i/>
          <w:iCs/>
          <w:color w:val="222222"/>
          <w:highlight w:val="white"/>
        </w:rPr>
        <w:t xml:space="preserve">International Journal of </w:t>
      </w:r>
      <w:proofErr w:type="spellStart"/>
      <w:r w:rsidRPr="00ED11D1">
        <w:rPr>
          <w:rFonts w:ascii="Arial" w:hAnsi="Arial" w:cs="Arial"/>
          <w:i/>
          <w:iCs/>
          <w:color w:val="222222"/>
          <w:highlight w:val="white"/>
        </w:rPr>
        <w:t>Behavioral</w:t>
      </w:r>
      <w:proofErr w:type="spellEnd"/>
      <w:r w:rsidRPr="00ED11D1">
        <w:rPr>
          <w:rFonts w:ascii="Arial" w:hAnsi="Arial" w:cs="Arial"/>
          <w:i/>
          <w:iCs/>
          <w:color w:val="222222"/>
          <w:highlight w:val="white"/>
        </w:rPr>
        <w:t xml:space="preserve"> Analytics</w:t>
      </w:r>
      <w:r w:rsidRPr="00ED11D1">
        <w:rPr>
          <w:rFonts w:ascii="Arial" w:hAnsi="Arial" w:cs="Arial"/>
          <w:color w:val="222222"/>
          <w:highlight w:val="white"/>
        </w:rPr>
        <w:t>, </w:t>
      </w:r>
      <w:r w:rsidRPr="00ED11D1">
        <w:rPr>
          <w:rFonts w:ascii="Arial" w:hAnsi="Arial" w:cs="Arial"/>
          <w:i/>
          <w:iCs/>
          <w:color w:val="222222"/>
          <w:highlight w:val="white"/>
        </w:rPr>
        <w:t>1</w:t>
      </w:r>
      <w:r w:rsidRPr="00ED11D1">
        <w:rPr>
          <w:rFonts w:ascii="Arial" w:hAnsi="Arial" w:cs="Arial"/>
          <w:color w:val="222222"/>
          <w:highlight w:val="white"/>
        </w:rPr>
        <w:t xml:space="preserve">(2). </w:t>
      </w:r>
      <w:hyperlink r:id="rId40">
        <w:r w:rsidRPr="00ED11D1">
          <w:rPr>
            <w:rFonts w:ascii="Arial" w:hAnsi="Arial" w:cs="Arial"/>
            <w:color w:val="0000FF"/>
            <w:highlight w:val="white"/>
            <w:u w:val="single"/>
          </w:rPr>
          <w:t>https://papers.ssrn.com/sol3/papers.cfm?abstract_id=3944077</w:t>
        </w:r>
      </w:hyperlink>
    </w:p>
    <w:p w14:paraId="4CADCD88" w14:textId="14D51A9D" w:rsidR="00254B07" w:rsidRPr="00ED11D1" w:rsidRDefault="00ED11D1" w:rsidP="00ED11D1">
      <w:pPr>
        <w:spacing w:after="240"/>
        <w:rPr>
          <w:rFonts w:ascii="Arial" w:hAnsi="Arial" w:cs="Arial"/>
        </w:rPr>
      </w:pPr>
      <w:r w:rsidRPr="00ED11D1">
        <w:rPr>
          <w:rFonts w:ascii="Arial" w:hAnsi="Arial" w:cs="Arial"/>
          <w:color w:val="222222"/>
          <w:highlight w:val="white"/>
        </w:rPr>
        <w:t xml:space="preserve">Zhou, F., </w:t>
      </w:r>
      <w:proofErr w:type="spellStart"/>
      <w:r w:rsidRPr="00ED11D1">
        <w:rPr>
          <w:rFonts w:ascii="Arial" w:hAnsi="Arial" w:cs="Arial"/>
          <w:color w:val="222222"/>
          <w:highlight w:val="white"/>
        </w:rPr>
        <w:t>Endendijk</w:t>
      </w:r>
      <w:proofErr w:type="spellEnd"/>
      <w:r w:rsidRPr="00ED11D1">
        <w:rPr>
          <w:rFonts w:ascii="Arial" w:hAnsi="Arial" w:cs="Arial"/>
          <w:color w:val="222222"/>
          <w:highlight w:val="white"/>
        </w:rPr>
        <w:t xml:space="preserve">, T. and </w:t>
      </w:r>
      <w:proofErr w:type="spellStart"/>
      <w:r w:rsidRPr="00ED11D1">
        <w:rPr>
          <w:rFonts w:ascii="Arial" w:hAnsi="Arial" w:cs="Arial"/>
          <w:color w:val="222222"/>
          <w:highlight w:val="white"/>
        </w:rPr>
        <w:t>Botzen</w:t>
      </w:r>
      <w:proofErr w:type="spellEnd"/>
      <w:r w:rsidRPr="00ED11D1">
        <w:rPr>
          <w:rFonts w:ascii="Arial" w:hAnsi="Arial" w:cs="Arial"/>
          <w:color w:val="222222"/>
          <w:highlight w:val="white"/>
        </w:rPr>
        <w:t>, W.W., 2023. A review of the financial sector impacts of risks associated with climate change. </w:t>
      </w:r>
      <w:r w:rsidRPr="00ED11D1">
        <w:rPr>
          <w:rFonts w:ascii="Arial" w:hAnsi="Arial" w:cs="Arial"/>
          <w:i/>
          <w:iCs/>
          <w:color w:val="222222"/>
          <w:highlight w:val="white"/>
        </w:rPr>
        <w:t>Annual Review of Resource Economics</w:t>
      </w:r>
      <w:r w:rsidRPr="00ED11D1">
        <w:rPr>
          <w:rFonts w:ascii="Arial" w:hAnsi="Arial" w:cs="Arial"/>
          <w:color w:val="222222"/>
          <w:highlight w:val="white"/>
        </w:rPr>
        <w:t>, </w:t>
      </w:r>
      <w:r w:rsidRPr="00ED11D1">
        <w:rPr>
          <w:rFonts w:ascii="Arial" w:hAnsi="Arial" w:cs="Arial"/>
          <w:i/>
          <w:iCs/>
          <w:color w:val="222222"/>
          <w:highlight w:val="white"/>
        </w:rPr>
        <w:t>15</w:t>
      </w:r>
      <w:r w:rsidRPr="00ED11D1">
        <w:rPr>
          <w:rFonts w:ascii="Arial" w:hAnsi="Arial" w:cs="Arial"/>
          <w:color w:val="222222"/>
          <w:highlight w:val="white"/>
        </w:rPr>
        <w:t xml:space="preserve">(1), pp.233-256. </w:t>
      </w:r>
      <w:hyperlink r:id="rId41">
        <w:r w:rsidRPr="00ED11D1">
          <w:rPr>
            <w:rFonts w:ascii="Arial" w:hAnsi="Arial" w:cs="Arial"/>
            <w:color w:val="0000FF"/>
            <w:highlight w:val="white"/>
            <w:u w:val="single"/>
          </w:rPr>
          <w:t>https://www.annualreviews.org/content/journals/10.1146/annurev-resource-101822-105702</w:t>
        </w:r>
      </w:hyperlink>
      <w:r w:rsidR="00833687" w:rsidRPr="00ED11D1">
        <w:rPr>
          <w:rFonts w:ascii="Arial" w:hAnsi="Arial" w:cs="Arial"/>
        </w:rPr>
        <w:br w:type="page"/>
      </w:r>
    </w:p>
    <w:p w14:paraId="42B2BC43" w14:textId="77777777" w:rsidR="00254B07" w:rsidRPr="00ED11D1" w:rsidRDefault="00833687" w:rsidP="00ED11D1">
      <w:pPr>
        <w:pStyle w:val="Heading1"/>
        <w:rPr>
          <w:rFonts w:ascii="Arial" w:hAnsi="Arial" w:cs="Arial"/>
        </w:rPr>
      </w:pPr>
      <w:bookmarkStart w:id="34" w:name="_Toc237518260"/>
      <w:r w:rsidRPr="00ED11D1">
        <w:rPr>
          <w:rFonts w:ascii="Arial" w:hAnsi="Arial" w:cs="Arial"/>
        </w:rPr>
        <w:lastRenderedPageBreak/>
        <w:t>Appendices</w:t>
      </w:r>
      <w:bookmarkEnd w:id="34"/>
    </w:p>
    <w:p w14:paraId="5DED38B8" w14:textId="77777777" w:rsidR="00254B07" w:rsidRPr="00ED11D1" w:rsidRDefault="00833687" w:rsidP="00ED11D1">
      <w:pPr>
        <w:pStyle w:val="Heading2"/>
        <w:rPr>
          <w:rFonts w:ascii="Arial" w:hAnsi="Arial" w:cs="Arial"/>
        </w:rPr>
      </w:pPr>
      <w:bookmarkStart w:id="35" w:name="_Toc237518261"/>
      <w:r w:rsidRPr="00ED11D1">
        <w:rPr>
          <w:rFonts w:ascii="Arial" w:hAnsi="Arial" w:cs="Arial"/>
        </w:rPr>
        <w:t>Appendix 1: Income Statement</w:t>
      </w:r>
      <w:bookmarkEnd w:id="35"/>
    </w:p>
    <w:p w14:paraId="70A5D7A3" w14:textId="77777777" w:rsidR="00254B07" w:rsidRPr="00ED11D1" w:rsidRDefault="00833687" w:rsidP="00ED11D1">
      <w:pPr>
        <w:spacing w:after="240"/>
        <w:jc w:val="center"/>
        <w:rPr>
          <w:rFonts w:ascii="Arial" w:hAnsi="Arial" w:cs="Arial"/>
        </w:rPr>
      </w:pPr>
      <w:r w:rsidRPr="00ED11D1">
        <w:rPr>
          <w:rFonts w:ascii="Arial" w:hAnsi="Arial" w:cs="Arial"/>
          <w:noProof/>
        </w:rPr>
        <w:drawing>
          <wp:inline distT="0" distB="0" distL="0" distR="0" wp14:anchorId="66D92E22" wp14:editId="13B85F41">
            <wp:extent cx="6029325" cy="4953000"/>
            <wp:effectExtent l="0" t="0" r="9525" b="0"/>
            <wp:docPr id="174777096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2"/>
                    <a:srcRect/>
                    <a:stretch>
                      <a:fillRect/>
                    </a:stretch>
                  </pic:blipFill>
                  <pic:spPr>
                    <a:xfrm>
                      <a:off x="0" y="0"/>
                      <a:ext cx="6029660" cy="4953275"/>
                    </a:xfrm>
                    <a:prstGeom prst="rect">
                      <a:avLst/>
                    </a:prstGeom>
                    <a:ln/>
                  </pic:spPr>
                </pic:pic>
              </a:graphicData>
            </a:graphic>
          </wp:inline>
        </w:drawing>
      </w:r>
    </w:p>
    <w:p w14:paraId="254E7E87" w14:textId="77777777" w:rsidR="00254B07" w:rsidRPr="00ED11D1" w:rsidRDefault="00833687" w:rsidP="00ED11D1">
      <w:pPr>
        <w:pStyle w:val="Heading2"/>
        <w:rPr>
          <w:rFonts w:ascii="Arial" w:hAnsi="Arial" w:cs="Arial"/>
        </w:rPr>
      </w:pPr>
      <w:bookmarkStart w:id="36" w:name="_Toc237518262"/>
      <w:r w:rsidRPr="00ED11D1">
        <w:rPr>
          <w:rFonts w:ascii="Arial" w:hAnsi="Arial" w:cs="Arial"/>
        </w:rPr>
        <w:lastRenderedPageBreak/>
        <w:t>Appendix 2: Balance Sheet</w:t>
      </w:r>
      <w:bookmarkEnd w:id="36"/>
    </w:p>
    <w:p w14:paraId="4F58D3B0" w14:textId="77777777" w:rsidR="00254B07" w:rsidRPr="00ED11D1" w:rsidRDefault="00833687" w:rsidP="00ED11D1">
      <w:pPr>
        <w:spacing w:after="240"/>
        <w:rPr>
          <w:rFonts w:ascii="Arial" w:hAnsi="Arial" w:cs="Arial"/>
        </w:rPr>
      </w:pPr>
      <w:r w:rsidRPr="00ED11D1">
        <w:rPr>
          <w:rFonts w:ascii="Arial" w:hAnsi="Arial" w:cs="Arial"/>
          <w:noProof/>
        </w:rPr>
        <w:drawing>
          <wp:inline distT="0" distB="0" distL="0" distR="0" wp14:anchorId="054222FE" wp14:editId="367BB25C">
            <wp:extent cx="6057900" cy="8552815"/>
            <wp:effectExtent l="0" t="0" r="0" b="635"/>
            <wp:docPr id="174777097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3"/>
                    <a:srcRect/>
                    <a:stretch>
                      <a:fillRect/>
                    </a:stretch>
                  </pic:blipFill>
                  <pic:spPr>
                    <a:xfrm>
                      <a:off x="0" y="0"/>
                      <a:ext cx="6057900" cy="8552815"/>
                    </a:xfrm>
                    <a:prstGeom prst="rect">
                      <a:avLst/>
                    </a:prstGeom>
                    <a:ln/>
                  </pic:spPr>
                </pic:pic>
              </a:graphicData>
            </a:graphic>
          </wp:inline>
        </w:drawing>
      </w:r>
    </w:p>
    <w:p w14:paraId="1DBDEE31" w14:textId="77777777" w:rsidR="00254B07" w:rsidRPr="00ED11D1" w:rsidRDefault="00833687" w:rsidP="00ED11D1">
      <w:pPr>
        <w:pStyle w:val="Heading2"/>
        <w:rPr>
          <w:rFonts w:ascii="Arial" w:hAnsi="Arial" w:cs="Arial"/>
        </w:rPr>
      </w:pPr>
      <w:bookmarkStart w:id="37" w:name="_Toc237518263"/>
      <w:r w:rsidRPr="00ED11D1">
        <w:rPr>
          <w:rFonts w:ascii="Arial" w:hAnsi="Arial" w:cs="Arial"/>
        </w:rPr>
        <w:lastRenderedPageBreak/>
        <w:t>Appendix 3: Ratio Analysis</w:t>
      </w:r>
      <w:bookmarkEnd w:id="37"/>
    </w:p>
    <w:p w14:paraId="1A678CD1" w14:textId="77777777" w:rsidR="00254B07" w:rsidRPr="00ED11D1" w:rsidRDefault="00833687" w:rsidP="00ED11D1">
      <w:pPr>
        <w:spacing w:after="240"/>
        <w:rPr>
          <w:rFonts w:ascii="Arial" w:hAnsi="Arial" w:cs="Arial"/>
        </w:rPr>
      </w:pPr>
      <w:r w:rsidRPr="00ED11D1">
        <w:rPr>
          <w:rFonts w:ascii="Arial" w:hAnsi="Arial" w:cs="Arial"/>
          <w:noProof/>
        </w:rPr>
        <w:drawing>
          <wp:inline distT="0" distB="0" distL="0" distR="0" wp14:anchorId="5753E344" wp14:editId="0B1DD4A5">
            <wp:extent cx="6181725" cy="7181850"/>
            <wp:effectExtent l="0" t="0" r="9525" b="0"/>
            <wp:docPr id="174777096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4"/>
                    <a:srcRect/>
                    <a:stretch>
                      <a:fillRect/>
                    </a:stretch>
                  </pic:blipFill>
                  <pic:spPr>
                    <a:xfrm>
                      <a:off x="0" y="0"/>
                      <a:ext cx="6181725" cy="7181850"/>
                    </a:xfrm>
                    <a:prstGeom prst="rect">
                      <a:avLst/>
                    </a:prstGeom>
                    <a:ln/>
                  </pic:spPr>
                </pic:pic>
              </a:graphicData>
            </a:graphic>
          </wp:inline>
        </w:drawing>
      </w:r>
    </w:p>
    <w:p w14:paraId="1191FE8D" w14:textId="77777777" w:rsidR="00254B07" w:rsidRPr="00ED11D1" w:rsidRDefault="00833687" w:rsidP="00ED11D1">
      <w:pPr>
        <w:spacing w:after="240"/>
        <w:rPr>
          <w:rFonts w:ascii="Arial" w:hAnsi="Arial" w:cs="Arial"/>
        </w:rPr>
      </w:pPr>
      <w:r w:rsidRPr="00ED11D1">
        <w:rPr>
          <w:rFonts w:ascii="Arial" w:hAnsi="Arial" w:cs="Arial"/>
          <w:noProof/>
        </w:rPr>
        <w:lastRenderedPageBreak/>
        <w:drawing>
          <wp:inline distT="0" distB="0" distL="0" distR="0" wp14:anchorId="3C75EBE4" wp14:editId="5522B2CD">
            <wp:extent cx="6019800" cy="5867400"/>
            <wp:effectExtent l="0" t="0" r="0" b="0"/>
            <wp:docPr id="174777097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5"/>
                    <a:srcRect/>
                    <a:stretch>
                      <a:fillRect/>
                    </a:stretch>
                  </pic:blipFill>
                  <pic:spPr>
                    <a:xfrm>
                      <a:off x="0" y="0"/>
                      <a:ext cx="6019800" cy="5867400"/>
                    </a:xfrm>
                    <a:prstGeom prst="rect">
                      <a:avLst/>
                    </a:prstGeom>
                    <a:ln/>
                  </pic:spPr>
                </pic:pic>
              </a:graphicData>
            </a:graphic>
          </wp:inline>
        </w:drawing>
      </w:r>
    </w:p>
    <w:p w14:paraId="28DF2BC9" w14:textId="77777777" w:rsidR="00254B07" w:rsidRPr="00ED11D1" w:rsidRDefault="00833687" w:rsidP="00ED11D1">
      <w:pPr>
        <w:pStyle w:val="Heading2"/>
        <w:rPr>
          <w:rFonts w:ascii="Arial" w:hAnsi="Arial" w:cs="Arial"/>
        </w:rPr>
      </w:pPr>
      <w:bookmarkStart w:id="38" w:name="_Toc237518264"/>
      <w:r w:rsidRPr="00ED11D1">
        <w:rPr>
          <w:rFonts w:ascii="Arial" w:hAnsi="Arial" w:cs="Arial"/>
        </w:rPr>
        <w:lastRenderedPageBreak/>
        <w:t>Appendix 4: Investment Appraisal Calculation</w:t>
      </w:r>
      <w:bookmarkEnd w:id="38"/>
    </w:p>
    <w:p w14:paraId="149F7937" w14:textId="15AE7F57" w:rsidR="00254B07" w:rsidRPr="00ED11D1" w:rsidRDefault="00ED11D1" w:rsidP="00ED11D1">
      <w:pPr>
        <w:spacing w:after="240"/>
        <w:rPr>
          <w:rFonts w:ascii="Arial" w:hAnsi="Arial" w:cs="Arial"/>
        </w:rPr>
      </w:pPr>
      <w:r w:rsidRPr="00ED11D1">
        <w:rPr>
          <w:rFonts w:ascii="Arial" w:hAnsi="Arial" w:cs="Arial"/>
          <w:noProof/>
        </w:rPr>
        <w:drawing>
          <wp:inline distT="0" distB="0" distL="0" distR="0" wp14:anchorId="6257F030" wp14:editId="29E5FEC1">
            <wp:extent cx="6050280" cy="573405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r="1565"/>
                    <a:stretch/>
                  </pic:blipFill>
                  <pic:spPr bwMode="auto">
                    <a:xfrm>
                      <a:off x="0" y="0"/>
                      <a:ext cx="6058334" cy="5741683"/>
                    </a:xfrm>
                    <a:prstGeom prst="rect">
                      <a:avLst/>
                    </a:prstGeom>
                    <a:ln>
                      <a:noFill/>
                    </a:ln>
                    <a:extLst>
                      <a:ext uri="{53640926-AAD7-44D8-BBD7-CCE9431645EC}">
                        <a14:shadowObscured xmlns:a14="http://schemas.microsoft.com/office/drawing/2010/main"/>
                      </a:ext>
                    </a:extLst>
                  </pic:spPr>
                </pic:pic>
              </a:graphicData>
            </a:graphic>
          </wp:inline>
        </w:drawing>
      </w:r>
    </w:p>
    <w:sectPr w:rsidR="00254B07" w:rsidRPr="00ED11D1">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EF649" w14:textId="77777777" w:rsidR="008D375B" w:rsidRDefault="008D375B">
      <w:pPr>
        <w:spacing w:line="240" w:lineRule="auto"/>
      </w:pPr>
      <w:r>
        <w:separator/>
      </w:r>
    </w:p>
  </w:endnote>
  <w:endnote w:type="continuationSeparator" w:id="0">
    <w:p w14:paraId="28E63DE2" w14:textId="77777777" w:rsidR="008D375B" w:rsidRDefault="008D37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725D3AC-E1C8-4370-8B37-A73F1A339525}"/>
    <w:embedBold r:id="rId2" w:fontKey="{FBF777A2-895C-423D-954F-0F115D875D74}"/>
  </w:font>
  <w:font w:name="Cambria">
    <w:panose1 w:val="02040503050406030204"/>
    <w:charset w:val="00"/>
    <w:family w:val="roman"/>
    <w:pitch w:val="variable"/>
    <w:sig w:usb0="E00006FF" w:usb1="420024FF" w:usb2="02000000" w:usb3="00000000" w:csb0="0000019F" w:csb1="00000000"/>
    <w:embedRegular r:id="rId3" w:fontKey="{A1DC3FC1-D113-488E-9E70-EEA39B7634A0}"/>
    <w:embedBold r:id="rId4" w:fontKey="{4F12C131-D70C-4FE6-BF2A-97781D46237A}"/>
    <w:embedBoldItalic r:id="rId5" w:fontKey="{9CC1B3F3-4F03-4616-9557-254C32175665}"/>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FBBCD" w14:textId="77777777" w:rsidR="00254B07" w:rsidRDefault="0083368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8D375B">
      <w:rPr>
        <w:color w:val="000000"/>
      </w:rPr>
      <w:fldChar w:fldCharType="separate"/>
    </w:r>
    <w:r>
      <w:rPr>
        <w:color w:val="000000"/>
      </w:rPr>
      <w:fldChar w:fldCharType="end"/>
    </w:r>
  </w:p>
  <w:p w14:paraId="35C45614" w14:textId="77777777" w:rsidR="00254B07" w:rsidRDefault="00254B07">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179C7" w14:textId="77777777" w:rsidR="00254B07" w:rsidRDefault="0083368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658DE">
      <w:rPr>
        <w:noProof/>
        <w:color w:val="000000"/>
      </w:rPr>
      <w:t>1</w:t>
    </w:r>
    <w:r>
      <w:rPr>
        <w:color w:val="000000"/>
      </w:rPr>
      <w:fldChar w:fldCharType="end"/>
    </w:r>
  </w:p>
  <w:p w14:paraId="4DF97D2A" w14:textId="77777777" w:rsidR="00254B07" w:rsidRDefault="00254B07">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49849" w14:textId="77777777" w:rsidR="00254B07" w:rsidRDefault="00254B0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CB039" w14:textId="77777777" w:rsidR="008D375B" w:rsidRDefault="008D375B">
      <w:pPr>
        <w:spacing w:line="240" w:lineRule="auto"/>
      </w:pPr>
      <w:r>
        <w:separator/>
      </w:r>
    </w:p>
  </w:footnote>
  <w:footnote w:type="continuationSeparator" w:id="0">
    <w:p w14:paraId="2B6B5AFE" w14:textId="77777777" w:rsidR="008D375B" w:rsidRDefault="008D37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C91D0" w14:textId="77777777" w:rsidR="00254B07" w:rsidRDefault="00254B07">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2791D" w14:textId="77777777" w:rsidR="00254B07" w:rsidRDefault="00254B07">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19F0C" w14:textId="77777777" w:rsidR="00254B07" w:rsidRDefault="00254B07">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B07"/>
    <w:rsid w:val="00001717"/>
    <w:rsid w:val="0007130E"/>
    <w:rsid w:val="00085A72"/>
    <w:rsid w:val="000A2687"/>
    <w:rsid w:val="0018496C"/>
    <w:rsid w:val="001B7C86"/>
    <w:rsid w:val="002448DE"/>
    <w:rsid w:val="00254B07"/>
    <w:rsid w:val="0026103E"/>
    <w:rsid w:val="002662BA"/>
    <w:rsid w:val="005112D9"/>
    <w:rsid w:val="00527479"/>
    <w:rsid w:val="00623AB1"/>
    <w:rsid w:val="006E1BC2"/>
    <w:rsid w:val="00833687"/>
    <w:rsid w:val="008D375B"/>
    <w:rsid w:val="00921769"/>
    <w:rsid w:val="009423E3"/>
    <w:rsid w:val="00A50314"/>
    <w:rsid w:val="00A73A33"/>
    <w:rsid w:val="00B658DE"/>
    <w:rsid w:val="00CC3D1D"/>
    <w:rsid w:val="00D22C36"/>
    <w:rsid w:val="00D7495D"/>
    <w:rsid w:val="00DE04CF"/>
    <w:rsid w:val="00E107D1"/>
    <w:rsid w:val="00E31C8E"/>
    <w:rsid w:val="00ED11D1"/>
    <w:rsid w:val="00F371AA"/>
    <w:rsid w:val="00FD7275"/>
    <w:rsid w:val="00FF49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80620"/>
  <w15:docId w15:val="{84DAF995-F017-4C1B-B35E-1810DB21E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123CEB"/>
    <w:pPr>
      <w:tabs>
        <w:tab w:val="center" w:pos="4680"/>
        <w:tab w:val="right" w:pos="9360"/>
      </w:tabs>
      <w:spacing w:line="240" w:lineRule="auto"/>
    </w:pPr>
  </w:style>
  <w:style w:type="character" w:customStyle="1" w:styleId="HeaderChar">
    <w:name w:val="Header Char"/>
    <w:basedOn w:val="DefaultParagraphFont"/>
    <w:link w:val="Header"/>
    <w:uiPriority w:val="99"/>
    <w:rsid w:val="00123CEB"/>
  </w:style>
  <w:style w:type="paragraph" w:styleId="Footer">
    <w:name w:val="footer"/>
    <w:basedOn w:val="Normal"/>
    <w:link w:val="FooterChar"/>
    <w:uiPriority w:val="99"/>
    <w:unhideWhenUsed/>
    <w:rsid w:val="00123CEB"/>
    <w:pPr>
      <w:tabs>
        <w:tab w:val="center" w:pos="4680"/>
        <w:tab w:val="right" w:pos="9360"/>
      </w:tabs>
      <w:spacing w:line="240" w:lineRule="auto"/>
    </w:pPr>
  </w:style>
  <w:style w:type="character" w:customStyle="1" w:styleId="FooterChar">
    <w:name w:val="Footer Char"/>
    <w:basedOn w:val="DefaultParagraphFont"/>
    <w:link w:val="Footer"/>
    <w:uiPriority w:val="99"/>
    <w:rsid w:val="00123CEB"/>
  </w:style>
  <w:style w:type="character" w:styleId="PageNumber">
    <w:name w:val="page number"/>
    <w:basedOn w:val="DefaultParagraphFont"/>
    <w:uiPriority w:val="99"/>
    <w:semiHidden/>
    <w:unhideWhenUsed/>
    <w:rsid w:val="00216395"/>
  </w:style>
  <w:style w:type="character" w:styleId="Hyperlink">
    <w:name w:val="Hyperlink"/>
    <w:basedOn w:val="DefaultParagraphFont"/>
    <w:uiPriority w:val="99"/>
    <w:unhideWhenUsed/>
    <w:rsid w:val="00216395"/>
    <w:rPr>
      <w:color w:val="0000FF" w:themeColor="hyperlink"/>
      <w:u w:val="single"/>
    </w:rPr>
  </w:style>
  <w:style w:type="paragraph" w:styleId="TOCHeading">
    <w:name w:val="TOC Heading"/>
    <w:basedOn w:val="Heading1"/>
    <w:next w:val="Normal"/>
    <w:uiPriority w:val="39"/>
    <w:unhideWhenUsed/>
    <w:qFormat/>
    <w:rsid w:val="00EE53F3"/>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EE53F3"/>
    <w:pPr>
      <w:spacing w:before="120"/>
      <w:jc w:val="left"/>
    </w:pPr>
    <w:rPr>
      <w:rFonts w:asciiTheme="minorHAnsi" w:hAnsiTheme="minorHAnsi"/>
      <w:b/>
      <w:bCs/>
      <w:i/>
      <w:iCs/>
    </w:rPr>
  </w:style>
  <w:style w:type="paragraph" w:styleId="TOC2">
    <w:name w:val="toc 2"/>
    <w:basedOn w:val="Normal"/>
    <w:next w:val="Normal"/>
    <w:autoRedefine/>
    <w:uiPriority w:val="39"/>
    <w:unhideWhenUsed/>
    <w:rsid w:val="00EE53F3"/>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EE53F3"/>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EE53F3"/>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EE53F3"/>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EE53F3"/>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EE53F3"/>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EE53F3"/>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EE53F3"/>
    <w:pPr>
      <w:ind w:left="1920"/>
      <w:jc w:val="left"/>
    </w:pPr>
    <w:rPr>
      <w:rFonts w:asciiTheme="minorHAnsi" w:hAnsiTheme="minorHAnsi"/>
      <w:sz w:val="20"/>
      <w:szCs w:val="20"/>
    </w:rPr>
  </w:style>
  <w:style w:type="character" w:styleId="Strong">
    <w:name w:val="Strong"/>
    <w:basedOn w:val="DefaultParagraphFont"/>
    <w:uiPriority w:val="22"/>
    <w:qFormat/>
    <w:rsid w:val="00D04D09"/>
    <w:rPr>
      <w:b/>
      <w:bCs/>
    </w:rPr>
  </w:style>
  <w:style w:type="table" w:styleId="TableGrid">
    <w:name w:val="Table Grid"/>
    <w:basedOn w:val="TableNormal"/>
    <w:uiPriority w:val="39"/>
    <w:rsid w:val="00D04D0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character" w:styleId="UnresolvedMention">
    <w:name w:val="Unresolved Mention"/>
    <w:basedOn w:val="DefaultParagraphFont"/>
    <w:uiPriority w:val="99"/>
    <w:semiHidden/>
    <w:unhideWhenUsed/>
    <w:rsid w:val="005112D9"/>
    <w:rPr>
      <w:color w:val="605E5C"/>
      <w:shd w:val="clear" w:color="auto" w:fill="E1DFDD"/>
    </w:rPr>
  </w:style>
  <w:style w:type="paragraph" w:styleId="NormalWeb">
    <w:name w:val="Normal (Web)"/>
    <w:basedOn w:val="Normal"/>
    <w:uiPriority w:val="99"/>
    <w:unhideWhenUsed/>
    <w:rsid w:val="005112D9"/>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401482">
      <w:bodyDiv w:val="1"/>
      <w:marLeft w:val="0"/>
      <w:marRight w:val="0"/>
      <w:marTop w:val="0"/>
      <w:marBottom w:val="0"/>
      <w:divBdr>
        <w:top w:val="none" w:sz="0" w:space="0" w:color="auto"/>
        <w:left w:val="none" w:sz="0" w:space="0" w:color="auto"/>
        <w:bottom w:val="none" w:sz="0" w:space="0" w:color="auto"/>
        <w:right w:val="none" w:sz="0" w:space="0" w:color="auto"/>
      </w:divBdr>
    </w:div>
    <w:div w:id="1314676395">
      <w:bodyDiv w:val="1"/>
      <w:marLeft w:val="0"/>
      <w:marRight w:val="0"/>
      <w:marTop w:val="0"/>
      <w:marBottom w:val="0"/>
      <w:divBdr>
        <w:top w:val="none" w:sz="0" w:space="0" w:color="auto"/>
        <w:left w:val="none" w:sz="0" w:space="0" w:color="auto"/>
        <w:bottom w:val="none" w:sz="0" w:space="0" w:color="auto"/>
        <w:right w:val="none" w:sz="0" w:space="0" w:color="auto"/>
      </w:divBdr>
    </w:div>
    <w:div w:id="18054660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www.annualreports.com/HostedData/AnnualReportArchive/i/NYSE_IHG_2021.pdf" TargetMode="External"/><Relationship Id="rId26" Type="http://schemas.openxmlformats.org/officeDocument/2006/relationships/hyperlink" Target="https://www.tandfonline.com/doi/abs/10.1080/09669582.2021.1891239" TargetMode="External"/><Relationship Id="rId39" Type="http://schemas.openxmlformats.org/officeDocument/2006/relationships/hyperlink" Target="https://www.sciencedirect.com/science/article/pii/S0160738321000426" TargetMode="External"/><Relationship Id="rId21" Type="http://schemas.openxmlformats.org/officeDocument/2006/relationships/hyperlink" Target="https://www.annualreports.com/HostedData/AnnualReports/PDF/NYSE_IHG_2024.pdf" TargetMode="External"/><Relationship Id="rId34" Type="http://schemas.openxmlformats.org/officeDocument/2006/relationships/hyperlink" Target="https://www.emerald.com/ijchm/article/33/11/3956/126269" TargetMode="External"/><Relationship Id="rId42" Type="http://schemas.openxmlformats.org/officeDocument/2006/relationships/image" Target="media/image2.pn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merald.com/ihr/article/36/1/25/107192" TargetMode="External"/><Relationship Id="rId29" Type="http://schemas.openxmlformats.org/officeDocument/2006/relationships/hyperlink" Target="https://jurnal.unismuhpalu.ac.id/index.php/IJHESS/article/view/3611" TargetMode="External"/><Relationship Id="rId11" Type="http://schemas.openxmlformats.org/officeDocument/2006/relationships/chart" Target="charts/chart4.xml"/><Relationship Id="rId24" Type="http://schemas.openxmlformats.org/officeDocument/2006/relationships/hyperlink" Target="https://www.sciencedirect.com/science/article/pii/S0261517721000200" TargetMode="External"/><Relationship Id="rId32" Type="http://schemas.openxmlformats.org/officeDocument/2006/relationships/hyperlink" Target="https://avesis.samsun.edu.tr/yayin/2506d47f-c297-4a0d-905e-90cb42f3ad67/drivers-and-consequences-of-sustainability-committee-existence-evidence-from-the-hospitality-and-tourism-industry" TargetMode="External"/><Relationship Id="rId37" Type="http://schemas.openxmlformats.org/officeDocument/2006/relationships/hyperlink" Target="https://www.emerald.com/cfri/article/12/2/317/110794" TargetMode="External"/><Relationship Id="rId40" Type="http://schemas.openxmlformats.org/officeDocument/2006/relationships/hyperlink" Target="https://papers.ssrn.com/sol3/papers.cfm?abstract_id=3944077" TargetMode="External"/><Relationship Id="rId45" Type="http://schemas.openxmlformats.org/officeDocument/2006/relationships/image" Target="media/image5.pn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chart" Target="charts/chart3.xml"/><Relationship Id="rId19" Type="http://schemas.openxmlformats.org/officeDocument/2006/relationships/hyperlink" Target="https://www.annualreports.com/HostedData/AnnualReportArchive/i/NYSE_IHG_2022.pdf" TargetMode="External"/><Relationship Id="rId31" Type="http://schemas.openxmlformats.org/officeDocument/2006/relationships/hyperlink" Target="https://www.emerald.com/ihr/article/37/2/243/106539" TargetMode="External"/><Relationship Id="rId44" Type="http://schemas.openxmlformats.org/officeDocument/2006/relationships/image" Target="media/image4.pn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ihgplc.com/~/media/Files/I/Ihg-Plc/investors/annual-report/2025/ihg-ar25-interactive.pdf" TargetMode="External"/><Relationship Id="rId27" Type="http://schemas.openxmlformats.org/officeDocument/2006/relationships/hyperlink" Target="https://books.google.com/books?hl=en&amp;lr=&amp;id=wn5qEAAAQBAJ&amp;oi=fnd&amp;pg=PA25&amp;dq=Financial+analysis+is+helpful+for+business+&amp;ots=BvXDKKvaN-&amp;sig=PU39v7cmRaH61_ATsRyMXdigUls" TargetMode="External"/><Relationship Id="rId30" Type="http://schemas.openxmlformats.org/officeDocument/2006/relationships/hyperlink" Target="https://www.ihgplc.com/about-us" TargetMode="External"/><Relationship Id="rId35" Type="http://schemas.openxmlformats.org/officeDocument/2006/relationships/hyperlink" Target="https://www.tandfonline.com/doi/abs/10.1080/00207543.2022.2160027" TargetMode="External"/><Relationship Id="rId43" Type="http://schemas.openxmlformats.org/officeDocument/2006/relationships/image" Target="media/image3.png"/><Relationship Id="rId48" Type="http://schemas.openxmlformats.org/officeDocument/2006/relationships/header" Target="header2.xml"/><Relationship Id="rId8" Type="http://schemas.openxmlformats.org/officeDocument/2006/relationships/chart" Target="charts/chart1.xml"/><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hyperlink" Target="http://www.ihgplc.com/~/media/Files/I/Ihg-Plc/investors/shareholder-center/annual-reports-and-responsible-business-reports/annual-reports/2020/ihg-2020ar.pdf" TargetMode="External"/><Relationship Id="rId25" Type="http://schemas.openxmlformats.org/officeDocument/2006/relationships/hyperlink" Target="https://jdacm.com/index.php/jdacm/article/download/110/77" TargetMode="External"/><Relationship Id="rId33" Type="http://schemas.openxmlformats.org/officeDocument/2006/relationships/hyperlink" Target="https://www.researchgate.net/profile/Jumadil-Saputra/publication/375513115_A_Review_of_Green_Accounting_Corporate_Social_Responsibility_Disclosure_Financial_Performance_and_Firm_Value_Literature/links/682eecc5026fee1034fa12c3/A-Review-of-Green-Accounting-Corporate-Social-Responsibility-Disclosure-Financial-Performance-and-Firm-Value-Literature.pdf" TargetMode="External"/><Relationship Id="rId38" Type="http://schemas.openxmlformats.org/officeDocument/2006/relationships/hyperlink" Target="https://www.researchgate.net/profile/Farhan-Saputra-3/publication/361115446_Analysis_Effect_Return_on_Assets_ROA_Return_on_Equity_ROE_and_Price_Earning_Ratio_PER_on_Stock_Prices_of_Coal_Companies_in_the_Indonesia_Stock_Exchange_IDX_Period_2018-2021/links/629e17b055273755ebd7cc7b/Analysis-Effect-Return-on-Assets-ROA-Return-on-Equity-ROE-and-Price-Earning-Ratio-PER-on-Stock-Prices-of-Coal-Companies-in-the-Indonesia-Stock-Exchange-IDX-Period-2018-2021.pdf" TargetMode="External"/><Relationship Id="rId46" Type="http://schemas.openxmlformats.org/officeDocument/2006/relationships/image" Target="media/image6.png"/><Relationship Id="rId20" Type="http://schemas.openxmlformats.org/officeDocument/2006/relationships/hyperlink" Target="https://www.annualreports.com/HostedData/AnnualReportArchive/i/NYSE_IHG_2023.pdf" TargetMode="External"/><Relationship Id="rId41" Type="http://schemas.openxmlformats.org/officeDocument/2006/relationships/hyperlink" Target="https://www.annualreviews.org/content/journals/10.1146/annurev-resource-101822-105702"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emerald.com/ihr/article/37/1/28/112773" TargetMode="External"/><Relationship Id="rId23" Type="http://schemas.openxmlformats.org/officeDocument/2006/relationships/hyperlink" Target="https://afea-jad.com/article/digital-transformation-and-change-management-a-study-of-organizational-adaptation-240/" TargetMode="External"/><Relationship Id="rId28" Type="http://schemas.openxmlformats.org/officeDocument/2006/relationships/hyperlink" Target="https://www.sciencedirect.com/science/article/pii/S0278431920302851" TargetMode="External"/><Relationship Id="rId36" Type="http://schemas.openxmlformats.org/officeDocument/2006/relationships/hyperlink" Target="https://www.emerald.com/ihr/article/35/2/132/111049" TargetMode="External"/><Relationship Id="rId4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soura\Documents\sepely\work\2026\AUGUST\BR-AP674%20REWORK%201%20-%20IHG_5_Year_Financial_Ratios_and_Benchmark_Updat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oura\Documents\sepely\work\2026\AUGUST\BR-AP674%20REWORK%201%20-%20IHG_5_Year_Financial_Ratios_and_Benchmark_Upda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soura\Documents\sepely\work\2026\AUGUST\BR-AP674%20REWORK%201%20-%20IHG_5_Year_Financial_Ratios_and_Benchmark_Updated.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soura\Documents\sepely\work\2026\AUGUST\BR-AP674%20REWORK%201%20-%20IHG_5_Year_Financial_Ratios_and_Benchmark_Updated.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oura\Documents\sepely\work\2026\AUGUST\BR-AP674%20REWORK%201%20-%20IHG_5_Year_Financial_Ratios_and_Benchmark_Updated.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oura\Documents\sepely\work\2026\AUGUST\BR-AP674%20REWORK%201%20-%20IHG_5_Year_Financial_Ratios_and_Benchmark_Updated.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1" Type="http://schemas.openxmlformats.org/officeDocument/2006/relationships/oleObject" Target="file:///C:\Users\soura\Documents\sepely\work\2026\AUGUST\BR-AP674%20REWORK%201%20-%20Investment_Appraisa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Probability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'[BR-AP674 REWORK 1 - IHG_5_Year_Financial_Ratios_and_Benchmark_Updated.xlsx]Ratios_5yr'!$A$6</c:f>
              <c:strCache>
                <c:ptCount val="1"/>
                <c:pt idx="0">
                  <c:v>Gross margin</c:v>
                </c:pt>
              </c:strCache>
            </c:strRef>
          </c:tx>
          <c:spPr>
            <a:solidFill>
              <a:schemeClr val="accent4">
                <a:shade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IHG_5_Year_Financial_Ratios_and_Benchmark_Updated.xlsx]Ratios_5yr'!$B$6:$F$6</c:f>
              <c:numCache>
                <c:formatCode>0.0%;[Red]\(0.0%\);\-</c:formatCode>
                <c:ptCount val="5"/>
                <c:pt idx="0">
                  <c:v>0.84866951046110095</c:v>
                </c:pt>
                <c:pt idx="1">
                  <c:v>0.8395328719723183</c:v>
                </c:pt>
                <c:pt idx="2">
                  <c:v>0.83350462487153132</c:v>
                </c:pt>
                <c:pt idx="3">
                  <c:v>0.83281733746130027</c:v>
                </c:pt>
                <c:pt idx="4">
                  <c:v>0.85213032581453629</c:v>
                </c:pt>
              </c:numCache>
            </c:numRef>
          </c:val>
          <c:extLst>
            <c:ext xmlns:c16="http://schemas.microsoft.com/office/drawing/2014/chart" uri="{C3380CC4-5D6E-409C-BE32-E72D297353CC}">
              <c16:uniqueId val="{00000000-5B76-4045-A99D-112594DC68AC}"/>
            </c:ext>
          </c:extLst>
        </c:ser>
        <c:ser>
          <c:idx val="1"/>
          <c:order val="1"/>
          <c:tx>
            <c:strRef>
              <c:f>'[BR-AP674 REWORK 1 - IHG_5_Year_Financial_Ratios_and_Benchmark_Updated.xlsx]Ratios_5yr'!$A$7</c:f>
              <c:strCache>
                <c:ptCount val="1"/>
                <c:pt idx="0">
                  <c:v>Operating margin</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IHG_5_Year_Financial_Ratios_and_Benchmark_Updated.xlsx]Ratios_5yr'!$B$7:$F$7</c:f>
              <c:numCache>
                <c:formatCode>0.0%;[Red]\(0.0%\);\-</c:formatCode>
                <c:ptCount val="5"/>
                <c:pt idx="0">
                  <c:v>0.21145642900670322</c:v>
                </c:pt>
                <c:pt idx="1">
                  <c:v>0.2305363321799308</c:v>
                </c:pt>
                <c:pt idx="2">
                  <c:v>0.16135662898252826</c:v>
                </c:pt>
                <c:pt idx="3">
                  <c:v>0.16993464052287582</c:v>
                </c:pt>
                <c:pt idx="4">
                  <c:v>-6.3909774436090222E-2</c:v>
                </c:pt>
              </c:numCache>
            </c:numRef>
          </c:val>
          <c:extLst>
            <c:ext xmlns:c16="http://schemas.microsoft.com/office/drawing/2014/chart" uri="{C3380CC4-5D6E-409C-BE32-E72D297353CC}">
              <c16:uniqueId val="{00000001-5B76-4045-A99D-112594DC68AC}"/>
            </c:ext>
          </c:extLst>
        </c:ser>
        <c:ser>
          <c:idx val="2"/>
          <c:order val="2"/>
          <c:tx>
            <c:strRef>
              <c:f>'[BR-AP674 REWORK 1 - IHG_5_Year_Financial_Ratios_and_Benchmark_Updated.xlsx]Ratios_5yr'!$A$8</c:f>
              <c:strCache>
                <c:ptCount val="1"/>
                <c:pt idx="0">
                  <c:v>Net profit margin</c:v>
                </c:pt>
              </c:strCache>
            </c:strRef>
          </c:tx>
          <c:spPr>
            <a:solidFill>
              <a:schemeClr val="accent4">
                <a:tint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IHG_5_Year_Financial_Ratios_and_Benchmark_Updated.xlsx]Ratios_5yr'!$B$8:$F$8</c:f>
              <c:numCache>
                <c:formatCode>0.0%;[Red]\(0.0%\);\-</c:formatCode>
                <c:ptCount val="5"/>
                <c:pt idx="0">
                  <c:v>0.12756449319520619</c:v>
                </c:pt>
                <c:pt idx="1">
                  <c:v>0.16219723183391002</c:v>
                </c:pt>
                <c:pt idx="2">
                  <c:v>9.6608427543679348E-2</c:v>
                </c:pt>
                <c:pt idx="3">
                  <c:v>9.1159270725834199E-2</c:v>
                </c:pt>
                <c:pt idx="4">
                  <c:v>-0.1086048454469507</c:v>
                </c:pt>
              </c:numCache>
            </c:numRef>
          </c:val>
          <c:extLst>
            <c:ext xmlns:c16="http://schemas.microsoft.com/office/drawing/2014/chart" uri="{C3380CC4-5D6E-409C-BE32-E72D297353CC}">
              <c16:uniqueId val="{00000002-5B76-4045-A99D-112594DC68AC}"/>
            </c:ext>
          </c:extLst>
        </c:ser>
        <c:dLbls>
          <c:dLblPos val="outEnd"/>
          <c:showLegendKey val="0"/>
          <c:showVal val="1"/>
          <c:showCatName val="0"/>
          <c:showSerName val="0"/>
          <c:showPercent val="0"/>
          <c:showBubbleSize val="0"/>
        </c:dLbls>
        <c:gapWidth val="444"/>
        <c:overlap val="-90"/>
        <c:axId val="90182463"/>
        <c:axId val="90184255"/>
      </c:barChart>
      <c:catAx>
        <c:axId val="90182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0184255"/>
        <c:crosses val="autoZero"/>
        <c:auto val="1"/>
        <c:lblAlgn val="ctr"/>
        <c:lblOffset val="100"/>
        <c:noMultiLvlLbl val="0"/>
      </c:catAx>
      <c:valAx>
        <c:axId val="90184255"/>
        <c:scaling>
          <c:orientation val="minMax"/>
        </c:scaling>
        <c:delete val="1"/>
        <c:axPos val="l"/>
        <c:numFmt formatCode="0.0%;[Red]\(0.0%\);\-" sourceLinked="1"/>
        <c:majorTickMark val="none"/>
        <c:minorTickMark val="none"/>
        <c:tickLblPos val="nextTo"/>
        <c:crossAx val="901824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Liquidity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'[BR-AP674 REWORK 1 - IHG_5_Year_Financial_Ratios_and_Benchmark_Updated.xlsx]Ratios_5yr'!$A$11</c:f>
              <c:strCache>
                <c:ptCount val="1"/>
                <c:pt idx="0">
                  <c:v>Current ratio</c:v>
                </c:pt>
              </c:strCache>
            </c:strRef>
          </c:tx>
          <c:spPr>
            <a:solidFill>
              <a:schemeClr val="accent6">
                <a:shade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IHG_5_Year_Financial_Ratios_and_Benchmark_Updated.xlsx]Ratios_5yr'!$B$11:$F$11</c:f>
              <c:numCache>
                <c:formatCode>0.0\x;[Red]\(0.0\x\);\-</c:formatCode>
                <c:ptCount val="5"/>
                <c:pt idx="0">
                  <c:v>0.96939834024896265</c:v>
                </c:pt>
                <c:pt idx="1">
                  <c:v>0.97214611872146117</c:v>
                </c:pt>
                <c:pt idx="2">
                  <c:v>1.0867875647668395</c:v>
                </c:pt>
                <c:pt idx="3">
                  <c:v>1.2721674876847291</c:v>
                </c:pt>
                <c:pt idx="4">
                  <c:v>1.2013926084627744</c:v>
                </c:pt>
              </c:numCache>
            </c:numRef>
          </c:val>
          <c:extLst>
            <c:ext xmlns:c16="http://schemas.microsoft.com/office/drawing/2014/chart" uri="{C3380CC4-5D6E-409C-BE32-E72D297353CC}">
              <c16:uniqueId val="{00000000-74E6-4B02-B1DF-3751789C493B}"/>
            </c:ext>
          </c:extLst>
        </c:ser>
        <c:ser>
          <c:idx val="1"/>
          <c:order val="1"/>
          <c:tx>
            <c:strRef>
              <c:f>'[BR-AP674 REWORK 1 - IHG_5_Year_Financial_Ratios_and_Benchmark_Updated.xlsx]Ratios_5yr'!$A$12</c:f>
              <c:strCache>
                <c:ptCount val="1"/>
                <c:pt idx="0">
                  <c:v>Quick ratio</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IHG_5_Year_Financial_Ratios_and_Benchmark_Updated.xlsx]Ratios_5yr'!$B$12:$F$12</c:f>
              <c:numCache>
                <c:formatCode>0.0\x;[Red]\(0.0\x\);\-</c:formatCode>
                <c:ptCount val="5"/>
                <c:pt idx="0">
                  <c:v>0.96732365145228216</c:v>
                </c:pt>
                <c:pt idx="1">
                  <c:v>0.96986301369863015</c:v>
                </c:pt>
                <c:pt idx="2">
                  <c:v>1.0841968911917099</c:v>
                </c:pt>
                <c:pt idx="3">
                  <c:v>1.2697044334975369</c:v>
                </c:pt>
                <c:pt idx="4">
                  <c:v>1.1987145152651313</c:v>
                </c:pt>
              </c:numCache>
            </c:numRef>
          </c:val>
          <c:extLst>
            <c:ext xmlns:c16="http://schemas.microsoft.com/office/drawing/2014/chart" uri="{C3380CC4-5D6E-409C-BE32-E72D297353CC}">
              <c16:uniqueId val="{00000001-74E6-4B02-B1DF-3751789C493B}"/>
            </c:ext>
          </c:extLst>
        </c:ser>
        <c:ser>
          <c:idx val="2"/>
          <c:order val="2"/>
          <c:tx>
            <c:strRef>
              <c:f>'[BR-AP674 REWORK 1 - IHG_5_Year_Financial_Ratios_and_Benchmark_Updated.xlsx]Ratios_5yr'!$A$13</c:f>
              <c:strCache>
                <c:ptCount val="1"/>
                <c:pt idx="0">
                  <c:v>Cash ratio</c:v>
                </c:pt>
              </c:strCache>
            </c:strRef>
          </c:tx>
          <c:spPr>
            <a:solidFill>
              <a:schemeClr val="accent6">
                <a:tint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IHG_5_Year_Financial_Ratios_and_Benchmark_Updated.xlsx]Ratios_5yr'!$B$13:$F$13</c:f>
              <c:numCache>
                <c:formatCode>0.0\x;[Red]\(0.0\x\);\-</c:formatCode>
                <c:ptCount val="5"/>
                <c:pt idx="0">
                  <c:v>0.52282157676348551</c:v>
                </c:pt>
                <c:pt idx="1">
                  <c:v>0.60365296803652968</c:v>
                </c:pt>
                <c:pt idx="2">
                  <c:v>0.63212435233160624</c:v>
                </c:pt>
                <c:pt idx="3">
                  <c:v>0.8928571428571429</c:v>
                </c:pt>
                <c:pt idx="4">
                  <c:v>0.89716122121049813</c:v>
                </c:pt>
              </c:numCache>
            </c:numRef>
          </c:val>
          <c:extLst>
            <c:ext xmlns:c16="http://schemas.microsoft.com/office/drawing/2014/chart" uri="{C3380CC4-5D6E-409C-BE32-E72D297353CC}">
              <c16:uniqueId val="{00000002-74E6-4B02-B1DF-3751789C493B}"/>
            </c:ext>
          </c:extLst>
        </c:ser>
        <c:dLbls>
          <c:dLblPos val="outEnd"/>
          <c:showLegendKey val="0"/>
          <c:showVal val="1"/>
          <c:showCatName val="0"/>
          <c:showSerName val="0"/>
          <c:showPercent val="0"/>
          <c:showBubbleSize val="0"/>
        </c:dLbls>
        <c:gapWidth val="444"/>
        <c:overlap val="-90"/>
        <c:axId val="94851007"/>
        <c:axId val="94862655"/>
      </c:barChart>
      <c:catAx>
        <c:axId val="948510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4862655"/>
        <c:crosses val="autoZero"/>
        <c:auto val="1"/>
        <c:lblAlgn val="ctr"/>
        <c:lblOffset val="100"/>
        <c:noMultiLvlLbl val="0"/>
      </c:catAx>
      <c:valAx>
        <c:axId val="94862655"/>
        <c:scaling>
          <c:orientation val="minMax"/>
        </c:scaling>
        <c:delete val="1"/>
        <c:axPos val="l"/>
        <c:numFmt formatCode="0.0\x;[Red]\(0.0\x\);\-" sourceLinked="1"/>
        <c:majorTickMark val="none"/>
        <c:minorTickMark val="none"/>
        <c:tickLblPos val="nextTo"/>
        <c:crossAx val="9485100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IN"/>
              <a:t>Liquidity Ratio Trend (2020-2024)</a:t>
            </a:r>
          </a:p>
        </c:rich>
      </c:tx>
      <c:overlay val="0"/>
    </c:title>
    <c:autoTitleDeleted val="0"/>
    <c:plotArea>
      <c:layout/>
      <c:lineChart>
        <c:grouping val="standard"/>
        <c:varyColors val="0"/>
        <c:ser>
          <c:idx val="0"/>
          <c:order val="0"/>
          <c:tx>
            <c:v>Current ratio</c:v>
          </c:tx>
          <c:cat>
            <c:numRef>
              <c:f>'[BR-AP674 REWORK 1 - IHG_5_Year_Financial_Ratios_and_Benchmark_Updated.xlsx]Ratios_5yr'!$R$11:$R$15</c:f>
              <c:numCache>
                <c:formatCode>General</c:formatCode>
                <c:ptCount val="5"/>
                <c:pt idx="0">
                  <c:v>2020</c:v>
                </c:pt>
                <c:pt idx="1">
                  <c:v>2021</c:v>
                </c:pt>
                <c:pt idx="2">
                  <c:v>2022</c:v>
                </c:pt>
                <c:pt idx="3">
                  <c:v>2023</c:v>
                </c:pt>
                <c:pt idx="4">
                  <c:v>2024</c:v>
                </c:pt>
              </c:numCache>
            </c:numRef>
          </c:cat>
          <c:val>
            <c:numRef>
              <c:f>'[BR-AP674 REWORK 1 - IHG_5_Year_Financial_Ratios_and_Benchmark_Updated.xlsx]Ratios_5yr'!$S$11:$S$15</c:f>
              <c:numCache>
                <c:formatCode>General</c:formatCode>
                <c:ptCount val="5"/>
                <c:pt idx="0">
                  <c:v>1.2013926084627744</c:v>
                </c:pt>
                <c:pt idx="1">
                  <c:v>1.2721674876847291</c:v>
                </c:pt>
                <c:pt idx="2">
                  <c:v>1.0867875647668395</c:v>
                </c:pt>
                <c:pt idx="3">
                  <c:v>0.97214611872146117</c:v>
                </c:pt>
                <c:pt idx="4">
                  <c:v>0.96939834024896265</c:v>
                </c:pt>
              </c:numCache>
            </c:numRef>
          </c:val>
          <c:smooth val="0"/>
          <c:extLst>
            <c:ext xmlns:c16="http://schemas.microsoft.com/office/drawing/2014/chart" uri="{C3380CC4-5D6E-409C-BE32-E72D297353CC}">
              <c16:uniqueId val="{00000000-4E3D-422E-ABAC-20B0264BDCD9}"/>
            </c:ext>
          </c:extLst>
        </c:ser>
        <c:ser>
          <c:idx val="1"/>
          <c:order val="1"/>
          <c:tx>
            <c:v>Quick ratio</c:v>
          </c:tx>
          <c:cat>
            <c:numRef>
              <c:f>'[BR-AP674 REWORK 1 - IHG_5_Year_Financial_Ratios_and_Benchmark_Updated.xlsx]Ratios_5yr'!$R$11:$R$15</c:f>
              <c:numCache>
                <c:formatCode>General</c:formatCode>
                <c:ptCount val="5"/>
                <c:pt idx="0">
                  <c:v>2020</c:v>
                </c:pt>
                <c:pt idx="1">
                  <c:v>2021</c:v>
                </c:pt>
                <c:pt idx="2">
                  <c:v>2022</c:v>
                </c:pt>
                <c:pt idx="3">
                  <c:v>2023</c:v>
                </c:pt>
                <c:pt idx="4">
                  <c:v>2024</c:v>
                </c:pt>
              </c:numCache>
            </c:numRef>
          </c:cat>
          <c:val>
            <c:numRef>
              <c:f>'[BR-AP674 REWORK 1 - IHG_5_Year_Financial_Ratios_and_Benchmark_Updated.xlsx]Ratios_5yr'!$T$11:$T$15</c:f>
              <c:numCache>
                <c:formatCode>General</c:formatCode>
                <c:ptCount val="5"/>
                <c:pt idx="0">
                  <c:v>1.1987145152651313</c:v>
                </c:pt>
                <c:pt idx="1">
                  <c:v>1.2697044334975369</c:v>
                </c:pt>
                <c:pt idx="2">
                  <c:v>1.0841968911917099</c:v>
                </c:pt>
                <c:pt idx="3">
                  <c:v>0.96986301369863015</c:v>
                </c:pt>
                <c:pt idx="4">
                  <c:v>0.96732365145228216</c:v>
                </c:pt>
              </c:numCache>
            </c:numRef>
          </c:val>
          <c:smooth val="0"/>
          <c:extLst>
            <c:ext xmlns:c16="http://schemas.microsoft.com/office/drawing/2014/chart" uri="{C3380CC4-5D6E-409C-BE32-E72D297353CC}">
              <c16:uniqueId val="{00000001-4E3D-422E-ABAC-20B0264BDCD9}"/>
            </c:ext>
          </c:extLst>
        </c:ser>
        <c:ser>
          <c:idx val="2"/>
          <c:order val="2"/>
          <c:tx>
            <c:v>Cash ratio</c:v>
          </c:tx>
          <c:cat>
            <c:numRef>
              <c:f>'[BR-AP674 REWORK 1 - IHG_5_Year_Financial_Ratios_and_Benchmark_Updated.xlsx]Ratios_5yr'!$R$11:$R$15</c:f>
              <c:numCache>
                <c:formatCode>General</c:formatCode>
                <c:ptCount val="5"/>
                <c:pt idx="0">
                  <c:v>2020</c:v>
                </c:pt>
                <c:pt idx="1">
                  <c:v>2021</c:v>
                </c:pt>
                <c:pt idx="2">
                  <c:v>2022</c:v>
                </c:pt>
                <c:pt idx="3">
                  <c:v>2023</c:v>
                </c:pt>
                <c:pt idx="4">
                  <c:v>2024</c:v>
                </c:pt>
              </c:numCache>
            </c:numRef>
          </c:cat>
          <c:val>
            <c:numRef>
              <c:f>'[BR-AP674 REWORK 1 - IHG_5_Year_Financial_Ratios_and_Benchmark_Updated.xlsx]Ratios_5yr'!$U$11:$U$15</c:f>
              <c:numCache>
                <c:formatCode>General</c:formatCode>
                <c:ptCount val="5"/>
                <c:pt idx="0">
                  <c:v>0.89716122121049813</c:v>
                </c:pt>
                <c:pt idx="1">
                  <c:v>0.8928571428571429</c:v>
                </c:pt>
                <c:pt idx="2">
                  <c:v>0.63212435233160624</c:v>
                </c:pt>
                <c:pt idx="3">
                  <c:v>0.60365296803652968</c:v>
                </c:pt>
                <c:pt idx="4">
                  <c:v>0.52282157676348551</c:v>
                </c:pt>
              </c:numCache>
            </c:numRef>
          </c:val>
          <c:smooth val="0"/>
          <c:extLst>
            <c:ext xmlns:c16="http://schemas.microsoft.com/office/drawing/2014/chart" uri="{C3380CC4-5D6E-409C-BE32-E72D297353CC}">
              <c16:uniqueId val="{00000002-4E3D-422E-ABAC-20B0264BDCD9}"/>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0\x"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Efficiency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'[BR-AP674 REWORK 1 - IHG_5_Year_Financial_Ratios_and_Benchmark_Updated.xlsx]Ratios_5yr'!$A$16</c:f>
              <c:strCache>
                <c:ptCount val="1"/>
                <c:pt idx="0">
                  <c:v>Asset turnover</c:v>
                </c:pt>
              </c:strCache>
            </c:strRef>
          </c:tx>
          <c:spPr>
            <a:solidFill>
              <a:schemeClr val="accent5">
                <a:shade val="7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IHG_5_Year_Financial_Ratios_and_Benchmark_Updated.xlsx]Ratios_5yr'!$B$16:$F$16</c:f>
              <c:numCache>
                <c:formatCode>0.0\x;[Red]\(0.0\x\);\-</c:formatCode>
                <c:ptCount val="5"/>
                <c:pt idx="0">
                  <c:v>1.0298085974270474</c:v>
                </c:pt>
                <c:pt idx="1">
                  <c:v>1.0242551777605493</c:v>
                </c:pt>
                <c:pt idx="2">
                  <c:v>0.87147335423197492</c:v>
                </c:pt>
                <c:pt idx="3">
                  <c:v>0.596002050230651</c:v>
                </c:pt>
                <c:pt idx="4">
                  <c:v>0.5185746777862017</c:v>
                </c:pt>
              </c:numCache>
            </c:numRef>
          </c:val>
          <c:extLst>
            <c:ext xmlns:c16="http://schemas.microsoft.com/office/drawing/2014/chart" uri="{C3380CC4-5D6E-409C-BE32-E72D297353CC}">
              <c16:uniqueId val="{00000000-D6C1-4C7B-B0DF-FB405DD8A9B5}"/>
            </c:ext>
          </c:extLst>
        </c:ser>
        <c:ser>
          <c:idx val="1"/>
          <c:order val="1"/>
          <c:tx>
            <c:strRef>
              <c:f>'[BR-AP674 REWORK 1 - IHG_5_Year_Financial_Ratios_and_Benchmark_Updated.xlsx]Ratios_5yr'!$A$17</c:f>
              <c:strCache>
                <c:ptCount val="1"/>
                <c:pt idx="0">
                  <c:v>Fixed asset turnover</c:v>
                </c:pt>
              </c:strCache>
            </c:strRef>
          </c:tx>
          <c:spPr>
            <a:solidFill>
              <a:schemeClr val="accent5">
                <a:tint val="77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IHG_5_Year_Financial_Ratios_and_Benchmark_Updated.xlsx]Ratios_5yr'!$B$17:$F$17</c:f>
              <c:numCache>
                <c:formatCode>0.0\x;[Red]\(0.0\x\);\-</c:formatCode>
                <c:ptCount val="5"/>
                <c:pt idx="0">
                  <c:v>32.929765886287626</c:v>
                </c:pt>
                <c:pt idx="1">
                  <c:v>29.832258064516129</c:v>
                </c:pt>
                <c:pt idx="2">
                  <c:v>26.476190476190474</c:v>
                </c:pt>
                <c:pt idx="3">
                  <c:v>17.201183431952664</c:v>
                </c:pt>
                <c:pt idx="4">
                  <c:v>9.3882352941176475</c:v>
                </c:pt>
              </c:numCache>
            </c:numRef>
          </c:val>
          <c:extLst>
            <c:ext xmlns:c16="http://schemas.microsoft.com/office/drawing/2014/chart" uri="{C3380CC4-5D6E-409C-BE32-E72D297353CC}">
              <c16:uniqueId val="{00000001-D6C1-4C7B-B0DF-FB405DD8A9B5}"/>
            </c:ext>
          </c:extLst>
        </c:ser>
        <c:dLbls>
          <c:dLblPos val="outEnd"/>
          <c:showLegendKey val="0"/>
          <c:showVal val="1"/>
          <c:showCatName val="0"/>
          <c:showSerName val="0"/>
          <c:showPercent val="0"/>
          <c:showBubbleSize val="0"/>
        </c:dLbls>
        <c:gapWidth val="444"/>
        <c:overlap val="-90"/>
        <c:axId val="95467967"/>
        <c:axId val="95459455"/>
      </c:barChart>
      <c:catAx>
        <c:axId val="95467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5459455"/>
        <c:crosses val="autoZero"/>
        <c:auto val="1"/>
        <c:lblAlgn val="ctr"/>
        <c:lblOffset val="100"/>
        <c:noMultiLvlLbl val="0"/>
      </c:catAx>
      <c:valAx>
        <c:axId val="95459455"/>
        <c:scaling>
          <c:orientation val="minMax"/>
        </c:scaling>
        <c:delete val="1"/>
        <c:axPos val="l"/>
        <c:numFmt formatCode="0.0\x;[Red]\(0.0\x\);\-" sourceLinked="1"/>
        <c:majorTickMark val="none"/>
        <c:minorTickMark val="none"/>
        <c:tickLblPos val="nextTo"/>
        <c:crossAx val="9546796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cap="all" normalizeH="0" baseline="0">
                <a:effectLst/>
              </a:rPr>
              <a:t>Leverage and Coverage Ratios</a:t>
            </a:r>
            <a:r>
              <a:rPr lang="en-IN" sz="1600" b="1" i="0" u="none" strike="noStrike" cap="all" normalizeH="0" baseline="0">
                <a:effectLst/>
              </a:rPr>
              <a:t>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'[BR-AP674 REWORK 1 - IHG_5_Year_Financial_Ratios_and_Benchmark_Updated.xlsx]Ratios_5yr'!$A$20</c:f>
              <c:strCache>
                <c:ptCount val="1"/>
                <c:pt idx="0">
                  <c:v>Interest coverage ratio</c:v>
                </c:pt>
              </c:strCache>
            </c:strRef>
          </c:tx>
          <c:spPr>
            <a:solidFill>
              <a:schemeClr val="accent4">
                <a:tint val="77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IHG_5_Year_Financial_Ratios_and_Benchmark_Updated.xlsx]Ratios_5yr'!$B$20:$F$20</c:f>
              <c:numCache>
                <c:formatCode>0.0\x;[Red]\(0.0\x\);\-</c:formatCode>
                <c:ptCount val="5"/>
                <c:pt idx="0">
                  <c:v>5.1280788177339902</c:v>
                </c:pt>
                <c:pt idx="1">
                  <c:v>11.714285714285714</c:v>
                </c:pt>
                <c:pt idx="2">
                  <c:v>5.3220338983050848</c:v>
                </c:pt>
                <c:pt idx="3">
                  <c:v>3.360544217687075</c:v>
                </c:pt>
                <c:pt idx="4">
                  <c:v>-1.0625</c:v>
                </c:pt>
              </c:numCache>
            </c:numRef>
          </c:val>
          <c:extLst>
            <c:ext xmlns:c16="http://schemas.microsoft.com/office/drawing/2014/chart" uri="{C3380CC4-5D6E-409C-BE32-E72D297353CC}">
              <c16:uniqueId val="{00000000-6B80-4A5B-A5F1-DADFFBD636D3}"/>
            </c:ext>
          </c:extLst>
        </c:ser>
        <c:ser>
          <c:idx val="1"/>
          <c:order val="1"/>
          <c:tx>
            <c:strRef>
              <c:f>'[BR-AP674 REWORK 1 - IHG_5_Year_Financial_Ratios_and_Benchmark_Updated.xlsx]Ratios_5yr'!$A$21</c:f>
              <c:strCache>
                <c:ptCount val="1"/>
                <c:pt idx="0">
                  <c:v>Debt-to-equity ratio</c:v>
                </c:pt>
              </c:strCache>
            </c:strRef>
          </c:tx>
          <c:spPr>
            <a:solidFill>
              <a:schemeClr val="accent4">
                <a:shade val="7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'[BR-AP674 REWORK 1 - IHG_5_Year_Financial_Ratios_and_Benchmark_Updated.xlsx]Ratios_5yr'!$B$4:$F$4</c:f>
              <c:numCache>
                <c:formatCode>General</c:formatCode>
                <c:ptCount val="5"/>
                <c:pt idx="0">
                  <c:v>2024</c:v>
                </c:pt>
                <c:pt idx="1">
                  <c:v>2023</c:v>
                </c:pt>
                <c:pt idx="2">
                  <c:v>2022</c:v>
                </c:pt>
                <c:pt idx="3">
                  <c:v>2021</c:v>
                </c:pt>
                <c:pt idx="4">
                  <c:v>2020</c:v>
                </c:pt>
              </c:numCache>
            </c:numRef>
          </c:cat>
          <c:val>
            <c:numRef>
              <c:f>'[BR-AP674 REWORK 1 - IHG_5_Year_Financial_Ratios_and_Benchmark_Updated.xlsx]Ratios_5yr'!$B$21:$F$21</c:f>
              <c:numCache>
                <c:formatCode>0.0\x;[Red]\(0.0\x\);\-</c:formatCode>
                <c:ptCount val="5"/>
                <c:pt idx="0">
                  <c:v>-1.5951557093425606</c:v>
                </c:pt>
                <c:pt idx="1">
                  <c:v>-1.842051282051282</c:v>
                </c:pt>
                <c:pt idx="2">
                  <c:v>-1.7479876160990713</c:v>
                </c:pt>
                <c:pt idx="3">
                  <c:v>-2.2039162727886561</c:v>
                </c:pt>
                <c:pt idx="4">
                  <c:v>-2.2708669897684439</c:v>
                </c:pt>
              </c:numCache>
            </c:numRef>
          </c:val>
          <c:extLst>
            <c:ext xmlns:c16="http://schemas.microsoft.com/office/drawing/2014/chart" uri="{C3380CC4-5D6E-409C-BE32-E72D297353CC}">
              <c16:uniqueId val="{00000001-6B80-4A5B-A5F1-DADFFBD636D3}"/>
            </c:ext>
          </c:extLst>
        </c:ser>
        <c:dLbls>
          <c:dLblPos val="outEnd"/>
          <c:showLegendKey val="0"/>
          <c:showVal val="1"/>
          <c:showCatName val="0"/>
          <c:showSerName val="0"/>
          <c:showPercent val="0"/>
          <c:showBubbleSize val="0"/>
        </c:dLbls>
        <c:gapWidth val="444"/>
        <c:overlap val="-90"/>
        <c:axId val="85095551"/>
        <c:axId val="85096895"/>
      </c:barChart>
      <c:catAx>
        <c:axId val="850955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5096895"/>
        <c:crosses val="autoZero"/>
        <c:auto val="1"/>
        <c:lblAlgn val="ctr"/>
        <c:lblOffset val="100"/>
        <c:noMultiLvlLbl val="0"/>
      </c:catAx>
      <c:valAx>
        <c:axId val="85096895"/>
        <c:scaling>
          <c:orientation val="minMax"/>
        </c:scaling>
        <c:delete val="1"/>
        <c:axPos val="l"/>
        <c:numFmt formatCode="0.0\x;[Red]\(0.0\x\);\-" sourceLinked="1"/>
        <c:majorTickMark val="none"/>
        <c:minorTickMark val="none"/>
        <c:tickLblPos val="nextTo"/>
        <c:crossAx val="8509555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800" b="1" i="0" u="none" strike="noStrike">
                <a:effectLst/>
              </a:rPr>
              <a:t>INVESTMENT AND CASH FLOW RATIOS</a:t>
            </a:r>
            <a:r>
              <a:rPr lang="en-IN">
                <a:effectLst/>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'[BR-AP674 REWORK 1 - IHG_5_Year_Financial_Ratios_and_Benchmark_Updated.xlsx]Ratios_5yr'!$A$46</c:f>
              <c:strCache>
                <c:ptCount val="1"/>
                <c:pt idx="0">
                  <c:v>Return on assets (ROA)</c:v>
                </c:pt>
              </c:strCache>
            </c:strRef>
          </c:tx>
          <c:spPr>
            <a:solidFill>
              <a:schemeClr val="accent4">
                <a:shade val="58000"/>
              </a:schemeClr>
            </a:solidFill>
            <a:ln>
              <a:noFill/>
            </a:ln>
            <a:effectLst/>
          </c:spPr>
          <c:invertIfNegative val="0"/>
          <c:cat>
            <c:numRef>
              <c:f>'[BR-AP674 REWORK 1 - IHG_5_Year_Financial_Ratios_and_Benchmark_Updated.xlsx]Ratios_5yr'!$B$45:$F$45</c:f>
              <c:numCache>
                <c:formatCode>0.0%;[Red]\(0.0%\);\-</c:formatCode>
                <c:ptCount val="5"/>
                <c:pt idx="0">
                  <c:v>-0.29469732519943687</c:v>
                </c:pt>
                <c:pt idx="1">
                  <c:v>-0.42075736325385693</c:v>
                </c:pt>
                <c:pt idx="2">
                  <c:v>-0.24224806201550386</c:v>
                </c:pt>
                <c:pt idx="3">
                  <c:v>-0.15937687237866988</c:v>
                </c:pt>
                <c:pt idx="4">
                  <c:v>0.15615615615615616</c:v>
                </c:pt>
              </c:numCache>
            </c:numRef>
          </c:cat>
          <c:val>
            <c:numRef>
              <c:f>'[BR-AP674 REWORK 1 - IHG_5_Year_Financial_Ratios_and_Benchmark_Updated.xlsx]Ratios_5yr'!$B$46:$F$46</c:f>
              <c:numCache>
                <c:formatCode>0.0%;[Red]\(0.0%\);\-</c:formatCode>
                <c:ptCount val="5"/>
                <c:pt idx="0">
                  <c:v>0.13136701181884741</c:v>
                </c:pt>
                <c:pt idx="1">
                  <c:v>0.16613135452431055</c:v>
                </c:pt>
                <c:pt idx="2">
                  <c:v>8.3967756381549491E-2</c:v>
                </c:pt>
                <c:pt idx="3">
                  <c:v>5.4536135315222965E-2</c:v>
                </c:pt>
                <c:pt idx="4">
                  <c:v>-5.6319722733672695E-2</c:v>
                </c:pt>
              </c:numCache>
            </c:numRef>
          </c:val>
          <c:extLst>
            <c:ext xmlns:c16="http://schemas.microsoft.com/office/drawing/2014/chart" uri="{C3380CC4-5D6E-409C-BE32-E72D297353CC}">
              <c16:uniqueId val="{00000000-3FB3-4ABE-A464-F9FC05A21964}"/>
            </c:ext>
          </c:extLst>
        </c:ser>
        <c:ser>
          <c:idx val="1"/>
          <c:order val="1"/>
          <c:tx>
            <c:strRef>
              <c:f>'[BR-AP674 REWORK 1 - IHG_5_Year_Financial_Ratios_and_Benchmark_Updated.xlsx]Ratios_5yr'!$A$47</c:f>
              <c:strCache>
                <c:ptCount val="1"/>
                <c:pt idx="0">
                  <c:v>Price/earnings ratio (P/E)</c:v>
                </c:pt>
              </c:strCache>
            </c:strRef>
          </c:tx>
          <c:spPr>
            <a:solidFill>
              <a:schemeClr val="accent4">
                <a:shade val="86000"/>
              </a:schemeClr>
            </a:solidFill>
            <a:ln>
              <a:noFill/>
            </a:ln>
            <a:effectLst/>
          </c:spPr>
          <c:invertIfNegative val="0"/>
          <c:cat>
            <c:numRef>
              <c:f>'[BR-AP674 REWORK 1 - IHG_5_Year_Financial_Ratios_and_Benchmark_Updated.xlsx]Ratios_5yr'!$B$45:$F$45</c:f>
              <c:numCache>
                <c:formatCode>0.0%;[Red]\(0.0%\);\-</c:formatCode>
                <c:ptCount val="5"/>
                <c:pt idx="0">
                  <c:v>-0.29469732519943687</c:v>
                </c:pt>
                <c:pt idx="1">
                  <c:v>-0.42075736325385693</c:v>
                </c:pt>
                <c:pt idx="2">
                  <c:v>-0.24224806201550386</c:v>
                </c:pt>
                <c:pt idx="3">
                  <c:v>-0.15937687237866988</c:v>
                </c:pt>
                <c:pt idx="4">
                  <c:v>0.15615615615615616</c:v>
                </c:pt>
              </c:numCache>
            </c:numRef>
          </c:cat>
          <c:val>
            <c:numRef>
              <c:f>'[BR-AP674 REWORK 1 - IHG_5_Year_Financial_Ratios_and_Benchmark_Updated.xlsx]Ratios_5yr'!$B$47:$F$47</c:f>
              <c:numCache>
                <c:formatCode>0.0\x;[Red]\(0.0\x\);\-</c:formatCode>
                <c:ptCount val="5"/>
                <c:pt idx="0">
                  <c:v>32.42</c:v>
                </c:pt>
                <c:pt idx="1">
                  <c:v>20.67</c:v>
                </c:pt>
                <c:pt idx="2">
                  <c:v>28.32</c:v>
                </c:pt>
                <c:pt idx="3">
                  <c:v>45.1</c:v>
                </c:pt>
                <c:pt idx="4" formatCode="General">
                  <c:v>0</c:v>
                </c:pt>
              </c:numCache>
            </c:numRef>
          </c:val>
          <c:extLst>
            <c:ext xmlns:c16="http://schemas.microsoft.com/office/drawing/2014/chart" uri="{C3380CC4-5D6E-409C-BE32-E72D297353CC}">
              <c16:uniqueId val="{00000001-3FB3-4ABE-A464-F9FC05A21964}"/>
            </c:ext>
          </c:extLst>
        </c:ser>
        <c:ser>
          <c:idx val="2"/>
          <c:order val="2"/>
          <c:tx>
            <c:strRef>
              <c:f>'[BR-AP674 REWORK 1 - IHG_5_Year_Financial_Ratios_and_Benchmark_Updated.xlsx]Ratios_5yr'!$A$48</c:f>
              <c:strCache>
                <c:ptCount val="1"/>
                <c:pt idx="0">
                  <c:v>Operating cash flow ratio</c:v>
                </c:pt>
              </c:strCache>
            </c:strRef>
          </c:tx>
          <c:spPr>
            <a:solidFill>
              <a:schemeClr val="accent4">
                <a:tint val="86000"/>
              </a:schemeClr>
            </a:solidFill>
            <a:ln>
              <a:noFill/>
            </a:ln>
            <a:effectLst/>
          </c:spPr>
          <c:invertIfNegative val="0"/>
          <c:cat>
            <c:numRef>
              <c:f>'[BR-AP674 REWORK 1 - IHG_5_Year_Financial_Ratios_and_Benchmark_Updated.xlsx]Ratios_5yr'!$B$45:$F$45</c:f>
              <c:numCache>
                <c:formatCode>0.0%;[Red]\(0.0%\);\-</c:formatCode>
                <c:ptCount val="5"/>
                <c:pt idx="0">
                  <c:v>-0.29469732519943687</c:v>
                </c:pt>
                <c:pt idx="1">
                  <c:v>-0.42075736325385693</c:v>
                </c:pt>
                <c:pt idx="2">
                  <c:v>-0.24224806201550386</c:v>
                </c:pt>
                <c:pt idx="3">
                  <c:v>-0.15937687237866988</c:v>
                </c:pt>
                <c:pt idx="4">
                  <c:v>0.15615615615615616</c:v>
                </c:pt>
              </c:numCache>
            </c:numRef>
          </c:cat>
          <c:val>
            <c:numRef>
              <c:f>'[BR-AP674 REWORK 1 - IHG_5_Year_Financial_Ratios_and_Benchmark_Updated.xlsx]Ratios_5yr'!$B$48:$F$48</c:f>
              <c:numCache>
                <c:formatCode>0.00\x;[Red]\(0.00\x\);\-</c:formatCode>
                <c:ptCount val="5"/>
                <c:pt idx="0">
                  <c:v>0.37551867219917012</c:v>
                </c:pt>
                <c:pt idx="1">
                  <c:v>0.4077625570776256</c:v>
                </c:pt>
                <c:pt idx="2">
                  <c:v>0.41839378238341968</c:v>
                </c:pt>
                <c:pt idx="3">
                  <c:v>0.39162561576354682</c:v>
                </c:pt>
                <c:pt idx="4">
                  <c:v>7.3379753615425813E-2</c:v>
                </c:pt>
              </c:numCache>
            </c:numRef>
          </c:val>
          <c:extLst>
            <c:ext xmlns:c16="http://schemas.microsoft.com/office/drawing/2014/chart" uri="{C3380CC4-5D6E-409C-BE32-E72D297353CC}">
              <c16:uniqueId val="{00000002-3FB3-4ABE-A464-F9FC05A21964}"/>
            </c:ext>
          </c:extLst>
        </c:ser>
        <c:dLbls>
          <c:showLegendKey val="0"/>
          <c:showVal val="0"/>
          <c:showCatName val="0"/>
          <c:showSerName val="0"/>
          <c:showPercent val="0"/>
          <c:showBubbleSize val="0"/>
        </c:dLbls>
        <c:gapWidth val="219"/>
        <c:overlap val="-27"/>
        <c:axId val="85084799"/>
        <c:axId val="87998463"/>
      </c:barChart>
      <c:lineChart>
        <c:grouping val="standard"/>
        <c:varyColors val="0"/>
        <c:ser>
          <c:idx val="3"/>
          <c:order val="3"/>
          <c:tx>
            <c:strRef>
              <c:f>'[BR-AP674 REWORK 1 - IHG_5_Year_Financial_Ratios_and_Benchmark_Updated.xlsx]Ratios_5yr'!$A$49</c:f>
              <c:strCache>
                <c:ptCount val="1"/>
                <c:pt idx="0">
                  <c:v>Free cash flow margin</c:v>
                </c:pt>
              </c:strCache>
            </c:strRef>
          </c:tx>
          <c:spPr>
            <a:ln w="28575" cap="rnd">
              <a:solidFill>
                <a:schemeClr val="accent4">
                  <a:tint val="58000"/>
                </a:schemeClr>
              </a:solidFill>
              <a:round/>
            </a:ln>
            <a:effectLst/>
          </c:spPr>
          <c:marker>
            <c:symbol val="none"/>
          </c:marker>
          <c:cat>
            <c:numRef>
              <c:f>'[BR-AP674 REWORK 1 - IHG_5_Year_Financial_Ratios_and_Benchmark_Updated.xlsx]Ratios_5yr'!$B$45:$F$45</c:f>
              <c:numCache>
                <c:formatCode>0.0%;[Red]\(0.0%\);\-</c:formatCode>
                <c:ptCount val="5"/>
                <c:pt idx="0">
                  <c:v>-0.29469732519943687</c:v>
                </c:pt>
                <c:pt idx="1">
                  <c:v>-0.42075736325385693</c:v>
                </c:pt>
                <c:pt idx="2">
                  <c:v>-0.24224806201550386</c:v>
                </c:pt>
                <c:pt idx="3">
                  <c:v>-0.15937687237866988</c:v>
                </c:pt>
                <c:pt idx="4">
                  <c:v>0.15615615615615616</c:v>
                </c:pt>
              </c:numCache>
            </c:numRef>
          </c:cat>
          <c:val>
            <c:numRef>
              <c:f>'[BR-AP674 REWORK 1 - IHG_5_Year_Financial_Ratios_and_Benchmark_Updated.xlsx]Ratios_5yr'!$B$49:$F$49</c:f>
              <c:numCache>
                <c:formatCode>0.0%;[Red]\(0.0%\);\-</c:formatCode>
                <c:ptCount val="5"/>
                <c:pt idx="0">
                  <c:v>0.13122080032500508</c:v>
                </c:pt>
                <c:pt idx="1">
                  <c:v>0.17538927335640139</c:v>
                </c:pt>
                <c:pt idx="2">
                  <c:v>0.14054470709146968</c:v>
                </c:pt>
                <c:pt idx="3">
                  <c:v>0.20089439284485724</c:v>
                </c:pt>
                <c:pt idx="4">
                  <c:v>2.5480367585630742E-2</c:v>
                </c:pt>
              </c:numCache>
            </c:numRef>
          </c:val>
          <c:smooth val="0"/>
          <c:extLst>
            <c:ext xmlns:c16="http://schemas.microsoft.com/office/drawing/2014/chart" uri="{C3380CC4-5D6E-409C-BE32-E72D297353CC}">
              <c16:uniqueId val="{00000003-3FB3-4ABE-A464-F9FC05A21964}"/>
            </c:ext>
          </c:extLst>
        </c:ser>
        <c:dLbls>
          <c:showLegendKey val="0"/>
          <c:showVal val="0"/>
          <c:showCatName val="0"/>
          <c:showSerName val="0"/>
          <c:showPercent val="0"/>
          <c:showBubbleSize val="0"/>
        </c:dLbls>
        <c:marker val="1"/>
        <c:smooth val="0"/>
        <c:axId val="96422079"/>
        <c:axId val="85147647"/>
      </c:lineChart>
      <c:catAx>
        <c:axId val="85084799"/>
        <c:scaling>
          <c:orientation val="minMax"/>
        </c:scaling>
        <c:delete val="0"/>
        <c:axPos val="b"/>
        <c:numFmt formatCode="0.0%;[Red]\(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98463"/>
        <c:crosses val="autoZero"/>
        <c:auto val="1"/>
        <c:lblAlgn val="ctr"/>
        <c:lblOffset val="100"/>
        <c:noMultiLvlLbl val="0"/>
      </c:catAx>
      <c:valAx>
        <c:axId val="87998463"/>
        <c:scaling>
          <c:orientation val="minMax"/>
        </c:scaling>
        <c:delete val="0"/>
        <c:axPos val="l"/>
        <c:majorGridlines>
          <c:spPr>
            <a:ln w="9525" cap="flat" cmpd="sng" algn="ctr">
              <a:solidFill>
                <a:schemeClr val="tx1">
                  <a:lumMod val="15000"/>
                  <a:lumOff val="85000"/>
                </a:schemeClr>
              </a:solidFill>
              <a:round/>
            </a:ln>
            <a:effectLst/>
          </c:spPr>
        </c:majorGridlines>
        <c:numFmt formatCode="0.0%;[Red]\(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84799"/>
        <c:crosses val="autoZero"/>
        <c:crossBetween val="between"/>
      </c:valAx>
      <c:valAx>
        <c:axId val="85147647"/>
        <c:scaling>
          <c:orientation val="minMax"/>
        </c:scaling>
        <c:delete val="0"/>
        <c:axPos val="r"/>
        <c:numFmt formatCode="0.0%;[Red]\(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22079"/>
        <c:crosses val="max"/>
        <c:crossBetween val="between"/>
      </c:valAx>
      <c:catAx>
        <c:axId val="96422079"/>
        <c:scaling>
          <c:orientation val="minMax"/>
        </c:scaling>
        <c:delete val="1"/>
        <c:axPos val="b"/>
        <c:numFmt formatCode="0.0%;[Red]\(0.0%\);\-" sourceLinked="1"/>
        <c:majorTickMark val="none"/>
        <c:minorTickMark val="none"/>
        <c:tickLblPos val="nextTo"/>
        <c:crossAx val="8514764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IN"/>
              <a:t>Cumulative Cash Flow and Payback</a:t>
            </a:r>
          </a:p>
        </c:rich>
      </c:tx>
      <c:overlay val="0"/>
    </c:title>
    <c:autoTitleDeleted val="0"/>
    <c:plotArea>
      <c:layout/>
      <c:lineChart>
        <c:grouping val="standard"/>
        <c:varyColors val="1"/>
        <c:ser>
          <c:idx val="0"/>
          <c:order val="0"/>
          <c:tx>
            <c:v>Project A</c:v>
          </c:tx>
          <c:cat>
            <c:strRef>
              <c:f>'[BR-AP674 REWORK 1 - Investment_Appraisal.xlsx]Investment_Appraisal'!$A$20:$A$25</c:f>
              <c:strCache>
                <c:ptCount val="6"/>
                <c:pt idx="0">
                  <c:v>Year 0</c:v>
                </c:pt>
                <c:pt idx="1">
                  <c:v>Year 1</c:v>
                </c:pt>
                <c:pt idx="2">
                  <c:v>Year 2</c:v>
                </c:pt>
                <c:pt idx="3">
                  <c:v>Year 3</c:v>
                </c:pt>
                <c:pt idx="4">
                  <c:v>Year 4</c:v>
                </c:pt>
                <c:pt idx="5">
                  <c:v>Year 5</c:v>
                </c:pt>
              </c:strCache>
            </c:strRef>
          </c:cat>
          <c:val>
            <c:numRef>
              <c:f>'[BR-AP674 REWORK 1 - Investment_Appraisal.xlsx]Investment_Appraisal'!$B$20:$B$25</c:f>
              <c:numCache>
                <c:formatCode>0.0;[Red]\(0.0\);\-</c:formatCode>
                <c:ptCount val="6"/>
                <c:pt idx="0">
                  <c:v>-50</c:v>
                </c:pt>
                <c:pt idx="1">
                  <c:v>-40</c:v>
                </c:pt>
                <c:pt idx="2">
                  <c:v>-28</c:v>
                </c:pt>
                <c:pt idx="3">
                  <c:v>-14</c:v>
                </c:pt>
                <c:pt idx="4">
                  <c:v>-4</c:v>
                </c:pt>
                <c:pt idx="5">
                  <c:v>4</c:v>
                </c:pt>
              </c:numCache>
            </c:numRef>
          </c:val>
          <c:smooth val="0"/>
          <c:extLst>
            <c:ext xmlns:c16="http://schemas.microsoft.com/office/drawing/2014/chart" uri="{C3380CC4-5D6E-409C-BE32-E72D297353CC}">
              <c16:uniqueId val="{00000000-6349-4CB8-A235-C2E99BCE0853}"/>
            </c:ext>
          </c:extLst>
        </c:ser>
        <c:ser>
          <c:idx val="1"/>
          <c:order val="1"/>
          <c:tx>
            <c:v>Project B</c:v>
          </c:tx>
          <c:cat>
            <c:strRef>
              <c:f>'[BR-AP674 REWORK 1 - Investment_Appraisal.xlsx]Investment_Appraisal'!$A$20:$A$25</c:f>
              <c:strCache>
                <c:ptCount val="6"/>
                <c:pt idx="0">
                  <c:v>Year 0</c:v>
                </c:pt>
                <c:pt idx="1">
                  <c:v>Year 1</c:v>
                </c:pt>
                <c:pt idx="2">
                  <c:v>Year 2</c:v>
                </c:pt>
                <c:pt idx="3">
                  <c:v>Year 3</c:v>
                </c:pt>
                <c:pt idx="4">
                  <c:v>Year 4</c:v>
                </c:pt>
                <c:pt idx="5">
                  <c:v>Year 5</c:v>
                </c:pt>
              </c:strCache>
            </c:strRef>
          </c:cat>
          <c:val>
            <c:numRef>
              <c:f>'[BR-AP674 REWORK 1 - Investment_Appraisal.xlsx]Investment_Appraisal'!$C$20:$C$25</c:f>
              <c:numCache>
                <c:formatCode>0.0;[Red]\(0.0\);\-</c:formatCode>
                <c:ptCount val="6"/>
                <c:pt idx="0">
                  <c:v>-50</c:v>
                </c:pt>
                <c:pt idx="1">
                  <c:v>-39</c:v>
                </c:pt>
                <c:pt idx="2">
                  <c:v>-28</c:v>
                </c:pt>
                <c:pt idx="3">
                  <c:v>-17</c:v>
                </c:pt>
                <c:pt idx="4">
                  <c:v>-6</c:v>
                </c:pt>
                <c:pt idx="5">
                  <c:v>5</c:v>
                </c:pt>
              </c:numCache>
            </c:numRef>
          </c:val>
          <c:smooth val="0"/>
          <c:extLst>
            <c:ext xmlns:c16="http://schemas.microsoft.com/office/drawing/2014/chart" uri="{C3380CC4-5D6E-409C-BE32-E72D297353CC}">
              <c16:uniqueId val="{00000001-6349-4CB8-A235-C2E99BCE0853}"/>
            </c:ext>
          </c:extLst>
        </c:ser>
        <c:ser>
          <c:idx val="2"/>
          <c:order val="2"/>
          <c:tx>
            <c:v>Project C</c:v>
          </c:tx>
          <c:cat>
            <c:strRef>
              <c:f>'[BR-AP674 REWORK 1 - Investment_Appraisal.xlsx]Investment_Appraisal'!$A$20:$A$25</c:f>
              <c:strCache>
                <c:ptCount val="6"/>
                <c:pt idx="0">
                  <c:v>Year 0</c:v>
                </c:pt>
                <c:pt idx="1">
                  <c:v>Year 1</c:v>
                </c:pt>
                <c:pt idx="2">
                  <c:v>Year 2</c:v>
                </c:pt>
                <c:pt idx="3">
                  <c:v>Year 3</c:v>
                </c:pt>
                <c:pt idx="4">
                  <c:v>Year 4</c:v>
                </c:pt>
                <c:pt idx="5">
                  <c:v>Year 5</c:v>
                </c:pt>
              </c:strCache>
            </c:strRef>
          </c:cat>
          <c:val>
            <c:numRef>
              <c:f>'[BR-AP674 REWORK 1 - Investment_Appraisal.xlsx]Investment_Appraisal'!$D$20:$D$25</c:f>
              <c:numCache>
                <c:formatCode>0.0;[Red]\(0.0\);\-</c:formatCode>
                <c:ptCount val="6"/>
                <c:pt idx="0">
                  <c:v>-50</c:v>
                </c:pt>
                <c:pt idx="1">
                  <c:v>-45</c:v>
                </c:pt>
                <c:pt idx="2">
                  <c:v>-35</c:v>
                </c:pt>
                <c:pt idx="3">
                  <c:v>-15</c:v>
                </c:pt>
                <c:pt idx="4">
                  <c:v>10</c:v>
                </c:pt>
                <c:pt idx="5">
                  <c:v>15</c:v>
                </c:pt>
              </c:numCache>
            </c:numRef>
          </c:val>
          <c:smooth val="0"/>
          <c:extLst>
            <c:ext xmlns:c16="http://schemas.microsoft.com/office/drawing/2014/chart" uri="{C3380CC4-5D6E-409C-BE32-E72D297353CC}">
              <c16:uniqueId val="{00000002-6349-4CB8-A235-C2E99BCE0853}"/>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0;[Red]\(0.0\);\-"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Reversed" id="24">
  <a:schemeClr val="accent4"/>
</cs:colorStyle>
</file>

<file path=word/charts/colors5.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cyg4vv42QfXa7Elakz+jeEm6gw==">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31</Pages>
  <Words>7583</Words>
  <Characters>43224</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 Computer</cp:lastModifiedBy>
  <cp:revision>25</cp:revision>
  <dcterms:created xsi:type="dcterms:W3CDTF">2026-07-31T13:45:00Z</dcterms:created>
  <dcterms:modified xsi:type="dcterms:W3CDTF">2026-08-13T09:01:00Z</dcterms:modified>
</cp:coreProperties>
</file>