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80770" w14:textId="3D6F773E" w:rsidR="007A4279" w:rsidRDefault="007A4279" w:rsidP="00EC3E30">
      <w:pPr>
        <w:autoSpaceDE w:val="0"/>
        <w:autoSpaceDN w:val="0"/>
        <w:adjustRightInd w:val="0"/>
        <w:ind w:right="113"/>
        <w:rPr>
          <w:rFonts w:ascii="Times New Roman" w:hAnsi="Times New Roman" w:cs="Times New Roman"/>
          <w:b/>
          <w:bCs/>
          <w:color w:val="000000"/>
          <w:lang w:val="en-US"/>
        </w:rPr>
      </w:pPr>
      <w:r>
        <w:rPr>
          <w:rFonts w:ascii="Times New Roman" w:hAnsi="Times New Roman" w:cs="Times New Roman"/>
          <w:b/>
          <w:bCs/>
          <w:color w:val="000000"/>
          <w:lang w:val="en-US"/>
        </w:rPr>
        <w:t xml:space="preserve">In your view, how important are 'Islamic schools' for Muslims in the United Kingdom? </w:t>
      </w:r>
    </w:p>
    <w:p w14:paraId="2C5257A3" w14:textId="77777777" w:rsidR="007A4279" w:rsidRDefault="007A4279" w:rsidP="00EC3E30">
      <w:pPr>
        <w:autoSpaceDE w:val="0"/>
        <w:autoSpaceDN w:val="0"/>
        <w:adjustRightInd w:val="0"/>
        <w:ind w:right="113"/>
        <w:rPr>
          <w:rFonts w:ascii="Times New Roman" w:hAnsi="Times New Roman" w:cs="Times New Roman"/>
          <w:b/>
          <w:bCs/>
          <w:color w:val="000000"/>
          <w:lang w:val="en-US"/>
        </w:rPr>
      </w:pPr>
    </w:p>
    <w:p w14:paraId="6DF8DD1B"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‘Islamic schools’ are represented as madrasas, which are “schools offering Islamic religious instruction at any level” (Walbridge, 2004, p. 418), colleges (Women’s Muslim College, 2019; Ebrahim College, 2019) or independent private faith schools (</w:t>
      </w:r>
      <w:proofErr w:type="spellStart"/>
      <w:r>
        <w:rPr>
          <w:rFonts w:ascii="Times New Roman" w:hAnsi="Times New Roman" w:cs="Times New Roman"/>
          <w:color w:val="000000"/>
          <w:lang w:val="en-US"/>
        </w:rPr>
        <w:t>Deenway</w:t>
      </w:r>
      <w:proofErr w:type="spellEnd"/>
      <w:r>
        <w:rPr>
          <w:rFonts w:ascii="Times New Roman" w:hAnsi="Times New Roman" w:cs="Times New Roman"/>
          <w:color w:val="000000"/>
          <w:lang w:val="en-US"/>
        </w:rPr>
        <w:t xml:space="preserve"> Montessori School, 2019). They share one characteristic that binds them together: the institutions are </w:t>
      </w:r>
      <w:proofErr w:type="gramStart"/>
      <w:r>
        <w:rPr>
          <w:rFonts w:ascii="Times New Roman" w:hAnsi="Times New Roman" w:cs="Times New Roman"/>
          <w:color w:val="000000"/>
          <w:lang w:val="en-US"/>
        </w:rPr>
        <w:t>religious</w:t>
      </w:r>
      <w:proofErr w:type="gramEnd"/>
      <w:r>
        <w:rPr>
          <w:rFonts w:ascii="Times New Roman" w:hAnsi="Times New Roman" w:cs="Times New Roman"/>
          <w:color w:val="000000"/>
          <w:lang w:val="en-US"/>
        </w:rPr>
        <w:t xml:space="preserve"> and they cater for the spiritual and educational needs of the Muslim community. It is important for Muslims to express themselves in spaces that safeguard their faith, despite objections relating to the “indoctrinatory harm” (Merry, 2018, p. 162) of such schools argued by “many philosophers” (Ibid.). However, in a pluralist society such as Britain, the best approach would be for both Muslims and non-Muslims to collaborate with each other in ways that promote a better understanding of each other.</w:t>
      </w:r>
    </w:p>
    <w:p w14:paraId="7F474D4A"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6D6D1314"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Education holds a significant position in the Islamic tradition, and its lofty rank is affirmed in the Qur’an, </w:t>
      </w:r>
      <w:r>
        <w:rPr>
          <w:rFonts w:ascii="Times New Roman" w:hAnsi="Times New Roman" w:cs="Times New Roman"/>
          <w:i/>
          <w:iCs/>
          <w:color w:val="000000"/>
          <w:lang w:val="en-US"/>
        </w:rPr>
        <w:t>hadith</w:t>
      </w:r>
      <w:r>
        <w:rPr>
          <w:rFonts w:ascii="Times New Roman" w:hAnsi="Times New Roman" w:cs="Times New Roman"/>
          <w:color w:val="000000"/>
          <w:lang w:val="en-US"/>
        </w:rPr>
        <w:t xml:space="preserve"> and scholarly literature. The Islamic tradition is based on texts, which means that education is “a central pillar of the religion” (Berkey, 2004, p. 202). The emphasis placed on learning is found in verses of the Qur’an such as: “My Lord! Increase me in knowledge” (Qur’an, 20:114). Indeed, the first verse revealed of the Quran, “Read” (Qur’an, 96:1), draws attention to its importance. The </w:t>
      </w:r>
      <w:r>
        <w:rPr>
          <w:rFonts w:ascii="Times New Roman" w:hAnsi="Times New Roman" w:cs="Times New Roman"/>
          <w:i/>
          <w:iCs/>
          <w:color w:val="000000"/>
          <w:lang w:val="en-US"/>
        </w:rPr>
        <w:t>hadith</w:t>
      </w:r>
      <w:r>
        <w:rPr>
          <w:rFonts w:ascii="Times New Roman" w:hAnsi="Times New Roman" w:cs="Times New Roman"/>
          <w:color w:val="000000"/>
          <w:lang w:val="en-US"/>
        </w:rPr>
        <w:t xml:space="preserve"> literature further elaborates with narrations such as: “Seeking knowledge is a duty upon every Muslim” (Ibn </w:t>
      </w:r>
      <w:proofErr w:type="spellStart"/>
      <w:r>
        <w:rPr>
          <w:rFonts w:ascii="Times New Roman" w:hAnsi="Times New Roman" w:cs="Times New Roman"/>
          <w:color w:val="000000"/>
          <w:lang w:val="en-US"/>
        </w:rPr>
        <w:t>Majah</w:t>
      </w:r>
      <w:proofErr w:type="spellEnd"/>
      <w:r>
        <w:rPr>
          <w:rFonts w:ascii="Times New Roman" w:hAnsi="Times New Roman" w:cs="Times New Roman"/>
          <w:color w:val="000000"/>
          <w:lang w:val="en-US"/>
        </w:rPr>
        <w:t>, 1, 224).</w:t>
      </w:r>
    </w:p>
    <w:p w14:paraId="0C81E892"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6EC3D7B8"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Studying Islam from a faith-based approach is in contrast to learning at universities, which is </w:t>
      </w:r>
      <w:r>
        <w:rPr>
          <w:rFonts w:ascii="Times New Roman" w:hAnsi="Times New Roman" w:cs="Times New Roman"/>
          <w:i/>
          <w:iCs/>
          <w:color w:val="000000"/>
          <w:lang w:val="en-US"/>
        </w:rPr>
        <w:t xml:space="preserve">“about </w:t>
      </w:r>
      <w:r>
        <w:rPr>
          <w:rFonts w:ascii="Times New Roman" w:hAnsi="Times New Roman" w:cs="Times New Roman"/>
          <w:color w:val="000000"/>
          <w:lang w:val="en-US"/>
        </w:rPr>
        <w:t>Islam (Islamic Studies)” (</w:t>
      </w:r>
      <w:proofErr w:type="spellStart"/>
      <w:r>
        <w:rPr>
          <w:rFonts w:ascii="Times New Roman" w:hAnsi="Times New Roman" w:cs="Times New Roman"/>
          <w:color w:val="000000"/>
          <w:lang w:val="en-US"/>
        </w:rPr>
        <w:t>Cheruvallil</w:t>
      </w:r>
      <w:proofErr w:type="spellEnd"/>
      <w:r>
        <w:rPr>
          <w:rFonts w:ascii="Times New Roman" w:hAnsi="Times New Roman" w:cs="Times New Roman"/>
          <w:color w:val="000000"/>
          <w:lang w:val="en-US"/>
        </w:rPr>
        <w:t>-Contractor and Scott-Baumann, 2015, p. 1). The two forms of Islamic education in Britain take place at Islamic religious schools and at universities (Ibid.). However, the academic study of Islam and Muslims at universities may pose challenges for faith-oriented Muslims. The anthropological approach of the fieldwork study of Muslims may cause disastrous complications in the understanding of Islam. The result of interpreting Islam based on the actions of its adherents may lead to misconceptions, as Muslims are susceptible to disparate practices in the same way as adherents of other religious traditions. Furthermore, Orientalist literature of the 18th and 19th centuries (Thomas, 2014), replete with biases and misrepresentations (Said, 1997, p. xxvi), lacks credibility because its “function was not so much to represent Islam in itself” (Said, 2003, p. 60). For such reasons, many universities are not equipped to fulfil the Muslim religious requirement of a faith-based approach.</w:t>
      </w:r>
    </w:p>
    <w:p w14:paraId="6A378DE6"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704BABA9"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Criticisms against religious schools abound from those who fail to understand the need for religious spaces. Michael S. Merry argues that religious schools are “presumed guilty of indoctrination” (Merry, 2018, p. 164) when they “opt for coercive forms of faith inculcation with no regard for argument or evidence” (Ibid.), and is convinced “that to harm is morally wrong” (Ibid., p. 163).</w:t>
      </w:r>
    </w:p>
    <w:p w14:paraId="22055CF2"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42CB6EC7"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Elaborating further, Michael Hand remarks:</w:t>
      </w:r>
    </w:p>
    <w:p w14:paraId="1165B158"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055149C6" w14:textId="65635168" w:rsidR="007A4279" w:rsidRDefault="007A4279" w:rsidP="00EC3E30">
      <w:pPr>
        <w:autoSpaceDE w:val="0"/>
        <w:autoSpaceDN w:val="0"/>
        <w:adjustRightInd w:val="0"/>
        <w:ind w:left="454" w:right="113"/>
        <w:rPr>
          <w:rFonts w:ascii="Times New Roman" w:hAnsi="Times New Roman" w:cs="Times New Roman"/>
          <w:color w:val="000000"/>
          <w:lang w:val="en-US"/>
        </w:rPr>
      </w:pPr>
      <w:r>
        <w:rPr>
          <w:rFonts w:ascii="Times New Roman" w:hAnsi="Times New Roman" w:cs="Times New Roman"/>
          <w:color w:val="000000"/>
          <w:lang w:val="en-US"/>
        </w:rPr>
        <w:t xml:space="preserve">To indoctrinate people is to interfere with their minds in the most serious way possible. It is to prevent them from thinking rationally in some area of their lives. This is the very </w:t>
      </w:r>
      <w:r>
        <w:rPr>
          <w:rFonts w:ascii="Times New Roman" w:hAnsi="Times New Roman" w:cs="Times New Roman"/>
          <w:color w:val="000000"/>
          <w:lang w:val="en-US"/>
        </w:rPr>
        <w:lastRenderedPageBreak/>
        <w:t>antithesis of what education is about, and a flagrant abuse of the power wielded over young people by those who teach them (Hand, 2004, p. 352).</w:t>
      </w:r>
    </w:p>
    <w:p w14:paraId="1A87EB60"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6B5D8F6C"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While it is clear that, in certain aspects, Western approaches to education differ to Islamic approaches, it is also evident that Merry, Hand and “many philosophers” (Merry, 2018, p. 162) express a limited understanding of Islamic education and faith. Ignorance of evidence does not imply that evidence does not exist. Science is continuously making discoveries and it is presumptuous to assume that we know it all. An example that illustrates this point is the practice of fasting the month of Ramadan. Fasting, one of the five pillars of Islam, is a religious practice Muslims are obliged to perform (an-</w:t>
      </w:r>
      <w:proofErr w:type="spellStart"/>
      <w:r>
        <w:rPr>
          <w:rFonts w:ascii="Times New Roman" w:hAnsi="Times New Roman" w:cs="Times New Roman"/>
          <w:color w:val="000000"/>
          <w:lang w:val="en-US"/>
        </w:rPr>
        <w:t>Nawawi</w:t>
      </w:r>
      <w:proofErr w:type="spellEnd"/>
      <w:r>
        <w:rPr>
          <w:rFonts w:ascii="Times New Roman" w:hAnsi="Times New Roman" w:cs="Times New Roman"/>
          <w:color w:val="000000"/>
          <w:lang w:val="en-US"/>
        </w:rPr>
        <w:t xml:space="preserve">, 1998, p. 28). The Islamic tradition is replete with literature that discussed the benefits of fasting centuries ago. Scholars such as Al-Ghazali (1995) wrote extensively on the subject. </w:t>
      </w:r>
    </w:p>
    <w:p w14:paraId="7F54225C" w14:textId="77777777" w:rsidR="007A4279" w:rsidRDefault="007A4279" w:rsidP="00EC3E30">
      <w:pPr>
        <w:autoSpaceDE w:val="0"/>
        <w:autoSpaceDN w:val="0"/>
        <w:adjustRightInd w:val="0"/>
        <w:ind w:right="113"/>
        <w:rPr>
          <w:rFonts w:ascii="Times New Roman" w:hAnsi="Times New Roman" w:cs="Times New Roman"/>
          <w:b/>
          <w:bCs/>
          <w:color w:val="000000"/>
          <w:lang w:val="en-US"/>
        </w:rPr>
      </w:pPr>
    </w:p>
    <w:p w14:paraId="59B714A3" w14:textId="1362875A" w:rsidR="007A4279" w:rsidRPr="00CE4270"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Research conducted by leading scientists on the effects of fasting have revealed fascinating findings. Studies show that “fasting for at least two days regenerates immune systems damaged by ageing or cancer treatment” (The Press Association, 2014). Professor </w:t>
      </w:r>
      <w:proofErr w:type="spellStart"/>
      <w:r>
        <w:rPr>
          <w:rFonts w:ascii="Times New Roman" w:hAnsi="Times New Roman" w:cs="Times New Roman"/>
          <w:color w:val="000000"/>
          <w:lang w:val="en-US"/>
        </w:rPr>
        <w:t>Valter</w:t>
      </w:r>
      <w:proofErr w:type="spellEnd"/>
      <w:r>
        <w:rPr>
          <w:rFonts w:ascii="Times New Roman" w:hAnsi="Times New Roman" w:cs="Times New Roman"/>
          <w:color w:val="000000"/>
          <w:lang w:val="en-US"/>
        </w:rPr>
        <w:t xml:space="preserve"> Longo commented: “We could not predict that prolonged fasting would have such a remarkable effect in promoting stem cell-based regeneration” (Ibid.). Therefore, faith in fasting benefits Muslims irrespective of whether they know the scientific evidence.</w:t>
      </w:r>
      <w:r w:rsidR="002F4092">
        <w:rPr>
          <w:rFonts w:ascii="Times New Roman" w:hAnsi="Times New Roman" w:cs="Times New Roman"/>
          <w:color w:val="000000"/>
          <w:lang w:val="en-US"/>
        </w:rPr>
        <w:t xml:space="preserve"> </w:t>
      </w:r>
      <w:r w:rsidR="007D0499" w:rsidRPr="00CE4270">
        <w:rPr>
          <w:rFonts w:ascii="Times New Roman" w:hAnsi="Times New Roman" w:cs="Times New Roman"/>
          <w:color w:val="000000"/>
          <w:lang w:val="en-US"/>
        </w:rPr>
        <w:t xml:space="preserve">Research </w:t>
      </w:r>
      <w:r w:rsidR="002F4092" w:rsidRPr="00CE4270">
        <w:rPr>
          <w:rFonts w:ascii="Times New Roman" w:hAnsi="Times New Roman" w:cs="Times New Roman"/>
          <w:color w:val="000000"/>
          <w:lang w:val="en-US"/>
        </w:rPr>
        <w:t>that positively confirms Muslims’ faith</w:t>
      </w:r>
      <w:r w:rsidR="007D0499" w:rsidRPr="00CE4270">
        <w:rPr>
          <w:rFonts w:ascii="Times New Roman" w:hAnsi="Times New Roman" w:cs="Times New Roman"/>
          <w:color w:val="000000"/>
          <w:lang w:val="en-US"/>
        </w:rPr>
        <w:t xml:space="preserve">, such as that of the benefits of fasting, </w:t>
      </w:r>
      <w:r w:rsidR="003F30B7">
        <w:rPr>
          <w:rFonts w:ascii="Times New Roman" w:hAnsi="Times New Roman" w:cs="Times New Roman"/>
          <w:color w:val="000000"/>
          <w:lang w:val="en-US"/>
        </w:rPr>
        <w:t>would</w:t>
      </w:r>
      <w:r w:rsidR="002F4092" w:rsidRPr="00CE4270">
        <w:rPr>
          <w:rFonts w:ascii="Times New Roman" w:hAnsi="Times New Roman" w:cs="Times New Roman"/>
          <w:color w:val="000000"/>
          <w:lang w:val="en-US"/>
        </w:rPr>
        <w:t xml:space="preserve"> be </w:t>
      </w:r>
      <w:r w:rsidR="003F30B7">
        <w:rPr>
          <w:rFonts w:ascii="Times New Roman" w:hAnsi="Times New Roman" w:cs="Times New Roman"/>
          <w:color w:val="000000"/>
          <w:lang w:val="en-US"/>
        </w:rPr>
        <w:t xml:space="preserve">useful to </w:t>
      </w:r>
      <w:r w:rsidR="007D0499" w:rsidRPr="00CE4270">
        <w:rPr>
          <w:rFonts w:ascii="Times New Roman" w:hAnsi="Times New Roman" w:cs="Times New Roman"/>
          <w:color w:val="000000"/>
          <w:lang w:val="en-US"/>
        </w:rPr>
        <w:t>includ</w:t>
      </w:r>
      <w:r w:rsidR="003F30B7">
        <w:rPr>
          <w:rFonts w:ascii="Times New Roman" w:hAnsi="Times New Roman" w:cs="Times New Roman"/>
          <w:color w:val="000000"/>
          <w:lang w:val="en-US"/>
        </w:rPr>
        <w:t>e</w:t>
      </w:r>
      <w:r w:rsidR="002F4092" w:rsidRPr="00CE4270">
        <w:rPr>
          <w:rFonts w:ascii="Times New Roman" w:hAnsi="Times New Roman" w:cs="Times New Roman"/>
          <w:color w:val="000000"/>
          <w:lang w:val="en-US"/>
        </w:rPr>
        <w:t xml:space="preserve"> </w:t>
      </w:r>
      <w:r w:rsidR="007D0499" w:rsidRPr="00CE4270">
        <w:rPr>
          <w:rFonts w:ascii="Times New Roman" w:hAnsi="Times New Roman" w:cs="Times New Roman"/>
          <w:color w:val="000000"/>
          <w:lang w:val="en-US"/>
        </w:rPr>
        <w:t>in</w:t>
      </w:r>
      <w:r w:rsidR="002F4092" w:rsidRPr="00CE4270">
        <w:rPr>
          <w:rFonts w:ascii="Times New Roman" w:hAnsi="Times New Roman" w:cs="Times New Roman"/>
          <w:color w:val="000000"/>
          <w:lang w:val="en-US"/>
        </w:rPr>
        <w:t xml:space="preserve"> </w:t>
      </w:r>
      <w:r w:rsidR="007D0499" w:rsidRPr="00CE4270">
        <w:rPr>
          <w:rFonts w:ascii="Times New Roman" w:hAnsi="Times New Roman" w:cs="Times New Roman"/>
          <w:color w:val="000000"/>
          <w:lang w:val="en-US"/>
        </w:rPr>
        <w:t>the</w:t>
      </w:r>
      <w:r w:rsidR="003F30B7">
        <w:rPr>
          <w:rFonts w:ascii="Times New Roman" w:hAnsi="Times New Roman" w:cs="Times New Roman"/>
          <w:color w:val="000000"/>
          <w:lang w:val="en-US"/>
        </w:rPr>
        <w:t xml:space="preserve"> </w:t>
      </w:r>
      <w:r w:rsidR="002F4092" w:rsidRPr="00CE4270">
        <w:rPr>
          <w:rFonts w:ascii="Times New Roman" w:hAnsi="Times New Roman" w:cs="Times New Roman"/>
          <w:color w:val="000000"/>
          <w:lang w:val="en-US"/>
        </w:rPr>
        <w:t>curriculum</w:t>
      </w:r>
      <w:r w:rsidR="003F30B7">
        <w:rPr>
          <w:rFonts w:ascii="Times New Roman" w:hAnsi="Times New Roman" w:cs="Times New Roman"/>
          <w:color w:val="000000"/>
          <w:lang w:val="en-US"/>
        </w:rPr>
        <w:t xml:space="preserve"> of Islamic schools. </w:t>
      </w:r>
    </w:p>
    <w:p w14:paraId="5F9F9CBC" w14:textId="77777777" w:rsidR="007A4279" w:rsidRPr="002F4092" w:rsidRDefault="007A4279" w:rsidP="00EC3E30">
      <w:pPr>
        <w:autoSpaceDE w:val="0"/>
        <w:autoSpaceDN w:val="0"/>
        <w:adjustRightInd w:val="0"/>
        <w:ind w:right="113"/>
        <w:rPr>
          <w:rFonts w:ascii="Times New Roman" w:hAnsi="Times New Roman" w:cs="Times New Roman"/>
          <w:b/>
          <w:bCs/>
          <w:color w:val="000000"/>
          <w:lang w:val="en-US"/>
        </w:rPr>
      </w:pPr>
    </w:p>
    <w:p w14:paraId="094CCB3E"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Furthermore, to allege that teaching religion is an “abuse of the power wielded over young people” (Hand, 2004, p. 352) is unfair. The assumption is that the alleged indoctrination inhibits them from “thinking rationally” (Ibid.). However, the </w:t>
      </w:r>
      <w:proofErr w:type="spellStart"/>
      <w:r>
        <w:rPr>
          <w:rFonts w:ascii="Times New Roman" w:hAnsi="Times New Roman" w:cs="Times New Roman"/>
          <w:color w:val="000000"/>
          <w:lang w:val="en-US"/>
        </w:rPr>
        <w:t>Qu’ran</w:t>
      </w:r>
      <w:proofErr w:type="spellEnd"/>
      <w:r>
        <w:rPr>
          <w:rFonts w:ascii="Times New Roman" w:hAnsi="Times New Roman" w:cs="Times New Roman"/>
          <w:color w:val="000000"/>
          <w:lang w:val="en-US"/>
        </w:rPr>
        <w:t xml:space="preserve"> encourages reflection and the use of intellect: “Lo! In the creation of the heavens and the earth and (in) the difference of night and day are tokens (of His Sovereignty) for men of understanding” (</w:t>
      </w:r>
      <w:proofErr w:type="spellStart"/>
      <w:r>
        <w:rPr>
          <w:rFonts w:ascii="Times New Roman" w:hAnsi="Times New Roman" w:cs="Times New Roman"/>
          <w:color w:val="000000"/>
          <w:lang w:val="en-US"/>
        </w:rPr>
        <w:t>Qu’ran</w:t>
      </w:r>
      <w:proofErr w:type="spellEnd"/>
      <w:r>
        <w:rPr>
          <w:rFonts w:ascii="Times New Roman" w:hAnsi="Times New Roman" w:cs="Times New Roman"/>
          <w:color w:val="000000"/>
          <w:lang w:val="en-US"/>
        </w:rPr>
        <w:t>, 3:190). Moreover, one of the many disciplines of Islam is logic (</w:t>
      </w:r>
      <w:proofErr w:type="spellStart"/>
      <w:r>
        <w:rPr>
          <w:rFonts w:ascii="Times New Roman" w:hAnsi="Times New Roman" w:cs="Times New Roman"/>
          <w:i/>
          <w:iCs/>
          <w:color w:val="000000"/>
          <w:lang w:val="en-US"/>
        </w:rPr>
        <w:t>mantiq</w:t>
      </w:r>
      <w:proofErr w:type="spellEnd"/>
      <w:r>
        <w:rPr>
          <w:rFonts w:ascii="Times New Roman" w:hAnsi="Times New Roman" w:cs="Times New Roman"/>
          <w:i/>
          <w:iCs/>
          <w:color w:val="000000"/>
          <w:lang w:val="en-US"/>
        </w:rPr>
        <w:t>)</w:t>
      </w:r>
      <w:r>
        <w:rPr>
          <w:rFonts w:ascii="Times New Roman" w:hAnsi="Times New Roman" w:cs="Times New Roman"/>
          <w:color w:val="000000"/>
          <w:lang w:val="en-US"/>
        </w:rPr>
        <w:t>,</w:t>
      </w:r>
      <w:r>
        <w:rPr>
          <w:rFonts w:ascii="Times New Roman" w:hAnsi="Times New Roman" w:cs="Times New Roman"/>
          <w:i/>
          <w:iCs/>
          <w:color w:val="000000"/>
          <w:lang w:val="en-US"/>
        </w:rPr>
        <w:t xml:space="preserve"> </w:t>
      </w:r>
      <w:r>
        <w:rPr>
          <w:rFonts w:ascii="Times New Roman" w:hAnsi="Times New Roman" w:cs="Times New Roman"/>
          <w:color w:val="000000"/>
          <w:lang w:val="en-US"/>
        </w:rPr>
        <w:t>and it is used extensively in proving the existence of God. Scholars of theology (</w:t>
      </w:r>
      <w:r>
        <w:rPr>
          <w:rFonts w:ascii="Times New Roman" w:hAnsi="Times New Roman" w:cs="Times New Roman"/>
          <w:i/>
          <w:iCs/>
          <w:color w:val="000000"/>
          <w:lang w:val="en-US"/>
        </w:rPr>
        <w:t xml:space="preserve">kalam) </w:t>
      </w:r>
      <w:r>
        <w:rPr>
          <w:rFonts w:ascii="Times New Roman" w:hAnsi="Times New Roman" w:cs="Times New Roman"/>
          <w:color w:val="000000"/>
          <w:lang w:val="en-US"/>
        </w:rPr>
        <w:t>paid particular attention to arguments for God’s existence (Winter, 2008, p. 197). Besides this, other disciplines employ methodological frameworks; for example, analogical reasoning</w:t>
      </w:r>
      <w:r>
        <w:rPr>
          <w:rFonts w:ascii="Times New Roman" w:hAnsi="Times New Roman" w:cs="Times New Roman"/>
          <w:i/>
          <w:iCs/>
          <w:color w:val="000000"/>
          <w:lang w:val="en-US"/>
        </w:rPr>
        <w:t xml:space="preserve"> (qiyas) </w:t>
      </w:r>
      <w:r>
        <w:rPr>
          <w:rFonts w:ascii="Times New Roman" w:hAnsi="Times New Roman" w:cs="Times New Roman"/>
          <w:color w:val="000000"/>
          <w:lang w:val="en-US"/>
        </w:rPr>
        <w:t>and intellectual struggle</w:t>
      </w:r>
      <w:r>
        <w:rPr>
          <w:rFonts w:ascii="Times New Roman" w:hAnsi="Times New Roman" w:cs="Times New Roman"/>
          <w:i/>
          <w:iCs/>
          <w:color w:val="000000"/>
          <w:lang w:val="en-US"/>
        </w:rPr>
        <w:t xml:space="preserve"> (</w:t>
      </w:r>
      <w:proofErr w:type="spellStart"/>
      <w:r>
        <w:rPr>
          <w:rFonts w:ascii="Times New Roman" w:hAnsi="Times New Roman" w:cs="Times New Roman"/>
          <w:i/>
          <w:iCs/>
          <w:color w:val="000000"/>
          <w:lang w:val="en-US"/>
        </w:rPr>
        <w:t>ijtijad</w:t>
      </w:r>
      <w:proofErr w:type="spellEnd"/>
      <w:r>
        <w:rPr>
          <w:rFonts w:ascii="Times New Roman" w:hAnsi="Times New Roman" w:cs="Times New Roman"/>
          <w:i/>
          <w:iCs/>
          <w:color w:val="000000"/>
          <w:lang w:val="en-US"/>
        </w:rPr>
        <w:t>)</w:t>
      </w:r>
      <w:r>
        <w:rPr>
          <w:rFonts w:ascii="Times New Roman" w:hAnsi="Times New Roman" w:cs="Times New Roman"/>
          <w:color w:val="000000"/>
          <w:lang w:val="en-US"/>
        </w:rPr>
        <w:t xml:space="preserve"> in Islamic law (Esposito, 2005, p. 82). Islamic knowledge is not irrationally conjured up in a vacuum without a foundation or intellectual </w:t>
      </w:r>
      <w:proofErr w:type="spellStart"/>
      <w:r>
        <w:rPr>
          <w:rFonts w:ascii="Times New Roman" w:hAnsi="Times New Roman" w:cs="Times New Roman"/>
          <w:color w:val="000000"/>
          <w:lang w:val="en-US"/>
        </w:rPr>
        <w:t>endeavour</w:t>
      </w:r>
      <w:proofErr w:type="spellEnd"/>
      <w:r>
        <w:rPr>
          <w:rFonts w:ascii="Times New Roman" w:hAnsi="Times New Roman" w:cs="Times New Roman"/>
          <w:color w:val="000000"/>
          <w:lang w:val="en-US"/>
        </w:rPr>
        <w:t xml:space="preserve">. </w:t>
      </w:r>
    </w:p>
    <w:p w14:paraId="621DAF10"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27D1D2BA" w14:textId="77777777" w:rsidR="007A4279" w:rsidRDefault="007A4279"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Addressing the argument that Islamic </w:t>
      </w:r>
      <w:proofErr w:type="gramStart"/>
      <w:r>
        <w:rPr>
          <w:rFonts w:ascii="Times New Roman" w:hAnsi="Times New Roman" w:cs="Times New Roman"/>
          <w:color w:val="000000"/>
          <w:lang w:val="en-US"/>
        </w:rPr>
        <w:t>schools</w:t>
      </w:r>
      <w:proofErr w:type="gramEnd"/>
      <w:r>
        <w:rPr>
          <w:rFonts w:ascii="Times New Roman" w:hAnsi="Times New Roman" w:cs="Times New Roman"/>
          <w:color w:val="000000"/>
          <w:lang w:val="en-US"/>
        </w:rPr>
        <w:t xml:space="preserve"> impact negatively on cohesion, Sarah </w:t>
      </w:r>
      <w:proofErr w:type="spellStart"/>
      <w:r>
        <w:rPr>
          <w:rFonts w:ascii="Times New Roman" w:hAnsi="Times New Roman" w:cs="Times New Roman"/>
          <w:color w:val="000000"/>
          <w:lang w:val="en-US"/>
        </w:rPr>
        <w:t>Tenters</w:t>
      </w:r>
      <w:proofErr w:type="spellEnd"/>
      <w:r>
        <w:rPr>
          <w:rFonts w:ascii="Times New Roman" w:hAnsi="Times New Roman" w:cs="Times New Roman"/>
          <w:color w:val="000000"/>
          <w:lang w:val="en-US"/>
        </w:rPr>
        <w:t xml:space="preserve"> and Chris </w:t>
      </w:r>
      <w:proofErr w:type="spellStart"/>
      <w:r>
        <w:rPr>
          <w:rFonts w:ascii="Times New Roman" w:hAnsi="Times New Roman" w:cs="Times New Roman"/>
          <w:color w:val="000000"/>
          <w:lang w:val="en-US"/>
        </w:rPr>
        <w:t>Gaine</w:t>
      </w:r>
      <w:proofErr w:type="spellEnd"/>
      <w:r>
        <w:rPr>
          <w:rFonts w:ascii="Times New Roman" w:hAnsi="Times New Roman" w:cs="Times New Roman"/>
          <w:color w:val="000000"/>
          <w:lang w:val="en-US"/>
        </w:rPr>
        <w:t xml:space="preserve"> argue instead that it is “social inequalities and injustices that worsen social cohesion” (</w:t>
      </w:r>
      <w:proofErr w:type="spellStart"/>
      <w:r>
        <w:rPr>
          <w:rFonts w:ascii="Times New Roman" w:hAnsi="Times New Roman" w:cs="Times New Roman"/>
          <w:color w:val="000000"/>
          <w:lang w:val="en-US"/>
        </w:rPr>
        <w:t>Tenters</w:t>
      </w:r>
      <w:proofErr w:type="spellEnd"/>
      <w:r>
        <w:rPr>
          <w:rFonts w:ascii="Times New Roman" w:hAnsi="Times New Roman" w:cs="Times New Roman"/>
          <w:color w:val="000000"/>
          <w:lang w:val="en-US"/>
        </w:rPr>
        <w:t xml:space="preserve"> and </w:t>
      </w:r>
      <w:proofErr w:type="spellStart"/>
      <w:r>
        <w:rPr>
          <w:rFonts w:ascii="Times New Roman" w:hAnsi="Times New Roman" w:cs="Times New Roman"/>
          <w:color w:val="000000"/>
          <w:lang w:val="en-US"/>
        </w:rPr>
        <w:t>Gaine</w:t>
      </w:r>
      <w:proofErr w:type="spellEnd"/>
      <w:r>
        <w:rPr>
          <w:rFonts w:ascii="Times New Roman" w:hAnsi="Times New Roman" w:cs="Times New Roman"/>
          <w:color w:val="000000"/>
          <w:lang w:val="en-US"/>
        </w:rPr>
        <w:t>, 2012, p. 14). Moreover, they “suggest further that this is exacerbated by a growing Islamophobia, itself partly fed by fears about ‘separatism’” (Ibid.).</w:t>
      </w:r>
    </w:p>
    <w:p w14:paraId="378E0236" w14:textId="77777777" w:rsidR="007A4279" w:rsidRDefault="007A4279" w:rsidP="00EC3E30">
      <w:pPr>
        <w:autoSpaceDE w:val="0"/>
        <w:autoSpaceDN w:val="0"/>
        <w:adjustRightInd w:val="0"/>
        <w:ind w:right="113"/>
        <w:rPr>
          <w:rFonts w:ascii="Times New Roman" w:hAnsi="Times New Roman" w:cs="Times New Roman"/>
          <w:color w:val="000000"/>
          <w:lang w:val="en-US"/>
        </w:rPr>
      </w:pPr>
    </w:p>
    <w:p w14:paraId="52198B63" w14:textId="2B8AFCDD" w:rsidR="00E63041" w:rsidRPr="00EC3E30" w:rsidRDefault="007A4279" w:rsidP="00EC3E30">
      <w:pPr>
        <w:autoSpaceDE w:val="0"/>
        <w:autoSpaceDN w:val="0"/>
        <w:adjustRightInd w:val="0"/>
        <w:ind w:right="113"/>
        <w:rPr>
          <w:rFonts w:ascii="Helvetica" w:hAnsi="Helvetica" w:cs="Helvetica"/>
          <w:color w:val="000000"/>
          <w:lang w:val="en-US"/>
        </w:rPr>
      </w:pPr>
      <w:r>
        <w:rPr>
          <w:rFonts w:ascii="Times New Roman" w:hAnsi="Times New Roman" w:cs="Times New Roman"/>
          <w:color w:val="000000"/>
          <w:lang w:val="en-US"/>
        </w:rPr>
        <w:t>Islamic schools are the lifeline of Muslims and a means to spiritually fulfilling lives. As a result of State intervention and media interest, “Islamic education and schooling have become politicized in a way that the educational choices of other faith communities in Britain have not” (</w:t>
      </w:r>
      <w:proofErr w:type="spellStart"/>
      <w:r>
        <w:rPr>
          <w:rFonts w:ascii="Times New Roman" w:hAnsi="Times New Roman" w:cs="Times New Roman"/>
          <w:color w:val="000000"/>
          <w:lang w:val="en-US"/>
        </w:rPr>
        <w:t>Gilliat</w:t>
      </w:r>
      <w:proofErr w:type="spellEnd"/>
      <w:r>
        <w:rPr>
          <w:rFonts w:ascii="Times New Roman" w:hAnsi="Times New Roman" w:cs="Times New Roman"/>
          <w:color w:val="000000"/>
          <w:lang w:val="en-US"/>
        </w:rPr>
        <w:t>-Ray, 2010, pp. 131-132). It is imperative that Muslims engage in society and deal with the challenges of living in modern Britain. By collaboration with people of other faiths and good will, Muslims can hope that this engagement overwhelms the influence of those who object to their schools.</w:t>
      </w:r>
      <w:bookmarkStart w:id="0" w:name="_GoBack"/>
      <w:bookmarkEnd w:id="0"/>
    </w:p>
    <w:p w14:paraId="15A24DC2" w14:textId="77777777" w:rsidR="005F279B" w:rsidRDefault="005F279B" w:rsidP="00EC3E30">
      <w:pPr>
        <w:autoSpaceDE w:val="0"/>
        <w:autoSpaceDN w:val="0"/>
        <w:adjustRightInd w:val="0"/>
        <w:ind w:right="113"/>
        <w:rPr>
          <w:rFonts w:ascii="Times New Roman" w:hAnsi="Times New Roman" w:cs="Times New Roman"/>
          <w:b/>
          <w:bCs/>
          <w:color w:val="000000"/>
          <w:lang w:val="en-US"/>
        </w:rPr>
      </w:pPr>
      <w:r>
        <w:rPr>
          <w:rFonts w:ascii="Times New Roman" w:hAnsi="Times New Roman" w:cs="Times New Roman"/>
          <w:b/>
          <w:bCs/>
          <w:color w:val="000000"/>
          <w:lang w:val="en-US"/>
        </w:rPr>
        <w:lastRenderedPageBreak/>
        <w:t>Bibliography</w:t>
      </w:r>
    </w:p>
    <w:p w14:paraId="0E8DCCF8"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70FCF020"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Al-Ghazali, A, H. (1995) </w:t>
      </w:r>
      <w:r>
        <w:rPr>
          <w:rFonts w:ascii="Times New Roman" w:hAnsi="Times New Roman" w:cs="Times New Roman"/>
          <w:i/>
          <w:iCs/>
          <w:color w:val="000000"/>
          <w:lang w:val="en-US"/>
        </w:rPr>
        <w:t>Al-Ghazali on disciplining the soul &amp; on breaking the two desires: books XXII and XXIII of the Revival of the religious sciences.</w:t>
      </w:r>
      <w:r>
        <w:rPr>
          <w:rFonts w:ascii="Times New Roman" w:hAnsi="Times New Roman" w:cs="Times New Roman"/>
          <w:color w:val="000000"/>
          <w:lang w:val="en-US"/>
        </w:rPr>
        <w:t xml:space="preserve"> Translated by T.J. Winter. Cambridge: The Islamic Texts Society.</w:t>
      </w:r>
    </w:p>
    <w:p w14:paraId="3294F802" w14:textId="77777777" w:rsidR="005F279B" w:rsidRDefault="005F279B" w:rsidP="00EC3E30">
      <w:pPr>
        <w:autoSpaceDE w:val="0"/>
        <w:autoSpaceDN w:val="0"/>
        <w:adjustRightInd w:val="0"/>
        <w:ind w:right="113"/>
        <w:rPr>
          <w:rFonts w:ascii="Times New Roman" w:hAnsi="Times New Roman" w:cs="Times New Roman"/>
          <w:i/>
          <w:iCs/>
          <w:color w:val="000000"/>
          <w:lang w:val="en-US"/>
        </w:rPr>
      </w:pPr>
    </w:p>
    <w:p w14:paraId="17FB2C49"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an-</w:t>
      </w:r>
      <w:proofErr w:type="spellStart"/>
      <w:r>
        <w:rPr>
          <w:rFonts w:ascii="Times New Roman" w:hAnsi="Times New Roman" w:cs="Times New Roman"/>
          <w:color w:val="000000"/>
          <w:lang w:val="en-US"/>
        </w:rPr>
        <w:t>Nawawi</w:t>
      </w:r>
      <w:proofErr w:type="spellEnd"/>
      <w:r>
        <w:rPr>
          <w:rFonts w:ascii="Times New Roman" w:hAnsi="Times New Roman" w:cs="Times New Roman"/>
          <w:color w:val="000000"/>
          <w:lang w:val="en-US"/>
        </w:rPr>
        <w:t xml:space="preserve">, A, Z. (1998) </w:t>
      </w:r>
      <w:r>
        <w:rPr>
          <w:rFonts w:ascii="Times New Roman" w:hAnsi="Times New Roman" w:cs="Times New Roman"/>
          <w:i/>
          <w:iCs/>
          <w:color w:val="000000"/>
          <w:lang w:val="en-US"/>
        </w:rPr>
        <w:t xml:space="preserve">The Complete Forty Hadith. </w:t>
      </w:r>
      <w:r>
        <w:rPr>
          <w:rFonts w:ascii="Times New Roman" w:hAnsi="Times New Roman" w:cs="Times New Roman"/>
          <w:color w:val="000000"/>
          <w:lang w:val="en-US"/>
        </w:rPr>
        <w:t xml:space="preserve">Translated by </w:t>
      </w:r>
      <w:proofErr w:type="spellStart"/>
      <w:r>
        <w:rPr>
          <w:rFonts w:ascii="Times New Roman" w:hAnsi="Times New Roman" w:cs="Times New Roman"/>
          <w:color w:val="000000"/>
          <w:lang w:val="en-US"/>
        </w:rPr>
        <w:t>Abdassamad</w:t>
      </w:r>
      <w:proofErr w:type="spellEnd"/>
      <w:r>
        <w:rPr>
          <w:rFonts w:ascii="Times New Roman" w:hAnsi="Times New Roman" w:cs="Times New Roman"/>
          <w:color w:val="000000"/>
          <w:lang w:val="en-US"/>
        </w:rPr>
        <w:t xml:space="preserve"> Clarke. 3rd Rev. Ed. London: Ta-Ha Publishers Ltd.</w:t>
      </w:r>
    </w:p>
    <w:p w14:paraId="19DEB1E8"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0F5BCC67"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Berkey, J. (2004) ‘Education’, </w:t>
      </w:r>
      <w:r>
        <w:rPr>
          <w:rFonts w:ascii="Times New Roman" w:hAnsi="Times New Roman" w:cs="Times New Roman"/>
          <w:i/>
          <w:iCs/>
          <w:color w:val="000000"/>
          <w:lang w:val="en-US"/>
        </w:rPr>
        <w:t>Encyclopedia of Islam and the Muslim World</w:t>
      </w:r>
      <w:r>
        <w:rPr>
          <w:rFonts w:ascii="Times New Roman" w:hAnsi="Times New Roman" w:cs="Times New Roman"/>
          <w:color w:val="000000"/>
          <w:lang w:val="en-US"/>
        </w:rPr>
        <w:t xml:space="preserve">, Edited by Richard C. Martin, Vol. 1, pp. 202-206. Available at: </w:t>
      </w:r>
      <w:hyperlink r:id="rId4" w:history="1">
        <w:r>
          <w:rPr>
            <w:rFonts w:ascii="Times New Roman" w:hAnsi="Times New Roman" w:cs="Times New Roman"/>
            <w:color w:val="000000"/>
            <w:u w:val="single" w:color="000000"/>
            <w:lang w:val="en-US"/>
          </w:rPr>
          <w:t>http://link.galegroup.com/apps/doc/CX3403500132/GVRL?u=walamp&amp;sid=GVRL&amp;xid=f7696689</w:t>
        </w:r>
      </w:hyperlink>
      <w:r>
        <w:rPr>
          <w:rFonts w:ascii="Times New Roman" w:hAnsi="Times New Roman" w:cs="Times New Roman"/>
          <w:color w:val="000000"/>
          <w:lang w:val="en-US"/>
        </w:rPr>
        <w:t xml:space="preserve"> (Accessed: 13 May 2019).</w:t>
      </w:r>
    </w:p>
    <w:p w14:paraId="4FBD4AF5"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2BF1740B" w14:textId="77777777" w:rsidR="005F279B" w:rsidRDefault="005F279B" w:rsidP="00EC3E30">
      <w:pPr>
        <w:autoSpaceDE w:val="0"/>
        <w:autoSpaceDN w:val="0"/>
        <w:adjustRightInd w:val="0"/>
        <w:ind w:right="113"/>
        <w:rPr>
          <w:rFonts w:ascii="Times New Roman" w:hAnsi="Times New Roman" w:cs="Times New Roman"/>
          <w:i/>
          <w:iCs/>
          <w:color w:val="000000"/>
          <w:lang w:val="en-US"/>
        </w:rPr>
      </w:pPr>
      <w:proofErr w:type="spellStart"/>
      <w:r>
        <w:rPr>
          <w:rFonts w:ascii="Times New Roman" w:hAnsi="Times New Roman" w:cs="Times New Roman"/>
          <w:color w:val="000000"/>
          <w:lang w:val="en-US"/>
        </w:rPr>
        <w:t>Cheruvallil</w:t>
      </w:r>
      <w:proofErr w:type="spellEnd"/>
      <w:r>
        <w:rPr>
          <w:rFonts w:ascii="Times New Roman" w:hAnsi="Times New Roman" w:cs="Times New Roman"/>
          <w:color w:val="000000"/>
          <w:lang w:val="en-US"/>
        </w:rPr>
        <w:t xml:space="preserve">-Contractor, S. and Scott-Baumann, A. (2015) </w:t>
      </w:r>
      <w:r>
        <w:rPr>
          <w:rFonts w:ascii="Times New Roman" w:hAnsi="Times New Roman" w:cs="Times New Roman"/>
          <w:i/>
          <w:iCs/>
          <w:color w:val="000000"/>
          <w:lang w:val="en-US"/>
        </w:rPr>
        <w:t xml:space="preserve">Islamic Education in Britain: New </w:t>
      </w:r>
    </w:p>
    <w:p w14:paraId="68FD9812"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i/>
          <w:iCs/>
          <w:color w:val="000000"/>
          <w:lang w:val="en-US"/>
        </w:rPr>
        <w:t xml:space="preserve">Pluralist Paradigms. </w:t>
      </w:r>
      <w:r>
        <w:rPr>
          <w:rFonts w:ascii="Times New Roman" w:hAnsi="Times New Roman" w:cs="Times New Roman"/>
          <w:color w:val="000000"/>
          <w:lang w:val="en-US"/>
        </w:rPr>
        <w:t>London: Bloomsbury Academic.</w:t>
      </w:r>
    </w:p>
    <w:p w14:paraId="63BFCEB7"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506A3D10" w14:textId="77777777" w:rsidR="005F279B" w:rsidRDefault="005F279B" w:rsidP="00EC3E30">
      <w:pPr>
        <w:autoSpaceDE w:val="0"/>
        <w:autoSpaceDN w:val="0"/>
        <w:adjustRightInd w:val="0"/>
        <w:ind w:right="113"/>
        <w:rPr>
          <w:rFonts w:ascii="Times New Roman" w:hAnsi="Times New Roman" w:cs="Times New Roman"/>
          <w:color w:val="000000"/>
          <w:lang w:val="en-US"/>
        </w:rPr>
      </w:pPr>
      <w:proofErr w:type="spellStart"/>
      <w:r>
        <w:rPr>
          <w:rFonts w:ascii="Times New Roman" w:hAnsi="Times New Roman" w:cs="Times New Roman"/>
          <w:color w:val="000000"/>
          <w:lang w:val="en-US"/>
        </w:rPr>
        <w:t>Deenway</w:t>
      </w:r>
      <w:proofErr w:type="spellEnd"/>
      <w:r>
        <w:rPr>
          <w:rFonts w:ascii="Times New Roman" w:hAnsi="Times New Roman" w:cs="Times New Roman"/>
          <w:color w:val="000000"/>
          <w:lang w:val="en-US"/>
        </w:rPr>
        <w:t xml:space="preserve"> Montessori School. (2019) Available at: </w:t>
      </w:r>
      <w:hyperlink r:id="rId5" w:history="1">
        <w:r>
          <w:rPr>
            <w:rFonts w:ascii="Times New Roman" w:hAnsi="Times New Roman" w:cs="Times New Roman"/>
            <w:color w:val="000000"/>
            <w:u w:val="single" w:color="000000"/>
            <w:lang w:val="en-US"/>
          </w:rPr>
          <w:t>http://www.deenway.org</w:t>
        </w:r>
      </w:hyperlink>
      <w:r>
        <w:rPr>
          <w:rFonts w:ascii="Times New Roman" w:hAnsi="Times New Roman" w:cs="Times New Roman"/>
          <w:color w:val="000000"/>
          <w:lang w:val="en-US"/>
        </w:rPr>
        <w:t xml:space="preserve"> (Accessed: 13 May 2019).</w:t>
      </w:r>
    </w:p>
    <w:p w14:paraId="16B56EF3"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496E157A" w14:textId="77777777" w:rsidR="005F279B" w:rsidRDefault="005F279B" w:rsidP="00EC3E30">
      <w:pPr>
        <w:autoSpaceDE w:val="0"/>
        <w:autoSpaceDN w:val="0"/>
        <w:adjustRightInd w:val="0"/>
        <w:ind w:right="113"/>
        <w:rPr>
          <w:rFonts w:ascii="Times New Roman" w:hAnsi="Times New Roman" w:cs="Times New Roman"/>
          <w:i/>
          <w:iCs/>
          <w:color w:val="262626"/>
          <w:lang w:val="en-US"/>
        </w:rPr>
      </w:pPr>
      <w:r>
        <w:rPr>
          <w:rFonts w:ascii="Times New Roman" w:hAnsi="Times New Roman" w:cs="Times New Roman"/>
          <w:color w:val="262626"/>
          <w:lang w:val="en-US"/>
        </w:rPr>
        <w:t xml:space="preserve">Ebrahim College. (2019) Available at: </w:t>
      </w:r>
      <w:hyperlink r:id="rId6" w:history="1">
        <w:r>
          <w:rPr>
            <w:rFonts w:ascii="Times New Roman" w:hAnsi="Times New Roman" w:cs="Times New Roman"/>
            <w:color w:val="262626"/>
            <w:u w:val="single" w:color="262626"/>
            <w:lang w:val="en-US"/>
          </w:rPr>
          <w:t>https://ebrahimcollege.org.uk</w:t>
        </w:r>
      </w:hyperlink>
      <w:r>
        <w:rPr>
          <w:rFonts w:ascii="Times New Roman" w:hAnsi="Times New Roman" w:cs="Times New Roman"/>
          <w:color w:val="262626"/>
          <w:lang w:val="en-US"/>
        </w:rPr>
        <w:t xml:space="preserve"> (Accessed: 13 May 2019).</w:t>
      </w:r>
    </w:p>
    <w:p w14:paraId="1F3AC1D0" w14:textId="77777777" w:rsidR="005F279B" w:rsidRDefault="005F279B" w:rsidP="00EC3E30">
      <w:pPr>
        <w:autoSpaceDE w:val="0"/>
        <w:autoSpaceDN w:val="0"/>
        <w:adjustRightInd w:val="0"/>
        <w:ind w:right="113"/>
        <w:rPr>
          <w:rFonts w:ascii="Times New Roman" w:hAnsi="Times New Roman" w:cs="Times New Roman"/>
          <w:i/>
          <w:iCs/>
          <w:color w:val="000000"/>
          <w:lang w:val="en-US"/>
        </w:rPr>
      </w:pPr>
    </w:p>
    <w:p w14:paraId="2C2A0FE5" w14:textId="77777777" w:rsidR="005F279B" w:rsidRDefault="005F279B" w:rsidP="00EC3E30">
      <w:pPr>
        <w:autoSpaceDE w:val="0"/>
        <w:autoSpaceDN w:val="0"/>
        <w:adjustRightInd w:val="0"/>
        <w:ind w:right="113"/>
        <w:rPr>
          <w:rFonts w:ascii="Times New Roman" w:hAnsi="Times New Roman" w:cs="Times New Roman"/>
          <w:i/>
          <w:iCs/>
          <w:color w:val="000000"/>
          <w:lang w:val="en-US"/>
        </w:rPr>
      </w:pPr>
      <w:r>
        <w:rPr>
          <w:rFonts w:ascii="Times New Roman" w:hAnsi="Times New Roman" w:cs="Times New Roman"/>
          <w:color w:val="000000"/>
          <w:lang w:val="en-US"/>
        </w:rPr>
        <w:t xml:space="preserve">Esposito, J.L. (2005) </w:t>
      </w:r>
      <w:r>
        <w:rPr>
          <w:rFonts w:ascii="Times New Roman" w:hAnsi="Times New Roman" w:cs="Times New Roman"/>
          <w:i/>
          <w:iCs/>
          <w:color w:val="000000"/>
          <w:lang w:val="en-US"/>
        </w:rPr>
        <w:t xml:space="preserve">Islam: The Straight Path. </w:t>
      </w:r>
      <w:r>
        <w:rPr>
          <w:rFonts w:ascii="Times New Roman" w:hAnsi="Times New Roman" w:cs="Times New Roman"/>
          <w:color w:val="000000"/>
          <w:lang w:val="en-US"/>
        </w:rPr>
        <w:t>Oxford and New York: Oxford University Press.</w:t>
      </w:r>
    </w:p>
    <w:p w14:paraId="64B09B08"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66386FC0" w14:textId="77777777" w:rsidR="005F279B" w:rsidRDefault="005F279B" w:rsidP="00EC3E30">
      <w:pPr>
        <w:autoSpaceDE w:val="0"/>
        <w:autoSpaceDN w:val="0"/>
        <w:adjustRightInd w:val="0"/>
        <w:ind w:right="113"/>
        <w:rPr>
          <w:rFonts w:ascii="Times New Roman" w:hAnsi="Times New Roman" w:cs="Times New Roman"/>
          <w:color w:val="000000"/>
          <w:lang w:val="en-US"/>
        </w:rPr>
      </w:pPr>
      <w:proofErr w:type="spellStart"/>
      <w:r>
        <w:rPr>
          <w:rFonts w:ascii="Times New Roman" w:hAnsi="Times New Roman" w:cs="Times New Roman"/>
          <w:color w:val="000000"/>
          <w:lang w:val="en-US"/>
        </w:rPr>
        <w:t>Gilliat</w:t>
      </w:r>
      <w:proofErr w:type="spellEnd"/>
      <w:r>
        <w:rPr>
          <w:rFonts w:ascii="Times New Roman" w:hAnsi="Times New Roman" w:cs="Times New Roman"/>
          <w:color w:val="000000"/>
          <w:lang w:val="en-US"/>
        </w:rPr>
        <w:t xml:space="preserve">-Ray, S. (2010) </w:t>
      </w:r>
      <w:r>
        <w:rPr>
          <w:rFonts w:ascii="Times New Roman" w:hAnsi="Times New Roman" w:cs="Times New Roman"/>
          <w:i/>
          <w:iCs/>
          <w:color w:val="000000"/>
          <w:lang w:val="en-US"/>
        </w:rPr>
        <w:t xml:space="preserve">Muslims in Britain. </w:t>
      </w:r>
      <w:r>
        <w:rPr>
          <w:rFonts w:ascii="Times New Roman" w:hAnsi="Times New Roman" w:cs="Times New Roman"/>
          <w:color w:val="000000"/>
          <w:lang w:val="en-US"/>
        </w:rPr>
        <w:t>Cambridge: Cambridge University Press.</w:t>
      </w:r>
    </w:p>
    <w:p w14:paraId="1E23FD88"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65C209A5"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Hand, M. (2004) ‘The problem with faith schools: A reply to my critics’, </w:t>
      </w:r>
      <w:r>
        <w:rPr>
          <w:rFonts w:ascii="Times New Roman" w:hAnsi="Times New Roman" w:cs="Times New Roman"/>
          <w:i/>
          <w:iCs/>
          <w:color w:val="000000"/>
          <w:lang w:val="en-US"/>
        </w:rPr>
        <w:t>Theory and Research in Education,</w:t>
      </w:r>
      <w:r>
        <w:rPr>
          <w:rFonts w:ascii="Times New Roman" w:hAnsi="Times New Roman" w:cs="Times New Roman"/>
          <w:color w:val="000000"/>
          <w:lang w:val="en-US"/>
        </w:rPr>
        <w:t xml:space="preserve"> 2(3), pp. 343–353. Available at: </w:t>
      </w:r>
      <w:hyperlink r:id="rId7" w:history="1">
        <w:r>
          <w:rPr>
            <w:rFonts w:ascii="Times New Roman" w:hAnsi="Times New Roman" w:cs="Times New Roman"/>
            <w:color w:val="000000"/>
            <w:u w:val="single" w:color="000000"/>
            <w:lang w:val="en-US"/>
          </w:rPr>
          <w:t>https://doi-org.ezproxy.uwtsd.ac.uk/10.1177/1477878504046529</w:t>
        </w:r>
      </w:hyperlink>
      <w:r>
        <w:rPr>
          <w:rFonts w:ascii="Times New Roman" w:hAnsi="Times New Roman" w:cs="Times New Roman"/>
          <w:color w:val="000000"/>
          <w:lang w:val="en-US"/>
        </w:rPr>
        <w:t>. (Accessed: 13 May 2019).</w:t>
      </w:r>
    </w:p>
    <w:p w14:paraId="5FF8E478"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6A61AE27"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Ibn </w:t>
      </w:r>
      <w:proofErr w:type="spellStart"/>
      <w:r>
        <w:rPr>
          <w:rFonts w:ascii="Times New Roman" w:hAnsi="Times New Roman" w:cs="Times New Roman"/>
          <w:color w:val="000000"/>
          <w:lang w:val="en-US"/>
        </w:rPr>
        <w:t>Majah</w:t>
      </w:r>
      <w:proofErr w:type="spellEnd"/>
      <w:r>
        <w:rPr>
          <w:rFonts w:ascii="Times New Roman" w:hAnsi="Times New Roman" w:cs="Times New Roman"/>
          <w:color w:val="000000"/>
          <w:lang w:val="en-US"/>
        </w:rPr>
        <w:t>;</w:t>
      </w:r>
      <w:r>
        <w:rPr>
          <w:rFonts w:ascii="Times New Roman" w:hAnsi="Times New Roman" w:cs="Times New Roman"/>
          <w:i/>
          <w:iCs/>
          <w:color w:val="000000"/>
          <w:lang w:val="en-US"/>
        </w:rPr>
        <w:t xml:space="preserve"> The Book of the Sunnah, </w:t>
      </w:r>
      <w:r>
        <w:rPr>
          <w:rFonts w:ascii="Times New Roman" w:hAnsi="Times New Roman" w:cs="Times New Roman"/>
          <w:color w:val="000000"/>
          <w:lang w:val="en-US"/>
        </w:rPr>
        <w:t>Vol. 1, hadith 224</w:t>
      </w:r>
      <w:r>
        <w:rPr>
          <w:rFonts w:ascii="Times New Roman" w:hAnsi="Times New Roman" w:cs="Times New Roman"/>
          <w:i/>
          <w:iCs/>
          <w:color w:val="000000"/>
          <w:lang w:val="en-US"/>
        </w:rPr>
        <w:t xml:space="preserve">. </w:t>
      </w:r>
      <w:r>
        <w:rPr>
          <w:rFonts w:ascii="Times New Roman" w:hAnsi="Times New Roman" w:cs="Times New Roman"/>
          <w:color w:val="000000"/>
          <w:lang w:val="en-US"/>
        </w:rPr>
        <w:t>Available at: </w:t>
      </w:r>
      <w:hyperlink r:id="rId8" w:history="1">
        <w:r>
          <w:rPr>
            <w:rFonts w:ascii="Times New Roman" w:hAnsi="Times New Roman" w:cs="Times New Roman"/>
            <w:color w:val="000000"/>
            <w:u w:val="single" w:color="000000"/>
            <w:lang w:val="en-US"/>
          </w:rPr>
          <w:t>https://sunnah.com/urn/1252230</w:t>
        </w:r>
      </w:hyperlink>
      <w:r>
        <w:rPr>
          <w:rFonts w:ascii="Times New Roman" w:hAnsi="Times New Roman" w:cs="Times New Roman"/>
          <w:color w:val="000000"/>
          <w:lang w:val="en-US"/>
        </w:rPr>
        <w:t> (Accessed: 13 May 2019).</w:t>
      </w:r>
    </w:p>
    <w:p w14:paraId="4062F0D9"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2EBE9724"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Merry, M, S. (2018) ‘Indoctrination, Islamic schools, and the broader scope of harm’, </w:t>
      </w:r>
      <w:r>
        <w:rPr>
          <w:rFonts w:ascii="Times New Roman" w:hAnsi="Times New Roman" w:cs="Times New Roman"/>
          <w:i/>
          <w:iCs/>
          <w:color w:val="000000"/>
          <w:lang w:val="en-US"/>
        </w:rPr>
        <w:t>Theory and Research in Education,</w:t>
      </w:r>
      <w:r>
        <w:rPr>
          <w:rFonts w:ascii="Times New Roman" w:hAnsi="Times New Roman" w:cs="Times New Roman"/>
          <w:color w:val="000000"/>
          <w:lang w:val="en-US"/>
        </w:rPr>
        <w:t xml:space="preserve"> 16(2), pp. 162–178. Available at: </w:t>
      </w:r>
      <w:hyperlink r:id="rId9" w:history="1">
        <w:r>
          <w:rPr>
            <w:rFonts w:ascii="Times New Roman" w:hAnsi="Times New Roman" w:cs="Times New Roman"/>
            <w:color w:val="000000"/>
            <w:u w:val="single" w:color="000000"/>
            <w:lang w:val="en-US"/>
          </w:rPr>
          <w:t>https://doi.org/10.1177/1477878518779668</w:t>
        </w:r>
      </w:hyperlink>
      <w:r>
        <w:rPr>
          <w:rFonts w:ascii="Times New Roman" w:hAnsi="Times New Roman" w:cs="Times New Roman"/>
          <w:color w:val="000000"/>
          <w:lang w:val="en-US"/>
        </w:rPr>
        <w:t xml:space="preserve"> (Accessed: 13 May 2019).</w:t>
      </w:r>
    </w:p>
    <w:p w14:paraId="60B8FF8A"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34304B91"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Qur'an, 3:190 (2016) Translated by Muhammad Marmaduke </w:t>
      </w:r>
      <w:proofErr w:type="spellStart"/>
      <w:r>
        <w:rPr>
          <w:rFonts w:ascii="Times New Roman" w:hAnsi="Times New Roman" w:cs="Times New Roman"/>
          <w:color w:val="000000"/>
          <w:lang w:val="en-US"/>
        </w:rPr>
        <w:t>Pickthall</w:t>
      </w:r>
      <w:proofErr w:type="spellEnd"/>
      <w:r>
        <w:rPr>
          <w:rFonts w:ascii="Times New Roman" w:hAnsi="Times New Roman" w:cs="Times New Roman"/>
          <w:color w:val="000000"/>
          <w:lang w:val="en-US"/>
        </w:rPr>
        <w:t>. Available at: </w:t>
      </w:r>
      <w:hyperlink r:id="rId10" w:history="1">
        <w:r>
          <w:rPr>
            <w:rFonts w:ascii="Times New Roman" w:hAnsi="Times New Roman" w:cs="Times New Roman"/>
            <w:color w:val="000000"/>
            <w:u w:val="single" w:color="000000"/>
            <w:lang w:val="en-US"/>
          </w:rPr>
          <w:t>https://quran.com/3/190</w:t>
        </w:r>
      </w:hyperlink>
      <w:r>
        <w:rPr>
          <w:rFonts w:ascii="Times New Roman" w:hAnsi="Times New Roman" w:cs="Times New Roman"/>
          <w:color w:val="000000"/>
          <w:lang w:val="en-US"/>
        </w:rPr>
        <w:t> (Accessed: 13 May 2019).</w:t>
      </w:r>
    </w:p>
    <w:p w14:paraId="3BCFCBDF"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2DCD0DD1"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Qur'an, 20:114 (2016) Translated by Muhammad Marmaduke </w:t>
      </w:r>
      <w:proofErr w:type="spellStart"/>
      <w:r>
        <w:rPr>
          <w:rFonts w:ascii="Times New Roman" w:hAnsi="Times New Roman" w:cs="Times New Roman"/>
          <w:color w:val="000000"/>
          <w:lang w:val="en-US"/>
        </w:rPr>
        <w:t>Pickthall</w:t>
      </w:r>
      <w:proofErr w:type="spellEnd"/>
      <w:r>
        <w:rPr>
          <w:rFonts w:ascii="Times New Roman" w:hAnsi="Times New Roman" w:cs="Times New Roman"/>
          <w:color w:val="000000"/>
          <w:lang w:val="en-US"/>
        </w:rPr>
        <w:t>. Available at: https://quran.com/20/114 (Accessed: 13 May 2019).</w:t>
      </w:r>
    </w:p>
    <w:p w14:paraId="2E97E2AB"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13DF8880"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Qur'an, 96:1 (2016) Translated by Muhammad Marmaduke </w:t>
      </w:r>
      <w:proofErr w:type="spellStart"/>
      <w:r>
        <w:rPr>
          <w:rFonts w:ascii="Times New Roman" w:hAnsi="Times New Roman" w:cs="Times New Roman"/>
          <w:color w:val="000000"/>
          <w:lang w:val="en-US"/>
        </w:rPr>
        <w:t>Pickthall</w:t>
      </w:r>
      <w:proofErr w:type="spellEnd"/>
      <w:r>
        <w:rPr>
          <w:rFonts w:ascii="Times New Roman" w:hAnsi="Times New Roman" w:cs="Times New Roman"/>
          <w:color w:val="000000"/>
          <w:lang w:val="en-US"/>
        </w:rPr>
        <w:t>. Available at: https://quran.com/96/1 (Accessed: 13 May 2019).</w:t>
      </w:r>
    </w:p>
    <w:p w14:paraId="018449D4"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4B110DC0"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Said, E, W. (1997) </w:t>
      </w:r>
      <w:r>
        <w:rPr>
          <w:rFonts w:ascii="Times New Roman" w:hAnsi="Times New Roman" w:cs="Times New Roman"/>
          <w:i/>
          <w:iCs/>
          <w:color w:val="000000"/>
          <w:lang w:val="en-US"/>
        </w:rPr>
        <w:t xml:space="preserve">Covering Islam: How the media and the experts determine how we see the rest of the world. </w:t>
      </w:r>
      <w:r>
        <w:rPr>
          <w:rFonts w:ascii="Times New Roman" w:hAnsi="Times New Roman" w:cs="Times New Roman"/>
          <w:color w:val="000000"/>
          <w:lang w:val="en-US"/>
        </w:rPr>
        <w:t>Rev. Ed. London: Vintage.</w:t>
      </w:r>
    </w:p>
    <w:p w14:paraId="68496061"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6203688A"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Said, E, W. (2003) </w:t>
      </w:r>
      <w:r>
        <w:rPr>
          <w:rFonts w:ascii="Times New Roman" w:hAnsi="Times New Roman" w:cs="Times New Roman"/>
          <w:i/>
          <w:iCs/>
          <w:color w:val="000000"/>
          <w:lang w:val="en-US"/>
        </w:rPr>
        <w:t xml:space="preserve">Orientalism. </w:t>
      </w:r>
      <w:r>
        <w:rPr>
          <w:rFonts w:ascii="Times New Roman" w:hAnsi="Times New Roman" w:cs="Times New Roman"/>
          <w:color w:val="000000"/>
          <w:lang w:val="en-US"/>
        </w:rPr>
        <w:t>Rev. Ed. London: Penguin.</w:t>
      </w:r>
    </w:p>
    <w:p w14:paraId="37CE6746"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045CCCEA" w14:textId="77777777" w:rsidR="005F279B" w:rsidRDefault="005F279B" w:rsidP="00EC3E30">
      <w:pPr>
        <w:autoSpaceDE w:val="0"/>
        <w:autoSpaceDN w:val="0"/>
        <w:adjustRightInd w:val="0"/>
        <w:ind w:right="113"/>
        <w:rPr>
          <w:rFonts w:ascii="Times New Roman" w:hAnsi="Times New Roman" w:cs="Times New Roman"/>
          <w:color w:val="000000"/>
          <w:lang w:val="en-US"/>
        </w:rPr>
      </w:pPr>
      <w:proofErr w:type="spellStart"/>
      <w:r>
        <w:rPr>
          <w:rFonts w:ascii="Times New Roman" w:hAnsi="Times New Roman" w:cs="Times New Roman"/>
          <w:color w:val="000000"/>
          <w:lang w:val="en-US"/>
        </w:rPr>
        <w:t>Tenters</w:t>
      </w:r>
      <w:proofErr w:type="spellEnd"/>
      <w:r>
        <w:rPr>
          <w:rFonts w:ascii="Times New Roman" w:hAnsi="Times New Roman" w:cs="Times New Roman"/>
          <w:color w:val="000000"/>
          <w:lang w:val="en-US"/>
        </w:rPr>
        <w:t xml:space="preserve">, S. and </w:t>
      </w:r>
      <w:proofErr w:type="spellStart"/>
      <w:r>
        <w:rPr>
          <w:rFonts w:ascii="Times New Roman" w:hAnsi="Times New Roman" w:cs="Times New Roman"/>
          <w:color w:val="000000"/>
          <w:lang w:val="en-US"/>
        </w:rPr>
        <w:t>Gaine</w:t>
      </w:r>
      <w:proofErr w:type="spellEnd"/>
      <w:r>
        <w:rPr>
          <w:rFonts w:ascii="Times New Roman" w:hAnsi="Times New Roman" w:cs="Times New Roman"/>
          <w:color w:val="000000"/>
          <w:lang w:val="en-US"/>
        </w:rPr>
        <w:t xml:space="preserve">, C. (2012) ‘Do Islamic faith schools in the state system undermine social cohesion?’ </w:t>
      </w:r>
      <w:r>
        <w:rPr>
          <w:rFonts w:ascii="Times New Roman" w:hAnsi="Times New Roman" w:cs="Times New Roman"/>
          <w:i/>
          <w:iCs/>
          <w:color w:val="000000"/>
          <w:lang w:val="en-US"/>
        </w:rPr>
        <w:t xml:space="preserve">Race Equality Teaching, </w:t>
      </w:r>
      <w:r>
        <w:rPr>
          <w:rFonts w:ascii="Times New Roman" w:hAnsi="Times New Roman" w:cs="Times New Roman"/>
          <w:color w:val="000000"/>
          <w:lang w:val="en-US"/>
        </w:rPr>
        <w:t xml:space="preserve">Vol. 30, No. 3, pp. 14-18(5). Available at: </w:t>
      </w:r>
      <w:hyperlink r:id="rId11" w:history="1">
        <w:r>
          <w:rPr>
            <w:rFonts w:ascii="Times New Roman" w:hAnsi="Times New Roman" w:cs="Times New Roman"/>
            <w:color w:val="000000"/>
            <w:u w:val="single" w:color="000000"/>
            <w:lang w:val="en-US"/>
          </w:rPr>
          <w:t>https://doi.org/10.18546/RET.30.3.05</w:t>
        </w:r>
      </w:hyperlink>
      <w:r>
        <w:rPr>
          <w:rFonts w:ascii="Times New Roman" w:hAnsi="Times New Roman" w:cs="Times New Roman"/>
          <w:color w:val="000000"/>
          <w:lang w:val="en-US"/>
        </w:rPr>
        <w:t xml:space="preserve"> (Accessed: 13 May 2019).</w:t>
      </w:r>
    </w:p>
    <w:p w14:paraId="772DD05F"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339FC286"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The Press Association. (2014) 'Fasting 'revives immune system'', Nursing Times.net, (June) Available at: </w:t>
      </w:r>
      <w:hyperlink r:id="rId12" w:history="1">
        <w:r>
          <w:rPr>
            <w:rFonts w:ascii="Times New Roman" w:hAnsi="Times New Roman" w:cs="Times New Roman"/>
            <w:color w:val="000000"/>
            <w:u w:val="single" w:color="0000E9"/>
            <w:lang w:val="en-US"/>
          </w:rPr>
          <w:t>https://search.proquest.com/docview/1533419455?accountid=130472</w:t>
        </w:r>
      </w:hyperlink>
      <w:r>
        <w:rPr>
          <w:rFonts w:ascii="Times New Roman" w:hAnsi="Times New Roman" w:cs="Times New Roman"/>
          <w:color w:val="000000"/>
          <w:lang w:val="en-US"/>
        </w:rPr>
        <w:t> (Accessed: 13 May 2019).</w:t>
      </w:r>
    </w:p>
    <w:p w14:paraId="12F66BD2"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1293024D"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Thomas, M, C. (2014) ‘Orientalism,’</w:t>
      </w:r>
      <w:r>
        <w:rPr>
          <w:rFonts w:ascii="Times New Roman" w:hAnsi="Times New Roman" w:cs="Times New Roman"/>
          <w:i/>
          <w:iCs/>
          <w:color w:val="000000"/>
          <w:lang w:val="en-US"/>
        </w:rPr>
        <w:t xml:space="preserve"> </w:t>
      </w:r>
      <w:proofErr w:type="spellStart"/>
      <w:r>
        <w:rPr>
          <w:rFonts w:ascii="Times New Roman" w:hAnsi="Times New Roman" w:cs="Times New Roman"/>
          <w:i/>
          <w:iCs/>
          <w:color w:val="000000"/>
          <w:lang w:val="en-US"/>
        </w:rPr>
        <w:t>Encyclopaedia</w:t>
      </w:r>
      <w:proofErr w:type="spellEnd"/>
      <w:r>
        <w:rPr>
          <w:rFonts w:ascii="Times New Roman" w:hAnsi="Times New Roman" w:cs="Times New Roman"/>
          <w:i/>
          <w:iCs/>
          <w:color w:val="000000"/>
          <w:lang w:val="en-US"/>
        </w:rPr>
        <w:t xml:space="preserve"> Britannica. </w:t>
      </w:r>
      <w:r>
        <w:rPr>
          <w:rFonts w:ascii="Times New Roman" w:hAnsi="Times New Roman" w:cs="Times New Roman"/>
          <w:color w:val="000000"/>
          <w:lang w:val="en-US"/>
        </w:rPr>
        <w:t xml:space="preserve">Available at: </w:t>
      </w:r>
      <w:hyperlink r:id="rId13" w:history="1">
        <w:r>
          <w:rPr>
            <w:rFonts w:ascii="Times New Roman" w:hAnsi="Times New Roman" w:cs="Times New Roman"/>
            <w:color w:val="000000"/>
            <w:u w:val="single" w:color="000000"/>
            <w:lang w:val="en-US"/>
          </w:rPr>
          <w:t>https://www.britannica.com/science/Orientalism-cultural-field-of-study</w:t>
        </w:r>
      </w:hyperlink>
      <w:r>
        <w:rPr>
          <w:rFonts w:ascii="Times New Roman" w:hAnsi="Times New Roman" w:cs="Times New Roman"/>
          <w:color w:val="000000"/>
          <w:lang w:val="en-US"/>
        </w:rPr>
        <w:t xml:space="preserve"> (Accessed: 22 January 2019).</w:t>
      </w:r>
    </w:p>
    <w:p w14:paraId="2CCC017E"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2961F71F" w14:textId="77777777" w:rsidR="005F279B" w:rsidRDefault="005F279B" w:rsidP="00EC3E30">
      <w:pPr>
        <w:autoSpaceDE w:val="0"/>
        <w:autoSpaceDN w:val="0"/>
        <w:adjustRightInd w:val="0"/>
        <w:ind w:right="113"/>
        <w:rPr>
          <w:rFonts w:ascii="Times New Roman" w:hAnsi="Times New Roman" w:cs="Times New Roman"/>
          <w:color w:val="262626"/>
          <w:lang w:val="en-US"/>
        </w:rPr>
      </w:pPr>
      <w:r>
        <w:rPr>
          <w:rFonts w:ascii="Times New Roman" w:hAnsi="Times New Roman" w:cs="Times New Roman"/>
          <w:color w:val="262626"/>
          <w:lang w:val="en-US"/>
        </w:rPr>
        <w:t xml:space="preserve">Walbridge, J. (2004) ‘Madrasa’, </w:t>
      </w:r>
      <w:r>
        <w:rPr>
          <w:rFonts w:ascii="Times New Roman" w:hAnsi="Times New Roman" w:cs="Times New Roman"/>
          <w:i/>
          <w:iCs/>
          <w:color w:val="262626"/>
          <w:lang w:val="en-US"/>
        </w:rPr>
        <w:t>Encyclopedia of Islam and the Muslim World</w:t>
      </w:r>
      <w:r>
        <w:rPr>
          <w:rFonts w:ascii="Times New Roman" w:hAnsi="Times New Roman" w:cs="Times New Roman"/>
          <w:color w:val="262626"/>
          <w:lang w:val="en-US"/>
        </w:rPr>
        <w:t xml:space="preserve">, Edited by Richard C. Martin, Vol. </w:t>
      </w:r>
      <w:proofErr w:type="gramStart"/>
      <w:r>
        <w:rPr>
          <w:rFonts w:ascii="Times New Roman" w:hAnsi="Times New Roman" w:cs="Times New Roman"/>
          <w:color w:val="262626"/>
          <w:lang w:val="en-US"/>
        </w:rPr>
        <w:t>2,  pp.</w:t>
      </w:r>
      <w:proofErr w:type="gramEnd"/>
      <w:r>
        <w:rPr>
          <w:rFonts w:ascii="Times New Roman" w:hAnsi="Times New Roman" w:cs="Times New Roman"/>
          <w:color w:val="262626"/>
          <w:lang w:val="en-US"/>
        </w:rPr>
        <w:t xml:space="preserve"> 418-421. Available at: </w:t>
      </w:r>
      <w:hyperlink r:id="rId14" w:history="1">
        <w:r>
          <w:rPr>
            <w:rFonts w:ascii="Times New Roman" w:hAnsi="Times New Roman" w:cs="Times New Roman"/>
            <w:color w:val="262626"/>
            <w:u w:val="single" w:color="262626"/>
            <w:lang w:val="en-US"/>
          </w:rPr>
          <w:t>http://link.galegroup.com/apps/doc/CX3403500282/GVRL?u=walamp&amp;sid=GVRL&amp;xid=bfe24024</w:t>
        </w:r>
      </w:hyperlink>
      <w:r>
        <w:rPr>
          <w:rFonts w:ascii="Times New Roman" w:hAnsi="Times New Roman" w:cs="Times New Roman"/>
          <w:color w:val="262626"/>
          <w:lang w:val="en-US"/>
        </w:rPr>
        <w:t> (Accessed: 9 May 2019).</w:t>
      </w:r>
    </w:p>
    <w:p w14:paraId="2E522A84" w14:textId="77777777" w:rsidR="005F279B" w:rsidRDefault="005F279B" w:rsidP="00EC3E30">
      <w:pPr>
        <w:autoSpaceDE w:val="0"/>
        <w:autoSpaceDN w:val="0"/>
        <w:adjustRightInd w:val="0"/>
        <w:ind w:right="113"/>
        <w:rPr>
          <w:rFonts w:ascii="Times New Roman" w:hAnsi="Times New Roman" w:cs="Times New Roman"/>
          <w:color w:val="000000"/>
          <w:lang w:val="en-US"/>
        </w:rPr>
      </w:pPr>
    </w:p>
    <w:p w14:paraId="2135E405" w14:textId="77777777" w:rsidR="005F279B" w:rsidRDefault="005F279B" w:rsidP="00EC3E30">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Winter, T. (2008) </w:t>
      </w:r>
      <w:r>
        <w:rPr>
          <w:rFonts w:ascii="Times New Roman" w:hAnsi="Times New Roman" w:cs="Times New Roman"/>
          <w:i/>
          <w:iCs/>
          <w:color w:val="000000"/>
          <w:lang w:val="en-US"/>
        </w:rPr>
        <w:t xml:space="preserve">The Cambridge Companion to Classical Islamic Theology. </w:t>
      </w:r>
      <w:r>
        <w:rPr>
          <w:rFonts w:ascii="Times New Roman" w:hAnsi="Times New Roman" w:cs="Times New Roman"/>
          <w:color w:val="000000"/>
          <w:lang w:val="en-US"/>
        </w:rPr>
        <w:t xml:space="preserve">Cambridge: Cambridge University Press. </w:t>
      </w:r>
    </w:p>
    <w:p w14:paraId="2B795408" w14:textId="77777777" w:rsidR="005F279B" w:rsidRDefault="005F279B" w:rsidP="00EC3E30">
      <w:pPr>
        <w:autoSpaceDE w:val="0"/>
        <w:autoSpaceDN w:val="0"/>
        <w:adjustRightInd w:val="0"/>
        <w:ind w:right="113"/>
        <w:rPr>
          <w:rFonts w:ascii="Times New Roman" w:hAnsi="Times New Roman" w:cs="Times New Roman"/>
          <w:color w:val="262626"/>
          <w:lang w:val="en-US"/>
        </w:rPr>
      </w:pPr>
    </w:p>
    <w:p w14:paraId="689983EE" w14:textId="77777777" w:rsidR="005F279B" w:rsidRDefault="005F279B" w:rsidP="00EC3E30">
      <w:pPr>
        <w:autoSpaceDE w:val="0"/>
        <w:autoSpaceDN w:val="0"/>
        <w:adjustRightInd w:val="0"/>
        <w:ind w:right="113"/>
        <w:rPr>
          <w:rFonts w:ascii="Times New Roman" w:hAnsi="Times New Roman" w:cs="Times New Roman"/>
          <w:color w:val="262626"/>
          <w:lang w:val="en-US"/>
        </w:rPr>
      </w:pPr>
      <w:r>
        <w:rPr>
          <w:rFonts w:ascii="Times New Roman" w:hAnsi="Times New Roman" w:cs="Times New Roman"/>
          <w:color w:val="262626"/>
          <w:lang w:val="en-US"/>
        </w:rPr>
        <w:t xml:space="preserve">Women’s Muslim College. (2019) Available at: </w:t>
      </w:r>
      <w:hyperlink r:id="rId15" w:history="1">
        <w:r>
          <w:rPr>
            <w:rFonts w:ascii="Times New Roman" w:hAnsi="Times New Roman" w:cs="Times New Roman"/>
            <w:color w:val="262626"/>
            <w:u w:val="single" w:color="262626"/>
            <w:lang w:val="en-US"/>
          </w:rPr>
          <w:t>https://www.womensmuslimcollege.com</w:t>
        </w:r>
      </w:hyperlink>
      <w:r>
        <w:rPr>
          <w:rFonts w:ascii="Times New Roman" w:hAnsi="Times New Roman" w:cs="Times New Roman"/>
          <w:color w:val="262626"/>
          <w:lang w:val="en-US"/>
        </w:rPr>
        <w:t xml:space="preserve"> (Accessed: 22 January 2019).</w:t>
      </w:r>
    </w:p>
    <w:p w14:paraId="37361CBB" w14:textId="77777777" w:rsidR="005F279B" w:rsidRPr="005F279B" w:rsidRDefault="005F279B" w:rsidP="00EC3E30">
      <w:pPr>
        <w:ind w:right="113"/>
        <w:rPr>
          <w:lang w:val="en-US"/>
        </w:rPr>
      </w:pPr>
    </w:p>
    <w:sectPr w:rsidR="005F279B" w:rsidRPr="005F279B" w:rsidSect="00EF361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279"/>
    <w:rsid w:val="001709A1"/>
    <w:rsid w:val="00193C42"/>
    <w:rsid w:val="002F4092"/>
    <w:rsid w:val="0032264D"/>
    <w:rsid w:val="003F30B7"/>
    <w:rsid w:val="00475594"/>
    <w:rsid w:val="005D2412"/>
    <w:rsid w:val="005F279B"/>
    <w:rsid w:val="006F5BA4"/>
    <w:rsid w:val="007A4279"/>
    <w:rsid w:val="007D0499"/>
    <w:rsid w:val="00CE4270"/>
    <w:rsid w:val="00DF1B38"/>
    <w:rsid w:val="00DF7E55"/>
    <w:rsid w:val="00EC3E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A3FBFB6"/>
  <w14:defaultImageDpi w14:val="32767"/>
  <w15:chartTrackingRefBased/>
  <w15:docId w15:val="{AF796A36-14CF-D444-8514-59FD6FDEC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27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nnah.com/urn/1252230" TargetMode="External"/><Relationship Id="rId13" Type="http://schemas.openxmlformats.org/officeDocument/2006/relationships/hyperlink" Target="https://www.britannica.com/science/Orientalism-cultural-field-of-study" TargetMode="External"/><Relationship Id="rId3" Type="http://schemas.openxmlformats.org/officeDocument/2006/relationships/webSettings" Target="webSettings.xml"/><Relationship Id="rId7" Type="http://schemas.openxmlformats.org/officeDocument/2006/relationships/hyperlink" Target="https://doi-org.ezproxy.uwtsd.ac.uk/10.1177/1477878504046529" TargetMode="External"/><Relationship Id="rId12" Type="http://schemas.openxmlformats.org/officeDocument/2006/relationships/hyperlink" Target="https://search.proquest.com/docview/1533419455?accountid=13047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brahimcollege.org.uk" TargetMode="External"/><Relationship Id="rId11" Type="http://schemas.openxmlformats.org/officeDocument/2006/relationships/hyperlink" Target="https://doi.org/10.18546/RET.30.3.05" TargetMode="External"/><Relationship Id="rId5" Type="http://schemas.openxmlformats.org/officeDocument/2006/relationships/hyperlink" Target="http://www.deenway.org" TargetMode="External"/><Relationship Id="rId15" Type="http://schemas.openxmlformats.org/officeDocument/2006/relationships/hyperlink" Target="https://www.womensmuslimcollege.com" TargetMode="External"/><Relationship Id="rId10" Type="http://schemas.openxmlformats.org/officeDocument/2006/relationships/hyperlink" Target="https://quran.com/3/190" TargetMode="External"/><Relationship Id="rId4" Type="http://schemas.openxmlformats.org/officeDocument/2006/relationships/hyperlink" Target="http://link.galegroup.com/apps/doc/CX3403500132/GVRL?u=walamp&amp;sid=GVRL&amp;xid=f7696689" TargetMode="External"/><Relationship Id="rId9" Type="http://schemas.openxmlformats.org/officeDocument/2006/relationships/hyperlink" Target="https://doi.org/10.1177/1477878518779668" TargetMode="External"/><Relationship Id="rId14" Type="http://schemas.openxmlformats.org/officeDocument/2006/relationships/hyperlink" Target="http://link.galegroup.com/apps/doc/CX3403500282/GVRL?u=walamp&amp;sid=GVRL&amp;xid=bfe24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4</Pages>
  <Words>1722</Words>
  <Characters>9351</Characters>
  <Application>Microsoft Office Word</Application>
  <DocSecurity>0</DocSecurity>
  <Lines>124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2019-05-19T15:18:00Z</dcterms:created>
  <dcterms:modified xsi:type="dcterms:W3CDTF">2019-05-20T11:28:00Z</dcterms:modified>
</cp:coreProperties>
</file>