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2EE71" w14:textId="287B7AA9" w:rsidR="00DC4E56" w:rsidRDefault="00DC4E56" w:rsidP="00DC4E56">
      <w:pPr>
        <w:spacing w:before="120" w:line="277" w:lineRule="auto"/>
        <w:textDirection w:val="btLr"/>
      </w:pPr>
      <w:r>
        <w:rPr>
          <w:color w:val="404040"/>
          <w:sz w:val="36"/>
        </w:rPr>
        <w:t>Module Name: Introduction to Health and Social Care</w:t>
      </w:r>
    </w:p>
    <w:p w14:paraId="01722EA2" w14:textId="4148191E" w:rsidR="00DC4E56" w:rsidRDefault="00DC4E56" w:rsidP="00DC4E56">
      <w:pPr>
        <w:spacing w:before="120" w:line="277" w:lineRule="auto"/>
        <w:textDirection w:val="btLr"/>
      </w:pPr>
      <w:r>
        <w:rPr>
          <w:color w:val="404040"/>
          <w:sz w:val="36"/>
        </w:rPr>
        <w:t>Module Code: LCHS 4003</w:t>
      </w:r>
    </w:p>
    <w:p w14:paraId="1473BE91" w14:textId="77777777" w:rsidR="00DC4E56" w:rsidRDefault="00DC4E56" w:rsidP="00DC4E56">
      <w:pPr>
        <w:spacing w:before="120" w:line="277" w:lineRule="auto"/>
        <w:textDirection w:val="btLr"/>
      </w:pPr>
      <w:r>
        <w:rPr>
          <w:color w:val="404040"/>
          <w:sz w:val="36"/>
        </w:rPr>
        <w:t>Student name: Yrlene Elie</w:t>
      </w:r>
    </w:p>
    <w:p w14:paraId="37627F9E" w14:textId="77777777" w:rsidR="00DC4E56" w:rsidRDefault="00DC4E56" w:rsidP="00DC4E56">
      <w:pPr>
        <w:spacing w:before="120" w:line="277" w:lineRule="auto"/>
        <w:textDirection w:val="btLr"/>
      </w:pPr>
      <w:r>
        <w:rPr>
          <w:color w:val="404040"/>
          <w:sz w:val="36"/>
        </w:rPr>
        <w:t>Student ID: 2430828</w:t>
      </w:r>
    </w:p>
    <w:p w14:paraId="58C6A58E" w14:textId="6BEBD03E" w:rsidR="00DC4E56" w:rsidRDefault="00DC4E56" w:rsidP="00DC4E56">
      <w:pPr>
        <w:spacing w:before="120" w:line="277" w:lineRule="auto"/>
        <w:textDirection w:val="btLr"/>
      </w:pPr>
      <w:r>
        <w:rPr>
          <w:color w:val="404040"/>
          <w:sz w:val="36"/>
        </w:rPr>
        <w:t xml:space="preserve">Lecturer’s Name: Brian Mashumba </w:t>
      </w:r>
    </w:p>
    <w:p w14:paraId="49AC26EB" w14:textId="77777777" w:rsidR="00DC4E56" w:rsidRDefault="00DC4E56"/>
    <w:p w14:paraId="25C4E6C6" w14:textId="77777777" w:rsidR="00DC4E56" w:rsidRDefault="00DC4E56"/>
    <w:p w14:paraId="67C7297D" w14:textId="77777777" w:rsidR="00DC4E56" w:rsidRDefault="00DC4E56"/>
    <w:p w14:paraId="433D44CF" w14:textId="77777777" w:rsidR="00DC4E56" w:rsidRDefault="00DC4E56"/>
    <w:p w14:paraId="3D363186" w14:textId="77777777" w:rsidR="00DC4E56" w:rsidRDefault="00DC4E56"/>
    <w:p w14:paraId="79C5D341" w14:textId="77777777" w:rsidR="00DC4E56" w:rsidRDefault="00DC4E56"/>
    <w:p w14:paraId="65E77681" w14:textId="77777777" w:rsidR="00DC4E56" w:rsidRDefault="00DC4E56"/>
    <w:p w14:paraId="2F549B39" w14:textId="77777777" w:rsidR="00DC4E56" w:rsidRDefault="00DC4E56"/>
    <w:p w14:paraId="61292FB9" w14:textId="77777777" w:rsidR="00DC4E56" w:rsidRDefault="00DC4E56"/>
    <w:p w14:paraId="42FCD122" w14:textId="77777777" w:rsidR="00DC4E56" w:rsidRDefault="00DC4E56"/>
    <w:p w14:paraId="46470403" w14:textId="77777777" w:rsidR="00DC4E56" w:rsidRDefault="00DC4E56"/>
    <w:p w14:paraId="7D5CDAA6" w14:textId="77777777" w:rsidR="00DC4E56" w:rsidRDefault="00DC4E56"/>
    <w:p w14:paraId="39F00079" w14:textId="77777777" w:rsidR="00DC4E56" w:rsidRDefault="00DC4E56"/>
    <w:p w14:paraId="3921F52F" w14:textId="77777777" w:rsidR="00DC4E56" w:rsidRDefault="00DC4E56"/>
    <w:p w14:paraId="1B4830A7" w14:textId="77777777" w:rsidR="00DC4E56" w:rsidRDefault="00DC4E56"/>
    <w:p w14:paraId="18CB5BC1" w14:textId="77777777" w:rsidR="00DC4E56" w:rsidRDefault="00DC4E56"/>
    <w:p w14:paraId="26D51B99" w14:textId="77777777" w:rsidR="00DC4E56" w:rsidRDefault="00DC4E56"/>
    <w:p w14:paraId="3991F0D4" w14:textId="77777777" w:rsidR="00DC4E56" w:rsidRDefault="00DC4E56"/>
    <w:p w14:paraId="18779D72" w14:textId="77777777" w:rsidR="00DC4E56" w:rsidRDefault="00DC4E56"/>
    <w:p w14:paraId="08E5A51B" w14:textId="77777777" w:rsidR="00DC4E56" w:rsidRDefault="00DC4E56"/>
    <w:p w14:paraId="1DBF58E7" w14:textId="77777777" w:rsidR="00DC4E56" w:rsidRDefault="00DC4E56"/>
    <w:p w14:paraId="6AF17374" w14:textId="37B24548" w:rsidR="003C7E8A" w:rsidRDefault="00B95E72">
      <w:r>
        <w:lastRenderedPageBreak/>
        <w:t>Introduction</w:t>
      </w:r>
    </w:p>
    <w:p w14:paraId="125A9093" w14:textId="77777777" w:rsidR="00A4253B" w:rsidRDefault="00A4253B">
      <w:r w:rsidRPr="00A4253B">
        <w:t>High</w:t>
      </w:r>
      <w:r w:rsidRPr="00A4253B">
        <w:noBreakHyphen/>
        <w:t xml:space="preserve">quality health and social care depends on the integration of effective communication, robust administrative </w:t>
      </w:r>
      <w:proofErr w:type="gramStart"/>
      <w:r w:rsidRPr="00A4253B">
        <w:t>practice</w:t>
      </w:r>
      <w:proofErr w:type="gramEnd"/>
      <w:r w:rsidRPr="00A4253B">
        <w:t xml:space="preserve"> and strong collaborative working. These elements are essential for ensuring safe, person</w:t>
      </w:r>
      <w:r w:rsidRPr="00A4253B">
        <w:noBreakHyphen/>
        <w:t>centred care, particularly for individuals with complex needs or communication barriers. This report examines these three areas in relation to Mrs Mann, an older woman recovering from hip surgery who has limited English proficiency and requires coordinated support from multiple professionals. Drawing on relevant legislation, communication theory, quality frameworks and sector</w:t>
      </w:r>
      <w:r w:rsidRPr="00A4253B">
        <w:noBreakHyphen/>
        <w:t xml:space="preserve">specific literature, the report evaluates how these principles can </w:t>
      </w:r>
      <w:proofErr w:type="gramStart"/>
      <w:r w:rsidRPr="00A4253B">
        <w:t>be applied</w:t>
      </w:r>
      <w:proofErr w:type="gramEnd"/>
      <w:r w:rsidRPr="00A4253B">
        <w:t xml:space="preserve"> to ensure that Mrs Mann receives safe, equitable and empowering care.</w:t>
      </w:r>
    </w:p>
    <w:p w14:paraId="6619F0DC" w14:textId="08DFF22E" w:rsidR="00A01ACB" w:rsidRDefault="001551B0">
      <w:r>
        <w:t>1.</w:t>
      </w:r>
      <w:r w:rsidR="00B95E72">
        <w:t>1</w:t>
      </w:r>
    </w:p>
    <w:p w14:paraId="6E864092" w14:textId="2EB48258" w:rsidR="00BF7CB6" w:rsidRDefault="00BF7CB6">
      <w:r w:rsidRPr="00BF7CB6">
        <w:t>Communication is fundamental to safe and compassionate care. In health and social care settings, communication is not simply the exchange of information but a relational process that shapes trust, understanding and decision</w:t>
      </w:r>
      <w:r w:rsidRPr="00BF7CB6">
        <w:noBreakHyphen/>
        <w:t xml:space="preserve">making (Lee, 2021). For Mrs Mann, effective communication is essential to ensure she understands her treatment, participates in </w:t>
      </w:r>
      <w:proofErr w:type="gramStart"/>
      <w:r w:rsidRPr="00BF7CB6">
        <w:t>decisions</w:t>
      </w:r>
      <w:proofErr w:type="gramEnd"/>
      <w:r w:rsidRPr="00BF7CB6">
        <w:t xml:space="preserve"> and feels respected during her recovery. Poor communication can lead to anxiety, misunderstanding, reduced </w:t>
      </w:r>
      <w:proofErr w:type="gramStart"/>
      <w:r w:rsidRPr="00BF7CB6">
        <w:t>autonomy</w:t>
      </w:r>
      <w:proofErr w:type="gramEnd"/>
      <w:r w:rsidRPr="00BF7CB6">
        <w:t xml:space="preserve"> and unsafe care (NHS, 2021). Given her limited English, the risk of miscommunication </w:t>
      </w:r>
      <w:proofErr w:type="gramStart"/>
      <w:r w:rsidRPr="00BF7CB6">
        <w:t>is heightened</w:t>
      </w:r>
      <w:proofErr w:type="gramEnd"/>
      <w:r w:rsidRPr="00BF7CB6">
        <w:t>, making it vital that staff adapt their communication methods to meet her needs. Effective communication also supports emotional wellbeing, as service users often experience fear or uncertainty during illness (White, 2021). Creating space for Mrs Mann to express concerns and ask questions is therefore central to person</w:t>
      </w:r>
      <w:r w:rsidRPr="00BF7CB6">
        <w:noBreakHyphen/>
        <w:t>centred practice.</w:t>
      </w:r>
      <w:r>
        <w:t xml:space="preserve"> </w:t>
      </w:r>
      <w:r w:rsidRPr="00BF7CB6">
        <w:t xml:space="preserve">The Equality Act 2010 requires health and social care providers to make reasonable adjustments to remove barriers for individuals with protected characteristics, including race, </w:t>
      </w:r>
      <w:proofErr w:type="gramStart"/>
      <w:r w:rsidRPr="00BF7CB6">
        <w:t>ethnicity</w:t>
      </w:r>
      <w:proofErr w:type="gramEnd"/>
      <w:r w:rsidRPr="00BF7CB6">
        <w:t xml:space="preserve"> and disability. Language barriers fall within this remit, meaning Mrs Mann must </w:t>
      </w:r>
      <w:proofErr w:type="gramStart"/>
      <w:r w:rsidRPr="00BF7CB6">
        <w:t>be supported</w:t>
      </w:r>
      <w:proofErr w:type="gramEnd"/>
      <w:r w:rsidRPr="00BF7CB6">
        <w:t xml:space="preserve"> with accessible communication methods. Reasonable adjustments may include translated materials, visual </w:t>
      </w:r>
      <w:proofErr w:type="gramStart"/>
      <w:r w:rsidRPr="00BF7CB6">
        <w:t>aids</w:t>
      </w:r>
      <w:proofErr w:type="gramEnd"/>
      <w:r w:rsidRPr="00BF7CB6">
        <w:t xml:space="preserve"> or a professional interpreter. These adjustments are legal obligations designed to ensure fairness, </w:t>
      </w:r>
      <w:proofErr w:type="gramStart"/>
      <w:r w:rsidRPr="00BF7CB6">
        <w:t>dignity</w:t>
      </w:r>
      <w:proofErr w:type="gramEnd"/>
      <w:r w:rsidRPr="00BF7CB6">
        <w:t xml:space="preserve"> and equal access to care. Without them, Mrs Mann would be unable to fully understand her treatment or exercise her rights, undermining the principle of person</w:t>
      </w:r>
      <w:r w:rsidRPr="00BF7CB6">
        <w:noBreakHyphen/>
        <w:t>centred care. The Act also emphasises the importance of non</w:t>
      </w:r>
      <w:r w:rsidRPr="00BF7CB6">
        <w:noBreakHyphen/>
        <w:t>discriminatory practice, requiring staff to treat individuals with respect and cultural sensitivity. This is particularly relevant for Mrs Mann, whose cultural background may influence her communication preferences and expectations of care.</w:t>
      </w:r>
      <w:r w:rsidR="000235E4">
        <w:t xml:space="preserve"> </w:t>
      </w:r>
      <w:r w:rsidR="000235E4" w:rsidRPr="000235E4">
        <w:t xml:space="preserve">Berlo’s (1960) SMCR model provides a useful framework for understanding how communication can be adapted to meet Mrs Mann’s needs. The model emphasises the importance of the sender, message, </w:t>
      </w:r>
      <w:proofErr w:type="gramStart"/>
      <w:r w:rsidR="000235E4" w:rsidRPr="000235E4">
        <w:t>channel</w:t>
      </w:r>
      <w:proofErr w:type="gramEnd"/>
      <w:r w:rsidR="000235E4" w:rsidRPr="000235E4">
        <w:t xml:space="preserve"> and receiver. In this context, the care worker (sender) must ensure that the message is clear, culturally </w:t>
      </w:r>
      <w:proofErr w:type="gramStart"/>
      <w:r w:rsidR="000235E4" w:rsidRPr="000235E4">
        <w:t>sensitive</w:t>
      </w:r>
      <w:proofErr w:type="gramEnd"/>
      <w:r w:rsidR="000235E4" w:rsidRPr="000235E4">
        <w:t xml:space="preserve"> and free from jargon. The channel may need to include visual aids, </w:t>
      </w:r>
      <w:proofErr w:type="gramStart"/>
      <w:r w:rsidR="000235E4" w:rsidRPr="000235E4">
        <w:t>gestures</w:t>
      </w:r>
      <w:proofErr w:type="gramEnd"/>
      <w:r w:rsidR="000235E4" w:rsidRPr="000235E4">
        <w:t xml:space="preserve"> or interpreter support to ensure accessibility. The receiver</w:t>
      </w:r>
      <w:r w:rsidR="000235E4">
        <w:t xml:space="preserve"> </w:t>
      </w:r>
      <w:r w:rsidR="000235E4" w:rsidRPr="000235E4">
        <w:t>Mrs Mann</w:t>
      </w:r>
      <w:r w:rsidR="000235E4">
        <w:t xml:space="preserve"> </w:t>
      </w:r>
      <w:r w:rsidR="000235E4" w:rsidRPr="000235E4">
        <w:t xml:space="preserve">must </w:t>
      </w:r>
      <w:proofErr w:type="gramStart"/>
      <w:r w:rsidR="000235E4" w:rsidRPr="000235E4">
        <w:t>be supported</w:t>
      </w:r>
      <w:proofErr w:type="gramEnd"/>
      <w:r w:rsidR="000235E4" w:rsidRPr="000235E4">
        <w:t xml:space="preserve"> </w:t>
      </w:r>
      <w:r w:rsidR="000235E4" w:rsidRPr="000235E4">
        <w:lastRenderedPageBreak/>
        <w:t xml:space="preserve">to provide feedback, ensuring mutual understanding. Berlo’s model also highlights the influence of social systems, </w:t>
      </w:r>
      <w:proofErr w:type="gramStart"/>
      <w:r w:rsidR="000235E4" w:rsidRPr="000235E4">
        <w:t>attitudes</w:t>
      </w:r>
      <w:proofErr w:type="gramEnd"/>
      <w:r w:rsidR="000235E4" w:rsidRPr="000235E4">
        <w:t xml:space="preserve"> and cultural background, all of which are relevant to Mrs Mann’s experience as an older woman from a minority ethnic background. This model therefore reinforces the need for active listening, </w:t>
      </w:r>
      <w:proofErr w:type="gramStart"/>
      <w:r w:rsidR="000235E4" w:rsidRPr="000235E4">
        <w:t>patience</w:t>
      </w:r>
      <w:proofErr w:type="gramEnd"/>
      <w:r w:rsidR="000235E4" w:rsidRPr="000235E4">
        <w:t xml:space="preserve"> and culturally competent practice. However, Berlo’s model has limitations, as it assumes similarity between sender and receiver, which may not be the case in diverse care settings. This highlights the importance of cultural competence and adaptability in communication.</w:t>
      </w:r>
      <w:r w:rsidR="006C08AA">
        <w:t xml:space="preserve"> </w:t>
      </w:r>
      <w:r w:rsidR="006C08AA" w:rsidRPr="006C08AA">
        <w:t xml:space="preserve">Consent is a core principle underpinning ethical and legal practice. For consent to be valid, it must </w:t>
      </w:r>
      <w:proofErr w:type="gramStart"/>
      <w:r w:rsidR="006C08AA" w:rsidRPr="006C08AA">
        <w:t>be informed</w:t>
      </w:r>
      <w:proofErr w:type="gramEnd"/>
      <w:r w:rsidR="006C08AA" w:rsidRPr="006C08AA">
        <w:t xml:space="preserve">, voluntary and given by an individual with capacity (Mental Capacity Act 2005). Mrs Mann has no indication of impaired capacity, meaning she must make her own decisions. She must understand what she is consenting to, including who will interpret for her and how her information will </w:t>
      </w:r>
      <w:proofErr w:type="gramStart"/>
      <w:r w:rsidR="006C08AA" w:rsidRPr="006C08AA">
        <w:t>be shared</w:t>
      </w:r>
      <w:proofErr w:type="gramEnd"/>
      <w:r w:rsidR="006C08AA" w:rsidRPr="006C08AA">
        <w:t xml:space="preserve">. If her daughter is to </w:t>
      </w:r>
      <w:proofErr w:type="gramStart"/>
      <w:r w:rsidR="006C08AA" w:rsidRPr="006C08AA">
        <w:t>act as</w:t>
      </w:r>
      <w:proofErr w:type="gramEnd"/>
      <w:r w:rsidR="006C08AA" w:rsidRPr="006C08AA">
        <w:t xml:space="preserve"> an interpreter, Mrs Mann must give explicit consent, understanding the implications for confidentiality. The Common Law Duty of Confidentiality requires that information </w:t>
      </w:r>
      <w:proofErr w:type="gramStart"/>
      <w:r w:rsidR="00A4698E" w:rsidRPr="006C08AA">
        <w:t>be</w:t>
      </w:r>
      <w:r w:rsidR="006C08AA" w:rsidRPr="006C08AA">
        <w:t xml:space="preserve"> shared</w:t>
      </w:r>
      <w:proofErr w:type="gramEnd"/>
      <w:r w:rsidR="006C08AA" w:rsidRPr="006C08AA">
        <w:t xml:space="preserve"> only with consent or when legally justified. Ensuring Mrs Mann understands her rights protects her autonomy and dignity. Consent is also an ongoing process, meaning Mrs Mann can withdraw consent at any time, reinforcing her control over her care.</w:t>
      </w:r>
      <w:r w:rsidR="006C08AA">
        <w:t xml:space="preserve"> </w:t>
      </w:r>
      <w:r w:rsidR="00450B13" w:rsidRPr="00450B13">
        <w:t>A person</w:t>
      </w:r>
      <w:r w:rsidR="00450B13" w:rsidRPr="00450B13">
        <w:noBreakHyphen/>
        <w:t>centred approach places the individual at the heart of decision</w:t>
      </w:r>
      <w:r w:rsidR="00450B13" w:rsidRPr="00450B13">
        <w:noBreakHyphen/>
        <w:t xml:space="preserve">making. For Mrs Mann, this means recognising her cultural background, communication </w:t>
      </w:r>
      <w:proofErr w:type="gramStart"/>
      <w:r w:rsidR="00450B13" w:rsidRPr="00450B13">
        <w:t>preferences</w:t>
      </w:r>
      <w:proofErr w:type="gramEnd"/>
      <w:r w:rsidR="00450B13" w:rsidRPr="00450B13">
        <w:t xml:space="preserve"> and desire for independence. Empowerment, as described by Maclean (2015), involves giving individuals control over decisions that affect their lives. Effective communication is a key mechanism for empowerment, enabling Mrs Mann to express her preferences, ask questions and participate actively in her care. Using her preferred communication methods, offering </w:t>
      </w:r>
      <w:proofErr w:type="gramStart"/>
      <w:r w:rsidR="00450B13" w:rsidRPr="00450B13">
        <w:t>choices</w:t>
      </w:r>
      <w:proofErr w:type="gramEnd"/>
      <w:r w:rsidR="00450B13" w:rsidRPr="00450B13">
        <w:t xml:space="preserve"> and involving her in care planning all contribute to a sense of control and dignity. This aligns with the values of respect, equality and partnership emphasised throughout your module. Empowerment also supports recovery by increasing confidence, </w:t>
      </w:r>
      <w:proofErr w:type="gramStart"/>
      <w:r w:rsidR="00450B13" w:rsidRPr="00450B13">
        <w:t>motivation</w:t>
      </w:r>
      <w:proofErr w:type="gramEnd"/>
      <w:r w:rsidR="00450B13" w:rsidRPr="00450B13">
        <w:t xml:space="preserve"> and engagement with treatment.</w:t>
      </w:r>
    </w:p>
    <w:p w14:paraId="41475B3A" w14:textId="37A7C410" w:rsidR="00944527" w:rsidRDefault="00350383">
      <w:r>
        <w:t>1.</w:t>
      </w:r>
      <w:r w:rsidR="00B95E72">
        <w:t>2</w:t>
      </w:r>
    </w:p>
    <w:p w14:paraId="6C9113C4" w14:textId="113CDED1" w:rsidR="00350383" w:rsidRDefault="00CF6384">
      <w:r w:rsidRPr="00CF6384">
        <w:t>Administrative skills are fundamental to safe and effective practice. In Mrs Mann’s case, a recent documentation error resulted in a delay to her medication adjustment, demonstrating how poor record</w:t>
      </w:r>
      <w:r w:rsidRPr="00CF6384">
        <w:noBreakHyphen/>
        <w:t>keeping can directly compromise safety. Administrative tasks underpin continuity of care, accountability and informed decision</w:t>
      </w:r>
      <w:r w:rsidRPr="00CF6384">
        <w:noBreakHyphen/>
        <w:t>making. They ensure that all professionals involved in Mrs Mann’s care have accurate, up</w:t>
      </w:r>
      <w:r w:rsidRPr="00CF6384">
        <w:noBreakHyphen/>
        <w:t>to</w:t>
      </w:r>
      <w:r w:rsidRPr="00CF6384">
        <w:noBreakHyphen/>
        <w:t xml:space="preserve">date information, reducing the risk of duplication, conflicting </w:t>
      </w:r>
      <w:proofErr w:type="gramStart"/>
      <w:r w:rsidRPr="00CF6384">
        <w:t>advice</w:t>
      </w:r>
      <w:proofErr w:type="gramEnd"/>
      <w:r w:rsidRPr="00CF6384">
        <w:t xml:space="preserve"> or omissions. Administrative competence also reflects professional responsibility, as accurate documentation is a legal and ethical requirement.</w:t>
      </w:r>
      <w:r>
        <w:t xml:space="preserve"> </w:t>
      </w:r>
      <w:r w:rsidRPr="00CF6384">
        <w:t>Record</w:t>
      </w:r>
      <w:r w:rsidRPr="00CF6384">
        <w:noBreakHyphen/>
        <w:t xml:space="preserve">keeping </w:t>
      </w:r>
      <w:proofErr w:type="gramStart"/>
      <w:r w:rsidRPr="00CF6384">
        <w:t>is governed</w:t>
      </w:r>
      <w:proofErr w:type="gramEnd"/>
      <w:r w:rsidRPr="00CF6384">
        <w:t xml:space="preserve"> by the Data Protection Act 2018, GDPR and the Common Law Duty of Confidentiality. These frameworks require that personal data </w:t>
      </w:r>
      <w:proofErr w:type="gramStart"/>
      <w:r w:rsidRPr="00CF6384">
        <w:t>is</w:t>
      </w:r>
      <w:proofErr w:type="gramEnd"/>
      <w:r w:rsidRPr="00CF6384">
        <w:t xml:space="preserve"> processed lawfully, </w:t>
      </w:r>
      <w:r w:rsidR="00912BF8" w:rsidRPr="00CF6384">
        <w:t>fairly,</w:t>
      </w:r>
      <w:r w:rsidRPr="00CF6384">
        <w:t xml:space="preserve"> and transparently. Mrs Mann’s records must be accurate, </w:t>
      </w:r>
      <w:r w:rsidR="00912BF8" w:rsidRPr="00CF6384">
        <w:t>secure,</w:t>
      </w:r>
      <w:r w:rsidRPr="00CF6384">
        <w:t xml:space="preserve"> and accessible only to </w:t>
      </w:r>
      <w:r w:rsidRPr="00CF6384">
        <w:lastRenderedPageBreak/>
        <w:t xml:space="preserve">authorised professionals. She must also </w:t>
      </w:r>
      <w:proofErr w:type="gramStart"/>
      <w:r w:rsidRPr="00CF6384">
        <w:t>be informed</w:t>
      </w:r>
      <w:proofErr w:type="gramEnd"/>
      <w:r w:rsidRPr="00CF6384">
        <w:t xml:space="preserve"> about how her data </w:t>
      </w:r>
      <w:proofErr w:type="gramStart"/>
      <w:r w:rsidRPr="00CF6384">
        <w:t>is used</w:t>
      </w:r>
      <w:proofErr w:type="gramEnd"/>
      <w:r w:rsidRPr="00CF6384">
        <w:t xml:space="preserve"> and shared. GDPR emphasises data minimisation, meaning only relevant information should </w:t>
      </w:r>
      <w:proofErr w:type="gramStart"/>
      <w:r w:rsidRPr="00CF6384">
        <w:t>be recorded</w:t>
      </w:r>
      <w:proofErr w:type="gramEnd"/>
      <w:r w:rsidRPr="00CF6384">
        <w:t xml:space="preserve">. These principles protect Mrs Mann’s privacy and ensure that her information is </w:t>
      </w:r>
      <w:proofErr w:type="gramStart"/>
      <w:r w:rsidRPr="00CF6384">
        <w:t>handled</w:t>
      </w:r>
      <w:proofErr w:type="gramEnd"/>
      <w:r w:rsidRPr="00CF6384">
        <w:t xml:space="preserve"> ethically and legally. Failure to comply with these frameworks can result in legal consequences and undermine trust in care services.</w:t>
      </w:r>
      <w:r w:rsidR="00BC0559">
        <w:t xml:space="preserve"> </w:t>
      </w:r>
      <w:r w:rsidR="00BC0559" w:rsidRPr="00BC0559">
        <w:t>Good record</w:t>
      </w:r>
      <w:r w:rsidR="00BC0559" w:rsidRPr="00BC0559">
        <w:noBreakHyphen/>
        <w:t>keeping is person</w:t>
      </w:r>
      <w:r w:rsidR="00BC0559" w:rsidRPr="00BC0559">
        <w:noBreakHyphen/>
        <w:t>centred, accurate, timely and evidence</w:t>
      </w:r>
      <w:r w:rsidR="00BC0559" w:rsidRPr="00BC0559">
        <w:noBreakHyphen/>
        <w:t xml:space="preserve">based (SCIE, 2023). Records should reflect Mrs Mann’s voice, preferences and lived experiences, not just clinical tasks. Hoyle et al. (2019) argue that records shape identity and memory, meaning they must </w:t>
      </w:r>
      <w:proofErr w:type="gramStart"/>
      <w:r w:rsidR="00BC0559" w:rsidRPr="00BC0559">
        <w:t>be written</w:t>
      </w:r>
      <w:proofErr w:type="gramEnd"/>
      <w:r w:rsidR="00BC0559" w:rsidRPr="00BC0559">
        <w:t xml:space="preserve"> respectfully and holistically. Clear, jargon</w:t>
      </w:r>
      <w:r w:rsidR="00BC0559" w:rsidRPr="00BC0559">
        <w:noBreakHyphen/>
        <w:t xml:space="preserve">free language ensures that records can </w:t>
      </w:r>
      <w:proofErr w:type="gramStart"/>
      <w:r w:rsidR="00BC0559" w:rsidRPr="00BC0559">
        <w:t>be understood</w:t>
      </w:r>
      <w:proofErr w:type="gramEnd"/>
      <w:r w:rsidR="00BC0559" w:rsidRPr="00BC0559">
        <w:t xml:space="preserve"> by all professionals involved. Reading previous entries is essential to maintain continuity and avoid errors. High</w:t>
      </w:r>
      <w:r w:rsidR="00BC0559" w:rsidRPr="00BC0559">
        <w:noBreakHyphen/>
        <w:t>quality records also support co</w:t>
      </w:r>
      <w:r w:rsidR="00BC0559" w:rsidRPr="00BC0559">
        <w:noBreakHyphen/>
        <w:t>production, enabling Mrs Mann to be involved in decisions about her care.</w:t>
      </w:r>
      <w:r w:rsidR="00E63C65">
        <w:t xml:space="preserve"> </w:t>
      </w:r>
      <w:r w:rsidR="00E63C65" w:rsidRPr="00E63C65">
        <w:t>The documentation error in Mrs Mann’s case highlights the risks of poor administrative practice. Inaccurate or incomplete records can lead to medication errors, delays in treatment, miscommunication between professionals and reduced trust from service users. Serious case reviews have repeatedly shown that poor record</w:t>
      </w:r>
      <w:r w:rsidR="00E63C65" w:rsidRPr="00E63C65">
        <w:noBreakHyphen/>
        <w:t>keeping contributes to safeguarding failures and unsafe care (Hoyle et al., 2019). Ensuring accuracy, consistency and timeliness is therefore essential for protecting Mrs Mann’s wellbeing. Poor documentation also undermines accountability, making it difficult to trace decisions or identify areas for improvement.</w:t>
      </w:r>
      <w:r w:rsidR="00282E64">
        <w:t xml:space="preserve"> </w:t>
      </w:r>
      <w:r w:rsidR="00282E64" w:rsidRPr="00282E64">
        <w:t>Governance frameworks, such as those provided by the CQC, NICE and DHSC, set standards for quality and safety. The CQC’s Fundamental Standards emphasise person</w:t>
      </w:r>
      <w:r w:rsidR="00282E64" w:rsidRPr="00282E64">
        <w:noBreakHyphen/>
        <w:t xml:space="preserve">centred care, dignity, </w:t>
      </w:r>
      <w:r w:rsidR="00AE2A50" w:rsidRPr="00282E64">
        <w:t>safety,</w:t>
      </w:r>
      <w:r w:rsidR="00282E64" w:rsidRPr="00282E64">
        <w:t xml:space="preserve"> and transparency. Quality assurance processes ensure that services </w:t>
      </w:r>
      <w:proofErr w:type="gramStart"/>
      <w:r w:rsidR="00282E64" w:rsidRPr="00282E64">
        <w:t>are fit</w:t>
      </w:r>
      <w:proofErr w:type="gramEnd"/>
      <w:r w:rsidR="00282E64" w:rsidRPr="00282E64">
        <w:t xml:space="preserve"> for purpose, </w:t>
      </w:r>
      <w:proofErr w:type="gramStart"/>
      <w:r w:rsidR="00282E64" w:rsidRPr="00282E64">
        <w:t>reliable</w:t>
      </w:r>
      <w:proofErr w:type="gramEnd"/>
      <w:r w:rsidR="00282E64" w:rsidRPr="00282E64">
        <w:t xml:space="preserve"> and accountable. For Mrs Mann, this means that her care must </w:t>
      </w:r>
      <w:proofErr w:type="gramStart"/>
      <w:r w:rsidR="00282E64" w:rsidRPr="00282E64">
        <w:t>be delivered</w:t>
      </w:r>
      <w:proofErr w:type="gramEnd"/>
      <w:r w:rsidR="00282E64" w:rsidRPr="00282E64">
        <w:t xml:space="preserve"> in line with national standards, with clear audit trails and robust systems for monitoring performance. Good governance supports safe, </w:t>
      </w:r>
      <w:r w:rsidR="00AE2A50" w:rsidRPr="00282E64">
        <w:t>coordinated,</w:t>
      </w:r>
      <w:r w:rsidR="00282E64" w:rsidRPr="00282E64">
        <w:t xml:space="preserve"> and high</w:t>
      </w:r>
      <w:r w:rsidR="00282E64" w:rsidRPr="00282E64">
        <w:noBreakHyphen/>
        <w:t>quality care. It also promotes a culture of continuous improvement, encouraging staff to reflect on practice and identify areas for development.</w:t>
      </w:r>
    </w:p>
    <w:p w14:paraId="4C320EAA" w14:textId="0CD18683" w:rsidR="00282E64" w:rsidRDefault="00282E64">
      <w:r>
        <w:t>1.3</w:t>
      </w:r>
    </w:p>
    <w:p w14:paraId="7FAB1483" w14:textId="008D6E91" w:rsidR="00282E64" w:rsidRDefault="00247A01">
      <w:r w:rsidRPr="00247A01">
        <w:t xml:space="preserve">Mrs Mann’s recovery involves multiple professionals, including her GP, </w:t>
      </w:r>
      <w:r w:rsidR="00AE2A50" w:rsidRPr="00247A01">
        <w:t>physiotherapist,</w:t>
      </w:r>
      <w:r w:rsidRPr="00247A01">
        <w:t xml:space="preserve"> and care workers. Partnership working brings together different skills, </w:t>
      </w:r>
      <w:r w:rsidR="00AE2A50" w:rsidRPr="00247A01">
        <w:t>expertise,</w:t>
      </w:r>
      <w:r w:rsidRPr="00247A01">
        <w:t xml:space="preserve"> and perspectives to meet her needs holistically. Glasby and Dickinson (2014) argue that collaboration improves outcomes, reduces </w:t>
      </w:r>
      <w:r w:rsidR="00AE2A50" w:rsidRPr="00247A01">
        <w:t>duplication,</w:t>
      </w:r>
      <w:r w:rsidRPr="00247A01">
        <w:t xml:space="preserve"> and enhances efficiency. For Mrs Mann, coordinated care ensures that her rehabilitation plan is consistent and aligned across agencies. Partnership working also supports person</w:t>
      </w:r>
      <w:r w:rsidRPr="00247A01">
        <w:noBreakHyphen/>
        <w:t>centred care by ensuring that all professionals understand and respect her preferences.</w:t>
      </w:r>
      <w:r>
        <w:t xml:space="preserve"> </w:t>
      </w:r>
      <w:r w:rsidRPr="00247A01">
        <w:t xml:space="preserve">Effective collaboration requires clear communication, shared care </w:t>
      </w:r>
      <w:r w:rsidR="00AE2A50" w:rsidRPr="00247A01">
        <w:t>plans,</w:t>
      </w:r>
      <w:r w:rsidRPr="00247A01">
        <w:t xml:space="preserve"> and regular multi</w:t>
      </w:r>
      <w:r w:rsidRPr="00247A01">
        <w:noBreakHyphen/>
        <w:t>disciplinary team (MDT) meetings. Shared digital records, where available, support timely information</w:t>
      </w:r>
      <w:r w:rsidRPr="00247A01">
        <w:noBreakHyphen/>
        <w:t xml:space="preserve">sharing and reduce the risk of errors. Professionals must understand their roles and responsibilities, working towards shared goals. In Mrs </w:t>
      </w:r>
      <w:r w:rsidRPr="00247A01">
        <w:lastRenderedPageBreak/>
        <w:t xml:space="preserve">Mann’s case, this means ensuring that her physiotherapy progress, medication </w:t>
      </w:r>
      <w:r w:rsidR="00AE2A50" w:rsidRPr="00247A01">
        <w:t>changes,</w:t>
      </w:r>
      <w:r w:rsidRPr="00247A01">
        <w:t xml:space="preserve"> and daily care needs </w:t>
      </w:r>
      <w:proofErr w:type="gramStart"/>
      <w:r w:rsidRPr="00247A01">
        <w:t>are communicated</w:t>
      </w:r>
      <w:proofErr w:type="gramEnd"/>
      <w:r w:rsidRPr="00247A01">
        <w:t xml:space="preserve"> consistently. Collaboration also requires mutual respect, </w:t>
      </w:r>
      <w:r w:rsidR="003C5D17" w:rsidRPr="00247A01">
        <w:t>trust,</w:t>
      </w:r>
      <w:r w:rsidRPr="00247A01">
        <w:t xml:space="preserve"> and a shared commitment to achieving the best outcomes for the service user.</w:t>
      </w:r>
      <w:r>
        <w:t xml:space="preserve"> </w:t>
      </w:r>
      <w:r w:rsidRPr="00247A01">
        <w:t xml:space="preserve">Collaboration can </w:t>
      </w:r>
      <w:proofErr w:type="gramStart"/>
      <w:r w:rsidRPr="00247A01">
        <w:t>be hindered</w:t>
      </w:r>
      <w:proofErr w:type="gramEnd"/>
      <w:r w:rsidRPr="00247A01">
        <w:t xml:space="preserve"> by organisational culture, communication breakdowns and inconsistent record</w:t>
      </w:r>
      <w:r w:rsidRPr="00247A01">
        <w:noBreakHyphen/>
        <w:t xml:space="preserve">keeping. Language barriers may also affect how information </w:t>
      </w:r>
      <w:proofErr w:type="gramStart"/>
      <w:r w:rsidRPr="00247A01">
        <w:t>is shared</w:t>
      </w:r>
      <w:proofErr w:type="gramEnd"/>
      <w:r w:rsidRPr="00247A01">
        <w:t xml:space="preserve"> with Mrs Mann and her family. Solutions include establishing communication protocols, using secure information</w:t>
      </w:r>
      <w:r w:rsidRPr="00247A01">
        <w:noBreakHyphen/>
        <w:t xml:space="preserve">sharing systems and providing cultural competence training. Integrated Care Systems (ICS) offer a structural framework for improving collaboration across health and social care. Addressing these challenges requires strong leadership, clear </w:t>
      </w:r>
      <w:r w:rsidR="003C5D17" w:rsidRPr="00247A01">
        <w:t>governance,</w:t>
      </w:r>
      <w:r w:rsidRPr="00247A01">
        <w:t xml:space="preserve"> and a commitment to person</w:t>
      </w:r>
      <w:r w:rsidRPr="00247A01">
        <w:noBreakHyphen/>
        <w:t>centred practice.</w:t>
      </w:r>
      <w:r w:rsidR="005334A0">
        <w:t xml:space="preserve"> </w:t>
      </w:r>
      <w:r w:rsidR="005334A0" w:rsidRPr="005334A0">
        <w:t>A person</w:t>
      </w:r>
      <w:r w:rsidR="005334A0" w:rsidRPr="005334A0">
        <w:noBreakHyphen/>
        <w:t xml:space="preserve">centred approach ensures that collaboration </w:t>
      </w:r>
      <w:proofErr w:type="gramStart"/>
      <w:r w:rsidR="005334A0" w:rsidRPr="005334A0">
        <w:t>is focused</w:t>
      </w:r>
      <w:proofErr w:type="gramEnd"/>
      <w:r w:rsidR="005334A0" w:rsidRPr="005334A0">
        <w:t xml:space="preserve"> on Mrs Mann’s goals, </w:t>
      </w:r>
      <w:r w:rsidR="003C5D17" w:rsidRPr="005334A0">
        <w:t>preferences,</w:t>
      </w:r>
      <w:r w:rsidR="005334A0" w:rsidRPr="005334A0">
        <w:t xml:space="preserve"> and values. Professionals must involve her in decisions, respect her cultural </w:t>
      </w:r>
      <w:r w:rsidR="003C5D17" w:rsidRPr="005334A0">
        <w:t>background,</w:t>
      </w:r>
      <w:r w:rsidR="005334A0" w:rsidRPr="005334A0">
        <w:t xml:space="preserve"> and ensure that her voice guides the care plan. This strengthens trust, improves </w:t>
      </w:r>
      <w:r w:rsidR="003C5D17" w:rsidRPr="005334A0">
        <w:t>satisfaction,</w:t>
      </w:r>
      <w:r w:rsidR="005334A0" w:rsidRPr="005334A0">
        <w:t xml:space="preserve"> and supports recovery. Person</w:t>
      </w:r>
      <w:r w:rsidR="005334A0" w:rsidRPr="005334A0">
        <w:noBreakHyphen/>
        <w:t>centred collaboration also promotes empowerment, enabling Mrs Mann to take an active role in her care.</w:t>
      </w:r>
    </w:p>
    <w:p w14:paraId="64DF0899" w14:textId="6C639A6A" w:rsidR="005334A0" w:rsidRDefault="005334A0">
      <w:r w:rsidRPr="005334A0">
        <w:t xml:space="preserve">Effective communication, robust administrative </w:t>
      </w:r>
      <w:r w:rsidR="003C5D17" w:rsidRPr="005334A0">
        <w:t>practice,</w:t>
      </w:r>
      <w:r w:rsidRPr="005334A0">
        <w:t xml:space="preserve"> and strong collaborative working are essential for delivering safe, person</w:t>
      </w:r>
      <w:r w:rsidRPr="005334A0">
        <w:noBreakHyphen/>
        <w:t xml:space="preserve">centred care. In Mrs Mann’s case, these elements ensure that her rights </w:t>
      </w:r>
      <w:proofErr w:type="gramStart"/>
      <w:r w:rsidRPr="005334A0">
        <w:t>are upheld</w:t>
      </w:r>
      <w:proofErr w:type="gramEnd"/>
      <w:r w:rsidRPr="005334A0">
        <w:t xml:space="preserve">, her needs </w:t>
      </w:r>
      <w:proofErr w:type="gramStart"/>
      <w:r w:rsidRPr="005334A0">
        <w:t>are understood</w:t>
      </w:r>
      <w:proofErr w:type="gramEnd"/>
      <w:r w:rsidRPr="005334A0">
        <w:t xml:space="preserve"> and her care </w:t>
      </w:r>
      <w:proofErr w:type="gramStart"/>
      <w:r w:rsidRPr="005334A0">
        <w:t>is coordinated</w:t>
      </w:r>
      <w:proofErr w:type="gramEnd"/>
      <w:r w:rsidRPr="005334A0">
        <w:t xml:space="preserve"> across agencies. By applying communication theory, adhering to legal </w:t>
      </w:r>
      <w:r w:rsidR="003C5D17" w:rsidRPr="005334A0">
        <w:t>frameworks,</w:t>
      </w:r>
      <w:r w:rsidRPr="005334A0">
        <w:t xml:space="preserve"> and embracing partnership working, professionals can support her recovery in a way that is respectful, </w:t>
      </w:r>
      <w:r w:rsidR="003C5D17" w:rsidRPr="005334A0">
        <w:t>empowering,</w:t>
      </w:r>
      <w:r w:rsidRPr="005334A0">
        <w:t xml:space="preserve"> and aligned with best practice.</w:t>
      </w:r>
    </w:p>
    <w:p w14:paraId="6A6AC19D" w14:textId="77777777" w:rsidR="005C677B" w:rsidRDefault="005C677B"/>
    <w:p w14:paraId="3EA58180" w14:textId="77777777" w:rsidR="005C677B" w:rsidRDefault="005C677B"/>
    <w:p w14:paraId="5413C3AF" w14:textId="77777777" w:rsidR="005C677B" w:rsidRDefault="005C677B"/>
    <w:p w14:paraId="5F19D978" w14:textId="77777777" w:rsidR="005C677B" w:rsidRDefault="005C677B"/>
    <w:p w14:paraId="313E2CB0" w14:textId="77777777" w:rsidR="005C677B" w:rsidRDefault="005C677B"/>
    <w:p w14:paraId="2AE8961C" w14:textId="77777777" w:rsidR="005C677B" w:rsidRDefault="005C677B"/>
    <w:p w14:paraId="4848B36F" w14:textId="77777777" w:rsidR="005C677B" w:rsidRDefault="005C677B"/>
    <w:p w14:paraId="526391C9" w14:textId="77777777" w:rsidR="005C677B" w:rsidRDefault="005C677B"/>
    <w:p w14:paraId="3F7150F3" w14:textId="77777777" w:rsidR="005C677B" w:rsidRDefault="005C677B"/>
    <w:p w14:paraId="76613A2F" w14:textId="77777777" w:rsidR="005C677B" w:rsidRDefault="005C677B"/>
    <w:p w14:paraId="6B9CF95D" w14:textId="77777777" w:rsidR="005C677B" w:rsidRDefault="005C677B"/>
    <w:p w14:paraId="1BCF3824" w14:textId="77777777" w:rsidR="005C677B" w:rsidRDefault="005C677B"/>
    <w:p w14:paraId="13811905" w14:textId="183DBF8A" w:rsidR="005C677B" w:rsidRDefault="00352862">
      <w:r>
        <w:lastRenderedPageBreak/>
        <w:t>References</w:t>
      </w:r>
    </w:p>
    <w:p w14:paraId="62947C82" w14:textId="77777777" w:rsidR="006F3C0D" w:rsidRPr="006F3C0D" w:rsidRDefault="006F3C0D" w:rsidP="006F3C0D">
      <w:r w:rsidRPr="006F3C0D">
        <w:t xml:space="preserve">Berlo, D. (1960) </w:t>
      </w:r>
      <w:r w:rsidRPr="006F3C0D">
        <w:rPr>
          <w:i/>
          <w:iCs/>
        </w:rPr>
        <w:t>The Process of Communication</w:t>
      </w:r>
      <w:r w:rsidRPr="006F3C0D">
        <w:t xml:space="preserve">. New York: Holt, </w:t>
      </w:r>
      <w:proofErr w:type="gramStart"/>
      <w:r w:rsidRPr="006F3C0D">
        <w:t>Rinehart</w:t>
      </w:r>
      <w:proofErr w:type="gramEnd"/>
      <w:r w:rsidRPr="006F3C0D">
        <w:t xml:space="preserve"> and Winston.</w:t>
      </w:r>
    </w:p>
    <w:p w14:paraId="75796E7A" w14:textId="77777777" w:rsidR="006F3C0D" w:rsidRPr="006F3C0D" w:rsidRDefault="006F3C0D" w:rsidP="006F3C0D">
      <w:r w:rsidRPr="006F3C0D">
        <w:t xml:space="preserve">Care Act 2014. (2014) </w:t>
      </w:r>
      <w:r w:rsidRPr="006F3C0D">
        <w:rPr>
          <w:i/>
          <w:iCs/>
        </w:rPr>
        <w:t>legislation.gov.uk</w:t>
      </w:r>
      <w:r w:rsidRPr="006F3C0D">
        <w:t xml:space="preserve">. Available at: </w:t>
      </w:r>
      <w:hyperlink r:id="rId4" w:history="1">
        <w:r w:rsidRPr="006F3C0D">
          <w:rPr>
            <w:rStyle w:val="Hyperlink"/>
          </w:rPr>
          <w:t>https://www.legislation.gov.uk</w:t>
        </w:r>
      </w:hyperlink>
      <w:r w:rsidRPr="006F3C0D">
        <w:t xml:space="preserve"> (Accessed: 15 December 2025).</w:t>
      </w:r>
    </w:p>
    <w:p w14:paraId="4E9023B3" w14:textId="77777777" w:rsidR="006F3C0D" w:rsidRPr="006F3C0D" w:rsidRDefault="006F3C0D" w:rsidP="006F3C0D">
      <w:r w:rsidRPr="006F3C0D">
        <w:t xml:space="preserve">Chambers, D., Cantrell, </w:t>
      </w:r>
      <w:proofErr w:type="gramStart"/>
      <w:r w:rsidRPr="006F3C0D">
        <w:t>A.</w:t>
      </w:r>
      <w:proofErr w:type="gramEnd"/>
      <w:r w:rsidRPr="006F3C0D">
        <w:t xml:space="preserve"> and Booth, A. (2021) </w:t>
      </w:r>
      <w:r w:rsidRPr="006F3C0D">
        <w:rPr>
          <w:i/>
          <w:iCs/>
        </w:rPr>
        <w:t>Rapid evidence review: Challenges to implementing digital and data</w:t>
      </w:r>
      <w:r w:rsidRPr="006F3C0D">
        <w:rPr>
          <w:i/>
          <w:iCs/>
        </w:rPr>
        <w:noBreakHyphen/>
        <w:t>driven technologies in health and social care</w:t>
      </w:r>
      <w:r w:rsidRPr="006F3C0D">
        <w:t>. Sheffield: University of Sheffield.</w:t>
      </w:r>
    </w:p>
    <w:p w14:paraId="0AB65ABB" w14:textId="77777777" w:rsidR="006F3C0D" w:rsidRPr="006F3C0D" w:rsidRDefault="006F3C0D" w:rsidP="006F3C0D">
      <w:r w:rsidRPr="006F3C0D">
        <w:t xml:space="preserve">Data Protection Act 2018. (2018) </w:t>
      </w:r>
      <w:r w:rsidRPr="006F3C0D">
        <w:rPr>
          <w:i/>
          <w:iCs/>
        </w:rPr>
        <w:t>legislation.gov.uk</w:t>
      </w:r>
      <w:r w:rsidRPr="006F3C0D">
        <w:t xml:space="preserve">. Available at: </w:t>
      </w:r>
      <w:hyperlink r:id="rId5" w:history="1">
        <w:r w:rsidRPr="006F3C0D">
          <w:rPr>
            <w:rStyle w:val="Hyperlink"/>
          </w:rPr>
          <w:t>https://www.legislation.gov.uk</w:t>
        </w:r>
      </w:hyperlink>
      <w:r w:rsidRPr="006F3C0D">
        <w:t xml:space="preserve"> (Accessed: 15 December 2025).</w:t>
      </w:r>
    </w:p>
    <w:p w14:paraId="10C35D1A" w14:textId="77777777" w:rsidR="006F3C0D" w:rsidRPr="006F3C0D" w:rsidRDefault="006F3C0D" w:rsidP="006F3C0D">
      <w:r w:rsidRPr="006F3C0D">
        <w:t xml:space="preserve">Equality Act 2010. (2010) </w:t>
      </w:r>
      <w:r w:rsidRPr="006F3C0D">
        <w:rPr>
          <w:i/>
          <w:iCs/>
        </w:rPr>
        <w:t>legislation.gov.uk</w:t>
      </w:r>
      <w:r w:rsidRPr="006F3C0D">
        <w:t xml:space="preserve">. Available at: </w:t>
      </w:r>
      <w:hyperlink r:id="rId6" w:history="1">
        <w:r w:rsidRPr="006F3C0D">
          <w:rPr>
            <w:rStyle w:val="Hyperlink"/>
          </w:rPr>
          <w:t>https://www.legislation.gov.uk</w:t>
        </w:r>
      </w:hyperlink>
      <w:r w:rsidRPr="006F3C0D">
        <w:t xml:space="preserve"> (Accessed: 15 December 2025).</w:t>
      </w:r>
    </w:p>
    <w:p w14:paraId="31D76585" w14:textId="77777777" w:rsidR="006F3C0D" w:rsidRPr="006F3C0D" w:rsidRDefault="006F3C0D" w:rsidP="006F3C0D">
      <w:r w:rsidRPr="006F3C0D">
        <w:t xml:space="preserve">Glasby, J. (2017) </w:t>
      </w:r>
      <w:r w:rsidRPr="006F3C0D">
        <w:rPr>
          <w:i/>
          <w:iCs/>
        </w:rPr>
        <w:t>Understanding Health and Social Care</w:t>
      </w:r>
      <w:r w:rsidRPr="006F3C0D">
        <w:t>. 3rd edn. Bristol: Policy Press.</w:t>
      </w:r>
    </w:p>
    <w:p w14:paraId="2F5E6633" w14:textId="77777777" w:rsidR="006F3C0D" w:rsidRPr="006F3C0D" w:rsidRDefault="006F3C0D" w:rsidP="006F3C0D">
      <w:r w:rsidRPr="006F3C0D">
        <w:t xml:space="preserve">Glasby, J. and Dickinson, H. (2014) </w:t>
      </w:r>
      <w:r w:rsidRPr="006F3C0D">
        <w:rPr>
          <w:i/>
          <w:iCs/>
        </w:rPr>
        <w:t>Partnership Working in Health and Social Care: What is Integrated Care and How Can We Deliver It?</w:t>
      </w:r>
      <w:r w:rsidRPr="006F3C0D">
        <w:t xml:space="preserve"> Bristol: Policy Press.</w:t>
      </w:r>
    </w:p>
    <w:p w14:paraId="538385EC" w14:textId="77777777" w:rsidR="006F3C0D" w:rsidRPr="006F3C0D" w:rsidRDefault="006F3C0D" w:rsidP="006F3C0D">
      <w:r w:rsidRPr="006F3C0D">
        <w:t xml:space="preserve">Hendy, J. (2022) </w:t>
      </w:r>
      <w:r w:rsidRPr="006F3C0D">
        <w:rPr>
          <w:i/>
          <w:iCs/>
        </w:rPr>
        <w:t>Empowerment in Adult Social Care</w:t>
      </w:r>
      <w:r w:rsidRPr="006F3C0D">
        <w:t>. London: Sage.</w:t>
      </w:r>
    </w:p>
    <w:p w14:paraId="77B58EF0" w14:textId="77777777" w:rsidR="006F3C0D" w:rsidRPr="006F3C0D" w:rsidRDefault="006F3C0D" w:rsidP="006F3C0D">
      <w:r w:rsidRPr="006F3C0D">
        <w:t>Hoyle, V., Shepherd, E., Flinn, A. and Lomas, E. (2019) ‘Child social care recording and the information rights of care</w:t>
      </w:r>
      <w:r w:rsidRPr="006F3C0D">
        <w:noBreakHyphen/>
        <w:t>experienced people: A record</w:t>
      </w:r>
      <w:r w:rsidRPr="006F3C0D">
        <w:noBreakHyphen/>
        <w:t xml:space="preserve">keeping perspective’, </w:t>
      </w:r>
      <w:r w:rsidRPr="006F3C0D">
        <w:rPr>
          <w:i/>
          <w:iCs/>
        </w:rPr>
        <w:t>British Journal of Social Work</w:t>
      </w:r>
      <w:r w:rsidRPr="006F3C0D">
        <w:t>, 49(7), pp. 1856–1874.</w:t>
      </w:r>
    </w:p>
    <w:p w14:paraId="0B399616" w14:textId="77777777" w:rsidR="006F3C0D" w:rsidRPr="006F3C0D" w:rsidRDefault="006F3C0D" w:rsidP="006F3C0D">
      <w:r w:rsidRPr="006F3C0D">
        <w:t xml:space="preserve">Kagle, J. (1991) </w:t>
      </w:r>
      <w:r w:rsidRPr="006F3C0D">
        <w:rPr>
          <w:i/>
          <w:iCs/>
        </w:rPr>
        <w:t>Social Work Records</w:t>
      </w:r>
      <w:r w:rsidRPr="006F3C0D">
        <w:t>. 2nd edn. New York: Longman.</w:t>
      </w:r>
    </w:p>
    <w:p w14:paraId="3B3F7813" w14:textId="77777777" w:rsidR="006F3C0D" w:rsidRPr="006F3C0D" w:rsidRDefault="006F3C0D" w:rsidP="006F3C0D">
      <w:r w:rsidRPr="006F3C0D">
        <w:t xml:space="preserve">Lee, E. (2021) </w:t>
      </w:r>
      <w:r w:rsidRPr="006F3C0D">
        <w:rPr>
          <w:i/>
          <w:iCs/>
        </w:rPr>
        <w:t>Effective Communication in Health and Social Care</w:t>
      </w:r>
      <w:r w:rsidRPr="006F3C0D">
        <w:t xml:space="preserve">. CPD Online College. Available at: </w:t>
      </w:r>
      <w:hyperlink r:id="rId7" w:history="1">
        <w:r w:rsidRPr="006F3C0D">
          <w:rPr>
            <w:rStyle w:val="Hyperlink"/>
          </w:rPr>
          <w:t>https://cpdonline.co.uk</w:t>
        </w:r>
      </w:hyperlink>
      <w:r w:rsidRPr="006F3C0D">
        <w:t xml:space="preserve"> (Accessed: 15 December 2025).</w:t>
      </w:r>
    </w:p>
    <w:p w14:paraId="0CEE3F95" w14:textId="77777777" w:rsidR="006F3C0D" w:rsidRPr="006F3C0D" w:rsidRDefault="006F3C0D" w:rsidP="006F3C0D">
      <w:r w:rsidRPr="006F3C0D">
        <w:t xml:space="preserve">Maclean, S. (2015) </w:t>
      </w:r>
      <w:r w:rsidRPr="006F3C0D">
        <w:rPr>
          <w:i/>
          <w:iCs/>
        </w:rPr>
        <w:t>Social Work Theory Cards</w:t>
      </w:r>
      <w:r w:rsidRPr="006F3C0D">
        <w:t>. Lichfield: Kirwin Maclean Associates.</w:t>
      </w:r>
    </w:p>
    <w:p w14:paraId="2B09DFF7" w14:textId="77777777" w:rsidR="006F3C0D" w:rsidRPr="006F3C0D" w:rsidRDefault="006F3C0D" w:rsidP="006F3C0D">
      <w:r w:rsidRPr="006F3C0D">
        <w:t xml:space="preserve">Mental Capacity Act 2005. (2005) </w:t>
      </w:r>
      <w:r w:rsidRPr="006F3C0D">
        <w:rPr>
          <w:i/>
          <w:iCs/>
        </w:rPr>
        <w:t>legislation.gov.uk</w:t>
      </w:r>
      <w:r w:rsidRPr="006F3C0D">
        <w:t xml:space="preserve">. Available at: </w:t>
      </w:r>
      <w:hyperlink r:id="rId8" w:history="1">
        <w:r w:rsidRPr="006F3C0D">
          <w:rPr>
            <w:rStyle w:val="Hyperlink"/>
          </w:rPr>
          <w:t>https://www.legislation.gov.uk</w:t>
        </w:r>
      </w:hyperlink>
      <w:r w:rsidRPr="006F3C0D">
        <w:t xml:space="preserve"> (Accessed: 15 December 2025).</w:t>
      </w:r>
    </w:p>
    <w:p w14:paraId="34E1E059" w14:textId="77777777" w:rsidR="006F3C0D" w:rsidRPr="006F3C0D" w:rsidRDefault="006F3C0D" w:rsidP="006F3C0D">
      <w:r w:rsidRPr="006F3C0D">
        <w:t xml:space="preserve">NHS (2021) </w:t>
      </w:r>
      <w:r w:rsidRPr="006F3C0D">
        <w:rPr>
          <w:i/>
          <w:iCs/>
        </w:rPr>
        <w:t>Improving communication between healthcare professionals and patients in the NHS in England</w:t>
      </w:r>
      <w:r w:rsidRPr="006F3C0D">
        <w:t xml:space="preserve">. Available at: </w:t>
      </w:r>
      <w:hyperlink r:id="rId9" w:history="1">
        <w:r w:rsidRPr="006F3C0D">
          <w:rPr>
            <w:rStyle w:val="Hyperlink"/>
          </w:rPr>
          <w:t>https://www.england.nhs.uk</w:t>
        </w:r>
      </w:hyperlink>
      <w:r w:rsidRPr="006F3C0D">
        <w:t xml:space="preserve"> (Accessed: 15 December 2025).</w:t>
      </w:r>
    </w:p>
    <w:p w14:paraId="004FAAE8" w14:textId="77777777" w:rsidR="00811F36" w:rsidRPr="00811F36" w:rsidRDefault="006F3C0D" w:rsidP="00811F36">
      <w:r w:rsidRPr="006F3C0D">
        <w:t xml:space="preserve">NHS Digital (2022) </w:t>
      </w:r>
      <w:r w:rsidRPr="006F3C0D">
        <w:rPr>
          <w:i/>
          <w:iCs/>
        </w:rPr>
        <w:t>Data Protection and Confidentiality</w:t>
      </w:r>
      <w:r w:rsidRPr="006F3C0D">
        <w:t xml:space="preserve">. </w:t>
      </w:r>
      <w:r w:rsidR="00811F36" w:rsidRPr="00811F36">
        <w:t xml:space="preserve">Available at: </w:t>
      </w:r>
      <w:hyperlink r:id="rId10" w:history="1">
        <w:r w:rsidR="00811F36" w:rsidRPr="00811F36">
          <w:rPr>
            <w:rStyle w:val="Hyperlink"/>
          </w:rPr>
          <w:t>https://digital.nhs.uk</w:t>
        </w:r>
      </w:hyperlink>
      <w:r w:rsidR="00811F36" w:rsidRPr="00811F36">
        <w:t xml:space="preserve"> (Accessed: 15 December 2025).</w:t>
      </w:r>
    </w:p>
    <w:p w14:paraId="0B5C2E26" w14:textId="77777777" w:rsidR="00811F36" w:rsidRPr="00811F36" w:rsidRDefault="00811F36" w:rsidP="00811F36">
      <w:r w:rsidRPr="00811F36">
        <w:t xml:space="preserve">SCIE (2023) </w:t>
      </w:r>
      <w:r w:rsidRPr="00811F36">
        <w:rPr>
          <w:i/>
          <w:iCs/>
        </w:rPr>
        <w:t>Record</w:t>
      </w:r>
      <w:r w:rsidRPr="00811F36">
        <w:rPr>
          <w:i/>
          <w:iCs/>
        </w:rPr>
        <w:noBreakHyphen/>
        <w:t>keeping in Social Care</w:t>
      </w:r>
      <w:r w:rsidRPr="00811F36">
        <w:t xml:space="preserve">. Social Care Institute for Excellence. Available at: </w:t>
      </w:r>
      <w:hyperlink r:id="rId11" w:history="1">
        <w:r w:rsidRPr="00811F36">
          <w:rPr>
            <w:rStyle w:val="Hyperlink"/>
          </w:rPr>
          <w:t>https://www.scie.org.uk</w:t>
        </w:r>
      </w:hyperlink>
      <w:r w:rsidRPr="00811F36">
        <w:t xml:space="preserve"> (Accessed: 15 December 2025).</w:t>
      </w:r>
    </w:p>
    <w:p w14:paraId="6A630D31" w14:textId="77777777" w:rsidR="00811F36" w:rsidRPr="00811F36" w:rsidRDefault="00811F36" w:rsidP="00811F36">
      <w:r w:rsidRPr="00811F36">
        <w:lastRenderedPageBreak/>
        <w:t xml:space="preserve">White, D. (2021) </w:t>
      </w:r>
      <w:r w:rsidRPr="00811F36">
        <w:rPr>
          <w:i/>
          <w:iCs/>
        </w:rPr>
        <w:t>Communication Skills: Your Guide to Improving Social Intelligence, Developing Charisma and Learning How to Talk to Anyone</w:t>
      </w:r>
      <w:r w:rsidRPr="00811F36">
        <w:t>. London: Independently Published.</w:t>
      </w:r>
    </w:p>
    <w:p w14:paraId="58687319" w14:textId="74FE1184" w:rsidR="006F3C0D" w:rsidRPr="006F3C0D" w:rsidRDefault="006F3C0D" w:rsidP="006F3C0D"/>
    <w:p w14:paraId="0B113BDF" w14:textId="77777777" w:rsidR="00352862" w:rsidRDefault="00352862"/>
    <w:p w14:paraId="25197BE6" w14:textId="77777777" w:rsidR="00352862" w:rsidRDefault="00352862"/>
    <w:sectPr w:rsidR="00352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E56"/>
    <w:rsid w:val="000235E4"/>
    <w:rsid w:val="0013388F"/>
    <w:rsid w:val="001551B0"/>
    <w:rsid w:val="001B1972"/>
    <w:rsid w:val="001C1A12"/>
    <w:rsid w:val="00231B5E"/>
    <w:rsid w:val="00247A01"/>
    <w:rsid w:val="00282E64"/>
    <w:rsid w:val="002943B9"/>
    <w:rsid w:val="002A0869"/>
    <w:rsid w:val="003321AD"/>
    <w:rsid w:val="00340CEE"/>
    <w:rsid w:val="00350383"/>
    <w:rsid w:val="00352862"/>
    <w:rsid w:val="0035623A"/>
    <w:rsid w:val="003C5D17"/>
    <w:rsid w:val="003C7E8A"/>
    <w:rsid w:val="00450B13"/>
    <w:rsid w:val="004D560C"/>
    <w:rsid w:val="004F6124"/>
    <w:rsid w:val="005334A0"/>
    <w:rsid w:val="00576B75"/>
    <w:rsid w:val="005C677B"/>
    <w:rsid w:val="006A0683"/>
    <w:rsid w:val="006C08AA"/>
    <w:rsid w:val="006F3C0D"/>
    <w:rsid w:val="0070693C"/>
    <w:rsid w:val="00743BBE"/>
    <w:rsid w:val="007F3738"/>
    <w:rsid w:val="00811F36"/>
    <w:rsid w:val="00912BF8"/>
    <w:rsid w:val="00944527"/>
    <w:rsid w:val="00A01ACB"/>
    <w:rsid w:val="00A24FC4"/>
    <w:rsid w:val="00A4253B"/>
    <w:rsid w:val="00A4698E"/>
    <w:rsid w:val="00AB56EB"/>
    <w:rsid w:val="00AE2A50"/>
    <w:rsid w:val="00B05A58"/>
    <w:rsid w:val="00B95E72"/>
    <w:rsid w:val="00BC0559"/>
    <w:rsid w:val="00BD4943"/>
    <w:rsid w:val="00BF7CB6"/>
    <w:rsid w:val="00C45816"/>
    <w:rsid w:val="00CE4983"/>
    <w:rsid w:val="00CF6384"/>
    <w:rsid w:val="00D200B5"/>
    <w:rsid w:val="00D95B7A"/>
    <w:rsid w:val="00DC4E56"/>
    <w:rsid w:val="00E4613A"/>
    <w:rsid w:val="00E63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F6A32"/>
  <w15:chartTrackingRefBased/>
  <w15:docId w15:val="{0A302D1C-389D-4551-9600-A742ED715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E56"/>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DC4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E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E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E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E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E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E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E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E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E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E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E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E56"/>
    <w:rPr>
      <w:rFonts w:eastAsiaTheme="majorEastAsia" w:cstheme="majorBidi"/>
      <w:color w:val="272727" w:themeColor="text1" w:themeTint="D8"/>
    </w:rPr>
  </w:style>
  <w:style w:type="paragraph" w:styleId="Title">
    <w:name w:val="Title"/>
    <w:basedOn w:val="Normal"/>
    <w:next w:val="Normal"/>
    <w:link w:val="TitleChar"/>
    <w:uiPriority w:val="10"/>
    <w:qFormat/>
    <w:rsid w:val="00DC4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E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E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E56"/>
    <w:pPr>
      <w:spacing w:before="160"/>
      <w:jc w:val="center"/>
    </w:pPr>
    <w:rPr>
      <w:i/>
      <w:iCs/>
      <w:color w:val="404040" w:themeColor="text1" w:themeTint="BF"/>
    </w:rPr>
  </w:style>
  <w:style w:type="character" w:customStyle="1" w:styleId="QuoteChar">
    <w:name w:val="Quote Char"/>
    <w:basedOn w:val="DefaultParagraphFont"/>
    <w:link w:val="Quote"/>
    <w:uiPriority w:val="29"/>
    <w:rsid w:val="00DC4E56"/>
    <w:rPr>
      <w:i/>
      <w:iCs/>
      <w:color w:val="404040" w:themeColor="text1" w:themeTint="BF"/>
    </w:rPr>
  </w:style>
  <w:style w:type="paragraph" w:styleId="ListParagraph">
    <w:name w:val="List Paragraph"/>
    <w:basedOn w:val="Normal"/>
    <w:uiPriority w:val="34"/>
    <w:qFormat/>
    <w:rsid w:val="00DC4E56"/>
    <w:pPr>
      <w:ind w:left="720"/>
      <w:contextualSpacing/>
    </w:pPr>
  </w:style>
  <w:style w:type="character" w:styleId="IntenseEmphasis">
    <w:name w:val="Intense Emphasis"/>
    <w:basedOn w:val="DefaultParagraphFont"/>
    <w:uiPriority w:val="21"/>
    <w:qFormat/>
    <w:rsid w:val="00DC4E56"/>
    <w:rPr>
      <w:i/>
      <w:iCs/>
      <w:color w:val="0F4761" w:themeColor="accent1" w:themeShade="BF"/>
    </w:rPr>
  </w:style>
  <w:style w:type="paragraph" w:styleId="IntenseQuote">
    <w:name w:val="Intense Quote"/>
    <w:basedOn w:val="Normal"/>
    <w:next w:val="Normal"/>
    <w:link w:val="IntenseQuoteChar"/>
    <w:uiPriority w:val="30"/>
    <w:qFormat/>
    <w:rsid w:val="00DC4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E56"/>
    <w:rPr>
      <w:i/>
      <w:iCs/>
      <w:color w:val="0F4761" w:themeColor="accent1" w:themeShade="BF"/>
    </w:rPr>
  </w:style>
  <w:style w:type="character" w:styleId="IntenseReference">
    <w:name w:val="Intense Reference"/>
    <w:basedOn w:val="DefaultParagraphFont"/>
    <w:uiPriority w:val="32"/>
    <w:qFormat/>
    <w:rsid w:val="00DC4E56"/>
    <w:rPr>
      <w:b/>
      <w:bCs/>
      <w:smallCaps/>
      <w:color w:val="0F4761" w:themeColor="accent1" w:themeShade="BF"/>
      <w:spacing w:val="5"/>
    </w:rPr>
  </w:style>
  <w:style w:type="character" w:styleId="Hyperlink">
    <w:name w:val="Hyperlink"/>
    <w:basedOn w:val="DefaultParagraphFont"/>
    <w:uiPriority w:val="99"/>
    <w:unhideWhenUsed/>
    <w:rsid w:val="006F3C0D"/>
    <w:rPr>
      <w:color w:val="467886" w:themeColor="hyperlink"/>
      <w:u w:val="single"/>
    </w:rPr>
  </w:style>
  <w:style w:type="character" w:styleId="UnresolvedMention">
    <w:name w:val="Unresolved Mention"/>
    <w:basedOn w:val="DefaultParagraphFont"/>
    <w:uiPriority w:val="99"/>
    <w:semiHidden/>
    <w:unhideWhenUsed/>
    <w:rsid w:val="006F3C0D"/>
    <w:rPr>
      <w:color w:val="605E5C"/>
      <w:shd w:val="clear" w:color="auto" w:fill="E1DFDD"/>
    </w:rPr>
  </w:style>
  <w:style w:type="paragraph" w:styleId="NormalWeb">
    <w:name w:val="Normal (Web)"/>
    <w:basedOn w:val="Normal"/>
    <w:uiPriority w:val="99"/>
    <w:semiHidden/>
    <w:unhideWhenUsed/>
    <w:rsid w:val="00811F3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pdonline.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 TargetMode="External"/><Relationship Id="rId11" Type="http://schemas.openxmlformats.org/officeDocument/2006/relationships/hyperlink" Target="https://www.scie.org.uk/" TargetMode="External"/><Relationship Id="rId5" Type="http://schemas.openxmlformats.org/officeDocument/2006/relationships/hyperlink" Target="https://www.legislation.gov.uk/" TargetMode="External"/><Relationship Id="rId10" Type="http://schemas.openxmlformats.org/officeDocument/2006/relationships/hyperlink" Target="https://digital.nhs.uk/" TargetMode="External"/><Relationship Id="rId4" Type="http://schemas.openxmlformats.org/officeDocument/2006/relationships/hyperlink" Target="https://www.legislation.gov.uk/" TargetMode="Externa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7468</TotalTime>
  <Pages>7</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yrlene elie</dc:creator>
  <cp:keywords/>
  <dc:description/>
  <cp:lastModifiedBy>yrlene elie</cp:lastModifiedBy>
  <cp:revision>49</cp:revision>
  <dcterms:created xsi:type="dcterms:W3CDTF">2025-12-06T00:01:00Z</dcterms:created>
  <dcterms:modified xsi:type="dcterms:W3CDTF">2025-12-15T23:33:00Z</dcterms:modified>
</cp:coreProperties>
</file>