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tbl>
      <w:tblPr>
        <w:tblW w:w="87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48"/>
        <w:gridCol w:w="1620"/>
        <w:gridCol w:w="343"/>
        <w:gridCol w:w="1644"/>
      </w:tblGrid>
      <w:tr>
        <w:tblPrEx>
          <w:shd w:val="clear" w:color="auto" w:fill="ced7e7"/>
        </w:tblPrEx>
        <w:trPr>
          <w:trHeight w:val="113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p>
          <w:p>
            <w:pPr>
              <w:pStyle w:val="Normal (Web)"/>
              <w:bidi w:val="0"/>
              <w:spacing w:before="0" w:after="0"/>
              <w:ind w:left="0" w:right="34" w:firstLine="0"/>
              <w:jc w:val="center"/>
              <w:rPr>
                <w:rStyle w:val="None"/>
                <w:rFonts w:ascii="Calibri" w:cs="Calibri" w:hAnsi="Calibri" w:eastAsia="Calibri"/>
                <w:b w:val="1"/>
                <w:bCs w:val="1"/>
                <w:sz w:val="24"/>
                <w:szCs w:val="24"/>
                <w:rtl w:val="0"/>
              </w:rPr>
            </w:pPr>
            <w:r>
              <w:rPr>
                <w:rStyle w:val="None"/>
                <w:rFonts w:ascii="Calibri" w:cs="Calibri" w:hAnsi="Calibri" w:eastAsia="Calibri"/>
                <w:b w:val="1"/>
                <w:bCs w:val="1"/>
                <w:sz w:val="24"/>
                <w:szCs w:val="24"/>
                <w:rtl w:val="0"/>
                <w:lang w:val="en-US"/>
              </w:rPr>
              <w:t xml:space="preserve">Assignment feedback </w:t>
            </w:r>
          </w:p>
          <w:p>
            <w:pPr>
              <w:pStyle w:val="Normal (Web)"/>
              <w:spacing w:before="0" w:after="0"/>
              <w:ind w:right="34"/>
              <w:jc w:val="center"/>
            </w:pPr>
            <w:r>
              <w:rPr>
                <w:rFonts w:ascii="Calibri" w:cs="Calibri" w:hAnsi="Calibri" w:eastAsia="Calibri"/>
                <w:b w:val="1"/>
                <w:bCs w:val="1"/>
                <w:sz w:val="24"/>
                <w:szCs w:val="24"/>
              </w:rPr>
            </w:r>
          </w:p>
        </w:tc>
      </w:tr>
      <w:tr>
        <w:tblPrEx>
          <w:shd w:val="clear" w:color="auto" w:fill="ced7e7"/>
        </w:tblPrEx>
        <w:trPr>
          <w:trHeight w:val="29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tc>
      </w:tr>
      <w:tr>
        <w:tblPrEx>
          <w:shd w:val="clear" w:color="auto" w:fill="ced7e7"/>
        </w:tblPrEx>
        <w:trPr>
          <w:trHeight w:val="57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 xml:space="preserve">Student Name: </w:t>
            </w:r>
            <w:r>
              <w:rPr>
                <w:rStyle w:val="None"/>
                <w:rFonts w:ascii="Calibri" w:cs="Calibri" w:hAnsi="Calibri" w:eastAsia="Calibri"/>
                <w:i w:val="1"/>
                <w:iCs w:val="1"/>
                <w:sz w:val="24"/>
                <w:szCs w:val="24"/>
                <w:rtl w:val="0"/>
                <w:lang w:val="en-US"/>
              </w:rPr>
              <w:t>YUK PING CHAN</w:t>
            </w:r>
          </w:p>
          <w:p>
            <w:pPr>
              <w:pStyle w:val="Normal (Web)"/>
              <w:bidi w:val="0"/>
              <w:spacing w:before="0" w:after="0"/>
              <w:ind w:left="0" w:right="34" w:firstLine="0"/>
              <w:jc w:val="left"/>
              <w:rPr>
                <w:rtl w:val="0"/>
              </w:rPr>
            </w:pPr>
            <w:r>
              <w:rPr>
                <w:rStyle w:val="None"/>
                <w:rFonts w:ascii="Calibri" w:cs="Calibri" w:hAnsi="Calibri" w:eastAsia="Calibri"/>
                <w:i w:val="1"/>
                <w:iCs w:val="1"/>
                <w:sz w:val="24"/>
                <w:szCs w:val="24"/>
                <w:rtl w:val="0"/>
                <w:lang w:val="en-US"/>
              </w:rPr>
              <w:t>Student University Email:</w:t>
            </w:r>
            <w:r>
              <w:rPr>
                <w:rStyle w:val="None"/>
                <w:rFonts w:ascii="Calibri" w:cs="Calibri" w:hAnsi="Calibri" w:eastAsia="Calibri"/>
                <w:i w:val="1"/>
                <w:iCs w:val="1"/>
                <w:sz w:val="24"/>
                <w:szCs w:val="24"/>
                <w:rtl w:val="0"/>
                <w:lang w:val="en-US"/>
              </w:rPr>
              <w:t xml:space="preserve"> </w:t>
            </w:r>
            <w:r>
              <w:rPr>
                <w:rStyle w:val="Hyperlink.0"/>
                <w:rFonts w:ascii="Calibri" w:cs="Calibri" w:hAnsi="Calibri" w:eastAsia="Calibri"/>
                <w:i w:val="1"/>
                <w:iCs w:val="1"/>
                <w:sz w:val="24"/>
                <w:szCs w:val="24"/>
              </w:rPr>
              <w:fldChar w:fldCharType="begin" w:fldLock="0"/>
            </w:r>
            <w:r>
              <w:rPr>
                <w:rStyle w:val="Hyperlink.0"/>
                <w:rFonts w:ascii="Calibri" w:cs="Calibri" w:hAnsi="Calibri" w:eastAsia="Calibri"/>
                <w:i w:val="1"/>
                <w:iCs w:val="1"/>
                <w:sz w:val="24"/>
                <w:szCs w:val="24"/>
              </w:rPr>
              <w:instrText xml:space="preserve"> HYPERLINK "mailto:1704491@student.uwtsd.ac.uk"</w:instrText>
            </w:r>
            <w:r>
              <w:rPr>
                <w:rStyle w:val="Hyperlink.0"/>
                <w:rFonts w:ascii="Calibri" w:cs="Calibri" w:hAnsi="Calibri" w:eastAsia="Calibri"/>
                <w:i w:val="1"/>
                <w:iCs w:val="1"/>
                <w:sz w:val="24"/>
                <w:szCs w:val="24"/>
              </w:rPr>
              <w:fldChar w:fldCharType="separate" w:fldLock="0"/>
            </w:r>
            <w:r>
              <w:rPr>
                <w:rStyle w:val="Hyperlink.0"/>
                <w:rFonts w:ascii="Calibri" w:cs="Calibri" w:hAnsi="Calibri" w:eastAsia="Calibri"/>
                <w:i w:val="1"/>
                <w:iCs w:val="1"/>
                <w:sz w:val="24"/>
                <w:szCs w:val="24"/>
                <w:rtl w:val="0"/>
                <w:lang w:val="en-US"/>
              </w:rPr>
              <w:t>1704491@student.uwtsd.ac.uk</w:t>
            </w:r>
            <w:r>
              <w:rPr>
                <w:rFonts w:ascii="Calibri" w:cs="Calibri" w:hAnsi="Calibri" w:eastAsia="Calibri"/>
                <w:i w:val="1"/>
                <w:iCs w:val="1"/>
                <w:sz w:val="24"/>
                <w:szCs w:val="24"/>
              </w:rPr>
              <w:fldChar w:fldCharType="end" w:fldLock="0"/>
            </w:r>
          </w:p>
        </w:tc>
      </w:tr>
      <w:tr>
        <w:tblPrEx>
          <w:shd w:val="clear" w:color="auto" w:fill="ced7e7"/>
        </w:tblPrEx>
        <w:trPr>
          <w:trHeight w:val="1410" w:hRule="atLeast"/>
        </w:trPr>
        <w:tc>
          <w:tcPr>
            <w:tcW w:type="dxa" w:w="51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Module code:</w:t>
            </w:r>
            <w:r>
              <w:rPr>
                <w:rStyle w:val="None"/>
                <w:rFonts w:ascii="Calibri" w:cs="Calibri" w:hAnsi="Calibri" w:eastAsia="Calibri"/>
                <w:i w:val="1"/>
                <w:iCs w:val="1"/>
                <w:sz w:val="24"/>
                <w:szCs w:val="24"/>
                <w:rtl w:val="0"/>
                <w:lang w:val="en-US"/>
              </w:rPr>
              <w:t xml:space="preserve"> AH</w:t>
            </w:r>
            <w:r>
              <w:rPr>
                <w:rStyle w:val="None"/>
                <w:rFonts w:ascii="Calibri" w:cs="Calibri" w:hAnsi="Calibri" w:eastAsia="Calibri"/>
                <w:i w:val="1"/>
                <w:iCs w:val="1"/>
                <w:sz w:val="24"/>
                <w:szCs w:val="24"/>
                <w:rtl w:val="0"/>
                <w:lang w:val="zh-TW" w:eastAsia="zh-TW"/>
              </w:rPr>
              <w:t xml:space="preserve">HE </w:t>
            </w:r>
            <w:r>
              <w:rPr>
                <w:rStyle w:val="None"/>
                <w:rFonts w:ascii="Calibri" w:cs="Calibri" w:hAnsi="Calibri" w:eastAsia="Calibri"/>
                <w:i w:val="1"/>
                <w:iCs w:val="1"/>
                <w:sz w:val="24"/>
                <w:szCs w:val="24"/>
                <w:rtl w:val="0"/>
                <w:lang w:val="en-US"/>
              </w:rPr>
              <w:t>4001</w:t>
            </w:r>
          </w:p>
          <w:p>
            <w:pPr>
              <w:pStyle w:val="Normal (Web)"/>
              <w:spacing w:before="0" w:after="0"/>
              <w:ind w:right="34"/>
              <w:rPr>
                <w:rStyle w:val="None"/>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Style w:val="None"/>
                <w:rFonts w:ascii="Calibri" w:cs="Calibri" w:hAnsi="Calibri" w:eastAsia="Calibri"/>
                <w:i w:val="1"/>
                <w:iCs w:val="1"/>
                <w:sz w:val="24"/>
                <w:szCs w:val="24"/>
                <w:rtl w:val="0"/>
                <w:lang w:val="en-US"/>
              </w:rPr>
              <w:t>Module title:</w:t>
            </w:r>
            <w:r>
              <w:rPr>
                <w:rStyle w:val="None"/>
                <w:rFonts w:ascii="Calibri" w:cs="Calibri" w:hAnsi="Calibri" w:eastAsia="Calibri"/>
                <w:i w:val="1"/>
                <w:iCs w:val="1"/>
                <w:sz w:val="24"/>
                <w:szCs w:val="24"/>
                <w:rtl w:val="0"/>
                <w:lang w:val="en-US"/>
              </w:rPr>
              <w:t xml:space="preserve"> </w:t>
            </w:r>
            <w:r>
              <w:rPr>
                <w:rStyle w:val="None"/>
                <w:rFonts w:ascii="Calibri" w:cs="Calibri" w:hAnsi="Calibri" w:eastAsia="Calibri"/>
                <w:i w:val="1"/>
                <w:iCs w:val="1"/>
                <w:sz w:val="24"/>
                <w:szCs w:val="24"/>
                <w:rtl w:val="0"/>
                <w:lang w:val="en-US"/>
              </w:rPr>
              <w:t xml:space="preserve">Heritage </w:t>
            </w:r>
            <w:r>
              <w:rPr>
                <w:rStyle w:val="None"/>
                <w:rFonts w:ascii="Calibri" w:cs="Calibri" w:hAnsi="Calibri" w:eastAsia="Calibri"/>
                <w:i w:val="1"/>
                <w:iCs w:val="1"/>
                <w:sz w:val="24"/>
                <w:szCs w:val="24"/>
                <w:rtl w:val="0"/>
                <w:lang w:val="zh-TW" w:eastAsia="zh-TW"/>
              </w:rPr>
              <w:t>and</w:t>
            </w:r>
            <w:r>
              <w:rPr>
                <w:rStyle w:val="None"/>
                <w:rFonts w:ascii="Calibri" w:cs="Calibri" w:hAnsi="Calibri" w:eastAsia="Calibri"/>
                <w:i w:val="1"/>
                <w:iCs w:val="1"/>
                <w:sz w:val="24"/>
                <w:szCs w:val="24"/>
                <w:rtl w:val="0"/>
                <w:lang w:val="en-US"/>
              </w:rPr>
              <w:t xml:space="preserve"> the Heritage Industry</w:t>
            </w:r>
          </w:p>
        </w:tc>
        <w:tc>
          <w:tcPr>
            <w:tcW w:type="dxa" w:w="19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Style w:val="None"/>
                <w:rFonts w:ascii="Calibri" w:cs="Calibri" w:hAnsi="Calibri" w:eastAsia="Calibri"/>
                <w:i w:val="1"/>
                <w:iCs w:val="1"/>
                <w:sz w:val="24"/>
                <w:szCs w:val="24"/>
                <w:rtl w:val="0"/>
                <w:lang w:val="en-US"/>
              </w:rPr>
              <w:t>Student ID number:</w:t>
            </w:r>
            <w:r>
              <w:rPr>
                <w:rStyle w:val="None"/>
                <w:rFonts w:ascii="Calibri" w:cs="Calibri" w:hAnsi="Calibri" w:eastAsia="Calibri"/>
                <w:i w:val="1"/>
                <w:iCs w:val="1"/>
                <w:sz w:val="24"/>
                <w:szCs w:val="24"/>
                <w:rtl w:val="0"/>
                <w:lang w:val="en-US"/>
              </w:rPr>
              <w:t xml:space="preserve"> 1704491</w:t>
            </w:r>
            <w:r>
              <w:rPr>
                <w:rStyle w:val="None"/>
                <w:rFonts w:ascii="Calibri" w:cs="Calibri" w:hAnsi="Calibri" w:eastAsia="Calibri"/>
                <w:i w:val="1"/>
                <w:iCs w:val="1"/>
                <w:sz w:val="24"/>
                <w:szCs w:val="24"/>
              </w:rPr>
            </w:r>
          </w:p>
        </w:tc>
        <w:tc>
          <w:tcPr>
            <w:tcW w:type="dxa" w:w="16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Educational support needs:</w:t>
            </w:r>
          </w:p>
          <w:p>
            <w:pPr>
              <w:pStyle w:val="Normal (Web)"/>
              <w:spacing w:before="0" w:after="0"/>
              <w:ind w:right="34"/>
              <w:rPr>
                <w:rStyle w:val="None"/>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Style w:val="None"/>
                <w:rFonts w:ascii="Calibri" w:cs="Calibri" w:hAnsi="Calibri" w:eastAsia="Calibri"/>
                <w:i w:val="1"/>
                <w:iCs w:val="1"/>
                <w:sz w:val="24"/>
                <w:szCs w:val="24"/>
                <w:rtl w:val="0"/>
                <w:lang w:val="en-US"/>
              </w:rPr>
              <w:t>No</w:t>
            </w:r>
          </w:p>
        </w:tc>
      </w:tr>
      <w:tr>
        <w:tblPrEx>
          <w:shd w:val="clear" w:color="auto" w:fill="ced7e7"/>
        </w:tblPrEx>
        <w:trPr>
          <w:trHeight w:val="113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Assignment title: Using examples, discuss how technology may enable heritage management and presentation</w:t>
            </w:r>
          </w:p>
          <w:p>
            <w:pPr>
              <w:pStyle w:val="Normal (Web)"/>
              <w:spacing w:before="0" w:after="0"/>
              <w:ind w:right="34"/>
              <w:rPr>
                <w:rStyle w:val="None"/>
                <w:rFonts w:ascii="Calibri" w:cs="Calibri" w:hAnsi="Calibri" w:eastAsia="Calibri"/>
                <w:i w:val="1"/>
                <w:iCs w:val="1"/>
                <w:sz w:val="24"/>
                <w:szCs w:val="24"/>
                <w:lang w:val="en-US"/>
              </w:rPr>
            </w:pPr>
          </w:p>
          <w:p>
            <w:pPr>
              <w:pStyle w:val="Normal (Web)"/>
              <w:bidi w:val="0"/>
              <w:spacing w:before="0" w:after="0"/>
              <w:ind w:left="0" w:right="34" w:firstLine="0"/>
              <w:jc w:val="left"/>
              <w:rPr>
                <w:rtl w:val="0"/>
              </w:rPr>
            </w:pPr>
            <w:r>
              <w:rPr>
                <w:rStyle w:val="None"/>
                <w:rFonts w:ascii="Calibri" w:cs="Calibri" w:hAnsi="Calibri" w:eastAsia="Calibri"/>
                <w:i w:val="1"/>
                <w:iCs w:val="1"/>
                <w:sz w:val="24"/>
                <w:szCs w:val="24"/>
                <w:rtl w:val="0"/>
                <w:lang w:val="en-US"/>
              </w:rPr>
              <w:t>Assignment due date:</w:t>
            </w:r>
            <w:r>
              <w:rPr>
                <w:rStyle w:val="None"/>
                <w:rFonts w:ascii="Calibri" w:cs="Calibri" w:hAnsi="Calibri" w:eastAsia="Calibri"/>
                <w:i w:val="1"/>
                <w:iCs w:val="1"/>
                <w:sz w:val="24"/>
                <w:szCs w:val="24"/>
                <w:rtl w:val="0"/>
                <w:lang w:val="en-US"/>
              </w:rPr>
              <w:t xml:space="preserve"> 1</w:t>
            </w:r>
            <w:r>
              <w:rPr>
                <w:rStyle w:val="None"/>
                <w:rFonts w:ascii="Calibri" w:cs="Calibri" w:hAnsi="Calibri" w:eastAsia="Calibri"/>
                <w:i w:val="1"/>
                <w:iCs w:val="1"/>
                <w:sz w:val="24"/>
                <w:szCs w:val="24"/>
                <w:rtl w:val="0"/>
                <w:lang w:val="zh-TW" w:eastAsia="zh-TW"/>
              </w:rPr>
              <w:t>2</w:t>
            </w:r>
            <w:r>
              <w:rPr>
                <w:rStyle w:val="None"/>
                <w:rFonts w:ascii="Calibri" w:cs="Calibri" w:hAnsi="Calibri" w:eastAsia="Calibri"/>
                <w:i w:val="1"/>
                <w:iCs w:val="1"/>
                <w:sz w:val="24"/>
                <w:szCs w:val="24"/>
                <w:rtl w:val="0"/>
                <w:lang w:val="en-US"/>
              </w:rPr>
              <w:t>/1</w:t>
            </w:r>
            <w:r>
              <w:rPr>
                <w:rStyle w:val="None"/>
                <w:rFonts w:ascii="Calibri" w:cs="Calibri" w:hAnsi="Calibri" w:eastAsia="Calibri"/>
                <w:i w:val="1"/>
                <w:iCs w:val="1"/>
                <w:sz w:val="24"/>
                <w:szCs w:val="24"/>
                <w:rtl w:val="0"/>
                <w:lang w:val="zh-TW" w:eastAsia="zh-TW"/>
              </w:rPr>
              <w:t>2</w:t>
            </w:r>
            <w:r>
              <w:rPr>
                <w:rStyle w:val="None"/>
                <w:rFonts w:ascii="Calibri" w:cs="Calibri" w:hAnsi="Calibri" w:eastAsia="Calibri"/>
                <w:i w:val="1"/>
                <w:iCs w:val="1"/>
                <w:sz w:val="24"/>
                <w:szCs w:val="24"/>
                <w:rtl w:val="0"/>
                <w:lang w:val="en-US"/>
              </w:rPr>
              <w:t>/2017</w:t>
            </w:r>
          </w:p>
        </w:tc>
      </w:tr>
      <w:tr>
        <w:tblPrEx>
          <w:shd w:val="clear" w:color="auto" w:fill="ced7e7"/>
        </w:tblPrEx>
        <w:trPr>
          <w:trHeight w:val="57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 xml:space="preserve">Assignment Number: </w:t>
            </w:r>
            <w:r>
              <w:rPr>
                <w:rStyle w:val="None"/>
                <w:rFonts w:ascii="Calibri" w:cs="Calibri" w:hAnsi="Calibri" w:eastAsia="Calibri"/>
                <w:i w:val="1"/>
                <w:iCs w:val="1"/>
                <w:sz w:val="24"/>
                <w:szCs w:val="24"/>
                <w:rtl w:val="0"/>
                <w:lang w:val="zh-TW" w:eastAsia="zh-TW"/>
              </w:rPr>
              <w:t>3</w:t>
            </w:r>
          </w:p>
          <w:p>
            <w:pPr>
              <w:pStyle w:val="Normal (Web)"/>
              <w:bidi w:val="0"/>
              <w:spacing w:before="0" w:after="0"/>
              <w:ind w:left="0" w:right="34" w:firstLine="0"/>
              <w:jc w:val="left"/>
              <w:rPr>
                <w:rtl w:val="0"/>
              </w:rPr>
            </w:pPr>
            <w:r>
              <w:rPr>
                <w:rStyle w:val="None"/>
                <w:rFonts w:ascii="Calibri" w:cs="Calibri" w:hAnsi="Calibri" w:eastAsia="Calibri"/>
                <w:i w:val="1"/>
                <w:iCs w:val="1"/>
                <w:sz w:val="24"/>
                <w:szCs w:val="24"/>
                <w:rtl w:val="0"/>
                <w:lang w:val="en-US"/>
              </w:rPr>
              <w:t>(i.e. 1,2,3)</w:t>
            </w:r>
          </w:p>
        </w:tc>
      </w:tr>
      <w:tr>
        <w:tblPrEx>
          <w:shd w:val="clear" w:color="auto" w:fill="ced7e7"/>
        </w:tblPrEx>
        <w:trPr>
          <w:trHeight w:val="6005"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pPr>
            <w:r>
              <w:rPr>
                <w:rStyle w:val="None"/>
                <w:rFonts w:ascii="Calibri" w:cs="Calibri" w:hAnsi="Calibri" w:eastAsia="Calibri"/>
                <w:i w:val="1"/>
                <w:iCs w:val="1"/>
                <w:sz w:val="24"/>
                <w:szCs w:val="24"/>
                <w:lang w:val="en-US"/>
              </w:rPr>
            </w:r>
          </w:p>
        </w:tc>
      </w:tr>
      <w:tr>
        <w:tblPrEx>
          <w:shd w:val="clear" w:color="auto" w:fill="ced7e7"/>
        </w:tblPrEx>
        <w:trPr>
          <w:trHeight w:val="670"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ind w:left="142" w:right="34" w:firstLine="0"/>
            </w:pPr>
            <w:r>
              <w:rPr>
                <w:rStyle w:val="None"/>
                <w:rFonts w:ascii="Calibri" w:cs="Calibri" w:hAnsi="Calibri" w:eastAsia="Calibri"/>
                <w:i w:val="1"/>
                <w:iCs w:val="1"/>
                <w:sz w:val="24"/>
                <w:szCs w:val="24"/>
                <w:rtl w:val="0"/>
                <w:lang w:val="en-US"/>
              </w:rPr>
              <w:t>Marker</w:t>
            </w:r>
            <w:r>
              <w:rPr>
                <w:rStyle w:val="None"/>
                <w:rFonts w:ascii="Calibri" w:cs="Calibri" w:hAnsi="Calibri" w:eastAsia="Calibri"/>
                <w:i w:val="1"/>
                <w:iCs w:val="1"/>
                <w:sz w:val="24"/>
                <w:szCs w:val="24"/>
                <w:rtl w:val="0"/>
                <w:lang w:val="en-US"/>
              </w:rPr>
              <w:t>’</w:t>
            </w:r>
            <w:r>
              <w:rPr>
                <w:rStyle w:val="None"/>
                <w:rFonts w:ascii="Calibri" w:cs="Calibri" w:hAnsi="Calibri" w:eastAsia="Calibri"/>
                <w:i w:val="1"/>
                <w:iCs w:val="1"/>
                <w:sz w:val="24"/>
                <w:szCs w:val="24"/>
                <w:rtl w:val="0"/>
                <w:lang w:val="en-US"/>
              </w:rPr>
              <w:t xml:space="preserve">s  signature: </w:t>
            </w:r>
            <w:r>
              <w:rPr>
                <w:rStyle w:val="None"/>
                <w:rFonts w:ascii="Calibri" w:cs="Calibri" w:hAnsi="Calibri" w:eastAsia="Calibri"/>
                <w:i w:val="1"/>
                <w:iCs w:val="1"/>
                <w:sz w:val="24"/>
                <w:szCs w:val="24"/>
              </w:rPr>
            </w:r>
          </w:p>
        </w:tc>
        <w:tc>
          <w:tcPr>
            <w:tcW w:type="dxa" w:w="198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spacing w:after="0"/>
              <w:ind w:left="142" w:right="34" w:firstLine="0"/>
            </w:pPr>
            <w:r>
              <w:rPr>
                <w:rStyle w:val="None"/>
                <w:rFonts w:ascii="Calibri" w:cs="Calibri" w:hAnsi="Calibri" w:eastAsia="Calibri"/>
                <w:i w:val="1"/>
                <w:iCs w:val="1"/>
                <w:sz w:val="24"/>
                <w:szCs w:val="24"/>
                <w:rtl w:val="0"/>
                <w:lang w:val="en-US"/>
              </w:rPr>
              <w:t>Date:</w:t>
            </w:r>
            <w:r>
              <w:rPr>
                <w:rStyle w:val="None"/>
                <w:rFonts w:ascii="Calibri" w:cs="Calibri" w:hAnsi="Calibri" w:eastAsia="Calibri"/>
                <w:i w:val="1"/>
                <w:iCs w:val="1"/>
                <w:sz w:val="24"/>
                <w:szCs w:val="24"/>
              </w:rPr>
            </w:r>
          </w:p>
        </w:tc>
      </w:tr>
      <w:tr>
        <w:tblPrEx>
          <w:shd w:val="clear" w:color="auto" w:fill="ced7e7"/>
        </w:tblPrEx>
        <w:trPr>
          <w:trHeight w:val="1130" w:hRule="atLeast"/>
        </w:trPr>
        <w:tc>
          <w:tcPr>
            <w:tcW w:type="dxa" w:w="875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Normal (Web)"/>
              <w:spacing w:before="0" w:after="0"/>
              <w:ind w:left="142" w:right="34" w:firstLine="0"/>
              <w:rPr>
                <w:rStyle w:val="None"/>
                <w:rFonts w:ascii="Calibri" w:cs="Calibri" w:hAnsi="Calibri" w:eastAsia="Calibri"/>
                <w:i w:val="1"/>
                <w:iCs w:val="1"/>
                <w:sz w:val="24"/>
                <w:szCs w:val="24"/>
              </w:rPr>
            </w:pPr>
            <w:r>
              <w:rPr>
                <w:rStyle w:val="None"/>
                <w:rFonts w:ascii="Calibri" w:cs="Calibri" w:hAnsi="Calibri" w:eastAsia="Calibri"/>
                <w:i w:val="1"/>
                <w:iCs w:val="1"/>
                <w:sz w:val="24"/>
                <w:szCs w:val="24"/>
                <w:rtl w:val="0"/>
                <w:lang w:val="en-US"/>
              </w:rPr>
              <w:t>Provisional.</w:t>
            </w:r>
          </w:p>
          <w:p>
            <w:pPr>
              <w:pStyle w:val="Normal (Web)"/>
              <w:bidi w:val="0"/>
              <w:spacing w:before="0" w:after="0"/>
              <w:ind w:left="142" w:right="34" w:firstLine="0"/>
              <w:jc w:val="left"/>
              <w:rPr>
                <w:rStyle w:val="None"/>
                <w:rFonts w:ascii="Calibri" w:cs="Calibri" w:hAnsi="Calibri" w:eastAsia="Calibri"/>
                <w:i w:val="1"/>
                <w:iCs w:val="1"/>
                <w:sz w:val="24"/>
                <w:szCs w:val="24"/>
                <w:rtl w:val="0"/>
              </w:rPr>
            </w:pPr>
            <w:r>
              <w:rPr>
                <w:rStyle w:val="None"/>
                <w:rFonts w:ascii="Calibri" w:cs="Calibri" w:hAnsi="Calibri" w:eastAsia="Calibri"/>
                <w:b w:val="1"/>
                <w:bCs w:val="1"/>
                <w:i w:val="1"/>
                <w:iCs w:val="1"/>
                <w:sz w:val="24"/>
                <w:szCs w:val="24"/>
                <w:rtl w:val="0"/>
                <w:lang w:val="en-US"/>
              </w:rPr>
              <w:t>NB.</w:t>
            </w:r>
            <w:r>
              <w:rPr>
                <w:rStyle w:val="None"/>
                <w:rFonts w:ascii="Calibri" w:cs="Calibri" w:hAnsi="Calibri" w:eastAsia="Calibri"/>
                <w:i w:val="1"/>
                <w:iCs w:val="1"/>
                <w:sz w:val="24"/>
                <w:szCs w:val="24"/>
                <w:rtl w:val="0"/>
                <w:lang w:val="en-US"/>
              </w:rPr>
              <w:t xml:space="preserve">  All marks are provisional until confirmed by the final examination board. </w:t>
            </w:r>
          </w:p>
          <w:p>
            <w:pPr>
              <w:pStyle w:val="Normal (Web)"/>
              <w:bidi w:val="0"/>
              <w:spacing w:before="0" w:after="0"/>
              <w:ind w:left="142" w:right="34" w:firstLine="0"/>
              <w:jc w:val="left"/>
              <w:rPr>
                <w:rtl w:val="0"/>
              </w:rPr>
            </w:pPr>
            <w:r>
              <w:rPr>
                <w:rStyle w:val="None"/>
                <w:rFonts w:ascii="Calibri" w:cs="Calibri" w:hAnsi="Calibri" w:eastAsia="Calibri"/>
                <w:i w:val="1"/>
                <w:iCs w:val="1"/>
                <w:sz w:val="24"/>
                <w:szCs w:val="24"/>
                <w:rtl w:val="0"/>
                <w:lang w:val="en-US"/>
              </w:rPr>
              <w:t xml:space="preserve"> </w:t>
            </w:r>
          </w:p>
        </w:tc>
      </w:tr>
    </w:tbl>
    <w:p>
      <w:pPr>
        <w:pStyle w:val="Heading"/>
        <w:rPr>
          <w:sz w:val="26"/>
          <w:szCs w:val="26"/>
        </w:rPr>
      </w:pPr>
    </w:p>
    <w:p>
      <w:pPr>
        <w:pStyle w:val="Heading"/>
        <w:rPr>
          <w:sz w:val="26"/>
          <w:szCs w:val="26"/>
        </w:rPr>
      </w:pPr>
      <w:r>
        <w:rPr>
          <w:sz w:val="26"/>
          <w:szCs w:val="26"/>
          <w:rtl w:val="0"/>
          <w:lang w:val="zh-TW" w:eastAsia="zh-TW"/>
        </w:rPr>
        <w:t>U</w:t>
      </w:r>
      <w:r>
        <w:rPr>
          <w:sz w:val="26"/>
          <w:szCs w:val="26"/>
          <w:rtl w:val="0"/>
          <w:lang w:val="en-US"/>
        </w:rPr>
        <w:t>sing examples, discuss how technology may enable heritage management and presentation</w:t>
      </w:r>
    </w:p>
    <w:p>
      <w:pPr>
        <w:pStyle w:val="Body"/>
        <w:bidi w:val="0"/>
      </w:pPr>
    </w:p>
    <w:p>
      <w:pPr>
        <w:pStyle w:val="Body"/>
        <w:spacing w:line="480" w:lineRule="auto"/>
        <w:jc w:val="both"/>
        <w:rPr>
          <w:sz w:val="24"/>
          <w:szCs w:val="24"/>
        </w:rPr>
      </w:pPr>
      <w:r>
        <w:rPr>
          <w:sz w:val="24"/>
          <w:szCs w:val="24"/>
          <w:rtl w:val="0"/>
          <w:lang w:val="zh-TW" w:eastAsia="zh-TW"/>
        </w:rPr>
        <w:t xml:space="preserve">Heritage which records human history is placed a high position in modern society. Nonetheless, they are fragile and easily broken by environment, time and human error. Good management and preservation are therefore essential to maintain those historical records. Rather than manual skills, technology can perform it more accurately and powerfully. Technology can also display heritage in a better way that is more interesting, comprehensive and lively. In the following paragraphs, the application of technology in heritage management is firstly discussed and the advantages of technology in heritage presentation are followed.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Regarding heritage management, there are two main components: security and artifact preservation. There are vitally crucial to protect heritages from being damaged and lost, and secure the safety of visitors. With the great progress in material science technology, a more stable environment for heritages is provide. In the structure of the buildings, functions such as fire-resistance, flood-resistance and earthquake-resistance are indispensable, especially in the regions hit by natural hazards frequently. Japan, an example, suffers a lot from earthquakes, tsunamis, typhoon and volcanic eruptions. </w:t>
      </w:r>
      <w:r>
        <w:rPr>
          <w:sz w:val="24"/>
          <w:szCs w:val="24"/>
          <w:rtl w:val="0"/>
          <w:lang w:val="pt-PT"/>
        </w:rPr>
        <w:t>MIHO Museum</w:t>
      </w:r>
      <w:r>
        <w:rPr>
          <w:sz w:val="24"/>
          <w:szCs w:val="24"/>
          <w:rtl w:val="0"/>
          <w:lang w:val="zh-TW" w:eastAsia="zh-TW"/>
        </w:rPr>
        <w:t xml:space="preserve"> in Kyoto used elastic and flexible conjunction materials to glue bricks and tiles, so as to reduce the destructions brought by earthquakes. The improvements of disaster-prediction and alarming also does well to minimize the death doll and loss of antiques. </w:t>
      </w:r>
      <w:r>
        <w:rPr>
          <w:sz w:val="24"/>
          <w:szCs w:val="24"/>
          <w:rtl w:val="0"/>
          <w:lang w:val="en-US"/>
        </w:rPr>
        <w:t xml:space="preserve">Natural disasters are terrible and unpredictable </w:t>
      </w:r>
      <w:r>
        <w:rPr>
          <w:sz w:val="24"/>
          <w:szCs w:val="24"/>
          <w:rtl w:val="0"/>
          <w:lang w:val="zh-TW" w:eastAsia="zh-TW"/>
        </w:rPr>
        <w:t>whereas advanced technologies help increase the survival rate of heritages</w:t>
      </w:r>
      <w:r>
        <w:rPr>
          <w:sz w:val="24"/>
          <w:szCs w:val="24"/>
          <w:rtl w:val="0"/>
        </w:rPr>
        <w:t>.</w:t>
      </w:r>
      <w:r>
        <w:rPr>
          <w:sz w:val="24"/>
          <w:szCs w:val="24"/>
          <w:rtl w:val="0"/>
          <w:lang w:val="zh-TW" w:eastAsia="zh-TW"/>
        </w:rPr>
        <w:t xml:space="preserve">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As for the displaying artifacts, preservation is also needed. Technologies are thus essential to protect artifacts from environmental damage such as changing relative humidity, temperature, carbon dioxide level or lighting. It is common to have regulators and sensors in the exhibitions measuring physical condition which helps to ensure artifacts are situating in the best condition. </w:t>
      </w:r>
      <w:r>
        <w:rPr>
          <w:sz w:val="24"/>
          <w:szCs w:val="24"/>
          <w:rtl w:val="0"/>
          <w:lang w:val="nl-NL"/>
        </w:rPr>
        <w:t>Rijksmusue</w:t>
      </w:r>
      <w:r>
        <w:rPr>
          <w:sz w:val="24"/>
          <w:szCs w:val="24"/>
          <w:rtl w:val="0"/>
          <w:lang w:val="zh-TW" w:eastAsia="zh-TW"/>
        </w:rPr>
        <w:t xml:space="preserve">m in </w:t>
      </w:r>
      <w:r>
        <w:rPr>
          <w:sz w:val="24"/>
          <w:szCs w:val="24"/>
          <w:rtl w:val="0"/>
          <w:lang w:val="nl-NL"/>
        </w:rPr>
        <w:t>Amsterdam</w:t>
      </w:r>
      <w:r>
        <w:rPr>
          <w:sz w:val="24"/>
          <w:szCs w:val="24"/>
          <w:rtl w:val="0"/>
          <w:lang w:val="zh-TW" w:eastAsia="zh-TW"/>
        </w:rPr>
        <w:t xml:space="preserve"> utilizes special optical fibre for lighting </w:t>
      </w:r>
      <w:r>
        <w:rPr>
          <w:sz w:val="24"/>
          <w:szCs w:val="24"/>
          <w:rtl w:val="0"/>
          <w:lang w:val="en-US"/>
        </w:rPr>
        <w:t xml:space="preserve">in Philip Wing, where shows the most influential heritages of the museum, </w:t>
      </w:r>
      <w:r>
        <w:rPr>
          <w:sz w:val="24"/>
          <w:szCs w:val="24"/>
          <w:rtl w:val="0"/>
          <w:lang w:val="zh-TW" w:eastAsia="zh-TW"/>
        </w:rPr>
        <w:t>which can minimize the harms brought by lighting to artifacts and</w:t>
      </w:r>
      <w:r>
        <w:rPr>
          <w:sz w:val="24"/>
          <w:szCs w:val="24"/>
          <w:rtl w:val="0"/>
          <w:lang w:val="en-US"/>
        </w:rPr>
        <w:t xml:space="preserve"> retain v</w:t>
      </w:r>
      <w:r>
        <w:rPr>
          <w:sz w:val="24"/>
          <w:szCs w:val="24"/>
          <w:rtl w:val="0"/>
          <w:lang w:val="en-US"/>
        </w:rPr>
        <w:t>isual aesthetics</w:t>
      </w:r>
      <w:r>
        <w:rPr>
          <w:sz w:val="24"/>
          <w:szCs w:val="24"/>
          <w:rtl w:val="0"/>
          <w:lang w:val="zh-TW" w:eastAsia="zh-TW"/>
        </w:rPr>
        <w:t xml:space="preserve"> </w:t>
      </w:r>
      <w:r>
        <w:rPr>
          <w:sz w:val="24"/>
          <w:szCs w:val="24"/>
          <w:rtl w:val="0"/>
          <w:lang w:val="en-US"/>
        </w:rPr>
        <w:t>at the same time.</w:t>
      </w:r>
      <w:r>
        <w:rPr>
          <w:sz w:val="24"/>
          <w:szCs w:val="24"/>
          <w:rtl w:val="0"/>
          <w:lang w:val="zh-TW" w:eastAsia="zh-TW"/>
        </w:rPr>
        <w:t xml:space="preserve"> </w:t>
      </w:r>
      <w:r>
        <w:rPr>
          <w:sz w:val="24"/>
          <w:szCs w:val="24"/>
          <w:rtl w:val="0"/>
          <w:lang w:val="en-US"/>
        </w:rPr>
        <w:t>In Newport Ship Museum, technology is widely adopted to conserve the excavated medieval ship. To have the timbers protected, a large store with constant temperature and humidity environment is build to prevent the destruction of timber</w:t>
      </w:r>
      <w:r>
        <w:rPr>
          <w:sz w:val="24"/>
          <w:szCs w:val="24"/>
          <w:rtl w:val="0"/>
          <w:lang w:val="zh-TW" w:eastAsia="zh-TW"/>
        </w:rPr>
        <w:t>. All artifacts, both the displaying and storing one, are treasurable. Anti-theft protection is vitally crucia</w:t>
      </w:r>
      <w:r>
        <w:rPr>
          <w:sz w:val="24"/>
          <w:szCs w:val="24"/>
          <w:rtl w:val="0"/>
          <w:lang w:val="en-US"/>
        </w:rPr>
        <w:t>l.</w:t>
      </w:r>
      <w:r>
        <w:rPr>
          <w:sz w:val="24"/>
          <w:szCs w:val="24"/>
          <w:rtl w:val="0"/>
          <w:lang w:val="zh-TW" w:eastAsia="zh-TW"/>
        </w:rPr>
        <w:t xml:space="preserve"> First of all, closed circuit television (CCTV) is necessary and is already installed in every museums and heritage sites. CCTV monitor a range of activities, including the behaviors of visitors and criminal activities. It can thus deter people from stealing artifacts or damaging the displayed artworks. Besides, a reliable level of detection is provided with advanced alarm technology which can alert people in emergency situations on one hand and contact police immediately when crimes and dangers happen.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Having detail records of heritages is another kind of conservation. Since 1995 and 1996, </w:t>
      </w:r>
      <w:r>
        <w:rPr>
          <w:sz w:val="24"/>
          <w:szCs w:val="24"/>
          <w:rtl w:val="0"/>
          <w:lang w:val="en-US"/>
        </w:rPr>
        <w:t>American Memory campaign</w:t>
      </w:r>
      <w:r>
        <w:rPr>
          <w:sz w:val="24"/>
          <w:szCs w:val="24"/>
          <w:rtl w:val="0"/>
          <w:lang w:val="zh-TW" w:eastAsia="zh-TW"/>
        </w:rPr>
        <w:t xml:space="preserve"> and Memory of World campaign were initiated by US congress and UNESCO respectively to digitalize all important heritages including manuscripts, photos and videos. Many countries, such as Netherland, Japan, France and United Kingdom, followed to create digital files of heritages. Regardless how great the preservation works have done on heritages, they must be vandalized with time and unpredictable disasters or incidents. Ancient Chinese paintings, for instance, are limited by the paper texture and coloring pigments which make paintings to be oxidized. The artworks are thus degenerated soon. Through digital heritage recording, artifacts are documented in their best conditions. Heritages are therefore protected from being lost completely though they are no longer real and touchable objects. Furthermore, an online database enable convenient heritage management. Information written online is well-organized that information would not be misunderstood due to poor handwriting or missing pages. A searching system of heritages developed allows a quicker management. Another advantage of digital database is the exchange information between museums and nation-states. There is no a single museum or country has a complete collection of heritages in particular issues or periods. The shared information helps museums to organize a more comprehensive exhibition. International databases are therefore crucial for officers to understand the heritages they have. Through this channel, artifacts may be exchanged between countries to complete the context of exhibition.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 xml:space="preserve">In the era of communication, heritage industry not only focuses on preservation and collection of </w:t>
      </w:r>
      <w:r>
        <w:rPr>
          <w:sz w:val="24"/>
          <w:szCs w:val="24"/>
          <w:rtl w:val="0"/>
          <w:lang w:val="zh-TW" w:eastAsia="zh-TW"/>
        </w:rPr>
        <w:t>artifacts</w:t>
      </w:r>
      <w:r>
        <w:rPr>
          <w:sz w:val="24"/>
          <w:szCs w:val="24"/>
          <w:rtl w:val="0"/>
          <w:lang w:val="en-US"/>
        </w:rPr>
        <w:t>, but also emphasize on the interaction between heritages and visitors. In the perspective of visitors, receiving information passively is no longer adequate to help them building a long-term memory about the heritages. Instead, experimentally learning method is more attractive and effective (Hooper-Greenhill 1994).</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 xml:space="preserve">Enlivening dead heritages is one of the easiest way to increase engagement. </w:t>
      </w:r>
      <w:r>
        <w:rPr>
          <w:sz w:val="24"/>
          <w:szCs w:val="24"/>
          <w:rtl w:val="0"/>
          <w:lang w:val="en-US"/>
        </w:rPr>
        <w:t>Along the River During the Qingming Festival, one of the ten legendary arts in China, was re-energized. The drawing, which is 528.7cm long and 25.2cm high, illustrates the daily lives of people in different social classes in Song Dynasty. Since the painting includes too many details and is too long, the general is not patient enough to finish reading the whole painting, depict of its greatness. To prepare for the 2010 World Expo, the artwork was animated that people and animals in the drawing are acting. The daytime and nighttime of the city are also presented. The painting is now showing in a large and long screen which more people can enjoy it at the same time. Although some of the details of the original drawing are missed in the animated version, it makes people, including both kids and experts, to understand the artwork and the living environment of Song Dynasty.</w:t>
      </w:r>
      <w:r>
        <w:rPr>
          <w:sz w:val="24"/>
          <w:szCs w:val="24"/>
          <w:rtl w:val="0"/>
          <w:lang w:val="en-US"/>
        </w:rPr>
        <w:t xml:space="preserve"> In heritages of Roman Baths, there are animations to illustrate the functions and activities carried on each area which are hardly identified by the general from damaged heritages. Picture and animation are always easy way for visitor to be interested and acquire the information.</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 xml:space="preserve">Reconstructing the original setting of heritage can always present the history of the heritage to visitors better. However, the feasibility are doubtable due to the destruction probability and high cost. Virtual reality technology is therefore a desirable alternative. </w:t>
      </w:r>
      <w:r>
        <w:rPr>
          <w:sz w:val="24"/>
          <w:szCs w:val="24"/>
          <w:rtl w:val="0"/>
          <w:lang w:val="en-US"/>
        </w:rPr>
        <w:t>In Spain, Casa Batllo, one of the famous architectures designed by Gaudi, makes use of both audioguide and video-guide. A smartphone-liked device that is distributed to every visitor can identify the location you are staying to provide related information in eleven different language to cater the need of people from the world. By identifying the location, virtual image</w:t>
      </w:r>
      <w:r>
        <w:rPr>
          <w:sz w:val="24"/>
          <w:szCs w:val="24"/>
          <w:rtl w:val="0"/>
          <w:lang w:val="en-US"/>
        </w:rPr>
        <w:t>s</w:t>
      </w:r>
      <w:r>
        <w:rPr>
          <w:sz w:val="24"/>
          <w:szCs w:val="24"/>
          <w:rtl w:val="0"/>
          <w:lang w:val="en-US"/>
        </w:rPr>
        <w:t xml:space="preserve"> about the setting of the room is also shown in the electronic device according to holders</w:t>
      </w:r>
      <w:r>
        <w:rPr>
          <w:sz w:val="24"/>
          <w:szCs w:val="24"/>
          <w:rtl w:val="0"/>
          <w:lang w:val="fr-FR"/>
        </w:rPr>
        <w:t xml:space="preserve">’ </w:t>
      </w:r>
      <w:r>
        <w:rPr>
          <w:sz w:val="24"/>
          <w:szCs w:val="24"/>
          <w:rtl w:val="0"/>
          <w:lang w:val="en-US"/>
        </w:rPr>
        <w:t xml:space="preserve">movement. The mix of virtual and actual scenes allows visitors a more realistic and dynamic experience.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To reach a wider population, technologies such as Internet and 3D printing techniques make heritages to be known easier. Apart from putting words and photos on the Internet, virtual tours are held. In the official website of Casa Batllo, people can enjoy a private tour in the building. </w:t>
      </w:r>
      <w:r>
        <w:rPr>
          <w:sz w:val="24"/>
          <w:szCs w:val="24"/>
          <w:rtl w:val="0"/>
          <w:lang w:val="en-US"/>
        </w:rPr>
        <w:t>Although people are not exactly in the architecture, they can still have an online adventure providing 360</w:t>
      </w:r>
      <w:r>
        <w:rPr>
          <w:sz w:val="24"/>
          <w:szCs w:val="24"/>
          <w:rtl w:val="0"/>
          <w:lang w:val="es-ES_tradnl"/>
        </w:rPr>
        <w:t xml:space="preserve">º </w:t>
      </w:r>
      <w:r>
        <w:rPr>
          <w:sz w:val="24"/>
          <w:szCs w:val="24"/>
          <w:rtl w:val="0"/>
          <w:lang w:val="en-US"/>
        </w:rPr>
        <w:t>view of the amazing house. This tour increases the accessibility for those who are not affordable to get there or severely disabled.</w:t>
      </w:r>
      <w:r>
        <w:rPr>
          <w:sz w:val="24"/>
          <w:szCs w:val="24"/>
          <w:rtl w:val="0"/>
          <w:lang w:val="en-US"/>
        </w:rPr>
        <w:t xml:space="preserve"> </w:t>
      </w:r>
      <w:r>
        <w:rPr>
          <w:sz w:val="24"/>
          <w:szCs w:val="24"/>
          <w:rtl w:val="0"/>
          <w:lang w:val="zh-TW" w:eastAsia="zh-TW"/>
        </w:rPr>
        <w:t xml:space="preserve">Lascaux Cave, which has remarkable cave arts of Upper Paleolithic period, are hardly accessed by wheel-chaired owing </w:t>
      </w:r>
      <w:r>
        <w:rPr>
          <w:sz w:val="24"/>
          <w:szCs w:val="24"/>
          <w:rtl w:val="0"/>
          <w:lang w:val="en-US"/>
        </w:rPr>
        <w:t>people</w:t>
      </w:r>
      <w:r>
        <w:rPr>
          <w:sz w:val="24"/>
          <w:szCs w:val="24"/>
          <w:rtl w:val="0"/>
          <w:lang w:val="zh-TW" w:eastAsia="zh-TW"/>
        </w:rPr>
        <w:t xml:space="preserve"> to its narrow and complicated structure. Virtual tour is thus derived on the internet with detailed explanation. Moreover, the same heritage can be displayed in different locations at the same time with the 3D printing technology. The statue of David, one of the most famous statues in the world, is widely used not only in museums, but also hotels and restaurants as decoration. Museums and historical sites are no longer the only places where people can appreciate artifacts, yet artifacts are around their lives.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In the aspect of labelling, technology also helps to provide more information to visitors. In the traditional way of labeling, a brief introduction of artifacts are concluded. The brief introduction though is comprehensible to every visitor, limits visitors to learn more and heritages cannot be thoroughly presented as most of their information such as author</w:t>
      </w:r>
      <w:r>
        <w:rPr>
          <w:sz w:val="24"/>
          <w:szCs w:val="24"/>
          <w:rtl w:val="0"/>
          <w:lang w:val="zh-TW" w:eastAsia="zh-TW"/>
        </w:rPr>
        <w:t>’</w:t>
      </w:r>
      <w:r>
        <w:rPr>
          <w:sz w:val="24"/>
          <w:szCs w:val="24"/>
          <w:rtl w:val="0"/>
          <w:lang w:val="zh-TW" w:eastAsia="zh-TW"/>
        </w:rPr>
        <w:t>s background and inspiration is hidden. The place of labelling is also restricted by many rules in order to ensure the accessibility. For example, labels cannot be located too low that causes visitor to bend over, or too high that children cannot read. Nonetheless, with the increasing popularity of electronic devices, people can look into the details of heritages in smartphone after scanning the QR code or opening the museum app. They are able to hold a wide variety of information, such as videos, photos and research result, which allows interested audience to explore more and the heritages can be presented unreservedly. T</w:t>
      </w:r>
      <w:r>
        <w:rPr>
          <w:sz w:val="24"/>
          <w:szCs w:val="24"/>
          <w:rtl w:val="0"/>
          <w:lang w:val="de-DE"/>
        </w:rPr>
        <w:t>he Isabella Stewart Gardner Museum in Boston</w:t>
      </w:r>
      <w:r>
        <w:rPr>
          <w:sz w:val="24"/>
          <w:szCs w:val="24"/>
          <w:rtl w:val="0"/>
          <w:lang w:val="zh-TW" w:eastAsia="zh-TW"/>
        </w:rPr>
        <w:t xml:space="preserve"> has not any labels to explain artifacts. Instead, QR codes are printed next to the arts or one a paper handout, which allows a visitor-controlled experience.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The purposes of heritage presentation not only is to display valuable ancient antiques, but also to deliver some messages to the public and hence they can learn something from the past. The hidden messages in exhibition are always abstract and untouchable. However, constructing a suitable atmosphere can bring visitors into those messages and feelings quickly. For instance, the theme of peace can hardly be presented. In Imperial War Museum North in Manchester, multimedia, showing the oral stories about wars, is applied on many gigantic walls, so as to create the fear and sense of oppression of wars. In Holocaust Museum in Washington D.C., oral histories are also presented the process of holocaust. With the lighting effects, visitors may feel that they are situating in the same condition and hence the sense of terror is induced. Those actual emotions generated by visitors themselves will bring them to the messages of exhibitions automatically.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zh-TW" w:eastAsia="zh-TW"/>
        </w:rPr>
        <w:t xml:space="preserve">In conclusion, technology improves the survival rate of heritage in natural hazards by strengthening the architecture structure with material science. Technology eliminates opportunities for thefts with advanced security systems. Technology also enhances heritage conservation by creating a stable environment and electronic archives. In the aspect of heritage exhibition, technology enables greater accessibility of heritage by establishing virtual tour and 3D models. Impressive experience is generated by re-energized heritages and atmosphere constructed by different techniques. Heritages can also be presented with thorough information to audiences with the use of QR code and apps. Though heritage themselves are always the most important part of heritage industry, heritage industry relies on advanced technology since the difficulties of heritage management and presentation can be simplified with technology. </w:t>
      </w:r>
    </w:p>
    <w:p>
      <w:pPr>
        <w:pStyle w:val="Body"/>
        <w:spacing w:line="480" w:lineRule="auto"/>
        <w:jc w:val="both"/>
        <w:rPr>
          <w:sz w:val="24"/>
          <w:szCs w:val="24"/>
        </w:rPr>
      </w:pPr>
      <w:r>
        <w:rPr>
          <w:sz w:val="24"/>
          <w:szCs w:val="24"/>
          <w:rtl w:val="0"/>
          <w:lang w:val="zh-TW" w:eastAsia="zh-TW"/>
        </w:rPr>
        <w:t xml:space="preserve"> </w:t>
      </w: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p>
    <w:p>
      <w:pPr>
        <w:pStyle w:val="Body"/>
        <w:spacing w:line="480" w:lineRule="auto"/>
        <w:jc w:val="both"/>
        <w:rPr>
          <w:sz w:val="24"/>
          <w:szCs w:val="24"/>
        </w:rPr>
      </w:pPr>
      <w:r>
        <w:rPr>
          <w:rStyle w:val="None"/>
          <w:b w:val="1"/>
          <w:bCs w:val="1"/>
          <w:sz w:val="24"/>
          <w:szCs w:val="24"/>
          <w:rtl w:val="0"/>
          <w:lang w:val="zh-TW" w:eastAsia="zh-TW"/>
        </w:rPr>
        <w:t>Reference</w:t>
      </w:r>
      <w:r>
        <w:rPr>
          <w:sz w:val="24"/>
          <w:szCs w:val="24"/>
          <w:rtl w:val="0"/>
          <w:lang w:val="zh-TW" w:eastAsia="zh-TW"/>
        </w:rPr>
        <w:t xml:space="preserve"> </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 xml:space="preserve">Hooper-Greenhill, E. 1994. </w:t>
      </w:r>
      <w:r>
        <w:rPr>
          <w:rStyle w:val="None"/>
          <w:i w:val="1"/>
          <w:iCs w:val="1"/>
          <w:sz w:val="24"/>
          <w:szCs w:val="24"/>
          <w:rtl w:val="0"/>
          <w:lang w:val="en-US"/>
        </w:rPr>
        <w:t>Museums and their Visitors</w:t>
      </w:r>
      <w:r>
        <w:rPr>
          <w:sz w:val="24"/>
          <w:szCs w:val="24"/>
          <w:rtl w:val="0"/>
          <w:lang w:val="en-US"/>
        </w:rPr>
        <w:t>. London: Routledge.</w:t>
      </w:r>
    </w:p>
    <w:p>
      <w:pPr>
        <w:pStyle w:val="Body"/>
        <w:spacing w:line="480" w:lineRule="auto"/>
        <w:jc w:val="both"/>
        <w:rPr>
          <w:sz w:val="24"/>
          <w:szCs w:val="24"/>
        </w:rPr>
      </w:pPr>
    </w:p>
    <w:p>
      <w:pPr>
        <w:pStyle w:val="Body"/>
        <w:spacing w:line="480" w:lineRule="auto"/>
        <w:jc w:val="both"/>
        <w:rPr>
          <w:rStyle w:val="None"/>
          <w:sz w:val="24"/>
          <w:szCs w:val="24"/>
        </w:rPr>
      </w:pPr>
      <w:r>
        <w:rPr>
          <w:rStyle w:val="None"/>
          <w:sz w:val="24"/>
          <w:szCs w:val="24"/>
          <w:rtl w:val="0"/>
          <w:lang w:val="zh-TW" w:eastAsia="zh-TW"/>
        </w:rPr>
        <w:t xml:space="preserve">Ken, F. 2006. </w:t>
      </w:r>
      <w:r>
        <w:rPr>
          <w:rStyle w:val="None"/>
          <w:sz w:val="24"/>
          <w:szCs w:val="24"/>
          <w:rtl w:val="0"/>
          <w:lang w:val="en-US"/>
        </w:rPr>
        <w:t>The Real and the Virtual: Application of New Technological Media to Museum Exhibitions</w:t>
      </w:r>
      <w:r>
        <w:rPr>
          <w:rStyle w:val="None"/>
          <w:sz w:val="24"/>
          <w:szCs w:val="24"/>
          <w:rtl w:val="0"/>
          <w:lang w:val="zh-TW" w:eastAsia="zh-TW"/>
        </w:rPr>
        <w:t xml:space="preserve">. Museum Quarterly 20(1): 81-96. [Online: </w:t>
      </w:r>
      <w:r>
        <w:rPr>
          <w:rStyle w:val="Hyperlink.1"/>
          <w:sz w:val="24"/>
          <w:szCs w:val="24"/>
        </w:rPr>
        <w:fldChar w:fldCharType="begin" w:fldLock="0"/>
      </w:r>
      <w:r>
        <w:rPr>
          <w:rStyle w:val="Hyperlink.1"/>
          <w:sz w:val="24"/>
          <w:szCs w:val="24"/>
        </w:rPr>
        <w:instrText xml:space="preserve"> HYPERLINK "http://web2.nmns.edu.tw/PubLib/Library/quaterly/200601_81.pdf%5D"</w:instrText>
      </w:r>
      <w:r>
        <w:rPr>
          <w:rStyle w:val="Hyperlink.1"/>
          <w:sz w:val="24"/>
          <w:szCs w:val="24"/>
        </w:rPr>
        <w:fldChar w:fldCharType="separate" w:fldLock="0"/>
      </w:r>
      <w:r>
        <w:rPr>
          <w:rStyle w:val="Hyperlink.1"/>
          <w:sz w:val="24"/>
          <w:szCs w:val="24"/>
          <w:rtl w:val="0"/>
          <w:lang w:val="en-US"/>
        </w:rPr>
        <w:t>http://web2.nmns.edu.tw/PubLib/Library/quaterly/200601_81.pdf]</w:t>
      </w:r>
      <w:r>
        <w:rPr>
          <w:sz w:val="24"/>
          <w:szCs w:val="24"/>
        </w:rPr>
        <w:fldChar w:fldCharType="end" w:fldLock="0"/>
      </w:r>
      <w:r>
        <w:rPr>
          <w:sz w:val="24"/>
          <w:szCs w:val="24"/>
          <w:rtl w:val="0"/>
          <w:lang w:val="zh-TW" w:eastAsia="zh-TW"/>
        </w:rPr>
        <w:t xml:space="preserve"> </w:t>
      </w:r>
      <w:r>
        <w:rPr>
          <w:rStyle w:val="None"/>
          <w:sz w:val="24"/>
          <w:szCs w:val="24"/>
          <w:rtl w:val="0"/>
          <w:lang w:val="en-US"/>
        </w:rPr>
        <w:t xml:space="preserve">[Assessed: </w:t>
      </w:r>
      <w:r>
        <w:rPr>
          <w:rStyle w:val="None"/>
          <w:sz w:val="24"/>
          <w:szCs w:val="24"/>
          <w:rtl w:val="0"/>
          <w:lang w:val="zh-TW" w:eastAsia="zh-TW"/>
        </w:rPr>
        <w:t>10</w:t>
      </w:r>
      <w:r>
        <w:rPr>
          <w:rStyle w:val="None"/>
          <w:sz w:val="24"/>
          <w:szCs w:val="24"/>
          <w:rtl w:val="0"/>
          <w:lang w:val="en-US"/>
        </w:rPr>
        <w:t>th December 2017]</w:t>
      </w:r>
    </w:p>
    <w:p>
      <w:pPr>
        <w:pStyle w:val="Body"/>
        <w:spacing w:line="480" w:lineRule="auto"/>
        <w:jc w:val="both"/>
        <w:rPr>
          <w:sz w:val="24"/>
          <w:szCs w:val="24"/>
        </w:rPr>
      </w:pPr>
    </w:p>
    <w:p>
      <w:pPr>
        <w:pStyle w:val="Body"/>
        <w:spacing w:line="480" w:lineRule="auto"/>
        <w:jc w:val="both"/>
        <w:rPr>
          <w:sz w:val="24"/>
          <w:szCs w:val="24"/>
        </w:rPr>
      </w:pPr>
      <w:r>
        <w:rPr>
          <w:sz w:val="24"/>
          <w:szCs w:val="24"/>
          <w:rtl w:val="0"/>
          <w:lang w:val="en-US"/>
        </w:rPr>
        <w:t xml:space="preserve">Lord, G. and Lord, B. 1999. </w:t>
      </w:r>
      <w:r>
        <w:rPr>
          <w:rStyle w:val="None"/>
          <w:i w:val="1"/>
          <w:iCs w:val="1"/>
          <w:sz w:val="24"/>
          <w:szCs w:val="24"/>
          <w:rtl w:val="0"/>
          <w:lang w:val="en-US"/>
        </w:rPr>
        <w:t>The Manual of Museum Planning</w:t>
      </w:r>
      <w:r>
        <w:rPr>
          <w:sz w:val="24"/>
          <w:szCs w:val="24"/>
          <w:rtl w:val="0"/>
          <w:lang w:val="en-US"/>
        </w:rPr>
        <w:t xml:space="preserve">. London: The Stationery Office.  </w:t>
      </w:r>
      <w:r>
        <w:rPr>
          <w:sz w:val="24"/>
          <w:szCs w:val="24"/>
          <w:rtl w:val="0"/>
        </w:rPr>
        <w:t xml:space="preserve"> (2nd</w:t>
      </w:r>
      <w:r>
        <w:rPr>
          <w:sz w:val="24"/>
          <w:szCs w:val="24"/>
          <w:rtl w:val="0"/>
          <w:lang w:val="en-US"/>
        </w:rPr>
        <w:t xml:space="preserve"> </w:t>
      </w:r>
      <w:r>
        <w:rPr>
          <w:sz w:val="24"/>
          <w:szCs w:val="24"/>
          <w:rtl w:val="0"/>
        </w:rPr>
        <w:t>edition)</w:t>
      </w:r>
    </w:p>
    <w:p>
      <w:pPr>
        <w:pStyle w:val="Body"/>
        <w:spacing w:line="480" w:lineRule="auto"/>
        <w:jc w:val="both"/>
        <w:rPr>
          <w:sz w:val="24"/>
          <w:szCs w:val="24"/>
        </w:rPr>
      </w:pPr>
    </w:p>
    <w:p>
      <w:pPr>
        <w:pStyle w:val="Body"/>
        <w:spacing w:line="480" w:lineRule="auto"/>
        <w:jc w:val="both"/>
        <w:rPr>
          <w:rStyle w:val="None"/>
          <w:sz w:val="24"/>
          <w:szCs w:val="24"/>
        </w:rPr>
      </w:pPr>
      <w:r>
        <w:rPr>
          <w:sz w:val="24"/>
          <w:szCs w:val="24"/>
          <w:rtl w:val="0"/>
          <w:lang w:val="en-US"/>
        </w:rPr>
        <w:t xml:space="preserve">Saffle, K. 2013. </w:t>
      </w:r>
      <w:r>
        <w:rPr>
          <w:sz w:val="24"/>
          <w:szCs w:val="24"/>
          <w:rtl w:val="0"/>
          <w:lang w:val="en-US"/>
        </w:rPr>
        <w:t>Reinventing Museum Labels: Overcoming an Archtype with Technology and Visitor-Centered Label Writing.</w:t>
      </w:r>
      <w:r>
        <w:rPr>
          <w:sz w:val="24"/>
          <w:szCs w:val="24"/>
          <w:rtl w:val="0"/>
          <w:lang w:val="en-US"/>
        </w:rPr>
        <w:t xml:space="preserve"> </w:t>
      </w:r>
      <w:r>
        <w:rPr>
          <w:sz w:val="24"/>
          <w:szCs w:val="24"/>
          <w:rtl w:val="0"/>
        </w:rPr>
        <w:t>J</w:t>
      </w:r>
      <w:r>
        <w:rPr>
          <w:rStyle w:val="None"/>
          <w:i w:val="1"/>
          <w:iCs w:val="1"/>
          <w:sz w:val="24"/>
          <w:szCs w:val="24"/>
          <w:rtl w:val="0"/>
          <w:lang w:val="en-US"/>
        </w:rPr>
        <w:t>ournal of Museum Studies</w:t>
      </w:r>
      <w:r>
        <w:rPr>
          <w:sz w:val="24"/>
          <w:szCs w:val="24"/>
          <w:rtl w:val="0"/>
        </w:rPr>
        <w:t xml:space="preserve"> </w:t>
      </w:r>
      <w:r>
        <w:rPr>
          <w:sz w:val="24"/>
          <w:szCs w:val="24"/>
          <w:rtl w:val="0"/>
          <w:lang w:val="en-US"/>
        </w:rPr>
        <w:t>7(1): 1-16. [Online: http://web.a.ebscohost.com.ezproxy.uwtsd.ac.uk/ehost/pdfviewer/pdfviewer?vid=1&amp;sid=761aa81b-df32-4ffc-90ab-a20528413789%40sessionmgr4009]</w:t>
      </w:r>
      <w:r>
        <w:rPr>
          <w:rStyle w:val="None"/>
          <w:sz w:val="24"/>
          <w:szCs w:val="24"/>
          <w:rtl w:val="0"/>
          <w:lang w:val="en-US"/>
        </w:rPr>
        <w:t xml:space="preserve"> [Assessed: 9th December 2017]</w:t>
      </w:r>
    </w:p>
    <w:p>
      <w:pPr>
        <w:pStyle w:val="Body"/>
        <w:spacing w:line="480" w:lineRule="auto"/>
        <w:jc w:val="both"/>
        <w:rPr>
          <w:rStyle w:val="None"/>
          <w:sz w:val="24"/>
          <w:szCs w:val="24"/>
        </w:rPr>
      </w:pPr>
    </w:p>
    <w:p>
      <w:pPr>
        <w:pStyle w:val="Body"/>
        <w:spacing w:line="480" w:lineRule="auto"/>
        <w:jc w:val="both"/>
        <w:rPr>
          <w:rStyle w:val="None"/>
          <w:sz w:val="24"/>
          <w:szCs w:val="24"/>
        </w:rPr>
      </w:pPr>
      <w:r>
        <w:rPr>
          <w:rStyle w:val="None"/>
          <w:sz w:val="24"/>
          <w:szCs w:val="24"/>
          <w:rtl w:val="0"/>
        </w:rPr>
        <w:t>Tsai</w:t>
      </w:r>
      <w:r>
        <w:rPr>
          <w:rStyle w:val="None"/>
          <w:sz w:val="24"/>
          <w:szCs w:val="24"/>
          <w:rtl w:val="0"/>
          <w:lang w:val="en-US"/>
        </w:rPr>
        <w:t xml:space="preserve">, S. 2002. </w:t>
      </w:r>
      <w:r>
        <w:rPr>
          <w:rStyle w:val="None"/>
          <w:sz w:val="24"/>
          <w:szCs w:val="24"/>
          <w:rtl w:val="0"/>
          <w:lang w:val="en-US"/>
        </w:rPr>
        <w:t>The Digitization of the National Palace Museum Collections and the Development of the Knowledge-based Economy</w:t>
      </w:r>
      <w:r>
        <w:rPr>
          <w:rStyle w:val="None"/>
          <w:sz w:val="24"/>
          <w:szCs w:val="24"/>
          <w:rtl w:val="0"/>
          <w:lang w:val="en-US"/>
        </w:rPr>
        <w:t xml:space="preserve">. </w:t>
      </w:r>
      <w:r>
        <w:rPr>
          <w:rStyle w:val="None"/>
          <w:sz w:val="24"/>
          <w:szCs w:val="24"/>
          <w:rtl w:val="0"/>
          <w:lang w:val="zh-TW" w:eastAsia="zh-TW"/>
        </w:rPr>
        <w:t>Museum Quarterly 16(3): 53-66. [Online:</w:t>
      </w:r>
      <w:r>
        <w:rPr>
          <w:rStyle w:val="None"/>
          <w:sz w:val="24"/>
          <w:szCs w:val="24"/>
          <w:rtl w:val="0"/>
        </w:rPr>
        <w:t>http://</w:t>
      </w:r>
      <w:r>
        <w:rPr>
          <w:rStyle w:val="Hyperlink.1"/>
          <w:sz w:val="24"/>
          <w:szCs w:val="24"/>
        </w:rPr>
        <w:fldChar w:fldCharType="begin" w:fldLock="0"/>
      </w:r>
      <w:r>
        <w:rPr>
          <w:rStyle w:val="Hyperlink.1"/>
          <w:sz w:val="24"/>
          <w:szCs w:val="24"/>
        </w:rPr>
        <w:instrText xml:space="preserve"> HYPERLINK "http://web2.nmns.edu.tw/PubLib/Library/quaterly/200207_53.pdf%5D"</w:instrText>
      </w:r>
      <w:r>
        <w:rPr>
          <w:rStyle w:val="Hyperlink.1"/>
          <w:sz w:val="24"/>
          <w:szCs w:val="24"/>
        </w:rPr>
        <w:fldChar w:fldCharType="separate" w:fldLock="0"/>
      </w:r>
      <w:r>
        <w:rPr>
          <w:rStyle w:val="Hyperlink.1"/>
          <w:sz w:val="24"/>
          <w:szCs w:val="24"/>
          <w:rtl w:val="0"/>
          <w:lang w:val="en-US"/>
        </w:rPr>
        <w:t>web2.nmns.edu.tw/PubLib/Library/quaterly/200207_53.pdf]</w:t>
      </w:r>
      <w:r>
        <w:rPr>
          <w:sz w:val="24"/>
          <w:szCs w:val="24"/>
        </w:rPr>
        <w:fldChar w:fldCharType="end" w:fldLock="0"/>
      </w:r>
      <w:r>
        <w:rPr>
          <w:sz w:val="24"/>
          <w:szCs w:val="24"/>
          <w:rtl w:val="0"/>
          <w:lang w:val="zh-TW" w:eastAsia="zh-TW"/>
        </w:rPr>
        <w:t xml:space="preserve"> </w:t>
      </w:r>
      <w:r>
        <w:rPr>
          <w:rStyle w:val="None"/>
          <w:sz w:val="24"/>
          <w:szCs w:val="24"/>
          <w:rtl w:val="0"/>
          <w:lang w:val="en-US"/>
        </w:rPr>
        <w:t xml:space="preserve">[Assessed: </w:t>
      </w:r>
      <w:r>
        <w:rPr>
          <w:rStyle w:val="None"/>
          <w:sz w:val="24"/>
          <w:szCs w:val="24"/>
          <w:rtl w:val="0"/>
          <w:lang w:val="zh-TW" w:eastAsia="zh-TW"/>
        </w:rPr>
        <w:t>10</w:t>
      </w:r>
      <w:r>
        <w:rPr>
          <w:rStyle w:val="None"/>
          <w:sz w:val="24"/>
          <w:szCs w:val="24"/>
          <w:rtl w:val="0"/>
          <w:lang w:val="en-US"/>
        </w:rPr>
        <w:t>th December 2017]</w:t>
      </w:r>
    </w:p>
    <w:p>
      <w:pPr>
        <w:pStyle w:val="Body"/>
        <w:bidi w:val="0"/>
      </w:pPr>
      <w:r>
        <w:rPr>
          <w:rStyle w:val="None"/>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eorg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Default"/>
      <w:tabs>
        <w:tab w:val="center" w:pos="4819"/>
        <w:tab w:val="right" w:pos="9638"/>
      </w:tabs>
      <w:jc w:val="left"/>
    </w:pPr>
    <w:r>
      <w:rPr>
        <w:sz w:val="24"/>
        <w:szCs w:val="24"/>
      </w:rPr>
      <w:tab/>
    </w:r>
    <w:r>
      <w:rPr>
        <w:sz w:val="24"/>
        <w:szCs w:val="24"/>
      </w:rPr>
      <w:fldChar w:fldCharType="begin" w:fldLock="0"/>
    </w:r>
    <w:r>
      <w:rPr>
        <w:sz w:val="24"/>
        <w:szCs w:val="24"/>
      </w:rPr>
      <w:instrText xml:space="preserve"> PAGE </w:instrText>
    </w:r>
    <w:r>
      <w:rPr>
        <w:sz w:val="24"/>
        <w:szCs w:val="24"/>
      </w:rPr>
      <w:fldChar w:fldCharType="separate" w:fldLock="0"/>
    </w:r>
    <w:r>
      <w:rPr>
        <w:sz w:val="24"/>
        <w:szCs w:val="24"/>
      </w:rPr>
      <w:t>5</w:t>
    </w:r>
    <w:r>
      <w:rPr>
        <w:sz w:val="24"/>
        <w:szCs w:val="24"/>
      </w:rPr>
      <w:fldChar w:fldCharType="end" w:fldLock="0"/>
    </w:r>
    <w:r>
      <w:rPr>
        <w:sz w:val="24"/>
        <w:szCs w:val="24"/>
        <w:rtl w:val="0"/>
        <w:lang w:val="zh-TW" w:eastAsia="zh-TW"/>
      </w:rPr>
      <w:t>/</w:t>
    </w:r>
    <w:r>
      <w:rPr>
        <w:sz w:val="24"/>
        <w:szCs w:val="24"/>
      </w:rPr>
      <w:fldChar w:fldCharType="begin" w:fldLock="0"/>
    </w:r>
    <w:r>
      <w:rPr>
        <w:sz w:val="24"/>
        <w:szCs w:val="24"/>
      </w:rPr>
      <w:instrText xml:space="preserve"> NUMPAGES </w:instrText>
    </w:r>
    <w:r>
      <w:rPr>
        <w:sz w:val="24"/>
        <w:szCs w:val="24"/>
      </w:rPr>
      <w:fldChar w:fldCharType="separate" w:fldLock="0"/>
    </w:r>
    <w:r>
      <w:rPr>
        <w:sz w:val="24"/>
        <w:szCs w:val="24"/>
      </w:rPr>
      <w:t>8</w:t>
    </w:r>
    <w:r>
      <w:rPr>
        <w:sz w:val="24"/>
        <w:szCs w:val="2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vertAlign w:val="baseline"/>
      <w:lang w:val="en-US"/>
    </w:rPr>
  </w:style>
  <w:style w:type="character" w:styleId="None">
    <w:name w:val="None"/>
  </w:style>
  <w:style w:type="character" w:styleId="Link">
    <w:name w:val="Link"/>
    <w:rPr>
      <w:u w:val="single"/>
    </w:rPr>
  </w:style>
  <w:style w:type="character" w:styleId="Hyperlink.0">
    <w:name w:val="Hyperlink.0"/>
    <w:basedOn w:val="Link"/>
    <w:next w:val="Hyperlink.0"/>
    <w:rPr>
      <w:color w:val="0000ff"/>
      <w:u w:color="0000ff"/>
    </w:rPr>
  </w:style>
  <w:style w:type="character" w:styleId="Hyperlink.1">
    <w:name w:val="Hyperlink.1"/>
    <w:basedOn w:val="Link"/>
    <w:next w:val="Hyperlink.1"/>
    <w:rPr>
      <w:sz w:val="24"/>
      <w:szCs w:val="24"/>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