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8"/>
          <w:szCs w:val="28"/>
          <w:u w:val="none"/>
          <w:shd w:fill="auto" w:val="clear"/>
          <w:vertAlign w:val="baseline"/>
          <w:rtl w:val="0"/>
        </w:rPr>
        <w:t xml:space="preserve">Unhappily Ever After</w:t>
      </w: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 Analysing the Medieval Romance and Classical Drama Influence in the Plays </w:t>
      </w:r>
      <w:r w:rsidDel="00000000" w:rsidR="00000000" w:rsidRPr="00000000">
        <w:rPr>
          <w:rFonts w:ascii="Times New Roman" w:cs="Times New Roman" w:eastAsia="Times New Roman" w:hAnsi="Times New Roman"/>
          <w:b w:val="0"/>
          <w:i w:val="1"/>
          <w:smallCaps w:val="0"/>
          <w:strike w:val="0"/>
          <w:color w:val="000000"/>
          <w:sz w:val="28"/>
          <w:szCs w:val="28"/>
          <w:u w:val="none"/>
          <w:shd w:fill="auto" w:val="clear"/>
          <w:vertAlign w:val="baseline"/>
          <w:rtl w:val="0"/>
        </w:rPr>
        <w:t xml:space="preserve">Othello</w:t>
      </w: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 and </w:t>
      </w:r>
      <w:r w:rsidDel="00000000" w:rsidR="00000000" w:rsidRPr="00000000">
        <w:rPr>
          <w:rFonts w:ascii="Times New Roman" w:cs="Times New Roman" w:eastAsia="Times New Roman" w:hAnsi="Times New Roman"/>
          <w:b w:val="0"/>
          <w:i w:val="1"/>
          <w:smallCaps w:val="0"/>
          <w:strike w:val="0"/>
          <w:color w:val="000000"/>
          <w:sz w:val="28"/>
          <w:szCs w:val="28"/>
          <w:u w:val="none"/>
          <w:shd w:fill="auto" w:val="clear"/>
          <w:vertAlign w:val="baseline"/>
          <w:rtl w:val="0"/>
        </w:rPr>
        <w:t xml:space="preserve">‘Tis a Pity She's a Whore.</w:t>
      </w: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 </w:t>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Letícia Magalhães da Silva Pontes </w:t>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1">
      <w:pPr>
        <w:pStyle w:val="Heading1"/>
        <w:keepNext w:val="0"/>
        <w:keepLines w:val="0"/>
        <w:spacing w:before="0" w:line="288" w:lineRule="auto"/>
        <w:jc w:val="center"/>
        <w:rPr>
          <w:rFonts w:ascii="Times New Roman" w:cs="Times New Roman" w:eastAsia="Times New Roman" w:hAnsi="Times New Roman"/>
          <w:sz w:val="28"/>
          <w:szCs w:val="28"/>
        </w:rPr>
      </w:pPr>
      <w:bookmarkStart w:colFirst="0" w:colLast="0" w:name="_heading=h.gjdgxs" w:id="0"/>
      <w:bookmarkEnd w:id="0"/>
      <w:r w:rsidDel="00000000" w:rsidR="00000000" w:rsidRPr="00000000">
        <w:rPr>
          <w:rFonts w:ascii="Times New Roman" w:cs="Times New Roman" w:eastAsia="Times New Roman" w:hAnsi="Times New Roman"/>
          <w:sz w:val="28"/>
          <w:szCs w:val="28"/>
          <w:rtl w:val="0"/>
        </w:rPr>
        <w:t xml:space="preserve">Error and Sweet Violence: Shakespeare and Renaissance Comedy and Tragedy (HPEN5033, HPEN6033 )</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DR. Peter Mitchell</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13/10/2024</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mallCaps w:val="0"/>
          <w:strike w:val="0"/>
          <w:color w:val="000000"/>
          <w:sz w:val="24"/>
          <w:szCs w:val="24"/>
          <w:u w:val="none"/>
          <w:shd w:fill="auto" w:val="clear"/>
          <w:vertAlign w:val="baseline"/>
          <w:rtl w:val="0"/>
        </w:rPr>
        <w:t xml:space="preserve">Introduction  </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Revenge stories have always been crucial aspects of literature, and in the Renaissance was no different. Also referred to as Humanism, the Renaissance was one of European history's most exciting and critical periods, during which the Classical tradition was reintroduced.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0"/>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movement eventually spread to many aspects of art, such as painting, music, writing, and drama. English Drama was then at its peak during the Renaissance when many names entered the history and literature books for its creations. This essay will then focus on two other playwrights and their plays. They are William Shakespeare and his play Othello and John Ford and his play 'Tis a Pity She's a Whore. Both plays have the main aspects of the story, which are a forbidden love trope and a revenge trope. This essay will then analyse and compare how the convergence of Medieval Romance and Classical Drama references influenced the revenge plots' outcome of the plays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Othello</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‘Tis a Pity She's a Whore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Using arguments such as the forbidden love trope and its development in the story can affect the main revenge plot. The love language chosen by the male characters and how that deceived the audience of their true nature. The final act of revenge and the different reasons motivated the characters to act on this revenge and its outcomes. </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Forbidden Love and its sad endings.</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forbidden love stories of Giovanni and Annabella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‘Tis a Pity She’s a Whore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Othello and Desdemona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Othello</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although having some parallels regarding literary influences, in this case, Medieval romance and Classical drama, present different pathways and interpretations once a comparison is made. Starting with Giovanni and Annabella, they have the well-known facts that are always present in a love story: they are young, and due to probably unchangeable circumstances, they cannot live or show their love to each other. However, Ford presented an interesting, but not new, twist to the story where these two suffering lovers were brother and sister. By being siblings, it could have been more than evident to the audience that this story might end up wrong. This factor made it much more impossible for them to live their love than in other plays of the time or any other work of literature before that. However, as it was said previously, the incestuous relationship was not a new thing in literature. Dramatic tragedy stories in the classical period, such as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Phaedra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Thyestes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Oedipus,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many myths about Greek and Roman Gods, addressed the sensible and forbidden topic of incest. So what makes Giovanni and Annabella's forbidden love so unique? Well, different from those tragic Roman plays, Ford chose to portray this story as a tragic play due to a revenge plot and not because the characters were siblings. For example, in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Phaedra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by the Roman author Seneca, the character of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Phaedra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is in love with her stepson Hippolytus. However, her suffering does not come from the fact that she is in love and cannot live this love, not only because it is forbidden but also because Hippolytus does not love her back. But because she is in love with a relative, she wishes to die for that.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1"/>
      </w: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Giovanni and Annabella have very different perspectives on their love. Apart from the doubt and resistance at the beginning of the play, which is relatively quickly overcome, there is no real guilt that they should not love each other. And definitely, no wish to die due to such a sinful relationship. On the contrary, this play's revenge plot is over jealousy from Giovanni and his growing obsession with Annabella. They, especially Giovanni, see that they are related as an extra connection between them. At the same time, that brought them closer. It also made their love even more impossible to live.  </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7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 I, Scene II, lines 236 - 238 Giovanni: My sister, Annabella. I know this, </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7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And could afford you instance why to love So much the more for this; </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7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which intent Wise Nature first in your creation meant To make you mine; </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7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else 't had been sin and foul To share one beauty to a double soul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2"/>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Ford took his inspiration from Roman and Greek times when it came to incestuous relationships. However, just like Shakespeare was, the courtly love romances of the Middle Ages inspired Ford's approach to romance. Guinevere and Lancelot, and Tristan and Yseut are great examples of that. Here, the couples loved each other but could not be together due to an external factor, a husband, being the one in the way of their love, forcing them to embark on a forbidden affair. Another essential comparison between both plays is that due to Giovanni and Anabella's kingship, they could never evolve their relationship past the status of a forbidden love affair. However, Othello and Desdemona could. They were making it one of the main factors differentiating both tragedies and their acts of revenge. </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play of Shakespeare starts with Othello and Desdemona eloping and overcoming the consequences of this act. That already makes the couple stand out in the forbidden love trope because the audience then sees what happened to them after their happy ending, something also unique since most forbidden affairs end on a sad note. However, it is crucial to clarify that although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Othello</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has a tragic ending, this outcome is developed for other reasons, which only happen after the couple overcomes the challenge of a forbidden love. This forces the characters into a full circle of lovers to </w:t>
      </w:r>
      <w:r w:rsidDel="00000000" w:rsidR="00000000" w:rsidRPr="00000000">
        <w:rPr>
          <w:rFonts w:ascii="Times New Roman" w:cs="Times New Roman" w:eastAsia="Times New Roman" w:hAnsi="Times New Roman"/>
          <w:sz w:val="24"/>
          <w:szCs w:val="24"/>
          <w:rtl w:val="0"/>
        </w:rPr>
        <w:t xml:space="preserve">“enemies”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since Othello starts to mistrust Desdemona's fidelity to him and ends up hating and killing her, too. That fact then differentiates the play from its probable literary references (although not so much from 'Tis a Pity She's a Whore), where the responsible for their tragic ending is one of the lovers himself and not another character or factor in the story. Take, for example, the Greek myth of Hero and Leander. It is a story about two lovers, one a priestess of Aphrodite who lived on the European side of Hellespont, Hero,  and an ordinary man who lived across the strait, Leander. They embark on this forbidden love that makes Leander swim across the strait every night to meet the hero, where one day, he drowns, and the hero kills herself after his death.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3"/>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this case, the sad ending was due to external circumstances such as the weather, whereas, with Othello and Desdemona, it was Othello's jealousy that caused the tragedy. Another factor that separates Othello and Desdemona from most forbidden love stories is that they decide to act on their love in a </w:t>
      </w:r>
      <w:r w:rsidDel="00000000" w:rsidR="00000000" w:rsidRPr="00000000">
        <w:rPr>
          <w:rFonts w:ascii="Times New Roman" w:cs="Times New Roman" w:eastAsia="Times New Roman" w:hAnsi="Times New Roman"/>
          <w:sz w:val="24"/>
          <w:szCs w:val="24"/>
          <w:rtl w:val="0"/>
        </w:rPr>
        <w:t xml:space="preserve">“legal”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way. They did not choose to hide their love, like Hero and Leander, which eventually caused Leander's death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4"/>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sz w:val="24"/>
          <w:szCs w:val="24"/>
          <w:rtl w:val="0"/>
        </w:rPr>
        <w:t xml:space="preserve">O</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 to run away, as Paris and Helen eventually caused the Trojan War and illegally marry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5"/>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sz w:val="24"/>
          <w:szCs w:val="24"/>
          <w:rtl w:val="0"/>
        </w:rPr>
        <w:t xml:space="preserve">O</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 like Lancelot and Guinevere, which started a secret affair. No, Othello and Desdemona can act rightfully and have everything laid out for a happy ending, acceptance of their marriage, and true love on both sides. However, unlike the other stories, one of the lovers grows into a villain, which attaches Shakespeare and Ford's works even more.</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 I, Scene III, lines 76-85. Othello: Most potent, grave, and reverend signiors, </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My very noble and approved good masters, That I have tane away this old man's daughter, It is most true; true I have married her;</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very head and front of my offending Hath this extent, no more.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6"/>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Language of lovers</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Another similarity between the plays is that both use courtly love romances as inspiration for the romantic language in the plays, and the difference between the plays and the Medieval Romance was how the plays deceitfully used the language. However, the similarity is the use and how it was used. Shakespeare and Ford explored the use of this language to deceive its audience about the true nature of Othello and Giovanni. Both male protagonists have their eloquence as a strength; Othello is excellent at telling stories and debating, and Giovanni is very convincing about his love for Annabella. The use of such language helped hide their truthfulness. Othello is a man who suffers from certain insecurities, even though he is in a privileged position in society. The fact that he was a black man made him feel that he should always do better than the others, finding ways to prove himself constantly. Giovanni was a very controlling and obsessed man who could cover that with romantic language. Here are some examples of both characters.</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7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 I, Scene III, lines 161 - 170. Othello: [...] She wished she had not heard it, yet she wished That heaven had made her such a man. She thanked me And bade me, if I had a friend that loved her, I should but teach him how to tell my story, And that would woo her. Upon this hint, I spake: She loved me for the dangers I had passed, And I loved her that she did pity them. This only is the witchcraft I have used. Here comes the lady: let her witness it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7"/>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this passage, it is possible to grasp two things: Othello is so eloquent that we can only woo Desdemona with his stories and the language he uses to talk to her. It seemed very gentle and calm, a tone different from the one he could've taken if he had been telling the story to other soldiers. Othello might have shown the audience a bit of his insecurities over her love since the beginning. This passage could indicate that he might have thought she fell in love with his stories and life but not the man himself, already indicating his distrust of Desdemona. Those lines also present some exciting aspects about Desdemona since the rest of the play only portrays her as an innocent woman genuinely in love with Othello. However, this passage might indicate that she was indeed an innocent woman, not in the concept of love, but life in general. Her fascination with Othello's adventures and her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wish to be a man</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show that Desdemona does not see a lot of the world and does not even have much knowledge about things that are out of her bubble. She could easily fall in love with Othello because he was the first man she had ever had a proper conversation with, like her window to the real world. It does not mean she didn't love him, though. The plays made sure to show that. </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7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 I, Scene III, lines 251 - 255 Desdemona: So that, dear lords, if I  be left behind A moth of peace, and he go to the war, The rites for which I love him are bereft me, And I a heavy interim shall support By his dear absence. Let me go with him.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8"/>
      </w: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    Besides her speech, another connection with Medieval romance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 that even though she might have met Othello before, she probably did not know the real him. She had the image of the hero and lover in her head but could not see the jealous and insecure man he was. This could be a reference to how some Medieval romances would have characters falling in love with each other without even meeting them. For example, in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Knight of the Cart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by Chrétien de Troyes, Lancelot falls in love with Guinevere without meeting her.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9"/>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shows that he was in love with the woman in his head and the opportunities she might give him after he rescued her.</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Giovanni and Annabella are an interesting case due to the incest. The first point is that Ford never lets the audience forget that they are siblings; they constantly address each other as brother and sister even after they have told each other of their love. </w:t>
      </w:r>
      <w:r w:rsidDel="00000000" w:rsidR="00000000" w:rsidRPr="00000000">
        <w:rPr>
          <w:rFonts w:ascii="Times New Roman" w:cs="Times New Roman" w:eastAsia="Times New Roman" w:hAnsi="Times New Roman"/>
          <w:sz w:val="24"/>
          <w:szCs w:val="24"/>
          <w:rtl w:val="0"/>
        </w:rPr>
        <w:t xml:space="preserve">This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also proves their lack of shame of the incest</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as was debated previously. </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7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 II, Scene I, lines 1- 2 Giovanni: Come to Annabella, no more "sister" Now, but "love - a name more gracious.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10"/>
      </w: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couple always professed their love to one another in the most romantic ways. However, it is possible to realise that Giovanni has some instead controlling and obsessive aspects in his lines. Annabella was always very honest about her feelings, and just like Desdemona, she showed her innocence in her actions and that Giovanni might have been the only male presence in her life aside from her father, maybe being why she fell in love with her brother. While Giovanni was a travelled man who had probably been with other women, his obsession with his sister was the least concerning. </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7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Act I, Scene II, lines 152 - 157  Giovanni: I have even wearied heaven with prayers, dried up. The spring of my continual tears, even starved  My veins with daily fasts; what wit or art Could counsel, I have practiced. But alas, I find all these but dreams and older men's tales Julbord To fright unsteady youth; I'm still the same.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11"/>
      </w:r>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Nevertheless, both male characters later turned their speech into something more suspicious and even hateful, although still keeping their eloquence. This could also reference another of </w:t>
      </w:r>
      <w:r w:rsidDel="00000000" w:rsidR="00000000" w:rsidRPr="00000000">
        <w:rPr>
          <w:rFonts w:ascii="Times New Roman" w:cs="Times New Roman" w:eastAsia="Times New Roman" w:hAnsi="Times New Roman"/>
          <w:sz w:val="24"/>
          <w:szCs w:val="24"/>
          <w:rtl w:val="0"/>
        </w:rPr>
        <w:t xml:space="preserve">Chrétien's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stories, Erec and Enide. </w:t>
      </w:r>
      <w:r w:rsidDel="00000000" w:rsidR="00000000" w:rsidRPr="00000000">
        <w:rPr>
          <w:rFonts w:ascii="Times New Roman" w:cs="Times New Roman" w:eastAsia="Times New Roman" w:hAnsi="Times New Roman"/>
          <w:sz w:val="24"/>
          <w:szCs w:val="24"/>
          <w:rtl w:val="0"/>
        </w:rPr>
        <w:t xml:space="preserve">Without much reason, Erec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turns his speech about Enide into something rude and </w:t>
      </w:r>
      <w:r w:rsidDel="00000000" w:rsidR="00000000" w:rsidRPr="00000000">
        <w:rPr>
          <w:rFonts w:ascii="Times New Roman" w:cs="Times New Roman" w:eastAsia="Times New Roman" w:hAnsi="Times New Roman"/>
          <w:sz w:val="24"/>
          <w:szCs w:val="24"/>
          <w:rtl w:val="0"/>
        </w:rPr>
        <w:t xml:space="preserve">violent,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when before it was very loving.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12"/>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Erec is even more similar to Giovanni because he also turns against Annabella without a real reason other than insane and unjustified jealousy, as he was the one who suggested she marry another man. </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The Revenge </w:t>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Although both male protagonists ended up killing their lovers by the end, their motives were at the same time similar and different. Jealousy was the feeling that made the character commit such crimes, but the motives for the jealousy were quite distinguished. While Giovanni already showed signs of obsession over Annabella, Othello developed that during the play. Something the audience might not have seen if the story of how they overcame the forbidden love was told instead afterwards. Othello develops into the hero in love with a woman who is unattainable to him, such as Lancelot or Paris, and into a husband with an unfaithful wife who cheats on him, such as Arthur and Menelaus. Othello is tricked into believing that Desdemona is in love with another man, even though it is all a lie. Iago, responsible for the lie, knew of Othello's insecurities and could play with them. He then killed her in their bed. However, while Othello is tricked into that action and has some significant insecurities to consider, Giovanni is purely out of revenge. While Othello embodies the cheated husband (even if he wasn't), who later regretted his actions, Giovanni had all planned and had gone insane about it. Since he had the idea of marrying her to another man so they could keep their secret easily, he then starts to think that she is, in fact, in love with her husband and not with him </w:t>
      </w:r>
      <w:r w:rsidDel="00000000" w:rsidR="00000000" w:rsidRPr="00000000">
        <w:rPr>
          <w:rFonts w:ascii="Times New Roman" w:cs="Times New Roman" w:eastAsia="Times New Roman" w:hAnsi="Times New Roman"/>
          <w:sz w:val="24"/>
          <w:szCs w:val="24"/>
          <w:rtl w:val="0"/>
        </w:rPr>
        <w:t xml:space="preserve">anymore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His obsession quicks in, and he argues that if he cannot have her, no one will. The Revenge trope is ancient</w:t>
      </w:r>
      <w:r w:rsidDel="00000000" w:rsidR="00000000" w:rsidRPr="00000000">
        <w:rPr>
          <w:rFonts w:ascii="Times New Roman" w:cs="Times New Roman" w:eastAsia="Times New Roman" w:hAnsi="Times New Roman"/>
          <w:sz w:val="24"/>
          <w:szCs w:val="24"/>
          <w:rtl w:val="0"/>
        </w:rPr>
        <w:t xml:space="preserve">; even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revenge against a pause was just as expected. Shakespeare and Ford used such influences to build on the characters of Othello and Giovanni. Some Greek tragedies can be used as an example, such as Clytemnestra in Agamemnon by Aeschylus, where she kills her husband Agamemnon and his mistress, the Trojan Princess Cassandra, as an act of revenge over the sacrifice of their daughter in the name of war.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13"/>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Or Medea, who killed her children as an act of revenge against her husband and left her for another woman.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14"/>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Both Greek tragedies had a more believable motive for revenge, whereas Othello and Giovanni didn't. However, that can be seen as the </w:t>
      </w:r>
      <w:r w:rsidDel="00000000" w:rsidR="00000000" w:rsidRPr="00000000">
        <w:rPr>
          <w:rFonts w:ascii="Times New Roman" w:cs="Times New Roman" w:eastAsia="Times New Roman" w:hAnsi="Times New Roman"/>
          <w:sz w:val="24"/>
          <w:szCs w:val="24"/>
          <w:rtl w:val="0"/>
        </w:rPr>
        <w:t xml:space="preserve">purpose,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since the women characters in their plays were not to blame and had to endure their lover's descent into crazy jealousy. </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 </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convergence of Medieval Romance and Classical Drama gave the plays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Othello</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'Tis a Pity She's a Whore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 complex set of characters and plot. Othello and Giovanni, although present in some ways classic revenge stories, also have their uniqueness, Othello being a black man who rose into society and was a respected general alighted with some insecurities, and Giovanni with the power of speech and obsession over his sister. Annabella and Desdemona are worth the reader's time when researching; both are women of their time who did not have many chances to see the natural world in their lifetime, giving them a lack of a perspective that could have protected them from dangerous choices. However, they were strong women who knew what they wanted and </w:t>
      </w:r>
      <w:r w:rsidDel="00000000" w:rsidR="00000000" w:rsidRPr="00000000">
        <w:rPr>
          <w:rFonts w:ascii="Times New Roman" w:cs="Times New Roman" w:eastAsia="Times New Roman" w:hAnsi="Times New Roman"/>
          <w:sz w:val="24"/>
          <w:szCs w:val="24"/>
          <w:rtl w:val="0"/>
        </w:rPr>
        <w:t xml:space="preserve">spoke out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revenge plot might be old, but, unfortunately, it is still very contemporary, especially in those two plays. The audience might be shocked by the violent deeds done to those women, but it is essential not to forget that such crimes still happen in the present day and sometimes are even more shocking. This shows the importance of literature and its study of it and how it might present a sad side of humanity that might have evolved in so many aspects, such as technologies but is still the same when it comes to human relationships and how to deal with emotions. </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Bibliography </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Aeschylus,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Oresteia: Agamemnon, The Libation Beares, The Eumenides.,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trans. Robert Fagles., (London: Penguin Books, 1979)</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Chrétien de Troyes,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Arthurian Romances,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trans. Kibler W. William., (London: Penguin Books, 2004) </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English Renaissance Drama: A Norton Anthology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edt. David Bevington., (New York, Norton &amp; Company, 2002) </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Euripides,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Medea and Other Plays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trans. James Moorwood., (New York: Oxford University Press)</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Ovid,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Heroides,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trans. Isbell Harold., ( London: Penguin Books, 1990)</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Renaissance Humanism: An Anthology of Sources.,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edt. and trans. Margaret L. King., (Indiana: Hackett Publishing Company, 2014)</w:t>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Seneca,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Phaedra and Other Plays.,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trans</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Scott. R Smith (London: Penguin Books,2011) </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Shakespeare,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New Cambridge Shakespeare: Othello.</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edt. Phillip Brockbank., (New York: Cambridge University Press,1984)</w:t>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William Hansen,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Book of Greek and Roman Folktales, Legends, and Myths.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(Princeton University Press, 2017)</w:t>
      </w:r>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sectPr>
      <w:headerReference r:id="rId8" w:type="default"/>
      <w:headerReference r:id="rId9" w:type="first"/>
      <w:pgSz w:h="16838" w:w="11906"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0"/>
          <w:szCs w:val="20"/>
          <w:u w:val="none"/>
          <w:shd w:fill="auto" w:val="clear"/>
          <w:vertAlign w:val="baseline"/>
          <w:rtl w:val="0"/>
        </w:rPr>
        <w:t xml:space="preserve">Renaissance Humanism: An Anthology of Sources., </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edt. and trans. King L. Margaret., (Indiana: Hackett Publishing Company, 2014), p.ix</w:t>
      </w:r>
    </w:p>
  </w:footnote>
  <w:footnote w:id="1">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Style w:val="FootnoteReference"/>
          <w:vertAlign w:val="superscript"/>
        </w:rPr>
        <w:footnoteRef/>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Seneca, </w:t>
      </w:r>
      <w:r w:rsidDel="00000000" w:rsidR="00000000" w:rsidRPr="00000000">
        <w:rPr>
          <w:rFonts w:ascii="Times New Roman" w:cs="Times New Roman" w:eastAsia="Times New Roman" w:hAnsi="Times New Roman"/>
          <w:b w:val="0"/>
          <w:i w:val="1"/>
          <w:smallCaps w:val="0"/>
          <w:strike w:val="0"/>
          <w:color w:val="000000"/>
          <w:sz w:val="20"/>
          <w:szCs w:val="20"/>
          <w:u w:val="none"/>
          <w:shd w:fill="auto" w:val="clear"/>
          <w:vertAlign w:val="baseline"/>
          <w:rtl w:val="0"/>
        </w:rPr>
        <w:t xml:space="preserve">Phaedra and Other Plays., </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trans</w:t>
      </w:r>
      <w:r w:rsidDel="00000000" w:rsidR="00000000" w:rsidRPr="00000000">
        <w:rPr>
          <w:rFonts w:ascii="Times New Roman" w:cs="Times New Roman" w:eastAsia="Times New Roman" w:hAnsi="Times New Roman"/>
          <w:b w:val="0"/>
          <w:i w:val="1"/>
          <w:smallCaps w:val="0"/>
          <w:strike w:val="0"/>
          <w:color w:val="000000"/>
          <w:sz w:val="20"/>
          <w:szCs w:val="20"/>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Smith Scott. R (London: Penguin Books,2011) p. 126</w:t>
      </w:r>
    </w:p>
  </w:footnote>
  <w:footnote w:id="2">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Style w:val="FootnoteReference"/>
          <w:vertAlign w:val="superscript"/>
        </w:rPr>
        <w:footnoteRef/>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0"/>
          <w:szCs w:val="20"/>
          <w:u w:val="none"/>
          <w:shd w:fill="auto" w:val="clear"/>
          <w:vertAlign w:val="baseline"/>
          <w:rtl w:val="0"/>
        </w:rPr>
        <w:t xml:space="preserve">English Renaissance Drama: A Norton Anthology</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edt. Bevington, David., (New York, Norton &amp; Company, 2002) p. 1919.</w:t>
      </w:r>
    </w:p>
  </w:footnote>
  <w:footnote w:id="3">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Style w:val="FootnoteReference"/>
          <w:vertAlign w:val="superscript"/>
        </w:rPr>
        <w:footnoteRef/>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Hansen, William. </w:t>
      </w:r>
      <w:r w:rsidDel="00000000" w:rsidR="00000000" w:rsidRPr="00000000">
        <w:rPr>
          <w:rFonts w:ascii="Times New Roman" w:cs="Times New Roman" w:eastAsia="Times New Roman" w:hAnsi="Times New Roman"/>
          <w:b w:val="0"/>
          <w:i w:val="1"/>
          <w:smallCaps w:val="0"/>
          <w:strike w:val="0"/>
          <w:color w:val="000000"/>
          <w:sz w:val="20"/>
          <w:szCs w:val="20"/>
          <w:u w:val="none"/>
          <w:shd w:fill="auto" w:val="clear"/>
          <w:vertAlign w:val="baseline"/>
          <w:rtl w:val="0"/>
        </w:rPr>
        <w:t xml:space="preserve">The Book of Greek and Roman Folktales, Legends, and Myths.,</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(Princeton University Press, 2017), p. 451</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w:t>
      </w:r>
    </w:p>
  </w:footnote>
  <w:footnote w:id="4">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Style w:val="FootnoteReference"/>
          <w:vertAlign w:val="superscript"/>
        </w:rPr>
        <w:footnoteRef/>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Ovid, </w:t>
      </w:r>
      <w:r w:rsidDel="00000000" w:rsidR="00000000" w:rsidRPr="00000000">
        <w:rPr>
          <w:rFonts w:ascii="Times New Roman" w:cs="Times New Roman" w:eastAsia="Times New Roman" w:hAnsi="Times New Roman"/>
          <w:b w:val="0"/>
          <w:i w:val="1"/>
          <w:smallCaps w:val="0"/>
          <w:strike w:val="0"/>
          <w:color w:val="000000"/>
          <w:sz w:val="20"/>
          <w:szCs w:val="20"/>
          <w:u w:val="none"/>
          <w:shd w:fill="auto" w:val="clear"/>
          <w:vertAlign w:val="baseline"/>
          <w:rtl w:val="0"/>
        </w:rPr>
        <w:t xml:space="preserve">Heroides, </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trans. Isbell Harold., ( London: Penguin Books, 1990), p.179. </w:t>
      </w:r>
    </w:p>
  </w:footnote>
  <w:footnote w:id="5">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Style w:val="FootnoteReference"/>
          <w:vertAlign w:val="superscript"/>
        </w:rPr>
        <w:footnoteRef/>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Euripides, Medea and Other Plays, trans. Moorwood James., (New York: Oxford University Press), p. 120</w:t>
      </w:r>
    </w:p>
  </w:footnote>
  <w:footnote w:id="6">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Style w:val="FootnoteReference"/>
          <w:vertAlign w:val="superscript"/>
        </w:rPr>
        <w:footnoteRef/>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Shakespeare, </w:t>
      </w:r>
      <w:r w:rsidDel="00000000" w:rsidR="00000000" w:rsidRPr="00000000">
        <w:rPr>
          <w:rFonts w:ascii="Times New Roman" w:cs="Times New Roman" w:eastAsia="Times New Roman" w:hAnsi="Times New Roman"/>
          <w:b w:val="0"/>
          <w:i w:val="1"/>
          <w:smallCaps w:val="0"/>
          <w:strike w:val="0"/>
          <w:color w:val="000000"/>
          <w:sz w:val="20"/>
          <w:szCs w:val="20"/>
          <w:u w:val="none"/>
          <w:shd w:fill="auto" w:val="clear"/>
          <w:vertAlign w:val="baseline"/>
          <w:rtl w:val="0"/>
        </w:rPr>
        <w:t xml:space="preserve">The New Cambridge Shakespeare: Othello.</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edt. Brockbank Phillip., (New York: Cambridge University Press,1984), p.72</w:t>
      </w:r>
    </w:p>
  </w:footnote>
  <w:footnote w:id="7">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Style w:val="FootnoteReference"/>
          <w:vertAlign w:val="superscript"/>
        </w:rPr>
        <w:footnoteRef/>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Shakespeare, </w:t>
      </w:r>
      <w:r w:rsidDel="00000000" w:rsidR="00000000" w:rsidRPr="00000000">
        <w:rPr>
          <w:rFonts w:ascii="Times New Roman" w:cs="Times New Roman" w:eastAsia="Times New Roman" w:hAnsi="Times New Roman"/>
          <w:b w:val="0"/>
          <w:i w:val="1"/>
          <w:smallCaps w:val="0"/>
          <w:strike w:val="0"/>
          <w:color w:val="000000"/>
          <w:sz w:val="20"/>
          <w:szCs w:val="20"/>
          <w:u w:val="none"/>
          <w:shd w:fill="auto" w:val="clear"/>
          <w:vertAlign w:val="baseline"/>
          <w:rtl w:val="0"/>
        </w:rPr>
        <w:t xml:space="preserve">The New Cambridge Shakespeare: Othello.</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edt. Brockbank Phillip., (New York: Cambridge University Press,1984), p.75</w:t>
      </w:r>
      <w:r w:rsidDel="00000000" w:rsidR="00000000" w:rsidRPr="00000000">
        <w:rPr>
          <w:rtl w:val="0"/>
        </w:rPr>
      </w:r>
    </w:p>
  </w:footnote>
  <w:footnote w:id="8">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Style w:val="FootnoteReference"/>
          <w:vertAlign w:val="superscript"/>
        </w:rPr>
        <w:footnoteRef/>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Shakespeare, </w:t>
      </w:r>
      <w:r w:rsidDel="00000000" w:rsidR="00000000" w:rsidRPr="00000000">
        <w:rPr>
          <w:rFonts w:ascii="Times New Roman" w:cs="Times New Roman" w:eastAsia="Times New Roman" w:hAnsi="Times New Roman"/>
          <w:b w:val="0"/>
          <w:i w:val="1"/>
          <w:smallCaps w:val="0"/>
          <w:strike w:val="0"/>
          <w:color w:val="000000"/>
          <w:sz w:val="20"/>
          <w:szCs w:val="20"/>
          <w:u w:val="none"/>
          <w:shd w:fill="auto" w:val="clear"/>
          <w:vertAlign w:val="baseline"/>
          <w:rtl w:val="0"/>
        </w:rPr>
        <w:t xml:space="preserve">The New Cambridge Shakespeare: Othello.</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edt. Brockbank Phillip., (New York: Cambridge University Press,1984), p.79</w:t>
      </w:r>
      <w:r w:rsidDel="00000000" w:rsidR="00000000" w:rsidRPr="00000000">
        <w:rPr>
          <w:rtl w:val="0"/>
        </w:rPr>
      </w:r>
    </w:p>
  </w:footnote>
  <w:footnote w:id="9">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Style w:val="FootnoteReference"/>
          <w:vertAlign w:val="superscript"/>
        </w:rPr>
        <w:footnoteRef/>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Chrétien de Troyes, </w:t>
      </w:r>
      <w:r w:rsidDel="00000000" w:rsidR="00000000" w:rsidRPr="00000000">
        <w:rPr>
          <w:rFonts w:ascii="Times New Roman" w:cs="Times New Roman" w:eastAsia="Times New Roman" w:hAnsi="Times New Roman"/>
          <w:b w:val="0"/>
          <w:i w:val="1"/>
          <w:smallCaps w:val="0"/>
          <w:strike w:val="0"/>
          <w:color w:val="000000"/>
          <w:sz w:val="20"/>
          <w:szCs w:val="20"/>
          <w:u w:val="none"/>
          <w:shd w:fill="auto" w:val="clear"/>
          <w:vertAlign w:val="baseline"/>
          <w:rtl w:val="0"/>
        </w:rPr>
        <w:t xml:space="preserve">Arthurian Romances, </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trans. Kibler W. William., ( London: Penguin Books, 2004), p. 212.</w:t>
      </w:r>
    </w:p>
  </w:footnote>
  <w:footnote w:id="10">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Style w:val="FootnoteReference"/>
          <w:vertAlign w:val="superscript"/>
        </w:rPr>
        <w:footnoteRef/>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0"/>
          <w:szCs w:val="20"/>
          <w:u w:val="none"/>
          <w:shd w:fill="auto" w:val="clear"/>
          <w:vertAlign w:val="baseline"/>
          <w:rtl w:val="0"/>
        </w:rPr>
        <w:t xml:space="preserve">English Renaissance Drama: A Norton Anthology</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edt. Bevington, David., (New York, Norton &amp; Company, 2002) p. 1922</w:t>
      </w:r>
    </w:p>
  </w:footnote>
  <w:footnote w:id="11">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Style w:val="FootnoteReference"/>
          <w:vertAlign w:val="superscript"/>
        </w:rPr>
        <w:footnoteRef/>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0"/>
          <w:szCs w:val="20"/>
          <w:u w:val="none"/>
          <w:shd w:fill="auto" w:val="clear"/>
          <w:vertAlign w:val="baseline"/>
          <w:rtl w:val="0"/>
        </w:rPr>
        <w:t xml:space="preserve">English Renaissance Drama: A Norton Anthology</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edt. Bevington, David., (New York, Norton &amp; Company, 2002) p. 1918.</w:t>
      </w:r>
      <w:r w:rsidDel="00000000" w:rsidR="00000000" w:rsidRPr="00000000">
        <w:rPr>
          <w:rtl w:val="0"/>
        </w:rPr>
      </w:r>
    </w:p>
  </w:footnote>
  <w:footnote w:id="12">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Style w:val="FootnoteReference"/>
          <w:vertAlign w:val="superscript"/>
        </w:rPr>
        <w:footnoteRef/>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Chrétien de Troyes, </w:t>
      </w:r>
      <w:r w:rsidDel="00000000" w:rsidR="00000000" w:rsidRPr="00000000">
        <w:rPr>
          <w:rFonts w:ascii="Times New Roman" w:cs="Times New Roman" w:eastAsia="Times New Roman" w:hAnsi="Times New Roman"/>
          <w:b w:val="0"/>
          <w:i w:val="1"/>
          <w:smallCaps w:val="0"/>
          <w:strike w:val="0"/>
          <w:color w:val="000000"/>
          <w:sz w:val="20"/>
          <w:szCs w:val="20"/>
          <w:u w:val="none"/>
          <w:shd w:fill="auto" w:val="clear"/>
          <w:vertAlign w:val="baseline"/>
          <w:rtl w:val="0"/>
        </w:rPr>
        <w:t xml:space="preserve">Arthurian Romances</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trans. Kibler W. William., ( London: Penguin Books, 2004), p. 68.</w:t>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ootnote>
  <w:footnote w:id="13">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Style w:val="FootnoteReference"/>
          <w:vertAlign w:val="superscript"/>
        </w:rPr>
        <w:footnoteRef/>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Aeschylus, </w:t>
      </w:r>
      <w:r w:rsidDel="00000000" w:rsidR="00000000" w:rsidRPr="00000000">
        <w:rPr>
          <w:rFonts w:ascii="Times New Roman" w:cs="Times New Roman" w:eastAsia="Times New Roman" w:hAnsi="Times New Roman"/>
          <w:b w:val="0"/>
          <w:i w:val="1"/>
          <w:smallCaps w:val="0"/>
          <w:strike w:val="0"/>
          <w:color w:val="000000"/>
          <w:sz w:val="20"/>
          <w:szCs w:val="20"/>
          <w:u w:val="none"/>
          <w:shd w:fill="auto" w:val="clear"/>
          <w:vertAlign w:val="baseline"/>
          <w:rtl w:val="0"/>
        </w:rPr>
        <w:t xml:space="preserve">The Oresteia: Agamemnon, The Libation Beares, The Eumenides</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trans. Fagles Robert., (London: Penguin Books, 1979),p. 165</w:t>
      </w:r>
    </w:p>
  </w:footnote>
  <w:footnote w:id="14">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Style w:val="FootnoteReference"/>
          <w:vertAlign w:val="superscript"/>
        </w:rPr>
        <w:footnoteRef/>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Euripides,</w:t>
      </w:r>
      <w:r w:rsidDel="00000000" w:rsidR="00000000" w:rsidRPr="00000000">
        <w:rPr>
          <w:rFonts w:ascii="Times New Roman" w:cs="Times New Roman" w:eastAsia="Times New Roman" w:hAnsi="Times New Roman"/>
          <w:b w:val="0"/>
          <w:i w:val="1"/>
          <w:smallCaps w:val="0"/>
          <w:strike w:val="0"/>
          <w:color w:val="000000"/>
          <w:sz w:val="20"/>
          <w:szCs w:val="20"/>
          <w:u w:val="none"/>
          <w:shd w:fill="auto" w:val="clear"/>
          <w:vertAlign w:val="baseline"/>
          <w:rtl w:val="0"/>
        </w:rPr>
        <w:t xml:space="preserve"> Medea and Other Plays, </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trans. Moorwood James., (New York: Oxford University Press), p. 1</w:t>
      </w: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276" w:lineRule="auto"/>
      <w:ind w:left="0" w:right="0" w:firstLine="0"/>
      <w:jc w:val="left"/>
    </w:pPr>
    <w:rPr>
      <w:rFonts w:ascii="Arial" w:cs="Arial" w:eastAsia="Arial" w:hAnsi="Arial"/>
      <w:b w:val="0"/>
      <w:i w:val="0"/>
      <w:smallCaps w:val="0"/>
      <w:strike w:val="0"/>
      <w:color w:val="000000"/>
      <w:sz w:val="40"/>
      <w:szCs w:val="40"/>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276" w:lineRule="auto"/>
      <w:ind w:left="0" w:right="0" w:firstLine="0"/>
      <w:jc w:val="left"/>
    </w:pPr>
    <w:rPr>
      <w:rFonts w:ascii="Arial" w:cs="Arial" w:eastAsia="Arial" w:hAnsi="Arial"/>
      <w:b w:val="0"/>
      <w:i w:val="0"/>
      <w:smallCaps w:val="0"/>
      <w:strike w:val="0"/>
      <w:color w:val="000000"/>
      <w:sz w:val="32"/>
      <w:szCs w:val="32"/>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Normal" w:default="1">
    <w:name w:val="Normal"/>
    <w:qFormat w:val="1"/>
    <w:rsid w:val="004B77B5"/>
  </w:style>
  <w:style w:type="paragraph" w:styleId="Heading1">
    <w:name w:val="heading 1"/>
    <w:basedOn w:val="normal0"/>
    <w:next w:val="normal0"/>
    <w:pPr>
      <w:keepNext w:val="1"/>
      <w:keepLines w:val="1"/>
      <w:pageBreakBefore w:val="0"/>
      <w:spacing w:after="120" w:before="400"/>
      <w:outlineLvl w:val="0"/>
    </w:pPr>
    <w:rPr>
      <w:sz w:val="40"/>
      <w:szCs w:val="40"/>
    </w:rPr>
  </w:style>
  <w:style w:type="paragraph" w:styleId="Heading2">
    <w:name w:val="heading 2"/>
    <w:basedOn w:val="normal0"/>
    <w:next w:val="normal0"/>
    <w:pPr>
      <w:keepNext w:val="1"/>
      <w:keepLines w:val="1"/>
      <w:pageBreakBefore w:val="0"/>
      <w:spacing w:after="120" w:before="360"/>
      <w:outlineLvl w:val="1"/>
    </w:pPr>
    <w:rPr>
      <w:b w:val="0"/>
      <w:sz w:val="32"/>
      <w:szCs w:val="32"/>
    </w:rPr>
  </w:style>
  <w:style w:type="paragraph" w:styleId="Heading3">
    <w:name w:val="heading 3"/>
    <w:basedOn w:val="normal0"/>
    <w:next w:val="normal0"/>
    <w:pPr>
      <w:keepNext w:val="1"/>
      <w:keepLines w:val="1"/>
      <w:pageBreakBefore w:val="0"/>
      <w:spacing w:after="80" w:before="320"/>
      <w:outlineLvl w:val="2"/>
    </w:pPr>
    <w:rPr>
      <w:b w:val="0"/>
      <w:color w:val="434343"/>
      <w:sz w:val="28"/>
      <w:szCs w:val="28"/>
    </w:rPr>
  </w:style>
  <w:style w:type="paragraph" w:styleId="Heading4">
    <w:name w:val="heading 4"/>
    <w:basedOn w:val="normal0"/>
    <w:next w:val="normal0"/>
    <w:pPr>
      <w:keepNext w:val="1"/>
      <w:keepLines w:val="1"/>
      <w:pageBreakBefore w:val="0"/>
      <w:spacing w:after="80" w:before="280"/>
      <w:outlineLvl w:val="3"/>
    </w:pPr>
    <w:rPr>
      <w:color w:val="666666"/>
      <w:sz w:val="24"/>
      <w:szCs w:val="24"/>
    </w:rPr>
  </w:style>
  <w:style w:type="paragraph" w:styleId="Heading5">
    <w:name w:val="heading 5"/>
    <w:basedOn w:val="normal0"/>
    <w:next w:val="normal0"/>
    <w:pPr>
      <w:keepNext w:val="1"/>
      <w:keepLines w:val="1"/>
      <w:pageBreakBefore w:val="0"/>
      <w:spacing w:after="80" w:before="240"/>
      <w:outlineLvl w:val="4"/>
    </w:pPr>
    <w:rPr>
      <w:color w:val="666666"/>
      <w:sz w:val="22"/>
      <w:szCs w:val="22"/>
    </w:rPr>
  </w:style>
  <w:style w:type="paragraph" w:styleId="Heading6">
    <w:name w:val="heading 6"/>
    <w:basedOn w:val="normal0"/>
    <w:next w:val="normal0"/>
    <w:pPr>
      <w:keepNext w:val="1"/>
      <w:keepLines w:val="1"/>
      <w:pageBreakBefore w:val="0"/>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paragraph" w:styleId="normal0" w:customStyle="1">
    <w:name w:val="normal"/>
  </w:style>
  <w:style w:type="table" w:styleId="TableNormal" w:customStyle="1">
    <w:name w:val="Table Normal"/>
    <w:tblPr/>
  </w:style>
  <w:style w:type="paragraph" w:styleId="Title">
    <w:name w:val="Title"/>
    <w:basedOn w:val="normal0"/>
    <w:next w:val="normal0"/>
    <w:pPr>
      <w:keepNext w:val="1"/>
      <w:keepLines w:val="1"/>
      <w:pageBreakBefore w:val="0"/>
      <w:spacing w:after="60" w:before="0"/>
    </w:pPr>
    <w:rPr>
      <w:sz w:val="52"/>
      <w:szCs w:val="52"/>
    </w:rPr>
  </w:style>
  <w:style w:type="paragraph" w:styleId="Subtitle">
    <w:name w:val="Subtitle"/>
    <w:basedOn w:val="normal0"/>
    <w:next w:val="normal0"/>
    <w:pPr>
      <w:keepNext w:val="1"/>
      <w:keepLines w:val="1"/>
      <w:pageBreakBefore w:val="0"/>
      <w:spacing w:after="320" w:before="0"/>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2.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customXml" Target="../customXML/item1.xm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0Trx+zRTTJh9pit0/j4/TiAzdQ==">CgMxLjAyCGguZ2pkZ3hzOAByITFtOFpHNWQ1eEpnZ2R3eUdVSGtqUnBPVzNmN2NrQXRCdQ==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file>