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C6AE24">
      <w:pPr>
        <w:spacing w:after="160" w:line="259" w:lineRule="auto"/>
        <w:jc w:val="center"/>
      </w:pPr>
      <w:r>
        <w:drawing>
          <wp:inline distT="0" distB="0" distL="0" distR="0">
            <wp:extent cx="5760720" cy="1156970"/>
            <wp:effectExtent l="0" t="0" r="0" b="0"/>
            <wp:docPr id="613778683" name="Picture 613778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78683" name="Picture 613778683"/>
                    <pic:cNvPicPr>
                      <a:picLocks noChangeAspect="1"/>
                    </pic:cNvPicPr>
                  </pic:nvPicPr>
                  <pic:blipFill>
                    <a:blip r:embed="rId9"/>
                    <a:stretch>
                      <a:fillRect/>
                    </a:stretch>
                  </pic:blipFill>
                  <pic:spPr>
                    <a:xfrm>
                      <a:off x="0" y="0"/>
                      <a:ext cx="5760720" cy="1157156"/>
                    </a:xfrm>
                    <a:prstGeom prst="rect">
                      <a:avLst/>
                    </a:prstGeom>
                  </pic:spPr>
                </pic:pic>
              </a:graphicData>
            </a:graphic>
          </wp:inline>
        </w:drawing>
      </w:r>
    </w:p>
    <w:p w14:paraId="15137A77">
      <w:pPr>
        <w:spacing w:after="160" w:line="259" w:lineRule="auto"/>
        <w:jc w:val="left"/>
      </w:pPr>
    </w:p>
    <w:p w14:paraId="274DE37A">
      <w:pPr>
        <w:spacing w:after="160" w:line="259" w:lineRule="auto"/>
        <w:jc w:val="center"/>
        <w:rPr>
          <w:b/>
          <w:bCs/>
          <w:color w:val="4472C4" w:themeColor="accent1"/>
          <w:sz w:val="32"/>
          <w:szCs w:val="24"/>
          <w14:textFill>
            <w14:solidFill>
              <w14:schemeClr w14:val="accent1"/>
            </w14:solidFill>
          </w14:textFill>
        </w:rPr>
      </w:pPr>
      <w:r>
        <w:rPr>
          <w:b/>
          <w:bCs/>
          <w:color w:val="4472C4" w:themeColor="accent1"/>
          <w:sz w:val="32"/>
          <w:szCs w:val="24"/>
          <w:lang w:val="zh-CN"/>
          <w14:textFill>
            <w14:solidFill>
              <w14:schemeClr w14:val="accent1"/>
            </w14:solidFill>
          </w14:textFill>
        </w:rPr>
        <w:t>The Influence of Sustainable Marketing on Brand Image in the UK Fast Fashion Retail Industry</w:t>
      </w:r>
    </w:p>
    <w:p w14:paraId="721C744B">
      <w:pPr>
        <w:spacing w:after="160" w:line="259" w:lineRule="auto"/>
        <w:rPr>
          <w:b/>
          <w:bCs/>
          <w:color w:val="000000"/>
          <w:sz w:val="32"/>
          <w:szCs w:val="24"/>
        </w:rPr>
      </w:pPr>
    </w:p>
    <w:p w14:paraId="48A64B32">
      <w:pPr>
        <w:spacing w:after="160" w:line="259" w:lineRule="auto"/>
        <w:jc w:val="center"/>
        <w:rPr>
          <w:b/>
          <w:bCs/>
          <w:color w:val="000000"/>
          <w:sz w:val="32"/>
          <w:szCs w:val="24"/>
        </w:rPr>
      </w:pPr>
    </w:p>
    <w:p w14:paraId="77557969">
      <w:pPr>
        <w:jc w:val="center"/>
        <w:rPr>
          <w:sz w:val="32"/>
          <w:szCs w:val="32"/>
        </w:rPr>
      </w:pPr>
      <w:r>
        <w:rPr>
          <w:sz w:val="32"/>
          <w:szCs w:val="32"/>
        </w:rPr>
        <w:t>Master of Business Administration Programme</w:t>
      </w:r>
    </w:p>
    <w:p w14:paraId="251FA91B">
      <w:pPr>
        <w:spacing w:after="160" w:line="259" w:lineRule="auto"/>
        <w:jc w:val="center"/>
        <w:rPr>
          <w:sz w:val="32"/>
          <w:szCs w:val="32"/>
        </w:rPr>
      </w:pPr>
      <w:r>
        <w:rPr>
          <w:sz w:val="32"/>
          <w:szCs w:val="32"/>
        </w:rPr>
        <w:t>LCMB7035 – Dissertation</w:t>
      </w:r>
    </w:p>
    <w:p w14:paraId="494BADC0">
      <w:pPr>
        <w:spacing w:after="160" w:line="259" w:lineRule="auto"/>
        <w:jc w:val="center"/>
        <w:rPr>
          <w:b/>
          <w:bCs/>
          <w:color w:val="000000"/>
          <w:sz w:val="32"/>
          <w:szCs w:val="24"/>
        </w:rPr>
      </w:pPr>
    </w:p>
    <w:p w14:paraId="2E9F90DC">
      <w:pPr>
        <w:jc w:val="center"/>
        <w:rPr>
          <w:b/>
          <w:bCs/>
          <w:sz w:val="32"/>
          <w:szCs w:val="28"/>
        </w:rPr>
      </w:pPr>
      <w:r>
        <w:rPr>
          <w:b/>
          <w:bCs/>
          <w:sz w:val="32"/>
          <w:szCs w:val="28"/>
        </w:rPr>
        <w:t>Supervisor: Xavier Matieni</w:t>
      </w:r>
    </w:p>
    <w:p w14:paraId="3A851DA4">
      <w:pPr>
        <w:rPr>
          <w:b/>
          <w:bCs/>
        </w:rPr>
      </w:pPr>
    </w:p>
    <w:p w14:paraId="1FCEEEA0">
      <w:pPr>
        <w:rPr>
          <w:b/>
          <w:bCs/>
        </w:rPr>
      </w:pPr>
    </w:p>
    <w:p w14:paraId="60A545FE">
      <w:pPr>
        <w:rPr>
          <w:b/>
          <w:bCs/>
          <w:sz w:val="28"/>
          <w:szCs w:val="28"/>
        </w:rPr>
      </w:pPr>
    </w:p>
    <w:p w14:paraId="3F7B0142">
      <w:pPr>
        <w:rPr>
          <w:rFonts w:hint="default"/>
          <w:sz w:val="28"/>
          <w:szCs w:val="28"/>
          <w:lang w:val="en-US"/>
        </w:rPr>
      </w:pPr>
      <w:r>
        <w:rPr>
          <w:b/>
          <w:bCs/>
          <w:sz w:val="28"/>
          <w:szCs w:val="28"/>
        </w:rPr>
        <w:t xml:space="preserve">Student Name: Marzana Hasan </w:t>
      </w:r>
      <w:r>
        <w:rPr>
          <w:rFonts w:hint="default"/>
          <w:b/>
          <w:bCs/>
          <w:sz w:val="28"/>
          <w:szCs w:val="28"/>
          <w:lang w:val="en-US"/>
        </w:rPr>
        <w:t>Mita</w:t>
      </w:r>
    </w:p>
    <w:p w14:paraId="36F90AAE">
      <w:pPr>
        <w:rPr>
          <w:b/>
          <w:bCs/>
          <w:sz w:val="28"/>
          <w:szCs w:val="28"/>
        </w:rPr>
      </w:pPr>
      <w:r>
        <w:rPr>
          <w:b/>
          <w:bCs/>
          <w:sz w:val="28"/>
          <w:szCs w:val="28"/>
        </w:rPr>
        <w:t>Student ID: 2504068</w:t>
      </w:r>
      <w:bookmarkStart w:id="107" w:name="_GoBack"/>
      <w:bookmarkEnd w:id="107"/>
    </w:p>
    <w:p w14:paraId="0B1B7BDF"/>
    <w:p w14:paraId="0638A753">
      <w:pPr>
        <w:spacing w:after="160" w:line="259" w:lineRule="auto"/>
        <w:jc w:val="center"/>
        <w:rPr>
          <w:b/>
          <w:bCs/>
        </w:rPr>
      </w:pPr>
    </w:p>
    <w:p w14:paraId="19EA9CF8">
      <w:pPr>
        <w:spacing w:after="160" w:line="259" w:lineRule="auto"/>
        <w:jc w:val="center"/>
        <w:rPr>
          <w:b/>
          <w:bCs/>
        </w:rPr>
      </w:pPr>
    </w:p>
    <w:p w14:paraId="7C0E15DE">
      <w:pPr>
        <w:spacing w:after="160" w:line="259" w:lineRule="auto"/>
        <w:jc w:val="center"/>
        <w:rPr>
          <w:b/>
          <w:bCs/>
        </w:rPr>
      </w:pPr>
    </w:p>
    <w:p w14:paraId="3470703C">
      <w:pPr>
        <w:spacing w:after="160" w:line="259" w:lineRule="auto"/>
        <w:jc w:val="center"/>
        <w:rPr>
          <w:rFonts w:hint="default"/>
          <w:b/>
          <w:bCs/>
          <w:lang w:val="en-US"/>
        </w:rPr>
      </w:pPr>
      <w:r>
        <w:rPr>
          <w:b/>
          <w:bCs/>
        </w:rPr>
        <w:t xml:space="preserve"> </w:t>
      </w:r>
      <w:r>
        <w:rPr>
          <w:rFonts w:hint="default"/>
          <w:b/>
          <w:bCs/>
          <w:lang w:val="en-US"/>
        </w:rPr>
        <w:t>S</w:t>
      </w:r>
      <w:r>
        <w:rPr>
          <w:b/>
          <w:bCs/>
        </w:rPr>
        <w:t>ubmission</w:t>
      </w:r>
      <w:r>
        <w:rPr>
          <w:rFonts w:hint="default"/>
          <w:b/>
          <w:bCs/>
          <w:lang w:val="en-US"/>
        </w:rPr>
        <w:t xml:space="preserve"> Deadline</w:t>
      </w:r>
      <w:r>
        <w:rPr>
          <w:b/>
          <w:bCs/>
        </w:rPr>
        <w:t>: 25</w:t>
      </w:r>
      <w:r>
        <w:rPr>
          <w:rFonts w:hint="default"/>
          <w:b/>
          <w:bCs/>
          <w:vertAlign w:val="superscript"/>
          <w:lang w:val="en-US"/>
        </w:rPr>
        <w:t>th</w:t>
      </w:r>
      <w:r>
        <w:rPr>
          <w:rFonts w:hint="default"/>
          <w:b/>
          <w:bCs/>
          <w:lang w:val="en-US"/>
        </w:rPr>
        <w:t xml:space="preserve"> </w:t>
      </w:r>
      <w:r>
        <w:rPr>
          <w:b/>
          <w:bCs/>
        </w:rPr>
        <w:t xml:space="preserve"> September 202</w:t>
      </w:r>
      <w:r>
        <w:rPr>
          <w:rFonts w:hint="default"/>
          <w:b/>
          <w:bCs/>
          <w:lang w:val="en-US"/>
        </w:rPr>
        <w:t>6</w:t>
      </w:r>
    </w:p>
    <w:p w14:paraId="41DABD22">
      <w:pPr>
        <w:spacing w:before="0" w:after="160" w:line="259" w:lineRule="auto"/>
        <w:jc w:val="left"/>
        <w:rPr>
          <w:b/>
          <w:bCs/>
        </w:rPr>
      </w:pPr>
      <w:r>
        <w:rPr>
          <w:b/>
          <w:bCs/>
        </w:rPr>
        <w:br w:type="page"/>
      </w:r>
    </w:p>
    <w:p w14:paraId="6B8D04EC">
      <w:pPr>
        <w:pStyle w:val="2"/>
      </w:pPr>
      <w:bookmarkStart w:id="0" w:name="_Toc240757321"/>
      <w:r>
        <w:t>Declaration</w:t>
      </w:r>
      <w:bookmarkEnd w:id="0"/>
    </w:p>
    <w:p w14:paraId="1C02BD09">
      <w:pPr>
        <w:pBdr>
          <w:top w:val="single" w:color="auto" w:sz="4" w:space="1"/>
          <w:left w:val="single" w:color="auto" w:sz="4" w:space="4"/>
          <w:bottom w:val="single" w:color="auto" w:sz="4" w:space="1"/>
          <w:right w:val="single" w:color="auto" w:sz="4" w:space="4"/>
        </w:pBdr>
        <w:jc w:val="center"/>
      </w:pPr>
      <w:r>
        <w:drawing>
          <wp:inline distT="0" distB="0" distL="0" distR="0">
            <wp:extent cx="2843530" cy="1170305"/>
            <wp:effectExtent l="0" t="0" r="0" b="0"/>
            <wp:docPr id="749314347" name="Picture 749314347"/>
            <wp:cNvGraphicFramePr/>
            <a:graphic xmlns:a="http://schemas.openxmlformats.org/drawingml/2006/main">
              <a:graphicData uri="http://schemas.openxmlformats.org/drawingml/2006/picture">
                <pic:pic xmlns:pic="http://schemas.openxmlformats.org/drawingml/2006/picture">
                  <pic:nvPicPr>
                    <pic:cNvPr id="749314347" name="Picture 749314347"/>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843530" cy="1170305"/>
                    </a:xfrm>
                    <a:prstGeom prst="rect">
                      <a:avLst/>
                    </a:prstGeom>
                    <a:noFill/>
                    <a:ln>
                      <a:noFill/>
                    </a:ln>
                  </pic:spPr>
                </pic:pic>
              </a:graphicData>
            </a:graphic>
          </wp:inline>
        </w:drawing>
      </w:r>
    </w:p>
    <w:p w14:paraId="301AB9F1">
      <w:pPr>
        <w:pBdr>
          <w:top w:val="single" w:color="auto" w:sz="4" w:space="1"/>
          <w:left w:val="single" w:color="auto" w:sz="4" w:space="4"/>
          <w:bottom w:val="single" w:color="auto" w:sz="4" w:space="1"/>
          <w:right w:val="single" w:color="auto" w:sz="4" w:space="4"/>
        </w:pBdr>
        <w:jc w:val="center"/>
        <w:rPr>
          <w:b/>
          <w:sz w:val="28"/>
          <w:szCs w:val="28"/>
        </w:rPr>
      </w:pPr>
    </w:p>
    <w:p w14:paraId="0C5C2AD2">
      <w:pPr>
        <w:pBdr>
          <w:top w:val="single" w:color="auto" w:sz="4" w:space="1"/>
          <w:left w:val="single" w:color="auto" w:sz="4" w:space="4"/>
          <w:bottom w:val="single" w:color="auto" w:sz="4" w:space="1"/>
          <w:right w:val="single" w:color="auto" w:sz="4" w:space="4"/>
        </w:pBdr>
        <w:jc w:val="center"/>
        <w:rPr>
          <w:sz w:val="28"/>
          <w:szCs w:val="28"/>
        </w:rPr>
      </w:pPr>
      <w:r>
        <w:rPr>
          <w:b/>
          <w:sz w:val="28"/>
          <w:szCs w:val="28"/>
        </w:rPr>
        <w:t>Master’s Degrees by Examination and Dissertation</w:t>
      </w:r>
    </w:p>
    <w:p w14:paraId="46E36CB7">
      <w:pPr>
        <w:pBdr>
          <w:top w:val="single" w:color="auto" w:sz="4" w:space="1"/>
          <w:left w:val="single" w:color="auto" w:sz="4" w:space="4"/>
          <w:bottom w:val="single" w:color="auto" w:sz="4" w:space="1"/>
          <w:right w:val="single" w:color="auto" w:sz="4" w:space="4"/>
        </w:pBdr>
        <w:jc w:val="center"/>
        <w:rPr>
          <w:sz w:val="28"/>
          <w:szCs w:val="28"/>
        </w:rPr>
      </w:pPr>
      <w:r>
        <w:rPr>
          <w:b/>
          <w:sz w:val="28"/>
          <w:szCs w:val="28"/>
        </w:rPr>
        <w:t>Declaration Form</w:t>
      </w:r>
      <w:r>
        <w:rPr>
          <w:sz w:val="28"/>
          <w:szCs w:val="28"/>
        </w:rPr>
        <w:t>.</w:t>
      </w:r>
    </w:p>
    <w:p w14:paraId="1DCE8BB0">
      <w:pPr>
        <w:pBdr>
          <w:top w:val="single" w:color="auto" w:sz="4" w:space="1"/>
          <w:left w:val="single" w:color="auto" w:sz="4" w:space="4"/>
          <w:bottom w:val="single" w:color="auto" w:sz="4" w:space="1"/>
          <w:right w:val="single" w:color="auto" w:sz="4" w:space="4"/>
        </w:pBdr>
        <w:spacing w:line="480" w:lineRule="auto"/>
      </w:pPr>
    </w:p>
    <w:p w14:paraId="17D1A54C">
      <w:pPr>
        <w:pBdr>
          <w:top w:val="single" w:color="auto" w:sz="4" w:space="1"/>
          <w:left w:val="single" w:color="auto" w:sz="4" w:space="4"/>
          <w:bottom w:val="single" w:color="auto" w:sz="4" w:space="1"/>
          <w:right w:val="single" w:color="auto" w:sz="4" w:space="4"/>
        </w:pBdr>
        <w:spacing w:line="480" w:lineRule="auto"/>
      </w:pPr>
      <w:r>
        <w:t xml:space="preserve">I, Marzana Hasan Mita, declare that this dissertation has been composed by me, that the work contained herein is entirely my own except where explicitly stated otherwise in the text, and that this work has not been submitted for any other degree or qualification, in whole or in part, except as specified. </w:t>
      </w:r>
    </w:p>
    <w:p w14:paraId="60BF1D96">
      <w:pPr>
        <w:pBdr>
          <w:top w:val="single" w:color="auto" w:sz="4" w:space="1"/>
          <w:left w:val="single" w:color="auto" w:sz="4" w:space="4"/>
          <w:bottom w:val="single" w:color="auto" w:sz="4" w:space="1"/>
          <w:right w:val="single" w:color="auto" w:sz="4" w:space="4"/>
        </w:pBdr>
        <w:spacing w:line="480" w:lineRule="auto"/>
      </w:pPr>
      <w:r>
        <w:t xml:space="preserve"> </w:t>
      </w:r>
    </w:p>
    <w:p w14:paraId="1EDF008D">
      <w:pPr>
        <w:pBdr>
          <w:top w:val="single" w:color="auto" w:sz="4" w:space="1"/>
          <w:left w:val="single" w:color="auto" w:sz="4" w:space="4"/>
          <w:bottom w:val="single" w:color="auto" w:sz="4" w:space="1"/>
          <w:right w:val="single" w:color="auto" w:sz="4" w:space="4"/>
        </w:pBdr>
        <w:spacing w:line="480" w:lineRule="auto"/>
      </w:pPr>
      <w:r>
        <w:t>Signature: ………………… Marzana Hasan Mita ……………............................</w:t>
      </w:r>
    </w:p>
    <w:p w14:paraId="6C24DAC4">
      <w:pPr>
        <w:pBdr>
          <w:top w:val="single" w:color="auto" w:sz="4" w:space="1"/>
          <w:left w:val="single" w:color="auto" w:sz="4" w:space="4"/>
          <w:bottom w:val="single" w:color="auto" w:sz="4" w:space="1"/>
          <w:right w:val="single" w:color="auto" w:sz="4" w:space="4"/>
        </w:pBdr>
        <w:spacing w:line="480" w:lineRule="auto"/>
      </w:pPr>
      <w:r>
        <w:t xml:space="preserve"> </w:t>
      </w:r>
    </w:p>
    <w:p w14:paraId="5CE97E39">
      <w:pPr>
        <w:pBdr>
          <w:top w:val="single" w:color="auto" w:sz="4" w:space="1"/>
          <w:left w:val="single" w:color="auto" w:sz="4" w:space="4"/>
          <w:bottom w:val="single" w:color="auto" w:sz="4" w:space="1"/>
          <w:right w:val="single" w:color="auto" w:sz="4" w:space="4"/>
        </w:pBdr>
        <w:spacing w:line="480" w:lineRule="auto"/>
      </w:pPr>
      <w:r>
        <w:t>Date:         ……………………</w:t>
      </w:r>
      <w:r>
        <w:rPr>
          <w:rFonts w:hint="default"/>
          <w:lang w:val="en-US"/>
        </w:rPr>
        <w:t>20</w:t>
      </w:r>
      <w:r>
        <w:t xml:space="preserve"> September 2026…………............................</w:t>
      </w:r>
    </w:p>
    <w:p w14:paraId="049C35A4">
      <w:pPr>
        <w:pBdr>
          <w:top w:val="single" w:color="auto" w:sz="4" w:space="1"/>
          <w:left w:val="single" w:color="auto" w:sz="4" w:space="4"/>
          <w:bottom w:val="single" w:color="auto" w:sz="4" w:space="1"/>
          <w:right w:val="single" w:color="auto" w:sz="4" w:space="4"/>
        </w:pBdr>
        <w:rPr>
          <w:rFonts w:ascii="Arial" w:hAnsi="Arial" w:cs="Arial"/>
        </w:rPr>
      </w:pPr>
    </w:p>
    <w:p w14:paraId="56573B5B">
      <w:pPr>
        <w:spacing w:after="160" w:line="259" w:lineRule="auto"/>
        <w:rPr>
          <w:b/>
          <w:bCs/>
        </w:rPr>
      </w:pPr>
    </w:p>
    <w:p w14:paraId="4D8C4793">
      <w:pPr>
        <w:spacing w:before="0" w:after="160" w:line="259" w:lineRule="auto"/>
        <w:jc w:val="left"/>
        <w:rPr>
          <w:b/>
          <w:bCs/>
        </w:rPr>
      </w:pPr>
      <w:r>
        <w:rPr>
          <w:b/>
          <w:bCs/>
        </w:rPr>
        <w:br w:type="page"/>
      </w:r>
    </w:p>
    <w:p w14:paraId="012C6681">
      <w:pPr>
        <w:pStyle w:val="2"/>
      </w:pPr>
      <w:bookmarkStart w:id="1" w:name="_Toc240757322"/>
      <w:r>
        <w:t>AI Use Acknowledgement</w:t>
      </w:r>
      <w:bookmarkEnd w:id="1"/>
    </w:p>
    <w:p w14:paraId="52B85E16">
      <w:r>
        <w:t xml:space="preserve">This dissertation was prepared with limited use of AI tools, as a supportive aid. It helped with language development, correcting grammar, making the sentences clear and clarifying ideas when selecting ideas in drafts. AI was not used to create research data or to fabricate evidence, create references or replace the critical analysis or academic judgement of the author. </w:t>
      </w:r>
    </w:p>
    <w:p w14:paraId="72B176CB">
      <w:r>
        <w:t xml:space="preserve">The author examined, reviewed, and validated all arguments, interpretations, source selections, and conclusions against the original documents from academic, corporate, regulatory and industry sources used in the study. The author of this dissertation is solely responsible for the accuracy, integrity, originality and eventual presentation of this dissertation. </w:t>
      </w:r>
      <w:r>
        <w:br w:type="page"/>
      </w:r>
    </w:p>
    <w:p w14:paraId="765DA332">
      <w:pPr>
        <w:pStyle w:val="2"/>
      </w:pPr>
      <w:bookmarkStart w:id="2" w:name="_Toc240757323"/>
      <w:r>
        <w:t>Acknowledgements</w:t>
      </w:r>
      <w:bookmarkEnd w:id="2"/>
    </w:p>
    <w:p w14:paraId="2B5BCFEA">
      <w:r>
        <w:t>My sincere thanks go to my supervisor, Xavier Matieni, for his guidance, constructive feedback and academic support during this dissertation. In addition, I would like to thank the Master of Business Administration lecturers and staff for their knowledge and encouragement.</w:t>
      </w:r>
    </w:p>
    <w:p w14:paraId="014ABF69">
      <w:r>
        <w:t>Thanks are due to the organisations and regulators that have published reports and publications that are accessible to the public and allowed this secondary research to be carried out. Lastly, thanks are extended to my family and friends, who have been patient, supportive and encouraging about bringing this dissertation to completion. Their expertise and enthusiasm helped us with the project's research and writing immensely.</w:t>
      </w:r>
    </w:p>
    <w:p w14:paraId="0572764B"/>
    <w:p w14:paraId="3298A765">
      <w:pPr>
        <w:spacing w:before="0" w:after="160" w:line="259" w:lineRule="auto"/>
        <w:jc w:val="left"/>
        <w:rPr>
          <w:b/>
          <w:bCs/>
        </w:rPr>
      </w:pPr>
      <w:r>
        <w:rPr>
          <w:b/>
          <w:bCs/>
        </w:rPr>
        <w:br w:type="page"/>
      </w:r>
    </w:p>
    <w:p w14:paraId="255AA715">
      <w:pPr>
        <w:pStyle w:val="2"/>
      </w:pPr>
      <w:bookmarkStart w:id="3" w:name="_Toc240757324"/>
      <w:r>
        <w:t>Abstract</w:t>
      </w:r>
      <w:bookmarkEnd w:id="3"/>
    </w:p>
    <w:p w14:paraId="21C89EDB">
      <w:r>
        <w:t>This dissertation aims to investigate the effect of sustainable marketing on brand image and customer trust/reputation in the UK fast fashion retail sector. Chapter One sets the context of the tension between environmental responsibility and high volume / quick turnover business model, and aims to examine sustainable marketing with the use of secondary evidence. Chapter Two introduces sustainable marketing and revisits the concept of brand image, trust, reputation and greenwashing, whilst referring to the signalling theory, customer-based brand equity and legitimacy theory. Literature indicates that the brand effect of sustainability communication is not necessarily positive specific claims must be substantiated and transparent, and further consistent with actions taken within the organisation.</w:t>
      </w:r>
    </w:p>
    <w:p w14:paraId="28830350">
      <w:r>
        <w:t>An interpretivist, abductive and qualitative multiple case design has been adopted in Chapter Three. Fifteen documentary units from corporate, regulatory, NGO and industry sources are analysed to contain insights on ASOS, Boohoo, Primark, H&amp;M and Zara. Reflexive thematic analysis, triangulation, and evidence hierarchy are used to compare the level of claims specificity and verification, transparency, operational congruence, and outside challenge, to check for an absence of unsupported claims on consumer behaviour.</w:t>
      </w:r>
    </w:p>
    <w:p w14:paraId="4522E00A">
      <w:r>
        <w:t>Four cross-case themes are identified in Chapter Four. Differential levels of sustainability portfolios/delivery states. The importance of logical support for communicative statements. Ambition/Implementation Tensions. And the function of the outside gaze in legitimating corporate stories. The cases exhibit varying credibilities. H&amp;M make detailed quantified disclosures, albeit within the boundaries of assurance; ASOS has great strategic aspirations, but implementation is lagging, and regulatory attention is acknowledged; Boohoo has an apparent mismatch between objective and material disclosure; Zara is impacted by not being able to translate the data from the Inditex group to the brand level; and Primark is constrained by limited documentation.</w:t>
      </w:r>
    </w:p>
    <w:p w14:paraId="6D8C1A2E">
      <w:pPr>
        <w:rPr>
          <w:b/>
          <w:bCs/>
        </w:rPr>
      </w:pPr>
      <w:r>
        <w:t>The implications from these findings are discussed in Chapter Five in relation to the three theories, and credibility is used as a conditional mechanism for the relationship between sustainable marketing and brand outcomes. The research finds that credible sustainability messaging has the potential to bolster positive brand image and brand trust, while weak substantiation, scope and/or claim practice consistency can build scepticism and reputational risk. In Chapter Six, evidence-informed claims, a more detailed report on delivery, scope qualification at the brand and product level, more rigorous verification and disclosure of incidents of lower performance and regulatory challenges are recommended. Further research is required in the area of longitudinal research and consumer research; priorities exist in studies due to the variability of case material, changing web pages and selective disclosure</w:t>
      </w:r>
      <w:r>
        <w:rPr>
          <w:b/>
          <w:bCs/>
        </w:rPr>
        <w:br w:type="page"/>
      </w:r>
    </w:p>
    <w:sdt>
      <w:sdtPr>
        <w:rPr>
          <w:b w:val="0"/>
          <w:kern w:val="2"/>
          <w:sz w:val="24"/>
          <w:szCs w:val="22"/>
          <w:lang w:val="en-GB" w:eastAsia="en-GB"/>
          <w14:ligatures w14:val="standardContextual"/>
        </w:rPr>
        <w:id w:val="-1590532724"/>
        <w:docPartObj>
          <w:docPartGallery w:val="Table of Contents"/>
          <w:docPartUnique/>
        </w:docPartObj>
      </w:sdtPr>
      <w:sdtEndPr>
        <w:rPr>
          <w:b w:val="0"/>
          <w:bCs/>
          <w:kern w:val="2"/>
          <w:sz w:val="24"/>
          <w:szCs w:val="22"/>
          <w:lang w:val="en-GB" w:eastAsia="en-GB"/>
          <w14:ligatures w14:val="standardContextual"/>
        </w:rPr>
      </w:sdtEndPr>
      <w:sdtContent>
        <w:p w14:paraId="6AF26228">
          <w:pPr>
            <w:pStyle w:val="154"/>
          </w:pPr>
          <w:r>
            <w:t>Table of Contents</w:t>
          </w:r>
        </w:p>
        <w:p w14:paraId="73C695F0">
          <w:pPr>
            <w:pStyle w:val="44"/>
            <w:tabs>
              <w:tab w:val="right" w:leader="dot" w:pos="9486"/>
            </w:tabs>
            <w:rPr>
              <w:rFonts w:ascii="Times New Roman" w:hAnsi="Times New Roman" w:cs="Times New Roman" w:eastAsiaTheme="minorEastAsia"/>
              <w:b w:val="0"/>
              <w:bCs w:val="0"/>
              <w:i w:val="0"/>
              <w:iCs w:val="0"/>
              <w:szCs w:val="24"/>
              <w:lang w:val="zh-CN" w:bidi="bn-IN"/>
            </w:rPr>
          </w:pP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TOC \o "1-3" \h \z \u </w:instrText>
          </w:r>
          <w:r>
            <w:rPr>
              <w:rFonts w:ascii="Times New Roman" w:hAnsi="Times New Roman" w:cs="Times New Roman"/>
              <w:b w:val="0"/>
              <w:bCs w:val="0"/>
              <w:i w:val="0"/>
              <w:iCs w:val="0"/>
              <w:szCs w:val="24"/>
            </w:rPr>
            <w:fldChar w:fldCharType="separate"/>
          </w:r>
          <w:r>
            <w:fldChar w:fldCharType="begin"/>
          </w:r>
          <w:r>
            <w:instrText xml:space="preserve"> HYPERLINK \l "_Toc240757321" </w:instrText>
          </w:r>
          <w:r>
            <w:fldChar w:fldCharType="separate"/>
          </w:r>
          <w:r>
            <w:rPr>
              <w:rStyle w:val="24"/>
              <w:rFonts w:ascii="Times New Roman" w:hAnsi="Times New Roman" w:cs="Times New Roman"/>
              <w:b w:val="0"/>
              <w:bCs w:val="0"/>
              <w:i w:val="0"/>
              <w:iCs w:val="0"/>
              <w:szCs w:val="24"/>
            </w:rPr>
            <w:t>Declaration</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_Toc240757321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2</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24730A01">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"_Toc240757322" </w:instrText>
          </w:r>
          <w:r>
            <w:fldChar w:fldCharType="separate"/>
          </w:r>
          <w:r>
            <w:rPr>
              <w:rStyle w:val="24"/>
              <w:rFonts w:ascii="Times New Roman" w:hAnsi="Times New Roman" w:cs="Times New Roman"/>
              <w:b w:val="0"/>
              <w:bCs w:val="0"/>
              <w:i w:val="0"/>
              <w:iCs w:val="0"/>
              <w:szCs w:val="24"/>
            </w:rPr>
            <w:t>AI Use Acknowledgement</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_Toc240757322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3</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6C539EE7">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"_Toc240757323" </w:instrText>
          </w:r>
          <w:r>
            <w:fldChar w:fldCharType="separate"/>
          </w:r>
          <w:r>
            <w:rPr>
              <w:rStyle w:val="24"/>
              <w:rFonts w:ascii="Times New Roman" w:hAnsi="Times New Roman" w:cs="Times New Roman"/>
              <w:b w:val="0"/>
              <w:bCs w:val="0"/>
              <w:i w:val="0"/>
              <w:iCs w:val="0"/>
              <w:szCs w:val="24"/>
            </w:rPr>
            <w:t>Acknowledgements</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_Toc240757323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4</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5F03FC40">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"_Toc240757324" </w:instrText>
          </w:r>
          <w:r>
            <w:fldChar w:fldCharType="separate"/>
          </w:r>
          <w:r>
            <w:rPr>
              <w:rStyle w:val="24"/>
              <w:rFonts w:ascii="Times New Roman" w:hAnsi="Times New Roman" w:cs="Times New Roman"/>
              <w:b w:val="0"/>
              <w:bCs w:val="0"/>
              <w:i w:val="0"/>
              <w:iCs w:val="0"/>
              <w:szCs w:val="24"/>
            </w:rPr>
            <w:t>Abstract</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_Toc240757324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5</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36F11883">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"_Toc240757325" </w:instrText>
          </w:r>
          <w:r>
            <w:fldChar w:fldCharType="separate"/>
          </w:r>
          <w:r>
            <w:rPr>
              <w:rStyle w:val="24"/>
              <w:rFonts w:ascii="Times New Roman" w:hAnsi="Times New Roman" w:cs="Times New Roman"/>
              <w:b w:val="0"/>
              <w:bCs w:val="0"/>
              <w:i w:val="0"/>
              <w:iCs w:val="0"/>
              <w:szCs w:val="24"/>
            </w:rPr>
            <w:t>List of Abbreviations</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_Toc240757325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11</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5A463DB1">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"_Toc240757326" </w:instrText>
          </w:r>
          <w:r>
            <w:fldChar w:fldCharType="separate"/>
          </w:r>
          <w:r>
            <w:rPr>
              <w:rStyle w:val="24"/>
              <w:rFonts w:ascii="Times New Roman" w:hAnsi="Times New Roman" w:cs="Times New Roman"/>
              <w:b w:val="0"/>
              <w:bCs w:val="0"/>
              <w:i w:val="0"/>
              <w:iCs w:val="0"/>
              <w:szCs w:val="24"/>
            </w:rPr>
            <w:t>Glossary</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_Toc240757326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12</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53B9A2EA">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"_Toc240757327" </w:instrText>
          </w:r>
          <w:r>
            <w:fldChar w:fldCharType="separate"/>
          </w:r>
          <w:r>
            <w:rPr>
              <w:rStyle w:val="24"/>
              <w:rFonts w:ascii="Times New Roman" w:hAnsi="Times New Roman" w:cs="Times New Roman"/>
              <w:b w:val="0"/>
              <w:bCs w:val="0"/>
              <w:i w:val="0"/>
              <w:iCs w:val="0"/>
              <w:szCs w:val="24"/>
            </w:rPr>
            <w:t>Chapter 1: Introduction And Rationale</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_Toc240757327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14</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13ABCF44">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"_Toc240757328" </w:instrText>
          </w:r>
          <w:r>
            <w:fldChar w:fldCharType="separate"/>
          </w:r>
          <w:r>
            <w:rPr>
              <w:rStyle w:val="24"/>
              <w:rFonts w:ascii="Times New Roman" w:hAnsi="Times New Roman" w:cs="Times New Roman"/>
              <w:b w:val="0"/>
              <w:bCs w:val="0"/>
              <w:sz w:val="24"/>
              <w:szCs w:val="24"/>
            </w:rPr>
            <w:t>1.1 Research Background</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_Toc240757328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14</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413B1887">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"_Toc240757329" </w:instrText>
          </w:r>
          <w:r>
            <w:fldChar w:fldCharType="separate"/>
          </w:r>
          <w:r>
            <w:rPr>
              <w:rStyle w:val="24"/>
              <w:rFonts w:ascii="Times New Roman" w:hAnsi="Times New Roman" w:cs="Times New Roman"/>
              <w:b w:val="0"/>
              <w:bCs w:val="0"/>
              <w:sz w:val="24"/>
              <w:szCs w:val="24"/>
            </w:rPr>
            <w:t>1.2 Research Rationale</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_Toc240757329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14</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1328CF0F">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"_Toc240757330" </w:instrText>
          </w:r>
          <w:r>
            <w:fldChar w:fldCharType="separate"/>
          </w:r>
          <w:r>
            <w:rPr>
              <w:rStyle w:val="24"/>
              <w:rFonts w:ascii="Times New Roman" w:hAnsi="Times New Roman" w:cs="Times New Roman"/>
              <w:sz w:val="24"/>
            </w:rPr>
            <w:t>1.2.1 Theoretical Justification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_Toc240757330 \h </w:instrText>
          </w:r>
          <w:r>
            <w:rPr>
              <w:rFonts w:ascii="Times New Roman" w:hAnsi="Times New Roman" w:cs="Times New Roman"/>
              <w:sz w:val="24"/>
            </w:rPr>
            <w:fldChar w:fldCharType="separate"/>
          </w:r>
          <w:r>
            <w:rPr>
              <w:rFonts w:ascii="Times New Roman" w:hAnsi="Times New Roman" w:cs="Times New Roman"/>
              <w:sz w:val="24"/>
            </w:rPr>
            <w:t>14</w:t>
          </w:r>
          <w:r>
            <w:rPr>
              <w:rFonts w:ascii="Times New Roman" w:hAnsi="Times New Roman" w:cs="Times New Roman"/>
              <w:sz w:val="24"/>
            </w:rPr>
            <w:fldChar w:fldCharType="end"/>
          </w:r>
          <w:r>
            <w:rPr>
              <w:rFonts w:ascii="Times New Roman" w:hAnsi="Times New Roman" w:cs="Times New Roman"/>
              <w:sz w:val="24"/>
            </w:rPr>
            <w:fldChar w:fldCharType="end"/>
          </w:r>
        </w:p>
        <w:p w14:paraId="1F9C2806">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"_Toc240757331" </w:instrText>
          </w:r>
          <w:r>
            <w:fldChar w:fldCharType="separate"/>
          </w:r>
          <w:r>
            <w:rPr>
              <w:rStyle w:val="24"/>
              <w:rFonts w:ascii="Times New Roman" w:hAnsi="Times New Roman" w:cs="Times New Roman"/>
              <w:sz w:val="24"/>
            </w:rPr>
            <w:t>1.2.2 Practical Justification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_Toc240757331 \h </w:instrText>
          </w:r>
          <w:r>
            <w:rPr>
              <w:rFonts w:ascii="Times New Roman" w:hAnsi="Times New Roman" w:cs="Times New Roman"/>
              <w:sz w:val="24"/>
            </w:rPr>
            <w:fldChar w:fldCharType="separate"/>
          </w:r>
          <w:r>
            <w:rPr>
              <w:rFonts w:ascii="Times New Roman" w:hAnsi="Times New Roman" w:cs="Times New Roman"/>
              <w:sz w:val="24"/>
            </w:rPr>
            <w:t>15</w:t>
          </w:r>
          <w:r>
            <w:rPr>
              <w:rFonts w:ascii="Times New Roman" w:hAnsi="Times New Roman" w:cs="Times New Roman"/>
              <w:sz w:val="24"/>
            </w:rPr>
            <w:fldChar w:fldCharType="end"/>
          </w:r>
          <w:r>
            <w:rPr>
              <w:rFonts w:ascii="Times New Roman" w:hAnsi="Times New Roman" w:cs="Times New Roman"/>
              <w:sz w:val="24"/>
            </w:rPr>
            <w:fldChar w:fldCharType="end"/>
          </w:r>
        </w:p>
        <w:p w14:paraId="44B84326">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"_Toc240757332" </w:instrText>
          </w:r>
          <w:r>
            <w:fldChar w:fldCharType="separate"/>
          </w:r>
          <w:r>
            <w:rPr>
              <w:rStyle w:val="24"/>
              <w:rFonts w:ascii="Times New Roman" w:hAnsi="Times New Roman" w:cs="Times New Roman"/>
              <w:b w:val="0"/>
              <w:bCs w:val="0"/>
              <w:sz w:val="24"/>
              <w:szCs w:val="24"/>
            </w:rPr>
            <w:t>1.3 Research Contribution and Motivation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_Toc240757332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16</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6BF4E1E4">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"_Toc240757333" </w:instrText>
          </w:r>
          <w:r>
            <w:fldChar w:fldCharType="separate"/>
          </w:r>
          <w:r>
            <w:rPr>
              <w:rStyle w:val="24"/>
              <w:rFonts w:ascii="Times New Roman" w:hAnsi="Times New Roman" w:cs="Times New Roman"/>
              <w:b w:val="0"/>
              <w:bCs w:val="0"/>
              <w:sz w:val="24"/>
              <w:szCs w:val="24"/>
            </w:rPr>
            <w:t>1.4 Research Aim, Objectives and Questions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_Toc240757333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16</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2C8AE6E8">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"_Toc240757334" </w:instrText>
          </w:r>
          <w:r>
            <w:fldChar w:fldCharType="separate"/>
          </w:r>
          <w:r>
            <w:rPr>
              <w:rStyle w:val="24"/>
              <w:rFonts w:ascii="Times New Roman" w:hAnsi="Times New Roman" w:cs="Times New Roman"/>
              <w:sz w:val="24"/>
            </w:rPr>
            <w:t>Research Aim</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_Toc240757334 \h </w:instrText>
          </w:r>
          <w:r>
            <w:rPr>
              <w:rFonts w:ascii="Times New Roman" w:hAnsi="Times New Roman" w:cs="Times New Roman"/>
              <w:sz w:val="24"/>
            </w:rPr>
            <w:fldChar w:fldCharType="separate"/>
          </w:r>
          <w:r>
            <w:rPr>
              <w:rFonts w:ascii="Times New Roman" w:hAnsi="Times New Roman" w:cs="Times New Roman"/>
              <w:sz w:val="24"/>
            </w:rPr>
            <w:t>16</w:t>
          </w:r>
          <w:r>
            <w:rPr>
              <w:rFonts w:ascii="Times New Roman" w:hAnsi="Times New Roman" w:cs="Times New Roman"/>
              <w:sz w:val="24"/>
            </w:rPr>
            <w:fldChar w:fldCharType="end"/>
          </w:r>
          <w:r>
            <w:rPr>
              <w:rFonts w:ascii="Times New Roman" w:hAnsi="Times New Roman" w:cs="Times New Roman"/>
              <w:sz w:val="24"/>
            </w:rPr>
            <w:fldChar w:fldCharType="end"/>
          </w:r>
        </w:p>
        <w:p w14:paraId="67C92E84">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"_Toc240757335" </w:instrText>
          </w:r>
          <w:r>
            <w:fldChar w:fldCharType="separate"/>
          </w:r>
          <w:r>
            <w:rPr>
              <w:rStyle w:val="24"/>
              <w:rFonts w:ascii="Times New Roman" w:hAnsi="Times New Roman" w:cs="Times New Roman"/>
              <w:sz w:val="24"/>
            </w:rPr>
            <w:t>Research Objectives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_Toc240757335 \h </w:instrText>
          </w:r>
          <w:r>
            <w:rPr>
              <w:rFonts w:ascii="Times New Roman" w:hAnsi="Times New Roman" w:cs="Times New Roman"/>
              <w:sz w:val="24"/>
            </w:rPr>
            <w:fldChar w:fldCharType="separate"/>
          </w:r>
          <w:r>
            <w:rPr>
              <w:rFonts w:ascii="Times New Roman" w:hAnsi="Times New Roman" w:cs="Times New Roman"/>
              <w:sz w:val="24"/>
            </w:rPr>
            <w:t>16</w:t>
          </w:r>
          <w:r>
            <w:rPr>
              <w:rFonts w:ascii="Times New Roman" w:hAnsi="Times New Roman" w:cs="Times New Roman"/>
              <w:sz w:val="24"/>
            </w:rPr>
            <w:fldChar w:fldCharType="end"/>
          </w:r>
          <w:r>
            <w:rPr>
              <w:rFonts w:ascii="Times New Roman" w:hAnsi="Times New Roman" w:cs="Times New Roman"/>
              <w:sz w:val="24"/>
            </w:rPr>
            <w:fldChar w:fldCharType="end"/>
          </w:r>
        </w:p>
        <w:p w14:paraId="2C0A6ECC">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"_Toc240757336" </w:instrText>
          </w:r>
          <w:r>
            <w:fldChar w:fldCharType="separate"/>
          </w:r>
          <w:r>
            <w:rPr>
              <w:rStyle w:val="24"/>
              <w:rFonts w:ascii="Times New Roman" w:hAnsi="Times New Roman" w:cs="Times New Roman"/>
              <w:sz w:val="24"/>
            </w:rPr>
            <w:t>Research Questions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_Toc240757336 \h </w:instrText>
          </w:r>
          <w:r>
            <w:rPr>
              <w:rFonts w:ascii="Times New Roman" w:hAnsi="Times New Roman" w:cs="Times New Roman"/>
              <w:sz w:val="24"/>
            </w:rPr>
            <w:fldChar w:fldCharType="separate"/>
          </w:r>
          <w:r>
            <w:rPr>
              <w:rFonts w:ascii="Times New Roman" w:hAnsi="Times New Roman" w:cs="Times New Roman"/>
              <w:sz w:val="24"/>
            </w:rPr>
            <w:t>16</w:t>
          </w:r>
          <w:r>
            <w:rPr>
              <w:rFonts w:ascii="Times New Roman" w:hAnsi="Times New Roman" w:cs="Times New Roman"/>
              <w:sz w:val="24"/>
            </w:rPr>
            <w:fldChar w:fldCharType="end"/>
          </w:r>
          <w:r>
            <w:rPr>
              <w:rFonts w:ascii="Times New Roman" w:hAnsi="Times New Roman" w:cs="Times New Roman"/>
              <w:sz w:val="24"/>
            </w:rPr>
            <w:fldChar w:fldCharType="end"/>
          </w:r>
        </w:p>
        <w:p w14:paraId="274950B7">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"_Toc240757337" </w:instrText>
          </w:r>
          <w:r>
            <w:fldChar w:fldCharType="separate"/>
          </w:r>
          <w:r>
            <w:rPr>
              <w:rStyle w:val="24"/>
              <w:rFonts w:ascii="Times New Roman" w:hAnsi="Times New Roman" w:cs="Times New Roman"/>
              <w:b w:val="0"/>
              <w:bCs w:val="0"/>
              <w:sz w:val="24"/>
              <w:szCs w:val="24"/>
            </w:rPr>
            <w:t>1.5 Dissertation Structure</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_Toc240757337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17</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42AA56B2">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"_Toc240757338" </w:instrText>
          </w:r>
          <w:r>
            <w:fldChar w:fldCharType="separate"/>
          </w:r>
          <w:r>
            <w:rPr>
              <w:rStyle w:val="24"/>
              <w:rFonts w:ascii="Times New Roman" w:hAnsi="Times New Roman" w:cs="Times New Roman"/>
              <w:b w:val="0"/>
              <w:bCs w:val="0"/>
              <w:i w:val="0"/>
              <w:iCs w:val="0"/>
              <w:szCs w:val="24"/>
            </w:rPr>
            <w:t xml:space="preserve">Chapter </w:t>
          </w:r>
          <w:r>
            <w:rPr>
              <w:rStyle w:val="24"/>
              <w:rFonts w:ascii="Times New Roman" w:hAnsi="Times New Roman" w:cs="Times New Roman"/>
              <w:b w:val="0"/>
              <w:bCs w:val="0"/>
              <w:i w:val="0"/>
              <w:iCs w:val="0"/>
              <w:szCs w:val="24"/>
              <w:lang w:val="en-US"/>
            </w:rPr>
            <w:t>2</w:t>
          </w:r>
          <w:r>
            <w:rPr>
              <w:rStyle w:val="24"/>
              <w:rFonts w:ascii="Times New Roman" w:hAnsi="Times New Roman" w:cs="Times New Roman"/>
              <w:b w:val="0"/>
              <w:bCs w:val="0"/>
              <w:i w:val="0"/>
              <w:iCs w:val="0"/>
              <w:szCs w:val="24"/>
            </w:rPr>
            <w:t>: Literature Review</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_Toc240757338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18</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1BCCB8D1">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"_Toc240757339" </w:instrText>
          </w:r>
          <w:r>
            <w:fldChar w:fldCharType="separate"/>
          </w:r>
          <w:r>
            <w:rPr>
              <w:rStyle w:val="24"/>
              <w:rFonts w:ascii="Times New Roman" w:hAnsi="Times New Roman" w:cs="Times New Roman"/>
              <w:b w:val="0"/>
              <w:bCs w:val="0"/>
              <w:sz w:val="24"/>
              <w:szCs w:val="24"/>
              <w:lang w:val="en-US"/>
            </w:rPr>
            <w:t>2</w:t>
          </w:r>
          <w:r>
            <w:rPr>
              <w:rStyle w:val="24"/>
              <w:rFonts w:ascii="Times New Roman" w:hAnsi="Times New Roman" w:cs="Times New Roman"/>
              <w:b w:val="0"/>
              <w:bCs w:val="0"/>
              <w:sz w:val="24"/>
              <w:szCs w:val="24"/>
            </w:rPr>
            <w:t>.1 Introduction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_Toc240757339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18</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17DAEEB6">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"_Toc240757340" </w:instrText>
          </w:r>
          <w:r>
            <w:fldChar w:fldCharType="separate"/>
          </w:r>
          <w:r>
            <w:rPr>
              <w:rStyle w:val="24"/>
              <w:rFonts w:ascii="Times New Roman" w:hAnsi="Times New Roman" w:cs="Times New Roman"/>
              <w:b w:val="0"/>
              <w:bCs w:val="0"/>
              <w:sz w:val="24"/>
              <w:szCs w:val="24"/>
              <w:lang w:val="en-US"/>
            </w:rPr>
            <w:t>2</w:t>
          </w:r>
          <w:r>
            <w:rPr>
              <w:rStyle w:val="24"/>
              <w:rFonts w:ascii="Times New Roman" w:hAnsi="Times New Roman" w:cs="Times New Roman"/>
              <w:b w:val="0"/>
              <w:bCs w:val="0"/>
              <w:sz w:val="24"/>
              <w:szCs w:val="24"/>
            </w:rPr>
            <w:t>.2 Sustainable Marketing and the Fast-Fashion Paradox</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_Toc240757340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18</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45048C37">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"_Toc240757341" </w:instrText>
          </w:r>
          <w:r>
            <w:fldChar w:fldCharType="separate"/>
          </w:r>
          <w:r>
            <w:rPr>
              <w:rStyle w:val="24"/>
              <w:rFonts w:ascii="Times New Roman" w:hAnsi="Times New Roman" w:cs="Times New Roman"/>
              <w:b w:val="0"/>
              <w:bCs w:val="0"/>
              <w:sz w:val="24"/>
              <w:szCs w:val="24"/>
              <w:lang w:val="en-US"/>
            </w:rPr>
            <w:t>2</w:t>
          </w:r>
          <w:r>
            <w:rPr>
              <w:rStyle w:val="24"/>
              <w:rFonts w:ascii="Times New Roman" w:hAnsi="Times New Roman" w:cs="Times New Roman"/>
              <w:b w:val="0"/>
              <w:bCs w:val="0"/>
              <w:sz w:val="24"/>
              <w:szCs w:val="24"/>
            </w:rPr>
            <w:t>.3 Sustainable Marketing Strategies and Brand Associations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_Toc240757341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19</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5A83FA7D">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"_Toc240757342" </w:instrText>
          </w:r>
          <w:r>
            <w:fldChar w:fldCharType="separate"/>
          </w:r>
          <w:r>
            <w:rPr>
              <w:rStyle w:val="24"/>
              <w:rFonts w:ascii="Times New Roman" w:hAnsi="Times New Roman" w:cs="Times New Roman"/>
              <w:sz w:val="24"/>
              <w:lang w:val="en-US"/>
            </w:rPr>
            <w:t>2</w:t>
          </w:r>
          <w:r>
            <w:rPr>
              <w:rStyle w:val="24"/>
              <w:rFonts w:ascii="Times New Roman" w:hAnsi="Times New Roman" w:cs="Times New Roman"/>
              <w:sz w:val="24"/>
            </w:rPr>
            <w:t>.3.1 Materials, labels and certifications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_Toc240757342 \h </w:instrText>
          </w:r>
          <w:r>
            <w:rPr>
              <w:rFonts w:ascii="Times New Roman" w:hAnsi="Times New Roman" w:cs="Times New Roman"/>
              <w:sz w:val="24"/>
            </w:rPr>
            <w:fldChar w:fldCharType="separate"/>
          </w:r>
          <w:r>
            <w:rPr>
              <w:rFonts w:ascii="Times New Roman" w:hAnsi="Times New Roman" w:cs="Times New Roman"/>
              <w:sz w:val="24"/>
            </w:rPr>
            <w:t>19</w:t>
          </w:r>
          <w:r>
            <w:rPr>
              <w:rFonts w:ascii="Times New Roman" w:hAnsi="Times New Roman" w:cs="Times New Roman"/>
              <w:sz w:val="24"/>
            </w:rPr>
            <w:fldChar w:fldCharType="end"/>
          </w:r>
          <w:r>
            <w:rPr>
              <w:rFonts w:ascii="Times New Roman" w:hAnsi="Times New Roman" w:cs="Times New Roman"/>
              <w:sz w:val="24"/>
            </w:rPr>
            <w:fldChar w:fldCharType="end"/>
          </w:r>
        </w:p>
        <w:p w14:paraId="142D6574">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"_Toc240757343" </w:instrText>
          </w:r>
          <w:r>
            <w:fldChar w:fldCharType="separate"/>
          </w:r>
          <w:r>
            <w:rPr>
              <w:rStyle w:val="24"/>
              <w:rFonts w:ascii="Times New Roman" w:hAnsi="Times New Roman" w:cs="Times New Roman"/>
              <w:sz w:val="24"/>
              <w:lang w:val="en-US"/>
            </w:rPr>
            <w:t>2</w:t>
          </w:r>
          <w:r>
            <w:rPr>
              <w:rStyle w:val="24"/>
              <w:rFonts w:ascii="Times New Roman" w:hAnsi="Times New Roman" w:cs="Times New Roman"/>
              <w:sz w:val="24"/>
            </w:rPr>
            <w:t>.3.2 Circularity, transparency and strategic communication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_Toc240757343 \h </w:instrText>
          </w:r>
          <w:r>
            <w:rPr>
              <w:rFonts w:ascii="Times New Roman" w:hAnsi="Times New Roman" w:cs="Times New Roman"/>
              <w:sz w:val="24"/>
            </w:rPr>
            <w:fldChar w:fldCharType="separate"/>
          </w:r>
          <w:r>
            <w:rPr>
              <w:rFonts w:ascii="Times New Roman" w:hAnsi="Times New Roman" w:cs="Times New Roman"/>
              <w:sz w:val="24"/>
            </w:rPr>
            <w:t>20</w:t>
          </w:r>
          <w:r>
            <w:rPr>
              <w:rFonts w:ascii="Times New Roman" w:hAnsi="Times New Roman" w:cs="Times New Roman"/>
              <w:sz w:val="24"/>
            </w:rPr>
            <w:fldChar w:fldCharType="end"/>
          </w:r>
          <w:r>
            <w:rPr>
              <w:rFonts w:ascii="Times New Roman" w:hAnsi="Times New Roman" w:cs="Times New Roman"/>
              <w:sz w:val="24"/>
            </w:rPr>
            <w:fldChar w:fldCharType="end"/>
          </w:r>
        </w:p>
        <w:p w14:paraId="2C99D707">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"_Toc240757344" </w:instrText>
          </w:r>
          <w:r>
            <w:fldChar w:fldCharType="separate"/>
          </w:r>
          <w:r>
            <w:rPr>
              <w:rStyle w:val="24"/>
              <w:rFonts w:ascii="Times New Roman" w:hAnsi="Times New Roman" w:cs="Times New Roman"/>
              <w:b w:val="0"/>
              <w:bCs w:val="0"/>
              <w:sz w:val="24"/>
              <w:szCs w:val="24"/>
              <w:lang w:val="en-US"/>
            </w:rPr>
            <w:t>2</w:t>
          </w:r>
          <w:r>
            <w:rPr>
              <w:rStyle w:val="24"/>
              <w:rFonts w:ascii="Times New Roman" w:hAnsi="Times New Roman" w:cs="Times New Roman"/>
              <w:b w:val="0"/>
              <w:bCs w:val="0"/>
              <w:sz w:val="24"/>
              <w:szCs w:val="24"/>
            </w:rPr>
            <w:t>.4 Brand Image, Trust and Reputation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_Toc240757344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21</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24DAF0C0">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"_Toc240757345" </w:instrText>
          </w:r>
          <w:r>
            <w:fldChar w:fldCharType="separate"/>
          </w:r>
          <w:r>
            <w:rPr>
              <w:rStyle w:val="24"/>
              <w:rFonts w:ascii="Times New Roman" w:hAnsi="Times New Roman" w:cs="Times New Roman"/>
              <w:b w:val="0"/>
              <w:bCs w:val="0"/>
              <w:sz w:val="24"/>
              <w:szCs w:val="24"/>
              <w:lang w:val="en-US"/>
            </w:rPr>
            <w:t>2</w:t>
          </w:r>
          <w:r>
            <w:rPr>
              <w:rStyle w:val="24"/>
              <w:rFonts w:ascii="Times New Roman" w:hAnsi="Times New Roman" w:cs="Times New Roman"/>
              <w:b w:val="0"/>
              <w:bCs w:val="0"/>
              <w:sz w:val="24"/>
              <w:szCs w:val="24"/>
            </w:rPr>
            <w:t>.5 Greenwashing, Scepticism and Counter-framing</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_Toc240757345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22</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7E52BAFB">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"_Toc240757346" </w:instrText>
          </w:r>
          <w:r>
            <w:fldChar w:fldCharType="separate"/>
          </w:r>
          <w:r>
            <w:rPr>
              <w:rStyle w:val="24"/>
              <w:rFonts w:ascii="Times New Roman" w:hAnsi="Times New Roman" w:cs="Times New Roman"/>
              <w:b w:val="0"/>
              <w:bCs w:val="0"/>
              <w:sz w:val="24"/>
              <w:szCs w:val="24"/>
              <w:lang w:val="en-US"/>
            </w:rPr>
            <w:t>2</w:t>
          </w:r>
          <w:r>
            <w:rPr>
              <w:rStyle w:val="24"/>
              <w:rFonts w:ascii="Times New Roman" w:hAnsi="Times New Roman" w:cs="Times New Roman"/>
              <w:b w:val="0"/>
              <w:bCs w:val="0"/>
              <w:sz w:val="24"/>
              <w:szCs w:val="24"/>
            </w:rPr>
            <w:t>.6 The UK Institutional Context</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_Toc240757346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23</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46DC2918">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"_Toc240757347" </w:instrText>
          </w:r>
          <w:r>
            <w:fldChar w:fldCharType="separate"/>
          </w:r>
          <w:r>
            <w:rPr>
              <w:rStyle w:val="24"/>
              <w:rFonts w:ascii="Times New Roman" w:hAnsi="Times New Roman" w:cs="Times New Roman"/>
              <w:b w:val="0"/>
              <w:bCs w:val="0"/>
              <w:sz w:val="24"/>
              <w:szCs w:val="24"/>
              <w:lang w:val="en-US"/>
            </w:rPr>
            <w:t>2</w:t>
          </w:r>
          <w:r>
            <w:rPr>
              <w:rStyle w:val="24"/>
              <w:rFonts w:ascii="Times New Roman" w:hAnsi="Times New Roman" w:cs="Times New Roman"/>
              <w:b w:val="0"/>
              <w:bCs w:val="0"/>
              <w:sz w:val="24"/>
              <w:szCs w:val="24"/>
            </w:rPr>
            <w:t>.7 Theoretical Integration and Conceptual Framework</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_Toc240757347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24</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07214594">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"_Toc240757348" </w:instrText>
          </w:r>
          <w:r>
            <w:fldChar w:fldCharType="separate"/>
          </w:r>
          <w:r>
            <w:rPr>
              <w:rStyle w:val="24"/>
              <w:rFonts w:ascii="Times New Roman" w:hAnsi="Times New Roman" w:cs="Times New Roman"/>
              <w:b w:val="0"/>
              <w:bCs w:val="0"/>
              <w:sz w:val="24"/>
              <w:szCs w:val="24"/>
              <w:lang w:val="en-US"/>
            </w:rPr>
            <w:t>2</w:t>
          </w:r>
          <w:r>
            <w:rPr>
              <w:rStyle w:val="24"/>
              <w:rFonts w:ascii="Times New Roman" w:hAnsi="Times New Roman" w:cs="Times New Roman"/>
              <w:b w:val="0"/>
              <w:bCs w:val="0"/>
              <w:sz w:val="24"/>
              <w:szCs w:val="24"/>
            </w:rPr>
            <w:t>.8 Research Gap and Chapter Conclusion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_Toc240757348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25</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2276F9A9">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"_Toc240757349" </w:instrText>
          </w:r>
          <w:r>
            <w:fldChar w:fldCharType="separate"/>
          </w:r>
          <w:r>
            <w:rPr>
              <w:rStyle w:val="24"/>
              <w:rFonts w:ascii="Times New Roman" w:hAnsi="Times New Roman" w:cs="Times New Roman"/>
              <w:b w:val="0"/>
              <w:bCs w:val="0"/>
              <w:i w:val="0"/>
              <w:iCs w:val="0"/>
              <w:szCs w:val="24"/>
            </w:rPr>
            <w:t>Chapter 3: Research Methodology</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_Toc240757349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26</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49549964">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"_Toc240757350" </w:instrText>
          </w:r>
          <w:r>
            <w:fldChar w:fldCharType="separate"/>
          </w:r>
          <w:r>
            <w:rPr>
              <w:rStyle w:val="24"/>
              <w:rFonts w:ascii="Times New Roman" w:hAnsi="Times New Roman" w:cs="Times New Roman"/>
              <w:b w:val="0"/>
              <w:bCs w:val="0"/>
              <w:sz w:val="24"/>
              <w:szCs w:val="24"/>
            </w:rPr>
            <w:t>3.1 Research purpose and methodological alignment</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_Toc240757350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26</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4D8D78BB">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"_Toc240757351" </w:instrText>
          </w:r>
          <w:r>
            <w:fldChar w:fldCharType="separate"/>
          </w:r>
          <w:r>
            <w:rPr>
              <w:rStyle w:val="24"/>
              <w:rFonts w:ascii="Times New Roman" w:hAnsi="Times New Roman" w:cs="Times New Roman"/>
              <w:b w:val="0"/>
              <w:bCs w:val="0"/>
              <w:sz w:val="24"/>
              <w:szCs w:val="24"/>
            </w:rPr>
            <w:t>3.2 Philosophy and abductive approach</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_Toc240757351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26</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475D6AE3">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"_Toc240757352" </w:instrText>
          </w:r>
          <w:r>
            <w:fldChar w:fldCharType="separate"/>
          </w:r>
          <w:r>
            <w:rPr>
              <w:rStyle w:val="24"/>
              <w:rFonts w:ascii="Times New Roman" w:hAnsi="Times New Roman" w:cs="Times New Roman"/>
              <w:b w:val="0"/>
              <w:bCs w:val="0"/>
              <w:sz w:val="24"/>
              <w:szCs w:val="24"/>
            </w:rPr>
            <w:t>3.3 Strategy, cases and analytical boundaries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_Toc240757352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27</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65DA4ED8">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"_Toc240757353" </w:instrText>
          </w:r>
          <w:r>
            <w:fldChar w:fldCharType="separate"/>
          </w:r>
          <w:r>
            <w:rPr>
              <w:rStyle w:val="24"/>
              <w:rFonts w:ascii="Times New Roman" w:hAnsi="Times New Roman" w:cs="Times New Roman"/>
              <w:b w:val="0"/>
              <w:bCs w:val="0"/>
              <w:sz w:val="24"/>
              <w:szCs w:val="24"/>
            </w:rPr>
            <w:t>3.4 Internet retrieval and documentary selection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_Toc240757353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27</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030FA025">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"_Toc240757354" </w:instrText>
          </w:r>
          <w:r>
            <w:fldChar w:fldCharType="separate"/>
          </w:r>
          <w:r>
            <w:rPr>
              <w:rStyle w:val="24"/>
              <w:rFonts w:ascii="Times New Roman" w:hAnsi="Times New Roman" w:cs="Times New Roman"/>
              <w:b w:val="0"/>
              <w:bCs w:val="0"/>
              <w:sz w:val="24"/>
              <w:szCs w:val="24"/>
            </w:rPr>
            <w:t>3.5 Provenance, evidence hierarchy and management</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_Toc240757354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28</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097F5F98">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"_Toc240757355" </w:instrText>
          </w:r>
          <w:r>
            <w:fldChar w:fldCharType="separate"/>
          </w:r>
          <w:r>
            <w:rPr>
              <w:rStyle w:val="24"/>
              <w:rFonts w:ascii="Times New Roman" w:hAnsi="Times New Roman" w:cs="Times New Roman"/>
              <w:b w:val="0"/>
              <w:bCs w:val="0"/>
              <w:sz w:val="24"/>
              <w:szCs w:val="24"/>
            </w:rPr>
            <w:t>3.6 Reflexive thematic analysis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_Toc240757355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29</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76830DE1">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"_Toc240757356" </w:instrText>
          </w:r>
          <w:r>
            <w:fldChar w:fldCharType="separate"/>
          </w:r>
          <w:r>
            <w:rPr>
              <w:rStyle w:val="24"/>
              <w:rFonts w:ascii="Times New Roman" w:hAnsi="Times New Roman" w:cs="Times New Roman"/>
              <w:b w:val="0"/>
              <w:bCs w:val="0"/>
              <w:sz w:val="24"/>
              <w:szCs w:val="24"/>
            </w:rPr>
            <w:t>3.7 Triangulation, reflexivity and research quality</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_Toc240757356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30</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1CB86266">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"_Toc240757357" </w:instrText>
          </w:r>
          <w:r>
            <w:fldChar w:fldCharType="separate"/>
          </w:r>
          <w:r>
            <w:rPr>
              <w:rStyle w:val="24"/>
              <w:rFonts w:ascii="Times New Roman" w:hAnsi="Times New Roman" w:cs="Times New Roman"/>
              <w:b w:val="0"/>
              <w:bCs w:val="0"/>
              <w:sz w:val="24"/>
              <w:szCs w:val="24"/>
            </w:rPr>
            <w:t>3.8 Ethics, limitations and chapter conclusion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_Toc240757357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32</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68A39C5F">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"_Toc240757358" </w:instrText>
          </w:r>
          <w:r>
            <w:fldChar w:fldCharType="separate"/>
          </w:r>
          <w:r>
            <w:rPr>
              <w:rStyle w:val="24"/>
              <w:rFonts w:ascii="Times New Roman" w:hAnsi="Times New Roman" w:cs="Times New Roman"/>
              <w:b w:val="0"/>
              <w:bCs w:val="0"/>
              <w:i w:val="0"/>
              <w:iCs w:val="0"/>
              <w:szCs w:val="24"/>
            </w:rPr>
            <w:t>Chapter 4: Documentary Analysis and Findings</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_Toc240757358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33</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67B2E6FD">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"_Toc240757359" </w:instrText>
          </w:r>
          <w:r>
            <w:fldChar w:fldCharType="separate"/>
          </w:r>
          <w:r>
            <w:rPr>
              <w:rStyle w:val="24"/>
              <w:rFonts w:ascii="Times New Roman" w:hAnsi="Times New Roman" w:cs="Times New Roman"/>
              <w:b w:val="0"/>
              <w:bCs w:val="0"/>
              <w:sz w:val="24"/>
              <w:szCs w:val="24"/>
            </w:rPr>
            <w:t>4.1 Introduction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_Toc240757359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33</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55546920">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"_Toc240757360" </w:instrText>
          </w:r>
          <w:r>
            <w:fldChar w:fldCharType="separate"/>
          </w:r>
          <w:r>
            <w:rPr>
              <w:rStyle w:val="24"/>
              <w:rFonts w:ascii="Times New Roman" w:hAnsi="Times New Roman" w:cs="Times New Roman"/>
              <w:b w:val="0"/>
              <w:bCs w:val="0"/>
              <w:sz w:val="24"/>
              <w:szCs w:val="24"/>
            </w:rPr>
            <w:t>4.2 Corpus Composition and Comparative Reach</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_Toc240757360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33</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2251DC13">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"_Toc240757361" </w:instrText>
          </w:r>
          <w:r>
            <w:fldChar w:fldCharType="separate"/>
          </w:r>
          <w:r>
            <w:rPr>
              <w:rStyle w:val="24"/>
              <w:rFonts w:ascii="Times New Roman" w:hAnsi="Times New Roman" w:cs="Times New Roman"/>
              <w:b w:val="0"/>
              <w:bCs w:val="0"/>
              <w:sz w:val="24"/>
              <w:szCs w:val="24"/>
            </w:rPr>
            <w:t>4.3 Within-Case Findings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_Toc240757361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34</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39748A83">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"_Toc240757362" </w:instrText>
          </w:r>
          <w:r>
            <w:fldChar w:fldCharType="separate"/>
          </w:r>
          <w:r>
            <w:rPr>
              <w:rStyle w:val="24"/>
              <w:rFonts w:ascii="Times New Roman" w:hAnsi="Times New Roman" w:cs="Times New Roman"/>
              <w:sz w:val="24"/>
            </w:rPr>
            <w:t>4.3.1 ASOS: Communicating Responsibility While Managing Credibility Risks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_Toc240757362 \h </w:instrText>
          </w:r>
          <w:r>
            <w:rPr>
              <w:rFonts w:ascii="Times New Roman" w:hAnsi="Times New Roman" w:cs="Times New Roman"/>
              <w:sz w:val="24"/>
            </w:rPr>
            <w:fldChar w:fldCharType="separate"/>
          </w:r>
          <w:r>
            <w:rPr>
              <w:rFonts w:ascii="Times New Roman" w:hAnsi="Times New Roman" w:cs="Times New Roman"/>
              <w:sz w:val="24"/>
            </w:rPr>
            <w:t>34</w:t>
          </w:r>
          <w:r>
            <w:rPr>
              <w:rFonts w:ascii="Times New Roman" w:hAnsi="Times New Roman" w:cs="Times New Roman"/>
              <w:sz w:val="24"/>
            </w:rPr>
            <w:fldChar w:fldCharType="end"/>
          </w:r>
          <w:r>
            <w:rPr>
              <w:rFonts w:ascii="Times New Roman" w:hAnsi="Times New Roman" w:cs="Times New Roman"/>
              <w:sz w:val="24"/>
            </w:rPr>
            <w:fldChar w:fldCharType="end"/>
          </w:r>
        </w:p>
        <w:p w14:paraId="46F2939D">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"_Toc240757363" </w:instrText>
          </w:r>
          <w:r>
            <w:fldChar w:fldCharType="separate"/>
          </w:r>
          <w:r>
            <w:rPr>
              <w:rStyle w:val="24"/>
              <w:rFonts w:ascii="Times New Roman" w:hAnsi="Times New Roman" w:cs="Times New Roman"/>
              <w:sz w:val="24"/>
            </w:rPr>
            <w:t>4.3.2 Boohoo: The Credibility Cost of Declining Performance</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_Toc240757363 \h </w:instrText>
          </w:r>
          <w:r>
            <w:rPr>
              <w:rFonts w:ascii="Times New Roman" w:hAnsi="Times New Roman" w:cs="Times New Roman"/>
              <w:sz w:val="24"/>
            </w:rPr>
            <w:fldChar w:fldCharType="separate"/>
          </w:r>
          <w:r>
            <w:rPr>
              <w:rFonts w:ascii="Times New Roman" w:hAnsi="Times New Roman" w:cs="Times New Roman"/>
              <w:sz w:val="24"/>
            </w:rPr>
            <w:t>35</w:t>
          </w:r>
          <w:r>
            <w:rPr>
              <w:rFonts w:ascii="Times New Roman" w:hAnsi="Times New Roman" w:cs="Times New Roman"/>
              <w:sz w:val="24"/>
            </w:rPr>
            <w:fldChar w:fldCharType="end"/>
          </w:r>
          <w:r>
            <w:rPr>
              <w:rFonts w:ascii="Times New Roman" w:hAnsi="Times New Roman" w:cs="Times New Roman"/>
              <w:sz w:val="24"/>
            </w:rPr>
            <w:fldChar w:fldCharType="end"/>
          </w:r>
        </w:p>
        <w:p w14:paraId="6315C793">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"_Toc240757364" </w:instrText>
          </w:r>
          <w:r>
            <w:fldChar w:fldCharType="separate"/>
          </w:r>
          <w:r>
            <w:rPr>
              <w:rStyle w:val="24"/>
              <w:rFonts w:ascii="Times New Roman" w:hAnsi="Times New Roman" w:cs="Times New Roman"/>
              <w:sz w:val="24"/>
            </w:rPr>
            <w:t>4.3.3 Primark: A Limited but Instructive Case</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_Toc240757364 \h </w:instrText>
          </w:r>
          <w:r>
            <w:rPr>
              <w:rFonts w:ascii="Times New Roman" w:hAnsi="Times New Roman" w:cs="Times New Roman"/>
              <w:sz w:val="24"/>
            </w:rPr>
            <w:fldChar w:fldCharType="separate"/>
          </w:r>
          <w:r>
            <w:rPr>
              <w:rFonts w:ascii="Times New Roman" w:hAnsi="Times New Roman" w:cs="Times New Roman"/>
              <w:sz w:val="24"/>
            </w:rPr>
            <w:t>36</w:t>
          </w:r>
          <w:r>
            <w:rPr>
              <w:rFonts w:ascii="Times New Roman" w:hAnsi="Times New Roman" w:cs="Times New Roman"/>
              <w:sz w:val="24"/>
            </w:rPr>
            <w:fldChar w:fldCharType="end"/>
          </w:r>
          <w:r>
            <w:rPr>
              <w:rFonts w:ascii="Times New Roman" w:hAnsi="Times New Roman" w:cs="Times New Roman"/>
              <w:sz w:val="24"/>
            </w:rPr>
            <w:fldChar w:fldCharType="end"/>
          </w:r>
        </w:p>
        <w:p w14:paraId="55962E90">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"_Toc240757365" </w:instrText>
          </w:r>
          <w:r>
            <w:fldChar w:fldCharType="separate"/>
          </w:r>
          <w:r>
            <w:rPr>
              <w:rStyle w:val="24"/>
              <w:rFonts w:ascii="Times New Roman" w:hAnsi="Times New Roman" w:cs="Times New Roman"/>
              <w:sz w:val="24"/>
            </w:rPr>
            <w:t>4.3.4 H&amp;M: Quantified Disclosure and Its Brand Credibility Implications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_Toc240757365 \h </w:instrText>
          </w:r>
          <w:r>
            <w:rPr>
              <w:rFonts w:ascii="Times New Roman" w:hAnsi="Times New Roman" w:cs="Times New Roman"/>
              <w:sz w:val="24"/>
            </w:rPr>
            <w:fldChar w:fldCharType="separate"/>
          </w:r>
          <w:r>
            <w:rPr>
              <w:rFonts w:ascii="Times New Roman" w:hAnsi="Times New Roman" w:cs="Times New Roman"/>
              <w:sz w:val="24"/>
            </w:rPr>
            <w:t>36</w:t>
          </w:r>
          <w:r>
            <w:rPr>
              <w:rFonts w:ascii="Times New Roman" w:hAnsi="Times New Roman" w:cs="Times New Roman"/>
              <w:sz w:val="24"/>
            </w:rPr>
            <w:fldChar w:fldCharType="end"/>
          </w:r>
          <w:r>
            <w:rPr>
              <w:rFonts w:ascii="Times New Roman" w:hAnsi="Times New Roman" w:cs="Times New Roman"/>
              <w:sz w:val="24"/>
            </w:rPr>
            <w:fldChar w:fldCharType="end"/>
          </w:r>
        </w:p>
        <w:p w14:paraId="7D85342F">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"_Toc240757366" </w:instrText>
          </w:r>
          <w:r>
            <w:fldChar w:fldCharType="separate"/>
          </w:r>
          <w:r>
            <w:rPr>
              <w:rStyle w:val="24"/>
              <w:rFonts w:ascii="Times New Roman" w:hAnsi="Times New Roman" w:cs="Times New Roman"/>
              <w:sz w:val="24"/>
            </w:rPr>
            <w:t>4.3.5 Zara and Inditex: Group-Level Reporting and Brand-Level Perception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_Toc240757366 \h </w:instrText>
          </w:r>
          <w:r>
            <w:rPr>
              <w:rFonts w:ascii="Times New Roman" w:hAnsi="Times New Roman" w:cs="Times New Roman"/>
              <w:sz w:val="24"/>
            </w:rPr>
            <w:fldChar w:fldCharType="separate"/>
          </w:r>
          <w:r>
            <w:rPr>
              <w:rFonts w:ascii="Times New Roman" w:hAnsi="Times New Roman" w:cs="Times New Roman"/>
              <w:sz w:val="24"/>
            </w:rPr>
            <w:t>37</w:t>
          </w:r>
          <w:r>
            <w:rPr>
              <w:rFonts w:ascii="Times New Roman" w:hAnsi="Times New Roman" w:cs="Times New Roman"/>
              <w:sz w:val="24"/>
            </w:rPr>
            <w:fldChar w:fldCharType="end"/>
          </w:r>
          <w:r>
            <w:rPr>
              <w:rFonts w:ascii="Times New Roman" w:hAnsi="Times New Roman" w:cs="Times New Roman"/>
              <w:sz w:val="24"/>
            </w:rPr>
            <w:fldChar w:fldCharType="end"/>
          </w:r>
        </w:p>
        <w:p w14:paraId="7A2FE229">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"_Toc240757367" </w:instrText>
          </w:r>
          <w:r>
            <w:fldChar w:fldCharType="separate"/>
          </w:r>
          <w:r>
            <w:rPr>
              <w:rStyle w:val="24"/>
              <w:rFonts w:ascii="Times New Roman" w:hAnsi="Times New Roman" w:cs="Times New Roman"/>
              <w:b w:val="0"/>
              <w:bCs w:val="0"/>
              <w:sz w:val="24"/>
              <w:szCs w:val="24"/>
            </w:rPr>
            <w:t>4.4 Cross-Case Thematic Findings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_Toc240757367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38</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1A043F19">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"_Toc240757368" </w:instrText>
          </w:r>
          <w:r>
            <w:fldChar w:fldCharType="separate"/>
          </w:r>
          <w:r>
            <w:rPr>
              <w:rStyle w:val="24"/>
              <w:rFonts w:ascii="Times New Roman" w:hAnsi="Times New Roman" w:cs="Times New Roman"/>
              <w:sz w:val="24"/>
            </w:rPr>
            <w:t>4.4.1 Theme One: Sustainability Portfolios Vary in Delivery State</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_Toc240757368 \h </w:instrText>
          </w:r>
          <w:r>
            <w:rPr>
              <w:rFonts w:ascii="Times New Roman" w:hAnsi="Times New Roman" w:cs="Times New Roman"/>
              <w:sz w:val="24"/>
            </w:rPr>
            <w:fldChar w:fldCharType="separate"/>
          </w:r>
          <w:r>
            <w:rPr>
              <w:rFonts w:ascii="Times New Roman" w:hAnsi="Times New Roman" w:cs="Times New Roman"/>
              <w:sz w:val="24"/>
            </w:rPr>
            <w:t>38</w:t>
          </w:r>
          <w:r>
            <w:rPr>
              <w:rFonts w:ascii="Times New Roman" w:hAnsi="Times New Roman" w:cs="Times New Roman"/>
              <w:sz w:val="24"/>
            </w:rPr>
            <w:fldChar w:fldCharType="end"/>
          </w:r>
          <w:r>
            <w:rPr>
              <w:rFonts w:ascii="Times New Roman" w:hAnsi="Times New Roman" w:cs="Times New Roman"/>
              <w:sz w:val="24"/>
            </w:rPr>
            <w:fldChar w:fldCharType="end"/>
          </w:r>
        </w:p>
        <w:p w14:paraId="2FF573D5">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"_Toc240757369" </w:instrText>
          </w:r>
          <w:r>
            <w:fldChar w:fldCharType="separate"/>
          </w:r>
          <w:r>
            <w:rPr>
              <w:rStyle w:val="24"/>
              <w:rFonts w:ascii="Times New Roman" w:hAnsi="Times New Roman" w:cs="Times New Roman"/>
              <w:sz w:val="24"/>
            </w:rPr>
            <w:t>4.4.2 Theme Two: Evidential Scope Must Match Communicative Claims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_Toc240757369 \h </w:instrText>
          </w:r>
          <w:r>
            <w:rPr>
              <w:rFonts w:ascii="Times New Roman" w:hAnsi="Times New Roman" w:cs="Times New Roman"/>
              <w:sz w:val="24"/>
            </w:rPr>
            <w:fldChar w:fldCharType="separate"/>
          </w:r>
          <w:r>
            <w:rPr>
              <w:rFonts w:ascii="Times New Roman" w:hAnsi="Times New Roman" w:cs="Times New Roman"/>
              <w:sz w:val="24"/>
            </w:rPr>
            <w:t>38</w:t>
          </w:r>
          <w:r>
            <w:rPr>
              <w:rFonts w:ascii="Times New Roman" w:hAnsi="Times New Roman" w:cs="Times New Roman"/>
              <w:sz w:val="24"/>
            </w:rPr>
            <w:fldChar w:fldCharType="end"/>
          </w:r>
          <w:r>
            <w:rPr>
              <w:rFonts w:ascii="Times New Roman" w:hAnsi="Times New Roman" w:cs="Times New Roman"/>
              <w:sz w:val="24"/>
            </w:rPr>
            <w:fldChar w:fldCharType="end"/>
          </w:r>
        </w:p>
        <w:p w14:paraId="76696C5F">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"_Toc240757370" </w:instrText>
          </w:r>
          <w:r>
            <w:fldChar w:fldCharType="separate"/>
          </w:r>
          <w:r>
            <w:rPr>
              <w:rStyle w:val="24"/>
              <w:rFonts w:ascii="Times New Roman" w:hAnsi="Times New Roman" w:cs="Times New Roman"/>
              <w:sz w:val="24"/>
            </w:rPr>
            <w:t>4.4.3 Theme Three: Ambition and Implementation Generate Distinct Reputational Signals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_Toc240757370 \h </w:instrText>
          </w:r>
          <w:r>
            <w:rPr>
              <w:rFonts w:ascii="Times New Roman" w:hAnsi="Times New Roman" w:cs="Times New Roman"/>
              <w:sz w:val="24"/>
            </w:rPr>
            <w:fldChar w:fldCharType="separate"/>
          </w:r>
          <w:r>
            <w:rPr>
              <w:rFonts w:ascii="Times New Roman" w:hAnsi="Times New Roman" w:cs="Times New Roman"/>
              <w:sz w:val="24"/>
            </w:rPr>
            <w:t>40</w:t>
          </w:r>
          <w:r>
            <w:rPr>
              <w:rFonts w:ascii="Times New Roman" w:hAnsi="Times New Roman" w:cs="Times New Roman"/>
              <w:sz w:val="24"/>
            </w:rPr>
            <w:fldChar w:fldCharType="end"/>
          </w:r>
          <w:r>
            <w:rPr>
              <w:rFonts w:ascii="Times New Roman" w:hAnsi="Times New Roman" w:cs="Times New Roman"/>
              <w:sz w:val="24"/>
            </w:rPr>
            <w:fldChar w:fldCharType="end"/>
          </w:r>
        </w:p>
        <w:p w14:paraId="456F68FB">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"_Toc240757371" </w:instrText>
          </w:r>
          <w:r>
            <w:fldChar w:fldCharType="separate"/>
          </w:r>
          <w:r>
            <w:rPr>
              <w:rStyle w:val="24"/>
              <w:rFonts w:ascii="Times New Roman" w:hAnsi="Times New Roman" w:cs="Times New Roman"/>
              <w:sz w:val="24"/>
            </w:rPr>
            <w:t>4.4.4 Theme Four: External Scrutiny Shapes Brand Image Beyond Corporate Control</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_Toc240757371 \h </w:instrText>
          </w:r>
          <w:r>
            <w:rPr>
              <w:rFonts w:ascii="Times New Roman" w:hAnsi="Times New Roman" w:cs="Times New Roman"/>
              <w:sz w:val="24"/>
            </w:rPr>
            <w:fldChar w:fldCharType="separate"/>
          </w:r>
          <w:r>
            <w:rPr>
              <w:rFonts w:ascii="Times New Roman" w:hAnsi="Times New Roman" w:cs="Times New Roman"/>
              <w:sz w:val="24"/>
            </w:rPr>
            <w:t>40</w:t>
          </w:r>
          <w:r>
            <w:rPr>
              <w:rFonts w:ascii="Times New Roman" w:hAnsi="Times New Roman" w:cs="Times New Roman"/>
              <w:sz w:val="24"/>
            </w:rPr>
            <w:fldChar w:fldCharType="end"/>
          </w:r>
          <w:r>
            <w:rPr>
              <w:rFonts w:ascii="Times New Roman" w:hAnsi="Times New Roman" w:cs="Times New Roman"/>
              <w:sz w:val="24"/>
            </w:rPr>
            <w:fldChar w:fldCharType="end"/>
          </w:r>
        </w:p>
        <w:p w14:paraId="5E1B3162">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"_Toc240757372" </w:instrText>
          </w:r>
          <w:r>
            <w:fldChar w:fldCharType="separate"/>
          </w:r>
          <w:r>
            <w:rPr>
              <w:rStyle w:val="24"/>
              <w:rFonts w:ascii="Times New Roman" w:hAnsi="Times New Roman" w:cs="Times New Roman"/>
              <w:b w:val="0"/>
              <w:bCs w:val="0"/>
              <w:sz w:val="24"/>
              <w:szCs w:val="24"/>
            </w:rPr>
            <w:t>4.5 Triangulation and Rival Explanations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_Toc240757372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41</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54427263">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"_Toc240757373" </w:instrText>
          </w:r>
          <w:r>
            <w:fldChar w:fldCharType="separate"/>
          </w:r>
          <w:r>
            <w:rPr>
              <w:rStyle w:val="24"/>
              <w:rFonts w:ascii="Times New Roman" w:hAnsi="Times New Roman" w:cs="Times New Roman"/>
              <w:b w:val="0"/>
              <w:bCs w:val="0"/>
              <w:sz w:val="24"/>
              <w:szCs w:val="24"/>
            </w:rPr>
            <w:t>4.6 Responses to the Research Questions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_Toc240757373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42</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142B2E7D">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"_Toc240757374" </w:instrText>
          </w:r>
          <w:r>
            <w:fldChar w:fldCharType="separate"/>
          </w:r>
          <w:r>
            <w:rPr>
              <w:rStyle w:val="24"/>
              <w:rFonts w:ascii="Times New Roman" w:hAnsi="Times New Roman" w:cs="Times New Roman"/>
              <w:b w:val="0"/>
              <w:bCs w:val="0"/>
              <w:sz w:val="24"/>
              <w:szCs w:val="24"/>
            </w:rPr>
            <w:t>4.7 Chapter Conclusion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_Toc240757374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42</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57A321D0">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"_Toc240757375" </w:instrText>
          </w:r>
          <w:r>
            <w:fldChar w:fldCharType="separate"/>
          </w:r>
          <w:r>
            <w:rPr>
              <w:rStyle w:val="24"/>
              <w:rFonts w:ascii="Times New Roman" w:hAnsi="Times New Roman" w:cs="Times New Roman"/>
              <w:b w:val="0"/>
              <w:bCs w:val="0"/>
              <w:i w:val="0"/>
              <w:iCs w:val="0"/>
              <w:szCs w:val="24"/>
            </w:rPr>
            <w:t>Chapter 5: Discussion</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_Toc240757375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44</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28550F71">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"_Toc240757376" </w:instrText>
          </w:r>
          <w:r>
            <w:fldChar w:fldCharType="separate"/>
          </w:r>
          <w:r>
            <w:rPr>
              <w:rStyle w:val="24"/>
              <w:rFonts w:ascii="Times New Roman" w:hAnsi="Times New Roman" w:cs="Times New Roman"/>
              <w:b w:val="0"/>
              <w:bCs w:val="0"/>
              <w:sz w:val="24"/>
              <w:szCs w:val="24"/>
            </w:rPr>
            <w:t>5.1 Introduction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_Toc240757376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44</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623E2496">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"_Toc240757377" </w:instrText>
          </w:r>
          <w:r>
            <w:fldChar w:fldCharType="separate"/>
          </w:r>
          <w:r>
            <w:rPr>
              <w:rStyle w:val="24"/>
              <w:rFonts w:ascii="Times New Roman" w:hAnsi="Times New Roman" w:cs="Times New Roman"/>
              <w:b w:val="0"/>
              <w:bCs w:val="0"/>
              <w:sz w:val="24"/>
              <w:szCs w:val="24"/>
            </w:rPr>
            <w:t>5.2 Signalling Theory: Credibility as the Determining Variable</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_Toc240757377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44</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050E73B9">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"_Toc240757378" </w:instrText>
          </w:r>
          <w:r>
            <w:fldChar w:fldCharType="separate"/>
          </w:r>
          <w:r>
            <w:rPr>
              <w:rStyle w:val="24"/>
              <w:rFonts w:ascii="Times New Roman" w:hAnsi="Times New Roman" w:cs="Times New Roman"/>
              <w:b w:val="0"/>
              <w:bCs w:val="0"/>
              <w:sz w:val="24"/>
              <w:szCs w:val="24"/>
            </w:rPr>
            <w:t>5.3 Customer-Based Brand Equity: The Translation Requirement</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_Toc240757378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45</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167A42E5">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"_Toc240757379" </w:instrText>
          </w:r>
          <w:r>
            <w:fldChar w:fldCharType="separate"/>
          </w:r>
          <w:r>
            <w:rPr>
              <w:rStyle w:val="24"/>
              <w:rFonts w:ascii="Times New Roman" w:hAnsi="Times New Roman" w:cs="Times New Roman"/>
              <w:b w:val="0"/>
              <w:bCs w:val="0"/>
              <w:sz w:val="24"/>
              <w:szCs w:val="24"/>
            </w:rPr>
            <w:t>5.4 Legitimacy Theory: External Scrutiny as a Reputational Force</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_Toc240757379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46</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6B6517FE">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"_Toc240757380" </w:instrText>
          </w:r>
          <w:r>
            <w:fldChar w:fldCharType="separate"/>
          </w:r>
          <w:r>
            <w:rPr>
              <w:rStyle w:val="24"/>
              <w:rFonts w:ascii="Times New Roman" w:hAnsi="Times New Roman" w:cs="Times New Roman"/>
              <w:b w:val="0"/>
              <w:bCs w:val="0"/>
              <w:sz w:val="24"/>
              <w:szCs w:val="24"/>
            </w:rPr>
            <w:t>5.5 Reconciling the Literature: Credibility as a Conditional Mediator</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_Toc240757380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47</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20564C15">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"_Toc240757381" </w:instrText>
          </w:r>
          <w:r>
            <w:fldChar w:fldCharType="separate"/>
          </w:r>
          <w:r>
            <w:rPr>
              <w:rStyle w:val="24"/>
              <w:rFonts w:ascii="Times New Roman" w:hAnsi="Times New Roman" w:cs="Times New Roman"/>
              <w:b w:val="0"/>
              <w:bCs w:val="0"/>
              <w:sz w:val="24"/>
              <w:szCs w:val="24"/>
            </w:rPr>
            <w:t>5.6 Managerial Implications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_Toc240757381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47</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29B18F2E">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"_Toc240757382" </w:instrText>
          </w:r>
          <w:r>
            <w:fldChar w:fldCharType="separate"/>
          </w:r>
          <w:r>
            <w:rPr>
              <w:rStyle w:val="24"/>
              <w:rFonts w:ascii="Times New Roman" w:hAnsi="Times New Roman" w:cs="Times New Roman"/>
              <w:b w:val="0"/>
              <w:bCs w:val="0"/>
              <w:sz w:val="24"/>
              <w:szCs w:val="24"/>
            </w:rPr>
            <w:t>5.7 Regulatory and Policy Implications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_Toc240757382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48</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1BCEB17A">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"_Toc240757383" </w:instrText>
          </w:r>
          <w:r>
            <w:fldChar w:fldCharType="separate"/>
          </w:r>
          <w:r>
            <w:rPr>
              <w:rStyle w:val="24"/>
              <w:rFonts w:ascii="Times New Roman" w:hAnsi="Times New Roman" w:cs="Times New Roman"/>
              <w:b w:val="0"/>
              <w:bCs w:val="0"/>
              <w:sz w:val="24"/>
              <w:szCs w:val="24"/>
            </w:rPr>
            <w:t>5.8 Chapter Conclusion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_Toc240757383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49</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637B6006">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"_Toc240757384" </w:instrText>
          </w:r>
          <w:r>
            <w:fldChar w:fldCharType="separate"/>
          </w:r>
          <w:r>
            <w:rPr>
              <w:rStyle w:val="24"/>
              <w:rFonts w:ascii="Times New Roman" w:hAnsi="Times New Roman" w:cs="Times New Roman"/>
              <w:b w:val="0"/>
              <w:bCs w:val="0"/>
              <w:i w:val="0"/>
              <w:iCs w:val="0"/>
              <w:szCs w:val="24"/>
            </w:rPr>
            <w:t>Chapter 6: Conclusion and Recommendations</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_Toc240757384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50</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0F1FA3B2">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"_Toc240757385" </w:instrText>
          </w:r>
          <w:r>
            <w:fldChar w:fldCharType="separate"/>
          </w:r>
          <w:r>
            <w:rPr>
              <w:rStyle w:val="24"/>
              <w:rFonts w:ascii="Times New Roman" w:hAnsi="Times New Roman" w:cs="Times New Roman"/>
              <w:b w:val="0"/>
              <w:bCs w:val="0"/>
              <w:sz w:val="24"/>
              <w:szCs w:val="24"/>
            </w:rPr>
            <w:t>6.1 Introduction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_Toc240757385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50</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4BD78B27">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"_Toc240757386" </w:instrText>
          </w:r>
          <w:r>
            <w:fldChar w:fldCharType="separate"/>
          </w:r>
          <w:r>
            <w:rPr>
              <w:rStyle w:val="24"/>
              <w:rFonts w:ascii="Times New Roman" w:hAnsi="Times New Roman" w:cs="Times New Roman"/>
              <w:b w:val="0"/>
              <w:bCs w:val="0"/>
              <w:sz w:val="24"/>
              <w:szCs w:val="24"/>
            </w:rPr>
            <w:t>6.2 Conclusion in Relation to the Aim and Research Questions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_Toc240757386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50</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27022672">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"_Toc240757387" </w:instrText>
          </w:r>
          <w:r>
            <w:fldChar w:fldCharType="separate"/>
          </w:r>
          <w:r>
            <w:rPr>
              <w:rStyle w:val="24"/>
              <w:rFonts w:ascii="Times New Roman" w:hAnsi="Times New Roman" w:cs="Times New Roman"/>
              <w:b w:val="0"/>
              <w:bCs w:val="0"/>
              <w:sz w:val="24"/>
              <w:szCs w:val="24"/>
            </w:rPr>
            <w:t>6.3 Contributions of the Study</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_Toc240757387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51</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18899DA3">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"_Toc240757388" </w:instrText>
          </w:r>
          <w:r>
            <w:fldChar w:fldCharType="separate"/>
          </w:r>
          <w:r>
            <w:rPr>
              <w:rStyle w:val="24"/>
              <w:rFonts w:ascii="Times New Roman" w:hAnsi="Times New Roman" w:cs="Times New Roman"/>
              <w:b w:val="0"/>
              <w:bCs w:val="0"/>
              <w:sz w:val="24"/>
              <w:szCs w:val="24"/>
            </w:rPr>
            <w:t>6.4 Limitations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_Toc240757388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51</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72712EDC">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"_Toc240757389" </w:instrText>
          </w:r>
          <w:r>
            <w:fldChar w:fldCharType="separate"/>
          </w:r>
          <w:r>
            <w:rPr>
              <w:rStyle w:val="24"/>
              <w:rFonts w:ascii="Times New Roman" w:hAnsi="Times New Roman" w:cs="Times New Roman"/>
              <w:b w:val="0"/>
              <w:bCs w:val="0"/>
              <w:sz w:val="24"/>
              <w:szCs w:val="24"/>
            </w:rPr>
            <w:t>6.5 Recommendations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_Toc240757389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52</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7B1F940C">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"_Toc240757390" </w:instrText>
          </w:r>
          <w:r>
            <w:fldChar w:fldCharType="separate"/>
          </w:r>
          <w:r>
            <w:rPr>
              <w:rStyle w:val="24"/>
              <w:rFonts w:ascii="Times New Roman" w:hAnsi="Times New Roman" w:cs="Times New Roman"/>
              <w:b w:val="0"/>
              <w:bCs w:val="0"/>
              <w:sz w:val="24"/>
              <w:szCs w:val="24"/>
            </w:rPr>
            <w:t>6.6 Recommendations for Future Research</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_Toc240757390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52</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057F8062">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"_Toc240757391" </w:instrText>
          </w:r>
          <w:r>
            <w:fldChar w:fldCharType="separate"/>
          </w:r>
          <w:r>
            <w:rPr>
              <w:rStyle w:val="24"/>
              <w:rFonts w:ascii="Times New Roman" w:hAnsi="Times New Roman" w:cs="Times New Roman"/>
              <w:b w:val="0"/>
              <w:bCs w:val="0"/>
              <w:sz w:val="24"/>
              <w:szCs w:val="24"/>
            </w:rPr>
            <w:t>6.7 Final Conclusion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_Toc240757391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53</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076CD1FF">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"_Toc240757392" </w:instrText>
          </w:r>
          <w:r>
            <w:fldChar w:fldCharType="separate"/>
          </w:r>
          <w:r>
            <w:rPr>
              <w:rStyle w:val="24"/>
              <w:rFonts w:ascii="Times New Roman" w:hAnsi="Times New Roman" w:cs="Times New Roman"/>
              <w:b w:val="0"/>
              <w:bCs w:val="0"/>
              <w:i w:val="0"/>
              <w:iCs w:val="0"/>
              <w:szCs w:val="24"/>
            </w:rPr>
            <w:t>References</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_Toc240757392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54</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74C0E56C">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"_Toc240757393" </w:instrText>
          </w:r>
          <w:r>
            <w:fldChar w:fldCharType="separate"/>
          </w:r>
          <w:r>
            <w:rPr>
              <w:rStyle w:val="24"/>
              <w:rFonts w:ascii="Times New Roman" w:hAnsi="Times New Roman" w:cs="Times New Roman"/>
              <w:b w:val="0"/>
              <w:bCs w:val="0"/>
              <w:i w:val="0"/>
              <w:iCs w:val="0"/>
              <w:szCs w:val="24"/>
            </w:rPr>
            <w:t>Appendix A: Case selection, retrieval and screening</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_Toc240757393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60</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272E4C82">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"_Toc240757394" </w:instrText>
          </w:r>
          <w:r>
            <w:fldChar w:fldCharType="separate"/>
          </w:r>
          <w:r>
            <w:rPr>
              <w:rStyle w:val="24"/>
              <w:rFonts w:ascii="Times New Roman" w:hAnsi="Times New Roman" w:cs="Times New Roman"/>
              <w:b w:val="0"/>
              <w:bCs w:val="0"/>
              <w:sz w:val="24"/>
              <w:szCs w:val="24"/>
            </w:rPr>
            <w:t>A1. Case-selection matrix</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_Toc240757394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60</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3639DCD6">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"_Toc240757395" </w:instrText>
          </w:r>
          <w:r>
            <w:fldChar w:fldCharType="separate"/>
          </w:r>
          <w:r>
            <w:rPr>
              <w:rStyle w:val="24"/>
              <w:rFonts w:ascii="Times New Roman" w:hAnsi="Times New Roman" w:cs="Times New Roman"/>
              <w:b w:val="0"/>
              <w:bCs w:val="0"/>
              <w:sz w:val="24"/>
              <w:szCs w:val="24"/>
            </w:rPr>
            <w:t>A2. Retrieval routes used in the verification run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_Toc240757395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60</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64D9CDC4">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"_Toc240757396" </w:instrText>
          </w:r>
          <w:r>
            <w:fldChar w:fldCharType="separate"/>
          </w:r>
          <w:r>
            <w:rPr>
              <w:rStyle w:val="24"/>
              <w:rFonts w:ascii="Times New Roman" w:hAnsi="Times New Roman" w:cs="Times New Roman"/>
              <w:b w:val="0"/>
              <w:bCs w:val="0"/>
              <w:sz w:val="24"/>
              <w:szCs w:val="24"/>
            </w:rPr>
            <w:t>A3. Selection rules and reconciliation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_Toc240757396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61</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12B7B1BF">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"_Toc240757397" </w:instrText>
          </w:r>
          <w:r>
            <w:fldChar w:fldCharType="separate"/>
          </w:r>
          <w:r>
            <w:rPr>
              <w:rStyle w:val="24"/>
              <w:rFonts w:ascii="Times New Roman" w:hAnsi="Times New Roman" w:cs="Times New Roman"/>
              <w:b w:val="0"/>
              <w:bCs w:val="0"/>
              <w:i w:val="0"/>
              <w:iCs w:val="0"/>
              <w:szCs w:val="24"/>
            </w:rPr>
            <w:t>Appendix B: Individual document log and reference reconciliation</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_Toc240757397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63</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2C2AA230">
          <w:pPr>
            <w:pStyle w:val="46"/>
            <w:tabs>
              <w:tab w:val="right" w:leader="dot" w:pos="9486"/>
            </w:tabs>
            <w:rPr>
              <w:rFonts w:ascii="Times New Roman" w:hAnsi="Times New Roman" w:cs="Times New Roman" w:eastAsiaTheme="minorEastAsia"/>
              <w:sz w:val="24"/>
              <w:lang w:val="zh-CN" w:bidi="bn-IN"/>
            </w:rPr>
          </w:pPr>
          <w:r>
            <w:fldChar w:fldCharType="begin"/>
          </w:r>
          <w:r>
            <w:instrText xml:space="preserve"> HYPERLINK \l "_Toc240757398" </w:instrText>
          </w:r>
          <w:r>
            <w:fldChar w:fldCharType="separate"/>
          </w:r>
          <w:r>
            <w:rPr>
              <w:rStyle w:val="24"/>
              <w:rFonts w:ascii="Times New Roman" w:hAnsi="Times New Roman" w:cs="Times New Roman"/>
              <w:sz w:val="24"/>
            </w:rPr>
            <w:t>Appendix B: Individual Document Log and Reference Reconciliation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_Toc240757398 \h </w:instrText>
          </w:r>
          <w:r>
            <w:rPr>
              <w:rFonts w:ascii="Times New Roman" w:hAnsi="Times New Roman" w:cs="Times New Roman"/>
              <w:sz w:val="24"/>
            </w:rPr>
            <w:fldChar w:fldCharType="separate"/>
          </w:r>
          <w:r>
            <w:rPr>
              <w:rFonts w:ascii="Times New Roman" w:hAnsi="Times New Roman" w:cs="Times New Roman"/>
              <w:sz w:val="24"/>
            </w:rPr>
            <w:t>63</w:t>
          </w:r>
          <w:r>
            <w:rPr>
              <w:rFonts w:ascii="Times New Roman" w:hAnsi="Times New Roman" w:cs="Times New Roman"/>
              <w:sz w:val="24"/>
            </w:rPr>
            <w:fldChar w:fldCharType="end"/>
          </w:r>
          <w:r>
            <w:rPr>
              <w:rFonts w:ascii="Times New Roman" w:hAnsi="Times New Roman" w:cs="Times New Roman"/>
              <w:sz w:val="24"/>
            </w:rPr>
            <w:fldChar w:fldCharType="end"/>
          </w:r>
        </w:p>
        <w:p w14:paraId="7A9CCEF2">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"_Toc240757399" </w:instrText>
          </w:r>
          <w:r>
            <w:fldChar w:fldCharType="separate"/>
          </w:r>
          <w:r>
            <w:rPr>
              <w:rStyle w:val="24"/>
              <w:rFonts w:ascii="Times New Roman" w:hAnsi="Times New Roman" w:cs="Times New Roman"/>
              <w:b w:val="0"/>
              <w:bCs w:val="0"/>
              <w:sz w:val="24"/>
              <w:szCs w:val="24"/>
            </w:rPr>
            <w:t>B2. Classification of all 47 final-reference records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_Toc240757399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65</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6CBC0D00">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"_Toc240757400" </w:instrText>
          </w:r>
          <w:r>
            <w:fldChar w:fldCharType="separate"/>
          </w:r>
          <w:r>
            <w:rPr>
              <w:rStyle w:val="24"/>
              <w:rFonts w:ascii="Times New Roman" w:hAnsi="Times New Roman" w:cs="Times New Roman"/>
              <w:b w:val="0"/>
              <w:bCs w:val="0"/>
              <w:i w:val="0"/>
              <w:iCs w:val="0"/>
              <w:szCs w:val="24"/>
            </w:rPr>
            <w:t>Appendix C: Evidence hierarchy and confidence rules</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_Toc240757400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67</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054BB935">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"_Toc240757401" </w:instrText>
          </w:r>
          <w:r>
            <w:fldChar w:fldCharType="separate"/>
          </w:r>
          <w:r>
            <w:rPr>
              <w:rStyle w:val="24"/>
              <w:rFonts w:ascii="Times New Roman" w:hAnsi="Times New Roman" w:cs="Times New Roman"/>
              <w:b w:val="0"/>
              <w:bCs w:val="0"/>
              <w:sz w:val="24"/>
              <w:szCs w:val="24"/>
            </w:rPr>
            <w:t>C2. Confidence calibration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_Toc240757401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67</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450CD1A3">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"_Toc240757402" </w:instrText>
          </w:r>
          <w:r>
            <w:fldChar w:fldCharType="separate"/>
          </w:r>
          <w:r>
            <w:rPr>
              <w:rStyle w:val="24"/>
              <w:rFonts w:ascii="Times New Roman" w:hAnsi="Times New Roman" w:cs="Times New Roman"/>
              <w:b w:val="0"/>
              <w:bCs w:val="0"/>
              <w:i w:val="0"/>
              <w:iCs w:val="0"/>
              <w:szCs w:val="24"/>
            </w:rPr>
            <w:t>Appendix D: Source-linked evidence and worked coding</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_Toc240757402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68</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17D33A93">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"_Toc240757403" </w:instrText>
          </w:r>
          <w:r>
            <w:fldChar w:fldCharType="separate"/>
          </w:r>
          <w:r>
            <w:rPr>
              <w:rStyle w:val="24"/>
              <w:rFonts w:ascii="Times New Roman" w:hAnsi="Times New Roman" w:cs="Times New Roman"/>
              <w:b w:val="0"/>
              <w:bCs w:val="0"/>
              <w:sz w:val="24"/>
              <w:szCs w:val="24"/>
            </w:rPr>
            <w:t>D2. Worked example: Boohoo’s material-share disclosure</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_Toc240757403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70</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1D7AE382">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"_Toc240757404" </w:instrText>
          </w:r>
          <w:r>
            <w:fldChar w:fldCharType="separate"/>
          </w:r>
          <w:r>
            <w:rPr>
              <w:rStyle w:val="24"/>
              <w:rFonts w:ascii="Times New Roman" w:hAnsi="Times New Roman" w:cs="Times New Roman"/>
              <w:b w:val="0"/>
              <w:bCs w:val="0"/>
              <w:sz w:val="24"/>
              <w:szCs w:val="24"/>
            </w:rPr>
            <w:t>D3. Worked example: assurance and brand-level inference</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_Toc240757404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70</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0E76BE5B">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"_Toc240757405" </w:instrText>
          </w:r>
          <w:r>
            <w:fldChar w:fldCharType="separate"/>
          </w:r>
          <w:r>
            <w:rPr>
              <w:rStyle w:val="24"/>
              <w:rFonts w:ascii="Times New Roman" w:hAnsi="Times New Roman" w:cs="Times New Roman"/>
              <w:b w:val="0"/>
              <w:bCs w:val="0"/>
              <w:i w:val="0"/>
              <w:iCs w:val="0"/>
              <w:szCs w:val="24"/>
            </w:rPr>
            <w:t>Appendix E: Applied codes, theme evolution and negative evidence</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_Toc240757405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71</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7C717183">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"_Toc240757406" </w:instrText>
          </w:r>
          <w:r>
            <w:fldChar w:fldCharType="separate"/>
          </w:r>
          <w:r>
            <w:rPr>
              <w:rStyle w:val="24"/>
              <w:rFonts w:ascii="Times New Roman" w:hAnsi="Times New Roman" w:cs="Times New Roman"/>
              <w:b w:val="0"/>
              <w:bCs w:val="0"/>
              <w:sz w:val="24"/>
              <w:szCs w:val="24"/>
            </w:rPr>
            <w:t>E2. Seven provisional groupings and review decisions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_Toc240757406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72</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271CA13B">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"_Toc240757407" </w:instrText>
          </w:r>
          <w:r>
            <w:fldChar w:fldCharType="separate"/>
          </w:r>
          <w:r>
            <w:rPr>
              <w:rStyle w:val="24"/>
              <w:rFonts w:ascii="Times New Roman" w:hAnsi="Times New Roman" w:cs="Times New Roman"/>
              <w:b w:val="0"/>
              <w:bCs w:val="0"/>
              <w:sz w:val="24"/>
              <w:szCs w:val="24"/>
            </w:rPr>
            <w:t>E3. Final definitions</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_Toc240757407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73</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10622AD4">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"_Toc240757408" </w:instrText>
          </w:r>
          <w:r>
            <w:fldChar w:fldCharType="separate"/>
          </w:r>
          <w:r>
            <w:rPr>
              <w:rStyle w:val="24"/>
              <w:rFonts w:ascii="Times New Roman" w:hAnsi="Times New Roman" w:cs="Times New Roman"/>
              <w:b w:val="0"/>
              <w:bCs w:val="0"/>
              <w:sz w:val="24"/>
              <w:szCs w:val="24"/>
            </w:rPr>
            <w:t>E4. Negative evidence that changed interpretation</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_Toc240757408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73</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2111CB0D">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"_Toc240757409" </w:instrText>
          </w:r>
          <w:r>
            <w:fldChar w:fldCharType="separate"/>
          </w:r>
          <w:r>
            <w:rPr>
              <w:rStyle w:val="24"/>
              <w:rFonts w:ascii="Times New Roman" w:hAnsi="Times New Roman" w:cs="Times New Roman"/>
              <w:b w:val="0"/>
              <w:bCs w:val="0"/>
              <w:i w:val="0"/>
              <w:iCs w:val="0"/>
              <w:szCs w:val="24"/>
            </w:rPr>
            <w:t>Appendix F: Triangulation and reflexive decisions</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_Toc240757409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74</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42A788DD">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"_Toc240757410" </w:instrText>
          </w:r>
          <w:r>
            <w:fldChar w:fldCharType="separate"/>
          </w:r>
          <w:r>
            <w:rPr>
              <w:rStyle w:val="24"/>
              <w:rFonts w:ascii="Times New Roman" w:hAnsi="Times New Roman" w:cs="Times New Roman"/>
              <w:b w:val="0"/>
              <w:bCs w:val="0"/>
              <w:sz w:val="24"/>
              <w:szCs w:val="24"/>
            </w:rPr>
            <w:t>F2. Source dependence</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_Toc240757410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74</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303A69A4">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"_Toc240757411" </w:instrText>
          </w:r>
          <w:r>
            <w:fldChar w:fldCharType="separate"/>
          </w:r>
          <w:r>
            <w:rPr>
              <w:rStyle w:val="24"/>
              <w:rFonts w:ascii="Times New Roman" w:hAnsi="Times New Roman" w:cs="Times New Roman"/>
              <w:b w:val="0"/>
              <w:bCs w:val="0"/>
              <w:sz w:val="24"/>
              <w:szCs w:val="24"/>
            </w:rPr>
            <w:t>F3. Reflexive memo register</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_Toc240757411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74</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4BF38CDF">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"_Toc240757412" </w:instrText>
          </w:r>
          <w:r>
            <w:fldChar w:fldCharType="separate"/>
          </w:r>
          <w:r>
            <w:rPr>
              <w:rStyle w:val="24"/>
              <w:rFonts w:ascii="Times New Roman" w:hAnsi="Times New Roman" w:cs="Times New Roman"/>
              <w:b w:val="0"/>
              <w:bCs w:val="0"/>
              <w:i w:val="0"/>
              <w:iCs w:val="0"/>
              <w:szCs w:val="24"/>
            </w:rPr>
            <w:t>Appendix G: Research questions and interpretive mechanism</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_Toc240757412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75</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59702E1D">
          <w:pPr>
            <w:pStyle w:val="45"/>
            <w:tabs>
              <w:tab w:val="right" w:leader="dot" w:pos="9486"/>
            </w:tabs>
            <w:rPr>
              <w:rFonts w:ascii="Times New Roman" w:hAnsi="Times New Roman" w:cs="Times New Roman" w:eastAsiaTheme="minorEastAsia"/>
              <w:b w:val="0"/>
              <w:bCs w:val="0"/>
              <w:sz w:val="24"/>
              <w:szCs w:val="24"/>
              <w:lang w:val="zh-CN" w:bidi="bn-IN"/>
            </w:rPr>
          </w:pPr>
          <w:r>
            <w:fldChar w:fldCharType="begin"/>
          </w:r>
          <w:r>
            <w:instrText xml:space="preserve"> HYPERLINK \l "_Toc240757413" </w:instrText>
          </w:r>
          <w:r>
            <w:fldChar w:fldCharType="separate"/>
          </w:r>
          <w:r>
            <w:rPr>
              <w:rStyle w:val="24"/>
              <w:rFonts w:ascii="Times New Roman" w:hAnsi="Times New Roman" w:cs="Times New Roman"/>
              <w:b w:val="0"/>
              <w:bCs w:val="0"/>
              <w:sz w:val="24"/>
              <w:szCs w:val="24"/>
            </w:rPr>
            <w:t>G2. Three levels of reporting</w:t>
          </w:r>
          <w:r>
            <w:rPr>
              <w:rFonts w:ascii="Times New Roman" w:hAnsi="Times New Roman" w:cs="Times New Roman"/>
              <w:b w:val="0"/>
              <w:bCs w:val="0"/>
              <w:sz w:val="24"/>
              <w:szCs w:val="24"/>
            </w:rPr>
            <w:tab/>
          </w: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PAGEREF _Toc240757413 \h </w:instrText>
          </w:r>
          <w:r>
            <w:rPr>
              <w:rFonts w:ascii="Times New Roman" w:hAnsi="Times New Roman" w:cs="Times New Roman"/>
              <w:b w:val="0"/>
              <w:bCs w:val="0"/>
              <w:sz w:val="24"/>
              <w:szCs w:val="24"/>
            </w:rPr>
            <w:fldChar w:fldCharType="separate"/>
          </w:r>
          <w:r>
            <w:rPr>
              <w:rFonts w:ascii="Times New Roman" w:hAnsi="Times New Roman" w:cs="Times New Roman"/>
              <w:b w:val="0"/>
              <w:bCs w:val="0"/>
              <w:sz w:val="24"/>
              <w:szCs w:val="24"/>
            </w:rPr>
            <w:t>75</w:t>
          </w:r>
          <w:r>
            <w:rPr>
              <w:rFonts w:ascii="Times New Roman" w:hAnsi="Times New Roman" w:cs="Times New Roman"/>
              <w:b w:val="0"/>
              <w:bCs w:val="0"/>
              <w:sz w:val="24"/>
              <w:szCs w:val="24"/>
            </w:rPr>
            <w:fldChar w:fldCharType="end"/>
          </w:r>
          <w:r>
            <w:rPr>
              <w:rFonts w:ascii="Times New Roman" w:hAnsi="Times New Roman" w:cs="Times New Roman"/>
              <w:b w:val="0"/>
              <w:bCs w:val="0"/>
              <w:sz w:val="24"/>
              <w:szCs w:val="24"/>
            </w:rPr>
            <w:fldChar w:fldCharType="end"/>
          </w:r>
        </w:p>
        <w:p w14:paraId="3FA5E5FA">
          <w:pPr>
            <w:pStyle w:val="44"/>
            <w:tabs>
              <w:tab w:val="right" w:leader="dot" w:pos="9486"/>
            </w:tabs>
            <w:rPr>
              <w:rFonts w:ascii="Times New Roman" w:hAnsi="Times New Roman" w:cs="Times New Roman" w:eastAsiaTheme="minorEastAsia"/>
              <w:b w:val="0"/>
              <w:bCs w:val="0"/>
              <w:i w:val="0"/>
              <w:iCs w:val="0"/>
              <w:szCs w:val="24"/>
              <w:lang w:val="zh-CN" w:bidi="bn-IN"/>
            </w:rPr>
          </w:pPr>
          <w:r>
            <w:fldChar w:fldCharType="begin"/>
          </w:r>
          <w:r>
            <w:instrText xml:space="preserve"> HYPERLINK \l "_Toc240757414" </w:instrText>
          </w:r>
          <w:r>
            <w:fldChar w:fldCharType="separate"/>
          </w:r>
          <w:r>
            <w:rPr>
              <w:rStyle w:val="24"/>
              <w:rFonts w:ascii="Times New Roman" w:hAnsi="Times New Roman" w:cs="Times New Roman"/>
              <w:b w:val="0"/>
              <w:bCs w:val="0"/>
              <w:i w:val="0"/>
              <w:iCs w:val="0"/>
              <w:szCs w:val="24"/>
            </w:rPr>
            <w:t>Appendix H: Quantitative extracts and comparability checks</w:t>
          </w:r>
          <w:r>
            <w:rPr>
              <w:rFonts w:ascii="Times New Roman" w:hAnsi="Times New Roman" w:cs="Times New Roman"/>
              <w:b w:val="0"/>
              <w:bCs w:val="0"/>
              <w:i w:val="0"/>
              <w:iCs w:val="0"/>
              <w:szCs w:val="24"/>
            </w:rPr>
            <w:tab/>
          </w:r>
          <w:r>
            <w:rPr>
              <w:rFonts w:ascii="Times New Roman" w:hAnsi="Times New Roman" w:cs="Times New Roman"/>
              <w:b w:val="0"/>
              <w:bCs w:val="0"/>
              <w:i w:val="0"/>
              <w:iCs w:val="0"/>
              <w:szCs w:val="24"/>
            </w:rPr>
            <w:fldChar w:fldCharType="begin"/>
          </w:r>
          <w:r>
            <w:rPr>
              <w:rFonts w:ascii="Times New Roman" w:hAnsi="Times New Roman" w:cs="Times New Roman"/>
              <w:b w:val="0"/>
              <w:bCs w:val="0"/>
              <w:i w:val="0"/>
              <w:iCs w:val="0"/>
              <w:szCs w:val="24"/>
            </w:rPr>
            <w:instrText xml:space="preserve"> PAGEREF _Toc240757414 \h </w:instrText>
          </w:r>
          <w:r>
            <w:rPr>
              <w:rFonts w:ascii="Times New Roman" w:hAnsi="Times New Roman" w:cs="Times New Roman"/>
              <w:b w:val="0"/>
              <w:bCs w:val="0"/>
              <w:i w:val="0"/>
              <w:iCs w:val="0"/>
              <w:szCs w:val="24"/>
            </w:rPr>
            <w:fldChar w:fldCharType="separate"/>
          </w:r>
          <w:r>
            <w:rPr>
              <w:rFonts w:ascii="Times New Roman" w:hAnsi="Times New Roman" w:cs="Times New Roman"/>
              <w:b w:val="0"/>
              <w:bCs w:val="0"/>
              <w:i w:val="0"/>
              <w:iCs w:val="0"/>
              <w:szCs w:val="24"/>
            </w:rPr>
            <w:t>76</w:t>
          </w:r>
          <w:r>
            <w:rPr>
              <w:rFonts w:ascii="Times New Roman" w:hAnsi="Times New Roman" w:cs="Times New Roman"/>
              <w:b w:val="0"/>
              <w:bCs w:val="0"/>
              <w:i w:val="0"/>
              <w:iCs w:val="0"/>
              <w:szCs w:val="24"/>
            </w:rPr>
            <w:fldChar w:fldCharType="end"/>
          </w:r>
          <w:r>
            <w:rPr>
              <w:rFonts w:ascii="Times New Roman" w:hAnsi="Times New Roman" w:cs="Times New Roman"/>
              <w:b w:val="0"/>
              <w:bCs w:val="0"/>
              <w:i w:val="0"/>
              <w:iCs w:val="0"/>
              <w:szCs w:val="24"/>
            </w:rPr>
            <w:fldChar w:fldCharType="end"/>
          </w:r>
        </w:p>
        <w:p w14:paraId="6FAC9103">
          <w:r>
            <w:rPr>
              <w:szCs w:val="24"/>
            </w:rPr>
            <w:fldChar w:fldCharType="end"/>
          </w:r>
        </w:p>
      </w:sdtContent>
    </w:sdt>
    <w:p w14:paraId="56072FEA">
      <w:pPr>
        <w:spacing w:before="0" w:after="160" w:line="259" w:lineRule="auto"/>
        <w:jc w:val="left"/>
      </w:pPr>
      <w:r>
        <w:br w:type="page"/>
      </w:r>
    </w:p>
    <w:p w14:paraId="6CC60B1B">
      <w:pPr>
        <w:pStyle w:val="2"/>
      </w:pPr>
      <w:bookmarkStart w:id="4" w:name="_Toc240757325"/>
      <w:r>
        <w:t>List of Abbreviations</w:t>
      </w:r>
      <w:bookmarkEnd w:id="4"/>
    </w:p>
    <w:tbl>
      <w:tblPr>
        <w:tblStyle w:val="41"/>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9"/>
        <w:gridCol w:w="5751"/>
      </w:tblGrid>
      <w:tr w14:paraId="51FE0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9" w:type="dxa"/>
            <w:shd w:val="clear" w:color="auto" w:fill="D9E2F3"/>
            <w:tcMar>
              <w:top w:w="80" w:type="dxa"/>
              <w:left w:w="90" w:type="dxa"/>
              <w:bottom w:w="80" w:type="dxa"/>
              <w:right w:w="90" w:type="dxa"/>
            </w:tcMar>
            <w:vAlign w:val="center"/>
          </w:tcPr>
          <w:p w14:paraId="04A5089E">
            <w:pPr>
              <w:spacing w:after="0"/>
              <w:jc w:val="center"/>
            </w:pPr>
            <w:r>
              <w:rPr>
                <w:b/>
                <w:sz w:val="22"/>
              </w:rPr>
              <w:t>Abbreviation</w:t>
            </w:r>
          </w:p>
        </w:tc>
        <w:tc>
          <w:tcPr>
            <w:tcW w:w="5751" w:type="dxa"/>
            <w:shd w:val="clear" w:color="auto" w:fill="D9E2F3"/>
            <w:tcMar>
              <w:top w:w="80" w:type="dxa"/>
              <w:left w:w="90" w:type="dxa"/>
              <w:bottom w:w="80" w:type="dxa"/>
              <w:right w:w="90" w:type="dxa"/>
            </w:tcMar>
            <w:vAlign w:val="center"/>
          </w:tcPr>
          <w:p w14:paraId="4A4847FA">
            <w:pPr>
              <w:spacing w:after="0"/>
              <w:jc w:val="center"/>
            </w:pPr>
            <w:r>
              <w:rPr>
                <w:b/>
                <w:sz w:val="22"/>
              </w:rPr>
              <w:t>Meaning</w:t>
            </w:r>
          </w:p>
        </w:tc>
      </w:tr>
      <w:tr w14:paraId="171FD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9" w:type="dxa"/>
            <w:tcMar>
              <w:top w:w="80" w:type="dxa"/>
              <w:left w:w="90" w:type="dxa"/>
              <w:bottom w:w="80" w:type="dxa"/>
              <w:right w:w="90" w:type="dxa"/>
            </w:tcMar>
            <w:vAlign w:val="center"/>
          </w:tcPr>
          <w:p w14:paraId="1A362E10">
            <w:pPr>
              <w:spacing w:after="0" w:line="240" w:lineRule="auto"/>
              <w:jc w:val="left"/>
            </w:pPr>
            <w:r>
              <w:rPr>
                <w:sz w:val="22"/>
              </w:rPr>
              <w:t>CBBE</w:t>
            </w:r>
          </w:p>
        </w:tc>
        <w:tc>
          <w:tcPr>
            <w:tcW w:w="5751" w:type="dxa"/>
            <w:tcMar>
              <w:top w:w="80" w:type="dxa"/>
              <w:left w:w="90" w:type="dxa"/>
              <w:bottom w:w="80" w:type="dxa"/>
              <w:right w:w="90" w:type="dxa"/>
            </w:tcMar>
            <w:vAlign w:val="center"/>
          </w:tcPr>
          <w:p w14:paraId="2B91E58B">
            <w:pPr>
              <w:spacing w:after="0" w:line="240" w:lineRule="auto"/>
              <w:jc w:val="left"/>
            </w:pPr>
            <w:r>
              <w:rPr>
                <w:sz w:val="22"/>
              </w:rPr>
              <w:t>Customer Based Brand Equity</w:t>
            </w:r>
          </w:p>
        </w:tc>
      </w:tr>
      <w:tr w14:paraId="0B9F2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9" w:type="dxa"/>
            <w:tcMar>
              <w:top w:w="80" w:type="dxa"/>
              <w:left w:w="90" w:type="dxa"/>
              <w:bottom w:w="80" w:type="dxa"/>
              <w:right w:w="90" w:type="dxa"/>
            </w:tcMar>
            <w:vAlign w:val="center"/>
          </w:tcPr>
          <w:p w14:paraId="3B40C981">
            <w:pPr>
              <w:spacing w:after="0" w:line="240" w:lineRule="auto"/>
              <w:jc w:val="left"/>
            </w:pPr>
            <w:r>
              <w:rPr>
                <w:sz w:val="22"/>
              </w:rPr>
              <w:t>CMA</w:t>
            </w:r>
          </w:p>
        </w:tc>
        <w:tc>
          <w:tcPr>
            <w:tcW w:w="5751" w:type="dxa"/>
            <w:tcMar>
              <w:top w:w="80" w:type="dxa"/>
              <w:left w:w="90" w:type="dxa"/>
              <w:bottom w:w="80" w:type="dxa"/>
              <w:right w:w="90" w:type="dxa"/>
            </w:tcMar>
            <w:vAlign w:val="center"/>
          </w:tcPr>
          <w:p w14:paraId="3F7F2444">
            <w:pPr>
              <w:spacing w:after="0" w:line="240" w:lineRule="auto"/>
              <w:jc w:val="left"/>
            </w:pPr>
            <w:r>
              <w:rPr>
                <w:sz w:val="22"/>
              </w:rPr>
              <w:t>Competition and Markets Authority</w:t>
            </w:r>
          </w:p>
        </w:tc>
      </w:tr>
      <w:tr w14:paraId="000DA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9" w:type="dxa"/>
            <w:tcMar>
              <w:top w:w="80" w:type="dxa"/>
              <w:left w:w="90" w:type="dxa"/>
              <w:bottom w:w="80" w:type="dxa"/>
              <w:right w:w="90" w:type="dxa"/>
            </w:tcMar>
            <w:vAlign w:val="center"/>
          </w:tcPr>
          <w:p w14:paraId="7482D3B9">
            <w:pPr>
              <w:spacing w:after="0" w:line="240" w:lineRule="auto"/>
              <w:jc w:val="left"/>
            </w:pPr>
            <w:r>
              <w:rPr>
                <w:sz w:val="22"/>
              </w:rPr>
              <w:t>DMCC Act</w:t>
            </w:r>
          </w:p>
        </w:tc>
        <w:tc>
          <w:tcPr>
            <w:tcW w:w="5751" w:type="dxa"/>
            <w:tcMar>
              <w:top w:w="80" w:type="dxa"/>
              <w:left w:w="90" w:type="dxa"/>
              <w:bottom w:w="80" w:type="dxa"/>
              <w:right w:w="90" w:type="dxa"/>
            </w:tcMar>
            <w:vAlign w:val="center"/>
          </w:tcPr>
          <w:p w14:paraId="5A015458">
            <w:pPr>
              <w:spacing w:after="0" w:line="240" w:lineRule="auto"/>
              <w:jc w:val="left"/>
            </w:pPr>
            <w:r>
              <w:rPr>
                <w:sz w:val="22"/>
              </w:rPr>
              <w:t>Digital Markets, Competition and Consumers Act 2024</w:t>
            </w:r>
          </w:p>
        </w:tc>
      </w:tr>
      <w:tr w14:paraId="17B6D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9" w:type="dxa"/>
            <w:tcMar>
              <w:top w:w="80" w:type="dxa"/>
              <w:left w:w="90" w:type="dxa"/>
              <w:bottom w:w="80" w:type="dxa"/>
              <w:right w:w="90" w:type="dxa"/>
            </w:tcMar>
            <w:vAlign w:val="center"/>
          </w:tcPr>
          <w:p w14:paraId="26252BEC">
            <w:pPr>
              <w:spacing w:after="0" w:line="240" w:lineRule="auto"/>
              <w:jc w:val="left"/>
            </w:pPr>
            <w:r>
              <w:rPr>
                <w:sz w:val="22"/>
              </w:rPr>
              <w:t>MBA</w:t>
            </w:r>
          </w:p>
        </w:tc>
        <w:tc>
          <w:tcPr>
            <w:tcW w:w="5751" w:type="dxa"/>
            <w:tcMar>
              <w:top w:w="80" w:type="dxa"/>
              <w:left w:w="90" w:type="dxa"/>
              <w:bottom w:w="80" w:type="dxa"/>
              <w:right w:w="90" w:type="dxa"/>
            </w:tcMar>
            <w:vAlign w:val="center"/>
          </w:tcPr>
          <w:p w14:paraId="7B12B501">
            <w:pPr>
              <w:spacing w:after="0" w:line="240" w:lineRule="auto"/>
              <w:jc w:val="left"/>
            </w:pPr>
            <w:r>
              <w:rPr>
                <w:sz w:val="22"/>
              </w:rPr>
              <w:t>Master of Business Administration</w:t>
            </w:r>
          </w:p>
        </w:tc>
      </w:tr>
      <w:tr w14:paraId="51B2C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9" w:type="dxa"/>
            <w:tcMar>
              <w:top w:w="80" w:type="dxa"/>
              <w:left w:w="90" w:type="dxa"/>
              <w:bottom w:w="80" w:type="dxa"/>
              <w:right w:w="90" w:type="dxa"/>
            </w:tcMar>
            <w:vAlign w:val="center"/>
          </w:tcPr>
          <w:p w14:paraId="5D8866BC">
            <w:pPr>
              <w:spacing w:after="0" w:line="240" w:lineRule="auto"/>
              <w:jc w:val="left"/>
            </w:pPr>
            <w:r>
              <w:rPr>
                <w:sz w:val="22"/>
              </w:rPr>
              <w:t>NGO</w:t>
            </w:r>
          </w:p>
        </w:tc>
        <w:tc>
          <w:tcPr>
            <w:tcW w:w="5751" w:type="dxa"/>
            <w:tcMar>
              <w:top w:w="80" w:type="dxa"/>
              <w:left w:w="90" w:type="dxa"/>
              <w:bottom w:w="80" w:type="dxa"/>
              <w:right w:w="90" w:type="dxa"/>
            </w:tcMar>
            <w:vAlign w:val="center"/>
          </w:tcPr>
          <w:p w14:paraId="54DA31BB">
            <w:pPr>
              <w:spacing w:after="0" w:line="240" w:lineRule="auto"/>
              <w:jc w:val="left"/>
            </w:pPr>
            <w:r>
              <w:rPr>
                <w:sz w:val="22"/>
              </w:rPr>
              <w:t>Non Governmental Organisation</w:t>
            </w:r>
          </w:p>
        </w:tc>
      </w:tr>
      <w:tr w14:paraId="3C852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9" w:type="dxa"/>
            <w:tcMar>
              <w:top w:w="80" w:type="dxa"/>
              <w:left w:w="90" w:type="dxa"/>
              <w:bottom w:w="80" w:type="dxa"/>
              <w:right w:w="90" w:type="dxa"/>
            </w:tcMar>
            <w:vAlign w:val="center"/>
          </w:tcPr>
          <w:p w14:paraId="51AE962A">
            <w:pPr>
              <w:spacing w:after="0" w:line="240" w:lineRule="auto"/>
              <w:jc w:val="left"/>
            </w:pPr>
            <w:r>
              <w:rPr>
                <w:sz w:val="22"/>
              </w:rPr>
              <w:t>OCR</w:t>
            </w:r>
          </w:p>
        </w:tc>
        <w:tc>
          <w:tcPr>
            <w:tcW w:w="5751" w:type="dxa"/>
            <w:tcMar>
              <w:top w:w="80" w:type="dxa"/>
              <w:left w:w="90" w:type="dxa"/>
              <w:bottom w:w="80" w:type="dxa"/>
              <w:right w:w="90" w:type="dxa"/>
            </w:tcMar>
            <w:vAlign w:val="center"/>
          </w:tcPr>
          <w:p w14:paraId="31C3B861">
            <w:pPr>
              <w:spacing w:after="0" w:line="240" w:lineRule="auto"/>
              <w:jc w:val="left"/>
            </w:pPr>
            <w:r>
              <w:rPr>
                <w:sz w:val="22"/>
              </w:rPr>
              <w:t>Optical Character Recognition</w:t>
            </w:r>
          </w:p>
        </w:tc>
      </w:tr>
      <w:tr w14:paraId="19BA7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9" w:type="dxa"/>
            <w:tcMar>
              <w:top w:w="80" w:type="dxa"/>
              <w:left w:w="90" w:type="dxa"/>
              <w:bottom w:w="80" w:type="dxa"/>
              <w:right w:w="90" w:type="dxa"/>
            </w:tcMar>
            <w:vAlign w:val="center"/>
          </w:tcPr>
          <w:p w14:paraId="5A9D8973">
            <w:pPr>
              <w:spacing w:after="0" w:line="240" w:lineRule="auto"/>
              <w:jc w:val="left"/>
            </w:pPr>
            <w:r>
              <w:rPr>
                <w:sz w:val="22"/>
              </w:rPr>
              <w:t>PDF</w:t>
            </w:r>
          </w:p>
        </w:tc>
        <w:tc>
          <w:tcPr>
            <w:tcW w:w="5751" w:type="dxa"/>
            <w:tcMar>
              <w:top w:w="80" w:type="dxa"/>
              <w:left w:w="90" w:type="dxa"/>
              <w:bottom w:w="80" w:type="dxa"/>
              <w:right w:w="90" w:type="dxa"/>
            </w:tcMar>
            <w:vAlign w:val="center"/>
          </w:tcPr>
          <w:p w14:paraId="68AEECAC">
            <w:pPr>
              <w:spacing w:after="0" w:line="240" w:lineRule="auto"/>
              <w:jc w:val="left"/>
            </w:pPr>
            <w:r>
              <w:rPr>
                <w:sz w:val="22"/>
              </w:rPr>
              <w:t>Portable Document Format</w:t>
            </w:r>
          </w:p>
        </w:tc>
      </w:tr>
      <w:tr w14:paraId="21351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9" w:type="dxa"/>
            <w:tcMar>
              <w:top w:w="80" w:type="dxa"/>
              <w:left w:w="90" w:type="dxa"/>
              <w:bottom w:w="80" w:type="dxa"/>
              <w:right w:w="90" w:type="dxa"/>
            </w:tcMar>
            <w:vAlign w:val="center"/>
          </w:tcPr>
          <w:p w14:paraId="20B08895">
            <w:pPr>
              <w:spacing w:after="0" w:line="240" w:lineRule="auto"/>
              <w:jc w:val="left"/>
            </w:pPr>
            <w:r>
              <w:rPr>
                <w:sz w:val="22"/>
              </w:rPr>
              <w:t>RQ</w:t>
            </w:r>
          </w:p>
        </w:tc>
        <w:tc>
          <w:tcPr>
            <w:tcW w:w="5751" w:type="dxa"/>
            <w:tcMar>
              <w:top w:w="80" w:type="dxa"/>
              <w:left w:w="90" w:type="dxa"/>
              <w:bottom w:w="80" w:type="dxa"/>
              <w:right w:w="90" w:type="dxa"/>
            </w:tcMar>
            <w:vAlign w:val="center"/>
          </w:tcPr>
          <w:p w14:paraId="2F74718E">
            <w:pPr>
              <w:spacing w:after="0" w:line="240" w:lineRule="auto"/>
              <w:jc w:val="left"/>
            </w:pPr>
            <w:r>
              <w:rPr>
                <w:sz w:val="22"/>
              </w:rPr>
              <w:t>Research Question</w:t>
            </w:r>
          </w:p>
        </w:tc>
      </w:tr>
      <w:tr w14:paraId="2C80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9" w:type="dxa"/>
            <w:tcMar>
              <w:top w:w="80" w:type="dxa"/>
              <w:left w:w="90" w:type="dxa"/>
              <w:bottom w:w="80" w:type="dxa"/>
              <w:right w:w="90" w:type="dxa"/>
            </w:tcMar>
            <w:vAlign w:val="center"/>
          </w:tcPr>
          <w:p w14:paraId="0D715DBC">
            <w:pPr>
              <w:spacing w:after="0" w:line="240" w:lineRule="auto"/>
              <w:jc w:val="left"/>
            </w:pPr>
            <w:r>
              <w:rPr>
                <w:sz w:val="22"/>
              </w:rPr>
              <w:t>UK</w:t>
            </w:r>
          </w:p>
        </w:tc>
        <w:tc>
          <w:tcPr>
            <w:tcW w:w="5751" w:type="dxa"/>
            <w:tcMar>
              <w:top w:w="80" w:type="dxa"/>
              <w:left w:w="90" w:type="dxa"/>
              <w:bottom w:w="80" w:type="dxa"/>
              <w:right w:w="90" w:type="dxa"/>
            </w:tcMar>
            <w:vAlign w:val="center"/>
          </w:tcPr>
          <w:p w14:paraId="5125A6E6">
            <w:pPr>
              <w:spacing w:after="0" w:line="240" w:lineRule="auto"/>
              <w:jc w:val="left"/>
            </w:pPr>
            <w:r>
              <w:rPr>
                <w:sz w:val="22"/>
              </w:rPr>
              <w:t>United Kingdom</w:t>
            </w:r>
          </w:p>
        </w:tc>
      </w:tr>
      <w:tr w14:paraId="6D05B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9" w:type="dxa"/>
            <w:tcMar>
              <w:top w:w="80" w:type="dxa"/>
              <w:left w:w="90" w:type="dxa"/>
              <w:bottom w:w="80" w:type="dxa"/>
              <w:right w:w="90" w:type="dxa"/>
            </w:tcMar>
            <w:vAlign w:val="center"/>
          </w:tcPr>
          <w:p w14:paraId="5ED9E711">
            <w:pPr>
              <w:spacing w:after="0" w:line="240" w:lineRule="auto"/>
              <w:jc w:val="left"/>
            </w:pPr>
            <w:r>
              <w:rPr>
                <w:sz w:val="22"/>
              </w:rPr>
              <w:t>WRAP</w:t>
            </w:r>
          </w:p>
        </w:tc>
        <w:tc>
          <w:tcPr>
            <w:tcW w:w="5751" w:type="dxa"/>
            <w:tcMar>
              <w:top w:w="80" w:type="dxa"/>
              <w:left w:w="90" w:type="dxa"/>
              <w:bottom w:w="80" w:type="dxa"/>
              <w:right w:w="90" w:type="dxa"/>
            </w:tcMar>
            <w:vAlign w:val="center"/>
          </w:tcPr>
          <w:p w14:paraId="68826265">
            <w:pPr>
              <w:spacing w:after="0" w:line="240" w:lineRule="auto"/>
              <w:jc w:val="left"/>
            </w:pPr>
            <w:r>
              <w:rPr>
                <w:sz w:val="22"/>
              </w:rPr>
              <w:t>Waste and Resources Action Programme</w:t>
            </w:r>
          </w:p>
        </w:tc>
      </w:tr>
    </w:tbl>
    <w:p w14:paraId="0FC213A7">
      <w:r>
        <w:br w:type="page"/>
      </w:r>
    </w:p>
    <w:p w14:paraId="23789FCC">
      <w:pPr>
        <w:pStyle w:val="2"/>
      </w:pPr>
      <w:bookmarkStart w:id="5" w:name="_Toc240757326"/>
      <w:r>
        <w:t>Glossary</w:t>
      </w:r>
      <w:bookmarkEnd w:id="5"/>
    </w:p>
    <w:tbl>
      <w:tblPr>
        <w:tblStyle w:val="41"/>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9"/>
        <w:gridCol w:w="6120"/>
      </w:tblGrid>
      <w:tr w14:paraId="178E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shd w:val="clear" w:color="auto" w:fill="D9E2F3"/>
            <w:tcMar>
              <w:top w:w="60" w:type="dxa"/>
              <w:left w:w="90" w:type="dxa"/>
              <w:bottom w:w="60" w:type="dxa"/>
              <w:right w:w="90" w:type="dxa"/>
            </w:tcMar>
          </w:tcPr>
          <w:p w14:paraId="65971C70">
            <w:pPr>
              <w:spacing w:after="0"/>
              <w:jc w:val="center"/>
            </w:pPr>
            <w:r>
              <w:rPr>
                <w:b/>
                <w:sz w:val="21"/>
              </w:rPr>
              <w:t>Term</w:t>
            </w:r>
          </w:p>
        </w:tc>
        <w:tc>
          <w:tcPr>
            <w:tcW w:w="6120" w:type="dxa"/>
            <w:shd w:val="clear" w:color="auto" w:fill="D9E2F3"/>
            <w:tcMar>
              <w:top w:w="60" w:type="dxa"/>
              <w:left w:w="90" w:type="dxa"/>
              <w:bottom w:w="60" w:type="dxa"/>
              <w:right w:w="90" w:type="dxa"/>
            </w:tcMar>
          </w:tcPr>
          <w:p w14:paraId="712AF1E4">
            <w:pPr>
              <w:spacing w:after="0"/>
              <w:jc w:val="center"/>
            </w:pPr>
            <w:r>
              <w:rPr>
                <w:b/>
                <w:sz w:val="21"/>
              </w:rPr>
              <w:t>Definition</w:t>
            </w:r>
          </w:p>
        </w:tc>
      </w:tr>
      <w:tr w14:paraId="324C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56769C43">
            <w:pPr>
              <w:spacing w:after="0" w:line="240" w:lineRule="auto"/>
              <w:jc w:val="left"/>
            </w:pPr>
            <w:r>
              <w:rPr>
                <w:b/>
                <w:sz w:val="20"/>
              </w:rPr>
              <w:t>Brand image</w:t>
            </w:r>
          </w:p>
        </w:tc>
        <w:tc>
          <w:tcPr>
            <w:tcW w:w="6120" w:type="dxa"/>
            <w:tcMar>
              <w:top w:w="55" w:type="dxa"/>
              <w:left w:w="90" w:type="dxa"/>
              <w:bottom w:w="55" w:type="dxa"/>
              <w:right w:w="90" w:type="dxa"/>
            </w:tcMar>
          </w:tcPr>
          <w:p w14:paraId="1F559BF2">
            <w:pPr>
              <w:spacing w:after="0" w:line="240" w:lineRule="auto"/>
              <w:jc w:val="left"/>
            </w:pPr>
            <w:r>
              <w:rPr>
                <w:sz w:val="20"/>
              </w:rPr>
              <w:t>The set of associations and impressions that stakeholders, especially consumers, connect with a brand.</w:t>
            </w:r>
          </w:p>
        </w:tc>
      </w:tr>
      <w:tr w14:paraId="1F959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34F5A7D3">
            <w:pPr>
              <w:spacing w:after="0" w:line="240" w:lineRule="auto"/>
              <w:jc w:val="left"/>
            </w:pPr>
            <w:r>
              <w:rPr>
                <w:b/>
                <w:sz w:val="20"/>
              </w:rPr>
              <w:t>Brand reputation</w:t>
            </w:r>
          </w:p>
        </w:tc>
        <w:tc>
          <w:tcPr>
            <w:tcW w:w="6120" w:type="dxa"/>
            <w:tcMar>
              <w:top w:w="55" w:type="dxa"/>
              <w:left w:w="90" w:type="dxa"/>
              <w:bottom w:w="55" w:type="dxa"/>
              <w:right w:w="90" w:type="dxa"/>
            </w:tcMar>
          </w:tcPr>
          <w:p w14:paraId="4F342C55">
            <w:pPr>
              <w:spacing w:after="0" w:line="240" w:lineRule="auto"/>
              <w:jc w:val="left"/>
            </w:pPr>
            <w:r>
              <w:rPr>
                <w:sz w:val="20"/>
              </w:rPr>
              <w:t>A broader and longer term stakeholder evaluation formed through repeated claims, actions, experiences and external assessment.</w:t>
            </w:r>
          </w:p>
        </w:tc>
      </w:tr>
      <w:tr w14:paraId="5110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496F3FE7">
            <w:pPr>
              <w:spacing w:after="0" w:line="240" w:lineRule="auto"/>
              <w:jc w:val="left"/>
            </w:pPr>
            <w:r>
              <w:rPr>
                <w:b/>
                <w:sz w:val="20"/>
              </w:rPr>
              <w:t>Circularity</w:t>
            </w:r>
          </w:p>
        </w:tc>
        <w:tc>
          <w:tcPr>
            <w:tcW w:w="6120" w:type="dxa"/>
            <w:tcMar>
              <w:top w:w="55" w:type="dxa"/>
              <w:left w:w="90" w:type="dxa"/>
              <w:bottom w:w="55" w:type="dxa"/>
              <w:right w:w="90" w:type="dxa"/>
            </w:tcMar>
          </w:tcPr>
          <w:p w14:paraId="4BF354FD">
            <w:pPr>
              <w:spacing w:after="0" w:line="240" w:lineRule="auto"/>
              <w:jc w:val="left"/>
            </w:pPr>
            <w:r>
              <w:rPr>
                <w:sz w:val="20"/>
              </w:rPr>
              <w:t>Approaches such as repair, resale, take back, reuse and recycling that aim to extend product life and reduce reliance on linear production and disposal.</w:t>
            </w:r>
          </w:p>
        </w:tc>
      </w:tr>
      <w:tr w14:paraId="7664A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77782F9C">
            <w:pPr>
              <w:spacing w:after="0" w:line="240" w:lineRule="auto"/>
              <w:jc w:val="left"/>
            </w:pPr>
            <w:r>
              <w:rPr>
                <w:b/>
                <w:sz w:val="20"/>
              </w:rPr>
              <w:t>Claim evidence alignment</w:t>
            </w:r>
          </w:p>
        </w:tc>
        <w:tc>
          <w:tcPr>
            <w:tcW w:w="6120" w:type="dxa"/>
            <w:tcMar>
              <w:top w:w="55" w:type="dxa"/>
              <w:left w:w="90" w:type="dxa"/>
              <w:bottom w:w="55" w:type="dxa"/>
              <w:right w:w="90" w:type="dxa"/>
            </w:tcMar>
          </w:tcPr>
          <w:p w14:paraId="58C771C6">
            <w:pPr>
              <w:spacing w:after="0" w:line="240" w:lineRule="auto"/>
              <w:jc w:val="left"/>
            </w:pPr>
            <w:r>
              <w:rPr>
                <w:sz w:val="20"/>
              </w:rPr>
              <w:t>The degree to which the scope and level of a sustainability claim match the evidence offered to support it.</w:t>
            </w:r>
          </w:p>
        </w:tc>
      </w:tr>
      <w:tr w14:paraId="107DC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0F6A32AF">
            <w:pPr>
              <w:spacing w:after="0" w:line="240" w:lineRule="auto"/>
              <w:jc w:val="left"/>
            </w:pPr>
            <w:r>
              <w:rPr>
                <w:b/>
                <w:sz w:val="20"/>
              </w:rPr>
              <w:t>Credibility</w:t>
            </w:r>
          </w:p>
        </w:tc>
        <w:tc>
          <w:tcPr>
            <w:tcW w:w="6120" w:type="dxa"/>
            <w:tcMar>
              <w:top w:w="55" w:type="dxa"/>
              <w:left w:w="90" w:type="dxa"/>
              <w:bottom w:w="55" w:type="dxa"/>
              <w:right w:w="90" w:type="dxa"/>
            </w:tcMar>
          </w:tcPr>
          <w:p w14:paraId="7827232F">
            <w:pPr>
              <w:spacing w:after="0" w:line="240" w:lineRule="auto"/>
              <w:jc w:val="left"/>
            </w:pPr>
            <w:r>
              <w:rPr>
                <w:sz w:val="20"/>
              </w:rPr>
              <w:t>The perceived trustworthiness of sustainability communication based on specificity, verification, transparency, appropriate scope and consistency with practice.</w:t>
            </w:r>
          </w:p>
        </w:tc>
      </w:tr>
      <w:tr w14:paraId="446CA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44CC415E">
            <w:pPr>
              <w:spacing w:after="0" w:line="240" w:lineRule="auto"/>
              <w:jc w:val="left"/>
            </w:pPr>
            <w:r>
              <w:rPr>
                <w:b/>
                <w:sz w:val="20"/>
              </w:rPr>
              <w:t>Customer Based Brand Equity</w:t>
            </w:r>
          </w:p>
        </w:tc>
        <w:tc>
          <w:tcPr>
            <w:tcW w:w="6120" w:type="dxa"/>
            <w:tcMar>
              <w:top w:w="55" w:type="dxa"/>
              <w:left w:w="90" w:type="dxa"/>
              <w:bottom w:w="55" w:type="dxa"/>
              <w:right w:w="90" w:type="dxa"/>
            </w:tcMar>
          </w:tcPr>
          <w:p w14:paraId="6AF497B3">
            <w:pPr>
              <w:spacing w:after="0" w:line="240" w:lineRule="auto"/>
              <w:jc w:val="left"/>
            </w:pPr>
            <w:r>
              <w:rPr>
                <w:sz w:val="20"/>
              </w:rPr>
              <w:t>A perspective in which brand value is shaped by the strength, favourability and distinctiveness of associations held by customers.</w:t>
            </w:r>
          </w:p>
        </w:tc>
      </w:tr>
      <w:tr w14:paraId="4EF3E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17062EF6">
            <w:pPr>
              <w:spacing w:after="0" w:line="240" w:lineRule="auto"/>
              <w:jc w:val="left"/>
            </w:pPr>
            <w:r>
              <w:rPr>
                <w:b/>
                <w:sz w:val="20"/>
              </w:rPr>
              <w:t>Customer trust</w:t>
            </w:r>
          </w:p>
        </w:tc>
        <w:tc>
          <w:tcPr>
            <w:tcW w:w="6120" w:type="dxa"/>
            <w:tcMar>
              <w:top w:w="55" w:type="dxa"/>
              <w:left w:w="90" w:type="dxa"/>
              <w:bottom w:w="55" w:type="dxa"/>
              <w:right w:w="90" w:type="dxa"/>
            </w:tcMar>
          </w:tcPr>
          <w:p w14:paraId="63445168">
            <w:pPr>
              <w:spacing w:after="0" w:line="240" w:lineRule="auto"/>
              <w:jc w:val="left"/>
            </w:pPr>
            <w:r>
              <w:rPr>
                <w:sz w:val="20"/>
              </w:rPr>
              <w:t>A judgement that a brand is honest, reliable and able to support the claims it communicates.</w:t>
            </w:r>
          </w:p>
        </w:tc>
      </w:tr>
      <w:tr w14:paraId="5129A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7EADF70C">
            <w:pPr>
              <w:spacing w:after="0" w:line="240" w:lineRule="auto"/>
              <w:jc w:val="left"/>
            </w:pPr>
            <w:r>
              <w:rPr>
                <w:b/>
                <w:sz w:val="20"/>
              </w:rPr>
              <w:t>Documentary analysis</w:t>
            </w:r>
          </w:p>
        </w:tc>
        <w:tc>
          <w:tcPr>
            <w:tcW w:w="6120" w:type="dxa"/>
            <w:tcMar>
              <w:top w:w="55" w:type="dxa"/>
              <w:left w:w="90" w:type="dxa"/>
              <w:bottom w:w="55" w:type="dxa"/>
              <w:right w:w="90" w:type="dxa"/>
            </w:tcMar>
          </w:tcPr>
          <w:p w14:paraId="72EB8A68">
            <w:pPr>
              <w:spacing w:after="0" w:line="240" w:lineRule="auto"/>
              <w:jc w:val="left"/>
            </w:pPr>
            <w:r>
              <w:rPr>
                <w:sz w:val="20"/>
              </w:rPr>
              <w:t>Systematic analysis of existing documents and public records rather than data collected directly from research participants.</w:t>
            </w:r>
          </w:p>
        </w:tc>
      </w:tr>
      <w:tr w14:paraId="5D9B9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46BDE4BA">
            <w:pPr>
              <w:spacing w:after="0" w:line="240" w:lineRule="auto"/>
              <w:jc w:val="left"/>
            </w:pPr>
            <w:r>
              <w:rPr>
                <w:b/>
                <w:sz w:val="20"/>
              </w:rPr>
              <w:t>Evidence hierarchy</w:t>
            </w:r>
          </w:p>
        </w:tc>
        <w:tc>
          <w:tcPr>
            <w:tcW w:w="6120" w:type="dxa"/>
            <w:tcMar>
              <w:top w:w="55" w:type="dxa"/>
              <w:left w:w="90" w:type="dxa"/>
              <w:bottom w:w="55" w:type="dxa"/>
              <w:right w:w="90" w:type="dxa"/>
            </w:tcMar>
          </w:tcPr>
          <w:p w14:paraId="7DFC92E0">
            <w:pPr>
              <w:spacing w:after="0" w:line="240" w:lineRule="auto"/>
              <w:jc w:val="left"/>
            </w:pPr>
            <w:r>
              <w:rPr>
                <w:sz w:val="20"/>
              </w:rPr>
              <w:t>A rule for weighting sources according to the proposition being assessed, recognising that different sources are authoritative for different questions.</w:t>
            </w:r>
          </w:p>
        </w:tc>
      </w:tr>
      <w:tr w14:paraId="242CD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35F14B69">
            <w:pPr>
              <w:spacing w:after="0" w:line="240" w:lineRule="auto"/>
              <w:jc w:val="left"/>
            </w:pPr>
            <w:r>
              <w:rPr>
                <w:b/>
                <w:sz w:val="20"/>
              </w:rPr>
              <w:t>External scrutiny</w:t>
            </w:r>
          </w:p>
        </w:tc>
        <w:tc>
          <w:tcPr>
            <w:tcW w:w="6120" w:type="dxa"/>
            <w:tcMar>
              <w:top w:w="55" w:type="dxa"/>
              <w:left w:w="90" w:type="dxa"/>
              <w:bottom w:w="55" w:type="dxa"/>
              <w:right w:w="90" w:type="dxa"/>
            </w:tcMar>
          </w:tcPr>
          <w:p w14:paraId="04E6C554">
            <w:pPr>
              <w:spacing w:after="0" w:line="240" w:lineRule="auto"/>
              <w:jc w:val="left"/>
            </w:pPr>
            <w:r>
              <w:rPr>
                <w:sz w:val="20"/>
              </w:rPr>
              <w:t>Evaluation or challenge from regulators, NGOs, media, industry bodies or other stakeholders outside the retailer.</w:t>
            </w:r>
          </w:p>
        </w:tc>
      </w:tr>
      <w:tr w14:paraId="54A9C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66D75F95">
            <w:pPr>
              <w:spacing w:after="0" w:line="240" w:lineRule="auto"/>
              <w:jc w:val="left"/>
            </w:pPr>
            <w:r>
              <w:rPr>
                <w:b/>
                <w:sz w:val="20"/>
              </w:rPr>
              <w:t>Fast fashion</w:t>
            </w:r>
          </w:p>
        </w:tc>
        <w:tc>
          <w:tcPr>
            <w:tcW w:w="6120" w:type="dxa"/>
            <w:tcMar>
              <w:top w:w="55" w:type="dxa"/>
              <w:left w:w="90" w:type="dxa"/>
              <w:bottom w:w="55" w:type="dxa"/>
              <w:right w:w="90" w:type="dxa"/>
            </w:tcMar>
          </w:tcPr>
          <w:p w14:paraId="6F7ACA24">
            <w:pPr>
              <w:spacing w:after="0" w:line="240" w:lineRule="auto"/>
              <w:jc w:val="left"/>
            </w:pPr>
            <w:r>
              <w:rPr>
                <w:sz w:val="20"/>
              </w:rPr>
              <w:t>A high volume retail model characterised by rapid trend turnover, short product cycles, accessible prices and frequent newness.</w:t>
            </w:r>
          </w:p>
        </w:tc>
      </w:tr>
      <w:tr w14:paraId="0ECD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0F4392DC">
            <w:pPr>
              <w:spacing w:after="0" w:line="240" w:lineRule="auto"/>
              <w:jc w:val="left"/>
            </w:pPr>
            <w:r>
              <w:rPr>
                <w:b/>
                <w:sz w:val="20"/>
              </w:rPr>
              <w:t>Greenwashing</w:t>
            </w:r>
          </w:p>
        </w:tc>
        <w:tc>
          <w:tcPr>
            <w:tcW w:w="6120" w:type="dxa"/>
            <w:tcMar>
              <w:top w:w="55" w:type="dxa"/>
              <w:left w:w="90" w:type="dxa"/>
              <w:bottom w:w="55" w:type="dxa"/>
              <w:right w:w="90" w:type="dxa"/>
            </w:tcMar>
          </w:tcPr>
          <w:p w14:paraId="2E65B493">
            <w:pPr>
              <w:spacing w:after="0" w:line="240" w:lineRule="auto"/>
              <w:jc w:val="left"/>
            </w:pPr>
            <w:r>
              <w:rPr>
                <w:sz w:val="20"/>
              </w:rPr>
              <w:t>Environmental communication that is false, exaggerated, vague, selective or capable of creating a broader positive impression than the supporting evidence justifies.</w:t>
            </w:r>
          </w:p>
        </w:tc>
      </w:tr>
      <w:tr w14:paraId="14302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72AFBB29">
            <w:pPr>
              <w:spacing w:after="0" w:line="240" w:lineRule="auto"/>
              <w:jc w:val="left"/>
            </w:pPr>
            <w:r>
              <w:rPr>
                <w:b/>
                <w:sz w:val="20"/>
              </w:rPr>
              <w:t>Legitimacy theory</w:t>
            </w:r>
          </w:p>
        </w:tc>
        <w:tc>
          <w:tcPr>
            <w:tcW w:w="6120" w:type="dxa"/>
            <w:tcMar>
              <w:top w:w="55" w:type="dxa"/>
              <w:left w:w="90" w:type="dxa"/>
              <w:bottom w:w="55" w:type="dxa"/>
              <w:right w:w="90" w:type="dxa"/>
            </w:tcMar>
          </w:tcPr>
          <w:p w14:paraId="5AAC045C">
            <w:pPr>
              <w:spacing w:after="0" w:line="240" w:lineRule="auto"/>
              <w:jc w:val="left"/>
            </w:pPr>
            <w:r>
              <w:rPr>
                <w:sz w:val="20"/>
              </w:rPr>
              <w:t>A theory explaining how organisations seek continued acceptance by aligning their communication and conduct with social and institutional expectations.</w:t>
            </w:r>
          </w:p>
        </w:tc>
      </w:tr>
      <w:tr w14:paraId="5DE26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17ADCC56">
            <w:pPr>
              <w:spacing w:after="0" w:line="240" w:lineRule="auto"/>
              <w:jc w:val="left"/>
            </w:pPr>
            <w:r>
              <w:rPr>
                <w:b/>
                <w:sz w:val="20"/>
              </w:rPr>
              <w:t>Operational congruence</w:t>
            </w:r>
          </w:p>
        </w:tc>
        <w:tc>
          <w:tcPr>
            <w:tcW w:w="6120" w:type="dxa"/>
            <w:tcMar>
              <w:top w:w="55" w:type="dxa"/>
              <w:left w:w="90" w:type="dxa"/>
              <w:bottom w:w="55" w:type="dxa"/>
              <w:right w:w="90" w:type="dxa"/>
            </w:tcMar>
          </w:tcPr>
          <w:p w14:paraId="0184C767">
            <w:pPr>
              <w:spacing w:after="0" w:line="240" w:lineRule="auto"/>
              <w:jc w:val="left"/>
            </w:pPr>
            <w:r>
              <w:rPr>
                <w:sz w:val="20"/>
              </w:rPr>
              <w:t>Consistency between environmental claims or targets and the organisation’s observable implementation, performance and business practices.</w:t>
            </w:r>
          </w:p>
        </w:tc>
      </w:tr>
      <w:tr w14:paraId="5BB23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5228E12A">
            <w:pPr>
              <w:spacing w:after="0" w:line="240" w:lineRule="auto"/>
              <w:jc w:val="left"/>
            </w:pPr>
            <w:r>
              <w:rPr>
                <w:b/>
                <w:sz w:val="20"/>
              </w:rPr>
              <w:t>Reflexive thematic analysis</w:t>
            </w:r>
          </w:p>
        </w:tc>
        <w:tc>
          <w:tcPr>
            <w:tcW w:w="6120" w:type="dxa"/>
            <w:tcMar>
              <w:top w:w="55" w:type="dxa"/>
              <w:left w:w="90" w:type="dxa"/>
              <w:bottom w:w="55" w:type="dxa"/>
              <w:right w:w="90" w:type="dxa"/>
            </w:tcMar>
          </w:tcPr>
          <w:p w14:paraId="0552FCA0">
            <w:pPr>
              <w:spacing w:after="0" w:line="240" w:lineRule="auto"/>
              <w:jc w:val="left"/>
            </w:pPr>
            <w:r>
              <w:rPr>
                <w:sz w:val="20"/>
              </w:rPr>
              <w:t>An interpretive method for developing patterns of meaning across qualitative material while recognising the researcher’s role in analytical decisions.</w:t>
            </w:r>
          </w:p>
        </w:tc>
      </w:tr>
      <w:tr w14:paraId="2400C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5FD9F4CC">
            <w:pPr>
              <w:spacing w:after="0" w:line="240" w:lineRule="auto"/>
              <w:jc w:val="left"/>
            </w:pPr>
            <w:r>
              <w:rPr>
                <w:b/>
                <w:sz w:val="20"/>
              </w:rPr>
              <w:t>Signalling theory</w:t>
            </w:r>
          </w:p>
        </w:tc>
        <w:tc>
          <w:tcPr>
            <w:tcW w:w="6120" w:type="dxa"/>
            <w:tcMar>
              <w:top w:w="55" w:type="dxa"/>
              <w:left w:w="90" w:type="dxa"/>
              <w:bottom w:w="55" w:type="dxa"/>
              <w:right w:w="90" w:type="dxa"/>
            </w:tcMar>
          </w:tcPr>
          <w:p w14:paraId="479115DE">
            <w:pPr>
              <w:spacing w:after="0" w:line="240" w:lineRule="auto"/>
              <w:jc w:val="left"/>
            </w:pPr>
            <w:r>
              <w:rPr>
                <w:sz w:val="20"/>
              </w:rPr>
              <w:t>A theory explaining how specific, observable and verifiable signals can reduce information asymmetry between an organisation and stakeholders.</w:t>
            </w:r>
          </w:p>
        </w:tc>
      </w:tr>
      <w:tr w14:paraId="36AF8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4C882707">
            <w:pPr>
              <w:spacing w:after="0" w:line="240" w:lineRule="auto"/>
              <w:jc w:val="left"/>
            </w:pPr>
            <w:r>
              <w:rPr>
                <w:b/>
                <w:sz w:val="20"/>
              </w:rPr>
              <w:t>Sustainable marketing</w:t>
            </w:r>
          </w:p>
        </w:tc>
        <w:tc>
          <w:tcPr>
            <w:tcW w:w="6120" w:type="dxa"/>
            <w:tcMar>
              <w:top w:w="55" w:type="dxa"/>
              <w:left w:w="90" w:type="dxa"/>
              <w:bottom w:w="55" w:type="dxa"/>
              <w:right w:w="90" w:type="dxa"/>
            </w:tcMar>
          </w:tcPr>
          <w:p w14:paraId="1E4E235E">
            <w:pPr>
              <w:spacing w:after="0" w:line="240" w:lineRule="auto"/>
              <w:jc w:val="left"/>
            </w:pPr>
            <w:r>
              <w:rPr>
                <w:sz w:val="20"/>
              </w:rPr>
              <w:t>Claims and actions communicating lower environmental impact through areas such as materials, sourcing, production, product use, circularity and garment life.</w:t>
            </w:r>
          </w:p>
        </w:tc>
      </w:tr>
      <w:tr w14:paraId="0B18D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9" w:type="dxa"/>
            <w:tcMar>
              <w:top w:w="55" w:type="dxa"/>
              <w:left w:w="90" w:type="dxa"/>
              <w:bottom w:w="55" w:type="dxa"/>
              <w:right w:w="90" w:type="dxa"/>
            </w:tcMar>
          </w:tcPr>
          <w:p w14:paraId="0816D295">
            <w:pPr>
              <w:spacing w:after="0" w:line="240" w:lineRule="auto"/>
              <w:jc w:val="left"/>
            </w:pPr>
            <w:r>
              <w:rPr>
                <w:b/>
                <w:sz w:val="20"/>
              </w:rPr>
              <w:t>Triangulation</w:t>
            </w:r>
          </w:p>
        </w:tc>
        <w:tc>
          <w:tcPr>
            <w:tcW w:w="6120" w:type="dxa"/>
            <w:tcMar>
              <w:top w:w="55" w:type="dxa"/>
              <w:left w:w="90" w:type="dxa"/>
              <w:bottom w:w="55" w:type="dxa"/>
              <w:right w:w="90" w:type="dxa"/>
            </w:tcMar>
          </w:tcPr>
          <w:p w14:paraId="6E99532D">
            <w:pPr>
              <w:spacing w:after="0" w:line="240" w:lineRule="auto"/>
              <w:jc w:val="left"/>
            </w:pPr>
            <w:r>
              <w:rPr>
                <w:sz w:val="20"/>
              </w:rPr>
              <w:t>Comparison of multiple evidence sources to examine convergence, complementarity, contradiction and limits in interpretation.</w:t>
            </w:r>
          </w:p>
        </w:tc>
      </w:tr>
    </w:tbl>
    <w:p w14:paraId="7DC66524">
      <w:r>
        <w:br w:type="page"/>
      </w:r>
    </w:p>
    <w:p w14:paraId="45ABA05F">
      <w:pPr>
        <w:pStyle w:val="2"/>
      </w:pPr>
      <w:bookmarkStart w:id="6" w:name="_Toc240757327"/>
      <w:r>
        <w:t>Chapter 1: Introduction And Rationale</w:t>
      </w:r>
      <w:bookmarkEnd w:id="6"/>
    </w:p>
    <w:p w14:paraId="64343693">
      <w:pPr>
        <w:pStyle w:val="3"/>
        <w:rPr>
          <w:rFonts w:cs="Times New Roman"/>
        </w:rPr>
      </w:pPr>
      <w:bookmarkStart w:id="7" w:name="_Toc240757328"/>
      <w:r>
        <w:rPr>
          <w:rFonts w:cs="Times New Roman"/>
        </w:rPr>
        <w:t>1.1 Research Background</w:t>
      </w:r>
      <w:bookmarkEnd w:id="7"/>
    </w:p>
    <w:p w14:paraId="421E8BFB">
      <w:pPr>
        <w:rPr>
          <w:lang w:val="zh-CN"/>
        </w:rPr>
      </w:pPr>
      <w:r>
        <w:rPr>
          <w:lang w:val="zh-CN"/>
        </w:rPr>
        <w:t xml:space="preserve">Low prices, fast trend copying and recycling, and quick </w:t>
      </w:r>
      <w:r>
        <w:rPr>
          <w:lang w:val="en-US"/>
        </w:rPr>
        <w:t xml:space="preserve">digital </w:t>
      </w:r>
      <w:r>
        <w:rPr>
          <w:lang w:val="zh-CN"/>
        </w:rPr>
        <w:t>delivery and distribution channels are just a few of the elements that have made fast fashion in clothing retail. This model, however, exacerbates the use of materials, waste, pollution and challenge</w:t>
      </w:r>
      <w:r>
        <w:rPr>
          <w:lang w:val="en-US"/>
        </w:rPr>
        <w:t>s</w:t>
      </w:r>
      <w:r>
        <w:rPr>
          <w:lang w:val="zh-CN"/>
        </w:rPr>
        <w:t xml:space="preserve"> to workplace conditions. The UK's total consumer sales of textiles in 2022 were around 1.42 million tonnes (WRAP, 2024). 711,000 tonnes of used textiles were ingested into the general waste stream, revealing the environmental challenge (WRAP, 2024). Sustainability is now a part of strategy and a ticket for competing, too.</w:t>
      </w:r>
    </w:p>
    <w:p w14:paraId="28ECE936">
      <w:pPr>
        <w:rPr>
          <w:lang w:val="zh-CN"/>
        </w:rPr>
      </w:pPr>
      <w:r>
        <w:rPr>
          <w:lang w:val="zh-CN"/>
        </w:rPr>
        <w:t>More and more retailers are engaging with the methods of communicating about recycled materials, responsible sourcing, take-back schemes, eco-labelled collections and circularity targets (Kim and Oh, 2020</w:t>
      </w:r>
      <w:r>
        <w:rPr>
          <w:lang w:val="en-US"/>
        </w:rPr>
        <w:t>)</w:t>
      </w:r>
      <w:r>
        <w:rPr>
          <w:lang w:val="zh-CN"/>
        </w:rPr>
        <w:t>. This marketing can enhance responsibility associations, but its effectiveness depends on the specificity of claims</w:t>
      </w:r>
      <w:r>
        <w:rPr>
          <w:lang w:val="en-US"/>
        </w:rPr>
        <w:t>.</w:t>
      </w:r>
      <w:r>
        <w:rPr>
          <w:lang w:val="zh-CN"/>
        </w:rPr>
        <w:t xml:space="preserve"> </w:t>
      </w:r>
      <w:r>
        <w:rPr>
          <w:lang w:val="en-US"/>
        </w:rPr>
        <w:t>A</w:t>
      </w:r>
      <w:r>
        <w:rPr>
          <w:lang w:val="zh-CN"/>
        </w:rPr>
        <w:t>nd transparency/supported organisational practice. What is missing is acute: environmental promises and business models geared towards volume and faster consumption (Adamkiewicz et al., 2022</w:t>
      </w:r>
      <w:r>
        <w:rPr>
          <w:lang w:val="en-US"/>
        </w:rPr>
        <w:t>)</w:t>
      </w:r>
      <w:r>
        <w:rPr>
          <w:lang w:val="zh-CN"/>
        </w:rPr>
        <w:t>.</w:t>
      </w:r>
    </w:p>
    <w:p w14:paraId="23BB8BF8">
      <w:pPr>
        <w:rPr>
          <w:lang w:val="zh-CN"/>
        </w:rPr>
      </w:pPr>
      <w:r>
        <w:rPr>
          <w:lang w:val="zh-CN"/>
        </w:rPr>
        <w:t>The topic is relevant and timely – regulatory requirements are becoming more stringent. In 2024, the CMA obtained undertakings from ASOS and Boohoo regarding their environmental claims, and according to their findings, 40% of green claims online may be misleading (CMA, 2024</w:t>
      </w:r>
      <w:r>
        <w:rPr>
          <w:lang w:val="en-US"/>
        </w:rPr>
        <w:t>)</w:t>
      </w:r>
      <w:r>
        <w:rPr>
          <w:lang w:val="zh-CN"/>
        </w:rPr>
        <w:t xml:space="preserve">. 87% of fashion executives surveyed said sustainability regulation will impact their businesses, McKinsey determined </w:t>
      </w:r>
      <w:r>
        <w:rPr>
          <w:lang w:val="en-US"/>
        </w:rPr>
        <w:t>(Janmark </w:t>
      </w:r>
      <w:r>
        <w:rPr>
          <w:i/>
          <w:iCs/>
          <w:lang w:val="en-US"/>
        </w:rPr>
        <w:t>et al.</w:t>
      </w:r>
      <w:r>
        <w:rPr>
          <w:lang w:val="en-US"/>
        </w:rPr>
        <w:t>, 2024)</w:t>
      </w:r>
      <w:r>
        <w:rPr>
          <w:lang w:val="zh-CN"/>
        </w:rPr>
        <w:t>. However, the relationship between brand communication and independent criticism in the creation of the brand image in retailers is not well understood in a UK market context</w:t>
      </w:r>
      <w:r>
        <w:rPr>
          <w:lang w:val="en-US"/>
        </w:rPr>
        <w:t>.</w:t>
      </w:r>
    </w:p>
    <w:p w14:paraId="6CF56A47">
      <w:pPr>
        <w:pStyle w:val="3"/>
        <w:rPr>
          <w:rFonts w:cs="Times New Roman"/>
        </w:rPr>
      </w:pPr>
      <w:bookmarkStart w:id="8" w:name="_Toc240757329"/>
      <w:r>
        <w:rPr>
          <w:rFonts w:cs="Times New Roman"/>
        </w:rPr>
        <w:t>1.2 Research Rationale</w:t>
      </w:r>
      <w:bookmarkEnd w:id="8"/>
    </w:p>
    <w:p w14:paraId="1DFB270C">
      <w:pPr>
        <w:pStyle w:val="4"/>
        <w:rPr>
          <w:rFonts w:cs="Times New Roman"/>
        </w:rPr>
      </w:pPr>
      <w:bookmarkStart w:id="9" w:name="_Toc240757330"/>
      <w:r>
        <w:rPr>
          <w:rFonts w:cs="Times New Roman"/>
        </w:rPr>
        <w:t>1.2.1 Theoretical Justification</w:t>
      </w:r>
      <w:bookmarkEnd w:id="9"/>
    </w:p>
    <w:p w14:paraId="4715B793">
      <w:pPr>
        <w:rPr>
          <w:lang w:val="zh-CN"/>
        </w:rPr>
      </w:pPr>
      <w:r>
        <w:rPr>
          <w:lang w:val="zh-CN"/>
        </w:rPr>
        <w:t>Sustainable marketing, according to research, is communicating and delivering environmental, social and economic value. For Fashion, this means eco-labelling, ethical sourcing, recycling, less packaging and circulari</w:t>
      </w:r>
      <w:r>
        <w:rPr>
          <w:lang w:val="en-US"/>
        </w:rPr>
        <w:t>s</w:t>
      </w:r>
      <w:r>
        <w:rPr>
          <w:lang w:val="zh-CN"/>
        </w:rPr>
        <w:t>ation (Majeed et al., 2022</w:t>
      </w:r>
      <w:r>
        <w:rPr>
          <w:lang w:val="en-US"/>
        </w:rPr>
        <w:t>)</w:t>
      </w:r>
      <w:r>
        <w:rPr>
          <w:lang w:val="zh-CN"/>
        </w:rPr>
        <w:t>. Authentic Sustainability Action can bolster brand, trust, satisfaction and loyalty, through the demonstration of responsibility. Brand image is related to associations, trust is about honesty and reliability, and reputation is about evaluation of stakeholders in the longer term (Jung et al., 2020</w:t>
      </w:r>
      <w:r>
        <w:rPr>
          <w:lang w:val="en-US"/>
        </w:rPr>
        <w:t>)</w:t>
      </w:r>
      <w:r>
        <w:rPr>
          <w:lang w:val="zh-CN"/>
        </w:rPr>
        <w:t>. Thus, clarity, evidence and congruence of communication and action impact brand associations.</w:t>
      </w:r>
    </w:p>
    <w:p w14:paraId="27304F6E">
      <w:pPr>
        <w:rPr>
          <w:lang w:val="zh-CN"/>
        </w:rPr>
      </w:pPr>
      <w:r>
        <w:rPr>
          <w:lang w:val="zh-CN"/>
        </w:rPr>
        <w:t>Ambiguities remain. While this can often be discovered in surveys, purchase intentions or through stand-alone campaigns, there have only been a few examples of corporate stories compared to outside retailers' evaluation of relationships (Kim and Oh, 2020; Neumann et al., 2021). Findings are conditional. While the use of eco-friendly terms could reinforce consumer brand associations, vague or selective, or exaggerated communication could lead to scepticism and a loss of trust (Olson, 2022</w:t>
      </w:r>
      <w:r>
        <w:rPr>
          <w:lang w:val="en-US"/>
        </w:rPr>
        <w:t>)</w:t>
      </w:r>
      <w:r>
        <w:rPr>
          <w:lang w:val="zh-CN"/>
        </w:rPr>
        <w:t>. Learning from general fashion and hospitality or non-UK environments may not readily translate to fast fashion environments</w:t>
      </w:r>
      <w:r>
        <w:rPr>
          <w:lang w:val="en-US"/>
        </w:rPr>
        <w:t>,</w:t>
      </w:r>
      <w:r>
        <w:rPr>
          <w:lang w:val="zh-CN"/>
        </w:rPr>
        <w:t xml:space="preserve"> as rapid production, speed and price are a challenge to incremental environmental gains. However, due to these differences, the connection between claims, criticism and brand image is still disputed.</w:t>
      </w:r>
    </w:p>
    <w:p w14:paraId="0363FE50">
      <w:pPr>
        <w:rPr>
          <w:lang w:val="zh-CN"/>
        </w:rPr>
      </w:pPr>
      <w:r>
        <w:rPr>
          <w:lang w:val="zh-CN"/>
        </w:rPr>
        <w:t>The third gap is theoretical</w:t>
      </w:r>
      <w:r>
        <w:rPr>
          <w:lang w:val="en-US"/>
        </w:rPr>
        <w:t>,</w:t>
      </w:r>
      <w:r>
        <w:rPr>
          <w:lang w:val="zh-CN"/>
        </w:rPr>
        <w:t xml:space="preserve"> and it focuses on the lack of understanding. It is in comparison to how sustainable marketing is presented in brand documents. And assessed through the media, NGO and industry sources in the UK for fast fashion (Papasolomou et al., 2023; Garcia-Ortega et al., 2023). The literature often distinguishes between the positive nature of the impact of a claim over the brand and the criticism of greenwashing, failing to sufficiently explain how, for different types of business models, this consistency between the claim and the evidence can determine credibility (Ray and Nayak, 2023</w:t>
      </w:r>
      <w:r>
        <w:rPr>
          <w:lang w:val="en-US"/>
        </w:rPr>
        <w:t>)</w:t>
      </w:r>
      <w:r>
        <w:rPr>
          <w:lang w:val="zh-CN"/>
        </w:rPr>
        <w:t>. Making declarations and public statements on 'sustainable communication automatically good' ignores transparency, substantiation and operational consistency. Thus, multi-case comparison can provide insight into when sustainable marketing may enhance brand image or be detrimental</w:t>
      </w:r>
      <w:r>
        <w:rPr>
          <w:lang w:val="en-US"/>
        </w:rPr>
        <w:t>.</w:t>
      </w:r>
    </w:p>
    <w:p w14:paraId="2E200440">
      <w:pPr>
        <w:pStyle w:val="4"/>
        <w:rPr>
          <w:rFonts w:cs="Times New Roman"/>
        </w:rPr>
      </w:pPr>
      <w:bookmarkStart w:id="10" w:name="_Toc240757331"/>
      <w:r>
        <w:rPr>
          <w:rFonts w:cs="Times New Roman"/>
        </w:rPr>
        <w:t>1.2.2 Practical Justification</w:t>
      </w:r>
      <w:bookmarkEnd w:id="10"/>
    </w:p>
    <w:p w14:paraId="1D3CB338">
      <w:pPr>
        <w:rPr>
          <w:lang w:val="zh-CN"/>
        </w:rPr>
      </w:pPr>
      <w:r>
        <w:rPr>
          <w:lang w:val="zh-CN"/>
        </w:rPr>
        <w:t>This leak exists at the retail, regulatory and consumer levels. Marketing departments need to balance communicating progress toward the environment and not simplifying supply chains or setting out unsustainable messages that evidence cannot back up (Cho, Ko and Borenstein, 2024). Failure can lead to interventions, reputational harm and scepticism</w:t>
      </w:r>
      <w:r>
        <w:rPr>
          <w:lang w:val="en-US"/>
        </w:rPr>
        <w:t>. T</w:t>
      </w:r>
      <w:r>
        <w:rPr>
          <w:lang w:val="zh-CN"/>
        </w:rPr>
        <w:t>oo much caution can mask effective changes. ASOS, Boohoo and George at Asda continue to collectively earn over £4.4 billion a year from the UK fashion market and their 2024 commitments set industry standards (CMA, 2024).</w:t>
      </w:r>
    </w:p>
    <w:p w14:paraId="3CB43167">
      <w:pPr>
        <w:rPr>
          <w:lang w:val="zh-CN"/>
        </w:rPr>
      </w:pPr>
      <w:r>
        <w:rPr>
          <w:lang w:val="zh-CN"/>
        </w:rPr>
        <w:t>Managers must have information as to what works and what doesn't for credibility and what can lead to concerns of "greenwashing (Policarpo et al., 2023). Analy</w:t>
      </w:r>
      <w:r>
        <w:rPr>
          <w:lang w:val="en-US"/>
        </w:rPr>
        <w:t>s</w:t>
      </w:r>
      <w:r>
        <w:rPr>
          <w:lang w:val="zh-CN"/>
        </w:rPr>
        <w:t>ing the differences between company reports, campaigns and websites may shine a light on ambiguous language, selective disclosure, unspecified targets and disconnect between campaigns and corporate practice. Insights can enhance claim design, evidence disclosure/reputation management and provide policymakers with a greater understanding of the risks of communication (Jia et al., 2023). Left to their own devices, retailers risk losing trust, innovation and investment in what's credible. The information could also help management determine whether the environmental differentiation is legitimate or merely of promotional intent. As a result, make more consistent investment decisions in marketing, sourcing, product development and corporate reporting Ray and Nayak, 2023)</w:t>
      </w:r>
      <w:r>
        <w:rPr>
          <w:lang w:val="en-US"/>
        </w:rPr>
        <w:t>.</w:t>
      </w:r>
    </w:p>
    <w:p w14:paraId="67D80FE3">
      <w:pPr>
        <w:pStyle w:val="3"/>
        <w:rPr>
          <w:rFonts w:cs="Times New Roman"/>
        </w:rPr>
      </w:pPr>
      <w:bookmarkStart w:id="11" w:name="_Toc240757332"/>
      <w:r>
        <w:rPr>
          <w:rFonts w:cs="Times New Roman"/>
        </w:rPr>
        <w:t>1.3 Research Contribution and Motivation</w:t>
      </w:r>
      <w:bookmarkEnd w:id="11"/>
    </w:p>
    <w:p w14:paraId="66E65EA4">
      <w:pPr>
        <w:rPr>
          <w:lang w:val="zh-CN"/>
        </w:rPr>
      </w:pPr>
      <w:r>
        <w:rPr>
          <w:lang w:val="zh-CN"/>
        </w:rPr>
        <w:t>The study will make a theoretical contribution by considering credibility as a condition of the relation between sustainable marketing and brand image, rather than considering it as an automatic positive relation</w:t>
      </w:r>
      <w:r>
        <w:rPr>
          <w:lang w:val="en-US"/>
        </w:rPr>
        <w:t xml:space="preserve"> </w:t>
      </w:r>
      <w:r>
        <w:rPr>
          <w:lang w:val="zh-CN"/>
        </w:rPr>
        <w:t>Ray and Nayak, 2023). It will incorporate greenwashing and research on reputation/ trust in order to give explanations for contrasting evaluations between transparency and aligning with claims. The result is a more critical understanding of sustainable marketing in the framework of a business model with a high turnaround and high volume.</w:t>
      </w:r>
    </w:p>
    <w:p w14:paraId="2EC997FD">
      <w:pPr>
        <w:rPr>
          <w:lang w:val="zh-CN"/>
        </w:rPr>
      </w:pPr>
      <w:r>
        <w:rPr>
          <w:lang w:val="zh-CN"/>
        </w:rPr>
        <w:t>The approach of secondary-data multiple case design allows for a contextually focused examination of ASOS, Boohoo, Primark, H&amp;M and Zara empirically</w:t>
      </w:r>
      <w:r>
        <w:rPr>
          <w:lang w:val="en-US"/>
        </w:rPr>
        <w:t xml:space="preserve"> </w:t>
      </w:r>
      <w:r>
        <w:rPr>
          <w:color w:val="000000"/>
        </w:rPr>
        <w:t>(Boohoo Group plc, 2024b)</w:t>
      </w:r>
      <w:r>
        <w:rPr>
          <w:lang w:val="zh-CN"/>
        </w:rPr>
        <w:t>. Case studies are used to aid the investigation of current practices within organisations and the identification of patterns across the cases (Yin, 2018). Such cross-referencing by way of combined brand- and independent-sources draws out triangulation and reveals convergence, contradiction and case-specific variation. Practically, findings could present criteria for credible communication on sustainability for retailers, and could allow regulators and NGOs to define recurring points of risk</w:t>
      </w:r>
      <w:r>
        <w:rPr>
          <w:lang w:val="en-US"/>
        </w:rPr>
        <w:t xml:space="preserve"> </w:t>
      </w:r>
      <w:r>
        <w:rPr>
          <w:lang w:val="zh-CN"/>
        </w:rPr>
        <w:t>Garcia-Ortega et al., 2023). What differentiates originality would be the macro lens that was used to analy</w:t>
      </w:r>
      <w:r>
        <w:rPr>
          <w:lang w:val="en-US"/>
        </w:rPr>
        <w:t>s</w:t>
      </w:r>
      <w:r>
        <w:rPr>
          <w:lang w:val="zh-CN"/>
        </w:rPr>
        <w:t>e these five important retailers, not consumer intent nor a single campaign.</w:t>
      </w:r>
    </w:p>
    <w:p w14:paraId="06D899A8">
      <w:pPr>
        <w:pStyle w:val="3"/>
        <w:rPr>
          <w:rFonts w:cs="Times New Roman"/>
        </w:rPr>
      </w:pPr>
      <w:bookmarkStart w:id="12" w:name="_Toc240757333"/>
      <w:r>
        <w:rPr>
          <w:rFonts w:cs="Times New Roman"/>
        </w:rPr>
        <w:t>1.4 Research Aim, Objectives and Questions</w:t>
      </w:r>
      <w:bookmarkEnd w:id="12"/>
    </w:p>
    <w:p w14:paraId="3E8B8637">
      <w:pPr>
        <w:pStyle w:val="4"/>
        <w:rPr>
          <w:rFonts w:cs="Times New Roman"/>
        </w:rPr>
      </w:pPr>
      <w:bookmarkStart w:id="13" w:name="_Toc240757334"/>
      <w:r>
        <w:rPr>
          <w:rFonts w:cs="Times New Roman"/>
        </w:rPr>
        <w:t>Research Aim</w:t>
      </w:r>
      <w:bookmarkEnd w:id="13"/>
    </w:p>
    <w:p w14:paraId="09A8D110">
      <w:pPr>
        <w:rPr>
          <w:lang w:val="en-US"/>
        </w:rPr>
      </w:pPr>
      <w:r>
        <w:rPr>
          <w:lang w:val="en-US"/>
        </w:rPr>
        <w:t>To examine how sustainable marketing influences brand image in the UK fast fashion retail industry using secondary data.</w:t>
      </w:r>
    </w:p>
    <w:p w14:paraId="2C690790">
      <w:pPr>
        <w:pStyle w:val="4"/>
        <w:rPr>
          <w:rFonts w:cs="Times New Roman"/>
        </w:rPr>
      </w:pPr>
      <w:bookmarkStart w:id="14" w:name="_Toc240757335"/>
      <w:r>
        <w:rPr>
          <w:rFonts w:cs="Times New Roman"/>
        </w:rPr>
        <w:t>Research Objectives</w:t>
      </w:r>
      <w:bookmarkEnd w:id="14"/>
    </w:p>
    <w:p w14:paraId="5453F45B">
      <w:pPr>
        <w:numPr>
          <w:ilvl w:val="0"/>
          <w:numId w:val="6"/>
        </w:numPr>
        <w:rPr>
          <w:lang w:val="en-US"/>
        </w:rPr>
      </w:pPr>
      <w:r>
        <w:rPr>
          <w:lang w:val="en-US"/>
        </w:rPr>
        <w:t>To identify the main sustainable marketing strategies used by UK fast fashion retail brands.</w:t>
      </w:r>
    </w:p>
    <w:p w14:paraId="33D2271E">
      <w:pPr>
        <w:numPr>
          <w:ilvl w:val="0"/>
          <w:numId w:val="6"/>
        </w:numPr>
        <w:rPr>
          <w:lang w:val="en-US"/>
        </w:rPr>
      </w:pPr>
      <w:r>
        <w:rPr>
          <w:lang w:val="en-US"/>
        </w:rPr>
        <w:t>To analyse how sustainable marketing shapes brand image, customer trust and brand reputation.</w:t>
      </w:r>
    </w:p>
    <w:p w14:paraId="20337E7F">
      <w:pPr>
        <w:numPr>
          <w:ilvl w:val="0"/>
          <w:numId w:val="6"/>
        </w:numPr>
        <w:rPr>
          <w:lang w:val="en-US"/>
        </w:rPr>
      </w:pPr>
      <w:r>
        <w:rPr>
          <w:lang w:val="en-US"/>
        </w:rPr>
        <w:t>To evaluate the challenges and criticisms, including greenwashing, that affect the credibility of sustainable marketing in UK fast fashion.</w:t>
      </w:r>
    </w:p>
    <w:p w14:paraId="72888462">
      <w:pPr>
        <w:pStyle w:val="4"/>
        <w:rPr>
          <w:rFonts w:cs="Times New Roman"/>
        </w:rPr>
      </w:pPr>
      <w:bookmarkStart w:id="15" w:name="_Toc240757336"/>
      <w:r>
        <w:rPr>
          <w:rFonts w:cs="Times New Roman"/>
        </w:rPr>
        <w:t>Research Questions</w:t>
      </w:r>
      <w:bookmarkEnd w:id="15"/>
    </w:p>
    <w:p w14:paraId="7A4B90EB">
      <w:pPr>
        <w:numPr>
          <w:ilvl w:val="0"/>
          <w:numId w:val="6"/>
        </w:numPr>
        <w:rPr>
          <w:lang w:val="en-US"/>
        </w:rPr>
      </w:pPr>
      <w:r>
        <w:rPr>
          <w:lang w:val="en-US"/>
        </w:rPr>
        <w:t>What sustainable marketing strategies are used by UK fast fashion retail brands?</w:t>
      </w:r>
    </w:p>
    <w:p w14:paraId="4003882C">
      <w:pPr>
        <w:numPr>
          <w:ilvl w:val="0"/>
          <w:numId w:val="6"/>
        </w:numPr>
        <w:rPr>
          <w:lang w:val="en-US"/>
        </w:rPr>
      </w:pPr>
      <w:r>
        <w:rPr>
          <w:lang w:val="en-US"/>
        </w:rPr>
        <w:t>How does sustainable marketing influence brand image, customer trust and brand reputation?</w:t>
      </w:r>
    </w:p>
    <w:p w14:paraId="628BE31D">
      <w:pPr>
        <w:numPr>
          <w:ilvl w:val="0"/>
          <w:numId w:val="6"/>
        </w:numPr>
        <w:rPr>
          <w:lang w:val="en-US"/>
        </w:rPr>
      </w:pPr>
      <w:r>
        <w:rPr>
          <w:lang w:val="en-US"/>
        </w:rPr>
        <w:t>How do greenwashing concerns and ethical criticisms affect the credibility of sustainable marketing in UK fast fashion?</w:t>
      </w:r>
    </w:p>
    <w:p w14:paraId="2B94B54A">
      <w:pPr>
        <w:pStyle w:val="3"/>
        <w:rPr>
          <w:rFonts w:cs="Times New Roman"/>
        </w:rPr>
      </w:pPr>
      <w:bookmarkStart w:id="16" w:name="_Toc240757337"/>
      <w:r>
        <w:rPr>
          <w:rFonts w:cs="Times New Roman"/>
        </w:rPr>
        <w:t>1.5 Dissertation Structure</w:t>
      </w:r>
      <w:bookmarkEnd w:id="16"/>
    </w:p>
    <w:tbl>
      <w:tblPr>
        <w:tblStyle w:val="188"/>
        <w:tblW w:w="0" w:type="auto"/>
        <w:tblInd w:w="0" w:type="dxa"/>
        <w:tblLayout w:type="autofit"/>
        <w:tblCellMar>
          <w:top w:w="0" w:type="dxa"/>
          <w:left w:w="108" w:type="dxa"/>
          <w:bottom w:w="0" w:type="dxa"/>
          <w:right w:w="108" w:type="dxa"/>
        </w:tblCellMar>
      </w:tblPr>
      <w:tblGrid>
        <w:gridCol w:w="1614"/>
        <w:gridCol w:w="8034"/>
      </w:tblGrid>
      <w:tr w14:paraId="3102A998">
        <w:tblPrEx>
          <w:tblCellMar>
            <w:top w:w="0" w:type="dxa"/>
            <w:left w:w="108" w:type="dxa"/>
            <w:bottom w:w="0" w:type="dxa"/>
            <w:right w:w="108" w:type="dxa"/>
          </w:tblCellMar>
        </w:tblPrEx>
        <w:tc>
          <w:tcPr>
            <w:tcW w:w="0" w:type="auto"/>
            <w:tcBorders>
              <w:bottom w:val="single" w:color="7E7E7E" w:themeColor="text1" w:themeTint="80" w:sz="4" w:space="0"/>
              <w:right w:val="nil"/>
              <w:insideH w:val="single" w:sz="4" w:space="0"/>
            </w:tcBorders>
            <w:shd w:val="clear" w:color="auto" w:fill="FFFFFF" w:themeFill="background1"/>
          </w:tcPr>
          <w:p w14:paraId="1EA078C0">
            <w:pPr>
              <w:jc w:val="center"/>
              <w:rPr>
                <w:b/>
                <w:bCs/>
                <w:i/>
                <w:iCs/>
              </w:rPr>
            </w:pPr>
            <w:r>
              <w:rPr>
                <w:b/>
                <w:bCs/>
                <w:i/>
                <w:iCs/>
              </w:rPr>
              <w:t>Chapter</w:t>
            </w:r>
          </w:p>
        </w:tc>
        <w:tc>
          <w:tcPr>
            <w:tcW w:w="0" w:type="auto"/>
            <w:tcBorders>
              <w:bottom w:val="single" w:color="7E7E7E" w:themeColor="text1" w:themeTint="80" w:sz="4" w:space="0"/>
              <w:insideH w:val="single" w:sz="4" w:space="0"/>
            </w:tcBorders>
            <w:shd w:val="clear" w:color="auto" w:fill="FFFFFF" w:themeFill="background1"/>
          </w:tcPr>
          <w:p w14:paraId="0D452755">
            <w:pPr>
              <w:jc w:val="center"/>
              <w:rPr>
                <w:b/>
                <w:bCs/>
                <w:i/>
                <w:iCs/>
              </w:rPr>
            </w:pPr>
            <w:r>
              <w:rPr>
                <w:b/>
                <w:bCs/>
                <w:i/>
                <w:iCs/>
              </w:rPr>
              <w:t>Focus</w:t>
            </w:r>
          </w:p>
        </w:tc>
      </w:tr>
      <w:tr w14:paraId="173DE2E8">
        <w:tblPrEx>
          <w:tblCellMar>
            <w:top w:w="0" w:type="dxa"/>
            <w:left w:w="108" w:type="dxa"/>
            <w:bottom w:w="0" w:type="dxa"/>
            <w:right w:w="108" w:type="dxa"/>
          </w:tblCellMar>
        </w:tblPrEx>
        <w:tc>
          <w:tcPr>
            <w:tcW w:w="0" w:type="auto"/>
            <w:tcBorders>
              <w:right w:val="single" w:color="7E7E7E" w:themeColor="text1" w:themeTint="80" w:sz="4" w:space="0"/>
              <w:insideV w:val="single" w:sz="4" w:space="0"/>
            </w:tcBorders>
            <w:shd w:val="clear" w:color="auto" w:fill="FFFFFF" w:themeFill="background1"/>
          </w:tcPr>
          <w:p w14:paraId="4E30EB28">
            <w:pPr>
              <w:rPr>
                <w:i/>
                <w:iCs/>
              </w:rPr>
            </w:pPr>
            <w:r>
              <w:rPr>
                <w:i/>
                <w:iCs/>
              </w:rPr>
              <w:t>Chapter One</w:t>
            </w:r>
          </w:p>
        </w:tc>
        <w:tc>
          <w:tcPr>
            <w:tcW w:w="0" w:type="auto"/>
            <w:shd w:val="clear" w:color="auto" w:fill="F1F1F1" w:themeFill="background1" w:themeFillShade="F2"/>
          </w:tcPr>
          <w:p w14:paraId="45BA4D8D">
            <w:r>
              <w:t>Research background, rationale, contributions, aim, objectives and questions</w:t>
            </w:r>
          </w:p>
        </w:tc>
      </w:tr>
      <w:tr w14:paraId="26FBC17B">
        <w:tblPrEx>
          <w:tblCellMar>
            <w:top w:w="0" w:type="dxa"/>
            <w:left w:w="108" w:type="dxa"/>
            <w:bottom w:w="0" w:type="dxa"/>
            <w:right w:w="108" w:type="dxa"/>
          </w:tblCellMar>
        </w:tblPrEx>
        <w:tc>
          <w:tcPr>
            <w:tcW w:w="0" w:type="auto"/>
            <w:tcBorders>
              <w:right w:val="single" w:color="7E7E7E" w:themeColor="text1" w:themeTint="80" w:sz="4" w:space="0"/>
              <w:insideV w:val="single" w:sz="4" w:space="0"/>
            </w:tcBorders>
            <w:shd w:val="clear" w:color="auto" w:fill="FFFFFF" w:themeFill="background1"/>
          </w:tcPr>
          <w:p w14:paraId="3C36991A">
            <w:pPr>
              <w:rPr>
                <w:i/>
                <w:iCs/>
              </w:rPr>
            </w:pPr>
            <w:r>
              <w:rPr>
                <w:i/>
                <w:iCs/>
              </w:rPr>
              <w:t>Chapter Two</w:t>
            </w:r>
          </w:p>
        </w:tc>
        <w:tc>
          <w:tcPr>
            <w:tcW w:w="0" w:type="auto"/>
          </w:tcPr>
          <w:p w14:paraId="159C447A">
            <w:r>
              <w:t>Sustainable marketing, brand image, trust, reputation and greenwashing literature</w:t>
            </w:r>
          </w:p>
        </w:tc>
      </w:tr>
      <w:tr w14:paraId="39ECFA70">
        <w:tblPrEx>
          <w:tblCellMar>
            <w:top w:w="0" w:type="dxa"/>
            <w:left w:w="108" w:type="dxa"/>
            <w:bottom w:w="0" w:type="dxa"/>
            <w:right w:w="108" w:type="dxa"/>
          </w:tblCellMar>
        </w:tblPrEx>
        <w:tc>
          <w:tcPr>
            <w:tcW w:w="0" w:type="auto"/>
            <w:tcBorders>
              <w:right w:val="single" w:color="7E7E7E" w:themeColor="text1" w:themeTint="80" w:sz="4" w:space="0"/>
              <w:insideV w:val="single" w:sz="4" w:space="0"/>
            </w:tcBorders>
            <w:shd w:val="clear" w:color="auto" w:fill="FFFFFF" w:themeFill="background1"/>
          </w:tcPr>
          <w:p w14:paraId="233A5843">
            <w:pPr>
              <w:rPr>
                <w:i/>
                <w:iCs/>
              </w:rPr>
            </w:pPr>
            <w:r>
              <w:rPr>
                <w:i/>
                <w:iCs/>
              </w:rPr>
              <w:t>Chapter Three</w:t>
            </w:r>
          </w:p>
        </w:tc>
        <w:tc>
          <w:tcPr>
            <w:tcW w:w="0" w:type="auto"/>
            <w:shd w:val="clear" w:color="auto" w:fill="F1F1F1" w:themeFill="background1" w:themeFillShade="F2"/>
          </w:tcPr>
          <w:p w14:paraId="1058CE3F">
            <w:r>
              <w:t>Research methodology, document selection and thematic analysis</w:t>
            </w:r>
          </w:p>
        </w:tc>
      </w:tr>
      <w:tr w14:paraId="555A179E">
        <w:tblPrEx>
          <w:tblCellMar>
            <w:top w:w="0" w:type="dxa"/>
            <w:left w:w="108" w:type="dxa"/>
            <w:bottom w:w="0" w:type="dxa"/>
            <w:right w:w="108" w:type="dxa"/>
          </w:tblCellMar>
        </w:tblPrEx>
        <w:tc>
          <w:tcPr>
            <w:tcW w:w="0" w:type="auto"/>
            <w:tcBorders>
              <w:right w:val="single" w:color="7E7E7E" w:themeColor="text1" w:themeTint="80" w:sz="4" w:space="0"/>
              <w:insideV w:val="single" w:sz="4" w:space="0"/>
            </w:tcBorders>
            <w:shd w:val="clear" w:color="auto" w:fill="FFFFFF" w:themeFill="background1"/>
          </w:tcPr>
          <w:p w14:paraId="53507354">
            <w:pPr>
              <w:rPr>
                <w:i/>
                <w:iCs/>
              </w:rPr>
            </w:pPr>
            <w:r>
              <w:rPr>
                <w:i/>
                <w:iCs/>
              </w:rPr>
              <w:t>Chapter Four</w:t>
            </w:r>
          </w:p>
        </w:tc>
        <w:tc>
          <w:tcPr>
            <w:tcW w:w="0" w:type="auto"/>
          </w:tcPr>
          <w:p w14:paraId="506532C9">
            <w:r>
              <w:t>Within-case and cross-case findings</w:t>
            </w:r>
          </w:p>
        </w:tc>
      </w:tr>
      <w:tr w14:paraId="08C8CB90">
        <w:tblPrEx>
          <w:tblCellMar>
            <w:top w:w="0" w:type="dxa"/>
            <w:left w:w="108" w:type="dxa"/>
            <w:bottom w:w="0" w:type="dxa"/>
            <w:right w:w="108" w:type="dxa"/>
          </w:tblCellMar>
        </w:tblPrEx>
        <w:tc>
          <w:tcPr>
            <w:tcW w:w="0" w:type="auto"/>
            <w:tcBorders>
              <w:right w:val="single" w:color="7E7E7E" w:themeColor="text1" w:themeTint="80" w:sz="4" w:space="0"/>
              <w:insideV w:val="single" w:sz="4" w:space="0"/>
            </w:tcBorders>
            <w:shd w:val="clear" w:color="auto" w:fill="FFFFFF" w:themeFill="background1"/>
          </w:tcPr>
          <w:p w14:paraId="7C48F6FD">
            <w:pPr>
              <w:rPr>
                <w:i/>
                <w:iCs/>
              </w:rPr>
            </w:pPr>
            <w:r>
              <w:rPr>
                <w:i/>
                <w:iCs/>
              </w:rPr>
              <w:t>Chapter Five</w:t>
            </w:r>
          </w:p>
        </w:tc>
        <w:tc>
          <w:tcPr>
            <w:tcW w:w="0" w:type="auto"/>
            <w:shd w:val="clear" w:color="auto" w:fill="F1F1F1" w:themeFill="background1" w:themeFillShade="F2"/>
          </w:tcPr>
          <w:p w14:paraId="16384C03">
            <w:r>
              <w:t>Discussion of findings and implications</w:t>
            </w:r>
          </w:p>
        </w:tc>
      </w:tr>
      <w:tr w14:paraId="0F62E8C4">
        <w:tblPrEx>
          <w:tblCellMar>
            <w:top w:w="0" w:type="dxa"/>
            <w:left w:w="108" w:type="dxa"/>
            <w:bottom w:w="0" w:type="dxa"/>
            <w:right w:w="108" w:type="dxa"/>
          </w:tblCellMar>
        </w:tblPrEx>
        <w:tc>
          <w:tcPr>
            <w:tcW w:w="0" w:type="auto"/>
            <w:tcBorders>
              <w:right w:val="single" w:color="7E7E7E" w:themeColor="text1" w:themeTint="80" w:sz="4" w:space="0"/>
              <w:insideV w:val="single" w:sz="4" w:space="0"/>
            </w:tcBorders>
            <w:shd w:val="clear" w:color="auto" w:fill="FFFFFF" w:themeFill="background1"/>
          </w:tcPr>
          <w:p w14:paraId="1A35F6D5">
            <w:pPr>
              <w:rPr>
                <w:i/>
                <w:iCs/>
              </w:rPr>
            </w:pPr>
            <w:r>
              <w:rPr>
                <w:i/>
                <w:iCs/>
              </w:rPr>
              <w:t>Chapter Six</w:t>
            </w:r>
          </w:p>
        </w:tc>
        <w:tc>
          <w:tcPr>
            <w:tcW w:w="0" w:type="auto"/>
          </w:tcPr>
          <w:p w14:paraId="234B009A">
            <w:r>
              <w:t>Conclusion, contributions, limitations, recommendations and future research</w:t>
            </w:r>
          </w:p>
        </w:tc>
      </w:tr>
    </w:tbl>
    <w:p w14:paraId="0768C960">
      <w:pPr>
        <w:spacing w:before="0" w:after="160" w:line="259" w:lineRule="auto"/>
        <w:jc w:val="left"/>
        <w:rPr>
          <w:lang w:val="en-US"/>
        </w:rPr>
      </w:pPr>
      <w:r>
        <w:rPr>
          <w:lang w:val="en-US"/>
        </w:rPr>
        <w:br w:type="page"/>
      </w:r>
    </w:p>
    <w:p w14:paraId="4E665AFB">
      <w:pPr>
        <w:pStyle w:val="2"/>
      </w:pPr>
      <w:bookmarkStart w:id="17" w:name="_Toc240757338"/>
      <w:bookmarkStart w:id="18" w:name="_Toc236354463"/>
      <w:r>
        <w:t xml:space="preserve">Chapter </w:t>
      </w:r>
      <w:r>
        <w:rPr>
          <w:lang w:val="en-US"/>
        </w:rPr>
        <w:t>2</w:t>
      </w:r>
      <w:r>
        <w:t>: Literature Review</w:t>
      </w:r>
      <w:bookmarkEnd w:id="17"/>
      <w:bookmarkEnd w:id="18"/>
    </w:p>
    <w:p w14:paraId="47BD2401">
      <w:pPr>
        <w:pStyle w:val="3"/>
        <w:rPr>
          <w:rFonts w:cs="Times New Roman"/>
        </w:rPr>
      </w:pPr>
      <w:bookmarkStart w:id="19" w:name="_Toc236354464"/>
      <w:bookmarkStart w:id="20" w:name="_Toc240757339"/>
      <w:r>
        <w:rPr>
          <w:rFonts w:eastAsia="Times New Roman" w:cs="Times New Roman"/>
          <w:lang w:val="en-US"/>
        </w:rPr>
        <w:t>2</w:t>
      </w:r>
      <w:r>
        <w:rPr>
          <w:rFonts w:eastAsia="Times New Roman" w:cs="Times New Roman"/>
        </w:rPr>
        <w:t>.1 Introduction</w:t>
      </w:r>
      <w:bookmarkEnd w:id="19"/>
      <w:bookmarkEnd w:id="20"/>
    </w:p>
    <w:p w14:paraId="6144C9A4">
      <w:pPr>
        <w:rPr>
          <w:szCs w:val="24"/>
          <w:lang w:val="zh-CN" w:bidi="bn-IN"/>
        </w:rPr>
      </w:pPr>
      <w:r>
        <w:rPr>
          <w:szCs w:val="24"/>
          <w:lang w:val="zh-CN" w:bidi="bn-IN"/>
        </w:rPr>
        <w:t>This chapter examines the concept of sustainable marketing through an examination of how it correlates to brand image, trust and reputation within UK fast fashion. Although sustainability communication can drive stronger brand perceptions combined with environmental enhancements, fuzzy or disjointed messages can fuel greenwashing doubts (Hejlova et al., 2025). The study utili</w:t>
      </w:r>
      <w:r>
        <w:rPr>
          <w:szCs w:val="24"/>
          <w:lang w:val="en-US" w:bidi="bn-IN"/>
        </w:rPr>
        <w:t>s</w:t>
      </w:r>
      <w:r>
        <w:rPr>
          <w:szCs w:val="24"/>
          <w:lang w:val="zh-CN" w:bidi="bn-IN"/>
        </w:rPr>
        <w:t>es survey, interview, experiment, systematic review and documentary methods and compares the resulting evidence, sensitivity to methodological differences (Atik and Ozdamar Ertekin, 2023). It also takes into account transferability between contexts (Cho, Ko and Borenstein, 2024). Based on signalling theory, customer</w:t>
      </w:r>
      <w:r>
        <w:rPr>
          <w:szCs w:val="24"/>
          <w:lang w:val="en-US" w:bidi="bn-IN"/>
        </w:rPr>
        <w:t>-</w:t>
      </w:r>
      <w:r>
        <w:rPr>
          <w:szCs w:val="24"/>
          <w:lang w:val="zh-CN" w:bidi="bn-IN"/>
        </w:rPr>
        <w:t>based brand equity and legitimacy theory, there are five themes that are integrated to identify comparative research gaps (Garcia-Ortega et al., 2023).</w:t>
      </w:r>
    </w:p>
    <w:p w14:paraId="3FE4BB22">
      <w:pPr>
        <w:pStyle w:val="3"/>
        <w:rPr>
          <w:rFonts w:cs="Times New Roman"/>
        </w:rPr>
      </w:pPr>
      <w:bookmarkStart w:id="21" w:name="_Toc240757340"/>
      <w:bookmarkStart w:id="22" w:name="_Toc236354465"/>
      <w:bookmarkStart w:id="23" w:name="OLE_LINK1"/>
      <w:bookmarkStart w:id="24" w:name="OLE_LINK2"/>
      <w:r>
        <w:rPr>
          <w:rFonts w:eastAsia="Times New Roman" w:cs="Times New Roman"/>
          <w:lang w:val="en-US"/>
        </w:rPr>
        <w:t>2</w:t>
      </w:r>
      <w:r>
        <w:rPr>
          <w:rFonts w:eastAsia="Times New Roman" w:cs="Times New Roman"/>
        </w:rPr>
        <w:t>.2 Sustainable Marketing and the Fast-Fashion Paradox</w:t>
      </w:r>
      <w:bookmarkEnd w:id="21"/>
      <w:bookmarkEnd w:id="22"/>
    </w:p>
    <w:p w14:paraId="61DE209F">
      <w:pPr>
        <w:rPr>
          <w:szCs w:val="24"/>
          <w:lang w:val="zh-CN" w:bidi="bn-IN"/>
        </w:rPr>
      </w:pPr>
      <w:r>
        <w:rPr>
          <w:szCs w:val="24"/>
          <w:lang w:val="zh-CN" w:bidi="bn-IN"/>
        </w:rPr>
        <w:t xml:space="preserve">Slow fast fashion is challenged in the literature since it does not consider sustainability as one marketing activity but rather </w:t>
      </w:r>
      <w:r>
        <w:rPr>
          <w:szCs w:val="24"/>
          <w:lang w:val="en-US" w:bidi="bn-IN"/>
        </w:rPr>
        <w:t xml:space="preserve">as a </w:t>
      </w:r>
      <w:r>
        <w:rPr>
          <w:szCs w:val="24"/>
          <w:lang w:val="zh-CN" w:bidi="bn-IN"/>
        </w:rPr>
        <w:t>sustainable. It has been understood in a general perspective in terms of economic, social, environmental and cultural responsibilities (Jung, Kim and Kim, 2020), while other studies focus on its communication, branding, product, consumption, retail idea and circular fashion (Ray and Nayak, 2023). Both of these perspectives hold that sustainability goes beyond the item of advertising, but in contrasting ways: the first foregrounds the organisation's responsibility, the second makes a link between responsibility and market practice and consumption. A narrower interpretation is more beneficial for this study as an interpretation that is too broad may end up defining almost anything done in the name of the corporation as ‘sustainable marketing</w:t>
      </w:r>
      <w:r>
        <w:rPr>
          <w:szCs w:val="24"/>
          <w:lang w:val="en-US" w:bidi="bn-IN"/>
        </w:rPr>
        <w:t xml:space="preserve">’ </w:t>
      </w:r>
      <w:r>
        <w:rPr>
          <w:szCs w:val="24"/>
          <w:lang w:val="zh-CN" w:bidi="bn-IN"/>
        </w:rPr>
        <w:t>, and an interpretation that is solely promotional might disregard the production system that is causing the environmental harm (CMA, 2021). Sustainable marketing consequently can be defined as claims and actions conveying a lower environmental impact that are rooted in the materials, manufacturing, use of products or life of the garments.</w:t>
      </w:r>
    </w:p>
    <w:p w14:paraId="219657F1">
      <w:pPr>
        <w:rPr>
          <w:szCs w:val="24"/>
          <w:lang w:val="zh-CN" w:bidi="bn-IN"/>
        </w:rPr>
      </w:pPr>
      <w:r>
        <w:rPr>
          <w:szCs w:val="24"/>
          <w:lang w:val="zh-CN" w:bidi="bn-IN"/>
        </w:rPr>
        <w:t>It is, especially, a structural contradiction due to fast fashion, this boundary. As Alizadeh, Liscio and Sospiro (2024) highlight, rapid consumption has been a key driver in the sector, alongside the immense pressures on resources and waste and the short life cycles of products. The literature widely concurs that there are certain impacts that can be reduced through individual improvements, but there is no consensus in the literature that these impacts reflect an improved sustainability at the business model level. The presence of recycled fibres, labelling and take-back schemes can enable positive conclusions to be drawn about the level of the product, but there can also be an increase in the total turnover, so that the retailer's dominant model remains unsustainable (Neumann, Martinez, Martinez, 2021). This separation means that limited improvements in the environment are not mistaken as an indicator that this has created a larger change.</w:t>
      </w:r>
    </w:p>
    <w:p w14:paraId="7003230C">
      <w:pPr>
        <w:rPr>
          <w:szCs w:val="24"/>
          <w:lang w:val="zh-CN" w:bidi="bn-IN"/>
        </w:rPr>
      </w:pPr>
      <w:r>
        <w:rPr>
          <w:szCs w:val="24"/>
          <w:lang w:val="zh-CN" w:bidi="bn-IN"/>
        </w:rPr>
        <w:t>The conflicts are more evident if the analy</w:t>
      </w:r>
      <w:r>
        <w:rPr>
          <w:szCs w:val="24"/>
          <w:lang w:val="en-US" w:bidi="bn-IN"/>
        </w:rPr>
        <w:t>s</w:t>
      </w:r>
      <w:r>
        <w:rPr>
          <w:szCs w:val="24"/>
          <w:lang w:val="zh-CN" w:bidi="bn-IN"/>
        </w:rPr>
        <w:t>ed object is consumption. Lee highlights that Bae and Kim (2020) state that sustainability marketing can help to quantify more consumption whilst reducing wider environmental impacts. Garcia-Ortega et al. (2023) likewise focus on sufficiency instead of novelty and changing consumption behavio</w:t>
      </w:r>
      <w:r>
        <w:rPr>
          <w:szCs w:val="24"/>
          <w:lang w:val="en-US" w:bidi="bn-IN"/>
        </w:rPr>
        <w:t>u</w:t>
      </w:r>
      <w:r>
        <w:rPr>
          <w:szCs w:val="24"/>
          <w:lang w:val="zh-CN" w:bidi="bn-IN"/>
        </w:rPr>
        <w:t>rs. These are observations of whether an operation exists rather than inquiring whether one exists; how it relates to throughput. Garcia-Cho, Ko and Borenstein (2024) offer a company-level perspective, and Toebast-Wensink et al. (2025) give explanations on unintended effects of sustainability marketing. When viewed in this light, these strategies indicate that operational congruence is at the heart of conditions for credibility. Using circular services as well as changes towards durable design and verified material changes can minimi</w:t>
      </w:r>
      <w:r>
        <w:rPr>
          <w:szCs w:val="24"/>
          <w:lang w:val="en-US" w:bidi="bn-IN"/>
        </w:rPr>
        <w:t>s</w:t>
      </w:r>
      <w:r>
        <w:rPr>
          <w:szCs w:val="24"/>
          <w:lang w:val="zh-CN" w:bidi="bn-IN"/>
        </w:rPr>
        <w:t>e impacts if impact reductions are at the level of the scale of improvement (Policarpo et al., 2023). The paradox is that sustainability action is not senseless, but actually has a branding value that requires substantiation and consistency with the retailers' main economic model. This tension raises the question as to which marketing strategies result in credible relations between brands.</w:t>
      </w:r>
      <w:bookmarkEnd w:id="23"/>
      <w:bookmarkEnd w:id="24"/>
    </w:p>
    <w:p w14:paraId="43647CBE">
      <w:pPr>
        <w:pStyle w:val="3"/>
        <w:rPr>
          <w:rFonts w:cs="Times New Roman"/>
        </w:rPr>
      </w:pPr>
      <w:bookmarkStart w:id="25" w:name="_Toc236354466"/>
      <w:bookmarkStart w:id="26" w:name="_Toc240757341"/>
      <w:r>
        <w:rPr>
          <w:rFonts w:eastAsia="Times New Roman" w:cs="Times New Roman"/>
          <w:lang w:val="en-US"/>
        </w:rPr>
        <w:t>2</w:t>
      </w:r>
      <w:r>
        <w:rPr>
          <w:rFonts w:eastAsia="Times New Roman" w:cs="Times New Roman"/>
        </w:rPr>
        <w:t>.3 Sustainable Marketing Strategies and Brand Associations</w:t>
      </w:r>
      <w:bookmarkEnd w:id="25"/>
      <w:bookmarkEnd w:id="26"/>
    </w:p>
    <w:p w14:paraId="011268C2">
      <w:pPr>
        <w:pStyle w:val="4"/>
        <w:rPr>
          <w:rFonts w:cs="Times New Roman"/>
        </w:rPr>
      </w:pPr>
      <w:bookmarkStart w:id="27" w:name="_Toc240757342"/>
      <w:bookmarkStart w:id="28" w:name="_Toc236354467"/>
      <w:r>
        <w:rPr>
          <w:rFonts w:eastAsia="Times New Roman" w:cs="Times New Roman"/>
          <w:lang w:val="en-US"/>
        </w:rPr>
        <w:t>2</w:t>
      </w:r>
      <w:r>
        <w:rPr>
          <w:rFonts w:eastAsia="Times New Roman" w:cs="Times New Roman"/>
        </w:rPr>
        <w:t>.3.1 Materials, labels and certifications</w:t>
      </w:r>
      <w:bookmarkEnd w:id="27"/>
      <w:bookmarkEnd w:id="28"/>
    </w:p>
    <w:p w14:paraId="0CDDEAF5">
      <w:pPr>
        <w:rPr>
          <w:color w:val="000000"/>
        </w:rPr>
      </w:pPr>
      <w:r>
        <w:rPr>
          <w:color w:val="000000"/>
        </w:rPr>
        <w:t>Materials, labelling and certifications are visible at the moment of consumer choice, which underlies why product-level strategies dominate sustainable fashion marketing. But it is not a foregone conclusion that the cues directly improve brand image as indicated in the literature. It seems that Adamkiewicz et al. (2022) also use the approach of possession, believing in the environment, and green brand image to link green products to purchase intention; however, they limit the inferences of behaviour to just purchase intention because of the method of structural equation modelling. Based on evidence from interviews, network analysis, and the evidence-based set of past marketing and campaign language of H&amp;M, Zara, and Uniqlo, Chun et al. (2021) reveal that despite the importance of the concept of eco-friendly fabric, marketing and campaign wording can become salient as well. In general, they confirm that there is a definite significance of environmental product attributes, but also indicate that consumers might perceive the message communication as proof or promotion of the product attributes.</w:t>
      </w:r>
    </w:p>
    <w:p w14:paraId="388B813C">
      <w:pPr>
        <w:rPr>
          <w:color w:val="000000"/>
        </w:rPr>
      </w:pPr>
      <w:r>
        <w:rPr>
          <w:color w:val="000000"/>
        </w:rPr>
        <w:t>The variations in conclusions are due to methodological differences. Kim and Oh (2020) rely on a predetermined positive scale to determine the numbers, while Hejlova et al. (2025) also allow the participants to do associations before their numerical tests. The former method has more potential to capture the ambiguity and/or negative association, and the latter method is more likely to be able to capture the relationships which are already expressed in the model. The female sample from Korea, however, has a drawback in that it is not directly applicable to fast fashion in the UK. Combined, the studies suggest that material statements, by themselves, do not represent positive signals: it is the perception of material or real rather than rhetorical change that determines how the statement impacts the brand image.</w:t>
      </w:r>
    </w:p>
    <w:p w14:paraId="317BCAF7">
      <w:pPr>
        <w:rPr>
          <w:szCs w:val="24"/>
          <w:lang w:val="zh-CN" w:bidi="bn-IN"/>
        </w:rPr>
      </w:pPr>
      <w:r>
        <w:rPr>
          <w:color w:val="000000"/>
        </w:rPr>
        <w:t>The third-party endorsement may carry over to a claim, and lessen uncertainty. There is a congruence between certification, product and brand that impacts fashion responses as Lee et al. (2020) illustrate. Olson (2022) also refers to Higg Index transparency to environmentally pro-mindedness. However, certification should not be seen as a barrier to good performance, as it may be that an indicator simplifies complex situations and therefore is not a reflection of the supply-chain performance. Its merit, therefore, does not depend so much on the kind of label, but on the degree to which the evidence is independent, comprehensible and understandable. In echo of this caution, Ray and Nayak (2023) demonstrate that retailer-specific labels can also create benefits—and at the same time, ambiguity and trust, or not. Preconceived authentic ideas of the retailer also influence interpretation (Jia et al., 2023). Therefore, precise sustainability feedback can reinforce both brands, and arouse suspicion about another brand when the identity doesn't seem to match the stated claim. Materials, labels and certifications have the potential to contribute to sustainable brand relationships in general, provided they are congruent, verified and precede brand meaning.</w:t>
      </w:r>
    </w:p>
    <w:p w14:paraId="75262425">
      <w:pPr>
        <w:pStyle w:val="4"/>
        <w:rPr>
          <w:rFonts w:cs="Times New Roman"/>
        </w:rPr>
      </w:pPr>
      <w:bookmarkStart w:id="29" w:name="_Toc236354468"/>
      <w:bookmarkStart w:id="30" w:name="_Toc240757343"/>
      <w:r>
        <w:rPr>
          <w:rFonts w:eastAsia="Times New Roman" w:cs="Times New Roman"/>
          <w:lang w:val="en-US"/>
        </w:rPr>
        <w:t>2</w:t>
      </w:r>
      <w:r>
        <w:rPr>
          <w:rFonts w:eastAsia="Times New Roman" w:cs="Times New Roman"/>
        </w:rPr>
        <w:t>.3.2 Circularity, transparency and strategic communication</w:t>
      </w:r>
      <w:bookmarkEnd w:id="29"/>
      <w:bookmarkEnd w:id="30"/>
    </w:p>
    <w:p w14:paraId="66D8E32F">
      <w:pPr>
        <w:rPr>
          <w:szCs w:val="24"/>
          <w:lang w:val="zh-CN" w:bidi="bn-IN"/>
        </w:rPr>
      </w:pPr>
      <w:r>
        <w:rPr>
          <w:szCs w:val="24"/>
          <w:lang w:val="zh-CN" w:bidi="bn-IN"/>
        </w:rPr>
        <w:t>Circularity is going beyond the product composition in sustainability marketing, and taking</w:t>
      </w:r>
      <w:r>
        <w:rPr>
          <w:szCs w:val="24"/>
          <w:lang w:val="en-US" w:bidi="bn-IN"/>
        </w:rPr>
        <w:t xml:space="preserve"> </w:t>
      </w:r>
      <w:r>
        <w:rPr>
          <w:szCs w:val="24"/>
          <w:lang w:val="zh-CN" w:bidi="bn-IN"/>
        </w:rPr>
        <w:t xml:space="preserve">back, resale, repair and recycling </w:t>
      </w:r>
      <w:r>
        <w:rPr>
          <w:szCs w:val="24"/>
          <w:lang w:val="en-US" w:bidi="bn-IN"/>
        </w:rPr>
        <w:t xml:space="preserve">are </w:t>
      </w:r>
      <w:r>
        <w:rPr>
          <w:szCs w:val="24"/>
          <w:lang w:val="zh-CN" w:bidi="bn-IN"/>
        </w:rPr>
        <w:t>about the "what happens after the purchase" communication. A consensus exists among the literature that these initiatives may represent responsibility</w:t>
      </w:r>
      <w:r>
        <w:rPr>
          <w:szCs w:val="24"/>
          <w:lang w:val="en-US" w:bidi="bn-IN"/>
        </w:rPr>
        <w:t>,</w:t>
      </w:r>
      <w:r>
        <w:rPr>
          <w:szCs w:val="24"/>
          <w:lang w:val="zh-CN" w:bidi="bn-IN"/>
        </w:rPr>
        <w:t xml:space="preserve"> but the extent to which they represent valued environments is debatable according to the approval of the consumer. Likewise, Ray and Nayak (2023) conclude that circularity is becoming a major topic of research, but that much of the evidence is consumer-centred. This sets up an analytical limitation as there is no proof of a reduction in virgin production or in waste as a result of the take-back scheme being accepted. Atik and Ozdamar Ertekin (2023) deliver a more critical view of documentary, linking it with company strategies and sufficiency, and demonstrating a preference for less disruptive approaches. Consumer response is not measurable using documentary analysis, but it can be used to assess if circular movement acts as an added challenge or is simply a hand-in-hand element with new-product sales.</w:t>
      </w:r>
    </w:p>
    <w:p w14:paraId="2D0DDC87">
      <w:pPr>
        <w:rPr>
          <w:szCs w:val="24"/>
          <w:lang w:val="zh-CN" w:bidi="bn-IN"/>
        </w:rPr>
      </w:pPr>
      <w:r>
        <w:rPr>
          <w:szCs w:val="24"/>
          <w:lang w:val="zh-CN" w:bidi="bn-IN"/>
        </w:rPr>
        <w:t xml:space="preserve">The same conflicts seem to exist with regard to transparency research. Detailed targets, material percentages and progress information can be more powerful than the general information given in the environment. However, disclosure does not have to be comprehensive. Badhwar et al. (2024) state that there is no strategic information available on </w:t>
      </w:r>
      <w:r>
        <w:rPr>
          <w:szCs w:val="24"/>
          <w:lang w:val="en-US" w:bidi="bn-IN"/>
        </w:rPr>
        <w:t>B</w:t>
      </w:r>
      <w:r>
        <w:rPr>
          <w:szCs w:val="24"/>
          <w:lang w:val="zh-CN" w:bidi="bn-IN"/>
        </w:rPr>
        <w:t xml:space="preserve">adhwar and </w:t>
      </w:r>
      <w:r>
        <w:rPr>
          <w:szCs w:val="24"/>
          <w:lang w:val="en-US" w:bidi="bn-IN"/>
        </w:rPr>
        <w:t>O</w:t>
      </w:r>
      <w:r>
        <w:rPr>
          <w:szCs w:val="24"/>
          <w:lang w:val="zh-CN" w:bidi="bn-IN"/>
        </w:rPr>
        <w:t>verstock, and the Jung et al. (2020) paper suggests excellent transparency, but this is not a clear context to allude to. It's not about how much information a retailer will share</w:t>
      </w:r>
      <w:r>
        <w:rPr>
          <w:szCs w:val="24"/>
          <w:lang w:val="en-US" w:bidi="bn-IN"/>
        </w:rPr>
        <w:t>. I</w:t>
      </w:r>
      <w:r>
        <w:rPr>
          <w:szCs w:val="24"/>
          <w:lang w:val="zh-CN" w:bidi="bn-IN"/>
        </w:rPr>
        <w:t>t's about whether the retailer will disclose information about tough areas or bad service. According to Toebast-Wensink et al. (2025), the marketing strategies for sustainable fashion companies are still insulated from the drivers consumers have, and the retailers' insights into those drivers are wrong. Again, consumers can appreciate sustainability if it doesn't get in the way of what is a good offer for them: good price, convenient and attractive. In the overall, the most credible are the circularity and transparency when an environmental evidence accompanies conventional fashion value and not decorative storytelling. This now focuses on impact upon images and trust and reputation.</w:t>
      </w:r>
      <w:r>
        <w:rPr>
          <w:color w:val="000000"/>
        </w:rPr>
        <w:t>.</w:t>
      </w:r>
    </w:p>
    <w:p w14:paraId="07D1DF3E">
      <w:pPr>
        <w:pStyle w:val="3"/>
        <w:rPr>
          <w:rFonts w:cs="Times New Roman"/>
        </w:rPr>
      </w:pPr>
      <w:bookmarkStart w:id="31" w:name="_Toc240757344"/>
      <w:bookmarkStart w:id="32" w:name="_Toc236354469"/>
      <w:r>
        <w:rPr>
          <w:rFonts w:eastAsia="Times New Roman" w:cs="Times New Roman"/>
          <w:lang w:val="en-US"/>
        </w:rPr>
        <w:t>2</w:t>
      </w:r>
      <w:r>
        <w:rPr>
          <w:rFonts w:eastAsia="Times New Roman" w:cs="Times New Roman"/>
        </w:rPr>
        <w:t>.4 Brand Image, Trust and Reputation</w:t>
      </w:r>
      <w:bookmarkEnd w:id="31"/>
      <w:bookmarkEnd w:id="32"/>
    </w:p>
    <w:p w14:paraId="727AEFC9">
      <w:pPr>
        <w:rPr>
          <w:szCs w:val="24"/>
          <w:lang w:val="zh-CN" w:bidi="bn-IN"/>
        </w:rPr>
      </w:pPr>
      <w:r>
        <w:rPr>
          <w:szCs w:val="24"/>
          <w:lang w:val="zh-CN" w:bidi="bn-IN"/>
        </w:rPr>
        <w:t>Although the word</w:t>
      </w:r>
      <w:r>
        <w:rPr>
          <w:szCs w:val="24"/>
          <w:lang w:val="en-US" w:bidi="bn-IN"/>
        </w:rPr>
        <w:t>s</w:t>
      </w:r>
      <w:r>
        <w:rPr>
          <w:szCs w:val="24"/>
          <w:lang w:val="zh-CN" w:bidi="bn-IN"/>
        </w:rPr>
        <w:t xml:space="preserve"> "brand" and trust/reputation are frequently mentioned in the same passage, they must be used separately for critical synthesis. The brand image relates to the images in the mind of the person that are associated with the brand</w:t>
      </w:r>
      <w:r>
        <w:rPr>
          <w:szCs w:val="24"/>
          <w:lang w:val="en-US" w:bidi="bn-IN"/>
        </w:rPr>
        <w:t>. T</w:t>
      </w:r>
      <w:r>
        <w:rPr>
          <w:szCs w:val="24"/>
          <w:lang w:val="zh-CN" w:bidi="bn-IN"/>
        </w:rPr>
        <w:t>rust relates to the object's integrity and ability</w:t>
      </w:r>
      <w:r>
        <w:rPr>
          <w:szCs w:val="24"/>
          <w:lang w:val="en-US" w:bidi="bn-IN"/>
        </w:rPr>
        <w:t>,</w:t>
      </w:r>
      <w:r>
        <w:rPr>
          <w:szCs w:val="24"/>
          <w:lang w:val="zh-CN" w:bidi="bn-IN"/>
        </w:rPr>
        <w:t xml:space="preserve"> and reputation is linked to the general and deeper assessment made by the various stakeholders regarding the object. Favourable and distinctive associations are relevant because they serve as Keller's customer</w:t>
      </w:r>
      <w:r>
        <w:rPr>
          <w:szCs w:val="24"/>
          <w:lang w:val="en-US" w:bidi="bn-IN"/>
        </w:rPr>
        <w:t>-</w:t>
      </w:r>
      <w:r>
        <w:rPr>
          <w:szCs w:val="24"/>
          <w:lang w:val="zh-CN" w:bidi="bn-IN"/>
        </w:rPr>
        <w:t>based brand equity model, and because of the importance of signalling theory, which regards communication as a mechanism to reduce information asymmetry only if it looks observable, is costly or verifiable (Majeed et al., 2022). Legitimacy theory extends the discussion to the evaluation of the extent of compliance of organisational communication and behaviour with the expectations of society. These views are complementary, for a sustainability message may engender association, but not necessarily trust; trust among consumers may not translate into a solid reputation among the broader stakeholders.</w:t>
      </w:r>
    </w:p>
    <w:p w14:paraId="714DEBED">
      <w:pPr>
        <w:rPr>
          <w:szCs w:val="24"/>
          <w:lang w:val="zh-CN" w:bidi="bn-IN"/>
        </w:rPr>
      </w:pPr>
      <w:r>
        <w:rPr>
          <w:szCs w:val="24"/>
          <w:lang w:val="zh-CN" w:bidi="bn-IN"/>
        </w:rPr>
        <w:t>In most cases, context and method constrain the conclusions of empirical analyses to be a positive link. There are links of sustainable marketing to brand image and satisfaction, trust and loyalty (Jung et al., 2020) and links to brand image and corporate social responsibility (Neumann et al., 2021). While perhaps complementary, findings suggest that their work doesn't necessarily follow the same trajectory in UK fast fashion all the time. The evidence of Jung, Kim and Kim and the evidence of the luxury hotel context explored by Jia et al. do not reflect this paradox between fast consumption and environmental responsibility. These are therefore relationship and not sector effect showing models.</w:t>
      </w:r>
    </w:p>
    <w:p w14:paraId="5560D151">
      <w:pPr>
        <w:rPr>
          <w:szCs w:val="24"/>
          <w:lang w:val="zh-CN" w:bidi="bn-IN"/>
        </w:rPr>
      </w:pPr>
      <w:r>
        <w:rPr>
          <w:szCs w:val="24"/>
          <w:lang w:val="zh-CN" w:bidi="bn-IN"/>
        </w:rPr>
        <w:t>Cross</w:t>
      </w:r>
      <w:r>
        <w:rPr>
          <w:szCs w:val="24"/>
          <w:lang w:val="en-US" w:bidi="bn-IN"/>
        </w:rPr>
        <w:t>-</w:t>
      </w:r>
      <w:r>
        <w:rPr>
          <w:szCs w:val="24"/>
          <w:lang w:val="zh-CN" w:bidi="bn-IN"/>
        </w:rPr>
        <w:t xml:space="preserve">sectional self-report designs also pose difficulty in interpreting their results since marketing perceptions, image and intentions are frequently examined within the same instrument. Without an indication of consumers' response to contested evidence, such designs can generate internally consistent positive relationships. Kim and Oh (2020) show that brand-association networks carry both positive and suspicious aspects; Alizadeh, Liscio and Sospiro (2024) highlight the boundary conditions for the impact of ambiguity on trust. The outcomes suggested that heterogeneous interpretations with backgrounds in previous brand experience can exist behind </w:t>
      </w:r>
      <w:r>
        <w:rPr>
          <w:szCs w:val="24"/>
          <w:lang w:val="en-US" w:bidi="bn-IN"/>
        </w:rPr>
        <w:t xml:space="preserve">an </w:t>
      </w:r>
      <w:r>
        <w:rPr>
          <w:szCs w:val="24"/>
          <w:lang w:val="zh-CN" w:bidi="bn-IN"/>
        </w:rPr>
        <w:t>average positive relationship. Majeed et al. (2022), adding more sector specificity, introduce trust as a mediator between perceived sustainability action and purchase intentions</w:t>
      </w:r>
      <w:r>
        <w:rPr>
          <w:szCs w:val="24"/>
          <w:lang w:val="en-US" w:bidi="bn-IN"/>
        </w:rPr>
        <w:t>;</w:t>
      </w:r>
      <w:r>
        <w:rPr>
          <w:szCs w:val="24"/>
          <w:lang w:val="zh-CN" w:bidi="bn-IN"/>
        </w:rPr>
        <w:t xml:space="preserve"> however, purchase intention is considered a reactionary measure and not one that impacts reputation.</w:t>
      </w:r>
    </w:p>
    <w:p w14:paraId="2D7C5F6A">
      <w:pPr>
        <w:rPr>
          <w:szCs w:val="24"/>
          <w:lang w:val="zh-CN" w:bidi="bn-IN"/>
        </w:rPr>
      </w:pPr>
      <w:r>
        <w:rPr>
          <w:szCs w:val="24"/>
          <w:lang w:val="zh-CN" w:bidi="bn-IN"/>
        </w:rPr>
        <w:t>Audience predisposition matters. Policarpo et al. (2023) demonstrate how social cynicism can create a stronger perceived greenwashing of green clothing brands and diminish trust in them. This stands in opposition to the emphas</w:t>
      </w:r>
      <w:r>
        <w:rPr>
          <w:szCs w:val="24"/>
          <w:lang w:val="en-US" w:bidi="bn-IN"/>
        </w:rPr>
        <w:t>i</w:t>
      </w:r>
      <w:r>
        <w:rPr>
          <w:szCs w:val="24"/>
          <w:lang w:val="zh-CN" w:bidi="bn-IN"/>
        </w:rPr>
        <w:t>s on corporate responsibility in Neumann, Martinez and Martinez (2021); Policarpo et al. demonstrate the different interpretations of the same messages within different audiences. Thus, CMA UK (2024a) embraces the concept of trust affected by signal quality and interpretation. Reputation is broader</w:t>
      </w:r>
      <w:r>
        <w:rPr>
          <w:szCs w:val="24"/>
          <w:lang w:val="en-US" w:bidi="bn-IN"/>
        </w:rPr>
        <w:t>,</w:t>
      </w:r>
      <w:r>
        <w:rPr>
          <w:szCs w:val="24"/>
          <w:lang w:val="zh-CN" w:bidi="bn-IN"/>
        </w:rPr>
        <w:t xml:space="preserve"> as consumer communication could be challenged by regulators, NGOs &amp; media</w:t>
      </w:r>
      <w:r>
        <w:rPr>
          <w:szCs w:val="24"/>
          <w:lang w:val="en-US" w:bidi="bn-IN"/>
        </w:rPr>
        <w:t>,</w:t>
      </w:r>
      <w:r>
        <w:rPr>
          <w:szCs w:val="24"/>
          <w:lang w:val="zh-CN" w:bidi="bn-IN"/>
        </w:rPr>
        <w:t xml:space="preserve"> and legitimacy could be provisional in the absence of any counter-reputational evidence that is salient (CMA UK, 2024b). In this dissertation</w:t>
      </w:r>
      <w:r>
        <w:rPr>
          <w:szCs w:val="24"/>
          <w:lang w:val="en-US" w:bidi="bn-IN"/>
        </w:rPr>
        <w:t>,</w:t>
      </w:r>
      <w:r>
        <w:rPr>
          <w:szCs w:val="24"/>
          <w:lang w:val="zh-CN" w:bidi="bn-IN"/>
        </w:rPr>
        <w:t xml:space="preserve"> brand image is considered as coexisting with immediate associations, trust as a credibility judgement, and reputation as the product of repeated claims, actions or external assessment. This is a difference which is quite important to the present analytical approach</w:t>
      </w:r>
      <w:r>
        <w:rPr>
          <w:color w:val="000000"/>
        </w:rPr>
        <w:t>.</w:t>
      </w:r>
    </w:p>
    <w:p w14:paraId="176524FA">
      <w:pPr>
        <w:pStyle w:val="3"/>
        <w:rPr>
          <w:rFonts w:cs="Times New Roman"/>
        </w:rPr>
      </w:pPr>
      <w:bookmarkStart w:id="33" w:name="_Toc236354470"/>
      <w:bookmarkStart w:id="34" w:name="_Toc240757345"/>
      <w:r>
        <w:rPr>
          <w:rFonts w:eastAsia="Times New Roman" w:cs="Times New Roman"/>
          <w:lang w:val="en-US"/>
        </w:rPr>
        <w:t>2</w:t>
      </w:r>
      <w:r>
        <w:rPr>
          <w:rFonts w:eastAsia="Times New Roman" w:cs="Times New Roman"/>
        </w:rPr>
        <w:t>.5 Greenwashing, Scepticism and Counter-framing</w:t>
      </w:r>
      <w:bookmarkEnd w:id="33"/>
      <w:bookmarkEnd w:id="34"/>
    </w:p>
    <w:p w14:paraId="21E2C777">
      <w:pPr>
        <w:rPr>
          <w:szCs w:val="24"/>
          <w:lang w:val="zh-CN" w:bidi="bn-IN"/>
        </w:rPr>
      </w:pPr>
      <w:r>
        <w:rPr>
          <w:szCs w:val="24"/>
          <w:lang w:val="zh-CN" w:bidi="bn-IN"/>
        </w:rPr>
        <w:t>Greenwashing is at the heart of the literature as it can help to understand why susta</w:t>
      </w:r>
      <w:r>
        <w:rPr>
          <w:szCs w:val="24"/>
          <w:lang w:val="en-US" w:bidi="bn-IN"/>
        </w:rPr>
        <w:t>i</w:t>
      </w:r>
      <w:r>
        <w:rPr>
          <w:szCs w:val="24"/>
          <w:lang w:val="zh-CN" w:bidi="bn-IN"/>
        </w:rPr>
        <w:t>nability communication can, at times, generate positive associations, and at other times, distrust. Definitions involve false claims, double standards, lip service or claims that are smaller than suggested in terms of environmental difference (ND). Jung, Kim and Kim (2020) highlight the lack of alignment between sustainability and practices of the fashion industry</w:t>
      </w:r>
      <w:r>
        <w:rPr>
          <w:szCs w:val="24"/>
          <w:lang w:val="en-US" w:bidi="bn-IN"/>
        </w:rPr>
        <w:t>,</w:t>
      </w:r>
      <w:r>
        <w:rPr>
          <w:szCs w:val="24"/>
          <w:lang w:val="zh-CN" w:bidi="bn-IN"/>
        </w:rPr>
        <w:t xml:space="preserve"> and Cho, Ko and Borenstein (2024) categorise the greenwashing indicators conceptually. These concerns are situated within a broader context, specifically the literature on fashion and textiles as a whole, as described by Hejlova et al. (2025). In sum, these studies suggest that green marketing should not be considered as entirely distinct from greenwashing; a claim could be truthful while also being misleading because the scales are not included, comparisons are not clearly specified or there is purposeful emphasis or imagery that suggests a more general benefit.</w:t>
      </w:r>
    </w:p>
    <w:p w14:paraId="140AD475">
      <w:pPr>
        <w:rPr>
          <w:szCs w:val="24"/>
          <w:lang w:val="zh-CN" w:bidi="bn-IN"/>
        </w:rPr>
      </w:pPr>
      <w:r>
        <w:rPr>
          <w:szCs w:val="24"/>
          <w:lang w:val="zh-CN" w:bidi="bn-IN"/>
        </w:rPr>
        <w:t>This can resolve an apparent conflict between apparently conflicting empirical results. When looking at sustainability marketing as a positive construct, Majeed et al. (2022) find positive connections in its relationship with a brand, while Jia et al. (2023) also find positive relationships. In contrast, Kim and Oh (2020), Cho, Ko and Borenstein (2024) and Policarpo et al. (2023) factor in as much ambiguity, opportunism or cynicism as they can manage and draw more conditional conclusions. The disagreement thus is more than merely substantive. Research investigating the attitude to better-informed consumer behavio</w:t>
      </w:r>
      <w:r>
        <w:rPr>
          <w:szCs w:val="24"/>
          <w:lang w:val="en-US" w:bidi="bn-IN"/>
        </w:rPr>
        <w:t>u</w:t>
      </w:r>
      <w:r>
        <w:rPr>
          <w:szCs w:val="24"/>
          <w:lang w:val="zh-CN" w:bidi="bn-IN"/>
        </w:rPr>
        <w:t>r is likely to reveal positive attitudes, while research showing consumers an equivocal claim- or greenwashing cue is more likely to evoke distrust. Neither pattern is considered to be conclusive and cannot be used as such, as the constructs as well as the stimuli differ.</w:t>
      </w:r>
    </w:p>
    <w:p w14:paraId="7E855721">
      <w:pPr>
        <w:rPr>
          <w:szCs w:val="24"/>
          <w:lang w:val="zh-CN" w:bidi="bn-IN"/>
        </w:rPr>
      </w:pPr>
      <w:r>
        <w:rPr>
          <w:szCs w:val="24"/>
          <w:lang w:val="zh-CN" w:bidi="bn-IN"/>
        </w:rPr>
        <w:t xml:space="preserve">Another source of 'greenwashing' can be claim-practice mismatch. The loss of green trust arises from the perceived "greenwashing" because it causes ambiguity and uncertainty, as revealed by Atik and Ozdamar Ertekin (2023). While this setting is not necessarily fast fashion, the issue is relevant in any setting where it is hard for consumers to verify the fibre source, </w:t>
      </w:r>
      <w:r>
        <w:rPr>
          <w:szCs w:val="24"/>
          <w:lang w:val="en-US" w:bidi="bn-IN"/>
        </w:rPr>
        <w:t xml:space="preserve">the </w:t>
      </w:r>
      <w:r>
        <w:rPr>
          <w:szCs w:val="24"/>
          <w:lang w:val="zh-CN" w:bidi="bn-IN"/>
        </w:rPr>
        <w:t>impact of the fibre's life cycle, and supplier claims. Quick collections and disorientated information in labels, websites, and corporate documents exacerbate information asymmetry, leading to heightened reliance on more simplified signals and thus greater importance of credible signals and potential scope for impression management (CMA UK, 2024a).</w:t>
      </w:r>
    </w:p>
    <w:p w14:paraId="53AD653D">
      <w:pPr>
        <w:rPr>
          <w:szCs w:val="24"/>
          <w:lang w:val="zh-CN" w:bidi="bn-IN"/>
        </w:rPr>
      </w:pPr>
      <w:r>
        <w:rPr>
          <w:szCs w:val="24"/>
          <w:lang w:val="zh-CN" w:bidi="bn-IN"/>
        </w:rPr>
        <w:t>External counter</w:t>
      </w:r>
      <w:r>
        <w:rPr>
          <w:szCs w:val="24"/>
          <w:lang w:val="en-US" w:bidi="bn-IN"/>
        </w:rPr>
        <w:t>-</w:t>
      </w:r>
      <w:r>
        <w:rPr>
          <w:szCs w:val="24"/>
          <w:lang w:val="zh-CN" w:bidi="bn-IN"/>
        </w:rPr>
        <w:t xml:space="preserve">framing plays a complex role </w:t>
      </w:r>
      <w:r>
        <w:rPr>
          <w:szCs w:val="24"/>
          <w:lang w:val="en-US" w:bidi="bn-IN"/>
        </w:rPr>
        <w:t>i</w:t>
      </w:r>
      <w:r>
        <w:rPr>
          <w:szCs w:val="24"/>
          <w:lang w:val="zh-CN" w:bidi="bn-IN"/>
        </w:rPr>
        <w:t>n brand communication</w:t>
      </w:r>
      <w:r>
        <w:rPr>
          <w:szCs w:val="24"/>
          <w:lang w:val="en-US" w:bidi="bn-IN"/>
        </w:rPr>
        <w:t>. T</w:t>
      </w:r>
      <w:r>
        <w:rPr>
          <w:szCs w:val="24"/>
          <w:lang w:val="zh-CN" w:bidi="bn-IN"/>
        </w:rPr>
        <w:t xml:space="preserve">hus is controlled by outside elements </w:t>
      </w:r>
      <w:r>
        <w:rPr>
          <w:szCs w:val="24"/>
          <w:lang w:val="en-US" w:bidi="bn-IN"/>
        </w:rPr>
        <w:t xml:space="preserve">such </w:t>
      </w:r>
      <w:r>
        <w:rPr>
          <w:szCs w:val="24"/>
          <w:lang w:val="zh-CN" w:bidi="bn-IN"/>
        </w:rPr>
        <w:t>as regulators, NGOs and media emphasize scale and unmet promises, omissions</w:t>
      </w:r>
      <w:r>
        <w:rPr>
          <w:szCs w:val="24"/>
          <w:lang w:val="en-US" w:bidi="bn-IN"/>
        </w:rPr>
        <w:t>,</w:t>
      </w:r>
      <w:r>
        <w:rPr>
          <w:szCs w:val="24"/>
          <w:lang w:val="zh-CN" w:bidi="bn-IN"/>
        </w:rPr>
        <w:t xml:space="preserve"> etc. In Kim and Oh (2020), silence speaks: absence of information is pertinent. But external criticism is not neutral</w:t>
      </w:r>
      <w:r>
        <w:rPr>
          <w:szCs w:val="24"/>
          <w:lang w:val="en-US" w:bidi="bn-IN"/>
        </w:rPr>
        <w:t>. A</w:t>
      </w:r>
      <w:r>
        <w:rPr>
          <w:szCs w:val="24"/>
          <w:lang w:val="zh-CN" w:bidi="bn-IN"/>
        </w:rPr>
        <w:t xml:space="preserve">ctiveness of advocacy, shifting news values, </w:t>
      </w:r>
      <w:r>
        <w:rPr>
          <w:szCs w:val="24"/>
          <w:lang w:val="en-US" w:bidi="bn-IN"/>
        </w:rPr>
        <w:t xml:space="preserve">and </w:t>
      </w:r>
      <w:r>
        <w:rPr>
          <w:szCs w:val="24"/>
          <w:lang w:val="zh-CN" w:bidi="bn-IN"/>
        </w:rPr>
        <w:t>rules of interpretation can influence it. Thus, triangulation is required to prevent trading in one kind of bias for another, external bias (CMA, 2021). Stronger judgements are arising when independent judgements are applied and reinforced by documentary evidence. The UK institutional context should be based on the evaluation of sustainability claims using the tools of specificity, evidence, operational consistency, and external evaluation.</w:t>
      </w:r>
    </w:p>
    <w:p w14:paraId="3E11B8F7">
      <w:pPr>
        <w:pStyle w:val="3"/>
        <w:rPr>
          <w:rFonts w:cs="Times New Roman"/>
        </w:rPr>
      </w:pPr>
      <w:bookmarkStart w:id="35" w:name="_Toc240757346"/>
      <w:bookmarkStart w:id="36" w:name="_Toc236354471"/>
      <w:r>
        <w:rPr>
          <w:rFonts w:eastAsia="Times New Roman" w:cs="Times New Roman"/>
          <w:lang w:val="en-US"/>
        </w:rPr>
        <w:t>2</w:t>
      </w:r>
      <w:r>
        <w:rPr>
          <w:rFonts w:eastAsia="Times New Roman" w:cs="Times New Roman"/>
        </w:rPr>
        <w:t>.6 The UK Institutional Context</w:t>
      </w:r>
      <w:bookmarkEnd w:id="35"/>
      <w:bookmarkEnd w:id="36"/>
    </w:p>
    <w:p w14:paraId="48F1B379">
      <w:pPr>
        <w:rPr>
          <w:szCs w:val="24"/>
          <w:lang w:val="zh-CN" w:bidi="bn-IN"/>
        </w:rPr>
      </w:pPr>
      <w:r>
        <w:rPr>
          <w:szCs w:val="24"/>
          <w:lang w:val="zh-CN" w:bidi="bn-IN"/>
        </w:rPr>
        <w:t>In the UK context</w:t>
      </w:r>
      <w:r>
        <w:rPr>
          <w:szCs w:val="24"/>
          <w:lang w:bidi="bn-IN"/>
        </w:rPr>
        <w:t>,</w:t>
      </w:r>
      <w:r>
        <w:rPr>
          <w:szCs w:val="24"/>
          <w:lang w:val="zh-CN" w:bidi="bn-IN"/>
        </w:rPr>
        <w:t xml:space="preserve"> credibility is not just a branding issue of choice. The Competition and Markets Authority's (CMA) guidance for green claims – set out in what is called the ‘Green Claims Code' – highlights that claims must be truthful, comprehensible, substantiated, detailed and take into account a product's life cycle (CMA, 2021). In 2024, CMA obtained undertakings from ASOS and Boohoo related to ranges, fabric claims and descriptions, imagery, product filters, targets and accreditation for the environment. Undertakings were not legally admissions of misconduct, but set out the standards for fashion communication instead. This is a crucial caveat: not all sustainability effort is dishonest, and complaints of regulatory investigation are an indicator of claim risk and change.</w:t>
      </w:r>
      <w:r>
        <w:rPr>
          <w:szCs w:val="24"/>
          <w:lang w:bidi="bn-IN"/>
        </w:rPr>
        <w:t xml:space="preserve"> </w:t>
      </w:r>
      <w:r>
        <w:rPr>
          <w:szCs w:val="24"/>
          <w:lang w:val="zh-CN" w:bidi="bn-IN"/>
        </w:rPr>
        <w:t>It's about making ambiguous statements less credible and making substantiation less optional, the regulation says</w:t>
      </w:r>
      <w:r>
        <w:rPr>
          <w:szCs w:val="24"/>
          <w:lang w:val="en-US" w:bidi="bn-IN"/>
        </w:rPr>
        <w:t xml:space="preserve"> </w:t>
      </w:r>
      <w:r>
        <w:rPr>
          <w:szCs w:val="24"/>
          <w:lang w:bidi="bn-IN"/>
        </w:rPr>
        <w:t>(CMA UK, 2024a)</w:t>
      </w:r>
      <w:r>
        <w:rPr>
          <w:szCs w:val="24"/>
          <w:lang w:val="zh-CN" w:bidi="bn-IN"/>
        </w:rPr>
        <w:t>. Compliance and reputation are still separate levels, however. A lawful claim might seem hard to reconcile with overproduction, and effective communication might fail to include all the information that is legally relevant. With the use of enforcement under the Digital Markets, Competition and Consumers Act 2024, the cost of making misleading claims rises. There are then legal accuracy, stakeholder legitimacy and operational congruence that rely on credibility.</w:t>
      </w:r>
    </w:p>
    <w:p w14:paraId="7B7EF754">
      <w:pPr>
        <w:rPr>
          <w:szCs w:val="24"/>
          <w:lang w:val="zh-CN" w:bidi="bn-IN"/>
        </w:rPr>
      </w:pPr>
      <w:r>
        <w:rPr>
          <w:szCs w:val="24"/>
          <w:lang w:val="zh-CN" w:bidi="bn-IN"/>
        </w:rPr>
        <w:t>There is a need to compare with the UK as there is a lot of empirical evidence based on Korea, Pakistan, Australia or multi-country samples. Channel, ownership, price structure and sustainability positioning also varies with</w:t>
      </w:r>
      <w:r>
        <w:rPr>
          <w:szCs w:val="24"/>
          <w:lang w:bidi="bn-IN"/>
        </w:rPr>
        <w:t>,</w:t>
      </w:r>
      <w:r>
        <w:rPr>
          <w:szCs w:val="24"/>
          <w:lang w:val="zh-CN" w:bidi="bn-IN"/>
        </w:rPr>
        <w:t xml:space="preserve"> not only cultural attitudes, regulating the latest awareness and retailers' familiarity influence it, but also does ASOS, Boohoo, Primark, H&amp;M and Zara</w:t>
      </w:r>
      <w:r>
        <w:rPr>
          <w:szCs w:val="24"/>
          <w:lang w:val="en-US" w:bidi="bn-IN"/>
        </w:rPr>
        <w:t xml:space="preserve"> </w:t>
      </w:r>
      <w:r>
        <w:rPr>
          <w:szCs w:val="24"/>
          <w:lang w:bidi="bn-IN"/>
        </w:rPr>
        <w:t>(Ray and Nayak, 2023)</w:t>
      </w:r>
      <w:r>
        <w:rPr>
          <w:szCs w:val="24"/>
          <w:lang w:val="zh-CN" w:bidi="bn-IN"/>
        </w:rPr>
        <w:t>. Such differences should not be regarded as noise. They serve as a way to explore how broadly similar strategies may yield diverse credibility profiles among online and offline retailers, amongst companies from different countries, and among and within brands with fascinating reputations</w:t>
      </w:r>
      <w:r>
        <w:rPr>
          <w:color w:val="000000"/>
        </w:rPr>
        <w:t>.</w:t>
      </w:r>
    </w:p>
    <w:p w14:paraId="50E35191">
      <w:pPr>
        <w:pStyle w:val="3"/>
        <w:rPr>
          <w:rFonts w:cs="Times New Roman"/>
        </w:rPr>
      </w:pPr>
      <w:bookmarkStart w:id="37" w:name="_Toc240757347"/>
      <w:bookmarkStart w:id="38" w:name="_Toc236354472"/>
      <w:r>
        <w:rPr>
          <w:rFonts w:eastAsia="Times New Roman" w:cs="Times New Roman"/>
          <w:lang w:val="en-US"/>
        </w:rPr>
        <w:t>2</w:t>
      </w:r>
      <w:r>
        <w:rPr>
          <w:rFonts w:eastAsia="Times New Roman" w:cs="Times New Roman"/>
        </w:rPr>
        <w:t>.7 Theoretical Integration and Conceptual Framework</w:t>
      </w:r>
      <w:bookmarkEnd w:id="37"/>
      <w:bookmarkEnd w:id="38"/>
    </w:p>
    <w:p w14:paraId="60B373D8">
      <w:pPr>
        <w:rPr>
          <w:lang w:val="zh-CN"/>
        </w:rPr>
      </w:pPr>
      <w:r>
        <w:rPr>
          <w:lang w:val="zh-CN"/>
        </w:rPr>
        <w:t xml:space="preserve">There is no theory that is fully convincing to explain the relationship between sustainable marketing and brand image, credibility and reputation in fast fashion. A theoretical endpoint for explaining how sustainability-related information turns into brand associations and how these data support brand meaning is offered by Customer-Based Brand Equity (CBBE). However, limited attention is paid to </w:t>
      </w:r>
      <w:r>
        <w:rPr>
          <w:lang w:val="en-US"/>
        </w:rPr>
        <w:t xml:space="preserve">the </w:t>
      </w:r>
      <w:r>
        <w:rPr>
          <w:lang w:val="zh-CN"/>
        </w:rPr>
        <w:t>credibility of these claims and how wider institutional pressure factors may affect how the claims are interpreted (Jung, Kim and Kim, 2020). Signalling theory can overcome this limitation by focusing on how the characteristics of the sustainability claims, as specific, observable and verifiable certifications and disclosures, reduce information asymmetry. Even with the significant amount of money being spent on communication, it does not necessarily equal true organi</w:t>
      </w:r>
      <w:r>
        <w:rPr>
          <w:lang w:val="en-US"/>
        </w:rPr>
        <w:t>s</w:t>
      </w:r>
      <w:r>
        <w:rPr>
          <w:lang w:val="zh-CN"/>
        </w:rPr>
        <w:t>ational change</w:t>
      </w:r>
      <w:r>
        <w:rPr>
          <w:lang w:val="en-US"/>
        </w:rPr>
        <w:t>,</w:t>
      </w:r>
      <w:r>
        <w:rPr>
          <w:lang w:val="zh-CN"/>
        </w:rPr>
        <w:t xml:space="preserve"> as the fast-fashion industry can spend more easily on communication than they can on changing their business models (Olson, 2022). Legitimacy theory introduces a more holistic stakeholder lens, connoting that organi</w:t>
      </w:r>
      <w:r>
        <w:rPr>
          <w:lang w:val="en-US"/>
        </w:rPr>
        <w:t>s</w:t>
      </w:r>
      <w:r>
        <w:rPr>
          <w:lang w:val="zh-CN"/>
        </w:rPr>
        <w:t xml:space="preserve">ations explain sustainability to social and regulatory/institutional stakeholders, but is less powerful </w:t>
      </w:r>
      <w:r>
        <w:rPr>
          <w:lang w:val="en-US"/>
        </w:rPr>
        <w:t xml:space="preserve">in </w:t>
      </w:r>
      <w:r>
        <w:rPr>
          <w:lang w:val="zh-CN"/>
        </w:rPr>
        <w:t>accounting for individual-level trust.</w:t>
      </w:r>
    </w:p>
    <w:p w14:paraId="5F629A6E">
      <w:pPr>
        <w:rPr>
          <w:lang w:val="zh-CN"/>
        </w:rPr>
      </w:pPr>
      <w:r>
        <w:rPr>
          <w:lang w:val="zh-CN"/>
        </w:rPr>
        <w:t>The coherent framework is thus provided by the integration of these theories. First, sustainable marketing strategies such as material claims, certifications, circular services, sourcing information, and targets and progress disclosures are interpreted as signals. They can be trusted when they are specific, independently verified, transparent, and there is consistency between their claims and practices, as well as existing brand associations (Garcia-Ortega et al., 2023). Credible signal</w:t>
      </w:r>
      <w:r>
        <w:rPr>
          <w:lang w:val="en-US"/>
        </w:rPr>
        <w:t>l</w:t>
      </w:r>
      <w:r>
        <w:rPr>
          <w:lang w:val="zh-CN"/>
        </w:rPr>
        <w:t>ing can reinforce trust and brand-build, long-term reputation, while ambiguous statements</w:t>
      </w:r>
      <w:r>
        <w:rPr>
          <w:lang w:val="en-US"/>
        </w:rPr>
        <w:t>,</w:t>
      </w:r>
      <w:r>
        <w:rPr>
          <w:lang w:val="zh-CN"/>
        </w:rPr>
        <w:t xml:space="preserve"> selective disclosure and being inconsistent in operations can foster perceptions of ''greenwashing”' and external '”counter-framing”. Past reputation and outside critique can also reduce over time rework the interpretation (Toebast-Wensink et al., 2025). This holistic framework is thus an interrelated chain of brand meaning, signal credibility and stakeholder legitimacy, and was found to be appropriate for qualitative thematic analyses across the chosen UK fast-fashion outlets</w:t>
      </w:r>
      <w:r>
        <w:t>.</w:t>
      </w:r>
    </w:p>
    <w:p w14:paraId="64CB5DAD">
      <w:pPr>
        <w:pStyle w:val="3"/>
        <w:rPr>
          <w:rFonts w:cs="Times New Roman"/>
        </w:rPr>
      </w:pPr>
      <w:bookmarkStart w:id="39" w:name="_Toc240757348"/>
      <w:bookmarkStart w:id="40" w:name="_Toc236354473"/>
      <w:r>
        <w:rPr>
          <w:rFonts w:eastAsia="Times New Roman" w:cs="Times New Roman"/>
          <w:lang w:val="en-US"/>
        </w:rPr>
        <w:t>2</w:t>
      </w:r>
      <w:r>
        <w:rPr>
          <w:rFonts w:eastAsia="Times New Roman" w:cs="Times New Roman"/>
        </w:rPr>
        <w:t>.8 Research Gap and Chapter Conclusion</w:t>
      </w:r>
      <w:bookmarkEnd w:id="39"/>
      <w:bookmarkEnd w:id="40"/>
    </w:p>
    <w:p w14:paraId="68B60DE7">
      <w:r>
        <w:t>From the literature, three interrelated unfilled gaps justify this study. First, previous studies are outnumbered by intentions to be green and cross-sectional surveys that offer limited evidence on whether marketing for sustainability impacts consumer behaviour, which in turn would lead to long-term operational improvements and/or reputation shifting (Adamkiewicz et al., 2022). This gap is explained by the fact that these perception-focused approaches seldom explore marketing claims and organisational reality. Secondly, research into positive sustainability marketing and into greenwashing takes place in isolation and employs different constructs and measures. Consequently, it is far from transparent in the literature when communication for sustainability contributes to the strengthening of the brand image and when it can be met with scepticism. Thirdly, only the brand's claims have been evaluated in a few comparative studies with claims of regulators, NGOs and the media across multiple fast fashion retailers in the same institutional context in the United Kingdom (Hejlova et al., 2025). This dissertation fills these gaps by means of a qualitative secondary multiple-case analysis of four fashion brands, ASOS, Boohoo, Primark, H&amp;M and Zara, from the periods 2020 – 2026 (CMA UK, 2024a). It combines corporate and external evidence, which helps to connect perception-based and documentary perspectives (Cho, Ko and Borenstein, 2024). The study thus focuses on how these factors—specification, verification and claim–practice congruence—influence credible brand associations or greenwashing scepticism (Neumann, Martinez and Martinez, 2021) in the contemporary UK fast-fashion retail industry.</w:t>
      </w:r>
    </w:p>
    <w:p w14:paraId="612920FF">
      <w:pPr>
        <w:spacing w:before="0" w:after="160" w:line="259" w:lineRule="auto"/>
        <w:jc w:val="left"/>
        <w:rPr>
          <w:lang w:val="en-US"/>
        </w:rPr>
      </w:pPr>
    </w:p>
    <w:p w14:paraId="19D5E8E3">
      <w:pPr>
        <w:spacing w:before="0" w:after="160" w:line="259" w:lineRule="auto"/>
        <w:jc w:val="left"/>
      </w:pPr>
      <w:r>
        <w:br w:type="page"/>
      </w:r>
    </w:p>
    <w:p w14:paraId="724E473F">
      <w:pPr>
        <w:pStyle w:val="2"/>
      </w:pPr>
      <w:bookmarkStart w:id="41" w:name="_Toc240757349"/>
      <w:r>
        <w:t>Chapter 3: Research Methodology</w:t>
      </w:r>
      <w:bookmarkEnd w:id="41"/>
    </w:p>
    <w:p w14:paraId="40103F03">
      <w:pPr>
        <w:pStyle w:val="3"/>
        <w:rPr>
          <w:rFonts w:cs="Times New Roman"/>
        </w:rPr>
      </w:pPr>
      <w:bookmarkStart w:id="42" w:name="_Toc240757350"/>
      <w:r>
        <w:rPr>
          <w:rFonts w:cs="Times New Roman"/>
        </w:rPr>
        <w:t>3.1 Research purpose and methodological alignment</w:t>
      </w:r>
      <w:bookmarkEnd w:id="42"/>
    </w:p>
    <w:p w14:paraId="4A4E2AFC">
      <w:r>
        <w:t>This paper explores the potential influence of sustainable marketing on brand credibility and brand reputational meaning in the context of UK fast fashion. It contrasts ASOS with Boohoo, Primark, H&amp;M and Zara based on available published data. Research questions are related to communicated strategies, conditions enabling trust and problems connected with greenwashing</w:t>
      </w:r>
      <w:r>
        <w:rPr>
          <w:lang w:val="en-US"/>
        </w:rPr>
        <w:t xml:space="preserve"> </w:t>
      </w:r>
      <w:r>
        <w:t>(Aguinis, Bergh and Molina-Azorin, 2022). Given that documents do not necessarily reflect people's attitudes and individual responses but rather the claims and reactions of institutions, the operational goal is to give account of documents that document states that affect credibility. Customer trust and brand image are not measurable benefits, but rather an implication of how your audience perceives your brand. This separation brings investigation in line with its evidence and avoids causal statements that are not supported by the investigation design. Adopting the research onion of interpretivism, abductive reasoning, qualitative multiple-case strategy, documentary research methods and a bounded retrospective time horizon from Saunders, Lewis and Thornhill (2023) provides the methodological framework. Each option outlines the evidence needed and the claims that can be made in chapter four. Case selection and retrieval are outlined in Appendix A, while sources, coding</w:t>
      </w:r>
      <w:r>
        <w:rPr>
          <w:lang w:val="en-US"/>
        </w:rPr>
        <w:t>,</w:t>
      </w:r>
      <w:r>
        <w:t xml:space="preserve"> comparisons and conclusions are linked in Appendices B through H.</w:t>
      </w:r>
    </w:p>
    <w:p w14:paraId="33D3D7AB">
      <w:pPr>
        <w:pStyle w:val="3"/>
        <w:rPr>
          <w:rFonts w:cs="Times New Roman"/>
        </w:rPr>
      </w:pPr>
      <w:bookmarkStart w:id="43" w:name="_Toc240757351"/>
      <w:r>
        <w:rPr>
          <w:rFonts w:cs="Times New Roman"/>
        </w:rPr>
        <w:t>3.2 Philosophy and abductive approach</w:t>
      </w:r>
      <w:bookmarkEnd w:id="43"/>
    </w:p>
    <w:p w14:paraId="610597F5">
      <w:r>
        <w:t>The interpretivist perspective assumes that sustainability communication creates meaning based on selective wording, measurement and emphasis. What is the same act between a corporate report, a regulatory publication and a campaigning organisation can be different</w:t>
      </w:r>
      <w:r>
        <w:rPr>
          <w:lang w:val="en-US"/>
        </w:rPr>
        <w:t xml:space="preserve"> </w:t>
      </w:r>
      <w:r>
        <w:t>(Aguinis, Bergh and Molina-Azorin, 2022). Thus, their accounts are treated as being situated representations. That does not mean that numerical claims (like dates, denominators, organisational boundaries, source provenance) are arbitrary. Interpretation is related to what they represent, not necessarily what consumers might think behind those representations.</w:t>
      </w:r>
    </w:p>
    <w:p w14:paraId="2EA36DDE">
      <w:r>
        <w:t>Abduction is a process involving documentary observations linking to the conceptual framework that was developed in Chapter 2. The use of signalling theory helps to focus the analysis on substantiation and on information asymmetry</w:t>
      </w:r>
      <w:r>
        <w:rPr>
          <w:lang w:val="en-US"/>
        </w:rPr>
        <w:t>. L</w:t>
      </w:r>
      <w:r>
        <w:t>egitimacy theory calls attention to external challenge, and customer-based brand equity introduces a potential linkage to brand associations. The ideas focus on a question, not a conclusion. Sensitising dimensions are declared to be specificity, verification, transparency and operational congruence</w:t>
      </w:r>
      <w:r>
        <w:rPr>
          <w:lang w:val="en-US"/>
        </w:rPr>
        <w:t xml:space="preserve"> </w:t>
      </w:r>
      <w:r>
        <w:t>(Saunders, Lewis and Thornhill, 2023). More specific remarks, such as the lag of the circular services, the emissions boundaries and the distinction between public declaration and public approval, result in application codes. Provisional explanations are adjusted to fit in with unexpected evidence, not shoe-horned into favour or disfavour for brands.</w:t>
      </w:r>
    </w:p>
    <w:p w14:paraId="4EBAABA6">
      <w:pPr>
        <w:pStyle w:val="3"/>
        <w:rPr>
          <w:rFonts w:cs="Times New Roman"/>
        </w:rPr>
      </w:pPr>
      <w:bookmarkStart w:id="44" w:name="_Toc240757352"/>
      <w:r>
        <w:rPr>
          <w:rFonts w:cs="Times New Roman"/>
        </w:rPr>
        <w:t>3.3 Strategy, cases and analytical boundaries</w:t>
      </w:r>
      <w:bookmarkEnd w:id="44"/>
    </w:p>
    <w:p w14:paraId="6A57DC83">
      <w:r>
        <w:t>Multiple cases can be used for comparative analysis with a common analytical protocol (Yin, 2018). The case is the retailer, and the focus of the analysis (that is, the embedded unit) is the sustainability claim with supporting evidence and the associated challenge. Documents are evidence sources, NOT observations of consumer response. Reports are clearly grouped, particularly when the evidence of Inditex is applied to Zara. Similar care needs to be taken as regards other corporate groups where multiple brands are included.</w:t>
      </w:r>
    </w:p>
    <w:p w14:paraId="47B38C4B">
      <w:r>
        <w:t>Purposive selection aims to look for diversity across digital retail, store-led value retail and international fashion groups. Appendix A will compare the five cases kept with the 2 alternative cases regarding the elements of relevance like UK, sustainability communication, documentary traceability, business-model contrast and external scrutiny. ASOS and Boohoo will allow for digital claims to be compared under common regulatory oversight</w:t>
      </w:r>
      <w:r>
        <w:rPr>
          <w:lang w:val="en-US"/>
        </w:rPr>
        <w:t xml:space="preserve"> </w:t>
      </w:r>
      <w:r>
        <w:t>(Li et al., 2021). International group perspective, like H&amp;M and Zara. Primark creates a value-retail contrast, though it's a little smaller in scope than what it's offering. It is therefore a comparative case restricted by the lack of documented information on the others and not a basis for ranking environmental performance. Availability should impact selection and should be recognised as limited rather than being portrayed as representative.</w:t>
      </w:r>
    </w:p>
    <w:p w14:paraId="4E19F901">
      <w:r>
        <w:t>Eligibility period is from 1st October 2020 to 31st December 2026; retrieval verification is to be done on 5th September 2026. This is a documentary snapshot and a retrospective study – not an ongoing consumer study. Preceding events are retained at the time they were originally published</w:t>
      </w:r>
      <w:r>
        <w:rPr>
          <w:lang w:val="en-US"/>
        </w:rPr>
        <w:t xml:space="preserve"> </w:t>
      </w:r>
      <w:r>
        <w:t>(Li et al., 2021). There is no way to reconstruct the wording of accessible current Webpages with another access date. This means that fixed reports are more strongly traceable in time compared to the mutable strategy pages that were created as regulatory texts.</w:t>
      </w:r>
    </w:p>
    <w:p w14:paraId="55727A72">
      <w:pPr>
        <w:pStyle w:val="3"/>
        <w:rPr>
          <w:rFonts w:cs="Times New Roman"/>
        </w:rPr>
      </w:pPr>
      <w:bookmarkStart w:id="45" w:name="_Toc240757353"/>
      <w:r>
        <w:rPr>
          <w:rFonts w:cs="Times New Roman"/>
        </w:rPr>
        <w:t>3.4 Internet retrieval and documentary selection</w:t>
      </w:r>
      <w:bookmarkEnd w:id="45"/>
    </w:p>
    <w:p w14:paraId="23D05483">
      <w:r>
        <w:t>Original Publishers’ navigation and targeted web searches were used for retrieval. The company's material was found in ASOS' reporting as well as their sustainability page, in the debenhams/Boohoo reporting site, at H&amp;M's investor archive and at Inditex's website for the annual</w:t>
      </w:r>
      <w:r>
        <w:rPr>
          <w:lang w:val="en-US"/>
        </w:rPr>
        <w:t xml:space="preserve"> </w:t>
      </w:r>
      <w:r>
        <w:t>report. Legislation.gov.uk, GOV.UK and the Netherlands Authority for Consumers and Markets were visited. The documentary search process was completed with the contributions of Changing Markets Foundation, Fashion Revolution, Remake, McKinsey and WRAP</w:t>
      </w:r>
      <w:r>
        <w:rPr>
          <w:lang w:val="en-US"/>
        </w:rPr>
        <w:t xml:space="preserve"> </w:t>
      </w:r>
      <w:r>
        <w:t xml:space="preserve">(Ragab and Arisha, 2017). A combined search of organisation names and documents was conducted using terms </w:t>
      </w:r>
      <w:r>
        <w:rPr>
          <w:lang w:val="en-US"/>
        </w:rPr>
        <w:t xml:space="preserve">such </w:t>
      </w:r>
      <w:r>
        <w:t>as sustainability report, environmental claims, materials, circularity, accountability and greenwashing. The search routes and verification are given in Appendix A.</w:t>
      </w:r>
    </w:p>
    <w:p w14:paraId="0A46EB0D">
      <w:r>
        <w:t>Selection needed to include English-language text in the eligibility window, a mechanism that connected to an author or issuing organisation, text with some environmental content and some evidence of cases or an explicit contextual function. Corporate testimony was categorised based on who sponsored it, regardless of whether Parliament was the sponsor. Academic articles contained concepts and methods and were not considered retailer documents. Substantive coding excluded general search results, duplicate manifestations, general financial content that had no connection to the paper, and unsupported commentary</w:t>
      </w:r>
      <w:r>
        <w:rPr>
          <w:lang w:val="en-US"/>
        </w:rPr>
        <w:t xml:space="preserve"> </w:t>
      </w:r>
      <w:r>
        <w:rPr>
          <w:lang w:bidi="bn-IN"/>
        </w:rPr>
        <w:t>(Braun and Clarke, 2022)</w:t>
      </w:r>
      <w:r>
        <w:t>. Only where this revealed different years were the 'distinct' documentary units separated; if a landing page and its associated report had been retained, then they were considered one year.</w:t>
      </w:r>
    </w:p>
    <w:p w14:paraId="5DB413CF">
      <w:r>
        <w:t>There are 47 separate bibliographic records on the auditable source register. There are twenty-nine scholarly and eighteen documentary candidates. Three candidates were excluded from coding as they each lacked OCR-extruded substantive "content" text: Boohoo's own reports for 2023 and 2024, and WRAP's 2024 market report. There are 15 documentary units supporting the analysis. Some were only published as publisher summaries or annual-report webpages, and use is therefore restricted</w:t>
      </w:r>
      <w:r>
        <w:rPr>
          <w:lang w:val="en-US"/>
        </w:rPr>
        <w:t xml:space="preserve"> </w:t>
      </w:r>
      <w:r>
        <w:rPr>
          <w:lang w:val="zh-CN"/>
        </w:rPr>
        <w:t>(Rashid et al., 2019)</w:t>
      </w:r>
      <w:r>
        <w:t>. These access boundaries are shown in Appendix B, where each unit has been identified individually.</w:t>
      </w:r>
    </w:p>
    <w:p w14:paraId="6068CDFB">
      <w:r>
        <w:t>Numbers refer to the reconciliation to registers and not to actual traffic on the search engines. No historical search export and no initial exclusion log exist, and it cannot be reliably reconstructed that much from the totals. So Appendix A offers a screening flow where it's apparent there's been some quantity in the past, but there's no way to determine what that quantity is</w:t>
      </w:r>
      <w:r>
        <w:rPr>
          <w:lang w:val="en-US"/>
        </w:rPr>
        <w:t xml:space="preserve"> </w:t>
      </w:r>
      <w:r>
        <w:rPr>
          <w:lang w:bidi="bn-IN"/>
        </w:rPr>
        <w:t>(Braun and Clarke, 2022)</w:t>
      </w:r>
      <w:r>
        <w:t>. The number of twenty documents per retailer and the assumed number of thirty-five documents in the corpus are not maintained. Sampling adequacy is based on appropriate, traceable comparisons and on consensually identified lacunae, not on a numerical quota, or the assumption of saturation.</w:t>
      </w:r>
    </w:p>
    <w:p w14:paraId="2FB2F199">
      <w:pPr>
        <w:pStyle w:val="3"/>
        <w:rPr>
          <w:rFonts w:cs="Times New Roman"/>
        </w:rPr>
      </w:pPr>
      <w:bookmarkStart w:id="46" w:name="_Toc240757354"/>
      <w:r>
        <w:rPr>
          <w:rFonts w:cs="Times New Roman"/>
        </w:rPr>
        <w:t>3.5 Provenance, evidence hierarchy and management</w:t>
      </w:r>
      <w:bookmarkEnd w:id="46"/>
    </w:p>
    <w:p w14:paraId="7EEB4522">
      <w:r>
        <w:t>An identifier (D01 – D15) is used for each unit included. It features author, title, year published, type of source, method for retrieval, retailer coverage, rationale for inclusion and evidentiary use. The extract register provides a page/section locator and indicates verbatim text vs paraphrase</w:t>
      </w:r>
      <w:r>
        <w:rPr>
          <w:lang w:val="en-US"/>
        </w:rPr>
        <w:t xml:space="preserve"> </w:t>
      </w:r>
      <w:r>
        <w:t>(Snyder, 2019). Under the separate numbering, years of publication, reporting period and retrieval date are recorded. This will ensure that a published report for 2024 performance will not be classified as an operational result in 2025.</w:t>
      </w:r>
    </w:p>
    <w:p w14:paraId="22C81F4A">
      <w:r>
        <w:t>The evidential weight is dependent upon the proposition in question. Original regulatory words carry special weight concerning the inclusion of existence and scope of intervention and do not measure reputation. The Corporate reports form the basis of what organisations disclose, and only the types of information that are specifically assured are assigned the assurance status indicated in the corporate report</w:t>
      </w:r>
      <w:r>
        <w:rPr>
          <w:lang w:val="en-US"/>
        </w:rPr>
        <w:t xml:space="preserve"> </w:t>
      </w:r>
      <w:r>
        <w:t>(Snyder, 2019). External evaluation is included in the NGO assessments in their methodologies. Industry analysis provides contextual explanations and does not provide case-level outcomes. Appendix C gives the details of this hierarchy and bounds on source independence.</w:t>
      </w:r>
    </w:p>
    <w:p w14:paraId="72652FF9">
      <w:r>
        <w:t>Coding was based on a close reading and a structured text register, with data presented in Word tables. Document and extract identifiers converge to create a relationship among the analytical records (no NVivo output; interview transcripts and intercoder statistics are asserted). In some cases where no full file could be consulted, the evidence studied is clearly identified by the presence of the publisher text and an accurate section finder. We didn't mark the unretrieved sections as read</w:t>
      </w:r>
      <w:r>
        <w:rPr>
          <w:lang w:val="en-US"/>
        </w:rPr>
        <w:t xml:space="preserve"> </w:t>
      </w:r>
      <w:r>
        <w:t>(Welch et al., 2022). Friends can support review without suggesting a whole-goes-historical-the-webs of every webpage.</w:t>
      </w:r>
    </w:p>
    <w:p w14:paraId="2EEE5859">
      <w:pPr>
        <w:pStyle w:val="3"/>
        <w:rPr>
          <w:rFonts w:cs="Times New Roman"/>
        </w:rPr>
      </w:pPr>
      <w:bookmarkStart w:id="47" w:name="_Toc240757355"/>
      <w:r>
        <w:rPr>
          <w:rFonts w:cs="Times New Roman"/>
        </w:rPr>
        <w:t>3.6 Reflexive thematic analysis</w:t>
      </w:r>
      <w:bookmarkEnd w:id="47"/>
    </w:p>
    <w:p w14:paraId="08C00F99">
      <w:r>
        <w:t>The six-stage reflexive thematic analysis developed by Braun and Clarke (2022) will be used for the analysis. Familiarisation was carried out by reading the relevant, accessible parts and identifying key speakers, claims, supporting evidence provided and any limitations in that evidence. Only financial or employment passages that directly related to environmental interpretation were explored</w:t>
      </w:r>
      <w:r>
        <w:rPr>
          <w:lang w:val="en-US"/>
        </w:rPr>
        <w:t xml:space="preserve"> </w:t>
      </w:r>
      <w:r>
        <w:t>(Welch et al., 2022). A relevant segment could be a sentence, paragraph in a text or a table entry on a sustainability strategy or substantiation/external evaluation and accompanying implementation. Before the extraction, the context surrounding each segment was checked.</w:t>
      </w:r>
    </w:p>
    <w:p w14:paraId="4B231C13">
      <w:r>
        <w:t>Short labels have been assigned to the texts near the coding. Ambition/performance/qualification could occur in multiple passages. Admission and evidence remained corporate, and a target was allied to a different achievement from the reported</w:t>
      </w:r>
      <w:r>
        <w:rPr>
          <w:lang w:val="en-US"/>
        </w:rPr>
        <w:t xml:space="preserve"> </w:t>
      </w:r>
      <w:r>
        <w:t>(Welch et al., 2019). Twenty-four numbered segments of evidence and their codes are provided in Appendix D. Twenty-four applied codes are shown in Appendix E, as well as how each of those codes arrange into seven provisional groupings and four final themes. The inventory of labels that came before these sixty-eight labels cannot be presented as sixty-eight demonstrated coding results, as there is no complete source-linked application record.</w:t>
      </w:r>
    </w:p>
    <w:p w14:paraId="1CF8E749">
      <w:r>
        <w:t>Theme development clustered codes according to the meaning and explanation of the code and not by the frequency of the code. First, the material targets and circular services constituted separate groupings, which were then integrated in the communicated strategy portfolio</w:t>
      </w:r>
      <w:r>
        <w:rPr>
          <w:lang w:val="en-US"/>
        </w:rPr>
        <w:t xml:space="preserve"> </w:t>
      </w:r>
      <w:r>
        <w:t>(Saunders, Lewis and Thornhill, 2023). Evidence for architecture was linked to communication for delivery because you couldn't just report it and thereby provide the clarity of a product claim. Ambition, delays, and operational tensions were a unique implementation theme. Retention of the regulatory intervention and external evaluation as means of modifying how corporate accounts can be interpreted.</w:t>
      </w:r>
    </w:p>
    <w:p w14:paraId="13CDA1F5">
      <w:r>
        <w:t>Theme review assessed differences between the groupings and coherence within the different themes. There were a few cases of evidence that had to be adjusted because the sequencing involved in care and repair took some time to be carried out, as in the example of ASOS</w:t>
      </w:r>
      <w:r>
        <w:rPr>
          <w:lang w:val="en-US"/>
        </w:rPr>
        <w:t>.</w:t>
      </w:r>
      <w:r>
        <w:t xml:space="preserve"> </w:t>
      </w:r>
      <w:r>
        <w:rPr>
          <w:lang w:val="en-US"/>
        </w:rPr>
        <w:t xml:space="preserve"> L</w:t>
      </w:r>
      <w:r>
        <w:t>imited confirmation and H&amp;M's previous evidence challenge also reduced the impact of a uniform interpretation of "disclosure," given the blurred situation of ASOS and Zara</w:t>
      </w:r>
      <w:r>
        <w:rPr>
          <w:lang w:val="en-US"/>
        </w:rPr>
        <w:t>. A</w:t>
      </w:r>
      <w:r>
        <w:t>nd positive evidence like Changing Markets' somewhat less polari</w:t>
      </w:r>
      <w:r>
        <w:rPr>
          <w:lang w:val="en-US"/>
        </w:rPr>
        <w:t>s</w:t>
      </w:r>
      <w:r>
        <w:t>ed view required adjustment given that it was about Zara. The decisions and rejected alternative interpretations are shown in Appendix E. The following are not the dates of past sessions that were reconstructed (or invented) for this study, but are analytical revisions.</w:t>
      </w:r>
    </w:p>
    <w:p w14:paraId="52CADD97">
      <w:r>
        <w:t>Four themes were stabilised through naming and writing: uneven strategy portfolios; credibility by means of cases of scope alignment and making evidence accessible; ambition – implementation tensions; and external scrutiny as a source of qualification. In each, Chapter 4 basically follows claim-evidence-counter-evidence-credibility judgement-inferred brand implication-evidential confidence</w:t>
      </w:r>
      <w:r>
        <w:rPr>
          <w:lang w:val="en-US"/>
        </w:rPr>
        <w:t xml:space="preserve"> </w:t>
      </w:r>
      <w:r>
        <w:t>(Saunders, Lewis and Thornhill, 2023). The dimensions that are used in a cross-case comparison are the same: specificity, verification, transparency, operational congruence, external challenge and overall documentary credibility. If evidence is missing, it is not deemed low performance or high compliance.</w:t>
      </w:r>
    </w:p>
    <w:p w14:paraId="4BA3BC6D">
      <w:pPr>
        <w:pStyle w:val="3"/>
        <w:rPr>
          <w:rFonts w:cs="Times New Roman"/>
        </w:rPr>
      </w:pPr>
      <w:bookmarkStart w:id="48" w:name="_Toc240757356"/>
      <w:r>
        <w:rPr>
          <w:rFonts w:cs="Times New Roman"/>
        </w:rPr>
        <w:t>3.7 Triangulation, reflexivity and research quality</w:t>
      </w:r>
      <w:bookmarkEnd w:id="48"/>
    </w:p>
    <w:p w14:paraId="638081E1">
      <w:r>
        <w:t>Triangulation: Study of convergence, complementarity and contradiction. Convergence: When elements in different locations are interacting in relation to a specific limited observation. When a corporate result and a regulatory text provide answers to different types of questions, relating to performance and presentation, respectively, complementarity exists. Contradiction involves contradictions between an interpretation and disconfirming material</w:t>
      </w:r>
      <w:r>
        <w:rPr>
          <w:lang w:val="en-US"/>
        </w:rPr>
        <w:t xml:space="preserve"> </w:t>
      </w:r>
      <w:r>
        <w:t>(Saunders, Lewis and Thornhill, 2023). The fact that they agree does not constitute independent corroboration: successive NGO reports have the same authorship; a benchmark can be based upon company disclosures. The Examples and Dependencies in Appendix F are therefore not considered other confirmations.</w:t>
      </w:r>
    </w:p>
    <w:p w14:paraId="54037E3D">
      <w:r>
        <w:t>Quality is evidenced with traceable extracts, clear alternative explanations and limited inference. The ability to rely on dependability is based on shared selection rules and steadfast case matrices. Separateness of reported content from researcher judgement is used as the confirmation. The key is that transferability is based on the essence of contextual information and isn't about statistical generalisation (Welch et al., 2022). Reflexive notes are specifically included to take note of the risk of another extensive report being so positively received that it may be harmful to aim for any other environmental benefit, given the pace of fast fashion. The evidence calls into question both these assumptions. The code register is still an account of the interpretive decisions, not a thing that another researcher has to be able to make and come up with similar themes.</w:t>
      </w:r>
    </w:p>
    <w:p w14:paraId="250EBA69">
      <w:r>
        <w:t>Confidence isn't given to brands; it's given to propositions. High confidence suggests that there will be direct and localizable evidence to support a very carefully stated assertion; moderate confidence suggests an interpretation that comes out of the interaction of relevant but limited sources; low confidence suggests that there will be indirect evidence, limitations and/or attribution issues</w:t>
      </w:r>
      <w:r>
        <w:rPr>
          <w:lang w:val="en-US"/>
        </w:rPr>
        <w:t xml:space="preserve"> </w:t>
      </w:r>
      <w:r>
        <w:t>(Ragab and Arisha, 2017). The numbers in these labels are not based on probability. If there is a clear document in place that explains a regulatory action, it could be used to create high confidence that intervention occurred yet low confidence that there were trust consequences.</w:t>
      </w:r>
    </w:p>
    <w:p w14:paraId="4112163A">
      <w:r>
        <w:t>The difference between absence in the corpus and absence in organisational practice is investigated. If the supplier did not measure or report a metric, it is recorded as ‘unavailable', unless it was pointed out in the inspected source as an omission. Similarly, a generic regulation violation would be classified as a generic violation, rather than as misconduct by a specific merchant</w:t>
      </w:r>
      <w:r>
        <w:rPr>
          <w:lang w:val="en-US"/>
        </w:rPr>
        <w:t xml:space="preserve"> </w:t>
      </w:r>
      <w:r>
        <w:t>(Ragab and Arisha, 2017). This rule helps to ensure that illustrations used in guidance are not taken as "observations. A complaint raised about a reporting year doesn't carry over to another year unless there is matching evidence. When documents employ different organisational boundaries, there are no assumptions of equivalence made, but the difference is respected. Appendix H demonstrates this rule for the quantitative material used.</w:t>
      </w:r>
    </w:p>
    <w:p w14:paraId="6DEB7EDE">
      <w:r>
        <w:t>Claim to extract checks and checking competing explanations for the four themes brought analytical closure. Closure is not the same as "when there is no more to be added". It proposes that the material checked will have the retained propositions addressed and any uncertainties remaining are reported. Results were limited or cancelled out because of missing documentation</w:t>
      </w:r>
      <w:r>
        <w:rPr>
          <w:lang w:val="en-US"/>
        </w:rPr>
        <w:t xml:space="preserve"> </w:t>
      </w:r>
      <w:r>
        <w:t>(Saunders, Lewis and Thornhill, 2023). This stopping rule renders the scope manageable while still maintaining an evidential basis demonstrating the sufficiency of interpretations with regard to one retailer and the coverage for all retailers. It also makes it possible to expand the auditing analysis in later research without assuming that the present account is conclusive as an environmental check of the companies' environmental performance and the opinions of consumers.</w:t>
      </w:r>
    </w:p>
    <w:p w14:paraId="7E6EF5A4">
      <w:pPr>
        <w:pStyle w:val="3"/>
        <w:rPr>
          <w:rFonts w:cs="Times New Roman"/>
        </w:rPr>
      </w:pPr>
      <w:bookmarkStart w:id="49" w:name="_Toc240757357"/>
      <w:r>
        <w:rPr>
          <w:rFonts w:cs="Times New Roman"/>
        </w:rPr>
        <w:t>3.8 Ethics, limitations and chapter conclusion</w:t>
      </w:r>
      <w:bookmarkEnd w:id="49"/>
    </w:p>
    <w:p w14:paraId="01D2A378">
      <w:r>
        <w:t>The study does not involve the recruitment or direct collection of private personal data, but of public organisational material. Sources are cited, brief quotations are explained and criticised opinions are separated from legal conclusions. In particular, voluntary commitments are not referred to as admissions of fault</w:t>
      </w:r>
      <w:r>
        <w:rPr>
          <w:lang w:val="en-US"/>
        </w:rPr>
        <w:t xml:space="preserve"> </w:t>
      </w:r>
      <w:r>
        <w:t>(Saunders, Lewis and Thornhill, 2023). Where there are no documented ethical procedures or approval, the analysis does not claim it to be such. Institutional requirements on secondary research rules of acknowledging the research assistance still apply.</w:t>
      </w:r>
    </w:p>
    <w:p w14:paraId="08D5F50F">
      <w:r>
        <w:t>The most important limitations are non-uniform case coverage, changes in the Web pages, selective disclosure, inconclusive access and lack of direct consumer evidence. The overseas regulatory decisions are placed in context but are not a finding of a violation in the UK. Keeping the differences in the reporting period and measurement boundaries in mind, it is not possible to determine simple information on the ranking of company performances</w:t>
      </w:r>
      <w:r>
        <w:rPr>
          <w:lang w:val="en-US"/>
        </w:rPr>
        <w:t xml:space="preserve"> </w:t>
      </w:r>
      <w:r>
        <w:t>(Saunders, Lewis and Thornhill, 2023). However, the design offers an auditable and coherent investigation of the documentary support or lack of sustainability claims. This protocol is put into practice in Chapter 4. The extensive theory comparison and managerial recommendations are provided in the following chapters.</w:t>
      </w:r>
    </w:p>
    <w:p w14:paraId="1326F85A">
      <w:r>
        <w:br w:type="page"/>
      </w:r>
    </w:p>
    <w:p w14:paraId="7E4C9618">
      <w:pPr>
        <w:pStyle w:val="2"/>
        <w:spacing w:before="400" w:after="200"/>
      </w:pPr>
      <w:bookmarkStart w:id="50" w:name="_Toc240757358"/>
      <w:r>
        <w:t>Chapter 4: Documentary Analysis and Findings</w:t>
      </w:r>
      <w:bookmarkEnd w:id="50"/>
    </w:p>
    <w:p w14:paraId="5B2716C5">
      <w:pPr>
        <w:pStyle w:val="3"/>
        <w:spacing w:before="300" w:after="150"/>
      </w:pPr>
      <w:bookmarkStart w:id="51" w:name="_Toc240757359"/>
      <w:r>
        <w:t>4.1 Introduction</w:t>
      </w:r>
      <w:bookmarkEnd w:id="51"/>
    </w:p>
    <w:p w14:paraId="05A16DBE">
      <w:r>
        <w:rPr>
          <w:szCs w:val="24"/>
        </w:rPr>
        <w:t>Findings from a documentary analysis of five fast fashion retailers (ASOS, Boohoo, Primark, H&amp;M and Zara) are presented in this chapter. Based on 15 sources from corporate publications, regulatory and NGO bodies, and industry analysis, it examines how these retailers communicate sustainability strategies, the consistency of some claims, and their operational context</w:t>
      </w:r>
      <w:r>
        <w:rPr>
          <w:szCs w:val="24"/>
          <w:lang w:val="en-US"/>
        </w:rPr>
        <w:t xml:space="preserve"> </w:t>
      </w:r>
      <w:r>
        <w:rPr>
          <w:szCs w:val="24"/>
          <w:lang w:val="zh-CN"/>
        </w:rPr>
        <w:t>(Hejlova et al., 2025)</w:t>
      </w:r>
      <w:r>
        <w:rPr>
          <w:szCs w:val="24"/>
        </w:rPr>
        <w:t>. For the analysis</w:t>
      </w:r>
      <w:r>
        <w:rPr>
          <w:szCs w:val="24"/>
          <w:lang w:val="en-US"/>
        </w:rPr>
        <w:t>,</w:t>
      </w:r>
      <w:r>
        <w:rPr>
          <w:szCs w:val="24"/>
        </w:rPr>
        <w:t xml:space="preserve"> the criteria used are specificity, verification, transparency and operational congruence as described (see Chapter 3). It demonstrates within</w:t>
      </w:r>
      <w:r>
        <w:rPr>
          <w:szCs w:val="24"/>
          <w:lang w:val="en-US"/>
        </w:rPr>
        <w:t>-</w:t>
      </w:r>
      <w:r>
        <w:rPr>
          <w:szCs w:val="24"/>
        </w:rPr>
        <w:t>case and across</w:t>
      </w:r>
      <w:r>
        <w:rPr>
          <w:szCs w:val="24"/>
          <w:lang w:val="en-US"/>
        </w:rPr>
        <w:t>-</w:t>
      </w:r>
      <w:r>
        <w:rPr>
          <w:szCs w:val="24"/>
        </w:rPr>
        <w:t>case analysis, reveals salient themes, triangulates results</w:t>
      </w:r>
      <w:r>
        <w:rPr>
          <w:szCs w:val="24"/>
          <w:lang w:val="en-US"/>
        </w:rPr>
        <w:t>,</w:t>
      </w:r>
      <w:r>
        <w:rPr>
          <w:szCs w:val="24"/>
        </w:rPr>
        <w:t xml:space="preserve"> and addresses the research questions. Reality in the documentary is discussed, as well as its implications for brand image, stakeholder trust and reputation</w:t>
      </w:r>
      <w:r>
        <w:rPr>
          <w:szCs w:val="24"/>
          <w:lang w:val="en-US"/>
        </w:rPr>
        <w:t xml:space="preserve">, </w:t>
      </w:r>
      <w:r>
        <w:rPr>
          <w:szCs w:val="24"/>
        </w:rPr>
        <w:t>but not necessarily measurable consumer behaviour displayed by these retailers.</w:t>
      </w:r>
    </w:p>
    <w:p w14:paraId="1CFBD443">
      <w:pPr>
        <w:pStyle w:val="3"/>
        <w:spacing w:before="300" w:after="150"/>
      </w:pPr>
      <w:bookmarkStart w:id="52" w:name="_Toc240757360"/>
      <w:r>
        <w:t>4.2 Corpus Composition and Comparative Reach</w:t>
      </w:r>
      <w:bookmarkEnd w:id="52"/>
    </w:p>
    <w:p w14:paraId="040AD7B3">
      <w:r>
        <w:rPr>
          <w:szCs w:val="24"/>
        </w:rPr>
        <w:t>Fifteen different documentary units make up the retained corpus. The three annual reports and one parliamentary submission comprise corporate materials. Five of the units are from regulatory or legislative sources, four units are from NGO publications</w:t>
      </w:r>
      <w:r>
        <w:rPr>
          <w:szCs w:val="24"/>
          <w:lang w:val="en-US"/>
        </w:rPr>
        <w:t>,</w:t>
      </w:r>
      <w:r>
        <w:rPr>
          <w:szCs w:val="24"/>
        </w:rPr>
        <w:t xml:space="preserve"> and one unit is based on industry analysis. Table 4.1 presents an overview of coverage for retailer and source category.</w:t>
      </w:r>
    </w:p>
    <w:p w14:paraId="2F019AD6">
      <w:pPr>
        <w:spacing w:before="60" w:after="60"/>
      </w:pPr>
    </w:p>
    <w:tbl>
      <w:tblPr>
        <w:tblStyle w:val="12"/>
        <w:tblW w:w="7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60" w:type="dxa"/>
          <w:left w:w="60" w:type="dxa"/>
          <w:bottom w:w="60" w:type="dxa"/>
          <w:right w:w="60" w:type="dxa"/>
        </w:tblCellMar>
      </w:tblPr>
      <w:tblGrid>
        <w:gridCol w:w="1208"/>
        <w:gridCol w:w="1187"/>
        <w:gridCol w:w="1667"/>
        <w:gridCol w:w="1574"/>
        <w:gridCol w:w="667"/>
        <w:gridCol w:w="1014"/>
        <w:gridCol w:w="645"/>
      </w:tblGrid>
      <w:tr w14:paraId="2AE34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rPr>
          <w:tblHeader/>
          <w:jc w:val="center"/>
        </w:trPr>
        <w:tc>
          <w:tcPr>
            <w:tcW w:w="2200" w:type="dxa"/>
            <w:shd w:val="clear" w:color="auto" w:fill="D0D0D0"/>
          </w:tcPr>
          <w:p w14:paraId="6B9DCF0B">
            <w:pPr>
              <w:spacing w:before="60" w:after="60"/>
              <w:jc w:val="center"/>
            </w:pPr>
            <w:r>
              <w:rPr>
                <w:b/>
                <w:bCs/>
                <w:szCs w:val="24"/>
              </w:rPr>
              <w:t>Retailer / Coverage</w:t>
            </w:r>
          </w:p>
        </w:tc>
        <w:tc>
          <w:tcPr>
            <w:tcW w:w="900" w:type="dxa"/>
            <w:shd w:val="clear" w:color="auto" w:fill="D0D0D0"/>
          </w:tcPr>
          <w:p w14:paraId="201CC7E4">
            <w:pPr>
              <w:spacing w:before="60" w:after="60"/>
              <w:jc w:val="center"/>
            </w:pPr>
            <w:r>
              <w:rPr>
                <w:b/>
                <w:bCs/>
                <w:szCs w:val="24"/>
              </w:rPr>
              <w:t>Corporate</w:t>
            </w:r>
          </w:p>
        </w:tc>
        <w:tc>
          <w:tcPr>
            <w:tcW w:w="1100" w:type="dxa"/>
            <w:shd w:val="clear" w:color="auto" w:fill="D0D0D0"/>
          </w:tcPr>
          <w:p w14:paraId="0B2D4914">
            <w:pPr>
              <w:spacing w:before="60" w:after="60"/>
              <w:jc w:val="center"/>
            </w:pPr>
            <w:r>
              <w:rPr>
                <w:b/>
                <w:bCs/>
                <w:szCs w:val="24"/>
              </w:rPr>
              <w:t>Campaign/web</w:t>
            </w:r>
          </w:p>
        </w:tc>
        <w:tc>
          <w:tcPr>
            <w:tcW w:w="1100" w:type="dxa"/>
            <w:shd w:val="clear" w:color="auto" w:fill="D0D0D0"/>
          </w:tcPr>
          <w:p w14:paraId="6359302C">
            <w:pPr>
              <w:spacing w:before="60" w:after="60"/>
              <w:jc w:val="center"/>
            </w:pPr>
            <w:r>
              <w:rPr>
                <w:b/>
                <w:bCs/>
                <w:szCs w:val="24"/>
              </w:rPr>
              <w:t>Regulator/law</w:t>
            </w:r>
          </w:p>
        </w:tc>
        <w:tc>
          <w:tcPr>
            <w:tcW w:w="900" w:type="dxa"/>
            <w:shd w:val="clear" w:color="auto" w:fill="D0D0D0"/>
          </w:tcPr>
          <w:p w14:paraId="6F99F2C1">
            <w:pPr>
              <w:spacing w:before="60" w:after="60"/>
              <w:jc w:val="center"/>
            </w:pPr>
            <w:r>
              <w:rPr>
                <w:b/>
                <w:bCs/>
                <w:szCs w:val="24"/>
              </w:rPr>
              <w:t>NGO</w:t>
            </w:r>
          </w:p>
        </w:tc>
        <w:tc>
          <w:tcPr>
            <w:tcW w:w="900" w:type="dxa"/>
            <w:shd w:val="clear" w:color="auto" w:fill="D0D0D0"/>
          </w:tcPr>
          <w:p w14:paraId="0002D01A">
            <w:pPr>
              <w:spacing w:before="60" w:after="60"/>
              <w:jc w:val="center"/>
            </w:pPr>
            <w:r>
              <w:rPr>
                <w:b/>
                <w:bCs/>
                <w:szCs w:val="24"/>
              </w:rPr>
              <w:t>Industry</w:t>
            </w:r>
          </w:p>
        </w:tc>
        <w:tc>
          <w:tcPr>
            <w:tcW w:w="800" w:type="dxa"/>
            <w:shd w:val="clear" w:color="auto" w:fill="D0D0D0"/>
          </w:tcPr>
          <w:p w14:paraId="06F61DD6">
            <w:pPr>
              <w:spacing w:before="60" w:after="60"/>
              <w:jc w:val="center"/>
            </w:pPr>
            <w:r>
              <w:rPr>
                <w:b/>
                <w:bCs/>
                <w:szCs w:val="24"/>
              </w:rPr>
              <w:t>Total</w:t>
            </w:r>
          </w:p>
        </w:tc>
      </w:tr>
      <w:tr w14:paraId="0379B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rPr>
          <w:jc w:val="center"/>
        </w:trPr>
        <w:tc>
          <w:tcPr>
            <w:tcW w:w="2200" w:type="dxa"/>
          </w:tcPr>
          <w:p w14:paraId="6CAFC02F">
            <w:pPr>
              <w:spacing w:before="50" w:after="50"/>
            </w:pPr>
            <w:r>
              <w:rPr>
                <w:sz w:val="22"/>
              </w:rPr>
              <w:t>ASOS</w:t>
            </w:r>
          </w:p>
        </w:tc>
        <w:tc>
          <w:tcPr>
            <w:tcW w:w="900" w:type="dxa"/>
          </w:tcPr>
          <w:p w14:paraId="2D6CBE51">
            <w:pPr>
              <w:spacing w:before="50" w:after="50"/>
            </w:pPr>
            <w:r>
              <w:rPr>
                <w:sz w:val="22"/>
              </w:rPr>
              <w:t>1</w:t>
            </w:r>
          </w:p>
        </w:tc>
        <w:tc>
          <w:tcPr>
            <w:tcW w:w="1100" w:type="dxa"/>
          </w:tcPr>
          <w:p w14:paraId="3FCDEAD7">
            <w:pPr>
              <w:spacing w:before="50" w:after="50"/>
            </w:pPr>
            <w:r>
              <w:rPr>
                <w:sz w:val="22"/>
              </w:rPr>
              <w:t>1</w:t>
            </w:r>
          </w:p>
        </w:tc>
        <w:tc>
          <w:tcPr>
            <w:tcW w:w="1100" w:type="dxa"/>
          </w:tcPr>
          <w:p w14:paraId="59B70389">
            <w:pPr>
              <w:spacing w:before="50" w:after="50"/>
            </w:pPr>
            <w:r>
              <w:rPr>
                <w:sz w:val="22"/>
              </w:rPr>
              <w:t>1</w:t>
            </w:r>
          </w:p>
        </w:tc>
        <w:tc>
          <w:tcPr>
            <w:tcW w:w="900" w:type="dxa"/>
          </w:tcPr>
          <w:p w14:paraId="5D0F78E8">
            <w:pPr>
              <w:spacing w:before="50" w:after="50"/>
            </w:pPr>
            <w:r>
              <w:rPr>
                <w:sz w:val="22"/>
              </w:rPr>
              <w:t>1</w:t>
            </w:r>
          </w:p>
        </w:tc>
        <w:tc>
          <w:tcPr>
            <w:tcW w:w="900" w:type="dxa"/>
          </w:tcPr>
          <w:p w14:paraId="359E49D4">
            <w:pPr>
              <w:spacing w:before="50" w:after="50"/>
            </w:pPr>
            <w:r>
              <w:rPr>
                <w:sz w:val="22"/>
              </w:rPr>
              <w:t>0</w:t>
            </w:r>
          </w:p>
        </w:tc>
        <w:tc>
          <w:tcPr>
            <w:tcW w:w="800" w:type="dxa"/>
          </w:tcPr>
          <w:p w14:paraId="148312ED">
            <w:pPr>
              <w:spacing w:before="50" w:after="50"/>
            </w:pPr>
            <w:r>
              <w:rPr>
                <w:sz w:val="22"/>
              </w:rPr>
              <w:t>4</w:t>
            </w:r>
          </w:p>
        </w:tc>
      </w:tr>
      <w:tr w14:paraId="190F5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rPr>
          <w:jc w:val="center"/>
        </w:trPr>
        <w:tc>
          <w:tcPr>
            <w:tcW w:w="2200" w:type="dxa"/>
          </w:tcPr>
          <w:p w14:paraId="6F7FE788">
            <w:pPr>
              <w:spacing w:before="50" w:after="50"/>
            </w:pPr>
            <w:r>
              <w:rPr>
                <w:sz w:val="22"/>
              </w:rPr>
              <w:t>Boohoo</w:t>
            </w:r>
          </w:p>
        </w:tc>
        <w:tc>
          <w:tcPr>
            <w:tcW w:w="900" w:type="dxa"/>
          </w:tcPr>
          <w:p w14:paraId="18E2390E">
            <w:pPr>
              <w:spacing w:before="50" w:after="50"/>
            </w:pPr>
            <w:r>
              <w:rPr>
                <w:sz w:val="22"/>
              </w:rPr>
              <w:t>1</w:t>
            </w:r>
          </w:p>
        </w:tc>
        <w:tc>
          <w:tcPr>
            <w:tcW w:w="1100" w:type="dxa"/>
          </w:tcPr>
          <w:p w14:paraId="39B39019">
            <w:pPr>
              <w:spacing w:before="50" w:after="50"/>
            </w:pPr>
            <w:r>
              <w:rPr>
                <w:sz w:val="22"/>
              </w:rPr>
              <w:t>0</w:t>
            </w:r>
          </w:p>
        </w:tc>
        <w:tc>
          <w:tcPr>
            <w:tcW w:w="1100" w:type="dxa"/>
          </w:tcPr>
          <w:p w14:paraId="38ABE9E5">
            <w:pPr>
              <w:spacing w:before="50" w:after="50"/>
            </w:pPr>
            <w:r>
              <w:rPr>
                <w:sz w:val="22"/>
              </w:rPr>
              <w:t>1</w:t>
            </w:r>
          </w:p>
        </w:tc>
        <w:tc>
          <w:tcPr>
            <w:tcW w:w="900" w:type="dxa"/>
          </w:tcPr>
          <w:p w14:paraId="3638D5BA">
            <w:pPr>
              <w:spacing w:before="50" w:after="50"/>
            </w:pPr>
            <w:r>
              <w:rPr>
                <w:sz w:val="22"/>
              </w:rPr>
              <w:t>2</w:t>
            </w:r>
          </w:p>
        </w:tc>
        <w:tc>
          <w:tcPr>
            <w:tcW w:w="900" w:type="dxa"/>
          </w:tcPr>
          <w:p w14:paraId="3D6C0AC0">
            <w:pPr>
              <w:spacing w:before="50" w:after="50"/>
            </w:pPr>
            <w:r>
              <w:rPr>
                <w:sz w:val="22"/>
              </w:rPr>
              <w:t>0</w:t>
            </w:r>
          </w:p>
        </w:tc>
        <w:tc>
          <w:tcPr>
            <w:tcW w:w="800" w:type="dxa"/>
          </w:tcPr>
          <w:p w14:paraId="74E53AD8">
            <w:pPr>
              <w:spacing w:before="50" w:after="50"/>
            </w:pPr>
            <w:r>
              <w:rPr>
                <w:sz w:val="22"/>
              </w:rPr>
              <w:t>4</w:t>
            </w:r>
          </w:p>
        </w:tc>
      </w:tr>
      <w:tr w14:paraId="67782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rPr>
          <w:jc w:val="center"/>
        </w:trPr>
        <w:tc>
          <w:tcPr>
            <w:tcW w:w="2200" w:type="dxa"/>
          </w:tcPr>
          <w:p w14:paraId="7D294D45">
            <w:pPr>
              <w:spacing w:before="50" w:after="50"/>
            </w:pPr>
            <w:r>
              <w:rPr>
                <w:sz w:val="22"/>
              </w:rPr>
              <w:t>Primark</w:t>
            </w:r>
          </w:p>
        </w:tc>
        <w:tc>
          <w:tcPr>
            <w:tcW w:w="900" w:type="dxa"/>
          </w:tcPr>
          <w:p w14:paraId="3486494D">
            <w:pPr>
              <w:spacing w:before="50" w:after="50"/>
            </w:pPr>
            <w:r>
              <w:rPr>
                <w:sz w:val="22"/>
              </w:rPr>
              <w:t>0</w:t>
            </w:r>
          </w:p>
        </w:tc>
        <w:tc>
          <w:tcPr>
            <w:tcW w:w="1100" w:type="dxa"/>
          </w:tcPr>
          <w:p w14:paraId="1EB6E4C5">
            <w:pPr>
              <w:spacing w:before="50" w:after="50"/>
            </w:pPr>
            <w:r>
              <w:rPr>
                <w:sz w:val="22"/>
              </w:rPr>
              <w:t>0</w:t>
            </w:r>
          </w:p>
        </w:tc>
        <w:tc>
          <w:tcPr>
            <w:tcW w:w="1100" w:type="dxa"/>
          </w:tcPr>
          <w:p w14:paraId="69730C37">
            <w:pPr>
              <w:spacing w:before="50" w:after="50"/>
            </w:pPr>
            <w:r>
              <w:rPr>
                <w:sz w:val="22"/>
              </w:rPr>
              <w:t>0</w:t>
            </w:r>
          </w:p>
        </w:tc>
        <w:tc>
          <w:tcPr>
            <w:tcW w:w="900" w:type="dxa"/>
          </w:tcPr>
          <w:p w14:paraId="7DA89216">
            <w:pPr>
              <w:spacing w:before="50" w:after="50"/>
            </w:pPr>
            <w:r>
              <w:rPr>
                <w:sz w:val="22"/>
              </w:rPr>
              <w:t>1</w:t>
            </w:r>
          </w:p>
        </w:tc>
        <w:tc>
          <w:tcPr>
            <w:tcW w:w="900" w:type="dxa"/>
          </w:tcPr>
          <w:p w14:paraId="46F95CB7">
            <w:pPr>
              <w:spacing w:before="50" w:after="50"/>
            </w:pPr>
            <w:r>
              <w:rPr>
                <w:sz w:val="22"/>
              </w:rPr>
              <w:t>0</w:t>
            </w:r>
          </w:p>
        </w:tc>
        <w:tc>
          <w:tcPr>
            <w:tcW w:w="800" w:type="dxa"/>
          </w:tcPr>
          <w:p w14:paraId="6766A295">
            <w:pPr>
              <w:spacing w:before="50" w:after="50"/>
            </w:pPr>
            <w:r>
              <w:rPr>
                <w:sz w:val="22"/>
              </w:rPr>
              <w:t>1</w:t>
            </w:r>
          </w:p>
        </w:tc>
      </w:tr>
      <w:tr w14:paraId="63DC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rPr>
          <w:jc w:val="center"/>
        </w:trPr>
        <w:tc>
          <w:tcPr>
            <w:tcW w:w="2200" w:type="dxa"/>
          </w:tcPr>
          <w:p w14:paraId="06883C39">
            <w:pPr>
              <w:spacing w:before="50" w:after="50"/>
            </w:pPr>
            <w:r>
              <w:rPr>
                <w:sz w:val="22"/>
              </w:rPr>
              <w:t>H&amp;M</w:t>
            </w:r>
          </w:p>
        </w:tc>
        <w:tc>
          <w:tcPr>
            <w:tcW w:w="900" w:type="dxa"/>
          </w:tcPr>
          <w:p w14:paraId="337AFC9F">
            <w:pPr>
              <w:spacing w:before="50" w:after="50"/>
            </w:pPr>
            <w:r>
              <w:rPr>
                <w:sz w:val="22"/>
              </w:rPr>
              <w:t>1</w:t>
            </w:r>
          </w:p>
        </w:tc>
        <w:tc>
          <w:tcPr>
            <w:tcW w:w="1100" w:type="dxa"/>
          </w:tcPr>
          <w:p w14:paraId="103A3628">
            <w:pPr>
              <w:spacing w:before="50" w:after="50"/>
            </w:pPr>
            <w:r>
              <w:rPr>
                <w:sz w:val="22"/>
              </w:rPr>
              <w:t>0</w:t>
            </w:r>
          </w:p>
        </w:tc>
        <w:tc>
          <w:tcPr>
            <w:tcW w:w="1100" w:type="dxa"/>
          </w:tcPr>
          <w:p w14:paraId="243C6091">
            <w:pPr>
              <w:spacing w:before="50" w:after="50"/>
            </w:pPr>
            <w:r>
              <w:rPr>
                <w:sz w:val="22"/>
              </w:rPr>
              <w:t>1</w:t>
            </w:r>
          </w:p>
        </w:tc>
        <w:tc>
          <w:tcPr>
            <w:tcW w:w="900" w:type="dxa"/>
          </w:tcPr>
          <w:p w14:paraId="3B5171D1">
            <w:pPr>
              <w:spacing w:before="50" w:after="50"/>
            </w:pPr>
            <w:r>
              <w:rPr>
                <w:sz w:val="22"/>
              </w:rPr>
              <w:t>2</w:t>
            </w:r>
          </w:p>
        </w:tc>
        <w:tc>
          <w:tcPr>
            <w:tcW w:w="900" w:type="dxa"/>
          </w:tcPr>
          <w:p w14:paraId="3E884248">
            <w:pPr>
              <w:spacing w:before="50" w:after="50"/>
            </w:pPr>
            <w:r>
              <w:rPr>
                <w:sz w:val="22"/>
              </w:rPr>
              <w:t>0</w:t>
            </w:r>
          </w:p>
        </w:tc>
        <w:tc>
          <w:tcPr>
            <w:tcW w:w="800" w:type="dxa"/>
          </w:tcPr>
          <w:p w14:paraId="0C639874">
            <w:pPr>
              <w:spacing w:before="50" w:after="50"/>
            </w:pPr>
            <w:r>
              <w:rPr>
                <w:sz w:val="22"/>
              </w:rPr>
              <w:t>4</w:t>
            </w:r>
          </w:p>
        </w:tc>
      </w:tr>
      <w:tr w14:paraId="133DC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rPr>
          <w:jc w:val="center"/>
        </w:trPr>
        <w:tc>
          <w:tcPr>
            <w:tcW w:w="2200" w:type="dxa"/>
          </w:tcPr>
          <w:p w14:paraId="1797412F">
            <w:pPr>
              <w:spacing w:before="50" w:after="50"/>
            </w:pPr>
            <w:r>
              <w:rPr>
                <w:sz w:val="22"/>
              </w:rPr>
              <w:t>Zara/Inditex</w:t>
            </w:r>
          </w:p>
        </w:tc>
        <w:tc>
          <w:tcPr>
            <w:tcW w:w="900" w:type="dxa"/>
          </w:tcPr>
          <w:p w14:paraId="20AC5A94">
            <w:pPr>
              <w:spacing w:before="50" w:after="50"/>
            </w:pPr>
            <w:r>
              <w:rPr>
                <w:sz w:val="22"/>
              </w:rPr>
              <w:t>1</w:t>
            </w:r>
          </w:p>
        </w:tc>
        <w:tc>
          <w:tcPr>
            <w:tcW w:w="1100" w:type="dxa"/>
          </w:tcPr>
          <w:p w14:paraId="0F1BA394">
            <w:pPr>
              <w:spacing w:before="50" w:after="50"/>
            </w:pPr>
            <w:r>
              <w:rPr>
                <w:sz w:val="22"/>
              </w:rPr>
              <w:t>0</w:t>
            </w:r>
          </w:p>
        </w:tc>
        <w:tc>
          <w:tcPr>
            <w:tcW w:w="1100" w:type="dxa"/>
          </w:tcPr>
          <w:p w14:paraId="325F2701">
            <w:pPr>
              <w:spacing w:before="50" w:after="50"/>
            </w:pPr>
            <w:r>
              <w:rPr>
                <w:sz w:val="22"/>
              </w:rPr>
              <w:t>0</w:t>
            </w:r>
          </w:p>
        </w:tc>
        <w:tc>
          <w:tcPr>
            <w:tcW w:w="900" w:type="dxa"/>
          </w:tcPr>
          <w:p w14:paraId="07681AB9">
            <w:pPr>
              <w:spacing w:before="50" w:after="50"/>
            </w:pPr>
            <w:r>
              <w:rPr>
                <w:sz w:val="22"/>
              </w:rPr>
              <w:t>2</w:t>
            </w:r>
          </w:p>
        </w:tc>
        <w:tc>
          <w:tcPr>
            <w:tcW w:w="900" w:type="dxa"/>
          </w:tcPr>
          <w:p w14:paraId="3FD5D804">
            <w:pPr>
              <w:spacing w:before="50" w:after="50"/>
            </w:pPr>
            <w:r>
              <w:rPr>
                <w:sz w:val="22"/>
              </w:rPr>
              <w:t>0</w:t>
            </w:r>
          </w:p>
        </w:tc>
        <w:tc>
          <w:tcPr>
            <w:tcW w:w="800" w:type="dxa"/>
          </w:tcPr>
          <w:p w14:paraId="09CCDCC2">
            <w:pPr>
              <w:spacing w:before="50" w:after="50"/>
            </w:pPr>
            <w:r>
              <w:rPr>
                <w:sz w:val="22"/>
              </w:rPr>
              <w:t>3</w:t>
            </w:r>
          </w:p>
        </w:tc>
      </w:tr>
      <w:tr w14:paraId="3DC9C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rPr>
          <w:jc w:val="center"/>
        </w:trPr>
        <w:tc>
          <w:tcPr>
            <w:tcW w:w="2200" w:type="dxa"/>
          </w:tcPr>
          <w:p w14:paraId="44086AF9">
            <w:pPr>
              <w:spacing w:before="50" w:after="50"/>
            </w:pPr>
            <w:r>
              <w:rPr>
                <w:sz w:val="22"/>
              </w:rPr>
              <w:t>Shared context</w:t>
            </w:r>
          </w:p>
        </w:tc>
        <w:tc>
          <w:tcPr>
            <w:tcW w:w="900" w:type="dxa"/>
          </w:tcPr>
          <w:p w14:paraId="11FCA4BB">
            <w:pPr>
              <w:spacing w:before="50" w:after="50"/>
            </w:pPr>
            <w:r>
              <w:rPr>
                <w:sz w:val="22"/>
              </w:rPr>
              <w:t>0</w:t>
            </w:r>
          </w:p>
        </w:tc>
        <w:tc>
          <w:tcPr>
            <w:tcW w:w="1100" w:type="dxa"/>
          </w:tcPr>
          <w:p w14:paraId="24485E58">
            <w:pPr>
              <w:spacing w:before="50" w:after="50"/>
            </w:pPr>
            <w:r>
              <w:rPr>
                <w:sz w:val="22"/>
              </w:rPr>
              <w:t>0</w:t>
            </w:r>
          </w:p>
        </w:tc>
        <w:tc>
          <w:tcPr>
            <w:tcW w:w="1100" w:type="dxa"/>
          </w:tcPr>
          <w:p w14:paraId="07582998">
            <w:pPr>
              <w:spacing w:before="50" w:after="50"/>
            </w:pPr>
            <w:r>
              <w:rPr>
                <w:sz w:val="22"/>
              </w:rPr>
              <w:t>3</w:t>
            </w:r>
          </w:p>
        </w:tc>
        <w:tc>
          <w:tcPr>
            <w:tcW w:w="900" w:type="dxa"/>
          </w:tcPr>
          <w:p w14:paraId="5C40549B">
            <w:pPr>
              <w:spacing w:before="50" w:after="50"/>
            </w:pPr>
            <w:r>
              <w:rPr>
                <w:sz w:val="22"/>
              </w:rPr>
              <w:t>2</w:t>
            </w:r>
          </w:p>
        </w:tc>
        <w:tc>
          <w:tcPr>
            <w:tcW w:w="900" w:type="dxa"/>
          </w:tcPr>
          <w:p w14:paraId="2AFA947A">
            <w:pPr>
              <w:spacing w:before="50" w:after="50"/>
            </w:pPr>
            <w:r>
              <w:rPr>
                <w:sz w:val="22"/>
              </w:rPr>
              <w:t>1</w:t>
            </w:r>
          </w:p>
        </w:tc>
        <w:tc>
          <w:tcPr>
            <w:tcW w:w="800" w:type="dxa"/>
          </w:tcPr>
          <w:p w14:paraId="6A1EE1D0">
            <w:pPr>
              <w:spacing w:before="50" w:after="50"/>
            </w:pPr>
            <w:r>
              <w:rPr>
                <w:sz w:val="22"/>
              </w:rPr>
              <w:t>6</w:t>
            </w:r>
          </w:p>
        </w:tc>
      </w:tr>
      <w:tr w14:paraId="51B4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rPr>
          <w:jc w:val="center"/>
        </w:trPr>
        <w:tc>
          <w:tcPr>
            <w:tcW w:w="2200" w:type="dxa"/>
          </w:tcPr>
          <w:p w14:paraId="01A68A69">
            <w:pPr>
              <w:spacing w:before="50" w:after="50"/>
            </w:pPr>
            <w:r>
              <w:rPr>
                <w:sz w:val="22"/>
              </w:rPr>
              <w:t>Unique units</w:t>
            </w:r>
          </w:p>
        </w:tc>
        <w:tc>
          <w:tcPr>
            <w:tcW w:w="900" w:type="dxa"/>
          </w:tcPr>
          <w:p w14:paraId="6D1896A3">
            <w:pPr>
              <w:spacing w:before="50" w:after="50"/>
            </w:pPr>
            <w:r>
              <w:rPr>
                <w:sz w:val="22"/>
              </w:rPr>
              <w:t>4</w:t>
            </w:r>
          </w:p>
        </w:tc>
        <w:tc>
          <w:tcPr>
            <w:tcW w:w="1100" w:type="dxa"/>
          </w:tcPr>
          <w:p w14:paraId="6357E9C5">
            <w:pPr>
              <w:spacing w:before="50" w:after="50"/>
            </w:pPr>
            <w:r>
              <w:rPr>
                <w:sz w:val="22"/>
              </w:rPr>
              <w:t>1</w:t>
            </w:r>
          </w:p>
        </w:tc>
        <w:tc>
          <w:tcPr>
            <w:tcW w:w="1100" w:type="dxa"/>
          </w:tcPr>
          <w:p w14:paraId="3EB007DA">
            <w:pPr>
              <w:spacing w:before="50" w:after="50"/>
            </w:pPr>
            <w:r>
              <w:rPr>
                <w:sz w:val="22"/>
              </w:rPr>
              <w:t>5</w:t>
            </w:r>
          </w:p>
        </w:tc>
        <w:tc>
          <w:tcPr>
            <w:tcW w:w="900" w:type="dxa"/>
          </w:tcPr>
          <w:p w14:paraId="022A1582">
            <w:pPr>
              <w:spacing w:before="50" w:after="50"/>
            </w:pPr>
            <w:r>
              <w:rPr>
                <w:sz w:val="22"/>
              </w:rPr>
              <w:t>4</w:t>
            </w:r>
          </w:p>
        </w:tc>
        <w:tc>
          <w:tcPr>
            <w:tcW w:w="900" w:type="dxa"/>
          </w:tcPr>
          <w:p w14:paraId="2387D181">
            <w:pPr>
              <w:spacing w:before="50" w:after="50"/>
            </w:pPr>
            <w:r>
              <w:rPr>
                <w:sz w:val="22"/>
              </w:rPr>
              <w:t>1</w:t>
            </w:r>
          </w:p>
        </w:tc>
        <w:tc>
          <w:tcPr>
            <w:tcW w:w="800" w:type="dxa"/>
          </w:tcPr>
          <w:p w14:paraId="2C7CFAF6">
            <w:pPr>
              <w:spacing w:before="50" w:after="50"/>
            </w:pPr>
            <w:r>
              <w:rPr>
                <w:sz w:val="22"/>
              </w:rPr>
              <w:t>15</w:t>
            </w:r>
          </w:p>
        </w:tc>
      </w:tr>
    </w:tbl>
    <w:p w14:paraId="160EE748">
      <w:pPr>
        <w:spacing w:before="60" w:after="200"/>
        <w:jc w:val="center"/>
      </w:pPr>
      <w:r>
        <w:rPr>
          <w:i/>
          <w:iCs/>
          <w:sz w:val="22"/>
        </w:rPr>
        <w:t>Table 4.1. Documentary coverage by retailer and source category (Source: Appendix B)</w:t>
      </w:r>
    </w:p>
    <w:p w14:paraId="54CB79F1">
      <w:r>
        <w:rPr>
          <w:szCs w:val="24"/>
        </w:rPr>
        <w:t>The degree of coverage varies from retailer to retailer for the five retailers. ASOS and H&amp;M have the biggest documentary base from which detailed comparison of data is possible. What makes Boohoo's parliamentary submission analytically unique is the company providing some of its own performance data</w:t>
      </w:r>
      <w:r>
        <w:rPr>
          <w:szCs w:val="24"/>
          <w:lang w:val="en-US"/>
        </w:rPr>
        <w:t>,</w:t>
      </w:r>
      <w:r>
        <w:rPr>
          <w:szCs w:val="24"/>
        </w:rPr>
        <w:t xml:space="preserve"> which directly challenges what it has said online about its sustainability efforts. Zara is mostly conveyed by means of Inditex group reporting, which poses some problems of attribution inherent in the within-case approach</w:t>
      </w:r>
      <w:r>
        <w:rPr>
          <w:szCs w:val="24"/>
          <w:lang w:val="en-US"/>
        </w:rPr>
        <w:t xml:space="preserve"> </w:t>
      </w:r>
      <w:r>
        <w:rPr>
          <w:szCs w:val="24"/>
          <w:lang w:val="zh-CN"/>
        </w:rPr>
        <w:t>(Badhwar et al., 2024)</w:t>
      </w:r>
      <w:r>
        <w:rPr>
          <w:szCs w:val="24"/>
        </w:rPr>
        <w:t>. Primark has the most limited evidence base</w:t>
      </w:r>
      <w:r>
        <w:rPr>
          <w:szCs w:val="24"/>
          <w:lang w:val="en-US"/>
        </w:rPr>
        <w:t>,</w:t>
      </w:r>
      <w:r>
        <w:rPr>
          <w:szCs w:val="24"/>
        </w:rPr>
        <w:t xml:space="preserve"> including just one NGO publisher summary with commentary. Descriptive results are not coded as positive/negative, but as indeterminate, where evidence is not available, avoiding that penalising those retailers with poor documentation (or rewarding those who disclosed no information at all) would result in inconsistency in the analysis.</w:t>
      </w:r>
    </w:p>
    <w:p w14:paraId="1D11E2A7">
      <w:pPr>
        <w:pStyle w:val="3"/>
        <w:spacing w:before="300" w:after="150"/>
      </w:pPr>
      <w:bookmarkStart w:id="53" w:name="_Toc240757361"/>
      <w:r>
        <w:t>4.3 Within-Case Findings</w:t>
      </w:r>
      <w:bookmarkEnd w:id="53"/>
    </w:p>
    <w:p w14:paraId="5230DAD0">
      <w:pPr>
        <w:pStyle w:val="4"/>
        <w:spacing w:before="200" w:after="100"/>
      </w:pPr>
      <w:bookmarkStart w:id="54" w:name="_Toc240757362"/>
      <w:r>
        <w:t>4.3.1 ASOS: Communicating Responsibility While Managing Credibility Risks</w:t>
      </w:r>
      <w:bookmarkEnd w:id="54"/>
    </w:p>
    <w:p w14:paraId="3747359B">
      <w:pPr>
        <w:rPr>
          <w:szCs w:val="24"/>
        </w:rPr>
      </w:pPr>
      <w:r>
        <w:rPr>
          <w:szCs w:val="24"/>
        </w:rPr>
        <w:t>ASOS's commitments to sustainability are based on the Fashion with Integrity framework, organising commitments under the three dimensions of Planet, Product and People (ASOS plc, 2025b). This structured way places sustainability at the heart of the retail offer; not simply a marketing opportunity, but an all-encompassing strategy</w:t>
      </w:r>
      <w:r>
        <w:rPr>
          <w:szCs w:val="24"/>
          <w:lang w:val="en-US"/>
        </w:rPr>
        <w:t xml:space="preserve"> </w:t>
      </w:r>
      <w:r>
        <w:rPr>
          <w:szCs w:val="24"/>
          <w:lang w:val="zh-CN"/>
        </w:rPr>
        <w:t>(Braun and Clarke, 2022)</w:t>
      </w:r>
      <w:r>
        <w:rPr>
          <w:szCs w:val="24"/>
        </w:rPr>
        <w:t>. The main document of the 2025 annual report is an internal audit undertaken in connection with CMA reporting commitments, as well as a portfolio of circular services provided, such as vintage and rental (ASOS plc, 2025a). The broad statement of strategy leads to stakeholders' associations of environmental awareness and responsibility</w:t>
      </w:r>
      <w:r>
        <w:rPr>
          <w:szCs w:val="24"/>
          <w:lang w:val="en-US"/>
        </w:rPr>
        <w:t>,</w:t>
      </w:r>
      <w:r>
        <w:rPr>
          <w:szCs w:val="24"/>
        </w:rPr>
        <w:t xml:space="preserve"> which are key aspects of a positive brand image in the sustainability context.</w:t>
      </w:r>
    </w:p>
    <w:p w14:paraId="41E03F32">
      <w:pPr>
        <w:rPr>
          <w:szCs w:val="24"/>
        </w:rPr>
      </w:pPr>
      <w:r>
        <w:rPr>
          <w:szCs w:val="24"/>
        </w:rPr>
        <w:t>But the same report notes that there were implementation delays with the care and repair service and that some of the circular services were more aspirational than they were in practice when previous rounds of communications took place. This is twofold for the brand picture. On the other hand, disclosure of implementation challenges could be used as a way to bolster perceptions of corporate integrity, as it would make ASOS stand out as different from retailers that set out ambitious goals without any way to recogni</w:t>
      </w:r>
      <w:r>
        <w:rPr>
          <w:szCs w:val="24"/>
          <w:lang w:val="en-US"/>
        </w:rPr>
        <w:t>s</w:t>
      </w:r>
      <w:r>
        <w:rPr>
          <w:szCs w:val="24"/>
        </w:rPr>
        <w:t>e implementation issues</w:t>
      </w:r>
      <w:r>
        <w:rPr>
          <w:szCs w:val="24"/>
          <w:lang w:val="en-US"/>
        </w:rPr>
        <w:t xml:space="preserve"> </w:t>
      </w:r>
      <w:r>
        <w:rPr>
          <w:szCs w:val="24"/>
          <w:lang w:val="zh-CN"/>
        </w:rPr>
        <w:t>(ASOS plc, 2025b)</w:t>
      </w:r>
      <w:r>
        <w:rPr>
          <w:szCs w:val="24"/>
        </w:rPr>
        <w:t xml:space="preserve">. However, the recognition of delay points to retrospective considerations of whether previous sustainability disclosures were actually a true reflection of the operations, thereby creating some credibility risk. Both </w:t>
      </w:r>
      <w:r>
        <w:rPr>
          <w:szCs w:val="24"/>
          <w:lang w:val="en-US"/>
        </w:rPr>
        <w:t xml:space="preserve">of </w:t>
      </w:r>
      <w:r>
        <w:rPr>
          <w:szCs w:val="24"/>
        </w:rPr>
        <w:t>these are analytically separate and should not be lumped together under the blanket of credibility judgement.</w:t>
      </w:r>
    </w:p>
    <w:p w14:paraId="52E52A5E">
      <w:r>
        <w:rPr>
          <w:szCs w:val="24"/>
        </w:rPr>
        <w:t>There have been no major external challenges for brand credibility in 2024</w:t>
      </w:r>
      <w:r>
        <w:rPr>
          <w:szCs w:val="24"/>
          <w:lang w:val="en-US"/>
        </w:rPr>
        <w:t>. T</w:t>
      </w:r>
      <w:r>
        <w:rPr>
          <w:szCs w:val="24"/>
        </w:rPr>
        <w:t>hough changes mandated by the CMA to the Responsible Edit range, and the upfronting of environmental data on products, have already introduced a dynamic into the space (CMA, 2024). Regulatory intervention raises public and authoritative queries about claims that stakeholders might have hitherto taken for granted—and provides a formal communication trail that's harder to get wrong, and which sticks around after remediation. While CMA action didn't necessarily indicate deliberate deception, it did create a degree of public exposure</w:t>
      </w:r>
      <w:r>
        <w:rPr>
          <w:szCs w:val="24"/>
          <w:lang w:val="en-US"/>
        </w:rPr>
        <w:t>,</w:t>
      </w:r>
      <w:r>
        <w:rPr>
          <w:szCs w:val="24"/>
        </w:rPr>
        <w:t xml:space="preserve"> as some communications required a material amendment, irrespective of how they were characterised legally</w:t>
      </w:r>
      <w:r>
        <w:rPr>
          <w:szCs w:val="24"/>
          <w:lang w:val="en-US"/>
        </w:rPr>
        <w:t xml:space="preserve"> </w:t>
      </w:r>
      <w:r>
        <w:rPr>
          <w:szCs w:val="24"/>
          <w:lang w:val="zh-CN"/>
        </w:rPr>
        <w:t>(CMA, 2024a)</w:t>
      </w:r>
      <w:r>
        <w:rPr>
          <w:szCs w:val="24"/>
        </w:rPr>
        <w:t>. The image of the brand ASOS that results from the bottom of the corpus is thus one of strategically oriented, ambitious communication, but one that is somewhat limited in its credibility by the known areas of implementation failures, and the regulatory hurdle that confines the credibility of the communicated sustainability data to some extent.</w:t>
      </w:r>
    </w:p>
    <w:p w14:paraId="3C9743BF">
      <w:pPr>
        <w:pStyle w:val="4"/>
        <w:spacing w:before="200" w:after="100"/>
      </w:pPr>
      <w:bookmarkStart w:id="55" w:name="_Toc240757363"/>
      <w:r>
        <w:t>4.3.2 Boohoo: The Credibility Cost of Declining Performance</w:t>
      </w:r>
      <w:bookmarkEnd w:id="55"/>
    </w:p>
    <w:p w14:paraId="120EC9EF">
      <w:pPr>
        <w:rPr>
          <w:szCs w:val="24"/>
        </w:rPr>
      </w:pPr>
      <w:r>
        <w:rPr>
          <w:szCs w:val="24"/>
        </w:rPr>
        <w:t>Of the five retailers, the Boohoo case is the clearest example of a discrepancy between sustainability ambition and what has been reported on performance. The company communicates material targets in its submission to the Environmental Audit Committee for 2025 and 2030. However, the same document, created by the company, shows that the percentage of more sustainable materials decreased from 23 per cent in 2021 to 21 per cent in 2022 and 16 per cent in 2023 (Boohoo Group plc, 2024b). This 7% decrease over 2 year</w:t>
      </w:r>
      <w:r>
        <w:rPr>
          <w:szCs w:val="24"/>
          <w:lang w:val="en-US"/>
        </w:rPr>
        <w:t>s</w:t>
      </w:r>
      <w:r>
        <w:rPr>
          <w:szCs w:val="24"/>
        </w:rPr>
        <w:t xml:space="preserve"> is not an outside</w:t>
      </w:r>
      <w:r>
        <w:rPr>
          <w:szCs w:val="24"/>
          <w:lang w:val="en-US"/>
        </w:rPr>
        <w:t>-</w:t>
      </w:r>
      <w:r>
        <w:rPr>
          <w:szCs w:val="24"/>
        </w:rPr>
        <w:t>party claim, but a recent claim by the company</w:t>
      </w:r>
      <w:r>
        <w:rPr>
          <w:szCs w:val="24"/>
          <w:lang w:val="en-US"/>
        </w:rPr>
        <w:t>. T</w:t>
      </w:r>
      <w:r>
        <w:rPr>
          <w:szCs w:val="24"/>
        </w:rPr>
        <w:t>herefore</w:t>
      </w:r>
      <w:r>
        <w:rPr>
          <w:szCs w:val="24"/>
          <w:lang w:val="en-US"/>
        </w:rPr>
        <w:t>,</w:t>
      </w:r>
      <w:r>
        <w:rPr>
          <w:szCs w:val="24"/>
        </w:rPr>
        <w:t xml:space="preserve"> it's analytically solid and strategically important. The material share does not measure absolute environmental impact, but it is a key indicator used by the company to track sustainability progress</w:t>
      </w:r>
      <w:r>
        <w:rPr>
          <w:szCs w:val="24"/>
          <w:lang w:val="en-US"/>
        </w:rPr>
        <w:t xml:space="preserve"> </w:t>
      </w:r>
      <w:r>
        <w:rPr>
          <w:szCs w:val="24"/>
          <w:lang w:val="zh-CN"/>
        </w:rPr>
        <w:t>(Boohoo Group plc, 2023)</w:t>
      </w:r>
      <w:r>
        <w:rPr>
          <w:szCs w:val="24"/>
        </w:rPr>
        <w:t>. Therefore, changes in this measure are important for assessing brand credibility.</w:t>
      </w:r>
    </w:p>
    <w:p w14:paraId="5C659D9B">
      <w:pPr>
        <w:rPr>
          <w:szCs w:val="24"/>
        </w:rPr>
      </w:pPr>
      <w:r>
        <w:rPr>
          <w:szCs w:val="24"/>
        </w:rPr>
        <w:t>The consequences with regard to brand image are significant. When a retailer makes public their willingness to reach greater use of sustainable materials, but they report that they are using less sustainable materials, there is no credibility left in the sustainability story. In cases where the stakeholder knows the answers to the commitment and performance questions, they may ask themselves if the sustainability communication is disingenuous, as it does not seem to be driven by a real strategic interest</w:t>
      </w:r>
      <w:r>
        <w:rPr>
          <w:szCs w:val="24"/>
          <w:lang w:val="en-US"/>
        </w:rPr>
        <w:t xml:space="preserve"> </w:t>
      </w:r>
      <w:r>
        <w:rPr>
          <w:szCs w:val="24"/>
          <w:lang w:val="zh-CN"/>
        </w:rPr>
        <w:t>(Boohoo Group plc, 2023)</w:t>
      </w:r>
      <w:r>
        <w:rPr>
          <w:szCs w:val="24"/>
        </w:rPr>
        <w:t>. Part of the reasons cited for this reduction are disruption and sourcing pressures, which are management rather than causal factor</w:t>
      </w:r>
      <w:r>
        <w:rPr>
          <w:szCs w:val="24"/>
          <w:lang w:val="en-US"/>
        </w:rPr>
        <w:t>s. B</w:t>
      </w:r>
      <w:r>
        <w:rPr>
          <w:szCs w:val="24"/>
        </w:rPr>
        <w:t xml:space="preserve">ut </w:t>
      </w:r>
      <w:r>
        <w:rPr>
          <w:szCs w:val="24"/>
          <w:lang w:val="en-US"/>
        </w:rPr>
        <w:t xml:space="preserve">this </w:t>
      </w:r>
      <w:r>
        <w:rPr>
          <w:szCs w:val="24"/>
        </w:rPr>
        <w:t>does indicate organisational awareness of the issue and may somewhat alleviate concerns of deliberate misrepresentation.</w:t>
      </w:r>
    </w:p>
    <w:p w14:paraId="415C1D99">
      <w:r>
        <w:rPr>
          <w:szCs w:val="24"/>
        </w:rPr>
        <w:t>This is exacerbated by CMA intervention around claims made by Boohoo on their environmental impacts (CMA, 2024) and by NGO criticism of the reliance on synthetic materials (Changing Markets Foundation, 2022). Such external pressures put pressure on internal performance. As material performance falls, the environment is legally challenged in multiple ways</w:t>
      </w:r>
      <w:r>
        <w:rPr>
          <w:szCs w:val="24"/>
          <w:lang w:val="en-US"/>
        </w:rPr>
        <w:t xml:space="preserve"> </w:t>
      </w:r>
      <w:r>
        <w:rPr>
          <w:szCs w:val="24"/>
          <w:lang w:val="zh-CN"/>
        </w:rPr>
        <w:t>(Boohoo Group plc, 2024b)</w:t>
      </w:r>
      <w:r>
        <w:rPr>
          <w:szCs w:val="24"/>
          <w:lang w:val="en-US"/>
        </w:rPr>
        <w:t xml:space="preserve">. </w:t>
      </w:r>
      <w:r>
        <w:rPr>
          <w:szCs w:val="24"/>
        </w:rPr>
        <w:t>NGO monitoring becomes a key factor, so the pieces of information (multiple independent actor sources) put sustainability communication under doubt. From among the five retailers analy</w:t>
      </w:r>
      <w:r>
        <w:rPr>
          <w:szCs w:val="24"/>
          <w:lang w:val="en-US"/>
        </w:rPr>
        <w:t>s</w:t>
      </w:r>
      <w:r>
        <w:rPr>
          <w:szCs w:val="24"/>
        </w:rPr>
        <w:t>ed, Boohoo exemplifies the struggle between sustainability aspiration and practice through its documentary images the most, and has the most significant impact on the brand image and reputation.</w:t>
      </w:r>
    </w:p>
    <w:p w14:paraId="05E84BB4">
      <w:pPr>
        <w:pStyle w:val="4"/>
        <w:spacing w:before="200" w:after="100"/>
      </w:pPr>
      <w:bookmarkStart w:id="56" w:name="_Toc240757364"/>
      <w:r>
        <w:t>4.3.3 Primark: A Limited but Instructive Case</w:t>
      </w:r>
      <w:bookmarkEnd w:id="56"/>
    </w:p>
    <w:p w14:paraId="3BACF90E">
      <w:pPr>
        <w:rPr>
          <w:szCs w:val="24"/>
        </w:rPr>
      </w:pPr>
      <w:r>
        <w:rPr>
          <w:szCs w:val="24"/>
        </w:rPr>
        <w:t xml:space="preserve">Primark is explored as a case and not an identical match to the other four retailers. The retained corpus does not include any corporate annual report, campaign documentation, or any documentation </w:t>
      </w:r>
      <w:r>
        <w:rPr>
          <w:szCs w:val="24"/>
          <w:lang w:val="en-US"/>
        </w:rPr>
        <w:t>s</w:t>
      </w:r>
      <w:r>
        <w:rPr>
          <w:szCs w:val="24"/>
        </w:rPr>
        <w:t>pecifically related to the sustainability communication made by Primark in line with the regulation</w:t>
      </w:r>
      <w:r>
        <w:rPr>
          <w:szCs w:val="24"/>
          <w:lang w:val="en-US"/>
        </w:rPr>
        <w:t xml:space="preserve"> </w:t>
      </w:r>
      <w:r>
        <w:rPr>
          <w:szCs w:val="24"/>
        </w:rPr>
        <w:t>(P</w:t>
      </w:r>
      <w:r>
        <w:rPr>
          <w:szCs w:val="24"/>
          <w:lang w:val="en-US"/>
        </w:rPr>
        <w:t>rimark</w:t>
      </w:r>
      <w:r>
        <w:rPr>
          <w:szCs w:val="24"/>
        </w:rPr>
        <w:t>, 2020). There is only one source available</w:t>
      </w:r>
      <w:r>
        <w:rPr>
          <w:szCs w:val="24"/>
          <w:lang w:val="en-US"/>
        </w:rPr>
        <w:t>,</w:t>
      </w:r>
      <w:r>
        <w:rPr>
          <w:szCs w:val="24"/>
        </w:rPr>
        <w:t xml:space="preserve"> which is a publisher's summary from Changing Markets Foundation (2022)</w:t>
      </w:r>
      <w:r>
        <w:rPr>
          <w:szCs w:val="24"/>
          <w:lang w:val="en-US"/>
        </w:rPr>
        <w:t>,</w:t>
      </w:r>
      <w:r>
        <w:rPr>
          <w:szCs w:val="24"/>
        </w:rPr>
        <w:t xml:space="preserve"> which indicates that at the time Primark was one of the retailers who continued to secure their supply from coal-using suppliers. Of course, this is an external observation and is a meaningful finding within its scope, but cannot be generali</w:t>
      </w:r>
      <w:r>
        <w:rPr>
          <w:szCs w:val="24"/>
          <w:lang w:val="en-US"/>
        </w:rPr>
        <w:t>s</w:t>
      </w:r>
      <w:r>
        <w:rPr>
          <w:szCs w:val="24"/>
        </w:rPr>
        <w:t>ed as a feature of Primark's overall sustainability communication strategy or brand image without corporate documentation that would help to contextuali</w:t>
      </w:r>
      <w:r>
        <w:rPr>
          <w:szCs w:val="24"/>
          <w:lang w:val="en-US"/>
        </w:rPr>
        <w:t>s</w:t>
      </w:r>
      <w:r>
        <w:rPr>
          <w:szCs w:val="24"/>
        </w:rPr>
        <w:t>e or challenge the view.</w:t>
      </w:r>
    </w:p>
    <w:p w14:paraId="75DB5E8E">
      <w:r>
        <w:rPr>
          <w:szCs w:val="24"/>
        </w:rPr>
        <w:t>The interesting part about the Primark case is the fact that there is not much evidence to back up the assumption about sustainability positioning. If no regulatory challenge is documented, this does not mean that it was accurate or well-substantiated, but it means it does not seem to be in the documentary corpus</w:t>
      </w:r>
      <w:r>
        <w:rPr>
          <w:szCs w:val="24"/>
          <w:lang w:val="en-US"/>
        </w:rPr>
        <w:t xml:space="preserve"> </w:t>
      </w:r>
      <w:r>
        <w:rPr>
          <w:szCs w:val="24"/>
        </w:rPr>
        <w:t>(Primark, 2024). A retailer that expresses less on sustainability is less subject to scrutiny for statements and less likely to build positive brand associations in some sustainability-savvy stakeholder groups. If this observation by Changing Markets at that time is indicative of reality, it would create an even more complicated situation for any sustainability positioning</w:t>
      </w:r>
      <w:r>
        <w:rPr>
          <w:szCs w:val="24"/>
          <w:lang w:val="en-US"/>
        </w:rPr>
        <w:t>,</w:t>
      </w:r>
      <w:r>
        <w:rPr>
          <w:szCs w:val="24"/>
        </w:rPr>
        <w:t xml:space="preserve"> as there would be questions raised about how fossil fuel sourcing aligns with expressed environmental values</w:t>
      </w:r>
      <w:r>
        <w:rPr>
          <w:szCs w:val="24"/>
          <w:lang w:val="en-US"/>
        </w:rPr>
        <w:t xml:space="preserve"> </w:t>
      </w:r>
      <w:r>
        <w:rPr>
          <w:szCs w:val="24"/>
        </w:rPr>
        <w:t>(Primark, 2025). There is, however, insufficient evidence to determine if there are any shifts in sourcing practices or to determine the overall trajectory of the Primark brand's image. This case is also left in the five-case design to maintain the diversity of comparison cases</w:t>
      </w:r>
      <w:r>
        <w:rPr>
          <w:szCs w:val="24"/>
          <w:lang w:val="en-US"/>
        </w:rPr>
        <w:t>,</w:t>
      </w:r>
      <w:r>
        <w:rPr>
          <w:szCs w:val="24"/>
        </w:rPr>
        <w:t xml:space="preserve"> and findings are clearly limited to the one source available for this case.</w:t>
      </w:r>
    </w:p>
    <w:p w14:paraId="7BC770EF">
      <w:pPr>
        <w:pStyle w:val="4"/>
        <w:spacing w:before="200" w:after="100"/>
      </w:pPr>
      <w:bookmarkStart w:id="57" w:name="_Toc240757365"/>
      <w:r>
        <w:t>4.3.4 H&amp;M: Quantified Disclosure and Its Brand Credibility Implications</w:t>
      </w:r>
      <w:bookmarkEnd w:id="57"/>
    </w:p>
    <w:p w14:paraId="2D446AB3">
      <w:pPr>
        <w:rPr>
          <w:szCs w:val="24"/>
        </w:rPr>
      </w:pPr>
      <w:r>
        <w:rPr>
          <w:szCs w:val="24"/>
        </w:rPr>
        <w:t>In terms of the extent of quantitative sustainability reporting as succinctly analysed, there are five retailers</w:t>
      </w:r>
      <w:r>
        <w:rPr>
          <w:szCs w:val="24"/>
          <w:lang w:val="en-US"/>
        </w:rPr>
        <w:t>,</w:t>
      </w:r>
      <w:r>
        <w:rPr>
          <w:szCs w:val="24"/>
        </w:rPr>
        <w:t xml:space="preserve"> of which H&amp;M has the largest volume in the analysed corpus. According to H&amp;M Group's 2024 Annual and Sustainability Report, 89 per cent of the material used was recycled or of sustainable origin, while 29.5 per cent of selected material categories were recycled. The report also contains a limited assurance on the specified sustainability information</w:t>
      </w:r>
      <w:r>
        <w:rPr>
          <w:szCs w:val="24"/>
          <w:lang w:val="en-US"/>
        </w:rPr>
        <w:t xml:space="preserve"> </w:t>
      </w:r>
      <w:r>
        <w:rPr>
          <w:szCs w:val="24"/>
          <w:lang w:val="zh-CN"/>
        </w:rPr>
        <w:t>(H&amp;M Group, 2025)</w:t>
      </w:r>
      <w:r>
        <w:rPr>
          <w:szCs w:val="24"/>
        </w:rPr>
        <w:t>. Overall, the level of quantification and independent verification is relatively rare in fast fashion and ha</w:t>
      </w:r>
      <w:r>
        <w:rPr>
          <w:szCs w:val="24"/>
          <w:lang w:val="en-US"/>
        </w:rPr>
        <w:t>s</w:t>
      </w:r>
      <w:r>
        <w:rPr>
          <w:szCs w:val="24"/>
        </w:rPr>
        <w:t xml:space="preserve"> a positive impact on stakeholder perceptions of transparency and corporate accountability, which are essential for building and establishing the credibility associations that sustainable marketing strives to create.</w:t>
      </w:r>
    </w:p>
    <w:p w14:paraId="34BE21D4">
      <w:r>
        <w:rPr>
          <w:szCs w:val="24"/>
        </w:rPr>
        <w:t>Signal</w:t>
      </w:r>
      <w:r>
        <w:rPr>
          <w:szCs w:val="24"/>
          <w:lang w:val="en-US"/>
        </w:rPr>
        <w:t>l</w:t>
      </w:r>
      <w:r>
        <w:rPr>
          <w:szCs w:val="24"/>
        </w:rPr>
        <w:t>ing theory is based on the notion that a message with verifiable, observable, and specific features is more influential in reducing information asymmetry between the organisation and stakeholders (Majeed et al., 2022). The submission of material percentages — with result assurance boundaries — is concrete and gives stakeholders points of reference against which to measure H&amp;M's performance in the future, as opposed to merely aspirational commitments which have no backing evidence. Two qualifications limit the brand</w:t>
      </w:r>
      <w:r>
        <w:rPr>
          <w:szCs w:val="24"/>
          <w:lang w:val="en-US"/>
        </w:rPr>
        <w:t>’s</w:t>
      </w:r>
      <w:r>
        <w:rPr>
          <w:szCs w:val="24"/>
        </w:rPr>
        <w:t xml:space="preserve"> positive image inference: First, in 2022 H&amp;M was ordered to adjust or stop making specific sustainability claims by the Dutch Authority for Consumers and Markets, which found that it had previously been tripped up in these communications (Authority for Consumers and Markets, 2022). History has been a challenge</w:t>
      </w:r>
      <w:r>
        <w:rPr>
          <w:szCs w:val="24"/>
          <w:lang w:val="en-US"/>
        </w:rPr>
        <w:t>,</w:t>
      </w:r>
      <w:r>
        <w:rPr>
          <w:szCs w:val="24"/>
        </w:rPr>
        <w:t xml:space="preserve"> and current disclosures should not be interpreted as an accurate track record of communications but rather as signs of improvement. Secondly, the headline reported 89 per cent, but that may not reflect the extent of transformation, since it includes recycled as well as sustainably sourced materials, and if most of the recycled material is certified as sourced rather than being truly recycled material</w:t>
      </w:r>
      <w:r>
        <w:rPr>
          <w:szCs w:val="24"/>
          <w:lang w:val="en-US"/>
        </w:rPr>
        <w:t xml:space="preserve"> </w:t>
      </w:r>
      <w:r>
        <w:rPr>
          <w:szCs w:val="24"/>
          <w:lang w:val="zh-CN"/>
        </w:rPr>
        <w:t>(Changing Markets Foundation, 2021)</w:t>
      </w:r>
      <w:r>
        <w:rPr>
          <w:szCs w:val="24"/>
        </w:rPr>
        <w:t>. The credibility profile of H&amp;M is thus marked by relatively good disclosure practices involving current communication mixed with a communication challenge throughout the past.</w:t>
      </w:r>
    </w:p>
    <w:p w14:paraId="7D24A2D2">
      <w:pPr>
        <w:pStyle w:val="4"/>
        <w:spacing w:before="200" w:after="100"/>
      </w:pPr>
      <w:bookmarkStart w:id="58" w:name="_Toc240757366"/>
      <w:r>
        <w:t>4.3.5 Zara and Inditex: Group-Level Reporting and Brand-Level Perception</w:t>
      </w:r>
      <w:bookmarkEnd w:id="58"/>
    </w:p>
    <w:p w14:paraId="01874635">
      <w:pPr>
        <w:rPr>
          <w:szCs w:val="24"/>
        </w:rPr>
      </w:pPr>
      <w:r>
        <w:rPr>
          <w:szCs w:val="24"/>
        </w:rPr>
        <w:t>The sustainability communication of Zara occurs as a result of the Inditex group reporting, which involves a structural attribution challenge in the analysis of the brand image. The Inditex 2024 Annual Report shows that direct operational emissions have been reduced by 88 per cent and overall emissions in covered categories have been decreased by 5 per cent (Inditex, 2025). These are measurable advances for the areas they encompass, but the</w:t>
      </w:r>
      <w:r>
        <w:rPr>
          <w:szCs w:val="24"/>
          <w:lang w:val="en-US"/>
        </w:rPr>
        <w:t>y</w:t>
      </w:r>
      <w:r>
        <w:rPr>
          <w:szCs w:val="24"/>
        </w:rPr>
        <w:t xml:space="preserve"> are also analytically relevant: direct operational emissions apply mainly to Inditex's own facilities and, as percentages, the reductions are based on the premise of a previous level where it is not always possible to access this information as an external entity.</w:t>
      </w:r>
    </w:p>
    <w:p w14:paraId="3D9D12BB">
      <w:r>
        <w:rPr>
          <w:szCs w:val="24"/>
        </w:rPr>
        <w:t>A stakeholder wants to evaluate Zara's sustainability credentials, but is challenged by Inditex group data</w:t>
      </w:r>
      <w:r>
        <w:rPr>
          <w:szCs w:val="24"/>
          <w:lang w:val="en-US"/>
        </w:rPr>
        <w:t>,</w:t>
      </w:r>
      <w:r>
        <w:rPr>
          <w:szCs w:val="24"/>
        </w:rPr>
        <w:t xml:space="preserve"> which includes multiple brands and includes data across diverse geographies. The available documentation does not explicitly specify how these group-level figures relate to the environmental impact of an individual product, </w:t>
      </w:r>
      <w:r>
        <w:rPr>
          <w:szCs w:val="24"/>
          <w:lang w:val="en-US"/>
        </w:rPr>
        <w:t xml:space="preserve">a </w:t>
      </w:r>
      <w:r>
        <w:rPr>
          <w:szCs w:val="24"/>
        </w:rPr>
        <w:t>Zara garment, and therefore, positive internal developments could not lead to a proportional link with the brand</w:t>
      </w:r>
      <w:r>
        <w:rPr>
          <w:szCs w:val="24"/>
          <w:lang w:val="en-US"/>
        </w:rPr>
        <w:t xml:space="preserve"> </w:t>
      </w:r>
      <w:r>
        <w:rPr>
          <w:szCs w:val="24"/>
        </w:rPr>
        <w:t>(Inditex, 2025). An interesting additional aspect of the Zara analysis is the relatively positive score by Changing Markets Foundation (2021), which determined that Zara was one of the better scorers amongst their group for claim communication accuracy criteria. This shows that outside audits help provide positive brand signals</w:t>
      </w:r>
      <w:r>
        <w:rPr>
          <w:szCs w:val="24"/>
          <w:lang w:val="en-US"/>
        </w:rPr>
        <w:t>,</w:t>
      </w:r>
      <w:r>
        <w:rPr>
          <w:szCs w:val="24"/>
        </w:rPr>
        <w:t xml:space="preserve"> and it offers a significant counterbalance to any notion that all of the big fast fashion brands are equally credible. However, the 2022 assessment by the same organisation shows that synthetic material dependence continues to be a concern at a group level</w:t>
      </w:r>
      <w:r>
        <w:rPr>
          <w:szCs w:val="24"/>
          <w:lang w:val="en-US"/>
        </w:rPr>
        <w:t xml:space="preserve"> </w:t>
      </w:r>
      <w:r>
        <w:rPr>
          <w:szCs w:val="24"/>
          <w:lang w:val="zh-CN"/>
        </w:rPr>
        <w:t>(Fashion Revolution, 2024)</w:t>
      </w:r>
      <w:r>
        <w:rPr>
          <w:szCs w:val="24"/>
        </w:rPr>
        <w:t>, demonstrating how positive scores in one dimension do not preclude ones of concern in another. A prudent interpretation of Zara is that the brand has been fairly diligent at communicating claims, but remains to be asked questions regarding material at the group level.</w:t>
      </w:r>
    </w:p>
    <w:p w14:paraId="4DE4619B">
      <w:pPr>
        <w:pStyle w:val="3"/>
        <w:spacing w:before="300" w:after="150"/>
      </w:pPr>
      <w:bookmarkStart w:id="59" w:name="_Toc240757367"/>
      <w:r>
        <w:t>4.4 Cross-Case Thematic Findings</w:t>
      </w:r>
      <w:bookmarkEnd w:id="59"/>
    </w:p>
    <w:p w14:paraId="4D815C29">
      <w:pPr>
        <w:pStyle w:val="4"/>
        <w:spacing w:before="200" w:after="100"/>
      </w:pPr>
      <w:bookmarkStart w:id="60" w:name="_Toc240757368"/>
      <w:r>
        <w:t>4.4.1 Theme One: Sustainability Portfolios Vary in Delivery State</w:t>
      </w:r>
      <w:bookmarkEnd w:id="60"/>
    </w:p>
    <w:p w14:paraId="76B97D76">
      <w:r>
        <w:rPr>
          <w:szCs w:val="24"/>
        </w:rPr>
        <w:t xml:space="preserve">The analysis of the various cases, in all five of them, shows that sustainability communication also consists of a combination of existing services and promises that are still underway and </w:t>
      </w:r>
      <w:r>
        <w:rPr>
          <w:szCs w:val="24"/>
          <w:lang w:val="en-US"/>
        </w:rPr>
        <w:t xml:space="preserve">for </w:t>
      </w:r>
      <w:r>
        <w:rPr>
          <w:szCs w:val="24"/>
        </w:rPr>
        <w:t>which targets can be considered aspirational</w:t>
      </w:r>
      <w:r>
        <w:rPr>
          <w:szCs w:val="24"/>
          <w:lang w:val="en-US"/>
        </w:rPr>
        <w:t xml:space="preserve"> </w:t>
      </w:r>
      <w:r>
        <w:rPr>
          <w:szCs w:val="24"/>
          <w:lang w:val="zh-CN"/>
        </w:rPr>
        <w:t>(Changing Markets Foundation, 2021)</w:t>
      </w:r>
      <w:r>
        <w:rPr>
          <w:szCs w:val="24"/>
        </w:rPr>
        <w:t>. The key discovery is not an overall discussion about retailers and their sustainability communications, but the significant differences in the level of delivery of individual portfolio items, which often is not as transparent as it should be to stakeholders. ASOS are aware of delayed circular services and operational ones (ASOS plc, 2025a). Boohoo establishes material targets whilst also providing information on its material performance on the critical indicator (Boohoo Group plc, 2024b). H&amp;M's assurance statement relates to the limited information in a specified part of the portfolio (H&amp;M Group, 2025). Inditex reports transition commitments and includes selected emissions metrics without linking the commitments being made to the impact. But it’s not how broad the portfolio gets</w:t>
      </w:r>
      <w:r>
        <w:rPr>
          <w:szCs w:val="24"/>
          <w:lang w:val="en-US"/>
        </w:rPr>
        <w:t>. I</w:t>
      </w:r>
      <w:r>
        <w:rPr>
          <w:szCs w:val="24"/>
        </w:rPr>
        <w:t>t's how clearly the delivery is communicated</w:t>
      </w:r>
      <w:r>
        <w:rPr>
          <w:szCs w:val="24"/>
          <w:lang w:val="en-US"/>
        </w:rPr>
        <w:t>.</w:t>
      </w:r>
      <w:r>
        <w:rPr>
          <w:szCs w:val="24"/>
        </w:rPr>
        <w:t xml:space="preserve"> Clarity in how delivery states are communicated is more analytically relevant to brand image than the number of commitments made.</w:t>
      </w:r>
    </w:p>
    <w:p w14:paraId="450F1FA3">
      <w:pPr>
        <w:pStyle w:val="4"/>
        <w:spacing w:before="200" w:after="100"/>
      </w:pPr>
      <w:bookmarkStart w:id="61" w:name="_Toc240757369"/>
      <w:r>
        <w:t>4.4.2 Theme Two: Evidential Scope Must Match Communicative Claims</w:t>
      </w:r>
      <w:bookmarkEnd w:id="61"/>
    </w:p>
    <w:p w14:paraId="703D8F25">
      <w:r>
        <w:rPr>
          <w:szCs w:val="24"/>
        </w:rPr>
        <w:t>Differences in the second cross-case theme involve the ratio between scope of evidence and scope of claims suggested. H&amp;M does not always make the difference between material reporting at the group level and claims made per product publicly transparent</w:t>
      </w:r>
      <w:r>
        <w:rPr>
          <w:szCs w:val="24"/>
          <w:lang w:val="en-US"/>
        </w:rPr>
        <w:t xml:space="preserve"> </w:t>
      </w:r>
      <w:r>
        <w:rPr>
          <w:szCs w:val="24"/>
          <w:lang w:val="zh-CN"/>
        </w:rPr>
        <w:t>(H&amp;M Group, 2025)</w:t>
      </w:r>
      <w:r>
        <w:rPr>
          <w:szCs w:val="24"/>
        </w:rPr>
        <w:t>. The relation between group emissions and the product may lead to the idea that the emissions are a sign of product-level transformation, even if not made explicit, as is the case for Zara or Inditex</w:t>
      </w:r>
      <w:r>
        <w:rPr>
          <w:szCs w:val="24"/>
          <w:lang w:val="en-US"/>
        </w:rPr>
        <w:t xml:space="preserve"> </w:t>
      </w:r>
      <w:r>
        <w:rPr>
          <w:szCs w:val="24"/>
          <w:lang w:val="zh-CN"/>
        </w:rPr>
        <w:t>(Inditex, 2025)</w:t>
      </w:r>
      <w:r>
        <w:rPr>
          <w:szCs w:val="24"/>
        </w:rPr>
        <w:t>. In the case of Boohoo, the combination of lofty forecasts and deteriorating actual earnings data results in a mismatch of expectations and outcomes. The credibility dimensions in the five cases are summarised in Table 4.2.</w:t>
      </w:r>
    </w:p>
    <w:p w14:paraId="04A983F8">
      <w:pPr>
        <w:spacing w:before="60" w:after="60"/>
      </w:pPr>
    </w:p>
    <w:tbl>
      <w:tblPr>
        <w:tblStyle w:val="12"/>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60" w:type="dxa"/>
          <w:left w:w="60" w:type="dxa"/>
          <w:bottom w:w="60" w:type="dxa"/>
          <w:right w:w="60" w:type="dxa"/>
        </w:tblCellMar>
      </w:tblPr>
      <w:tblGrid>
        <w:gridCol w:w="1208"/>
        <w:gridCol w:w="1208"/>
        <w:gridCol w:w="1328"/>
        <w:gridCol w:w="1538"/>
        <w:gridCol w:w="1360"/>
        <w:gridCol w:w="1244"/>
        <w:gridCol w:w="1514"/>
      </w:tblGrid>
      <w:tr w14:paraId="2A403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rPr>
          <w:tblHeader/>
        </w:trPr>
        <w:tc>
          <w:tcPr>
            <w:tcW w:w="1000" w:type="dxa"/>
            <w:shd w:val="clear" w:color="auto" w:fill="D0D0D0"/>
          </w:tcPr>
          <w:p w14:paraId="7638686E">
            <w:pPr>
              <w:spacing w:before="60" w:after="60"/>
              <w:jc w:val="center"/>
            </w:pPr>
            <w:r>
              <w:rPr>
                <w:b/>
                <w:bCs/>
                <w:szCs w:val="24"/>
              </w:rPr>
              <w:t>Case</w:t>
            </w:r>
          </w:p>
        </w:tc>
        <w:tc>
          <w:tcPr>
            <w:tcW w:w="1350" w:type="dxa"/>
            <w:shd w:val="clear" w:color="auto" w:fill="D0D0D0"/>
          </w:tcPr>
          <w:p w14:paraId="6D0B2BA9">
            <w:pPr>
              <w:spacing w:before="60" w:after="60"/>
              <w:jc w:val="center"/>
            </w:pPr>
            <w:r>
              <w:rPr>
                <w:b/>
                <w:bCs/>
                <w:szCs w:val="24"/>
              </w:rPr>
              <w:t>Specificity</w:t>
            </w:r>
          </w:p>
        </w:tc>
        <w:tc>
          <w:tcPr>
            <w:tcW w:w="1350" w:type="dxa"/>
            <w:shd w:val="clear" w:color="auto" w:fill="D0D0D0"/>
          </w:tcPr>
          <w:p w14:paraId="6096DB38">
            <w:pPr>
              <w:spacing w:before="60" w:after="60"/>
              <w:jc w:val="center"/>
            </w:pPr>
            <w:r>
              <w:rPr>
                <w:b/>
                <w:bCs/>
                <w:szCs w:val="24"/>
              </w:rPr>
              <w:t>Verification</w:t>
            </w:r>
          </w:p>
        </w:tc>
        <w:tc>
          <w:tcPr>
            <w:tcW w:w="1350" w:type="dxa"/>
            <w:shd w:val="clear" w:color="auto" w:fill="D0D0D0"/>
          </w:tcPr>
          <w:p w14:paraId="1664D1AE">
            <w:pPr>
              <w:spacing w:before="60" w:after="60"/>
              <w:jc w:val="center"/>
            </w:pPr>
            <w:r>
              <w:rPr>
                <w:b/>
                <w:bCs/>
                <w:szCs w:val="24"/>
              </w:rPr>
              <w:t>Transparency</w:t>
            </w:r>
          </w:p>
        </w:tc>
        <w:tc>
          <w:tcPr>
            <w:tcW w:w="1350" w:type="dxa"/>
            <w:shd w:val="clear" w:color="auto" w:fill="D0D0D0"/>
          </w:tcPr>
          <w:p w14:paraId="34CCCDFD">
            <w:pPr>
              <w:spacing w:before="60" w:after="60"/>
              <w:jc w:val="center"/>
            </w:pPr>
            <w:r>
              <w:rPr>
                <w:b/>
                <w:bCs/>
                <w:szCs w:val="24"/>
              </w:rPr>
              <w:t>Op. Congruence</w:t>
            </w:r>
          </w:p>
        </w:tc>
        <w:tc>
          <w:tcPr>
            <w:tcW w:w="1400" w:type="dxa"/>
            <w:shd w:val="clear" w:color="auto" w:fill="D0D0D0"/>
          </w:tcPr>
          <w:p w14:paraId="30072B38">
            <w:pPr>
              <w:spacing w:before="60" w:after="60"/>
              <w:jc w:val="center"/>
            </w:pPr>
            <w:r>
              <w:rPr>
                <w:b/>
                <w:bCs/>
                <w:szCs w:val="24"/>
              </w:rPr>
              <w:t>External Challenge</w:t>
            </w:r>
          </w:p>
        </w:tc>
        <w:tc>
          <w:tcPr>
            <w:tcW w:w="1600" w:type="dxa"/>
            <w:shd w:val="clear" w:color="auto" w:fill="D0D0D0"/>
          </w:tcPr>
          <w:p w14:paraId="1E11C1B0">
            <w:pPr>
              <w:spacing w:before="60" w:after="60"/>
              <w:jc w:val="center"/>
            </w:pPr>
            <w:r>
              <w:rPr>
                <w:b/>
                <w:bCs/>
                <w:szCs w:val="24"/>
              </w:rPr>
              <w:t>Brand Image Assessment</w:t>
            </w:r>
          </w:p>
        </w:tc>
      </w:tr>
      <w:tr w14:paraId="72303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c>
          <w:tcPr>
            <w:tcW w:w="1000" w:type="dxa"/>
          </w:tcPr>
          <w:p w14:paraId="7C461BE6">
            <w:pPr>
              <w:spacing w:before="50" w:after="50"/>
            </w:pPr>
            <w:r>
              <w:rPr>
                <w:sz w:val="22"/>
              </w:rPr>
              <w:t>ASOS</w:t>
            </w:r>
          </w:p>
        </w:tc>
        <w:tc>
          <w:tcPr>
            <w:tcW w:w="1350" w:type="dxa"/>
          </w:tcPr>
          <w:p w14:paraId="28A94B1B">
            <w:pPr>
              <w:spacing w:before="50" w:after="50"/>
            </w:pPr>
            <w:r>
              <w:rPr>
                <w:sz w:val="22"/>
              </w:rPr>
              <w:t>Named strategy components</w:t>
            </w:r>
          </w:p>
        </w:tc>
        <w:tc>
          <w:tcPr>
            <w:tcW w:w="1350" w:type="dxa"/>
          </w:tcPr>
          <w:p w14:paraId="01B30ABA">
            <w:pPr>
              <w:spacing w:before="50" w:after="50"/>
            </w:pPr>
            <w:r>
              <w:rPr>
                <w:sz w:val="22"/>
              </w:rPr>
              <w:t>Internal governance review</w:t>
            </w:r>
          </w:p>
        </w:tc>
        <w:tc>
          <w:tcPr>
            <w:tcW w:w="1350" w:type="dxa"/>
          </w:tcPr>
          <w:p w14:paraId="4CAF32B9">
            <w:pPr>
              <w:spacing w:before="50" w:after="50"/>
            </w:pPr>
            <w:r>
              <w:rPr>
                <w:sz w:val="22"/>
              </w:rPr>
              <w:t>Delays acknowledged in report</w:t>
            </w:r>
          </w:p>
        </w:tc>
        <w:tc>
          <w:tcPr>
            <w:tcW w:w="1350" w:type="dxa"/>
          </w:tcPr>
          <w:p w14:paraId="7839C30A">
            <w:pPr>
              <w:spacing w:before="50" w:after="50"/>
            </w:pPr>
            <w:r>
              <w:rPr>
                <w:sz w:val="22"/>
              </w:rPr>
              <w:t>Uneven service delivery</w:t>
            </w:r>
          </w:p>
        </w:tc>
        <w:tc>
          <w:tcPr>
            <w:tcW w:w="1400" w:type="dxa"/>
          </w:tcPr>
          <w:p w14:paraId="5AFC53B0">
            <w:pPr>
              <w:spacing w:before="50" w:after="50"/>
            </w:pPr>
            <w:r>
              <w:rPr>
                <w:sz w:val="22"/>
              </w:rPr>
              <w:t>CMA intervention 2024</w:t>
            </w:r>
          </w:p>
        </w:tc>
        <w:tc>
          <w:tcPr>
            <w:tcW w:w="1600" w:type="dxa"/>
          </w:tcPr>
          <w:p w14:paraId="1D2366EC">
            <w:pPr>
              <w:spacing w:before="50" w:after="50"/>
            </w:pPr>
            <w:r>
              <w:rPr>
                <w:sz w:val="22"/>
              </w:rPr>
              <w:t>Ambition qualified by implementation gaps</w:t>
            </w:r>
          </w:p>
        </w:tc>
      </w:tr>
      <w:tr w14:paraId="6E23F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c>
          <w:tcPr>
            <w:tcW w:w="1000" w:type="dxa"/>
          </w:tcPr>
          <w:p w14:paraId="3F155F28">
            <w:pPr>
              <w:spacing w:before="50" w:after="50"/>
            </w:pPr>
            <w:r>
              <w:rPr>
                <w:sz w:val="22"/>
              </w:rPr>
              <w:t>Boohoo</w:t>
            </w:r>
          </w:p>
        </w:tc>
        <w:tc>
          <w:tcPr>
            <w:tcW w:w="1350" w:type="dxa"/>
          </w:tcPr>
          <w:p w14:paraId="31F04831">
            <w:pPr>
              <w:spacing w:before="50" w:after="50"/>
            </w:pPr>
            <w:r>
              <w:rPr>
                <w:sz w:val="22"/>
              </w:rPr>
              <w:t>Dated material targets</w:t>
            </w:r>
          </w:p>
        </w:tc>
        <w:tc>
          <w:tcPr>
            <w:tcW w:w="1350" w:type="dxa"/>
          </w:tcPr>
          <w:p w14:paraId="6A0E3E4A">
            <w:pPr>
              <w:spacing w:before="50" w:after="50"/>
            </w:pPr>
            <w:r>
              <w:rPr>
                <w:sz w:val="22"/>
              </w:rPr>
              <w:t>Self-reported figures</w:t>
            </w:r>
          </w:p>
        </w:tc>
        <w:tc>
          <w:tcPr>
            <w:tcW w:w="1350" w:type="dxa"/>
          </w:tcPr>
          <w:p w14:paraId="3F788974">
            <w:pPr>
              <w:spacing w:before="50" w:after="50"/>
            </w:pPr>
            <w:r>
              <w:rPr>
                <w:sz w:val="22"/>
              </w:rPr>
              <w:t>Performance decline disclosed</w:t>
            </w:r>
          </w:p>
        </w:tc>
        <w:tc>
          <w:tcPr>
            <w:tcW w:w="1350" w:type="dxa"/>
          </w:tcPr>
          <w:p w14:paraId="0E3E088D">
            <w:pPr>
              <w:spacing w:before="50" w:after="50"/>
            </w:pPr>
            <w:r>
              <w:rPr>
                <w:sz w:val="22"/>
              </w:rPr>
              <w:t>Ambition exceeds performance</w:t>
            </w:r>
          </w:p>
        </w:tc>
        <w:tc>
          <w:tcPr>
            <w:tcW w:w="1400" w:type="dxa"/>
          </w:tcPr>
          <w:p w14:paraId="7CDAC1CA">
            <w:pPr>
              <w:spacing w:before="50" w:after="50"/>
            </w:pPr>
            <w:r>
              <w:rPr>
                <w:sz w:val="22"/>
              </w:rPr>
              <w:t>CMA and NGO scrutiny</w:t>
            </w:r>
          </w:p>
        </w:tc>
        <w:tc>
          <w:tcPr>
            <w:tcW w:w="1600" w:type="dxa"/>
          </w:tcPr>
          <w:p w14:paraId="6F4967E7">
            <w:pPr>
              <w:spacing w:before="50" w:after="50"/>
            </w:pPr>
            <w:r>
              <w:rPr>
                <w:sz w:val="22"/>
              </w:rPr>
              <w:t>Credibility challenged by self-reported gap</w:t>
            </w:r>
          </w:p>
        </w:tc>
      </w:tr>
      <w:tr w14:paraId="2AEEE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c>
          <w:tcPr>
            <w:tcW w:w="1000" w:type="dxa"/>
          </w:tcPr>
          <w:p w14:paraId="75AD10F5">
            <w:pPr>
              <w:spacing w:before="50" w:after="50"/>
            </w:pPr>
            <w:r>
              <w:rPr>
                <w:sz w:val="22"/>
              </w:rPr>
              <w:t>Primark</w:t>
            </w:r>
          </w:p>
        </w:tc>
        <w:tc>
          <w:tcPr>
            <w:tcW w:w="1350" w:type="dxa"/>
          </w:tcPr>
          <w:p w14:paraId="0B7076E0">
            <w:pPr>
              <w:spacing w:before="50" w:after="50"/>
            </w:pPr>
            <w:r>
              <w:rPr>
                <w:sz w:val="22"/>
              </w:rPr>
              <w:t>Direct claims unavailable</w:t>
            </w:r>
          </w:p>
        </w:tc>
        <w:tc>
          <w:tcPr>
            <w:tcW w:w="1350" w:type="dxa"/>
          </w:tcPr>
          <w:p w14:paraId="748D2A31">
            <w:pPr>
              <w:spacing w:before="50" w:after="50"/>
            </w:pPr>
            <w:r>
              <w:rPr>
                <w:sz w:val="22"/>
              </w:rPr>
              <w:t>External account only</w:t>
            </w:r>
          </w:p>
        </w:tc>
        <w:tc>
          <w:tcPr>
            <w:tcW w:w="1350" w:type="dxa"/>
          </w:tcPr>
          <w:p w14:paraId="66988A31">
            <w:pPr>
              <w:spacing w:before="50" w:after="50"/>
            </w:pPr>
            <w:r>
              <w:rPr>
                <w:sz w:val="22"/>
              </w:rPr>
              <w:t>No corporate data available</w:t>
            </w:r>
          </w:p>
        </w:tc>
        <w:tc>
          <w:tcPr>
            <w:tcW w:w="1350" w:type="dxa"/>
          </w:tcPr>
          <w:p w14:paraId="04FA6554">
            <w:pPr>
              <w:spacing w:before="50" w:after="50"/>
            </w:pPr>
            <w:r>
              <w:rPr>
                <w:sz w:val="22"/>
              </w:rPr>
              <w:t>Sourcing concern reported</w:t>
            </w:r>
          </w:p>
        </w:tc>
        <w:tc>
          <w:tcPr>
            <w:tcW w:w="1400" w:type="dxa"/>
          </w:tcPr>
          <w:p w14:paraId="150DEDBB">
            <w:pPr>
              <w:spacing w:before="50" w:after="50"/>
            </w:pPr>
            <w:r>
              <w:rPr>
                <w:sz w:val="22"/>
              </w:rPr>
              <w:t>NGO coal sourcing commentary</w:t>
            </w:r>
          </w:p>
        </w:tc>
        <w:tc>
          <w:tcPr>
            <w:tcW w:w="1600" w:type="dxa"/>
          </w:tcPr>
          <w:p w14:paraId="5265EAD6">
            <w:pPr>
              <w:spacing w:before="50" w:after="50"/>
            </w:pPr>
            <w:r>
              <w:rPr>
                <w:sz w:val="22"/>
              </w:rPr>
              <w:t>Insufficient evidence; exploratory only</w:t>
            </w:r>
          </w:p>
        </w:tc>
      </w:tr>
      <w:tr w14:paraId="42ED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c>
          <w:tcPr>
            <w:tcW w:w="1000" w:type="dxa"/>
          </w:tcPr>
          <w:p w14:paraId="2B201EAC">
            <w:pPr>
              <w:spacing w:before="50" w:after="50"/>
            </w:pPr>
            <w:r>
              <w:rPr>
                <w:sz w:val="22"/>
              </w:rPr>
              <w:t>H&amp;M</w:t>
            </w:r>
          </w:p>
        </w:tc>
        <w:tc>
          <w:tcPr>
            <w:tcW w:w="1350" w:type="dxa"/>
          </w:tcPr>
          <w:p w14:paraId="0A4581C2">
            <w:pPr>
              <w:spacing w:before="50" w:after="50"/>
            </w:pPr>
            <w:r>
              <w:rPr>
                <w:sz w:val="22"/>
              </w:rPr>
              <w:t>Quantified material categories</w:t>
            </w:r>
          </w:p>
        </w:tc>
        <w:tc>
          <w:tcPr>
            <w:tcW w:w="1350" w:type="dxa"/>
          </w:tcPr>
          <w:p w14:paraId="278F97B7">
            <w:pPr>
              <w:spacing w:before="50" w:after="50"/>
            </w:pPr>
            <w:r>
              <w:rPr>
                <w:sz w:val="22"/>
              </w:rPr>
              <w:t>Limited independent assurance</w:t>
            </w:r>
          </w:p>
        </w:tc>
        <w:tc>
          <w:tcPr>
            <w:tcW w:w="1350" w:type="dxa"/>
          </w:tcPr>
          <w:p w14:paraId="4ABC0FB6">
            <w:pPr>
              <w:spacing w:before="50" w:after="50"/>
            </w:pPr>
            <w:r>
              <w:rPr>
                <w:sz w:val="22"/>
              </w:rPr>
              <w:t>Reporting boundaries visible</w:t>
            </w:r>
          </w:p>
        </w:tc>
        <w:tc>
          <w:tcPr>
            <w:tcW w:w="1350" w:type="dxa"/>
          </w:tcPr>
          <w:p w14:paraId="2BB396DB">
            <w:pPr>
              <w:spacing w:before="50" w:after="50"/>
            </w:pPr>
            <w:r>
              <w:rPr>
                <w:sz w:val="22"/>
              </w:rPr>
              <w:t>Product inference requires scoping</w:t>
            </w:r>
          </w:p>
        </w:tc>
        <w:tc>
          <w:tcPr>
            <w:tcW w:w="1400" w:type="dxa"/>
          </w:tcPr>
          <w:p w14:paraId="23AF0BF4">
            <w:pPr>
              <w:spacing w:before="50" w:after="50"/>
            </w:pPr>
            <w:r>
              <w:rPr>
                <w:sz w:val="22"/>
              </w:rPr>
              <w:t>Dutch regulatory action (2022)</w:t>
            </w:r>
          </w:p>
        </w:tc>
        <w:tc>
          <w:tcPr>
            <w:tcW w:w="1600" w:type="dxa"/>
          </w:tcPr>
          <w:p w14:paraId="0D6A528E">
            <w:pPr>
              <w:spacing w:before="50" w:after="50"/>
            </w:pPr>
            <w:r>
              <w:rPr>
                <w:sz w:val="22"/>
              </w:rPr>
              <w:t>Credible within evidenced scope</w:t>
            </w:r>
          </w:p>
        </w:tc>
      </w:tr>
      <w:tr w14:paraId="1E709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c>
          <w:tcPr>
            <w:tcW w:w="1000" w:type="dxa"/>
          </w:tcPr>
          <w:p w14:paraId="37DB9AE8">
            <w:pPr>
              <w:spacing w:before="50" w:after="50"/>
            </w:pPr>
            <w:r>
              <w:rPr>
                <w:sz w:val="22"/>
              </w:rPr>
              <w:t>Zara/Inditex</w:t>
            </w:r>
          </w:p>
        </w:tc>
        <w:tc>
          <w:tcPr>
            <w:tcW w:w="1350" w:type="dxa"/>
          </w:tcPr>
          <w:p w14:paraId="7ED284F4">
            <w:pPr>
              <w:spacing w:before="50" w:after="50"/>
            </w:pPr>
            <w:r>
              <w:rPr>
                <w:sz w:val="22"/>
              </w:rPr>
              <w:t>Group emissions scoped</w:t>
            </w:r>
          </w:p>
        </w:tc>
        <w:tc>
          <w:tcPr>
            <w:tcW w:w="1350" w:type="dxa"/>
          </w:tcPr>
          <w:p w14:paraId="6D437A33">
            <w:pPr>
              <w:spacing w:before="50" w:after="50"/>
            </w:pPr>
            <w:r>
              <w:rPr>
                <w:sz w:val="22"/>
              </w:rPr>
              <w:t>Web statement; assurance unspecified</w:t>
            </w:r>
          </w:p>
        </w:tc>
        <w:tc>
          <w:tcPr>
            <w:tcW w:w="1350" w:type="dxa"/>
          </w:tcPr>
          <w:p w14:paraId="50B3F694">
            <w:pPr>
              <w:spacing w:before="50" w:after="50"/>
            </w:pPr>
            <w:r>
              <w:rPr>
                <w:sz w:val="22"/>
              </w:rPr>
              <w:t>Group boundary identified</w:t>
            </w:r>
          </w:p>
        </w:tc>
        <w:tc>
          <w:tcPr>
            <w:tcW w:w="1350" w:type="dxa"/>
          </w:tcPr>
          <w:p w14:paraId="230775F1">
            <w:pPr>
              <w:spacing w:before="50" w:after="50"/>
            </w:pPr>
            <w:r>
              <w:rPr>
                <w:sz w:val="22"/>
              </w:rPr>
              <w:t>Product-level inference unproven</w:t>
            </w:r>
          </w:p>
        </w:tc>
        <w:tc>
          <w:tcPr>
            <w:tcW w:w="1400" w:type="dxa"/>
          </w:tcPr>
          <w:p w14:paraId="704460C9">
            <w:pPr>
              <w:spacing w:before="50" w:after="50"/>
            </w:pPr>
            <w:r>
              <w:rPr>
                <w:sz w:val="22"/>
              </w:rPr>
              <w:t>Mixed NGO assessments</w:t>
            </w:r>
          </w:p>
        </w:tc>
        <w:tc>
          <w:tcPr>
            <w:tcW w:w="1600" w:type="dxa"/>
          </w:tcPr>
          <w:p w14:paraId="0A41EEBE">
            <w:pPr>
              <w:spacing w:before="50" w:after="50"/>
            </w:pPr>
            <w:r>
              <w:rPr>
                <w:sz w:val="22"/>
              </w:rPr>
              <w:t>Positive signals conditional on attribution</w:t>
            </w:r>
          </w:p>
        </w:tc>
      </w:tr>
    </w:tbl>
    <w:p w14:paraId="6119E58D">
      <w:pPr>
        <w:spacing w:before="60" w:after="200"/>
        <w:jc w:val="center"/>
      </w:pPr>
      <w:r>
        <w:rPr>
          <w:i/>
          <w:iCs/>
          <w:sz w:val="22"/>
        </w:rPr>
        <w:t>Table 4.2. Cross-case credibility dimensions (Source: D01–D15; interpretive rules in Appendix C)</w:t>
      </w:r>
    </w:p>
    <w:p w14:paraId="39883CFF">
      <w:r>
        <w:rPr>
          <w:szCs w:val="24"/>
        </w:rPr>
        <w:t>This is explicitly addressed in the CMA Fashion Retail Guidance (Competition and Markets Authority 2024)</w:t>
      </w:r>
      <w:r>
        <w:rPr>
          <w:szCs w:val="24"/>
          <w:lang w:val="en-US"/>
        </w:rPr>
        <w:t>,</w:t>
      </w:r>
      <w:r>
        <w:rPr>
          <w:szCs w:val="24"/>
        </w:rPr>
        <w:t xml:space="preserve"> which notes that environmental claims are required to be prominently qualified to make clear what is being claimed and on what basis. This regulatory requirement involves codification of the evidential scope of claims and, when read along with the case evidence, indicates that claim-scope harmony is becoming a legal requirement, as well as being a condition to brand credibility.</w:t>
      </w:r>
    </w:p>
    <w:p w14:paraId="3A98D642">
      <w:pPr>
        <w:pStyle w:val="4"/>
        <w:spacing w:before="200" w:after="100"/>
      </w:pPr>
      <w:bookmarkStart w:id="62" w:name="_Toc240757370"/>
      <w:r>
        <w:t>4.4.3 Theme Three: Ambition and Implementation Generate Distinct Reputational Signals</w:t>
      </w:r>
      <w:bookmarkEnd w:id="62"/>
    </w:p>
    <w:p w14:paraId="146070BB">
      <w:pPr>
        <w:rPr>
          <w:szCs w:val="24"/>
        </w:rPr>
      </w:pPr>
      <w:r>
        <w:rPr>
          <w:szCs w:val="24"/>
        </w:rPr>
        <w:t>Ambition and implementation are thus not merely one dimension—one end of the performance spectrum only</w:t>
      </w:r>
      <w:r>
        <w:rPr>
          <w:szCs w:val="24"/>
          <w:lang w:val="en-US"/>
        </w:rPr>
        <w:t xml:space="preserve"> </w:t>
      </w:r>
      <w:r>
        <w:rPr>
          <w:szCs w:val="24"/>
        </w:rPr>
        <w:t>but qualitatively different types of stakeholder perceptions and involve different risks to a brand image. Advanced communication</w:t>
      </w:r>
      <w:r>
        <w:rPr>
          <w:szCs w:val="24"/>
          <w:lang w:val="en-US"/>
        </w:rPr>
        <w:t xml:space="preserve">, </w:t>
      </w:r>
      <w:r>
        <w:rPr>
          <w:szCs w:val="24"/>
        </w:rPr>
        <w:t>such as setting targets, committing to circularity or making emission reduction pledges</w:t>
      </w:r>
      <w:r>
        <w:rPr>
          <w:szCs w:val="24"/>
          <w:lang w:val="en-US"/>
        </w:rPr>
        <w:t>. It c</w:t>
      </w:r>
      <w:r>
        <w:rPr>
          <w:szCs w:val="24"/>
        </w:rPr>
        <w:t>an create positive associations of forward-thinking environmental leadership</w:t>
      </w:r>
      <w:r>
        <w:rPr>
          <w:szCs w:val="24"/>
          <w:lang w:val="en-US"/>
        </w:rPr>
        <w:t xml:space="preserve"> </w:t>
      </w:r>
      <w:r>
        <w:rPr>
          <w:szCs w:val="24"/>
          <w:lang w:val="zh-CN"/>
        </w:rPr>
        <w:t>(Remake, 2024)</w:t>
      </w:r>
      <w:r>
        <w:rPr>
          <w:szCs w:val="24"/>
        </w:rPr>
        <w:t>. But it is an ambiguous message if you are mouthing ambition, yet committing to nothing in the way of results, as somebody could be sitting on the opposite side seeing a disconnect between the promise and performance. As demonstrated by Boohoo quite directly, a sustainability story (one with future goals) is hard to maintain when performance data go in the other direction, and when those numbers are under the spotlight of outside review.</w:t>
      </w:r>
    </w:p>
    <w:p w14:paraId="52D165BD">
      <w:r>
        <w:rPr>
          <w:szCs w:val="24"/>
        </w:rPr>
        <w:t>A different type of signalling is transparency</w:t>
      </w:r>
      <w:r>
        <w:rPr>
          <w:szCs w:val="24"/>
          <w:lang w:val="en-US"/>
        </w:rPr>
        <w:t>,</w:t>
      </w:r>
      <w:r>
        <w:rPr>
          <w:szCs w:val="24"/>
        </w:rPr>
        <w:t xml:space="preserve"> telling customers what implementation difficulties will mean, such as ASOS doing with service delays. An admittedly incomplete communication of progress is likely to create somewhat less euphoric positive association compared to an ambition communicated without caveat</w:t>
      </w:r>
      <w:r>
        <w:rPr>
          <w:szCs w:val="24"/>
          <w:lang w:val="en-US"/>
        </w:rPr>
        <w:t xml:space="preserve"> </w:t>
      </w:r>
      <w:r>
        <w:rPr>
          <w:szCs w:val="24"/>
          <w:lang w:val="zh-CN"/>
        </w:rPr>
        <w:t>(WRAP, 2024)</w:t>
      </w:r>
      <w:r>
        <w:rPr>
          <w:szCs w:val="24"/>
          <w:lang w:val="en-US"/>
        </w:rPr>
        <w:t>. B</w:t>
      </w:r>
      <w:r>
        <w:rPr>
          <w:szCs w:val="24"/>
        </w:rPr>
        <w:t xml:space="preserve">ut </w:t>
      </w:r>
      <w:r>
        <w:rPr>
          <w:szCs w:val="24"/>
          <w:lang w:val="en-US"/>
        </w:rPr>
        <w:t xml:space="preserve">it </w:t>
      </w:r>
      <w:r>
        <w:rPr>
          <w:szCs w:val="24"/>
        </w:rPr>
        <w:t>may also be stronger against the credibility challenge because no claims are made that contradict the evidence in a documented piece of communication. In intent to trust, good governance communication may be more lasting than aspirational target communication. The quantified current performance data of H&amp;M can be seen as the most implementational in the corpus, as it gives stakeholders an evidence base to assess credibility, rather than relying primarily on trust of the future intentions.</w:t>
      </w:r>
    </w:p>
    <w:p w14:paraId="4638D927">
      <w:pPr>
        <w:pStyle w:val="4"/>
        <w:spacing w:before="200" w:after="100"/>
      </w:pPr>
      <w:bookmarkStart w:id="63" w:name="_Toc240757371"/>
      <w:r>
        <w:t>4.4.4 Theme Four: External Scrutiny Shapes Brand Image Beyond Corporate Control</w:t>
      </w:r>
      <w:bookmarkEnd w:id="63"/>
    </w:p>
    <w:p w14:paraId="0DEF90AD">
      <w:pPr>
        <w:rPr>
          <w:szCs w:val="24"/>
        </w:rPr>
      </w:pPr>
      <w:r>
        <w:rPr>
          <w:szCs w:val="24"/>
        </w:rPr>
        <w:t>The five cases of corporate communications are qualified in relation to external evaluation services and institutions (regulatory bodies, NGOs, and industry analysts), which influence the reception of communications by stakeholders allowing them to operate in a field where they have multiple sources of information. To date, the heaviest external review of brand image has been through the regulatory process, as reported by CMA for both ASOS and Boohoo (CMA, 2024) and as reported by the Dutch Authority for Consumers and Markets for H&amp;M (Authority for Consumers and Markets, 2022). Regulatory findings imply a degree of authority that NGO commentary doesn't, and once made, it creates an institutional record of public communication, almost like a permanent one, that needs to be corrected, even after corrective action is implemented. This record impacts the reception of subsequent sustainability communications for brand image.</w:t>
      </w:r>
    </w:p>
    <w:p w14:paraId="3A8DF8B7">
      <w:r>
        <w:rPr>
          <w:szCs w:val="24"/>
        </w:rPr>
        <w:t>The activities of NGOs are complementary and yet analytically different. Most importantly, the information in this corpus pertaining to the activities of NGOs is not all negative</w:t>
      </w:r>
      <w:r>
        <w:rPr>
          <w:szCs w:val="24"/>
          <w:lang w:val="en-US"/>
        </w:rPr>
        <w:t>. E</w:t>
      </w:r>
      <w:r>
        <w:rPr>
          <w:szCs w:val="24"/>
        </w:rPr>
        <w:t>xamples of relatively well</w:t>
      </w:r>
      <w:r>
        <w:rPr>
          <w:szCs w:val="24"/>
          <w:lang w:val="en-US"/>
        </w:rPr>
        <w:t>-</w:t>
      </w:r>
      <w:r>
        <w:rPr>
          <w:szCs w:val="24"/>
        </w:rPr>
        <w:t>substantiated claim communications, like that of Zara in 2021 (Changing Markets Foundation, 2021)</w:t>
      </w:r>
      <w:r>
        <w:rPr>
          <w:szCs w:val="24"/>
          <w:lang w:val="en-US"/>
        </w:rPr>
        <w:t>,</w:t>
      </w:r>
      <w:r>
        <w:rPr>
          <w:szCs w:val="24"/>
        </w:rPr>
        <w:t xml:space="preserve"> show that external conformity assessment can produce positive brand signals. The brand image can be mo</w:t>
      </w:r>
      <w:r>
        <w:rPr>
          <w:szCs w:val="24"/>
          <w:lang w:val="en-US"/>
        </w:rPr>
        <w:t>u</w:t>
      </w:r>
      <w:r>
        <w:rPr>
          <w:szCs w:val="24"/>
        </w:rPr>
        <w:t>lded by a multi-source evaluation environment, where several independent evaluation criteria can equally be used for a corporate communication assessment</w:t>
      </w:r>
      <w:r>
        <w:rPr>
          <w:szCs w:val="24"/>
          <w:lang w:val="en-US"/>
        </w:rPr>
        <w:t xml:space="preserve"> </w:t>
      </w:r>
      <w:r>
        <w:rPr>
          <w:szCs w:val="24"/>
          <w:lang w:val="zh-CN"/>
        </w:rPr>
        <w:t>(Alizadeh, Liscio and Sospiro, 2024)</w:t>
      </w:r>
      <w:r>
        <w:rPr>
          <w:szCs w:val="24"/>
        </w:rPr>
        <w:t>. When retail communications are undeniably consistent in this evaluation context</w:t>
      </w:r>
      <w:r>
        <w:rPr>
          <w:szCs w:val="24"/>
          <w:lang w:val="en-US"/>
        </w:rPr>
        <w:t>,</w:t>
      </w:r>
      <w:r>
        <w:rPr>
          <w:szCs w:val="24"/>
        </w:rPr>
        <w:t xml:space="preserve"> longer</w:t>
      </w:r>
      <w:r>
        <w:rPr>
          <w:szCs w:val="24"/>
          <w:lang w:val="en-US"/>
        </w:rPr>
        <w:t>-</w:t>
      </w:r>
      <w:r>
        <w:rPr>
          <w:szCs w:val="24"/>
        </w:rPr>
        <w:t>term good brand associations will inclined be built and maintained than when the retail communications trigger regulatory correction and/or are challenged by their own performance data.</w:t>
      </w:r>
    </w:p>
    <w:p w14:paraId="738B6356">
      <w:pPr>
        <w:pStyle w:val="3"/>
        <w:spacing w:before="300" w:after="150"/>
      </w:pPr>
      <w:bookmarkStart w:id="64" w:name="_Toc240757372"/>
      <w:r>
        <w:t>4.5 Triangulation and Rival Explanations</w:t>
      </w:r>
      <w:bookmarkEnd w:id="64"/>
    </w:p>
    <w:p w14:paraId="456ED8CC">
      <w:pPr>
        <w:rPr>
          <w:szCs w:val="24"/>
        </w:rPr>
      </w:pPr>
      <w:r>
        <w:rPr>
          <w:szCs w:val="24"/>
        </w:rPr>
        <w:t>In order to test the robustness of the findings, three triangulations were carried out usin</w:t>
      </w:r>
      <w:r>
        <w:rPr>
          <w:szCs w:val="24"/>
          <w:lang w:val="en-US"/>
        </w:rPr>
        <w:t>g</w:t>
      </w:r>
      <w:r>
        <w:rPr>
          <w:szCs w:val="24"/>
        </w:rPr>
        <w:t xml:space="preserve"> triangulation as a method. First, the process of communicating the environmental dimension was formally dealt with during the ASOS' internal review reference and the CMA undertaking. It is clear that these two converge, reinforcing the argument that brand credibility was qualified by means of documented regulatory challenge</w:t>
      </w:r>
      <w:r>
        <w:rPr>
          <w:szCs w:val="24"/>
          <w:lang w:val="en-US"/>
        </w:rPr>
        <w:t>,</w:t>
      </w:r>
      <w:r>
        <w:rPr>
          <w:szCs w:val="24"/>
        </w:rPr>
        <w:t xml:space="preserve"> and neither source alone was enough to capture the true situation of brand credibility</w:t>
      </w:r>
      <w:r>
        <w:rPr>
          <w:szCs w:val="24"/>
          <w:lang w:val="en-US"/>
        </w:rPr>
        <w:t xml:space="preserve"> </w:t>
      </w:r>
      <w:r>
        <w:rPr>
          <w:szCs w:val="24"/>
          <w:lang w:val="zh-CN"/>
        </w:rPr>
        <w:t>(Alizadeh, Liscio and Sospiro, 2024)</w:t>
      </w:r>
      <w:r>
        <w:rPr>
          <w:szCs w:val="24"/>
        </w:rPr>
        <w:t>. Secondly, there are differences between H&amp;M's current assurance statement and the historical Dutch regulatory challenge in the period and the communication context. Their juxtaposed reading ensures that H&amp;M has been stable in its disclosure practices over time</w:t>
      </w:r>
      <w:r>
        <w:rPr>
          <w:szCs w:val="24"/>
          <w:lang w:val="en-US"/>
        </w:rPr>
        <w:t>. T</w:t>
      </w:r>
      <w:r>
        <w:rPr>
          <w:szCs w:val="24"/>
        </w:rPr>
        <w:t>hat it is not over-read because of the presence of a favo</w:t>
      </w:r>
      <w:r>
        <w:rPr>
          <w:szCs w:val="24"/>
          <w:lang w:val="en-US"/>
        </w:rPr>
        <w:t>u</w:t>
      </w:r>
      <w:r>
        <w:rPr>
          <w:szCs w:val="24"/>
        </w:rPr>
        <w:t>rable regulatory history, and conversely</w:t>
      </w:r>
      <w:r>
        <w:rPr>
          <w:szCs w:val="24"/>
          <w:lang w:val="en-US"/>
        </w:rPr>
        <w:t xml:space="preserve">. </w:t>
      </w:r>
      <w:r>
        <w:rPr>
          <w:szCs w:val="24"/>
        </w:rPr>
        <w:t>H&amp;M continues to face exposure to reputation risk because of an ominous regulatory history</w:t>
      </w:r>
      <w:r>
        <w:rPr>
          <w:szCs w:val="24"/>
          <w:lang w:val="en-US"/>
        </w:rPr>
        <w:t>,</w:t>
      </w:r>
      <w:r>
        <w:rPr>
          <w:szCs w:val="24"/>
        </w:rPr>
        <w:t xml:space="preserve"> something akin to a happy marriage between the two</w:t>
      </w:r>
      <w:r>
        <w:rPr>
          <w:szCs w:val="24"/>
          <w:lang w:val="en-US"/>
        </w:rPr>
        <w:t xml:space="preserve"> </w:t>
      </w:r>
      <w:r>
        <w:rPr>
          <w:szCs w:val="24"/>
          <w:lang w:val="zh-CN"/>
        </w:rPr>
        <w:t>(Garcia-Ortega et al., 2023)</w:t>
      </w:r>
      <w:r>
        <w:rPr>
          <w:szCs w:val="24"/>
        </w:rPr>
        <w:t>. Thirdly, the positive third case assessment of Zara was a negative case</w:t>
      </w:r>
      <w:r>
        <w:rPr>
          <w:szCs w:val="24"/>
          <w:lang w:val="en-US"/>
        </w:rPr>
        <w:t xml:space="preserve">. It </w:t>
      </w:r>
      <w:r>
        <w:rPr>
          <w:szCs w:val="24"/>
        </w:rPr>
        <w:t>necessitated the modification of the cross-case theme</w:t>
      </w:r>
      <w:r>
        <w:rPr>
          <w:szCs w:val="24"/>
          <w:lang w:val="en-US"/>
        </w:rPr>
        <w:t>,</w:t>
      </w:r>
      <w:r>
        <w:rPr>
          <w:szCs w:val="24"/>
        </w:rPr>
        <w:t xml:space="preserve"> going from a uniform credibility challenge to some variable claim-evidence fit across retailers.</w:t>
      </w:r>
    </w:p>
    <w:p w14:paraId="487FDC01">
      <w:r>
        <w:rPr>
          <w:szCs w:val="24"/>
        </w:rPr>
        <w:t>An alternative explanation of cross-case differences is that apparent differences in credibility are primarily attributable to variation in documentary coverage across cases. Primark is most worried about this factor. The analytical response, which does not rule out any cases, but is coded as absent, not present or not supported, addresses this risk without solving the underlying issue of uncertainty</w:t>
      </w:r>
      <w:r>
        <w:rPr>
          <w:szCs w:val="24"/>
          <w:lang w:val="en-US"/>
        </w:rPr>
        <w:t xml:space="preserve"> </w:t>
      </w:r>
      <w:r>
        <w:rPr>
          <w:szCs w:val="24"/>
          <w:lang w:val="zh-CN"/>
        </w:rPr>
        <w:t>(Majeed et al., 2022)</w:t>
      </w:r>
      <w:r>
        <w:rPr>
          <w:szCs w:val="24"/>
        </w:rPr>
        <w:t xml:space="preserve">. Furthermore, greater disclosure of a firm could lead to greater gaps </w:t>
      </w:r>
      <w:r>
        <w:rPr>
          <w:szCs w:val="24"/>
          <w:lang w:val="en-US"/>
        </w:rPr>
        <w:t xml:space="preserve">being </w:t>
      </w:r>
      <w:r>
        <w:rPr>
          <w:szCs w:val="24"/>
        </w:rPr>
        <w:t>identified</w:t>
      </w:r>
      <w:r>
        <w:rPr>
          <w:szCs w:val="24"/>
          <w:lang w:val="en-US"/>
        </w:rPr>
        <w:t>,</w:t>
      </w:r>
      <w:r>
        <w:rPr>
          <w:szCs w:val="24"/>
        </w:rPr>
        <w:t xml:space="preserve"> and more transparency in disclosure could generate a perception for the retailer that a greater challenge is present. Although this effect is caused by applying the same credibility dimensions across cases, it is handled by assessing what is documented, as opposed to inferring from what is not documented.</w:t>
      </w:r>
    </w:p>
    <w:p w14:paraId="6C2800A8">
      <w:pPr>
        <w:pStyle w:val="3"/>
        <w:spacing w:before="300" w:after="150"/>
      </w:pPr>
      <w:bookmarkStart w:id="65" w:name="_Toc240757373"/>
      <w:r>
        <w:t>4.6 Responses to the Research Questions</w:t>
      </w:r>
      <w:bookmarkEnd w:id="65"/>
    </w:p>
    <w:p w14:paraId="55AE1541">
      <w:pPr>
        <w:rPr>
          <w:szCs w:val="24"/>
        </w:rPr>
      </w:pPr>
      <w:r>
        <w:rPr>
          <w:szCs w:val="24"/>
        </w:rPr>
        <w:t>Research Question 1 focused on the question of what sustainable marketing strategies UK fast fashion retail brands employ. The Elements included within documented portfolios are the material sourcing claims, circular service provision, climate transition plans and supplier requirements</w:t>
      </w:r>
      <w:r>
        <w:rPr>
          <w:szCs w:val="24"/>
          <w:lang w:val="en-US"/>
        </w:rPr>
        <w:t xml:space="preserve"> </w:t>
      </w:r>
      <w:r>
        <w:rPr>
          <w:szCs w:val="24"/>
          <w:lang w:val="zh-CN"/>
        </w:rPr>
        <w:t>(Neumann, Martinez and Martinez, 2021)</w:t>
      </w:r>
      <w:r>
        <w:rPr>
          <w:szCs w:val="24"/>
        </w:rPr>
        <w:t>. The depth and breadth of the strategy are different depending on the case</w:t>
      </w:r>
      <w:r>
        <w:rPr>
          <w:szCs w:val="24"/>
          <w:lang w:val="en-US"/>
        </w:rPr>
        <w:t xml:space="preserve">. </w:t>
      </w:r>
      <w:r>
        <w:rPr>
          <w:szCs w:val="24"/>
        </w:rPr>
        <w:t>ASOS and H&amp;M show the most developed portfolio communications. The rub for comparison is that the breadth of the portfolio doesn't matter, but rather the state of the delivery of individual strategy components and their communication clarity, so single commitments are more relevant to brand image than the number of commitments.</w:t>
      </w:r>
    </w:p>
    <w:p w14:paraId="127251EE">
      <w:pPr>
        <w:rPr>
          <w:szCs w:val="24"/>
        </w:rPr>
      </w:pPr>
      <w:r>
        <w:rPr>
          <w:szCs w:val="24"/>
        </w:rPr>
        <w:t>Research Question 2 concentrated on the impact of Sustainable Marketing on Brand image and Customer trust, as well as Brand reputation. It is argued that sustainable marketing can foster positive brand associations in situations of specific, evidence-based and scope</w:t>
      </w:r>
      <w:r>
        <w:rPr>
          <w:szCs w:val="24"/>
          <w:lang w:val="en-US"/>
        </w:rPr>
        <w:t>-</w:t>
      </w:r>
      <w:r>
        <w:rPr>
          <w:szCs w:val="24"/>
        </w:rPr>
        <w:t>matching communications</w:t>
      </w:r>
      <w:r>
        <w:rPr>
          <w:szCs w:val="24"/>
          <w:lang w:val="en-US"/>
        </w:rPr>
        <w:t xml:space="preserve"> </w:t>
      </w:r>
      <w:r>
        <w:rPr>
          <w:szCs w:val="24"/>
          <w:lang w:val="zh-CN"/>
        </w:rPr>
        <w:t>(Jung, Kim and Kim, 2020)</w:t>
      </w:r>
      <w:r>
        <w:rPr>
          <w:szCs w:val="24"/>
        </w:rPr>
        <w:t>. Measures of disclosure</w:t>
      </w:r>
      <w:r>
        <w:rPr>
          <w:szCs w:val="24"/>
          <w:lang w:val="en-US"/>
        </w:rPr>
        <w:t>,</w:t>
      </w:r>
      <w:r>
        <w:rPr>
          <w:szCs w:val="24"/>
        </w:rPr>
        <w:t xml:space="preserve"> such as quantified information from H&amp;M</w:t>
      </w:r>
      <w:r>
        <w:rPr>
          <w:szCs w:val="24"/>
          <w:lang w:val="en-US"/>
        </w:rPr>
        <w:t>,</w:t>
      </w:r>
      <w:r>
        <w:rPr>
          <w:szCs w:val="24"/>
        </w:rPr>
        <w:t xml:space="preserve"> demonstrate an attempt to make people feel accountable for measures, while ASOS' transparent announcement of the difficulties of implementing measures demonstrates an attempt towards corporate honesty. On the other hand, when communications appear at odds with self-explained performance figures, like in the case of Boohoo, the sustainability story seems to lose its credibility</w:t>
      </w:r>
      <w:r>
        <w:rPr>
          <w:szCs w:val="24"/>
          <w:lang w:val="en-US"/>
        </w:rPr>
        <w:t xml:space="preserve"> </w:t>
      </w:r>
      <w:r>
        <w:rPr>
          <w:szCs w:val="24"/>
          <w:lang w:val="zh-CN"/>
        </w:rPr>
        <w:t>(Olson, 2022)</w:t>
      </w:r>
      <w:r>
        <w:rPr>
          <w:szCs w:val="24"/>
        </w:rPr>
        <w:t>. Trust is not on the level of commitment, but on the relationship that can be demonstrated between the claims and what can be observed in an operation.</w:t>
      </w:r>
    </w:p>
    <w:p w14:paraId="46BDDFD7">
      <w:pPr>
        <w:rPr>
          <w:lang w:val="en-US"/>
        </w:rPr>
      </w:pPr>
      <w:r>
        <w:rPr>
          <w:szCs w:val="24"/>
        </w:rPr>
        <w:t>Research Question 3 was aimed at: What are the impact</w:t>
      </w:r>
      <w:r>
        <w:rPr>
          <w:szCs w:val="24"/>
          <w:lang w:val="en-US"/>
        </w:rPr>
        <w:t>s</w:t>
      </w:r>
      <w:r>
        <w:rPr>
          <w:szCs w:val="24"/>
        </w:rPr>
        <w:t xml:space="preserve"> of "greenwashing concerns" and "ethical criticisms" on sustainable marketing in UK fast fashion? Analysis recogni</w:t>
      </w:r>
      <w:r>
        <w:rPr>
          <w:szCs w:val="24"/>
          <w:lang w:val="en-US"/>
        </w:rPr>
        <w:t>s</w:t>
      </w:r>
      <w:r>
        <w:rPr>
          <w:szCs w:val="24"/>
        </w:rPr>
        <w:t>es different challenge modes: regulation at the level of communication practice</w:t>
      </w:r>
      <w:r>
        <w:rPr>
          <w:szCs w:val="24"/>
          <w:lang w:val="en-US"/>
        </w:rPr>
        <w:t xml:space="preserve"> </w:t>
      </w:r>
      <w:r>
        <w:rPr>
          <w:szCs w:val="24"/>
          <w:lang w:val="zh-CN"/>
        </w:rPr>
        <w:t>(Olson, 2022)</w:t>
      </w:r>
      <w:r>
        <w:rPr>
          <w:szCs w:val="24"/>
          <w:lang w:val="en-US"/>
        </w:rPr>
        <w:t xml:space="preserve">. </w:t>
      </w:r>
      <w:r>
        <w:rPr>
          <w:szCs w:val="24"/>
        </w:rPr>
        <w:t xml:space="preserve">NGO investigation at the level of </w:t>
      </w:r>
      <w:r>
        <w:rPr>
          <w:szCs w:val="24"/>
          <w:lang w:val="en-US"/>
        </w:rPr>
        <w:t xml:space="preserve">the </w:t>
      </w:r>
      <w:r>
        <w:rPr>
          <w:szCs w:val="24"/>
        </w:rPr>
        <w:t>content of these claims and at the level of sourcing behaviour; evidence inside at the level of actual performance and targeted performance. The agency issues regulatory issues</w:t>
      </w:r>
      <w:r>
        <w:rPr>
          <w:szCs w:val="24"/>
          <w:lang w:val="en-US"/>
        </w:rPr>
        <w:t>,</w:t>
      </w:r>
      <w:r>
        <w:rPr>
          <w:szCs w:val="24"/>
        </w:rPr>
        <w:t xml:space="preserve"> and these are the most direct and have the most di</w:t>
      </w:r>
      <w:r>
        <w:rPr>
          <w:szCs w:val="24"/>
          <w:lang w:val="en-US"/>
        </w:rPr>
        <w:t>rect</w:t>
      </w:r>
      <w:r>
        <w:rPr>
          <w:szCs w:val="24"/>
        </w:rPr>
        <w:t xml:space="preserve"> impact because they result in authoritative published records of necessary corrections. NGO scrutiny offers</w:t>
      </w:r>
      <w:r>
        <w:rPr>
          <w:szCs w:val="24"/>
          <w:lang w:val="en-US"/>
        </w:rPr>
        <w:t xml:space="preserve"> </w:t>
      </w:r>
      <w:r>
        <w:rPr>
          <w:szCs w:val="24"/>
        </w:rPr>
        <w:t>potential ongoing evaluation in context</w:t>
      </w:r>
      <w:r>
        <w:rPr>
          <w:szCs w:val="24"/>
          <w:lang w:val="en-US"/>
        </w:rPr>
        <w:t>,</w:t>
      </w:r>
      <w:r>
        <w:rPr>
          <w:szCs w:val="24"/>
        </w:rPr>
        <w:t xml:space="preserve"> which could harm or partially enhance credibility according to the results</w:t>
      </w:r>
      <w:r>
        <w:rPr>
          <w:szCs w:val="24"/>
          <w:lang w:val="en-US"/>
        </w:rPr>
        <w:t xml:space="preserve"> </w:t>
      </w:r>
      <w:r>
        <w:rPr>
          <w:szCs w:val="24"/>
          <w:lang w:val="zh-CN"/>
        </w:rPr>
        <w:t>(Kim and Oh, 2020)</w:t>
      </w:r>
      <w:r>
        <w:rPr>
          <w:szCs w:val="24"/>
        </w:rPr>
        <w:t>. The most immediate evidential basis (in relation to sustainability communication) is internal performance disclosure, such as Boohoo's material share data</w:t>
      </w:r>
      <w:r>
        <w:rPr>
          <w:szCs w:val="24"/>
          <w:lang w:val="en-US"/>
        </w:rPr>
        <w:t xml:space="preserve">. </w:t>
      </w:r>
    </w:p>
    <w:p w14:paraId="7D4126C6">
      <w:pPr>
        <w:pStyle w:val="3"/>
        <w:spacing w:before="300" w:after="150"/>
      </w:pPr>
      <w:bookmarkStart w:id="66" w:name="_Toc240757374"/>
      <w:r>
        <w:t>4.7 Chapter Conclusion</w:t>
      </w:r>
      <w:bookmarkEnd w:id="66"/>
    </w:p>
    <w:p w14:paraId="47797ACE">
      <w:pPr>
        <w:rPr>
          <w:szCs w:val="24"/>
        </w:rPr>
      </w:pPr>
      <w:r>
        <w:rPr>
          <w:szCs w:val="24"/>
        </w:rPr>
        <w:t>In this chapter</w:t>
      </w:r>
      <w:r>
        <w:rPr>
          <w:szCs w:val="24"/>
          <w:lang w:val="en-US"/>
        </w:rPr>
        <w:t>,</w:t>
      </w:r>
      <w:r>
        <w:rPr>
          <w:szCs w:val="24"/>
        </w:rPr>
        <w:t xml:space="preserve"> the impact of sustainable marketing on the image of brands in the context of 5 fast fashion companies in </w:t>
      </w:r>
      <w:r>
        <w:rPr>
          <w:szCs w:val="24"/>
          <w:lang w:val="en-US"/>
        </w:rPr>
        <w:t xml:space="preserve">the </w:t>
      </w:r>
      <w:r>
        <w:rPr>
          <w:szCs w:val="24"/>
        </w:rPr>
        <w:t>United Kingdom was analysed. H&amp;M demonstrated the most quantified reporting and external verification, whereas Boohoo was most transparent in the lack of sustainability ambition and performance</w:t>
      </w:r>
      <w:r>
        <w:rPr>
          <w:szCs w:val="24"/>
          <w:lang w:val="en-US"/>
        </w:rPr>
        <w:t xml:space="preserve"> </w:t>
      </w:r>
      <w:r>
        <w:rPr>
          <w:szCs w:val="24"/>
          <w:lang w:val="zh-CN"/>
        </w:rPr>
        <w:t>(Policarpo et al., 2023)</w:t>
      </w:r>
      <w:r>
        <w:rPr>
          <w:szCs w:val="24"/>
        </w:rPr>
        <w:t xml:space="preserve">. ASOS had the highest level of transparency regarding the difficulties of implementation, whereas Zara had a relatively positive assessment by external providers but </w:t>
      </w:r>
      <w:r>
        <w:rPr>
          <w:szCs w:val="24"/>
          <w:lang w:val="en-US"/>
        </w:rPr>
        <w:t xml:space="preserve">had </w:t>
      </w:r>
      <w:r>
        <w:rPr>
          <w:szCs w:val="24"/>
        </w:rPr>
        <w:t>issues with group</w:t>
      </w:r>
      <w:r>
        <w:rPr>
          <w:szCs w:val="24"/>
          <w:lang w:val="en-US"/>
        </w:rPr>
        <w:t>-</w:t>
      </w:r>
      <w:r>
        <w:rPr>
          <w:szCs w:val="24"/>
        </w:rPr>
        <w:t>level attribution, and Primark still had issues brought up</w:t>
      </w:r>
      <w:r>
        <w:rPr>
          <w:szCs w:val="24"/>
          <w:lang w:val="en-US"/>
        </w:rPr>
        <w:t>,</w:t>
      </w:r>
      <w:r>
        <w:rPr>
          <w:szCs w:val="24"/>
        </w:rPr>
        <w:t xml:space="preserve"> such as evidence not being sufficient. In general, sustainable marketing enhances the brand image, as long as claims are more specific, transparent, evidenced and consistent with operational practice</w:t>
      </w:r>
      <w:r>
        <w:rPr>
          <w:szCs w:val="24"/>
          <w:lang w:val="en-US"/>
        </w:rPr>
        <w:t xml:space="preserve"> </w:t>
      </w:r>
      <w:r>
        <w:rPr>
          <w:szCs w:val="24"/>
          <w:lang w:val="zh-CN"/>
        </w:rPr>
        <w:t>(Ray and Nayak, 2023)</w:t>
      </w:r>
      <w:r>
        <w:rPr>
          <w:szCs w:val="24"/>
        </w:rPr>
        <w:t>. On the other hand, if the alignment is not strong</w:t>
      </w:r>
      <w:r>
        <w:rPr>
          <w:szCs w:val="24"/>
          <w:lang w:val="en-US"/>
        </w:rPr>
        <w:t>,</w:t>
      </w:r>
      <w:r>
        <w:rPr>
          <w:szCs w:val="24"/>
        </w:rPr>
        <w:t xml:space="preserve"> that can raise scepticism and risks for regulation. Credibility is also determined by external evaluation of the company by the regulator, NGOs, and industry analysts, adding additional layers of accountability to build long-term trust and reputation among stakeholders.</w:t>
      </w:r>
    </w:p>
    <w:p w14:paraId="1A691ADD">
      <w:pPr>
        <w:rPr>
          <w:szCs w:val="24"/>
        </w:rPr>
      </w:pPr>
    </w:p>
    <w:p w14:paraId="4D384496">
      <w:pPr>
        <w:rPr>
          <w:szCs w:val="24"/>
        </w:rPr>
      </w:pPr>
    </w:p>
    <w:p w14:paraId="02AC0018">
      <w:pPr>
        <w:rPr>
          <w:szCs w:val="24"/>
        </w:rPr>
      </w:pPr>
      <w:r>
        <w:rPr>
          <w:szCs w:val="24"/>
        </w:rPr>
        <w:br w:type="page"/>
      </w:r>
    </w:p>
    <w:p w14:paraId="1B8C44C7">
      <w:pPr>
        <w:pStyle w:val="2"/>
        <w:spacing w:before="400" w:after="200"/>
      </w:pPr>
      <w:bookmarkStart w:id="67" w:name="_Toc240757375"/>
      <w:r>
        <w:t>Chapter 5: Discussion</w:t>
      </w:r>
      <w:bookmarkEnd w:id="67"/>
    </w:p>
    <w:p w14:paraId="6F3758A4">
      <w:pPr>
        <w:pStyle w:val="3"/>
        <w:spacing w:before="300" w:after="150"/>
      </w:pPr>
      <w:bookmarkStart w:id="68" w:name="_Toc240757376"/>
      <w:r>
        <w:t>5.1 Introduction</w:t>
      </w:r>
      <w:bookmarkEnd w:id="68"/>
    </w:p>
    <w:p w14:paraId="39506DF6">
      <w:r>
        <w:rPr>
          <w:szCs w:val="24"/>
        </w:rPr>
        <w:t>The chapter puts the results of Chapter 4 into the theoretical context and the literature developed in Chapter 2. It takes into account three discussions: the extent to which the outcomes support the existing theoretical propositions; the knowledge that they provide on the context in which sustainable marketing can credibly enhance brand images in the UK fast fashion context; and the implications that they have for retailers, managers, and regulators</w:t>
      </w:r>
      <w:r>
        <w:rPr>
          <w:szCs w:val="24"/>
          <w:lang w:val="en-US"/>
        </w:rPr>
        <w:t xml:space="preserve"> </w:t>
      </w:r>
      <w:r>
        <w:rPr>
          <w:szCs w:val="24"/>
          <w:lang w:val="zh-CN"/>
        </w:rPr>
        <w:t>(Garcia-Ortega et al., 2023)</w:t>
      </w:r>
      <w:r>
        <w:rPr>
          <w:szCs w:val="24"/>
        </w:rPr>
        <w:t>. The chapter does not reproduce case findings, but rather builds upon them as evidence to make larger interpretive claims. The main theory is that the impact of sustainable marketing on the brand image is contingent and moderated by credence, or credibility</w:t>
      </w:r>
      <w:r>
        <w:rPr>
          <w:szCs w:val="24"/>
          <w:lang w:val="en-US"/>
        </w:rPr>
        <w:t>,</w:t>
      </w:r>
      <w:r>
        <w:rPr>
          <w:szCs w:val="24"/>
        </w:rPr>
        <w:t xml:space="preserve"> which can be broken down into 4 components – specificity, evidence, verifiability and congruence of operations, and multi-source evaluation in the context of UK retail brands.</w:t>
      </w:r>
    </w:p>
    <w:p w14:paraId="5D973CE0">
      <w:pPr>
        <w:pStyle w:val="3"/>
        <w:spacing w:before="300" w:after="150"/>
      </w:pPr>
      <w:bookmarkStart w:id="69" w:name="_Toc240757377"/>
      <w:r>
        <w:t>5.2 Signalling Theory: Credibility as the Determining Variable</w:t>
      </w:r>
      <w:bookmarkEnd w:id="69"/>
    </w:p>
    <w:p w14:paraId="0E07344C">
      <w:pPr>
        <w:rPr>
          <w:szCs w:val="24"/>
        </w:rPr>
      </w:pPr>
      <w:r>
        <w:rPr>
          <w:szCs w:val="24"/>
        </w:rPr>
        <w:t>The results provide significant validation that signalling theory is the most analytically profitable theoretical lens to understand sustainable marketing in the context of UK fast fashion</w:t>
      </w:r>
      <w:r>
        <w:rPr>
          <w:szCs w:val="24"/>
          <w:lang w:val="en-US"/>
        </w:rPr>
        <w:t xml:space="preserve"> </w:t>
      </w:r>
      <w:r>
        <w:rPr>
          <w:szCs w:val="24"/>
          <w:lang w:val="zh-CN"/>
        </w:rPr>
        <w:t>(Adamkiewicz et al., 2022)</w:t>
      </w:r>
      <w:r>
        <w:rPr>
          <w:szCs w:val="24"/>
        </w:rPr>
        <w:t>. Signalling theory posits that communications will overcome information asymmetries among organisations and stakeholders only if signals are. Observable, Specific, and Costly to Fake (CF) (Majeed et al., 2022). The cross-case analysis validates this and makes it evident that all these conditions are not fulfilled equally in the five retailers. In the case of H&amp;M, there has been what can be considered the most complete quantified material disclosures available (89% of materials quantified as recycled or sustainably sourced, 29.5% of materials quantified as recycled content, with limited assurance provided), which most closely resemble the conditions stated in the signalling theory for positive brand association (H&amp;M Group, 2025). The targeting of the metrics, along with the independent guarantee, limit</w:t>
      </w:r>
      <w:r>
        <w:rPr>
          <w:szCs w:val="24"/>
          <w:lang w:val="en-US"/>
        </w:rPr>
        <w:t>s</w:t>
      </w:r>
      <w:r>
        <w:rPr>
          <w:szCs w:val="24"/>
        </w:rPr>
        <w:t xml:space="preserve"> the opportunity for stakeholders to dismiss the claim as mere promotional.</w:t>
      </w:r>
    </w:p>
    <w:p w14:paraId="456DEFB2">
      <w:pPr>
        <w:rPr>
          <w:szCs w:val="24"/>
        </w:rPr>
      </w:pPr>
      <w:r>
        <w:rPr>
          <w:szCs w:val="24"/>
        </w:rPr>
        <w:t>By contrast, Boohoo's communication exemplifies the circumstances in which credibility issues would be predicted to be negative by the signalling theory</w:t>
      </w:r>
      <w:r>
        <w:rPr>
          <w:szCs w:val="24"/>
          <w:lang w:val="en-US"/>
        </w:rPr>
        <w:t xml:space="preserve"> </w:t>
      </w:r>
      <w:r>
        <w:rPr>
          <w:szCs w:val="24"/>
          <w:lang w:val="zh-CN"/>
        </w:rPr>
        <w:t>(Policarpo et al., 2023)</w:t>
      </w:r>
      <w:r>
        <w:rPr>
          <w:szCs w:val="24"/>
        </w:rPr>
        <w:t>. A signal is ineffective in creating positive associations and can even damage the trustworthiness of the overarching sustainability message</w:t>
      </w:r>
      <w:r>
        <w:rPr>
          <w:szCs w:val="24"/>
          <w:lang w:val="en-US"/>
        </w:rPr>
        <w:t>,</w:t>
      </w:r>
      <w:r>
        <w:rPr>
          <w:szCs w:val="24"/>
        </w:rPr>
        <w:t xml:space="preserve"> where it can be easily called into question</w:t>
      </w:r>
      <w:r>
        <w:rPr>
          <w:szCs w:val="24"/>
          <w:lang w:val="en-US"/>
        </w:rPr>
        <w:t>,</w:t>
      </w:r>
      <w:r>
        <w:rPr>
          <w:szCs w:val="24"/>
        </w:rPr>
        <w:t xml:space="preserve"> such as Boohoo's material targets, which have been questioned due to Boohoo's own material performance data (Boohoo Group plc, 2024b). This discovery contributes to the application of the signalling theory in the fast fashion context by showing that the signals that negate themselves (more importantly than the external criticism) are the most harmful, as they tilt the inferential gap between claim and counter evidence</w:t>
      </w:r>
      <w:r>
        <w:rPr>
          <w:szCs w:val="24"/>
          <w:lang w:val="en-US"/>
        </w:rPr>
        <w:t xml:space="preserve"> </w:t>
      </w:r>
      <w:r>
        <w:rPr>
          <w:szCs w:val="24"/>
          <w:lang w:val="zh-CN"/>
        </w:rPr>
        <w:t>(Cho, Ko and Borenstein, 2024)</w:t>
      </w:r>
      <w:r>
        <w:rPr>
          <w:szCs w:val="24"/>
        </w:rPr>
        <w:t>. Signal and refutation are coming from the same source with no room for interpretation.</w:t>
      </w:r>
    </w:p>
    <w:p w14:paraId="25916053">
      <w:pPr>
        <w:rPr>
          <w:szCs w:val="24"/>
        </w:rPr>
      </w:pPr>
      <w:r>
        <w:rPr>
          <w:szCs w:val="24"/>
        </w:rPr>
        <w:t xml:space="preserve">An intermediate case can be made that modifies the theoretical picture </w:t>
      </w:r>
      <w:r>
        <w:rPr>
          <w:szCs w:val="24"/>
          <w:lang w:val="en-US"/>
        </w:rPr>
        <w:t xml:space="preserve">of </w:t>
      </w:r>
      <w:r>
        <w:rPr>
          <w:szCs w:val="24"/>
        </w:rPr>
        <w:t>ASOS. This can be viewed as the other significant form of costly disclosure</w:t>
      </w:r>
      <w:r>
        <w:rPr>
          <w:szCs w:val="24"/>
          <w:lang w:val="en-US"/>
        </w:rPr>
        <w:t xml:space="preserve">. According to </w:t>
      </w:r>
      <w:r>
        <w:rPr>
          <w:szCs w:val="24"/>
          <w:lang w:val="zh-CN"/>
        </w:rPr>
        <w:t>Janmark et al. (2024)</w:t>
      </w:r>
      <w:r>
        <w:rPr>
          <w:szCs w:val="24"/>
          <w:lang w:val="en-US"/>
        </w:rPr>
        <w:t xml:space="preserve"> t</w:t>
      </w:r>
      <w:r>
        <w:rPr>
          <w:szCs w:val="24"/>
        </w:rPr>
        <w:t>ransparency communicating about a shortfall is quite risky in terms of reputation, so communicating this is more costly than claiming it. This accords with the theory which predicts that the more the costs of disclosure, the greater the resulting credibility. As the CMA intervention (CMA, 2024) illustrates, however, even clear "signalling" can be impeded by the addition of regulatory uncertainty to the institutional "uncertainty" already available in the corporate disclosures. The finding indicates that where regulatory bodies exist and active enforcers are in place</w:t>
      </w:r>
      <w:r>
        <w:rPr>
          <w:szCs w:val="24"/>
          <w:lang w:val="en-US"/>
        </w:rPr>
        <w:t xml:space="preserve"> </w:t>
      </w:r>
      <w:r>
        <w:rPr>
          <w:szCs w:val="24"/>
          <w:lang w:val="zh-CN"/>
        </w:rPr>
        <w:t>(Olson, 2022)</w:t>
      </w:r>
      <w:r>
        <w:rPr>
          <w:szCs w:val="24"/>
        </w:rPr>
        <w:t>. Signal</w:t>
      </w:r>
      <w:r>
        <w:rPr>
          <w:szCs w:val="24"/>
          <w:lang w:val="en-US"/>
        </w:rPr>
        <w:t>l</w:t>
      </w:r>
      <w:r>
        <w:rPr>
          <w:szCs w:val="24"/>
        </w:rPr>
        <w:t>ing credibility entails not just the quality of the claim, but also how the claim has withstood institutional examination, as outlined in the Digital Markets, Competition and Consumers Act 2024 in the UK.</w:t>
      </w:r>
    </w:p>
    <w:p w14:paraId="55290FC4">
      <w:pPr>
        <w:pStyle w:val="3"/>
        <w:spacing w:before="300" w:after="150"/>
      </w:pPr>
      <w:bookmarkStart w:id="70" w:name="_Toc240757378"/>
      <w:r>
        <w:t>5.3 Customer-Based Brand Equity: The Translation Requirement</w:t>
      </w:r>
      <w:bookmarkEnd w:id="70"/>
    </w:p>
    <w:p w14:paraId="234EB436">
      <w:pPr>
        <w:rPr>
          <w:szCs w:val="24"/>
        </w:rPr>
      </w:pPr>
      <w:r>
        <w:rPr>
          <w:szCs w:val="24"/>
        </w:rPr>
        <w:t>According to Keller's customer-based brand equity (CBBE) model, the psychological strength of the brand is based on the association the stakeholders have towards a particular brand</w:t>
      </w:r>
      <w:r>
        <w:rPr>
          <w:szCs w:val="24"/>
          <w:lang w:val="en-US"/>
        </w:rPr>
        <w:t>,</w:t>
      </w:r>
      <w:r>
        <w:rPr>
          <w:szCs w:val="24"/>
        </w:rPr>
        <w:t xml:space="preserve"> and favourable, strong and unique associations could constitute the basis for competitive difference</w:t>
      </w:r>
      <w:r>
        <w:rPr>
          <w:szCs w:val="24"/>
          <w:lang w:val="en-US"/>
        </w:rPr>
        <w:t xml:space="preserve"> </w:t>
      </w:r>
      <w:r>
        <w:rPr>
          <w:szCs w:val="24"/>
          <w:lang w:val="zh-CN"/>
        </w:rPr>
        <w:t>(Cho, Ko and Borenstein, 2024)</w:t>
      </w:r>
      <w:r>
        <w:rPr>
          <w:szCs w:val="24"/>
        </w:rPr>
        <w:t>. Implicit in this framework</w:t>
      </w:r>
      <w:r>
        <w:rPr>
          <w:szCs w:val="24"/>
          <w:lang w:val="en-US"/>
        </w:rPr>
        <w:t>,</w:t>
      </w:r>
      <w:r>
        <w:rPr>
          <w:szCs w:val="24"/>
        </w:rPr>
        <w:t xml:space="preserve"> in addition to the dimension of the sustainability aspects</w:t>
      </w:r>
      <w:r>
        <w:rPr>
          <w:szCs w:val="24"/>
          <w:lang w:val="en-US"/>
        </w:rPr>
        <w:t>,</w:t>
      </w:r>
      <w:r>
        <w:rPr>
          <w:szCs w:val="24"/>
        </w:rPr>
        <w:t xml:space="preserve"> is that there does not necessarily have to be a CBBE-like correlation between corporate-level sustainable marketing communications and associations at the product and brand level this is mediated by scope and attribution.</w:t>
      </w:r>
    </w:p>
    <w:p w14:paraId="1D644593">
      <w:pPr>
        <w:rPr>
          <w:szCs w:val="24"/>
        </w:rPr>
      </w:pPr>
      <w:r>
        <w:rPr>
          <w:szCs w:val="24"/>
        </w:rPr>
        <w:t xml:space="preserve">This is best exemplified by the example of Zara and Inditex. The emissions reductions, such as those recorded by the Inditex network (Inditex, 2025), demonstrated at </w:t>
      </w:r>
      <w:r>
        <w:rPr>
          <w:szCs w:val="24"/>
          <w:lang w:val="en-US"/>
        </w:rPr>
        <w:t xml:space="preserve">the </w:t>
      </w:r>
      <w:r>
        <w:rPr>
          <w:szCs w:val="24"/>
        </w:rPr>
        <w:t>group level are real and in scope</w:t>
      </w:r>
      <w:r>
        <w:rPr>
          <w:szCs w:val="24"/>
          <w:lang w:val="en-US"/>
        </w:rPr>
        <w:t>,</w:t>
      </w:r>
      <w:r>
        <w:rPr>
          <w:szCs w:val="24"/>
        </w:rPr>
        <w:t xml:space="preserve"> but there is a gap between what is being reported at </w:t>
      </w:r>
      <w:r>
        <w:rPr>
          <w:szCs w:val="24"/>
          <w:lang w:val="en-US"/>
        </w:rPr>
        <w:t xml:space="preserve">the </w:t>
      </w:r>
      <w:r>
        <w:rPr>
          <w:szCs w:val="24"/>
        </w:rPr>
        <w:t xml:space="preserve">group </w:t>
      </w:r>
      <w:r>
        <w:rPr>
          <w:szCs w:val="24"/>
          <w:lang w:val="en-US"/>
        </w:rPr>
        <w:t xml:space="preserve">level </w:t>
      </w:r>
      <w:r>
        <w:rPr>
          <w:szCs w:val="24"/>
        </w:rPr>
        <w:t>and what, in reality, constitutes a Zara garment at the group level. The presence of attribution ambiguity in brand-association networks can be one of the ways that scepticism becomes part of sustainable fashion, as evidenced in this case</w:t>
      </w:r>
      <w:r>
        <w:rPr>
          <w:szCs w:val="24"/>
          <w:lang w:val="en-US"/>
        </w:rPr>
        <w:t>. T</w:t>
      </w:r>
      <w:r>
        <w:rPr>
          <w:szCs w:val="24"/>
        </w:rPr>
        <w:t>he brand-association networks in sustainable fashion contain both positive and sceptical elements, as Kim and Oh (2020) highlight. Stakeholder linking environmental progress to the products they buy can be less clear and more easily undermined than CBBE's base model suggests.</w:t>
      </w:r>
    </w:p>
    <w:p w14:paraId="2ACDD698">
      <w:r>
        <w:rPr>
          <w:szCs w:val="24"/>
        </w:rPr>
        <w:t>There is a partial solution in H&amp;M's case. H&amp;M helps stakeholders make more straightforward inferences between their brand and what is reported by connecting their sustainability communications with clear, non-abstract metrics, which are quantified and scoped. It aligns with the work of Garcia-Ortega et al. (2023), who found that claims that focus on novelty and aspiration tend to result in less long-lasting brand associations than specific and sufficiency</w:t>
      </w:r>
      <w:r>
        <w:rPr>
          <w:szCs w:val="24"/>
          <w:lang w:val="en-US"/>
        </w:rPr>
        <w:t>-</w:t>
      </w:r>
      <w:r>
        <w:rPr>
          <w:szCs w:val="24"/>
        </w:rPr>
        <w:t>focused claims. What it ultimately means, and which will be explored in more detail in Section 5.5, is that evidence of sustainability has to be tightly connected to brand meaning</w:t>
      </w:r>
      <w:r>
        <w:rPr>
          <w:szCs w:val="24"/>
          <w:lang w:val="en-US"/>
        </w:rPr>
        <w:t xml:space="preserve"> </w:t>
      </w:r>
      <w:r>
        <w:rPr>
          <w:szCs w:val="24"/>
          <w:lang w:val="zh-CN"/>
        </w:rPr>
        <w:t>(Majeed et al., 2022)</w:t>
      </w:r>
      <w:r>
        <w:rPr>
          <w:szCs w:val="24"/>
        </w:rPr>
        <w:t>. It is necessary to link sustainable mark</w:t>
      </w:r>
      <w:r>
        <w:rPr>
          <w:szCs w:val="24"/>
          <w:lang w:val="en-US"/>
        </w:rPr>
        <w:t xml:space="preserve">eting </w:t>
      </w:r>
      <w:r>
        <w:rPr>
          <w:szCs w:val="24"/>
        </w:rPr>
        <w:t xml:space="preserve">to CBBE theory sustainable marketing that will ensure that brand equity functions </w:t>
      </w:r>
      <w:r>
        <w:rPr>
          <w:szCs w:val="24"/>
          <w:lang w:val="en-US"/>
        </w:rPr>
        <w:t xml:space="preserve">as </w:t>
      </w:r>
      <w:r>
        <w:rPr>
          <w:szCs w:val="24"/>
        </w:rPr>
        <w:t>detailed by this theory.</w:t>
      </w:r>
    </w:p>
    <w:p w14:paraId="35AE55EB">
      <w:pPr>
        <w:pStyle w:val="3"/>
        <w:spacing w:before="300" w:after="150"/>
      </w:pPr>
      <w:bookmarkStart w:id="71" w:name="_Toc240757379"/>
      <w:r>
        <w:t>5.4 Legitimacy Theory: External Scrutiny as a Reputational Force</w:t>
      </w:r>
      <w:bookmarkEnd w:id="71"/>
    </w:p>
    <w:p w14:paraId="7C22E3E5">
      <w:pPr>
        <w:rPr>
          <w:szCs w:val="24"/>
        </w:rPr>
      </w:pPr>
      <w:r>
        <w:rPr>
          <w:szCs w:val="24"/>
        </w:rPr>
        <w:t>Legitimacy theory states that organisations gain and retain their legitimisation through a showing of alignment between messages and the norms of the stakeholder domain (Cho, Ko and Borenstein, 2024). Results show that legitimacy in the context of UK fast fashion is not simply created in binary fashion, but is dynamic and contested, depending on how organisations' communication is perceived across an environment of multi-source scrutiny: regulators, NGOs and media.</w:t>
      </w:r>
    </w:p>
    <w:p w14:paraId="618DCBFD">
      <w:pPr>
        <w:rPr>
          <w:szCs w:val="24"/>
        </w:rPr>
      </w:pPr>
      <w:r>
        <w:rPr>
          <w:szCs w:val="24"/>
        </w:rPr>
        <w:t>The interventions of the CMA to ASOS and Boohoo (CMA, 2024) are the most institutionally significant instances of challenges to legitimacy in the corpus. There is a difference between the authority of regulatory action and NGO criticism</w:t>
      </w:r>
      <w:r>
        <w:rPr>
          <w:szCs w:val="24"/>
          <w:lang w:val="en-US"/>
        </w:rPr>
        <w:t>,</w:t>
      </w:r>
      <w:r>
        <w:rPr>
          <w:szCs w:val="24"/>
        </w:rPr>
        <w:t xml:space="preserve"> and regulatory action also leaves a public record of failure to regulate that remains after the duration of the corrective measure. The undertakings were not legal determinations of wrongdoing</w:t>
      </w:r>
      <w:r>
        <w:rPr>
          <w:szCs w:val="24"/>
          <w:lang w:val="en-US"/>
        </w:rPr>
        <w:t xml:space="preserve"> (Ray and Nayak, 2023). B</w:t>
      </w:r>
      <w:r>
        <w:rPr>
          <w:szCs w:val="24"/>
        </w:rPr>
        <w:t xml:space="preserve">ut </w:t>
      </w:r>
      <w:r>
        <w:rPr>
          <w:szCs w:val="24"/>
          <w:lang w:val="en-US"/>
        </w:rPr>
        <w:t xml:space="preserve">they </w:t>
      </w:r>
      <w:r>
        <w:rPr>
          <w:szCs w:val="24"/>
        </w:rPr>
        <w:t>make public the need for significant changes to the communications. The institutional challenge can also have an impact on how stakeholders perceive future communication, even if it is correct. This is in line with the Policarpo et al. (2023) study</w:t>
      </w:r>
      <w:r>
        <w:rPr>
          <w:szCs w:val="24"/>
          <w:lang w:val="en-US"/>
        </w:rPr>
        <w:t>,</w:t>
      </w:r>
      <w:r>
        <w:rPr>
          <w:szCs w:val="24"/>
        </w:rPr>
        <w:t xml:space="preserve"> which indicate</w:t>
      </w:r>
      <w:r>
        <w:rPr>
          <w:szCs w:val="24"/>
          <w:lang w:val="en-US"/>
        </w:rPr>
        <w:t>s</w:t>
      </w:r>
      <w:r>
        <w:rPr>
          <w:szCs w:val="24"/>
        </w:rPr>
        <w:t xml:space="preserve"> that actual and perceived greenwashing leads to the erosion of trust</w:t>
      </w:r>
      <w:r>
        <w:rPr>
          <w:szCs w:val="24"/>
          <w:lang w:val="en-US"/>
        </w:rPr>
        <w:t>. T</w:t>
      </w:r>
      <w:r>
        <w:rPr>
          <w:szCs w:val="24"/>
        </w:rPr>
        <w:t xml:space="preserve">hat trust repair through corrective communication is difficult. This makes its mark at </w:t>
      </w:r>
      <w:r>
        <w:rPr>
          <w:szCs w:val="24"/>
          <w:lang w:val="en-US"/>
        </w:rPr>
        <w:t xml:space="preserve">the </w:t>
      </w:r>
      <w:r>
        <w:rPr>
          <w:szCs w:val="24"/>
        </w:rPr>
        <w:t>institutional level, because if the consumer is delegitimised by a regulatory body, the effects are expected to be more lasting than by the consumer alone.</w:t>
      </w:r>
    </w:p>
    <w:p w14:paraId="17D7963C">
      <w:r>
        <w:rPr>
          <w:szCs w:val="24"/>
        </w:rPr>
        <w:t>Zara's Claim Communication accuracy for the year 2021 was relatively good (Changing Markets Foundation, 2021), and this forms an important theoretical counterpoint. While the risk of losing legitimacy has usually been in the foreground of legitimacy theory, the Zara case here clearly show</w:t>
      </w:r>
      <w:r>
        <w:rPr>
          <w:szCs w:val="24"/>
          <w:lang w:val="en-US"/>
        </w:rPr>
        <w:t>s</w:t>
      </w:r>
      <w:r>
        <w:rPr>
          <w:szCs w:val="24"/>
        </w:rPr>
        <w:t xml:space="preserve"> that external scrutiny itself could be a mechanism of legitimacy, if it confirms by itself the quality of the sustainability communication. This result contributes to the theoretical landscape and proposes that NGO evaluation can do both: question and/or support corporate claims, depending on the quality of corporate claims</w:t>
      </w:r>
      <w:r>
        <w:rPr>
          <w:szCs w:val="24"/>
          <w:lang w:val="en-US"/>
        </w:rPr>
        <w:t xml:space="preserve"> </w:t>
      </w:r>
      <w:r>
        <w:rPr>
          <w:szCs w:val="24"/>
          <w:lang w:val="zh-CN"/>
        </w:rPr>
        <w:t>(Alizadeh, Liscio and Sospiro, 2024)</w:t>
      </w:r>
      <w:r>
        <w:rPr>
          <w:szCs w:val="24"/>
        </w:rPr>
        <w:t>. Communication accuracy</w:t>
      </w:r>
      <w:r>
        <w:rPr>
          <w:szCs w:val="24"/>
          <w:lang w:val="en-US"/>
        </w:rPr>
        <w:t xml:space="preserve"> includes</w:t>
      </w:r>
      <w:r>
        <w:rPr>
          <w:szCs w:val="24"/>
        </w:rPr>
        <w:t xml:space="preserve"> investing retailers can thus be rewarded with legitimacy benefits from the same external communication evaluation environment that sanctions less diligent retailers.</w:t>
      </w:r>
    </w:p>
    <w:p w14:paraId="44AB2FCC">
      <w:pPr>
        <w:pStyle w:val="3"/>
        <w:spacing w:before="300" w:after="150"/>
      </w:pPr>
      <w:bookmarkStart w:id="72" w:name="_Toc240757380"/>
      <w:r>
        <w:t>5.5 Reconciling the Literature: Credibility as a Conditional Mediator</w:t>
      </w:r>
      <w:bookmarkEnd w:id="72"/>
    </w:p>
    <w:p w14:paraId="76558131">
      <w:pPr>
        <w:rPr>
          <w:szCs w:val="24"/>
        </w:rPr>
      </w:pPr>
      <w:r>
        <w:rPr>
          <w:szCs w:val="24"/>
        </w:rPr>
        <w:t>The literature, identified in Chapter 2, reported a conflict between sustainable marketing's positive relationships to brand outcomes (Jung, Kim and Kim, 2020; Jia et al., 2023) and the conditional or negative effects as a result of audience cynicism, perceptions of greenwashing, and scepticism (Policarpo et al., 2023; Kim and Oh, 2020; Cho, Ko and Borenstein, 2024). The results of this dissertation can resolve this apparent paradox and thus make credibility the mediating condition.</w:t>
      </w:r>
    </w:p>
    <w:p w14:paraId="494A3E12">
      <w:pPr>
        <w:rPr>
          <w:szCs w:val="24"/>
        </w:rPr>
      </w:pPr>
      <w:r>
        <w:rPr>
          <w:szCs w:val="24"/>
        </w:rPr>
        <w:t>The positive brand image effects identified in the literature are not found everywhere</w:t>
      </w:r>
      <w:r>
        <w:rPr>
          <w:szCs w:val="24"/>
          <w:lang w:val="en-US"/>
        </w:rPr>
        <w:t>. R</w:t>
      </w:r>
      <w:r>
        <w:rPr>
          <w:szCs w:val="24"/>
        </w:rPr>
        <w:t>ather</w:t>
      </w:r>
      <w:r>
        <w:rPr>
          <w:szCs w:val="24"/>
          <w:lang w:val="en-US"/>
        </w:rPr>
        <w:t>,</w:t>
      </w:r>
      <w:r>
        <w:rPr>
          <w:szCs w:val="24"/>
        </w:rPr>
        <w:t xml:space="preserve"> they depend on the credibility of the sustainability communication. When communications fulfil the requirements of specificity, substantiated proof, clear scope definition, and congruence of operation</w:t>
      </w:r>
      <w:r>
        <w:rPr>
          <w:szCs w:val="24"/>
          <w:lang w:val="en-US"/>
        </w:rPr>
        <w:t>,</w:t>
      </w:r>
      <w:r>
        <w:rPr>
          <w:szCs w:val="24"/>
        </w:rPr>
        <w:t xml:space="preserve"> they create the desired (favo</w:t>
      </w:r>
      <w:r>
        <w:rPr>
          <w:szCs w:val="24"/>
          <w:lang w:val="en-US"/>
        </w:rPr>
        <w:t>u</w:t>
      </w:r>
      <w:r>
        <w:rPr>
          <w:szCs w:val="24"/>
        </w:rPr>
        <w:t>rable) association that is associated with CBBE theory and signalling theory</w:t>
      </w:r>
      <w:r>
        <w:rPr>
          <w:szCs w:val="24"/>
          <w:lang w:val="en-US"/>
        </w:rPr>
        <w:t xml:space="preserve"> </w:t>
      </w:r>
      <w:r>
        <w:rPr>
          <w:szCs w:val="24"/>
          <w:lang w:val="zh-CN"/>
        </w:rPr>
        <w:t>(Lee, Bae and Kim, 2020)</w:t>
      </w:r>
      <w:r>
        <w:rPr>
          <w:szCs w:val="24"/>
        </w:rPr>
        <w:t>. Where these conditions do not exist – where targets are not met with performance information, performance information does not provide clarity on group contribution, or where regulatory challenge has determined that communication needs to be corrected the impact on brand image is neutral or negative</w:t>
      </w:r>
      <w:r>
        <w:rPr>
          <w:szCs w:val="24"/>
          <w:lang w:val="en-US"/>
        </w:rPr>
        <w:t xml:space="preserve"> </w:t>
      </w:r>
      <w:r>
        <w:rPr>
          <w:szCs w:val="24"/>
          <w:lang w:val="zh-CN"/>
        </w:rPr>
        <w:t>(Jia et al., 2023)</w:t>
      </w:r>
      <w:r>
        <w:rPr>
          <w:szCs w:val="24"/>
        </w:rPr>
        <w:t>. The present study goes further in showing that the mechanism of credibility is a multidimensional process</w:t>
      </w:r>
      <w:r>
        <w:rPr>
          <w:szCs w:val="24"/>
          <w:lang w:val="en-US"/>
        </w:rPr>
        <w:t>.</w:t>
      </w:r>
      <w:r>
        <w:rPr>
          <w:szCs w:val="24"/>
        </w:rPr>
        <w:t xml:space="preserve"> </w:t>
      </w:r>
      <w:r>
        <w:rPr>
          <w:szCs w:val="24"/>
          <w:lang w:val="en-US"/>
        </w:rPr>
        <w:t>I</w:t>
      </w:r>
      <w:r>
        <w:rPr>
          <w:szCs w:val="24"/>
        </w:rPr>
        <w:t>n that the quality of the signal, the breadth of evidence, scrutini</w:t>
      </w:r>
      <w:r>
        <w:rPr>
          <w:szCs w:val="24"/>
          <w:lang w:val="en-US"/>
        </w:rPr>
        <w:t>s</w:t>
      </w:r>
      <w:r>
        <w:rPr>
          <w:szCs w:val="24"/>
        </w:rPr>
        <w:t>ing parties outside the media, and the congruence between the communication and operation are all separated by a middle ground.</w:t>
      </w:r>
    </w:p>
    <w:p w14:paraId="403C0963">
      <w:r>
        <w:rPr>
          <w:szCs w:val="24"/>
        </w:rPr>
        <w:t>This conceptual paper fills this theoretical void from the research examined in Chapter 2 and is an attempt to understand sustainable marketing and the environmental practice of greenwashing as one construct instead of two separate constructs, since current research simultaneously measures different conditions, leading to conflicting findings</w:t>
      </w:r>
      <w:r>
        <w:rPr>
          <w:szCs w:val="24"/>
          <w:lang w:val="en-US"/>
        </w:rPr>
        <w:t xml:space="preserve"> </w:t>
      </w:r>
      <w:r>
        <w:rPr>
          <w:szCs w:val="24"/>
          <w:lang w:val="zh-CN"/>
        </w:rPr>
        <w:t>(Jia et al., 2023)</w:t>
      </w:r>
      <w:r>
        <w:rPr>
          <w:szCs w:val="24"/>
        </w:rPr>
        <w:t>. These strands are brought together in the credibility framework, which is a conditional one on how media communication about sustainability can drive positive or negative brand labels. Future empirical research should include the credibility conditions, not only the marketing content, as a variable to evaluate the brand image effects of engaging in sustainable marketing.</w:t>
      </w:r>
    </w:p>
    <w:p w14:paraId="5A40F46E">
      <w:pPr>
        <w:pStyle w:val="3"/>
        <w:spacing w:before="300" w:after="150"/>
      </w:pPr>
      <w:bookmarkStart w:id="73" w:name="_Toc240757381"/>
      <w:r>
        <w:t>5.6 Managerial Implications</w:t>
      </w:r>
      <w:bookmarkEnd w:id="73"/>
    </w:p>
    <w:p w14:paraId="08EDF528">
      <w:pPr>
        <w:rPr>
          <w:szCs w:val="24"/>
        </w:rPr>
      </w:pPr>
      <w:r>
        <w:rPr>
          <w:szCs w:val="24"/>
        </w:rPr>
        <w:t>The results have a number of implications for retail sustainability managers. The main implication is that the breadth of the portfolio doesn't matter when it comes to brand credibility. Being inclusive of a large number of sustainability dimensions (materials, circularity, climate, supply chain) can result in a lot of complexities and therefore greater risk of scope mismatch and gaps in implementation</w:t>
      </w:r>
      <w:r>
        <w:rPr>
          <w:szCs w:val="24"/>
          <w:lang w:val="en-US"/>
        </w:rPr>
        <w:t xml:space="preserve"> </w:t>
      </w:r>
      <w:r>
        <w:rPr>
          <w:szCs w:val="24"/>
          <w:lang w:val="zh-CN"/>
        </w:rPr>
        <w:t>(Badhwar et al., 2024)</w:t>
      </w:r>
      <w:r>
        <w:rPr>
          <w:szCs w:val="24"/>
        </w:rPr>
        <w:t>. The Boohoo affair illustrates how a full panoply of narrative positives can actually work against you when indicators of performance go against the narrative of key objectives. What are the key points</w:t>
      </w:r>
      <w:r>
        <w:rPr>
          <w:szCs w:val="24"/>
          <w:lang w:val="en-US"/>
        </w:rPr>
        <w:t>,</w:t>
      </w:r>
      <w:r>
        <w:rPr>
          <w:szCs w:val="24"/>
        </w:rPr>
        <w:t xml:space="preserve"> and how far does it go to show evidence</w:t>
      </w:r>
      <w:r>
        <w:rPr>
          <w:szCs w:val="24"/>
          <w:lang w:val="en-US"/>
        </w:rPr>
        <w:t>?</w:t>
      </w:r>
      <w:r>
        <w:rPr>
          <w:szCs w:val="24"/>
        </w:rPr>
        <w:t xml:space="preserve"> There should be more emphasis on evidence than broadcasting a message. It should be possible to back up anything stated on any channel with current evidence that can be openly observed.</w:t>
      </w:r>
    </w:p>
    <w:p w14:paraId="2BE2C72A">
      <w:pPr>
        <w:rPr>
          <w:szCs w:val="24"/>
        </w:rPr>
      </w:pPr>
      <w:r>
        <w:rPr>
          <w:szCs w:val="24"/>
        </w:rPr>
        <w:t>The ASOS example has</w:t>
      </w:r>
      <w:r>
        <w:rPr>
          <w:szCs w:val="24"/>
          <w:lang w:val="en-US"/>
        </w:rPr>
        <w:t xml:space="preserve"> also</w:t>
      </w:r>
      <w:r>
        <w:rPr>
          <w:szCs w:val="24"/>
        </w:rPr>
        <w:t xml:space="preserve"> drawn some conclusions that it might be more effective to be transparent when making people aware of the limitations of the implementation than to show what looks like an uninterrupted upward trajectory</w:t>
      </w:r>
      <w:r>
        <w:rPr>
          <w:szCs w:val="24"/>
          <w:lang w:val="en-US"/>
        </w:rPr>
        <w:t xml:space="preserve"> </w:t>
      </w:r>
      <w:r>
        <w:rPr>
          <w:szCs w:val="24"/>
          <w:lang w:val="zh-CN"/>
        </w:rPr>
        <w:t>(Kim and Oh, 2020)</w:t>
      </w:r>
      <w:r>
        <w:rPr>
          <w:szCs w:val="24"/>
        </w:rPr>
        <w:t>. If stakeholders come across the recogni</w:t>
      </w:r>
      <w:r>
        <w:rPr>
          <w:szCs w:val="24"/>
          <w:lang w:val="en-US"/>
        </w:rPr>
        <w:t>s</w:t>
      </w:r>
      <w:r>
        <w:rPr>
          <w:szCs w:val="24"/>
        </w:rPr>
        <w:t>ed shortcomings and mechanisms for dealing with those shortcomings, they will be able to develop relationship-based trust more than those stakeholders who come across the aspirational communications that are subsequently called out by an external source. This also has consequences for the structure of sustainability progress reporting</w:t>
      </w:r>
      <w:r>
        <w:rPr>
          <w:szCs w:val="24"/>
          <w:lang w:val="en-US"/>
        </w:rPr>
        <w:t>. S</w:t>
      </w:r>
      <w:r>
        <w:rPr>
          <w:szCs w:val="24"/>
        </w:rPr>
        <w:t>hifting from achievement to progress</w:t>
      </w:r>
      <w:r>
        <w:rPr>
          <w:szCs w:val="24"/>
          <w:lang w:val="en-US"/>
        </w:rPr>
        <w:t>-</w:t>
      </w:r>
      <w:r>
        <w:rPr>
          <w:szCs w:val="24"/>
        </w:rPr>
        <w:t>centric framing might have more positive impact on long-term brand trust, though there may be less enthusiastic association in the short-term.</w:t>
      </w:r>
    </w:p>
    <w:p w14:paraId="35FF629C">
      <w:r>
        <w:rPr>
          <w:szCs w:val="24"/>
        </w:rPr>
        <w:t>As demonstrated in the case of Zara and Inditex, for retailers belonging to multinationals</w:t>
      </w:r>
      <w:r>
        <w:rPr>
          <w:szCs w:val="24"/>
          <w:lang w:val="en-US"/>
        </w:rPr>
        <w:t>,</w:t>
      </w:r>
      <w:r>
        <w:rPr>
          <w:szCs w:val="24"/>
        </w:rPr>
        <w:t xml:space="preserve"> the translation from group-level environmental reporting to brand-level sustainability communication is a process which needs to be managed, rather than left to chance. Brand associations have to be explicitly created in groups</w:t>
      </w:r>
      <w:r>
        <w:rPr>
          <w:szCs w:val="24"/>
          <w:lang w:val="en-US"/>
        </w:rPr>
        <w:t>,</w:t>
      </w:r>
      <w:r>
        <w:rPr>
          <w:szCs w:val="24"/>
        </w:rPr>
        <w:t xml:space="preserve"> and an applicability area must be set</w:t>
      </w:r>
      <w:r>
        <w:rPr>
          <w:szCs w:val="24"/>
          <w:lang w:val="en-US"/>
        </w:rPr>
        <w:t xml:space="preserve"> </w:t>
      </w:r>
      <w:r>
        <w:rPr>
          <w:szCs w:val="24"/>
          <w:lang w:val="zh-CN"/>
        </w:rPr>
        <w:t>(Papasolomou, Melanthiou and Tsamouridis, 2023)</w:t>
      </w:r>
      <w:r>
        <w:rPr>
          <w:szCs w:val="24"/>
        </w:rPr>
        <w:t>. If not, a credibility gap emerges between the good thing which has happened at the group level, and the positive brand associations that a good group performance should be able to produce. It is not just about the operational challenge</w:t>
      </w:r>
      <w:r>
        <w:rPr>
          <w:szCs w:val="24"/>
          <w:lang w:val="en-US"/>
        </w:rPr>
        <w:t>. I</w:t>
      </w:r>
      <w:r>
        <w:rPr>
          <w:szCs w:val="24"/>
        </w:rPr>
        <w:t>t is also about a communication challenge.</w:t>
      </w:r>
    </w:p>
    <w:p w14:paraId="2176D809">
      <w:pPr>
        <w:pStyle w:val="3"/>
        <w:spacing w:before="300" w:after="150"/>
      </w:pPr>
      <w:bookmarkStart w:id="74" w:name="_Toc240757382"/>
      <w:r>
        <w:t>5.7 Regulatory and Policy Implications</w:t>
      </w:r>
      <w:bookmarkEnd w:id="74"/>
    </w:p>
    <w:p w14:paraId="674A912E">
      <w:pPr>
        <w:rPr>
          <w:szCs w:val="24"/>
        </w:rPr>
      </w:pPr>
      <w:r>
        <w:rPr>
          <w:szCs w:val="24"/>
        </w:rPr>
        <w:t>The results help guide the direction of travel of the CMA Green Claims Code (CMA, 2021) and the more stringent enforcement regime that came into force under the Digital Markets, Competition and Consumers Act 2024. As substantiated by the cross</w:t>
      </w:r>
      <w:r>
        <w:rPr>
          <w:szCs w:val="24"/>
          <w:lang w:val="en-US"/>
        </w:rPr>
        <w:t>-</w:t>
      </w:r>
      <w:r>
        <w:rPr>
          <w:szCs w:val="24"/>
        </w:rPr>
        <w:t>case analysis, protecting against the credibility consequences of regulatory intervention has repercussions not only for the specific claims</w:t>
      </w:r>
      <w:r>
        <w:rPr>
          <w:szCs w:val="24"/>
          <w:lang w:val="en-US"/>
        </w:rPr>
        <w:t>. B</w:t>
      </w:r>
      <w:r>
        <w:rPr>
          <w:szCs w:val="24"/>
        </w:rPr>
        <w:t>ut also for the whole context in which all future sustainability claims by the same retailer are viewed</w:t>
      </w:r>
      <w:r>
        <w:rPr>
          <w:szCs w:val="24"/>
          <w:lang w:val="en-US"/>
        </w:rPr>
        <w:t xml:space="preserve"> </w:t>
      </w:r>
      <w:r>
        <w:rPr>
          <w:szCs w:val="24"/>
          <w:lang w:val="zh-CN"/>
        </w:rPr>
        <w:t>(Chun et al., 2021)</w:t>
      </w:r>
      <w:r>
        <w:rPr>
          <w:szCs w:val="24"/>
        </w:rPr>
        <w:t>. This implies that the marketing cost of enforcers' enforcement is not only on the side of "corrective actions" but also of "institutional challenge".</w:t>
      </w:r>
    </w:p>
    <w:p w14:paraId="32B08F97">
      <w:r>
        <w:rPr>
          <w:szCs w:val="24"/>
        </w:rPr>
        <w:t xml:space="preserve">One unique regulatory relevance that is related to the analysis is the translation requirement. The CMA Fashion Retail Guidance (Competition and Markets Authority, 2024) </w:t>
      </w:r>
      <w:r>
        <w:rPr>
          <w:szCs w:val="24"/>
          <w:lang w:val="en-US"/>
        </w:rPr>
        <w:t xml:space="preserve">already </w:t>
      </w:r>
      <w:r>
        <w:rPr>
          <w:szCs w:val="24"/>
        </w:rPr>
        <w:t>has such requirements</w:t>
      </w:r>
      <w:r>
        <w:rPr>
          <w:szCs w:val="24"/>
          <w:lang w:val="en-US"/>
        </w:rPr>
        <w:t>,</w:t>
      </w:r>
      <w:r>
        <w:rPr>
          <w:szCs w:val="24"/>
        </w:rPr>
        <w:t xml:space="preserve"> which specify that claims must be qualified by their scope and basis. The results indicate that this obligation should be considered at a Product Level in addition to the Corporate or Group Level</w:t>
      </w:r>
      <w:r>
        <w:rPr>
          <w:szCs w:val="24"/>
          <w:lang w:val="en-US"/>
        </w:rPr>
        <w:t xml:space="preserve"> </w:t>
      </w:r>
      <w:r>
        <w:rPr>
          <w:szCs w:val="24"/>
        </w:rPr>
        <w:t>(Majeed et al., 2022). If a retailer does include group sustainability indicators in brand-related communication (as seen in the Zara and Inditex case), then the scope qualification should be expanded to explicitly provide the indication o</w:t>
      </w:r>
      <w:r>
        <w:rPr>
          <w:szCs w:val="24"/>
          <w:lang w:val="en-US"/>
        </w:rPr>
        <w:t>f</w:t>
      </w:r>
      <w:r>
        <w:rPr>
          <w:szCs w:val="24"/>
        </w:rPr>
        <w:t xml:space="preserve"> which brands, markets and product categories evidence is provided for. Without it, there can be a constant opportunity for communication to be technically correct, but factually misleading as measured against the reported group progress and the focus on the product level brand associations.</w:t>
      </w:r>
    </w:p>
    <w:p w14:paraId="3A8173B0">
      <w:pPr>
        <w:pStyle w:val="3"/>
        <w:spacing w:before="300" w:after="150"/>
      </w:pPr>
      <w:bookmarkStart w:id="75" w:name="_Toc240757383"/>
      <w:r>
        <w:t>5.8 Chapter Conclusion</w:t>
      </w:r>
      <w:bookmarkEnd w:id="75"/>
    </w:p>
    <w:p w14:paraId="13400CFE">
      <w:r>
        <w:rPr>
          <w:szCs w:val="24"/>
        </w:rPr>
        <w:t>In this chapter, it is shown that the results of Chapter 4 serve to validate and further elaborate on the theory presented in Chapter 2. The combination of these three theories – signalling theory, customer-based brand equity, and legitimacy theory</w:t>
      </w:r>
      <w:r>
        <w:rPr>
          <w:szCs w:val="24"/>
          <w:lang w:val="en-US"/>
        </w:rPr>
        <w:t xml:space="preserve"> </w:t>
      </w:r>
      <w:r>
        <w:rPr>
          <w:szCs w:val="24"/>
        </w:rPr>
        <w:t>offers a relatively complete explanation of the why and how of the conditional nature of sustainable marketing on brand images</w:t>
      </w:r>
      <w:r>
        <w:rPr>
          <w:szCs w:val="24"/>
          <w:lang w:val="en-US"/>
        </w:rPr>
        <w:t xml:space="preserve"> </w:t>
      </w:r>
      <w:r>
        <w:rPr>
          <w:szCs w:val="24"/>
          <w:lang w:val="zh-CN"/>
        </w:rPr>
        <w:t>(Lee, Bae and Kim, 2020)</w:t>
      </w:r>
      <w:r>
        <w:rPr>
          <w:szCs w:val="24"/>
        </w:rPr>
        <w:t xml:space="preserve">. Specificity in claims, integrity of the scope of evidence, transparency in statements of operational limitations, and quality of signals evaluated when considered across the multi-source scrutiny landscape constitute the condition </w:t>
      </w:r>
      <w:r>
        <w:rPr>
          <w:szCs w:val="24"/>
          <w:lang w:val="en-US"/>
        </w:rPr>
        <w:t xml:space="preserve">of </w:t>
      </w:r>
      <w:r>
        <w:rPr>
          <w:szCs w:val="24"/>
        </w:rPr>
        <w:t>credibility</w:t>
      </w:r>
      <w:r>
        <w:rPr>
          <w:szCs w:val="24"/>
          <w:lang w:val="en-US"/>
        </w:rPr>
        <w:t>. W</w:t>
      </w:r>
      <w:r>
        <w:rPr>
          <w:szCs w:val="24"/>
        </w:rPr>
        <w:t>hich UK regulatory and civil society regimes</w:t>
      </w:r>
      <w:r>
        <w:rPr>
          <w:szCs w:val="24"/>
          <w:lang w:val="en-US"/>
        </w:rPr>
        <w:t xml:space="preserve"> </w:t>
      </w:r>
      <w:r>
        <w:rPr>
          <w:szCs w:val="24"/>
          <w:lang w:val="zh-CN"/>
        </w:rPr>
        <w:t>(Alizadeh, Liscio and Sospiro, 2024)</w:t>
      </w:r>
      <w:r>
        <w:rPr>
          <w:szCs w:val="24"/>
        </w:rPr>
        <w:t>. Thus, the results fulfil the apparent paradox found in the current literature by introducing credibility as a mediator between the sustainable marketing and brand image outcomes. This framework also provides a basis for managerial and regulatory implications (which are addressed in the final chapter).</w:t>
      </w:r>
    </w:p>
    <w:p w14:paraId="16D049D4">
      <w:pPr>
        <w:spacing w:before="0" w:after="160" w:line="259" w:lineRule="auto"/>
        <w:jc w:val="left"/>
      </w:pPr>
      <w:r>
        <w:br w:type="page"/>
      </w:r>
    </w:p>
    <w:p w14:paraId="4FAD0835">
      <w:pPr>
        <w:pStyle w:val="2"/>
        <w:spacing w:after="240"/>
      </w:pPr>
      <w:bookmarkStart w:id="76" w:name="_Toc240757384"/>
      <w:r>
        <w:t>Chapter 6: Conclusion and Recommendations</w:t>
      </w:r>
      <w:bookmarkEnd w:id="76"/>
    </w:p>
    <w:p w14:paraId="3C20A9F4">
      <w:pPr>
        <w:pStyle w:val="3"/>
      </w:pPr>
      <w:bookmarkStart w:id="77" w:name="_Toc240757385"/>
      <w:r>
        <w:t>6.1 Introduction</w:t>
      </w:r>
      <w:bookmarkEnd w:id="77"/>
    </w:p>
    <w:p w14:paraId="4C24C12B">
      <w:r>
        <w:t xml:space="preserve">This chapter will be a culmination of the dissertation by summarising evidence on the increasing impact of sustainable marketing strategy on a brand in today's context of the fast fashion retail business in the United Kingdom. Five retailers were chosen for the study, examined via documentary evidence, and the findings are interpreted in the light of signalling theory, customer-based brand equity and legitimacy theory </w:t>
      </w:r>
      <w:r>
        <w:rPr>
          <w:color w:val="000000"/>
        </w:rPr>
        <w:t>(Cho, Ko and Borenstein, 2024)</w:t>
      </w:r>
      <w:r>
        <w:t>. The main takeaway is that sustainability communication alone cannot have a positive impact on the brand. It is founded on trust and credibility in particular, including clarity of claims, evidence, scope, transparency relating to the implementation process and consistency between communication and on-the-ground practices. But equally, external scrutiny by regulators and by NGOs can verify, qualify or contest the meaning retailers are seeking to construct.</w:t>
      </w:r>
    </w:p>
    <w:p w14:paraId="39136C0F">
      <w:pPr>
        <w:pStyle w:val="3"/>
      </w:pPr>
      <w:bookmarkStart w:id="78" w:name="_Toc240757386"/>
      <w:r>
        <w:t>6.2 Conclusion in Relation to the Aim and Research Questions</w:t>
      </w:r>
      <w:bookmarkEnd w:id="78"/>
    </w:p>
    <w:p w14:paraId="39254255">
      <w:r>
        <w:t xml:space="preserve">The research aimed to use secondary data to investigate the effects of sustainable marketing on brand image within fast fashion in the UK. This goal was accomplished through a comparison of ASOS, Boohoo, Primark, H&amp;M and Zara in terms of their level of sustainability communication and supporting evidence. As a response to the initial research question, the retailer relies on a “portfolio of strategies” instead of on one sustainability technique </w:t>
      </w:r>
      <w:r>
        <w:rPr>
          <w:color w:val="000000"/>
        </w:rPr>
        <w:t xml:space="preserve">(Badhwar </w:t>
      </w:r>
      <w:r>
        <w:rPr>
          <w:i/>
          <w:iCs/>
          <w:color w:val="000000"/>
        </w:rPr>
        <w:t>et al</w:t>
      </w:r>
      <w:r>
        <w:rPr>
          <w:color w:val="000000"/>
        </w:rPr>
        <w:t>., 2024)</w:t>
      </w:r>
      <w:r>
        <w:t xml:space="preserve">. These can range from product claims to recycling and circular services, sourcing obligations, emission reduction goals, reporting, certification, product information and more comprehensive sustainability frameworks. But there are a number of activities that are not as potent in terms of their sustainability or brand meaning </w:t>
      </w:r>
      <w:r>
        <w:rPr>
          <w:color w:val="000000"/>
        </w:rPr>
        <w:t>(Alizadeh, Liscio and Sospiro, 2024)</w:t>
      </w:r>
      <w:r>
        <w:t>. It's the state their delivery is in, and the evidence they bring that's important, not how many times they say they're committed.</w:t>
      </w:r>
    </w:p>
    <w:p w14:paraId="656E8A46">
      <w:r>
        <w:t xml:space="preserve">As for the second research question, sustainable marketing can help to build positive brand relations when there are justifiable grounds on which to relate environmental claims and practice – with credibility. Making a sustainability message measurable, communicable, recognising issues with implementation, and checking evidence can enhance the felt integrity of a message </w:t>
      </w:r>
      <w:r>
        <w:rPr>
          <w:color w:val="000000"/>
        </w:rPr>
        <w:t>(Changing Markets Foundation, 2021)</w:t>
      </w:r>
      <w:r>
        <w:t>. In contrast, targets that don't match up to communicated performance, or that are general and backed up by specific evidence. But are absent at the group level or haven't been related to the brand can dilute communication. Thus, brand image, trust and reputation are built up by interpretation. Not by sustainability language alone.</w:t>
      </w:r>
    </w:p>
    <w:p w14:paraId="5CBB7FA3">
      <w:r>
        <w:t xml:space="preserve">Greenwashing concerns and ethical criticism involve a process of counter-evidence and institutional challenge that impacts credibility in relation to the third research question. The importance of regulatory intervention is particularly salient as it will establish an authoritative public record that can have an impact on subsequent interpretation of claims. NGO assessments also influence the environment of reputations, though this output has to be understood in the context of the method and evidence </w:t>
      </w:r>
      <w:r>
        <w:rPr>
          <w:color w:val="000000"/>
        </w:rPr>
        <w:t xml:space="preserve">(Garcia-Ortega </w:t>
      </w:r>
      <w:r>
        <w:rPr>
          <w:i/>
          <w:iCs/>
          <w:color w:val="000000"/>
        </w:rPr>
        <w:t>et al</w:t>
      </w:r>
      <w:r>
        <w:rPr>
          <w:color w:val="000000"/>
        </w:rPr>
        <w:t>., 2023)</w:t>
      </w:r>
      <w:r>
        <w:t>. Thus, the analyses suggest that a conditional relationship may be the case: where the claim, evidence and practice match up, sustainability marketing can support brand image, but where it doesn't, the opposite can result, with scepticism raised where there is poor or unclear alignment.</w:t>
      </w:r>
    </w:p>
    <w:p w14:paraId="201C72BF">
      <w:pPr>
        <w:pStyle w:val="3"/>
      </w:pPr>
      <w:bookmarkStart w:id="79" w:name="_Toc240757387"/>
      <w:r>
        <w:t>6.3 Contributions of the Study</w:t>
      </w:r>
      <w:bookmarkEnd w:id="79"/>
    </w:p>
    <w:p w14:paraId="7E6ADDC1">
      <w:r>
        <w:t xml:space="preserve">The core theoretical contribution is conceptualising credibility as a conditional path to brand outcomes, connecting sustainable marketing to the outcomes. Signalling theory rationalises the possible sources of a reduction in information asymmetry on the basis of certain and verified information. How credible information can become part of brand association is explained by customer-based brand equity </w:t>
      </w:r>
      <w:r>
        <w:rPr>
          <w:color w:val="000000"/>
        </w:rPr>
        <w:t xml:space="preserve">(Jia </w:t>
      </w:r>
      <w:r>
        <w:rPr>
          <w:i/>
          <w:iCs/>
          <w:color w:val="000000"/>
        </w:rPr>
        <w:t>et al</w:t>
      </w:r>
      <w:r>
        <w:rPr>
          <w:color w:val="000000"/>
        </w:rPr>
        <w:t>., 2023)</w:t>
      </w:r>
      <w:r>
        <w:t>. Legitimacy theory asserts why such association is impacted by regulatory, civil society plus large stakeholder appraisal. Bringing together these views is useful to understand the literature evidence of positive sustainability impacts and accusations of greenwashing and mistrust. When held up to the credibility conditions then the findings of this study indicate that the aforementioned results are not contradictory.</w:t>
      </w:r>
    </w:p>
    <w:p w14:paraId="64CA232E">
      <w:r>
        <w:t xml:space="preserve">The study is also methodologically sound when done in comparison with the documents from several sources. The corporate documents contain information on what is being communicated to the retailer, and regulatory and NGO sources offer various means of scrutiny </w:t>
      </w:r>
      <w:r>
        <w:rPr>
          <w:color w:val="000000"/>
        </w:rPr>
        <w:t xml:space="preserve">(Hejlova </w:t>
      </w:r>
      <w:r>
        <w:rPr>
          <w:i/>
          <w:iCs/>
          <w:color w:val="000000"/>
        </w:rPr>
        <w:t>et al</w:t>
      </w:r>
      <w:r>
        <w:rPr>
          <w:color w:val="000000"/>
        </w:rPr>
        <w:t>., 2025)</w:t>
      </w:r>
      <w:r>
        <w:t>. Agreements, gaps and contradictions, not evident in a single-source design, are highlighted when they are compared. In substance, the study offers a framework for the consideration of the sustainability communication practice by means of: Specificity, Verification, Transparency, Scope alignment, Operational congruence.</w:t>
      </w:r>
    </w:p>
    <w:p w14:paraId="39B49578">
      <w:pPr>
        <w:pStyle w:val="3"/>
      </w:pPr>
      <w:bookmarkStart w:id="80" w:name="_Toc240757388"/>
      <w:r>
        <w:t>6.4 Limitations</w:t>
      </w:r>
      <w:bookmarkEnd w:id="80"/>
    </w:p>
    <w:p w14:paraId="5FD6FCCD">
      <w:r>
        <w:rPr>
          <w:rFonts w:eastAsiaTheme="majorEastAsia"/>
        </w:rPr>
        <w:t>Conclusions are limited due to several limitations.</w:t>
      </w:r>
      <w:r>
        <w:t xml:space="preserve"> </w:t>
      </w:r>
      <w:r>
        <w:rPr>
          <w:rFonts w:eastAsiaTheme="majorEastAsia"/>
        </w:rPr>
        <w:t xml:space="preserve">There were inconsistencies in the amount of documentary evidence provided for the 5 cases, with limited evidence at Primark and problems at </w:t>
      </w:r>
      <w:r>
        <w:t xml:space="preserve">the </w:t>
      </w:r>
      <w:r>
        <w:rPr>
          <w:rFonts w:eastAsiaTheme="majorEastAsia"/>
        </w:rPr>
        <w:t>group level with Zara.</w:t>
      </w:r>
      <w:r>
        <w:t xml:space="preserve"> </w:t>
      </w:r>
      <w:r>
        <w:rPr>
          <w:rFonts w:eastAsiaTheme="majorEastAsia"/>
        </w:rPr>
        <w:t>Corporate disclosure is selective in that it may leave out information that you wouldn't like</w:t>
      </w:r>
      <w:r>
        <w:t>,</w:t>
      </w:r>
      <w:r>
        <w:rPr>
          <w:rFonts w:eastAsiaTheme="majorEastAsia"/>
        </w:rPr>
        <w:t xml:space="preserve"> and external sources may bias information because it is provided based on their goals and objectives and how they do their job </w:t>
      </w:r>
      <w:r>
        <w:rPr>
          <w:color w:val="000000"/>
        </w:rPr>
        <w:t>(Lee, Bae and Kim, 2020)</w:t>
      </w:r>
      <w:r>
        <w:rPr>
          <w:rFonts w:eastAsiaTheme="majorEastAsia"/>
        </w:rPr>
        <w:t>.</w:t>
      </w:r>
      <w:r>
        <w:t xml:space="preserve"> </w:t>
      </w:r>
      <w:r>
        <w:rPr>
          <w:rFonts w:eastAsiaTheme="majorEastAsia"/>
        </w:rPr>
        <w:t>Language and wording used on webpages may alter as pages are updated</w:t>
      </w:r>
      <w:r>
        <w:t>,</w:t>
      </w:r>
      <w:r>
        <w:rPr>
          <w:rFonts w:eastAsiaTheme="majorEastAsia"/>
        </w:rPr>
        <w:t xml:space="preserve"> and wording may not be recoverable from the past.</w:t>
      </w:r>
      <w:r>
        <w:t xml:space="preserve"> </w:t>
      </w:r>
      <w:r>
        <w:rPr>
          <w:rFonts w:eastAsiaTheme="majorEastAsia"/>
        </w:rPr>
        <w:t>Reporting periods were not fully comparable, as were measurement boundaries and scopes of assurance.</w:t>
      </w:r>
      <w:r>
        <w:t xml:space="preserve"> </w:t>
      </w:r>
      <w:r>
        <w:rPr>
          <w:rFonts w:eastAsiaTheme="majorEastAsia"/>
        </w:rPr>
        <w:t>What this study really lacked is first-hand evidence from consumers.</w:t>
      </w:r>
      <w:r>
        <w:t xml:space="preserve"> </w:t>
      </w:r>
      <w:r>
        <w:rPr>
          <w:rFonts w:eastAsiaTheme="majorEastAsia"/>
        </w:rPr>
        <w:t>It can identify documentary conditions which may impact trust and brand perception, but cannot measure changes in consumer perception, purchase behaviour or loyalty.</w:t>
      </w:r>
      <w:r>
        <w:t xml:space="preserve"> </w:t>
      </w:r>
      <w:r>
        <w:rPr>
          <w:rFonts w:eastAsiaTheme="majorEastAsia"/>
        </w:rPr>
        <w:t>The results thus should not be regarded as statistically generalizable but rather included as analytically transferable</w:t>
      </w:r>
      <w:r>
        <w:t>.</w:t>
      </w:r>
    </w:p>
    <w:p w14:paraId="55AD2701">
      <w:pPr>
        <w:pStyle w:val="3"/>
      </w:pPr>
      <w:bookmarkStart w:id="81" w:name="_Toc240757389"/>
      <w:r>
        <w:t>6.5 Recommendations</w:t>
      </w:r>
      <w:bookmarkEnd w:id="81"/>
    </w:p>
    <w:p w14:paraId="6EBE25BB">
      <w:r>
        <w:t xml:space="preserve">Retailers need to have an evidence-first approach to sustainability marketing. Only claims can be made where there is current evidence that those considerations made in the claim are the specific product, brand, market, and period stated </w:t>
      </w:r>
      <w:r>
        <w:rPr>
          <w:color w:val="000000"/>
        </w:rPr>
        <w:t>(Fashion Revolution, 2024)</w:t>
      </w:r>
      <w:r>
        <w:t>. Ambitions, “pilots”, and partially implemented initiatives and outputs should be separated in marketing to avoid the impression of being currently achieved. When progress is incomplete or slow, instead of using positively framed terms, consider using transparency.</w:t>
      </w:r>
    </w:p>
    <w:p w14:paraId="0FBA6502">
      <w:r>
        <w:t xml:space="preserve">In a bigger corporate organisation, it is important to carefully translate the indicators across the group level to the individual retailer level. When emissions data, data relating to materials or sourcing, is applicable to multiple brands or markets, communication shall include what can and cannot reasonably be attributed to the particular brand or product </w:t>
      </w:r>
      <w:r>
        <w:rPr>
          <w:color w:val="000000"/>
        </w:rPr>
        <w:t xml:space="preserve">(Chun </w:t>
      </w:r>
      <w:r>
        <w:rPr>
          <w:i/>
          <w:iCs/>
          <w:color w:val="000000"/>
        </w:rPr>
        <w:t>et al</w:t>
      </w:r>
      <w:r>
        <w:rPr>
          <w:color w:val="000000"/>
        </w:rPr>
        <w:t>., 2021)</w:t>
      </w:r>
      <w:r>
        <w:t>. If possible, independent assurance should be extended as far as possible, but it must be clearly defined and not give the appearance of verification beyond the range of assurance.</w:t>
      </w:r>
    </w:p>
    <w:p w14:paraId="7CC1AAC1">
      <w:r>
        <w:t xml:space="preserve">There is a need to increase the integration of sustainability governance. Consideration of major environmental claims should take place prior to publication, with the support of a joint evidence register that is shared across marketing, sustainability, sourcing, legal and reporting teams </w:t>
      </w:r>
      <w:r>
        <w:rPr>
          <w:color w:val="000000"/>
        </w:rPr>
        <w:t>(Atik and Ozdamar Ertekin, 2023)</w:t>
      </w:r>
      <w:r>
        <w:t>. This would help to eliminate the inconsistencies between websites, campaigns, labels and annual reports, and corrective action would be easier if the evidence shifts with time. Setbacks should be reported along with the achievements since a balanced reporting scheme can show accountability and limit the negative effects of subsequent contradiction.</w:t>
      </w:r>
    </w:p>
    <w:p w14:paraId="2CC0B4B0">
      <w:r>
        <w:t xml:space="preserve">These three aspects of substantiation, qualification and relevance of lifecycle should still be highlighted by regulators. The guidance can help to give greater clarity on corporate, brand and product-level claims and available evidence that can be easily understood by ordinary stakeholders </w:t>
      </w:r>
      <w:r>
        <w:rPr>
          <w:color w:val="000000"/>
        </w:rPr>
        <w:t xml:space="preserve">(Janmark </w:t>
      </w:r>
      <w:r>
        <w:rPr>
          <w:i/>
          <w:iCs/>
          <w:color w:val="000000"/>
        </w:rPr>
        <w:t>et al</w:t>
      </w:r>
      <w:r>
        <w:rPr>
          <w:color w:val="000000"/>
        </w:rPr>
        <w:t>., 2024)</w:t>
      </w:r>
      <w:r>
        <w:t>. People are not without credibility concerns because the word of companies isn't the only thing that matters; it is what passes the test of others that really counts.</w:t>
      </w:r>
    </w:p>
    <w:p w14:paraId="77E0801A">
      <w:pPr>
        <w:pStyle w:val="3"/>
      </w:pPr>
      <w:bookmarkStart w:id="82" w:name="_Toc240757390"/>
      <w:r>
        <w:t>6.6 Recommendations for Future Research</w:t>
      </w:r>
      <w:bookmarkEnd w:id="82"/>
    </w:p>
    <w:p w14:paraId="7A9F602D">
      <w:r>
        <w:t xml:space="preserve">The credibility framework should be directly tested with consumers in future research. An examination of whether or not specificity, assurance, disclosure of setbacks, and claim practice congruence can shift trust, brand associations, and purchase intentions could be part of a survey, experiment or interview </w:t>
      </w:r>
      <w:r>
        <w:rPr>
          <w:color w:val="000000"/>
        </w:rPr>
        <w:t xml:space="preserve">(Janmark </w:t>
      </w:r>
      <w:r>
        <w:rPr>
          <w:i/>
          <w:iCs/>
          <w:color w:val="000000"/>
        </w:rPr>
        <w:t>et al</w:t>
      </w:r>
      <w:r>
        <w:rPr>
          <w:color w:val="000000"/>
        </w:rPr>
        <w:t>., 2024)</w:t>
      </w:r>
      <w:r>
        <w:t xml:space="preserve">. A longitudinal study could determine if regulatory action has short-term or longer-term impact on reputation. Webpages should also be sampled over time, and more complete and balanced documentary data triangles should be created. Having larger sample sizes could allow for comparison of value retailers, digital retailers and international groups with greater focus on the business model differences </w:t>
      </w:r>
      <w:r>
        <w:rPr>
          <w:color w:val="000000"/>
        </w:rPr>
        <w:t>(Aguinis, Bergh and Molina-Azorin, 2022)</w:t>
      </w:r>
      <w:r>
        <w:t>. Additionally, research might connect communications with measurable impacts on the operational level, including material volume, durability of garments, use of circular services and absolute environmental footprint, to better gauge the connection between communications and actual impacts.</w:t>
      </w:r>
    </w:p>
    <w:p w14:paraId="4F398C6B">
      <w:pPr>
        <w:pStyle w:val="3"/>
      </w:pPr>
      <w:bookmarkStart w:id="83" w:name="_Toc240757391"/>
      <w:r>
        <w:t>6.7 Final Conclusion</w:t>
      </w:r>
      <w:bookmarkEnd w:id="83"/>
    </w:p>
    <w:p w14:paraId="6DCCB844">
      <w:r>
        <w:t xml:space="preserve">In conclusion, sustainable marketing conducted by fast fashion in the UK is credibility-dependent branding. Specific, properly scoped, evidenced, transparent and consistent with implementation claims can help brand image through the approach of environmental communication. When the level of communication is higher than the actual result, or the impression is not consistent with the facts, it can lead to a sense of scepticism </w:t>
      </w:r>
      <w:r>
        <w:rPr>
          <w:color w:val="000000"/>
        </w:rPr>
        <w:t>(Jung, Kim and Kim, 2020)</w:t>
      </w:r>
      <w:r>
        <w:t>. The study thus shifts the focus from talking about sustainability to the delivery of sustainability. The main takeaway for managers, regulators and researchers is that good sustainability branding demands good will, namely, disciplined evidence, qualification and discipline, and sustainable alignment between the retailer's promise, proof and practice.</w:t>
      </w:r>
    </w:p>
    <w:p w14:paraId="4FDB61A0">
      <w:r>
        <w:br w:type="page"/>
      </w:r>
    </w:p>
    <w:p w14:paraId="0938A2E6">
      <w:pPr>
        <w:pStyle w:val="2"/>
      </w:pPr>
      <w:bookmarkStart w:id="84" w:name="_Toc240757392"/>
      <w:r>
        <w:t>References</w:t>
      </w:r>
      <w:bookmarkEnd w:id="84"/>
    </w:p>
    <w:p w14:paraId="1F923EE9">
      <w:pPr>
        <w:rPr>
          <w:lang w:val="zh-CN"/>
        </w:rPr>
      </w:pPr>
      <w:r>
        <w:rPr>
          <w:lang w:val="en-US"/>
        </w:rPr>
        <w:t xml:space="preserve">Adamkiewicz, J., Kochanska, E., Adamkiewicz, I. and Lukasik, R.M. (2022) 'Greenwashing and sustainable fashion industry', </w:t>
      </w:r>
      <w:r>
        <w:rPr>
          <w:i/>
          <w:lang w:val="en-US"/>
        </w:rPr>
        <w:t>Current Opinion in Green and Sustainable Chemistry</w:t>
      </w:r>
      <w:r>
        <w:rPr>
          <w:lang w:val="en-US"/>
        </w:rPr>
        <w:t xml:space="preserve">, 38, 100710. Available at: </w:t>
      </w:r>
      <w:r>
        <w:fldChar w:fldCharType="begin"/>
      </w:r>
      <w:r>
        <w:instrText xml:space="preserve"> HYPERLINK "https://doi.org/10.1016/j.cogsc.2022.100710" \h </w:instrText>
      </w:r>
      <w:r>
        <w:fldChar w:fldCharType="separate"/>
      </w:r>
      <w:r>
        <w:rPr>
          <w:rStyle w:val="24"/>
          <w:color w:val="auto"/>
          <w:lang w:val="en-US"/>
        </w:rPr>
        <w:t>https://doi.org/10.1016/j.cogsc.2022.100710</w:t>
      </w:r>
      <w:r>
        <w:rPr>
          <w:rStyle w:val="24"/>
          <w:color w:val="auto"/>
          <w:lang w:val="en-US"/>
        </w:rPr>
        <w:fldChar w:fldCharType="end"/>
      </w:r>
      <w:r>
        <w:rPr>
          <w:lang w:val="en-US"/>
        </w:rPr>
        <w:t>.</w:t>
      </w:r>
    </w:p>
    <w:p w14:paraId="488432E2">
      <w:pPr>
        <w:rPr>
          <w:szCs w:val="24"/>
        </w:rPr>
      </w:pPr>
      <w:r>
        <w:rPr>
          <w:szCs w:val="24"/>
        </w:rPr>
        <w:t xml:space="preserve">Aguinis, H., Bergh, D. and Molina-Azorin, J.F. (2022) ‘Methodological challenges and insights for future international business research’, </w:t>
      </w:r>
      <w:r>
        <w:rPr>
          <w:i/>
          <w:iCs/>
          <w:szCs w:val="24"/>
        </w:rPr>
        <w:t>Journal of International Business Studies</w:t>
      </w:r>
      <w:r>
        <w:rPr>
          <w:szCs w:val="24"/>
        </w:rPr>
        <w:t xml:space="preserve"> [Preprint]. Available at: https://doi.org/10.1057/s41267-022-00578-8.</w:t>
      </w:r>
    </w:p>
    <w:p w14:paraId="12A0D176">
      <w:pPr>
        <w:rPr>
          <w:lang w:val="en-US"/>
        </w:rPr>
      </w:pPr>
      <w:r>
        <w:t>Alizadeh, L., Liscio, M.C. and Sospiro, P. (2024) “The phenomenon of greenwashing in the fashion industry: A conceptual framework,” </w:t>
      </w:r>
      <w:r>
        <w:rPr>
          <w:i/>
          <w:iCs/>
        </w:rPr>
        <w:t>Sustainable Chemistry and Pharmacy</w:t>
      </w:r>
      <w:r>
        <w:t xml:space="preserve">, 37, p. 101416. Available at: </w:t>
      </w:r>
      <w:r>
        <w:fldChar w:fldCharType="begin"/>
      </w:r>
      <w:r>
        <w:instrText xml:space="preserve"> HYPERLINK "https://doi.org/10.1016/j.scp.2023.101416" </w:instrText>
      </w:r>
      <w:r>
        <w:fldChar w:fldCharType="separate"/>
      </w:r>
      <w:r>
        <w:rPr>
          <w:rStyle w:val="24"/>
          <w:color w:val="auto"/>
          <w:lang w:val="zh-CN" w:bidi="bn-IN"/>
        </w:rPr>
        <w:t>https://doi.org/10.1016/j.scp.2023.101416</w:t>
      </w:r>
      <w:r>
        <w:rPr>
          <w:rStyle w:val="24"/>
          <w:color w:val="auto"/>
          <w:lang w:val="zh-CN" w:bidi="bn-IN"/>
        </w:rPr>
        <w:fldChar w:fldCharType="end"/>
      </w:r>
      <w:r>
        <w:t>.</w:t>
      </w:r>
      <w:r>
        <w:rPr>
          <w:lang w:val="en-US"/>
        </w:rPr>
        <w:t xml:space="preserve">  </w:t>
      </w:r>
    </w:p>
    <w:p w14:paraId="3E9048AD">
      <w:r>
        <w:t xml:space="preserve">ASOS plc (2025a) </w:t>
      </w:r>
      <w:r>
        <w:rPr>
          <w:i/>
          <w:iCs/>
        </w:rPr>
        <w:t>Annual Report and Accounts 2025</w:t>
      </w:r>
      <w:r>
        <w:t xml:space="preserve">. London: ASOS plc. Available at: </w:t>
      </w:r>
      <w:r>
        <w:fldChar w:fldCharType="begin"/>
      </w:r>
      <w:r>
        <w:instrText xml:space="preserve"> HYPERLINK "https://www.asosplc.com/investors/results-centre/" </w:instrText>
      </w:r>
      <w:r>
        <w:fldChar w:fldCharType="separate"/>
      </w:r>
      <w:r>
        <w:rPr>
          <w:rStyle w:val="24"/>
          <w:rFonts w:eastAsiaTheme="majorEastAsia"/>
          <w:color w:val="auto"/>
        </w:rPr>
        <w:t>https://www.asosplc.com/investors/results-centre/</w:t>
      </w:r>
      <w:r>
        <w:rPr>
          <w:rStyle w:val="24"/>
          <w:rFonts w:eastAsiaTheme="majorEastAsia"/>
          <w:color w:val="auto"/>
        </w:rPr>
        <w:fldChar w:fldCharType="end"/>
      </w:r>
      <w:r>
        <w:t xml:space="preserve"> (Accessed: 18 August 2026).</w:t>
      </w:r>
    </w:p>
    <w:p w14:paraId="4040E027">
      <w:r>
        <w:t xml:space="preserve">ASOS plc (2025b) </w:t>
      </w:r>
      <w:r>
        <w:rPr>
          <w:i/>
          <w:iCs/>
        </w:rPr>
        <w:t>Fashion with Integrity strategy and targets</w:t>
      </w:r>
      <w:r>
        <w:t xml:space="preserve">. London: ASOS plc. Available at: </w:t>
      </w:r>
      <w:r>
        <w:fldChar w:fldCharType="begin"/>
      </w:r>
      <w:r>
        <w:instrText xml:space="preserve"> HYPERLINK "https://www.asosplc.com/sustainability/fashion-with-integrity/" </w:instrText>
      </w:r>
      <w:r>
        <w:fldChar w:fldCharType="separate"/>
      </w:r>
      <w:r>
        <w:rPr>
          <w:rStyle w:val="24"/>
          <w:rFonts w:eastAsiaTheme="majorEastAsia"/>
          <w:color w:val="auto"/>
        </w:rPr>
        <w:t>https://www.asosplc.com/sustainability/fashion-with-integrity/</w:t>
      </w:r>
      <w:r>
        <w:rPr>
          <w:rStyle w:val="24"/>
          <w:rFonts w:eastAsiaTheme="majorEastAsia"/>
          <w:color w:val="auto"/>
        </w:rPr>
        <w:fldChar w:fldCharType="end"/>
      </w:r>
      <w:r>
        <w:t xml:space="preserve"> (Accessed: 18 August 2026).</w:t>
      </w:r>
    </w:p>
    <w:p w14:paraId="13E400B4">
      <w:pPr>
        <w:rPr>
          <w:lang w:val="en-US"/>
        </w:rPr>
      </w:pPr>
      <w:r>
        <w:t>Atik, D. and Ozdamar Ertekin, Z. (2023) “The Restless Desire for the New Versus Sustainability: The Pressing Need for Social Marketing in Fashion Industry,” </w:t>
      </w:r>
      <w:r>
        <w:rPr>
          <w:i/>
          <w:iCs/>
        </w:rPr>
        <w:t>Journal of Social Marketing</w:t>
      </w:r>
      <w:r>
        <w:t xml:space="preserve">, 13(1), pp. 1–19. Available at: </w:t>
      </w:r>
      <w:r>
        <w:fldChar w:fldCharType="begin"/>
      </w:r>
      <w:r>
        <w:instrText xml:space="preserve"> HYPERLINK "https://doi.org/10.1108/jsocm-02-2022-0036" </w:instrText>
      </w:r>
      <w:r>
        <w:fldChar w:fldCharType="separate"/>
      </w:r>
      <w:r>
        <w:rPr>
          <w:rStyle w:val="24"/>
          <w:color w:val="auto"/>
          <w:lang w:val="zh-CN" w:bidi="bn-IN"/>
        </w:rPr>
        <w:t>https://doi.org/10.1108/jsocm-02-2022-0036</w:t>
      </w:r>
      <w:r>
        <w:rPr>
          <w:rStyle w:val="24"/>
          <w:color w:val="auto"/>
          <w:lang w:val="zh-CN" w:bidi="bn-IN"/>
        </w:rPr>
        <w:fldChar w:fldCharType="end"/>
      </w:r>
      <w:r>
        <w:t>.</w:t>
      </w:r>
      <w:r>
        <w:rPr>
          <w:lang w:val="en-US"/>
        </w:rPr>
        <w:t xml:space="preserve"> </w:t>
      </w:r>
    </w:p>
    <w:p w14:paraId="2CFBA646">
      <w:pPr>
        <w:rPr>
          <w:kern w:val="0"/>
          <w:szCs w:val="24"/>
          <w:lang w:bidi="bn-IN"/>
          <w14:ligatures w14:val="none"/>
        </w:rPr>
      </w:pPr>
      <w:r>
        <w:t xml:space="preserve">Authority for Consumers and Markets (2022) </w:t>
      </w:r>
      <w:r>
        <w:rPr>
          <w:i/>
          <w:iCs/>
        </w:rPr>
        <w:t>Commitment decision regarding sustainability claims by H&amp;M</w:t>
      </w:r>
      <w:r>
        <w:t xml:space="preserve">. The Hague: Authority for Consumers and Markets. Available at: </w:t>
      </w:r>
      <w:r>
        <w:fldChar w:fldCharType="begin"/>
      </w:r>
      <w:r>
        <w:instrText xml:space="preserve"> HYPERLINK "https://www.acm.nl/en/publications/commitment-decision-handm-regarding-sustainability-claims" </w:instrText>
      </w:r>
      <w:r>
        <w:fldChar w:fldCharType="separate"/>
      </w:r>
      <w:r>
        <w:rPr>
          <w:rStyle w:val="24"/>
          <w:rFonts w:eastAsiaTheme="majorEastAsia"/>
          <w:color w:val="auto"/>
        </w:rPr>
        <w:t>https://www.acm.nl/en/publications/commitment-decision-handm-regarding-sustainability-claims</w:t>
      </w:r>
      <w:r>
        <w:rPr>
          <w:rStyle w:val="24"/>
          <w:rFonts w:eastAsiaTheme="majorEastAsia"/>
          <w:color w:val="auto"/>
        </w:rPr>
        <w:fldChar w:fldCharType="end"/>
      </w:r>
      <w:r>
        <w:t xml:space="preserve"> (Accessed: 18 August 2026).</w:t>
      </w:r>
    </w:p>
    <w:p w14:paraId="4D269DB3">
      <w:pPr>
        <w:rPr>
          <w:lang w:val="en-US"/>
        </w:rPr>
      </w:pPr>
      <w:r>
        <w:t>Badhwar, A., Islam, S., Swee, C., Panwar, T., Wigley, S. and Nayak, R. (2024) “Unraveling green marketing and greenwashing: A systematic review in the context of the fashion and textiles industry,” </w:t>
      </w:r>
      <w:r>
        <w:rPr>
          <w:i/>
          <w:iCs/>
        </w:rPr>
        <w:t>Sustainability (Basel)</w:t>
      </w:r>
      <w:r>
        <w:t xml:space="preserve">, 16(7), pp. 2738–2738. Available at: </w:t>
      </w:r>
      <w:r>
        <w:fldChar w:fldCharType="begin"/>
      </w:r>
      <w:r>
        <w:instrText xml:space="preserve"> HYPERLINK "https://doi.org/10.3390/su16072738" </w:instrText>
      </w:r>
      <w:r>
        <w:fldChar w:fldCharType="separate"/>
      </w:r>
      <w:r>
        <w:rPr>
          <w:rStyle w:val="24"/>
          <w:color w:val="auto"/>
          <w:lang w:val="zh-CN" w:bidi="bn-IN"/>
        </w:rPr>
        <w:t>https://doi.org/10.3390/su16072738</w:t>
      </w:r>
      <w:r>
        <w:rPr>
          <w:rStyle w:val="24"/>
          <w:color w:val="auto"/>
          <w:lang w:val="zh-CN" w:bidi="bn-IN"/>
        </w:rPr>
        <w:fldChar w:fldCharType="end"/>
      </w:r>
      <w:r>
        <w:t>.</w:t>
      </w:r>
      <w:r>
        <w:rPr>
          <w:lang w:val="en-US"/>
        </w:rPr>
        <w:t xml:space="preserve"> </w:t>
      </w:r>
    </w:p>
    <w:p w14:paraId="5D7CC6CC">
      <w:r>
        <w:t xml:space="preserve">Boohoo Group plc (2023) </w:t>
      </w:r>
      <w:r>
        <w:rPr>
          <w:i/>
          <w:iCs/>
        </w:rPr>
        <w:t>Sustainability Report 2023</w:t>
      </w:r>
      <w:r>
        <w:t xml:space="preserve">. Manchester: Boohoo Group plc. Available at: </w:t>
      </w:r>
      <w:r>
        <w:fldChar w:fldCharType="begin"/>
      </w:r>
      <w:r>
        <w:instrText xml:space="preserve"> HYPERLINK "https://www.debenhamsgroup.com/sustainability/company-policies/" </w:instrText>
      </w:r>
      <w:r>
        <w:fldChar w:fldCharType="separate"/>
      </w:r>
      <w:r>
        <w:rPr>
          <w:rStyle w:val="24"/>
          <w:rFonts w:eastAsiaTheme="majorEastAsia"/>
          <w:color w:val="auto"/>
        </w:rPr>
        <w:t>https://www.debenhamsgroup.com/sustainability/company-policies/</w:t>
      </w:r>
      <w:r>
        <w:rPr>
          <w:rStyle w:val="24"/>
          <w:rFonts w:eastAsiaTheme="majorEastAsia"/>
          <w:color w:val="auto"/>
        </w:rPr>
        <w:fldChar w:fldCharType="end"/>
      </w:r>
      <w:r>
        <w:t xml:space="preserve"> (Accessed: 18 August 2026).</w:t>
      </w:r>
    </w:p>
    <w:p w14:paraId="16E37A18">
      <w:r>
        <w:t xml:space="preserve">Boohoo Group plc (2024a) </w:t>
      </w:r>
      <w:r>
        <w:rPr>
          <w:i/>
          <w:iCs/>
        </w:rPr>
        <w:t>Sustainability Report 2024</w:t>
      </w:r>
      <w:r>
        <w:t xml:space="preserve">. Manchester: Boohoo Group plc. Available at: </w:t>
      </w:r>
      <w:r>
        <w:fldChar w:fldCharType="begin"/>
      </w:r>
      <w:r>
        <w:instrText xml:space="preserve"> HYPERLINK "https://www.debenhamsgroup.com/sustainability/company-policies/" </w:instrText>
      </w:r>
      <w:r>
        <w:fldChar w:fldCharType="separate"/>
      </w:r>
      <w:r>
        <w:rPr>
          <w:rStyle w:val="24"/>
          <w:rFonts w:eastAsiaTheme="majorEastAsia"/>
          <w:color w:val="auto"/>
        </w:rPr>
        <w:t>https://www.debenhamsgroup.com/sustainability/company-policies/</w:t>
      </w:r>
      <w:r>
        <w:rPr>
          <w:rStyle w:val="24"/>
          <w:rFonts w:eastAsiaTheme="majorEastAsia"/>
          <w:color w:val="auto"/>
        </w:rPr>
        <w:fldChar w:fldCharType="end"/>
      </w:r>
      <w:r>
        <w:t xml:space="preserve"> (Accessed: 18 August 2026).</w:t>
      </w:r>
    </w:p>
    <w:p w14:paraId="2FCFB978">
      <w:r>
        <w:t xml:space="preserve">Boohoo Group plc (2024b) </w:t>
      </w:r>
      <w:r>
        <w:rPr>
          <w:i/>
          <w:iCs/>
        </w:rPr>
        <w:t>Written evidence submitted to the Environmental Audit Committee</w:t>
      </w:r>
      <w:r>
        <w:t xml:space="preserve">. London: UK Parliament. Available at: </w:t>
      </w:r>
      <w:r>
        <w:fldChar w:fldCharType="begin"/>
      </w:r>
      <w:r>
        <w:instrText xml:space="preserve"> HYPERLINK "https://committees.parliament.uk/committee/62/environmental-audit-committee/publications/written-evidence/?SearchTerm=Boohoo" </w:instrText>
      </w:r>
      <w:r>
        <w:fldChar w:fldCharType="separate"/>
      </w:r>
      <w:r>
        <w:rPr>
          <w:rStyle w:val="24"/>
          <w:rFonts w:eastAsiaTheme="majorEastAsia"/>
          <w:color w:val="auto"/>
        </w:rPr>
        <w:t>https://committees.parliament.uk/committee/62/environmental-audit-committee/publications/written-evidence/?SearchTerm=Boohoo</w:t>
      </w:r>
      <w:r>
        <w:rPr>
          <w:rStyle w:val="24"/>
          <w:rFonts w:eastAsiaTheme="majorEastAsia"/>
          <w:color w:val="auto"/>
        </w:rPr>
        <w:fldChar w:fldCharType="end"/>
      </w:r>
      <w:r>
        <w:t xml:space="preserve"> (Accessed: 18 August 2026).</w:t>
      </w:r>
    </w:p>
    <w:p w14:paraId="4F0B06C3">
      <w:r>
        <w:t xml:space="preserve">Braun, V. and Clarke, V. (2022) </w:t>
      </w:r>
      <w:r>
        <w:rPr>
          <w:i/>
          <w:iCs/>
        </w:rPr>
        <w:t>Thematic Analysis: A Practical Guide</w:t>
      </w:r>
      <w:r>
        <w:t>. London: SAGE Publications.</w:t>
      </w:r>
    </w:p>
    <w:p w14:paraId="750F3C55">
      <w:r>
        <w:t xml:space="preserve">Changing Markets Foundation (2021) </w:t>
      </w:r>
      <w:r>
        <w:rPr>
          <w:i/>
          <w:iCs/>
        </w:rPr>
        <w:t>Synthetics Anonymous: Fashion Brands’ Addiction to Fossil Fuels</w:t>
      </w:r>
      <w:r>
        <w:t xml:space="preserve">. Utrecht: Changing Markets Foundation. Available at: </w:t>
      </w:r>
      <w:r>
        <w:fldChar w:fldCharType="begin"/>
      </w:r>
      <w:r>
        <w:instrText xml:space="preserve"> HYPERLINK "https://changingmarkets.org/report/synthetics-anonymous-fashion-brands-addiction-to-fossil-fuels/" </w:instrText>
      </w:r>
      <w:r>
        <w:fldChar w:fldCharType="separate"/>
      </w:r>
      <w:r>
        <w:rPr>
          <w:rStyle w:val="24"/>
          <w:rFonts w:eastAsiaTheme="majorEastAsia"/>
          <w:color w:val="auto"/>
        </w:rPr>
        <w:t>https://changingmarkets.org/report/synthetics-anonymous-fashion-brands-addiction-to-fossil-fuels/</w:t>
      </w:r>
      <w:r>
        <w:rPr>
          <w:rStyle w:val="24"/>
          <w:rFonts w:eastAsiaTheme="majorEastAsia"/>
          <w:color w:val="auto"/>
        </w:rPr>
        <w:fldChar w:fldCharType="end"/>
      </w:r>
      <w:r>
        <w:t xml:space="preserve"> (Accessed: 18 August 2026).</w:t>
      </w:r>
    </w:p>
    <w:p w14:paraId="648A6C62">
      <w:r>
        <w:t xml:space="preserve">Changing Markets Foundation (2022) </w:t>
      </w:r>
      <w:r>
        <w:rPr>
          <w:i/>
          <w:iCs/>
        </w:rPr>
        <w:t>Synthetics Anonymous 2.0: Fashion’s Persistent Plastic Problem</w:t>
      </w:r>
      <w:r>
        <w:t xml:space="preserve">. Utrecht: Changing Markets Foundation. Available at: </w:t>
      </w:r>
      <w:r>
        <w:fldChar w:fldCharType="begin"/>
      </w:r>
      <w:r>
        <w:instrText xml:space="preserve"> HYPERLINK "https://changingmarkets.org/report/fossil-fashion-todays-fashion-industry-has-become-synonymous-with-overconsumption/" </w:instrText>
      </w:r>
      <w:r>
        <w:fldChar w:fldCharType="separate"/>
      </w:r>
      <w:r>
        <w:rPr>
          <w:rStyle w:val="24"/>
          <w:rFonts w:eastAsiaTheme="majorEastAsia"/>
          <w:color w:val="auto"/>
        </w:rPr>
        <w:t>https://changingmarkets.org/report/fossil-fashion-todays-fashion-industry-has-become-synonymous-with-overconsumption/</w:t>
      </w:r>
      <w:r>
        <w:rPr>
          <w:rStyle w:val="24"/>
          <w:rFonts w:eastAsiaTheme="majorEastAsia"/>
          <w:color w:val="auto"/>
        </w:rPr>
        <w:fldChar w:fldCharType="end"/>
      </w:r>
      <w:r>
        <w:t xml:space="preserve"> (Accessed: 18 August 2026).</w:t>
      </w:r>
    </w:p>
    <w:p w14:paraId="2D6CCDD6">
      <w:pPr>
        <w:rPr>
          <w:lang w:val="en-US"/>
        </w:rPr>
      </w:pPr>
      <w:r>
        <w:rPr>
          <w:lang w:val="en-US"/>
        </w:rPr>
        <w:t xml:space="preserve">Cho, M., Ko, E. and Borenstein, B.E. (2024) 'The interaction effect of fashion retailer categories on sustainable labels: The role of perceived benefits, ambiguity, trust, and purchase intention', </w:t>
      </w:r>
      <w:r>
        <w:rPr>
          <w:i/>
          <w:lang w:val="en-US"/>
        </w:rPr>
        <w:t>International Journal of Advertising</w:t>
      </w:r>
      <w:r>
        <w:rPr>
          <w:lang w:val="en-US"/>
        </w:rPr>
        <w:t xml:space="preserve">, 43(6), pp. 1-23. Available at: </w:t>
      </w:r>
      <w:r>
        <w:fldChar w:fldCharType="begin"/>
      </w:r>
      <w:r>
        <w:instrText xml:space="preserve"> HYPERLINK "https://doi.org/10.1080/02650487.2024.2306763" \h </w:instrText>
      </w:r>
      <w:r>
        <w:fldChar w:fldCharType="separate"/>
      </w:r>
      <w:r>
        <w:rPr>
          <w:rStyle w:val="24"/>
          <w:color w:val="auto"/>
          <w:lang w:val="en-US"/>
        </w:rPr>
        <w:t>https://doi.org/10.1080/02650487.2024.2306763</w:t>
      </w:r>
      <w:r>
        <w:rPr>
          <w:rStyle w:val="24"/>
          <w:color w:val="auto"/>
          <w:lang w:val="en-US"/>
        </w:rPr>
        <w:fldChar w:fldCharType="end"/>
      </w:r>
      <w:r>
        <w:rPr>
          <w:lang w:val="en-US"/>
        </w:rPr>
        <w:t>.</w:t>
      </w:r>
    </w:p>
    <w:p w14:paraId="4221433D">
      <w:pPr>
        <w:rPr>
          <w:lang w:val="en-US"/>
        </w:rPr>
      </w:pPr>
      <w:r>
        <w:t>Chun, E., Joung, H., Lim, Y.J. and Ko, E. (2021) “Business Transparency and Willingness to Act Environmentally Conscious Behavior: Applying the Sustainable Fashion Evaluation System ‘Higg Index,’” </w:t>
      </w:r>
      <w:r>
        <w:rPr>
          <w:i/>
          <w:iCs/>
        </w:rPr>
        <w:t>Journal of Global Scholars of Marketing Science</w:t>
      </w:r>
      <w:r>
        <w:t xml:space="preserve">, 31(3), pp. 1–16. Available at: </w:t>
      </w:r>
      <w:r>
        <w:fldChar w:fldCharType="begin"/>
      </w:r>
      <w:r>
        <w:instrText xml:space="preserve"> HYPERLINK "https://doi.org/10.1080/21639159.2021.1904784" </w:instrText>
      </w:r>
      <w:r>
        <w:fldChar w:fldCharType="separate"/>
      </w:r>
      <w:r>
        <w:rPr>
          <w:rStyle w:val="24"/>
          <w:color w:val="auto"/>
          <w:lang w:val="zh-CN" w:bidi="bn-IN"/>
        </w:rPr>
        <w:t>https://doi.org/10.1080/21639159.2021.1904784</w:t>
      </w:r>
      <w:r>
        <w:rPr>
          <w:rStyle w:val="24"/>
          <w:color w:val="auto"/>
          <w:lang w:val="zh-CN" w:bidi="bn-IN"/>
        </w:rPr>
        <w:fldChar w:fldCharType="end"/>
      </w:r>
      <w:r>
        <w:t>.</w:t>
      </w:r>
      <w:r>
        <w:rPr>
          <w:lang w:val="en-US"/>
        </w:rPr>
        <w:t xml:space="preserve"> </w:t>
      </w:r>
    </w:p>
    <w:p w14:paraId="111D535B">
      <w:r>
        <w:t>CMA (2021) </w:t>
      </w:r>
      <w:r>
        <w:rPr>
          <w:i/>
          <w:iCs/>
        </w:rPr>
        <w:t>Green Claims Code: Making Environmental Claims</w:t>
      </w:r>
      <w:r>
        <w:t>, </w:t>
      </w:r>
      <w:r>
        <w:rPr>
          <w:i/>
          <w:iCs/>
        </w:rPr>
        <w:t>GOV.UK</w:t>
      </w:r>
      <w:r>
        <w:t xml:space="preserve">. Available at: </w:t>
      </w:r>
      <w:r>
        <w:fldChar w:fldCharType="begin"/>
      </w:r>
      <w:r>
        <w:instrText xml:space="preserve"> HYPERLINK "https://www.gov.uk/government/publications/green-claims-code-making-environmental-claims" </w:instrText>
      </w:r>
      <w:r>
        <w:fldChar w:fldCharType="separate"/>
      </w:r>
      <w:r>
        <w:rPr>
          <w:rStyle w:val="24"/>
          <w:color w:val="auto"/>
          <w:lang w:val="zh-CN" w:bidi="bn-IN"/>
        </w:rPr>
        <w:t>https://www.gov.uk/government/publications/green-claims-code-making-environmental-claims</w:t>
      </w:r>
      <w:r>
        <w:rPr>
          <w:rStyle w:val="24"/>
          <w:color w:val="auto"/>
          <w:lang w:val="zh-CN" w:bidi="bn-IN"/>
        </w:rPr>
        <w:fldChar w:fldCharType="end"/>
      </w:r>
      <w:r>
        <w:rPr>
          <w:lang w:val="en-US"/>
        </w:rPr>
        <w:t xml:space="preserve"> </w:t>
      </w:r>
      <w:r>
        <w:t>(Accessed: July 28, 2026).</w:t>
      </w:r>
    </w:p>
    <w:p w14:paraId="2D137585">
      <w:pPr>
        <w:rPr>
          <w:lang w:val="en-US"/>
        </w:rPr>
      </w:pPr>
      <w:r>
        <w:rPr>
          <w:lang w:val="en-US"/>
        </w:rPr>
        <w:t xml:space="preserve">CMA (2024) </w:t>
      </w:r>
      <w:r>
        <w:rPr>
          <w:i/>
          <w:lang w:val="en-US"/>
        </w:rPr>
        <w:t>Green claims: CMA secures landmark changes from ASOS, Boohoo and Asda</w:t>
      </w:r>
      <w:r>
        <w:rPr>
          <w:lang w:val="en-US"/>
        </w:rPr>
        <w:t xml:space="preserve">. Competition and Markets Authority. Available at: </w:t>
      </w:r>
      <w:r>
        <w:fldChar w:fldCharType="begin"/>
      </w:r>
      <w:r>
        <w:instrText xml:space="preserve"> HYPERLINK "https://www.gov.uk/government/news/green-claims-cma-secures-landmark-changes-from-asos-boohoo-and-asda" \h </w:instrText>
      </w:r>
      <w:r>
        <w:fldChar w:fldCharType="separate"/>
      </w:r>
      <w:r>
        <w:rPr>
          <w:rStyle w:val="24"/>
          <w:color w:val="auto"/>
          <w:lang w:val="en-US"/>
        </w:rPr>
        <w:t>https://www.gov.uk/government/news/green-claims-cma-secures-landmark-changes-from-asos-boohoo-and-asda</w:t>
      </w:r>
      <w:r>
        <w:rPr>
          <w:rStyle w:val="24"/>
          <w:color w:val="auto"/>
          <w:lang w:val="en-US"/>
        </w:rPr>
        <w:fldChar w:fldCharType="end"/>
      </w:r>
      <w:r>
        <w:rPr>
          <w:lang w:val="en-US"/>
        </w:rPr>
        <w:t xml:space="preserve"> (Accessed: 15 July 2026).</w:t>
      </w:r>
    </w:p>
    <w:p w14:paraId="5E903047">
      <w:r>
        <w:t>CMA UK (2024a) </w:t>
      </w:r>
      <w:r>
        <w:rPr>
          <w:i/>
          <w:iCs/>
        </w:rPr>
        <w:t>Digital Markets, Competition and Consumers Act 2024</w:t>
      </w:r>
      <w:r>
        <w:t>, </w:t>
      </w:r>
      <w:r>
        <w:rPr>
          <w:i/>
          <w:iCs/>
        </w:rPr>
        <w:t>Legislation.gov.uk</w:t>
      </w:r>
      <w:r>
        <w:t xml:space="preserve">. Available at: </w:t>
      </w:r>
      <w:r>
        <w:fldChar w:fldCharType="begin"/>
      </w:r>
      <w:r>
        <w:instrText xml:space="preserve"> HYPERLINK "https://www.legislation.gov.uk/ukpga/2024/13" </w:instrText>
      </w:r>
      <w:r>
        <w:fldChar w:fldCharType="separate"/>
      </w:r>
      <w:r>
        <w:rPr>
          <w:rStyle w:val="24"/>
          <w:color w:val="auto"/>
          <w:lang w:val="zh-CN" w:bidi="bn-IN"/>
        </w:rPr>
        <w:t>https://www.legislation.gov.uk/ukpga/2024/13</w:t>
      </w:r>
      <w:r>
        <w:rPr>
          <w:rStyle w:val="24"/>
          <w:color w:val="auto"/>
          <w:lang w:val="zh-CN" w:bidi="bn-IN"/>
        </w:rPr>
        <w:fldChar w:fldCharType="end"/>
      </w:r>
      <w:r>
        <w:rPr>
          <w:lang w:val="en-US"/>
        </w:rPr>
        <w:t xml:space="preserve"> </w:t>
      </w:r>
      <w:r>
        <w:t>(Accessed: July 31, 2026).</w:t>
      </w:r>
    </w:p>
    <w:p w14:paraId="41F7D1D9">
      <w:r>
        <w:t xml:space="preserve">Competition and Markets Authority (2024) </w:t>
      </w:r>
      <w:r>
        <w:rPr>
          <w:i/>
          <w:iCs/>
        </w:rPr>
        <w:t>Complying with Consumer Law When Making Environmental Claims in the Fashion Retail Sector</w:t>
      </w:r>
      <w:r>
        <w:t xml:space="preserve">. London: Competition and Markets Authority. Available at: </w:t>
      </w:r>
      <w:r>
        <w:fldChar w:fldCharType="begin"/>
      </w:r>
      <w:r>
        <w:instrText xml:space="preserve"> HYPERLINK "https://www.gov.uk/government/publications/complying-with-consumer-law-when-making-environmental-claims-in-the-fashion-retail-sector" </w:instrText>
      </w:r>
      <w:r>
        <w:fldChar w:fldCharType="separate"/>
      </w:r>
      <w:r>
        <w:rPr>
          <w:rStyle w:val="24"/>
          <w:rFonts w:eastAsiaTheme="majorEastAsia"/>
          <w:color w:val="auto"/>
        </w:rPr>
        <w:t>https://www.gov.uk/government/publications/complying-with-consumer-law-when-making-environmental-claims-in-the-fashion-retail-sector</w:t>
      </w:r>
      <w:r>
        <w:rPr>
          <w:rStyle w:val="24"/>
          <w:rFonts w:eastAsiaTheme="majorEastAsia"/>
          <w:color w:val="auto"/>
        </w:rPr>
        <w:fldChar w:fldCharType="end"/>
      </w:r>
      <w:r>
        <w:t xml:space="preserve"> (Accessed: 18 August 2026).</w:t>
      </w:r>
    </w:p>
    <w:p w14:paraId="5B3A4A19">
      <w:r>
        <w:t xml:space="preserve">Fashion Revolution (2024) </w:t>
      </w:r>
      <w:r>
        <w:rPr>
          <w:i/>
          <w:iCs/>
        </w:rPr>
        <w:t>What Fuels Fashion? Global Fashion Transparency Index 2024</w:t>
      </w:r>
      <w:r>
        <w:t xml:space="preserve">. London: Fashion Revolution. Available at: </w:t>
      </w:r>
      <w:r>
        <w:fldChar w:fldCharType="begin"/>
      </w:r>
      <w:r>
        <w:instrText xml:space="preserve"> HYPERLINK "https://www.fashionrevolution.org/fashion-transparency-index/" </w:instrText>
      </w:r>
      <w:r>
        <w:fldChar w:fldCharType="separate"/>
      </w:r>
      <w:r>
        <w:rPr>
          <w:rStyle w:val="24"/>
          <w:rFonts w:eastAsiaTheme="majorEastAsia"/>
          <w:color w:val="auto"/>
        </w:rPr>
        <w:t>https://www.fashionrevolution.org/fashion-transparency-index/</w:t>
      </w:r>
      <w:r>
        <w:rPr>
          <w:rStyle w:val="24"/>
          <w:rFonts w:eastAsiaTheme="majorEastAsia"/>
          <w:color w:val="auto"/>
        </w:rPr>
        <w:fldChar w:fldCharType="end"/>
      </w:r>
      <w:r>
        <w:t xml:space="preserve"> (Accessed: 18 August 2026).</w:t>
      </w:r>
    </w:p>
    <w:p w14:paraId="663979DF">
      <w:pPr>
        <w:rPr>
          <w:lang w:val="en-US"/>
        </w:rPr>
      </w:pPr>
      <w:r>
        <w:rPr>
          <w:lang w:val="en-US"/>
        </w:rPr>
        <w:t xml:space="preserve">Garcia-Ortega, B., Galan-Cubillo, J., Llorens-Montes, F.J. and de-Miguel-Molina, B. (2023) 'Sufficient consumption as a missing link toward sustainability: The case of fast fashion', </w:t>
      </w:r>
      <w:r>
        <w:rPr>
          <w:i/>
          <w:lang w:val="en-US"/>
        </w:rPr>
        <w:t>Journal of Cleaner Production</w:t>
      </w:r>
      <w:r>
        <w:rPr>
          <w:lang w:val="en-US"/>
        </w:rPr>
        <w:t xml:space="preserve">, 399, 136678. Available at: </w:t>
      </w:r>
      <w:r>
        <w:fldChar w:fldCharType="begin"/>
      </w:r>
      <w:r>
        <w:instrText xml:space="preserve"> HYPERLINK "https://doi.org/10.1016/j.jclepro.2023.136678" \h </w:instrText>
      </w:r>
      <w:r>
        <w:fldChar w:fldCharType="separate"/>
      </w:r>
      <w:r>
        <w:rPr>
          <w:rStyle w:val="24"/>
          <w:color w:val="auto"/>
          <w:lang w:val="en-US"/>
        </w:rPr>
        <w:t>https://doi.org/10.1016/j.jclepro.2023.136678</w:t>
      </w:r>
      <w:r>
        <w:rPr>
          <w:rStyle w:val="24"/>
          <w:color w:val="auto"/>
          <w:lang w:val="en-US"/>
        </w:rPr>
        <w:fldChar w:fldCharType="end"/>
      </w:r>
      <w:r>
        <w:rPr>
          <w:lang w:val="en-US"/>
        </w:rPr>
        <w:t>.</w:t>
      </w:r>
    </w:p>
    <w:p w14:paraId="46054337">
      <w:r>
        <w:t xml:space="preserve">H&amp;M Group (2025) </w:t>
      </w:r>
      <w:r>
        <w:rPr>
          <w:i/>
          <w:iCs/>
        </w:rPr>
        <w:t>Annual and Sustainability Report 2024</w:t>
      </w:r>
      <w:r>
        <w:t xml:space="preserve">. Stockholm: H&amp;M Group. Available at: </w:t>
      </w:r>
      <w:r>
        <w:fldChar w:fldCharType="begin"/>
      </w:r>
      <w:r>
        <w:instrText xml:space="preserve"> HYPERLINK "https://hmgroup.com/investors/reports/" </w:instrText>
      </w:r>
      <w:r>
        <w:fldChar w:fldCharType="separate"/>
      </w:r>
      <w:r>
        <w:rPr>
          <w:rStyle w:val="24"/>
          <w:rFonts w:eastAsiaTheme="majorEastAsia"/>
          <w:color w:val="auto"/>
        </w:rPr>
        <w:t>https://hmgroup.com/investors/reports/</w:t>
      </w:r>
      <w:r>
        <w:rPr>
          <w:rStyle w:val="24"/>
          <w:rFonts w:eastAsiaTheme="majorEastAsia"/>
          <w:color w:val="auto"/>
        </w:rPr>
        <w:fldChar w:fldCharType="end"/>
      </w:r>
      <w:r>
        <w:t xml:space="preserve"> (Accessed: 18 August 2026).</w:t>
      </w:r>
    </w:p>
    <w:p w14:paraId="52F081B3">
      <w:pPr>
        <w:rPr>
          <w:lang w:val="en-US"/>
        </w:rPr>
      </w:pPr>
      <w:r>
        <w:t>Hejlova, D., Ariestya, A., Koudelkova, P. and Schneiderova, S. (2025) “Strategic Silence in Corporate Communication Concerning Deadstock and Overstock in the Fashion Industry,” </w:t>
      </w:r>
      <w:r>
        <w:rPr>
          <w:i/>
          <w:iCs/>
        </w:rPr>
        <w:t>Corporate Communications: An International Journal</w:t>
      </w:r>
      <w:r>
        <w:t xml:space="preserve">, 30(2). Available at: </w:t>
      </w:r>
      <w:r>
        <w:fldChar w:fldCharType="begin"/>
      </w:r>
      <w:r>
        <w:instrText xml:space="preserve"> HYPERLINK "https://doi.org/10.1108/ccij-12-2023-0183" </w:instrText>
      </w:r>
      <w:r>
        <w:fldChar w:fldCharType="separate"/>
      </w:r>
      <w:r>
        <w:rPr>
          <w:rStyle w:val="24"/>
          <w:color w:val="auto"/>
          <w:lang w:val="zh-CN" w:bidi="bn-IN"/>
        </w:rPr>
        <w:t>https://doi.org/10.1108/ccij-12-2023-0183</w:t>
      </w:r>
      <w:r>
        <w:rPr>
          <w:rStyle w:val="24"/>
          <w:color w:val="auto"/>
          <w:lang w:val="zh-CN" w:bidi="bn-IN"/>
        </w:rPr>
        <w:fldChar w:fldCharType="end"/>
      </w:r>
      <w:r>
        <w:t>.</w:t>
      </w:r>
      <w:r>
        <w:rPr>
          <w:lang w:val="en-US"/>
        </w:rPr>
        <w:t xml:space="preserve"> </w:t>
      </w:r>
    </w:p>
    <w:p w14:paraId="6FAC9F5E">
      <w:r>
        <w:t xml:space="preserve">Inditex (2025) </w:t>
      </w:r>
      <w:r>
        <w:rPr>
          <w:i/>
          <w:iCs/>
        </w:rPr>
        <w:t>Inditex Group Annual Report and Sustainability Report 2024</w:t>
      </w:r>
      <w:r>
        <w:t xml:space="preserve">. Arteixo: Inditex. Available at: </w:t>
      </w:r>
      <w:r>
        <w:fldChar w:fldCharType="begin"/>
      </w:r>
      <w:r>
        <w:instrText xml:space="preserve"> HYPERLINK "https://static.inditex.com/annualreport2024/en/download-center" </w:instrText>
      </w:r>
      <w:r>
        <w:fldChar w:fldCharType="separate"/>
      </w:r>
      <w:r>
        <w:rPr>
          <w:rStyle w:val="24"/>
          <w:rFonts w:eastAsiaTheme="majorEastAsia"/>
          <w:color w:val="auto"/>
        </w:rPr>
        <w:t>https://static.inditex.com/annualreport2024/en/download-center</w:t>
      </w:r>
      <w:r>
        <w:rPr>
          <w:rStyle w:val="24"/>
          <w:rFonts w:eastAsiaTheme="majorEastAsia"/>
          <w:color w:val="auto"/>
        </w:rPr>
        <w:fldChar w:fldCharType="end"/>
      </w:r>
      <w:r>
        <w:t xml:space="preserve"> (Accessed: 18 August 2026).</w:t>
      </w:r>
    </w:p>
    <w:p w14:paraId="4C6AD634">
      <w:r>
        <w:t>Janmark, J., Magnus, K.-H., Marcos, I. and Wiener, E. (2024) </w:t>
      </w:r>
      <w:r>
        <w:rPr>
          <w:i/>
          <w:iCs/>
        </w:rPr>
        <w:t>Sustainable style: How fashion can afford and accelerate decarbonization | McKinsey</w:t>
      </w:r>
      <w:r>
        <w:t>, </w:t>
      </w:r>
      <w:r>
        <w:rPr>
          <w:i/>
          <w:iCs/>
        </w:rPr>
        <w:t>www.mckinsey.com</w:t>
      </w:r>
      <w:r>
        <w:t xml:space="preserve">. Available at: https://www.mckinsey.com/industries/retail/our-insights/sustainable-style-how-fashion-can-afford-and-accelerate-decarbonization (Accessed: July </w:t>
      </w:r>
      <w:r>
        <w:rPr>
          <w:lang w:val="en-US"/>
        </w:rPr>
        <w:t>17</w:t>
      </w:r>
      <w:r>
        <w:t>, 2026).</w:t>
      </w:r>
    </w:p>
    <w:p w14:paraId="39A868E0">
      <w:pPr>
        <w:rPr>
          <w:lang w:val="en-US"/>
        </w:rPr>
      </w:pPr>
      <w:r>
        <w:rPr>
          <w:lang w:val="en-US"/>
        </w:rPr>
        <w:t xml:space="preserve">Jia, T., Iqbal, S., Ayub, A., Fatima, T. and Rasool, Z. (2023) 'Promoting responsible sustainable consumer behavior through sustainability marketing: The boundary effects of corporate social responsibility and brand image', </w:t>
      </w:r>
      <w:r>
        <w:rPr>
          <w:i/>
          <w:lang w:val="en-US"/>
        </w:rPr>
        <w:t>Sustainability</w:t>
      </w:r>
      <w:r>
        <w:rPr>
          <w:lang w:val="en-US"/>
        </w:rPr>
        <w:t xml:space="preserve">, 15(7), 6092. Available at: </w:t>
      </w:r>
      <w:r>
        <w:fldChar w:fldCharType="begin"/>
      </w:r>
      <w:r>
        <w:instrText xml:space="preserve"> HYPERLINK "https://doi.org/10.3390/su15076092" \h </w:instrText>
      </w:r>
      <w:r>
        <w:fldChar w:fldCharType="separate"/>
      </w:r>
      <w:r>
        <w:rPr>
          <w:rStyle w:val="24"/>
          <w:color w:val="auto"/>
          <w:lang w:val="en-US"/>
        </w:rPr>
        <w:t>https://doi.org/10.3390/su15076092</w:t>
      </w:r>
      <w:r>
        <w:rPr>
          <w:rStyle w:val="24"/>
          <w:color w:val="auto"/>
          <w:lang w:val="en-US"/>
        </w:rPr>
        <w:fldChar w:fldCharType="end"/>
      </w:r>
      <w:r>
        <w:rPr>
          <w:lang w:val="en-US"/>
        </w:rPr>
        <w:t>.</w:t>
      </w:r>
    </w:p>
    <w:p w14:paraId="0CCC2701">
      <w:pPr>
        <w:rPr>
          <w:lang w:val="en-US"/>
        </w:rPr>
      </w:pPr>
      <w:r>
        <w:rPr>
          <w:lang w:val="en-US"/>
        </w:rPr>
        <w:t xml:space="preserve">Jung, J., Kim, S.J. and Kim, K.H. (2020) 'Sustainable marketing activities of traditional fashion market and brand loyalty', </w:t>
      </w:r>
      <w:r>
        <w:rPr>
          <w:i/>
          <w:lang w:val="en-US"/>
        </w:rPr>
        <w:t>Journal of Business Research</w:t>
      </w:r>
      <w:r>
        <w:rPr>
          <w:lang w:val="en-US"/>
        </w:rPr>
        <w:t xml:space="preserve">, 120, pp. 294-301. Available at: </w:t>
      </w:r>
      <w:r>
        <w:fldChar w:fldCharType="begin"/>
      </w:r>
      <w:r>
        <w:instrText xml:space="preserve"> HYPERLINK "https://doi.org/10.1016/j.jbusres.2020.04.019" \h </w:instrText>
      </w:r>
      <w:r>
        <w:fldChar w:fldCharType="separate"/>
      </w:r>
      <w:r>
        <w:rPr>
          <w:rStyle w:val="24"/>
          <w:color w:val="auto"/>
          <w:lang w:val="en-US"/>
        </w:rPr>
        <w:t>https://doi.org/10.1016/j.jbusres.2020.04.019</w:t>
      </w:r>
      <w:r>
        <w:rPr>
          <w:rStyle w:val="24"/>
          <w:color w:val="auto"/>
          <w:lang w:val="en-US"/>
        </w:rPr>
        <w:fldChar w:fldCharType="end"/>
      </w:r>
      <w:r>
        <w:rPr>
          <w:lang w:val="en-US"/>
        </w:rPr>
        <w:t>.</w:t>
      </w:r>
    </w:p>
    <w:p w14:paraId="0F010BBC">
      <w:pPr>
        <w:rPr>
          <w:lang w:val="en-US"/>
        </w:rPr>
      </w:pPr>
      <w:r>
        <w:rPr>
          <w:lang w:val="en-US"/>
        </w:rPr>
        <w:t xml:space="preserve">Kim, Y. and Oh, K.W. (2020) 'Which consumer associations can build a sustainable fashion brand image? Evidence from fast fashion brands', </w:t>
      </w:r>
      <w:r>
        <w:rPr>
          <w:i/>
          <w:lang w:val="en-US"/>
        </w:rPr>
        <w:t>Sustainability</w:t>
      </w:r>
      <w:r>
        <w:rPr>
          <w:lang w:val="en-US"/>
        </w:rPr>
        <w:t xml:space="preserve">, 12(5), 1703. Available at: </w:t>
      </w:r>
      <w:r>
        <w:fldChar w:fldCharType="begin"/>
      </w:r>
      <w:r>
        <w:instrText xml:space="preserve"> HYPERLINK "https://doi.org/10.3390/su12051703" \h </w:instrText>
      </w:r>
      <w:r>
        <w:fldChar w:fldCharType="separate"/>
      </w:r>
      <w:r>
        <w:rPr>
          <w:rStyle w:val="24"/>
          <w:color w:val="auto"/>
          <w:lang w:val="en-US"/>
        </w:rPr>
        <w:t>https://doi.org/10.3390/su12051703</w:t>
      </w:r>
      <w:r>
        <w:rPr>
          <w:rStyle w:val="24"/>
          <w:color w:val="auto"/>
          <w:lang w:val="en-US"/>
        </w:rPr>
        <w:fldChar w:fldCharType="end"/>
      </w:r>
      <w:r>
        <w:rPr>
          <w:lang w:val="en-US"/>
        </w:rPr>
        <w:t>.</w:t>
      </w:r>
    </w:p>
    <w:p w14:paraId="362BF1E1">
      <w:pPr>
        <w:rPr>
          <w:lang w:val="en-US"/>
        </w:rPr>
      </w:pPr>
      <w:r>
        <w:t>Lee, E.J., Bae, J. and Kim, K.H. (2020) “The effect of sustainable certification reputation on consumer behavior in the fashion industry: Focusing on the mechanism of congruence,” </w:t>
      </w:r>
      <w:r>
        <w:rPr>
          <w:i/>
          <w:iCs/>
        </w:rPr>
        <w:t>Journal of Global Fashion Marketing</w:t>
      </w:r>
      <w:r>
        <w:t xml:space="preserve">, 11(2), pp. 137–153. Available at: </w:t>
      </w:r>
      <w:r>
        <w:fldChar w:fldCharType="begin"/>
      </w:r>
      <w:r>
        <w:instrText xml:space="preserve"> HYPERLINK "https://doi.org/10.1080/20932685.2020.1726198" </w:instrText>
      </w:r>
      <w:r>
        <w:fldChar w:fldCharType="separate"/>
      </w:r>
      <w:r>
        <w:rPr>
          <w:rStyle w:val="24"/>
          <w:color w:val="auto"/>
          <w:lang w:val="zh-CN" w:bidi="bn-IN"/>
        </w:rPr>
        <w:t>https://doi.org/10.1080/20932685.2020.1726198</w:t>
      </w:r>
      <w:r>
        <w:rPr>
          <w:rStyle w:val="24"/>
          <w:color w:val="auto"/>
          <w:lang w:val="zh-CN" w:bidi="bn-IN"/>
        </w:rPr>
        <w:fldChar w:fldCharType="end"/>
      </w:r>
      <w:r>
        <w:t>.</w:t>
      </w:r>
      <w:r>
        <w:rPr>
          <w:lang w:val="en-US"/>
        </w:rPr>
        <w:t xml:space="preserve"> </w:t>
      </w:r>
    </w:p>
    <w:p w14:paraId="4EEB229F">
      <w:pPr>
        <w:rPr>
          <w:szCs w:val="24"/>
        </w:rPr>
      </w:pPr>
      <w:r>
        <w:rPr>
          <w:szCs w:val="24"/>
        </w:rPr>
        <w:t xml:space="preserve">Li, J., Ding, H., Hu, Y. and Wan, G. (2021) ‘Dealing with dynamic endogeneity in international business research’, </w:t>
      </w:r>
      <w:r>
        <w:rPr>
          <w:i/>
          <w:iCs/>
          <w:szCs w:val="24"/>
        </w:rPr>
        <w:t>Journal of International Business Studies</w:t>
      </w:r>
      <w:r>
        <w:rPr>
          <w:szCs w:val="24"/>
        </w:rPr>
        <w:t>, 52(3), pp. 339–362. Available at: https://doi.org/10.1057/s41267-020-00398-8.</w:t>
      </w:r>
    </w:p>
    <w:p w14:paraId="2D9C1E75">
      <w:pPr>
        <w:rPr>
          <w:lang w:val="en-US"/>
        </w:rPr>
      </w:pPr>
      <w:r>
        <w:rPr>
          <w:lang w:val="en-US"/>
        </w:rPr>
        <w:t xml:space="preserve">Majeed, M.U., Aslam, S., Murtaza, S.A., Attila, S. and Molnar, E. (2022) 'Green marketing approaches and their impact on green purchase intentions: Mediating role of green brand image and consumer beliefs towards the environment', </w:t>
      </w:r>
      <w:r>
        <w:rPr>
          <w:i/>
          <w:lang w:val="en-US"/>
        </w:rPr>
        <w:t>Sustainability</w:t>
      </w:r>
      <w:r>
        <w:rPr>
          <w:lang w:val="en-US"/>
        </w:rPr>
        <w:t xml:space="preserve">, 14(18), 11703. Available at: </w:t>
      </w:r>
      <w:r>
        <w:fldChar w:fldCharType="begin"/>
      </w:r>
      <w:r>
        <w:instrText xml:space="preserve"> HYPERLINK "https://doi.org/10.3390/su141811703" \h </w:instrText>
      </w:r>
      <w:r>
        <w:fldChar w:fldCharType="separate"/>
      </w:r>
      <w:r>
        <w:rPr>
          <w:rStyle w:val="24"/>
          <w:color w:val="auto"/>
          <w:lang w:val="en-US"/>
        </w:rPr>
        <w:t>https://doi.org/10.3390/su141811703</w:t>
      </w:r>
      <w:r>
        <w:rPr>
          <w:rStyle w:val="24"/>
          <w:color w:val="auto"/>
          <w:lang w:val="en-US"/>
        </w:rPr>
        <w:fldChar w:fldCharType="end"/>
      </w:r>
      <w:r>
        <w:rPr>
          <w:lang w:val="en-US"/>
        </w:rPr>
        <w:t>.</w:t>
      </w:r>
    </w:p>
    <w:p w14:paraId="5949292C">
      <w:pPr>
        <w:rPr>
          <w:lang w:val="en-US"/>
        </w:rPr>
      </w:pPr>
      <w:r>
        <w:rPr>
          <w:lang w:val="en-US"/>
        </w:rPr>
        <w:t xml:space="preserve">Neumann, H.L., Martinez, L.M. and Martinez, L.F. (2021) 'Sustainability efforts in the fast fashion industry: Consumer perception, trust and purchase intention', </w:t>
      </w:r>
      <w:r>
        <w:rPr>
          <w:i/>
          <w:lang w:val="en-US"/>
        </w:rPr>
        <w:t>Sustainability Accounting, Management and Policy Journal</w:t>
      </w:r>
      <w:r>
        <w:rPr>
          <w:lang w:val="en-US"/>
        </w:rPr>
        <w:t xml:space="preserve">, 12(3), pp. 571-590. Available at: </w:t>
      </w:r>
      <w:r>
        <w:fldChar w:fldCharType="begin"/>
      </w:r>
      <w:r>
        <w:instrText xml:space="preserve"> HYPERLINK "https://doi.org/10.1108/SAMPJ-11-2019-0405" \h </w:instrText>
      </w:r>
      <w:r>
        <w:fldChar w:fldCharType="separate"/>
      </w:r>
      <w:r>
        <w:rPr>
          <w:rStyle w:val="24"/>
          <w:color w:val="auto"/>
          <w:lang w:val="en-US"/>
        </w:rPr>
        <w:t>https://doi.org/10.1108/SAMPJ-11-2019-0405</w:t>
      </w:r>
      <w:r>
        <w:rPr>
          <w:rStyle w:val="24"/>
          <w:color w:val="auto"/>
          <w:lang w:val="en-US"/>
        </w:rPr>
        <w:fldChar w:fldCharType="end"/>
      </w:r>
      <w:r>
        <w:rPr>
          <w:lang w:val="en-US"/>
        </w:rPr>
        <w:t>.</w:t>
      </w:r>
    </w:p>
    <w:p w14:paraId="66BD5F70">
      <w:pPr>
        <w:rPr>
          <w:lang w:val="en-US"/>
        </w:rPr>
      </w:pPr>
      <w:r>
        <w:rPr>
          <w:lang w:val="en-US"/>
        </w:rPr>
        <w:t xml:space="preserve">Olson, E.L. (2022) ''Sustainable' marketing mixes and the paradoxical consequences of good intentions', </w:t>
      </w:r>
      <w:r>
        <w:rPr>
          <w:i/>
          <w:lang w:val="en-US"/>
        </w:rPr>
        <w:t>Journal of Business Research</w:t>
      </w:r>
      <w:r>
        <w:rPr>
          <w:lang w:val="en-US"/>
        </w:rPr>
        <w:t xml:space="preserve">, 150, pp. 389-398. Available at: </w:t>
      </w:r>
      <w:r>
        <w:fldChar w:fldCharType="begin"/>
      </w:r>
      <w:r>
        <w:instrText xml:space="preserve"> HYPERLINK "https://doi.org/10.1016/j.jbusres.2022.05.063" \h </w:instrText>
      </w:r>
      <w:r>
        <w:fldChar w:fldCharType="separate"/>
      </w:r>
      <w:r>
        <w:rPr>
          <w:rStyle w:val="24"/>
          <w:color w:val="auto"/>
          <w:lang w:val="en-US"/>
        </w:rPr>
        <w:t>https://doi.org/10.1016/j.jbusres.2022.05.063</w:t>
      </w:r>
      <w:r>
        <w:rPr>
          <w:rStyle w:val="24"/>
          <w:color w:val="auto"/>
          <w:lang w:val="en-US"/>
        </w:rPr>
        <w:fldChar w:fldCharType="end"/>
      </w:r>
      <w:r>
        <w:rPr>
          <w:lang w:val="en-US"/>
        </w:rPr>
        <w:t>.</w:t>
      </w:r>
    </w:p>
    <w:p w14:paraId="0A033F75">
      <w:pPr>
        <w:rPr>
          <w:lang w:val="en-US"/>
        </w:rPr>
      </w:pPr>
      <w:r>
        <w:rPr>
          <w:lang w:val="en-US"/>
        </w:rPr>
        <w:t xml:space="preserve">Papasolomou, I., Melanthiou, Y. and Tsamouridis, A. (2023) 'The fast fashion versus environment debate: Consumers' level of awareness, feelings, and behaviour towards sustainability within the fast-fashion sector', </w:t>
      </w:r>
      <w:r>
        <w:rPr>
          <w:i/>
          <w:lang w:val="en-US"/>
        </w:rPr>
        <w:t>Journal of Marketing Communications</w:t>
      </w:r>
      <w:r>
        <w:rPr>
          <w:lang w:val="en-US"/>
        </w:rPr>
        <w:t xml:space="preserve">, 29(2), pp. 191-209. Available at: </w:t>
      </w:r>
      <w:r>
        <w:fldChar w:fldCharType="begin"/>
      </w:r>
      <w:r>
        <w:instrText xml:space="preserve"> HYPERLINK "https://doi.org/10.1080/13527266.2022.2154059" \h </w:instrText>
      </w:r>
      <w:r>
        <w:fldChar w:fldCharType="separate"/>
      </w:r>
      <w:r>
        <w:rPr>
          <w:rStyle w:val="24"/>
          <w:color w:val="auto"/>
          <w:lang w:val="en-US"/>
        </w:rPr>
        <w:t>https://doi.org/10.1080/13527266.2022.2154059</w:t>
      </w:r>
      <w:r>
        <w:rPr>
          <w:rStyle w:val="24"/>
          <w:color w:val="auto"/>
          <w:lang w:val="en-US"/>
        </w:rPr>
        <w:fldChar w:fldCharType="end"/>
      </w:r>
      <w:r>
        <w:rPr>
          <w:lang w:val="en-US"/>
        </w:rPr>
        <w:t>.</w:t>
      </w:r>
    </w:p>
    <w:p w14:paraId="39A610F8">
      <w:pPr>
        <w:rPr>
          <w:lang w:val="en-US"/>
        </w:rPr>
      </w:pPr>
      <w:r>
        <w:rPr>
          <w:lang w:val="en-US"/>
        </w:rPr>
        <w:t xml:space="preserve">Policarpo, M.C., Apaolaza, V., Hartmann, P., Paredes, M.R. and D'Souza, C. (2023) 'Social cynicism, greenwashing, and trust in green clothing brands', </w:t>
      </w:r>
      <w:r>
        <w:rPr>
          <w:i/>
          <w:lang w:val="en-US"/>
        </w:rPr>
        <w:t>International Journal of Consumer Studies</w:t>
      </w:r>
      <w:r>
        <w:rPr>
          <w:lang w:val="en-US"/>
        </w:rPr>
        <w:t xml:space="preserve">, 47(5). Available at: </w:t>
      </w:r>
      <w:r>
        <w:fldChar w:fldCharType="begin"/>
      </w:r>
      <w:r>
        <w:instrText xml:space="preserve"> HYPERLINK "https://doi.org/10.1111/ijcs.12971" \h </w:instrText>
      </w:r>
      <w:r>
        <w:fldChar w:fldCharType="separate"/>
      </w:r>
      <w:r>
        <w:rPr>
          <w:rStyle w:val="24"/>
          <w:color w:val="auto"/>
          <w:lang w:val="en-US"/>
        </w:rPr>
        <w:t>https://doi.org/10.1111/ijcs.12971</w:t>
      </w:r>
      <w:r>
        <w:rPr>
          <w:rStyle w:val="24"/>
          <w:color w:val="auto"/>
          <w:lang w:val="en-US"/>
        </w:rPr>
        <w:fldChar w:fldCharType="end"/>
      </w:r>
      <w:r>
        <w:rPr>
          <w:lang w:val="en-US"/>
        </w:rPr>
        <w:t>.</w:t>
      </w:r>
    </w:p>
    <w:p w14:paraId="32E5CD0A">
      <w:pPr>
        <w:rPr>
          <w:szCs w:val="24"/>
        </w:rPr>
      </w:pPr>
      <w:r>
        <w:rPr>
          <w:szCs w:val="24"/>
        </w:rPr>
        <w:t xml:space="preserve">Ragab, M.A. and Arisha, A. (2017) ‘Research Methodology in Business: a Starter’s Guide’, </w:t>
      </w:r>
      <w:r>
        <w:rPr>
          <w:i/>
          <w:iCs/>
          <w:szCs w:val="24"/>
        </w:rPr>
        <w:t>Management and Organizational Studies</w:t>
      </w:r>
      <w:r>
        <w:rPr>
          <w:szCs w:val="24"/>
        </w:rPr>
        <w:t>, 5(1), p. 1. Available at: https://doi.org/10.5430/mos.v5n1p1.</w:t>
      </w:r>
    </w:p>
    <w:p w14:paraId="34F7D565">
      <w:pPr>
        <w:rPr>
          <w:szCs w:val="24"/>
        </w:rPr>
      </w:pPr>
      <w:r>
        <w:rPr>
          <w:szCs w:val="24"/>
        </w:rPr>
        <w:t xml:space="preserve">Rashid, Y., Rashid, A., Warraich, M.A., Sabir, S.S. and Waseem, A. (2019) ‘Case Study method: a step-by-step Guide for Business Researchers’, </w:t>
      </w:r>
      <w:r>
        <w:rPr>
          <w:i/>
          <w:iCs/>
          <w:szCs w:val="24"/>
        </w:rPr>
        <w:t>International Journal of Qualitative Methods</w:t>
      </w:r>
      <w:r>
        <w:rPr>
          <w:szCs w:val="24"/>
        </w:rPr>
        <w:t>, 18, pp. 1–13. Available at: https://doi.org/10.1177/1609406919862424.</w:t>
      </w:r>
    </w:p>
    <w:p w14:paraId="22C25896">
      <w:pPr>
        <w:rPr>
          <w:lang w:val="en-US"/>
        </w:rPr>
      </w:pPr>
      <w:r>
        <w:rPr>
          <w:lang w:val="en-US"/>
        </w:rPr>
        <w:t xml:space="preserve">Ray, S. and Nayak, L. (2023) 'Marketing sustainable fashion: Trends and future directions', </w:t>
      </w:r>
      <w:r>
        <w:rPr>
          <w:i/>
          <w:lang w:val="en-US"/>
        </w:rPr>
        <w:t>Sustainability</w:t>
      </w:r>
      <w:r>
        <w:rPr>
          <w:lang w:val="en-US"/>
        </w:rPr>
        <w:t xml:space="preserve">, 15(7), 6202. Available at: </w:t>
      </w:r>
      <w:r>
        <w:fldChar w:fldCharType="begin"/>
      </w:r>
      <w:r>
        <w:instrText xml:space="preserve"> HYPERLINK "https://doi.org/10.3390/su15076202" \h </w:instrText>
      </w:r>
      <w:r>
        <w:fldChar w:fldCharType="separate"/>
      </w:r>
      <w:r>
        <w:rPr>
          <w:rStyle w:val="24"/>
          <w:color w:val="auto"/>
          <w:lang w:val="en-US"/>
        </w:rPr>
        <w:t>https://doi.org/10.3390/su15076202</w:t>
      </w:r>
      <w:r>
        <w:rPr>
          <w:rStyle w:val="24"/>
          <w:color w:val="auto"/>
          <w:lang w:val="en-US"/>
        </w:rPr>
        <w:fldChar w:fldCharType="end"/>
      </w:r>
      <w:r>
        <w:rPr>
          <w:lang w:val="en-US"/>
        </w:rPr>
        <w:t>.</w:t>
      </w:r>
    </w:p>
    <w:p w14:paraId="14CD449E">
      <w:r>
        <w:t xml:space="preserve">Remake (2024) </w:t>
      </w:r>
      <w:r>
        <w:rPr>
          <w:i/>
          <w:iCs/>
        </w:rPr>
        <w:t>Fashion Accountability Report 2024</w:t>
      </w:r>
      <w:r>
        <w:t xml:space="preserve">. San Francisco: Remake. Available at: </w:t>
      </w:r>
      <w:r>
        <w:fldChar w:fldCharType="begin"/>
      </w:r>
      <w:r>
        <w:instrText xml:space="preserve"> HYPERLINK "https://remake.world/accountability-report-2024/" </w:instrText>
      </w:r>
      <w:r>
        <w:fldChar w:fldCharType="separate"/>
      </w:r>
      <w:r>
        <w:rPr>
          <w:rStyle w:val="24"/>
          <w:rFonts w:eastAsiaTheme="majorEastAsia"/>
          <w:color w:val="auto"/>
        </w:rPr>
        <w:t>https://remake.world/accountability-report-2024/</w:t>
      </w:r>
      <w:r>
        <w:rPr>
          <w:rStyle w:val="24"/>
          <w:rFonts w:eastAsiaTheme="majorEastAsia"/>
          <w:color w:val="auto"/>
        </w:rPr>
        <w:fldChar w:fldCharType="end"/>
      </w:r>
      <w:r>
        <w:t xml:space="preserve"> (Accessed: 18 August 2026).</w:t>
      </w:r>
    </w:p>
    <w:p w14:paraId="21CE17E0">
      <w:pPr>
        <w:rPr>
          <w:szCs w:val="24"/>
        </w:rPr>
      </w:pPr>
      <w:r>
        <w:rPr>
          <w:szCs w:val="24"/>
        </w:rPr>
        <w:t>Saunders, M.N.K., Lewis, P. &amp; Thornhill, A. (2023) Research Methods for Business Students (9th ed.). Pearson. </w:t>
      </w:r>
    </w:p>
    <w:p w14:paraId="7A76A1DF">
      <w:pPr>
        <w:rPr>
          <w:szCs w:val="24"/>
        </w:rPr>
      </w:pPr>
      <w:r>
        <w:rPr>
          <w:szCs w:val="24"/>
        </w:rPr>
        <w:t xml:space="preserve">Snyder, H. (2019) ‘Literature review as a research methodology: An overview and guidelines’, </w:t>
      </w:r>
      <w:r>
        <w:rPr>
          <w:i/>
          <w:iCs/>
          <w:szCs w:val="24"/>
        </w:rPr>
        <w:t>Journal of Business Research</w:t>
      </w:r>
      <w:r>
        <w:rPr>
          <w:szCs w:val="24"/>
        </w:rPr>
        <w:t>, 104, pp. 333–339. Available at: https://doi.org/10.1016/j.jbusres.2019.07.039.</w:t>
      </w:r>
    </w:p>
    <w:p w14:paraId="342CDC60">
      <w:pPr>
        <w:rPr>
          <w:lang w:val="en-US"/>
        </w:rPr>
      </w:pPr>
      <w:r>
        <w:t>Toebast-Wensink, A., Timmerman, T., Hekkert, M.P. and Broek, K.L. van den (2025) “The disconnect in sustainable fashion marketing: Retailers’ perceptions of consumer drivers and their marketing tactics,” </w:t>
      </w:r>
      <w:r>
        <w:rPr>
          <w:i/>
          <w:iCs/>
        </w:rPr>
        <w:t>Journal of Global Fashion Marketing</w:t>
      </w:r>
      <w:r>
        <w:t xml:space="preserve">, 16(4), pp. 1–16. Available at: </w:t>
      </w:r>
      <w:r>
        <w:fldChar w:fldCharType="begin"/>
      </w:r>
      <w:r>
        <w:instrText xml:space="preserve"> HYPERLINK "https://doi.org/10.1080/20932685.2025.2544585" </w:instrText>
      </w:r>
      <w:r>
        <w:fldChar w:fldCharType="separate"/>
      </w:r>
      <w:r>
        <w:rPr>
          <w:rStyle w:val="24"/>
          <w:color w:val="auto"/>
          <w:lang w:val="zh-CN" w:bidi="bn-IN"/>
        </w:rPr>
        <w:t>https://doi.org/10.1080/20932685.2025.2544585</w:t>
      </w:r>
      <w:r>
        <w:rPr>
          <w:rStyle w:val="24"/>
          <w:color w:val="auto"/>
          <w:lang w:val="zh-CN" w:bidi="bn-IN"/>
        </w:rPr>
        <w:fldChar w:fldCharType="end"/>
      </w:r>
      <w:r>
        <w:rPr>
          <w:lang w:val="en-US"/>
        </w:rPr>
        <w:t xml:space="preserve"> </w:t>
      </w:r>
    </w:p>
    <w:p w14:paraId="380F2C29">
      <w:pPr>
        <w:rPr>
          <w:szCs w:val="24"/>
        </w:rPr>
      </w:pPr>
      <w:r>
        <w:rPr>
          <w:szCs w:val="24"/>
        </w:rPr>
        <w:t xml:space="preserve">Welch, C., Paavilainen-Mäntymäki, E., Piekkari, R. and Plakoyiannaki, E. (2022) ‘Reconciling theory and context: How the case study can set a new agenda for international business research’, </w:t>
      </w:r>
      <w:r>
        <w:rPr>
          <w:i/>
          <w:iCs/>
          <w:szCs w:val="24"/>
        </w:rPr>
        <w:t>Journal of International Business Studies</w:t>
      </w:r>
      <w:r>
        <w:rPr>
          <w:szCs w:val="24"/>
        </w:rPr>
        <w:t>, 53(1), pp. 4–26. Available at: https://doi.org/10.1057/s41267-021-00484-5.</w:t>
      </w:r>
    </w:p>
    <w:p w14:paraId="391E0034">
      <w:pPr>
        <w:rPr>
          <w:szCs w:val="24"/>
        </w:rPr>
      </w:pPr>
      <w:r>
        <w:rPr>
          <w:szCs w:val="24"/>
        </w:rPr>
        <w:t xml:space="preserve">Welch, C., Piekkari, R., Plakoyiannaki, E. and Paavilainen-Mäntymäki, E. (2019) ‘Theorising from Case Studies: Towards a Pluralist Future for International Business Research’, </w:t>
      </w:r>
      <w:r>
        <w:rPr>
          <w:i/>
          <w:iCs/>
          <w:szCs w:val="24"/>
        </w:rPr>
        <w:t>Research Methods in International Business</w:t>
      </w:r>
      <w:r>
        <w:rPr>
          <w:szCs w:val="24"/>
        </w:rPr>
        <w:t>, pp. 171–220. Available at: https://doi.org/10.1007/978-3-030-22113-3_9.</w:t>
      </w:r>
    </w:p>
    <w:p w14:paraId="00D36881">
      <w:r>
        <w:t xml:space="preserve">WRAP (2024) </w:t>
      </w:r>
      <w:r>
        <w:rPr>
          <w:i/>
          <w:iCs/>
        </w:rPr>
        <w:t>Textiles Market Situation Report 2024</w:t>
      </w:r>
      <w:r>
        <w:t xml:space="preserve">. Banbury: Waste and Resources Action Programme. Available at: </w:t>
      </w:r>
      <w:r>
        <w:fldChar w:fldCharType="begin"/>
      </w:r>
      <w:r>
        <w:instrText xml:space="preserve"> HYPERLINK "https://www.wrap.ngo/resources/report/textiles-market-situation-report-2024" </w:instrText>
      </w:r>
      <w:r>
        <w:fldChar w:fldCharType="separate"/>
      </w:r>
      <w:r>
        <w:rPr>
          <w:rStyle w:val="24"/>
          <w:rFonts w:eastAsiaTheme="majorEastAsia"/>
          <w:color w:val="auto"/>
        </w:rPr>
        <w:t>https://www.wrap.ngo/resources/report/textiles-market-situation-report-2024</w:t>
      </w:r>
      <w:r>
        <w:rPr>
          <w:rStyle w:val="24"/>
          <w:rFonts w:eastAsiaTheme="majorEastAsia"/>
          <w:color w:val="auto"/>
        </w:rPr>
        <w:fldChar w:fldCharType="end"/>
      </w:r>
      <w:r>
        <w:t xml:space="preserve"> (Accessed: 18 August 2026).</w:t>
      </w:r>
    </w:p>
    <w:p w14:paraId="495CE013">
      <w:pPr>
        <w:rPr>
          <w:szCs w:val="24"/>
        </w:rPr>
      </w:pPr>
      <w:r>
        <w:rPr>
          <w:szCs w:val="24"/>
        </w:rPr>
        <w:t xml:space="preserve">Yin, R.K. (2018) </w:t>
      </w:r>
      <w:r>
        <w:rPr>
          <w:i/>
          <w:iCs/>
          <w:szCs w:val="24"/>
        </w:rPr>
        <w:t xml:space="preserve">Case study research and applications. </w:t>
      </w:r>
      <w:r>
        <w:rPr>
          <w:szCs w:val="24"/>
        </w:rPr>
        <w:t>Sixth Edition edn. Los Angeles ; London ; New Delhi ; Singapore ; Washington DC ; Melbourne: SAGE.</w:t>
      </w:r>
    </w:p>
    <w:p w14:paraId="733F0207">
      <w:pPr>
        <w:rPr>
          <w:szCs w:val="24"/>
        </w:rPr>
      </w:pPr>
      <w:r>
        <w:rPr>
          <w:szCs w:val="24"/>
        </w:rPr>
        <w:t>Primark (2020) </w:t>
      </w:r>
      <w:r>
        <w:rPr>
          <w:i/>
          <w:iCs/>
          <w:szCs w:val="24"/>
        </w:rPr>
        <w:t>Primark environmental sustainability performance report 2020</w:t>
      </w:r>
      <w:r>
        <w:rPr>
          <w:szCs w:val="24"/>
        </w:rPr>
        <w:t xml:space="preserve">. Available at: </w:t>
      </w:r>
      <w:r>
        <w:fldChar w:fldCharType="begin"/>
      </w:r>
      <w:r>
        <w:instrText xml:space="preserve"> HYPERLINK "https://primark.a.bigcontent.io/v1/static/Primark_Environmental-Sustainability-Performance-Report_2020" </w:instrText>
      </w:r>
      <w:r>
        <w:fldChar w:fldCharType="separate"/>
      </w:r>
      <w:r>
        <w:rPr>
          <w:rStyle w:val="24"/>
          <w:color w:val="auto"/>
          <w:szCs w:val="24"/>
          <w:lang w:val="zh-CN"/>
        </w:rPr>
        <w:t>https://primark.a.bigcontent.io/v1/static/Primark_Environmental-Sustainability-Performance-Report_2020</w:t>
      </w:r>
      <w:r>
        <w:rPr>
          <w:rStyle w:val="24"/>
          <w:color w:val="auto"/>
          <w:szCs w:val="24"/>
          <w:lang w:val="zh-CN"/>
        </w:rPr>
        <w:fldChar w:fldCharType="end"/>
      </w:r>
      <w:r>
        <w:rPr>
          <w:szCs w:val="24"/>
          <w:lang w:val="en-US"/>
        </w:rPr>
        <w:t xml:space="preserve"> </w:t>
      </w:r>
      <w:r>
        <w:rPr>
          <w:szCs w:val="24"/>
        </w:rPr>
        <w:t>(Accessed: 22 August 2026).</w:t>
      </w:r>
    </w:p>
    <w:p w14:paraId="533DC073">
      <w:pPr>
        <w:rPr>
          <w:szCs w:val="24"/>
        </w:rPr>
      </w:pPr>
      <w:r>
        <w:rPr>
          <w:szCs w:val="24"/>
        </w:rPr>
        <w:t>Primark (2024) </w:t>
      </w:r>
      <w:r>
        <w:rPr>
          <w:i/>
          <w:iCs/>
          <w:szCs w:val="24"/>
        </w:rPr>
        <w:t>Primark Sustainability and Ethics Progress Report</w:t>
      </w:r>
      <w:r>
        <w:rPr>
          <w:szCs w:val="24"/>
        </w:rPr>
        <w:t>, </w:t>
      </w:r>
      <w:r>
        <w:rPr>
          <w:i/>
          <w:iCs/>
          <w:szCs w:val="24"/>
        </w:rPr>
        <w:t>Primark Corporate</w:t>
      </w:r>
      <w:r>
        <w:rPr>
          <w:szCs w:val="24"/>
        </w:rPr>
        <w:t xml:space="preserve">. Available at: </w:t>
      </w:r>
      <w:r>
        <w:fldChar w:fldCharType="begin"/>
      </w:r>
      <w:r>
        <w:instrText xml:space="preserve"> HYPERLINK "https://sr.primark.com/" \l "section1" </w:instrText>
      </w:r>
      <w:r>
        <w:fldChar w:fldCharType="separate"/>
      </w:r>
      <w:r>
        <w:rPr>
          <w:rStyle w:val="24"/>
          <w:color w:val="auto"/>
          <w:szCs w:val="24"/>
          <w:lang w:val="zh-CN"/>
        </w:rPr>
        <w:t>https://sr.primark.com/#section1</w:t>
      </w:r>
      <w:r>
        <w:rPr>
          <w:rStyle w:val="24"/>
          <w:color w:val="auto"/>
          <w:szCs w:val="24"/>
          <w:lang w:val="zh-CN"/>
        </w:rPr>
        <w:fldChar w:fldCharType="end"/>
      </w:r>
      <w:r>
        <w:rPr>
          <w:szCs w:val="24"/>
          <w:lang w:val="en-US"/>
        </w:rPr>
        <w:t xml:space="preserve"> </w:t>
      </w:r>
      <w:r>
        <w:rPr>
          <w:szCs w:val="24"/>
        </w:rPr>
        <w:t>(Accessed: 24 August 2026).</w:t>
      </w:r>
    </w:p>
    <w:p w14:paraId="030CEA00">
      <w:pPr>
        <w:rPr>
          <w:szCs w:val="24"/>
        </w:rPr>
      </w:pPr>
      <w:r>
        <w:rPr>
          <w:szCs w:val="24"/>
        </w:rPr>
        <w:t>Primark (2025) </w:t>
      </w:r>
      <w:r>
        <w:rPr>
          <w:i/>
          <w:iCs/>
          <w:szCs w:val="24"/>
        </w:rPr>
        <w:t>Gender pay gap report 2025</w:t>
      </w:r>
      <w:r>
        <w:rPr>
          <w:szCs w:val="24"/>
        </w:rPr>
        <w:t xml:space="preserve">. Available at: </w:t>
      </w:r>
      <w:r>
        <w:fldChar w:fldCharType="begin"/>
      </w:r>
      <w:r>
        <w:instrText xml:space="preserve"> HYPERLINK "https://primark.a.bigcontent.io/v1/static/UK-Gender-Pay-Report-2025" </w:instrText>
      </w:r>
      <w:r>
        <w:fldChar w:fldCharType="separate"/>
      </w:r>
      <w:r>
        <w:rPr>
          <w:rStyle w:val="24"/>
          <w:color w:val="auto"/>
          <w:szCs w:val="24"/>
          <w:lang w:val="zh-CN"/>
        </w:rPr>
        <w:t>https://primark.a.bigcontent.io/v1/static/UK-Gender-Pay-Report-2025</w:t>
      </w:r>
      <w:r>
        <w:rPr>
          <w:rStyle w:val="24"/>
          <w:color w:val="auto"/>
          <w:szCs w:val="24"/>
          <w:lang w:val="zh-CN"/>
        </w:rPr>
        <w:fldChar w:fldCharType="end"/>
      </w:r>
      <w:r>
        <w:rPr>
          <w:szCs w:val="24"/>
          <w:lang w:val="en-US"/>
        </w:rPr>
        <w:t xml:space="preserve"> </w:t>
      </w:r>
      <w:r>
        <w:rPr>
          <w:szCs w:val="24"/>
        </w:rPr>
        <w:t>(Accessed: 2 September 2026).</w:t>
      </w:r>
    </w:p>
    <w:p w14:paraId="61B94631">
      <w:pPr>
        <w:rPr>
          <w:szCs w:val="24"/>
          <w:lang w:val="zh-CN"/>
        </w:rPr>
      </w:pPr>
    </w:p>
    <w:p w14:paraId="5F100465"/>
    <w:p w14:paraId="04857302">
      <w:pPr>
        <w:rPr>
          <w:color w:val="FF0000"/>
        </w:rPr>
      </w:pPr>
    </w:p>
    <w:p w14:paraId="4F50D1FD">
      <w:pPr>
        <w:spacing w:before="0" w:after="160" w:line="259" w:lineRule="auto"/>
        <w:jc w:val="left"/>
        <w:rPr>
          <w:lang w:val="en-US"/>
        </w:rPr>
      </w:pPr>
      <w:r>
        <w:rPr>
          <w:lang w:val="en-US"/>
        </w:rPr>
        <w:br w:type="page"/>
      </w:r>
    </w:p>
    <w:p w14:paraId="4E96A507">
      <w:pPr>
        <w:sectPr>
          <w:headerReference r:id="rId5" w:type="default"/>
          <w:footerReference r:id="rId6" w:type="default"/>
          <w:pgSz w:w="11906" w:h="16838"/>
          <w:pgMar w:top="1134" w:right="1134" w:bottom="1134" w:left="1276" w:header="454" w:footer="454" w:gutter="0"/>
          <w:cols w:space="720" w:num="1"/>
          <w:docGrid w:linePitch="360" w:charSpace="0"/>
        </w:sectPr>
      </w:pPr>
    </w:p>
    <w:p w14:paraId="317CCE16">
      <w:pPr>
        <w:pStyle w:val="2"/>
      </w:pPr>
      <w:bookmarkStart w:id="85" w:name="_Toc240757393"/>
      <w:r>
        <w:t>Appendix A: Case selection, retrieval and screening</w:t>
      </w:r>
      <w:bookmarkEnd w:id="85"/>
    </w:p>
    <w:p w14:paraId="1BFAEAD4">
      <w:pPr>
        <w:pStyle w:val="3"/>
      </w:pPr>
      <w:bookmarkStart w:id="86" w:name="_Toc240757394"/>
      <w:r>
        <w:t>A1. Case-selection matrix</w:t>
      </w:r>
      <w:bookmarkEnd w:id="86"/>
    </w:p>
    <w:p w14:paraId="040F806A">
      <w:pPr>
        <w:pStyle w:val="214"/>
      </w:pPr>
      <w:r>
        <w:t>Criteria: UK = relevance to the UK case setting; COM = sustainability communication represented; TRACE = traceable documentary evidence; VAR = contribution to business-model variation; EXT = external scrutiny represented. Y = met for the stated role; P = partial within the retained corpus. These judgements are purposive, not numerical eligibility scores.</w:t>
      </w:r>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1300"/>
        <w:gridCol w:w="650"/>
        <w:gridCol w:w="720"/>
        <w:gridCol w:w="980"/>
        <w:gridCol w:w="690"/>
        <w:gridCol w:w="690"/>
        <w:gridCol w:w="3996"/>
      </w:tblGrid>
      <w:tr w14:paraId="679A07B1">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1300" w:type="dxa"/>
            <w:shd w:val="clear" w:color="auto" w:fill="F2F4F7"/>
            <w:vAlign w:val="center"/>
          </w:tcPr>
          <w:p w14:paraId="61BE1B3A">
            <w:pPr>
              <w:pStyle w:val="213"/>
            </w:pPr>
            <w:r>
              <w:t>Candidate</w:t>
            </w:r>
          </w:p>
        </w:tc>
        <w:tc>
          <w:tcPr>
            <w:tcW w:w="650" w:type="dxa"/>
            <w:shd w:val="clear" w:color="auto" w:fill="F2F4F7"/>
            <w:vAlign w:val="center"/>
          </w:tcPr>
          <w:p w14:paraId="55276D2A">
            <w:pPr>
              <w:pStyle w:val="213"/>
            </w:pPr>
            <w:r>
              <w:t>UK</w:t>
            </w:r>
          </w:p>
        </w:tc>
        <w:tc>
          <w:tcPr>
            <w:tcW w:w="720" w:type="dxa"/>
            <w:shd w:val="clear" w:color="auto" w:fill="F2F4F7"/>
            <w:vAlign w:val="center"/>
          </w:tcPr>
          <w:p w14:paraId="6493D014">
            <w:pPr>
              <w:pStyle w:val="213"/>
            </w:pPr>
            <w:r>
              <w:t>COM</w:t>
            </w:r>
          </w:p>
        </w:tc>
        <w:tc>
          <w:tcPr>
            <w:tcW w:w="980" w:type="dxa"/>
            <w:shd w:val="clear" w:color="auto" w:fill="F2F4F7"/>
            <w:vAlign w:val="center"/>
          </w:tcPr>
          <w:p w14:paraId="15A277B8">
            <w:pPr>
              <w:pStyle w:val="213"/>
            </w:pPr>
            <w:r>
              <w:t>TRACE</w:t>
            </w:r>
          </w:p>
        </w:tc>
        <w:tc>
          <w:tcPr>
            <w:tcW w:w="690" w:type="dxa"/>
            <w:shd w:val="clear" w:color="auto" w:fill="F2F4F7"/>
            <w:vAlign w:val="center"/>
          </w:tcPr>
          <w:p w14:paraId="14D78944">
            <w:pPr>
              <w:pStyle w:val="213"/>
            </w:pPr>
            <w:r>
              <w:t>VAR</w:t>
            </w:r>
          </w:p>
        </w:tc>
        <w:tc>
          <w:tcPr>
            <w:tcW w:w="690" w:type="dxa"/>
            <w:shd w:val="clear" w:color="auto" w:fill="F2F4F7"/>
            <w:vAlign w:val="center"/>
          </w:tcPr>
          <w:p w14:paraId="2BB9AAC1">
            <w:pPr>
              <w:pStyle w:val="213"/>
            </w:pPr>
            <w:r>
              <w:t>EXT</w:t>
            </w:r>
          </w:p>
        </w:tc>
        <w:tc>
          <w:tcPr>
            <w:tcW w:w="3996" w:type="dxa"/>
            <w:shd w:val="clear" w:color="auto" w:fill="F2F4F7"/>
            <w:vAlign w:val="center"/>
          </w:tcPr>
          <w:p w14:paraId="0CD878AC">
            <w:pPr>
              <w:pStyle w:val="213"/>
            </w:pPr>
            <w:r>
              <w:t>Decision / source basis</w:t>
            </w:r>
          </w:p>
        </w:tc>
      </w:tr>
      <w:tr w14:paraId="022D0FBA">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300" w:type="dxa"/>
            <w:vAlign w:val="center"/>
          </w:tcPr>
          <w:p w14:paraId="1B260DC2">
            <w:pPr>
              <w:pStyle w:val="212"/>
            </w:pPr>
            <w:r>
              <w:t>ASOS</w:t>
            </w:r>
          </w:p>
        </w:tc>
        <w:tc>
          <w:tcPr>
            <w:tcW w:w="650" w:type="dxa"/>
            <w:vAlign w:val="center"/>
          </w:tcPr>
          <w:p w14:paraId="1DEA9A01">
            <w:pPr>
              <w:pStyle w:val="212"/>
            </w:pPr>
            <w:r>
              <w:t>Y</w:t>
            </w:r>
          </w:p>
        </w:tc>
        <w:tc>
          <w:tcPr>
            <w:tcW w:w="720" w:type="dxa"/>
            <w:vAlign w:val="center"/>
          </w:tcPr>
          <w:p w14:paraId="4C22D9A0">
            <w:pPr>
              <w:pStyle w:val="212"/>
            </w:pPr>
            <w:r>
              <w:t>Y</w:t>
            </w:r>
          </w:p>
        </w:tc>
        <w:tc>
          <w:tcPr>
            <w:tcW w:w="980" w:type="dxa"/>
            <w:vAlign w:val="center"/>
          </w:tcPr>
          <w:p w14:paraId="7003B0FB">
            <w:pPr>
              <w:pStyle w:val="212"/>
            </w:pPr>
            <w:r>
              <w:t>Y</w:t>
            </w:r>
          </w:p>
        </w:tc>
        <w:tc>
          <w:tcPr>
            <w:tcW w:w="690" w:type="dxa"/>
            <w:vAlign w:val="center"/>
          </w:tcPr>
          <w:p w14:paraId="58A96F90">
            <w:pPr>
              <w:pStyle w:val="212"/>
            </w:pPr>
            <w:r>
              <w:t>Y</w:t>
            </w:r>
          </w:p>
        </w:tc>
        <w:tc>
          <w:tcPr>
            <w:tcW w:w="690" w:type="dxa"/>
            <w:vAlign w:val="center"/>
          </w:tcPr>
          <w:p w14:paraId="7729D42E">
            <w:pPr>
              <w:pStyle w:val="212"/>
            </w:pPr>
            <w:r>
              <w:t>Y</w:t>
            </w:r>
          </w:p>
        </w:tc>
        <w:tc>
          <w:tcPr>
            <w:tcW w:w="3996" w:type="dxa"/>
            <w:vAlign w:val="center"/>
          </w:tcPr>
          <w:p w14:paraId="1ABDE5FE">
            <w:pPr>
              <w:pStyle w:val="212"/>
            </w:pPr>
            <w:r>
              <w:t>Retain: digital case; D01, D02, D07, D11.</w:t>
            </w:r>
          </w:p>
        </w:tc>
      </w:tr>
      <w:tr w14:paraId="26D814A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300" w:type="dxa"/>
            <w:vAlign w:val="center"/>
          </w:tcPr>
          <w:p w14:paraId="15C10CDE">
            <w:pPr>
              <w:pStyle w:val="212"/>
            </w:pPr>
            <w:r>
              <w:t>Boohoo</w:t>
            </w:r>
          </w:p>
        </w:tc>
        <w:tc>
          <w:tcPr>
            <w:tcW w:w="650" w:type="dxa"/>
            <w:vAlign w:val="center"/>
          </w:tcPr>
          <w:p w14:paraId="2A176044">
            <w:pPr>
              <w:pStyle w:val="212"/>
            </w:pPr>
            <w:r>
              <w:t>Y</w:t>
            </w:r>
          </w:p>
        </w:tc>
        <w:tc>
          <w:tcPr>
            <w:tcW w:w="720" w:type="dxa"/>
            <w:vAlign w:val="center"/>
          </w:tcPr>
          <w:p w14:paraId="5DD4E359">
            <w:pPr>
              <w:pStyle w:val="212"/>
            </w:pPr>
            <w:r>
              <w:t>Y</w:t>
            </w:r>
          </w:p>
        </w:tc>
        <w:tc>
          <w:tcPr>
            <w:tcW w:w="980" w:type="dxa"/>
            <w:vAlign w:val="center"/>
          </w:tcPr>
          <w:p w14:paraId="4B22B495">
            <w:pPr>
              <w:pStyle w:val="212"/>
            </w:pPr>
            <w:r>
              <w:t>Y</w:t>
            </w:r>
          </w:p>
        </w:tc>
        <w:tc>
          <w:tcPr>
            <w:tcW w:w="690" w:type="dxa"/>
            <w:vAlign w:val="center"/>
          </w:tcPr>
          <w:p w14:paraId="0D769D83">
            <w:pPr>
              <w:pStyle w:val="212"/>
            </w:pPr>
            <w:r>
              <w:t>Y</w:t>
            </w:r>
          </w:p>
        </w:tc>
        <w:tc>
          <w:tcPr>
            <w:tcW w:w="690" w:type="dxa"/>
            <w:vAlign w:val="center"/>
          </w:tcPr>
          <w:p w14:paraId="1A8554DA">
            <w:pPr>
              <w:pStyle w:val="212"/>
            </w:pPr>
            <w:r>
              <w:t>Y</w:t>
            </w:r>
          </w:p>
        </w:tc>
        <w:tc>
          <w:tcPr>
            <w:tcW w:w="3996" w:type="dxa"/>
            <w:vAlign w:val="center"/>
          </w:tcPr>
          <w:p w14:paraId="0814F3C2">
            <w:pPr>
              <w:pStyle w:val="212"/>
            </w:pPr>
            <w:r>
              <w:t>Retain: digital contrast and internal performance tension; D03, D07, D11, D12.</w:t>
            </w:r>
          </w:p>
        </w:tc>
      </w:tr>
      <w:tr w14:paraId="010D3F0F">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300" w:type="dxa"/>
            <w:vAlign w:val="center"/>
          </w:tcPr>
          <w:p w14:paraId="4A9DD0FE">
            <w:pPr>
              <w:pStyle w:val="212"/>
            </w:pPr>
            <w:r>
              <w:t>Primark</w:t>
            </w:r>
          </w:p>
        </w:tc>
        <w:tc>
          <w:tcPr>
            <w:tcW w:w="650" w:type="dxa"/>
            <w:vAlign w:val="center"/>
          </w:tcPr>
          <w:p w14:paraId="23677731">
            <w:pPr>
              <w:pStyle w:val="212"/>
            </w:pPr>
            <w:r>
              <w:t>Y</w:t>
            </w:r>
          </w:p>
        </w:tc>
        <w:tc>
          <w:tcPr>
            <w:tcW w:w="720" w:type="dxa"/>
            <w:vAlign w:val="center"/>
          </w:tcPr>
          <w:p w14:paraId="53546140">
            <w:pPr>
              <w:pStyle w:val="212"/>
            </w:pPr>
            <w:r>
              <w:t>P</w:t>
            </w:r>
          </w:p>
        </w:tc>
        <w:tc>
          <w:tcPr>
            <w:tcW w:w="980" w:type="dxa"/>
            <w:vAlign w:val="center"/>
          </w:tcPr>
          <w:p w14:paraId="6723B4E8">
            <w:pPr>
              <w:pStyle w:val="212"/>
            </w:pPr>
            <w:r>
              <w:t>P</w:t>
            </w:r>
          </w:p>
        </w:tc>
        <w:tc>
          <w:tcPr>
            <w:tcW w:w="690" w:type="dxa"/>
            <w:vAlign w:val="center"/>
          </w:tcPr>
          <w:p w14:paraId="5FE00E42">
            <w:pPr>
              <w:pStyle w:val="212"/>
            </w:pPr>
            <w:r>
              <w:t>Y</w:t>
            </w:r>
          </w:p>
        </w:tc>
        <w:tc>
          <w:tcPr>
            <w:tcW w:w="690" w:type="dxa"/>
            <w:vAlign w:val="center"/>
          </w:tcPr>
          <w:p w14:paraId="318FDBFC">
            <w:pPr>
              <w:pStyle w:val="212"/>
            </w:pPr>
            <w:r>
              <w:t>Y</w:t>
            </w:r>
          </w:p>
        </w:tc>
        <w:tc>
          <w:tcPr>
            <w:tcW w:w="3996" w:type="dxa"/>
            <w:vAlign w:val="center"/>
          </w:tcPr>
          <w:p w14:paraId="76F71C80">
            <w:pPr>
              <w:pStyle w:val="212"/>
            </w:pPr>
            <w:r>
              <w:t>Retain with limited confidence: store-led value contrast; D12 external account only.</w:t>
            </w:r>
          </w:p>
        </w:tc>
      </w:tr>
      <w:tr w14:paraId="2029B3D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300" w:type="dxa"/>
            <w:vAlign w:val="center"/>
          </w:tcPr>
          <w:p w14:paraId="7438CCC8">
            <w:pPr>
              <w:pStyle w:val="212"/>
            </w:pPr>
            <w:r>
              <w:t>H&amp;M</w:t>
            </w:r>
          </w:p>
        </w:tc>
        <w:tc>
          <w:tcPr>
            <w:tcW w:w="650" w:type="dxa"/>
            <w:vAlign w:val="center"/>
          </w:tcPr>
          <w:p w14:paraId="4215068C">
            <w:pPr>
              <w:pStyle w:val="212"/>
            </w:pPr>
            <w:r>
              <w:t>Y</w:t>
            </w:r>
          </w:p>
        </w:tc>
        <w:tc>
          <w:tcPr>
            <w:tcW w:w="720" w:type="dxa"/>
            <w:vAlign w:val="center"/>
          </w:tcPr>
          <w:p w14:paraId="3BA911D6">
            <w:pPr>
              <w:pStyle w:val="212"/>
            </w:pPr>
            <w:r>
              <w:t>Y</w:t>
            </w:r>
          </w:p>
        </w:tc>
        <w:tc>
          <w:tcPr>
            <w:tcW w:w="980" w:type="dxa"/>
            <w:vAlign w:val="center"/>
          </w:tcPr>
          <w:p w14:paraId="601E0493">
            <w:pPr>
              <w:pStyle w:val="212"/>
            </w:pPr>
            <w:r>
              <w:t>Y</w:t>
            </w:r>
          </w:p>
        </w:tc>
        <w:tc>
          <w:tcPr>
            <w:tcW w:w="690" w:type="dxa"/>
            <w:vAlign w:val="center"/>
          </w:tcPr>
          <w:p w14:paraId="7AA26054">
            <w:pPr>
              <w:pStyle w:val="212"/>
            </w:pPr>
            <w:r>
              <w:t>Y</w:t>
            </w:r>
          </w:p>
        </w:tc>
        <w:tc>
          <w:tcPr>
            <w:tcW w:w="690" w:type="dxa"/>
            <w:vAlign w:val="center"/>
          </w:tcPr>
          <w:p w14:paraId="42566A0E">
            <w:pPr>
              <w:pStyle w:val="212"/>
            </w:pPr>
            <w:r>
              <w:t>Y</w:t>
            </w:r>
          </w:p>
        </w:tc>
        <w:tc>
          <w:tcPr>
            <w:tcW w:w="3996" w:type="dxa"/>
            <w:vAlign w:val="center"/>
          </w:tcPr>
          <w:p w14:paraId="082F7860">
            <w:pPr>
              <w:pStyle w:val="212"/>
            </w:pPr>
            <w:r>
              <w:t>Retain: international group reporting and claim challenge; D04, D09, D11, D12.</w:t>
            </w:r>
          </w:p>
        </w:tc>
      </w:tr>
      <w:tr w14:paraId="376B4C2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300" w:type="dxa"/>
            <w:vAlign w:val="center"/>
          </w:tcPr>
          <w:p w14:paraId="7AE45AEC">
            <w:pPr>
              <w:pStyle w:val="212"/>
            </w:pPr>
            <w:r>
              <w:t>Zara</w:t>
            </w:r>
          </w:p>
        </w:tc>
        <w:tc>
          <w:tcPr>
            <w:tcW w:w="650" w:type="dxa"/>
            <w:vAlign w:val="center"/>
          </w:tcPr>
          <w:p w14:paraId="2581158F">
            <w:pPr>
              <w:pStyle w:val="212"/>
            </w:pPr>
            <w:r>
              <w:t>Y</w:t>
            </w:r>
          </w:p>
        </w:tc>
        <w:tc>
          <w:tcPr>
            <w:tcW w:w="720" w:type="dxa"/>
            <w:vAlign w:val="center"/>
          </w:tcPr>
          <w:p w14:paraId="6424D228">
            <w:pPr>
              <w:pStyle w:val="212"/>
            </w:pPr>
            <w:r>
              <w:t>Y</w:t>
            </w:r>
          </w:p>
        </w:tc>
        <w:tc>
          <w:tcPr>
            <w:tcW w:w="980" w:type="dxa"/>
            <w:vAlign w:val="center"/>
          </w:tcPr>
          <w:p w14:paraId="739F461C">
            <w:pPr>
              <w:pStyle w:val="212"/>
            </w:pPr>
            <w:r>
              <w:t>Y</w:t>
            </w:r>
          </w:p>
        </w:tc>
        <w:tc>
          <w:tcPr>
            <w:tcW w:w="690" w:type="dxa"/>
            <w:vAlign w:val="center"/>
          </w:tcPr>
          <w:p w14:paraId="40518A7F">
            <w:pPr>
              <w:pStyle w:val="212"/>
            </w:pPr>
            <w:r>
              <w:t>Y</w:t>
            </w:r>
          </w:p>
        </w:tc>
        <w:tc>
          <w:tcPr>
            <w:tcW w:w="690" w:type="dxa"/>
            <w:vAlign w:val="center"/>
          </w:tcPr>
          <w:p w14:paraId="133AFA63">
            <w:pPr>
              <w:pStyle w:val="212"/>
            </w:pPr>
            <w:r>
              <w:t>Y</w:t>
            </w:r>
          </w:p>
        </w:tc>
        <w:tc>
          <w:tcPr>
            <w:tcW w:w="3996" w:type="dxa"/>
            <w:vAlign w:val="center"/>
          </w:tcPr>
          <w:p w14:paraId="58A4700B">
            <w:pPr>
              <w:pStyle w:val="212"/>
            </w:pPr>
            <w:r>
              <w:t>Retain: Inditex group attribution contrast; D05, D11, D12.</w:t>
            </w:r>
          </w:p>
        </w:tc>
      </w:tr>
      <w:tr w14:paraId="40AE09CB">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300" w:type="dxa"/>
            <w:vAlign w:val="center"/>
          </w:tcPr>
          <w:p w14:paraId="2A558588">
            <w:pPr>
              <w:pStyle w:val="212"/>
            </w:pPr>
            <w:r>
              <w:t>George at Asda</w:t>
            </w:r>
          </w:p>
        </w:tc>
        <w:tc>
          <w:tcPr>
            <w:tcW w:w="650" w:type="dxa"/>
            <w:vAlign w:val="center"/>
          </w:tcPr>
          <w:p w14:paraId="2DF07492">
            <w:pPr>
              <w:pStyle w:val="212"/>
            </w:pPr>
            <w:r>
              <w:t>Y</w:t>
            </w:r>
          </w:p>
        </w:tc>
        <w:tc>
          <w:tcPr>
            <w:tcW w:w="720" w:type="dxa"/>
            <w:vAlign w:val="center"/>
          </w:tcPr>
          <w:p w14:paraId="7CB4C76C">
            <w:pPr>
              <w:pStyle w:val="212"/>
            </w:pPr>
            <w:r>
              <w:t>Y</w:t>
            </w:r>
          </w:p>
        </w:tc>
        <w:tc>
          <w:tcPr>
            <w:tcW w:w="980" w:type="dxa"/>
            <w:vAlign w:val="center"/>
          </w:tcPr>
          <w:p w14:paraId="3E5377E4">
            <w:pPr>
              <w:pStyle w:val="212"/>
            </w:pPr>
            <w:r>
              <w:t>Y</w:t>
            </w:r>
          </w:p>
        </w:tc>
        <w:tc>
          <w:tcPr>
            <w:tcW w:w="690" w:type="dxa"/>
            <w:vAlign w:val="center"/>
          </w:tcPr>
          <w:p w14:paraId="232B30D5">
            <w:pPr>
              <w:pStyle w:val="212"/>
            </w:pPr>
            <w:r>
              <w:t>P</w:t>
            </w:r>
          </w:p>
        </w:tc>
        <w:tc>
          <w:tcPr>
            <w:tcW w:w="690" w:type="dxa"/>
            <w:vAlign w:val="center"/>
          </w:tcPr>
          <w:p w14:paraId="4AFD2E66">
            <w:pPr>
              <w:pStyle w:val="212"/>
            </w:pPr>
            <w:r>
              <w:t>Y</w:t>
            </w:r>
          </w:p>
        </w:tc>
        <w:tc>
          <w:tcPr>
            <w:tcW w:w="3996" w:type="dxa"/>
            <w:vAlign w:val="center"/>
          </w:tcPr>
          <w:p w14:paraId="6DE9E2C8">
            <w:pPr>
              <w:pStyle w:val="212"/>
            </w:pPr>
            <w:r>
              <w:t>Do not add: same CMA event; grocery-parent comparison would extend the established scope. D07, D11.</w:t>
            </w:r>
          </w:p>
        </w:tc>
      </w:tr>
      <w:tr w14:paraId="2A01A34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300" w:type="dxa"/>
            <w:vAlign w:val="center"/>
          </w:tcPr>
          <w:p w14:paraId="6FBA833D">
            <w:pPr>
              <w:pStyle w:val="212"/>
            </w:pPr>
            <w:r>
              <w:t>Uniqlo</w:t>
            </w:r>
          </w:p>
        </w:tc>
        <w:tc>
          <w:tcPr>
            <w:tcW w:w="650" w:type="dxa"/>
            <w:vAlign w:val="center"/>
          </w:tcPr>
          <w:p w14:paraId="6149BAD6">
            <w:pPr>
              <w:pStyle w:val="212"/>
            </w:pPr>
            <w:r>
              <w:t>Y</w:t>
            </w:r>
          </w:p>
        </w:tc>
        <w:tc>
          <w:tcPr>
            <w:tcW w:w="720" w:type="dxa"/>
            <w:vAlign w:val="center"/>
          </w:tcPr>
          <w:p w14:paraId="6491915C">
            <w:pPr>
              <w:pStyle w:val="212"/>
            </w:pPr>
            <w:r>
              <w:t>P</w:t>
            </w:r>
          </w:p>
        </w:tc>
        <w:tc>
          <w:tcPr>
            <w:tcW w:w="980" w:type="dxa"/>
            <w:vAlign w:val="center"/>
          </w:tcPr>
          <w:p w14:paraId="3F826CA9">
            <w:pPr>
              <w:pStyle w:val="212"/>
            </w:pPr>
            <w:r>
              <w:t>Y</w:t>
            </w:r>
          </w:p>
        </w:tc>
        <w:tc>
          <w:tcPr>
            <w:tcW w:w="690" w:type="dxa"/>
            <w:vAlign w:val="center"/>
          </w:tcPr>
          <w:p w14:paraId="098F5B00">
            <w:pPr>
              <w:pStyle w:val="212"/>
            </w:pPr>
            <w:r>
              <w:t>P</w:t>
            </w:r>
          </w:p>
        </w:tc>
        <w:tc>
          <w:tcPr>
            <w:tcW w:w="690" w:type="dxa"/>
            <w:vAlign w:val="center"/>
          </w:tcPr>
          <w:p w14:paraId="5BA2CD0A">
            <w:pPr>
              <w:pStyle w:val="212"/>
            </w:pPr>
            <w:r>
              <w:t>Y</w:t>
            </w:r>
          </w:p>
        </w:tc>
        <w:tc>
          <w:tcPr>
            <w:tcW w:w="3996" w:type="dxa"/>
            <w:vAlign w:val="center"/>
          </w:tcPr>
          <w:p w14:paraId="0FA0E1C3">
            <w:pPr>
              <w:pStyle w:val="212"/>
            </w:pPr>
            <w:r>
              <w:t>Do not add: another international-chain comparison; less additional contrast for the bounded five-case design. D11, D12.</w:t>
            </w:r>
          </w:p>
        </w:tc>
      </w:tr>
    </w:tbl>
    <w:p w14:paraId="1BE08493">
      <w:pPr>
        <w:pStyle w:val="214"/>
      </w:pPr>
      <w:r>
        <w:t>The five cases were not the only possible choices. Documentary availability materially influenced selection. Primark’s weaker traceability fails a strict symmetry requirement; retaining it is defensible only with the limited role reported in Chapters 3 and 4. Alternative candidates are not rejected because they are less sustainable.</w:t>
      </w:r>
    </w:p>
    <w:p w14:paraId="0F4AC955">
      <w:pPr>
        <w:pStyle w:val="3"/>
      </w:pPr>
      <w:bookmarkStart w:id="87" w:name="_Toc240757395"/>
      <w:r>
        <w:t>A2. Retrieval routes used in the verification run</w:t>
      </w:r>
      <w:bookmarkEnd w:id="87"/>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1400"/>
        <w:gridCol w:w="4200"/>
        <w:gridCol w:w="3426"/>
      </w:tblGrid>
      <w:tr w14:paraId="311294A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1400" w:type="dxa"/>
            <w:shd w:val="clear" w:color="auto" w:fill="F2F4F7"/>
            <w:vAlign w:val="center"/>
          </w:tcPr>
          <w:p w14:paraId="431A71C2">
            <w:pPr>
              <w:pStyle w:val="213"/>
            </w:pPr>
            <w:r>
              <w:t>Route</w:t>
            </w:r>
          </w:p>
        </w:tc>
        <w:tc>
          <w:tcPr>
            <w:tcW w:w="4200" w:type="dxa"/>
            <w:shd w:val="clear" w:color="auto" w:fill="F2F4F7"/>
            <w:vAlign w:val="center"/>
          </w:tcPr>
          <w:p w14:paraId="688AFBF0">
            <w:pPr>
              <w:pStyle w:val="213"/>
            </w:pPr>
            <w:r>
              <w:t>Search or navigation used</w:t>
            </w:r>
          </w:p>
        </w:tc>
        <w:tc>
          <w:tcPr>
            <w:tcW w:w="3426" w:type="dxa"/>
            <w:shd w:val="clear" w:color="auto" w:fill="F2F4F7"/>
            <w:vAlign w:val="center"/>
          </w:tcPr>
          <w:p w14:paraId="36F00592">
            <w:pPr>
              <w:pStyle w:val="213"/>
            </w:pPr>
            <w:r>
              <w:t>Recorded outcome</w:t>
            </w:r>
          </w:p>
        </w:tc>
      </w:tr>
      <w:tr w14:paraId="32E2769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400" w:type="dxa"/>
            <w:vAlign w:val="center"/>
          </w:tcPr>
          <w:p w14:paraId="30DD5948">
            <w:pPr>
              <w:pStyle w:val="212"/>
            </w:pPr>
            <w:r>
              <w:t>Corporate</w:t>
            </w:r>
          </w:p>
        </w:tc>
        <w:tc>
          <w:tcPr>
            <w:tcW w:w="4200" w:type="dxa"/>
            <w:vAlign w:val="center"/>
          </w:tcPr>
          <w:p w14:paraId="36B6E2BE">
            <w:pPr>
              <w:pStyle w:val="212"/>
            </w:pPr>
            <w:r>
              <w:t>“ASOS annual report 2025”; Fashion with Integrity; H&amp;M 2024 report; Inditex 2024 download centre and annual-report sections.</w:t>
            </w:r>
          </w:p>
        </w:tc>
        <w:tc>
          <w:tcPr>
            <w:tcW w:w="3426" w:type="dxa"/>
            <w:vAlign w:val="center"/>
          </w:tcPr>
          <w:p w14:paraId="212566B8">
            <w:pPr>
              <w:pStyle w:val="212"/>
            </w:pPr>
            <w:r>
              <w:t>D01, D02, D04, D05.</w:t>
            </w:r>
          </w:p>
        </w:tc>
      </w:tr>
      <w:tr w14:paraId="73689B4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400" w:type="dxa"/>
            <w:vAlign w:val="center"/>
          </w:tcPr>
          <w:p w14:paraId="34EB445C">
            <w:pPr>
              <w:pStyle w:val="212"/>
            </w:pPr>
            <w:r>
              <w:t>Boohoo</w:t>
            </w:r>
          </w:p>
        </w:tc>
        <w:tc>
          <w:tcPr>
            <w:tcW w:w="4200" w:type="dxa"/>
            <w:vAlign w:val="center"/>
          </w:tcPr>
          <w:p w14:paraId="40AA534A">
            <w:pPr>
              <w:pStyle w:val="212"/>
            </w:pPr>
            <w:r>
              <w:t>Boohoo/Debenhams company policies; exact 2023 and 2024 sustainability-report titles; parliamentary material-mix submission.</w:t>
            </w:r>
          </w:p>
        </w:tc>
        <w:tc>
          <w:tcPr>
            <w:tcW w:w="3426" w:type="dxa"/>
            <w:vAlign w:val="center"/>
          </w:tcPr>
          <w:p w14:paraId="614A1DDD">
            <w:pPr>
              <w:pStyle w:val="212"/>
            </w:pPr>
            <w:r>
              <w:t>D03 retrieved. X01–X02 withheld; labels did not yield securely identified report text.</w:t>
            </w:r>
          </w:p>
        </w:tc>
      </w:tr>
      <w:tr w14:paraId="10259F7F">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400" w:type="dxa"/>
            <w:vAlign w:val="center"/>
          </w:tcPr>
          <w:p w14:paraId="0F19AD2A">
            <w:pPr>
              <w:pStyle w:val="212"/>
            </w:pPr>
            <w:r>
              <w:t>Regulatory</w:t>
            </w:r>
          </w:p>
        </w:tc>
        <w:tc>
          <w:tcPr>
            <w:tcW w:w="4200" w:type="dxa"/>
            <w:vAlign w:val="center"/>
          </w:tcPr>
          <w:p w14:paraId="6714EAEA">
            <w:pPr>
              <w:pStyle w:val="212"/>
            </w:pPr>
            <w:r>
              <w:t>“Green claims CMA secures landmark changes”; Green Claims Code; fashion-sector guidance; H&amp;M ACM decision; Act 2024.</w:t>
            </w:r>
          </w:p>
        </w:tc>
        <w:tc>
          <w:tcPr>
            <w:tcW w:w="3426" w:type="dxa"/>
            <w:vAlign w:val="center"/>
          </w:tcPr>
          <w:p w14:paraId="2884F7DD">
            <w:pPr>
              <w:pStyle w:val="212"/>
            </w:pPr>
            <w:r>
              <w:t>D06–D10.</w:t>
            </w:r>
          </w:p>
        </w:tc>
      </w:tr>
      <w:tr w14:paraId="25910126">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400" w:type="dxa"/>
            <w:vAlign w:val="center"/>
          </w:tcPr>
          <w:p w14:paraId="0E64862F">
            <w:pPr>
              <w:pStyle w:val="212"/>
            </w:pPr>
            <w:r>
              <w:t>NGO</w:t>
            </w:r>
          </w:p>
        </w:tc>
        <w:tc>
          <w:tcPr>
            <w:tcW w:w="4200" w:type="dxa"/>
            <w:vAlign w:val="center"/>
          </w:tcPr>
          <w:p w14:paraId="417C71A5">
            <w:pPr>
              <w:pStyle w:val="212"/>
            </w:pPr>
            <w:r>
              <w:t>Exact titles for Synthetics Anonymous 2021 and 2.0; What Fuels Fashion 2024; Remake Accountability 2024.</w:t>
            </w:r>
          </w:p>
        </w:tc>
        <w:tc>
          <w:tcPr>
            <w:tcW w:w="3426" w:type="dxa"/>
            <w:vAlign w:val="center"/>
          </w:tcPr>
          <w:p w14:paraId="5E20A619">
            <w:pPr>
              <w:pStyle w:val="212"/>
            </w:pPr>
            <w:r>
              <w:t>D11–D14 publisher texts; no unsupported complete-report access claim.</w:t>
            </w:r>
          </w:p>
        </w:tc>
      </w:tr>
      <w:tr w14:paraId="1BF03C8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400" w:type="dxa"/>
            <w:vAlign w:val="center"/>
          </w:tcPr>
          <w:p w14:paraId="46E5D024">
            <w:pPr>
              <w:pStyle w:val="212"/>
            </w:pPr>
            <w:r>
              <w:t>Industry</w:t>
            </w:r>
          </w:p>
        </w:tc>
        <w:tc>
          <w:tcPr>
            <w:tcW w:w="4200" w:type="dxa"/>
            <w:vAlign w:val="center"/>
          </w:tcPr>
          <w:p w14:paraId="796EDDE6">
            <w:pPr>
              <w:pStyle w:val="212"/>
            </w:pPr>
            <w:r>
              <w:t>Exact McKinsey sustainable-style article; WRAP Textiles Market Situation Report 2024.</w:t>
            </w:r>
          </w:p>
        </w:tc>
        <w:tc>
          <w:tcPr>
            <w:tcW w:w="3426" w:type="dxa"/>
            <w:vAlign w:val="center"/>
          </w:tcPr>
          <w:p w14:paraId="2D43C52E">
            <w:pPr>
              <w:pStyle w:val="212"/>
            </w:pPr>
            <w:r>
              <w:t>D15 retrieved. WRAP identification only; X03 withheld from substantive coding.</w:t>
            </w:r>
          </w:p>
        </w:tc>
      </w:tr>
    </w:tbl>
    <w:p w14:paraId="6A4E86BE">
      <w:pPr>
        <w:pStyle w:val="214"/>
      </w:pPr>
      <w:r>
        <w:t>All routes were checked on 5 September 2026. Earlier July–August access dates in the original bibliography are bibliographic metadata; historical page captures were not supplied and are not claimed here. Newer report editions encountered during navigation were not added to the closed reference-based evidence boundary.</w:t>
      </w:r>
    </w:p>
    <w:p w14:paraId="61940B5A">
      <w:pPr>
        <w:pStyle w:val="3"/>
      </w:pPr>
      <w:bookmarkStart w:id="88" w:name="_Toc240757396"/>
      <w:r>
        <w:t>A3. Selection rules and reconciliation</w:t>
      </w:r>
      <w:bookmarkEnd w:id="88"/>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1500"/>
        <w:gridCol w:w="3650"/>
        <w:gridCol w:w="3876"/>
      </w:tblGrid>
      <w:tr w14:paraId="3897B5C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1500" w:type="dxa"/>
            <w:shd w:val="clear" w:color="auto" w:fill="F2F4F7"/>
            <w:vAlign w:val="center"/>
          </w:tcPr>
          <w:p w14:paraId="07845DDB">
            <w:pPr>
              <w:pStyle w:val="213"/>
            </w:pPr>
            <w:r>
              <w:t>Test</w:t>
            </w:r>
          </w:p>
        </w:tc>
        <w:tc>
          <w:tcPr>
            <w:tcW w:w="3650" w:type="dxa"/>
            <w:shd w:val="clear" w:color="auto" w:fill="F2F4F7"/>
            <w:vAlign w:val="center"/>
          </w:tcPr>
          <w:p w14:paraId="7C114C15">
            <w:pPr>
              <w:pStyle w:val="213"/>
            </w:pPr>
            <w:r>
              <w:t>Inclusion rule</w:t>
            </w:r>
          </w:p>
        </w:tc>
        <w:tc>
          <w:tcPr>
            <w:tcW w:w="3876" w:type="dxa"/>
            <w:shd w:val="clear" w:color="auto" w:fill="F2F4F7"/>
            <w:vAlign w:val="center"/>
          </w:tcPr>
          <w:p w14:paraId="3EA0C44E">
            <w:pPr>
              <w:pStyle w:val="213"/>
            </w:pPr>
            <w:r>
              <w:t>Exclusion or qualification</w:t>
            </w:r>
          </w:p>
        </w:tc>
      </w:tr>
      <w:tr w14:paraId="0F7C731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500" w:type="dxa"/>
            <w:vAlign w:val="center"/>
          </w:tcPr>
          <w:p w14:paraId="2F25A481">
            <w:pPr>
              <w:pStyle w:val="212"/>
            </w:pPr>
            <w:r>
              <w:t>Period</w:t>
            </w:r>
          </w:p>
        </w:tc>
        <w:tc>
          <w:tcPr>
            <w:tcW w:w="3650" w:type="dxa"/>
            <w:vAlign w:val="center"/>
          </w:tcPr>
          <w:p w14:paraId="5224C373">
            <w:pPr>
              <w:pStyle w:val="212"/>
            </w:pPr>
            <w:r>
              <w:t>Publication or accessible web material within 2020–2026.</w:t>
            </w:r>
          </w:p>
        </w:tc>
        <w:tc>
          <w:tcPr>
            <w:tcW w:w="3876" w:type="dxa"/>
            <w:vAlign w:val="center"/>
          </w:tcPr>
          <w:p w14:paraId="676B03C4">
            <w:pPr>
              <w:pStyle w:val="212"/>
            </w:pPr>
            <w:r>
              <w:t>Reporting year kept distinct from publication and retrieval.</w:t>
            </w:r>
          </w:p>
        </w:tc>
      </w:tr>
      <w:tr w14:paraId="75EFCD5E">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500" w:type="dxa"/>
            <w:vAlign w:val="center"/>
          </w:tcPr>
          <w:p w14:paraId="3458CB25">
            <w:pPr>
              <w:pStyle w:val="212"/>
            </w:pPr>
            <w:r>
              <w:t>Language and provenance</w:t>
            </w:r>
          </w:p>
        </w:tc>
        <w:tc>
          <w:tcPr>
            <w:tcW w:w="3650" w:type="dxa"/>
            <w:vAlign w:val="center"/>
          </w:tcPr>
          <w:p w14:paraId="4D761957">
            <w:pPr>
              <w:pStyle w:val="212"/>
            </w:pPr>
            <w:r>
              <w:t>English text attributable to the original author or publisher.</w:t>
            </w:r>
          </w:p>
        </w:tc>
        <w:tc>
          <w:tcPr>
            <w:tcW w:w="3876" w:type="dxa"/>
            <w:vAlign w:val="center"/>
          </w:tcPr>
          <w:p w14:paraId="46B702B6">
            <w:pPr>
              <w:pStyle w:val="212"/>
            </w:pPr>
            <w:r>
              <w:t>Unverifiable reposts and unsupported opinion not coded.</w:t>
            </w:r>
          </w:p>
        </w:tc>
      </w:tr>
      <w:tr w14:paraId="41697CBA">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500" w:type="dxa"/>
            <w:vAlign w:val="center"/>
          </w:tcPr>
          <w:p w14:paraId="0BA67368">
            <w:pPr>
              <w:pStyle w:val="212"/>
            </w:pPr>
            <w:r>
              <w:t>Relevance</w:t>
            </w:r>
          </w:p>
        </w:tc>
        <w:tc>
          <w:tcPr>
            <w:tcW w:w="3650" w:type="dxa"/>
            <w:vAlign w:val="center"/>
          </w:tcPr>
          <w:p w14:paraId="0BA6119C">
            <w:pPr>
              <w:pStyle w:val="212"/>
            </w:pPr>
            <w:r>
              <w:t>Environmental communication, substantiation, implementation, scrutiny or stated context.</w:t>
            </w:r>
          </w:p>
        </w:tc>
        <w:tc>
          <w:tcPr>
            <w:tcW w:w="3876" w:type="dxa"/>
            <w:vAlign w:val="center"/>
          </w:tcPr>
          <w:p w14:paraId="7CFE4351">
            <w:pPr>
              <w:pStyle w:val="212"/>
            </w:pPr>
            <w:r>
              <w:t>Unrelated financial or social material excluded from extracts.</w:t>
            </w:r>
          </w:p>
        </w:tc>
      </w:tr>
      <w:tr w14:paraId="714C11A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500" w:type="dxa"/>
            <w:vAlign w:val="center"/>
          </w:tcPr>
          <w:p w14:paraId="06E2C09E">
            <w:pPr>
              <w:pStyle w:val="212"/>
            </w:pPr>
            <w:r>
              <w:t>Unit</w:t>
            </w:r>
          </w:p>
        </w:tc>
        <w:tc>
          <w:tcPr>
            <w:tcW w:w="3650" w:type="dxa"/>
            <w:vAlign w:val="center"/>
          </w:tcPr>
          <w:p w14:paraId="44042718">
            <w:pPr>
              <w:pStyle w:val="212"/>
            </w:pPr>
            <w:r>
              <w:t>One identified report, strategy page, decision, article or report-summary unit.</w:t>
            </w:r>
          </w:p>
        </w:tc>
        <w:tc>
          <w:tcPr>
            <w:tcW w:w="3876" w:type="dxa"/>
            <w:vAlign w:val="center"/>
          </w:tcPr>
          <w:p w14:paraId="6E5C984F">
            <w:pPr>
              <w:pStyle w:val="212"/>
            </w:pPr>
            <w:r>
              <w:t>Landing page and linked manifestation not double-counted.</w:t>
            </w:r>
          </w:p>
        </w:tc>
      </w:tr>
      <w:tr w14:paraId="1550F4D6">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500" w:type="dxa"/>
            <w:vAlign w:val="center"/>
          </w:tcPr>
          <w:p w14:paraId="0E4EE0CF">
            <w:pPr>
              <w:pStyle w:val="212"/>
            </w:pPr>
            <w:r>
              <w:t>Access</w:t>
            </w:r>
          </w:p>
        </w:tc>
        <w:tc>
          <w:tcPr>
            <w:tcW w:w="3650" w:type="dxa"/>
            <w:vAlign w:val="center"/>
          </w:tcPr>
          <w:p w14:paraId="03131947">
            <w:pPr>
              <w:pStyle w:val="212"/>
            </w:pPr>
            <w:r>
              <w:t>Substantive inspected text adequate for the specific claim made.</w:t>
            </w:r>
          </w:p>
        </w:tc>
        <w:tc>
          <w:tcPr>
            <w:tcW w:w="3876" w:type="dxa"/>
            <w:vAlign w:val="center"/>
          </w:tcPr>
          <w:p w14:paraId="0EBD757D">
            <w:pPr>
              <w:pStyle w:val="212"/>
            </w:pPr>
            <w:r>
              <w:t>Publisher summary supports only its visible content; unavailable text cannot support findings.</w:t>
            </w:r>
          </w:p>
        </w:tc>
      </w:tr>
    </w:tbl>
    <w:p w14:paraId="5DCD779A">
      <w:pPr>
        <w:pStyle w:val="214"/>
      </w:pPr>
      <w:r>
        <w:t>Historical search-engine hits, original duplicate-result totals and original screening exclusions: not recorded in the supplied research materials. No numerical values are inferred for those stages. The following flow reconciles identifiable source records only.</w:t>
      </w:r>
    </w:p>
    <w:p w14:paraId="2E724230">
      <w:pPr>
        <w:pStyle w:val="17"/>
      </w:pPr>
      <w:r>
        <w:t>Figure A1. Auditable source-register reconciliation</w:t>
      </w:r>
    </w:p>
    <w:p w14:paraId="7061ECD9">
      <w:r>
        <w:drawing>
          <wp:inline distT="0" distB="0" distL="0" distR="0">
            <wp:extent cx="5715000" cy="26123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5715000" cy="2612571"/>
                    </a:xfrm>
                    <a:prstGeom prst="rect">
                      <a:avLst/>
                    </a:prstGeom>
                  </pic:spPr>
                </pic:pic>
              </a:graphicData>
            </a:graphic>
          </wp:inline>
        </w:drawing>
      </w:r>
    </w:p>
    <w:p w14:paraId="77C8309F">
      <w:pPr>
        <w:pStyle w:val="214"/>
      </w:pPr>
      <w:r>
        <w:t>The 47 records are distinct by title and author/year. Shared URLs for different Boohoo report titles are not evidence that both reports are identical. Twenty-nine scholarly works remain literature/method resources; eighteen documentary candidates yield fifteen usable units and three withheld items. The “up to 100” target and contradictory 35-document breakdowns are superseded.</w:t>
      </w:r>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2600"/>
        <w:gridCol w:w="3350"/>
        <w:gridCol w:w="3076"/>
      </w:tblGrid>
      <w:tr w14:paraId="3D4A322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2600" w:type="dxa"/>
            <w:shd w:val="clear" w:color="auto" w:fill="F2F4F7"/>
            <w:vAlign w:val="center"/>
          </w:tcPr>
          <w:p w14:paraId="55FE4443">
            <w:pPr>
              <w:pStyle w:val="213"/>
            </w:pPr>
            <w:r>
              <w:t>Withheld item</w:t>
            </w:r>
          </w:p>
        </w:tc>
        <w:tc>
          <w:tcPr>
            <w:tcW w:w="3350" w:type="dxa"/>
            <w:shd w:val="clear" w:color="auto" w:fill="F2F4F7"/>
            <w:vAlign w:val="center"/>
          </w:tcPr>
          <w:p w14:paraId="168DABF6">
            <w:pPr>
              <w:pStyle w:val="213"/>
            </w:pPr>
            <w:r>
              <w:t>Reason</w:t>
            </w:r>
          </w:p>
        </w:tc>
        <w:tc>
          <w:tcPr>
            <w:tcW w:w="3076" w:type="dxa"/>
            <w:shd w:val="clear" w:color="auto" w:fill="F2F4F7"/>
            <w:vAlign w:val="center"/>
          </w:tcPr>
          <w:p w14:paraId="540ACC3D">
            <w:pPr>
              <w:pStyle w:val="213"/>
            </w:pPr>
            <w:r>
              <w:t>Effect on findings</w:t>
            </w:r>
          </w:p>
        </w:tc>
      </w:tr>
      <w:tr w14:paraId="10986D8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600" w:type="dxa"/>
            <w:vAlign w:val="center"/>
          </w:tcPr>
          <w:p w14:paraId="6271DA07">
            <w:pPr>
              <w:pStyle w:val="212"/>
            </w:pPr>
            <w:r>
              <w:t>X01: Boohoo Group plc (2023), Sustainability Report 2023</w:t>
            </w:r>
          </w:p>
        </w:tc>
        <w:tc>
          <w:tcPr>
            <w:tcW w:w="3350" w:type="dxa"/>
            <w:vAlign w:val="center"/>
          </w:tcPr>
          <w:p w14:paraId="44C627AB">
            <w:pPr>
              <w:pStyle w:val="212"/>
            </w:pPr>
            <w:r>
              <w:t>The cited policies route and exact-title search did not provide securely retrievable substantive text.</w:t>
            </w:r>
          </w:p>
        </w:tc>
        <w:tc>
          <w:tcPr>
            <w:tcW w:w="3076" w:type="dxa"/>
            <w:vAlign w:val="center"/>
          </w:tcPr>
          <w:p w14:paraId="00EC9EE5">
            <w:pPr>
              <w:pStyle w:val="212"/>
            </w:pPr>
            <w:r>
              <w:t>No findings attributed to this report. D03 supports the retained material-share comparison.</w:t>
            </w:r>
          </w:p>
        </w:tc>
      </w:tr>
      <w:tr w14:paraId="4DA8177A">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600" w:type="dxa"/>
            <w:vAlign w:val="center"/>
          </w:tcPr>
          <w:p w14:paraId="42AE2EE1">
            <w:pPr>
              <w:pStyle w:val="212"/>
            </w:pPr>
            <w:r>
              <w:t>X02: Boohoo Group plc (2024a), Sustainability Report 2024</w:t>
            </w:r>
          </w:p>
        </w:tc>
        <w:tc>
          <w:tcPr>
            <w:tcW w:w="3350" w:type="dxa"/>
            <w:vAlign w:val="center"/>
          </w:tcPr>
          <w:p w14:paraId="2F494F7C">
            <w:pPr>
              <w:pStyle w:val="212"/>
            </w:pPr>
            <w:r>
              <w:t>The visible sustainability-report navigation resolved to an annual financial report; identity could not be assumed.</w:t>
            </w:r>
          </w:p>
        </w:tc>
        <w:tc>
          <w:tcPr>
            <w:tcW w:w="3076" w:type="dxa"/>
            <w:vAlign w:val="center"/>
          </w:tcPr>
          <w:p w14:paraId="2A7B0CD5">
            <w:pPr>
              <w:pStyle w:val="212"/>
            </w:pPr>
            <w:r>
              <w:t>No separate report counted and no substitution treated as the requested source.</w:t>
            </w:r>
          </w:p>
        </w:tc>
      </w:tr>
      <w:tr w14:paraId="51479772">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600" w:type="dxa"/>
            <w:vAlign w:val="center"/>
          </w:tcPr>
          <w:p w14:paraId="449983D4">
            <w:pPr>
              <w:pStyle w:val="212"/>
            </w:pPr>
            <w:r>
              <w:t>X03: WRAP (2024), Textiles Market Situation Report 2024</w:t>
            </w:r>
          </w:p>
        </w:tc>
        <w:tc>
          <w:tcPr>
            <w:tcW w:w="3350" w:type="dxa"/>
            <w:vAlign w:val="center"/>
          </w:tcPr>
          <w:p w14:paraId="5063340E">
            <w:pPr>
              <w:pStyle w:val="212"/>
            </w:pPr>
            <w:r>
              <w:t>Report identity and publisher search summary located; sufficient report text was not retrieved.</w:t>
            </w:r>
          </w:p>
        </w:tc>
        <w:tc>
          <w:tcPr>
            <w:tcW w:w="3076" w:type="dxa"/>
            <w:vAlign w:val="center"/>
          </w:tcPr>
          <w:p w14:paraId="08D0E757">
            <w:pPr>
              <w:pStyle w:val="212"/>
            </w:pPr>
            <w:r>
              <w:t>No WRAP waste/consumption figures used in the rewritten findings.</w:t>
            </w:r>
          </w:p>
        </w:tc>
      </w:tr>
    </w:tbl>
    <w:p w14:paraId="4289DC03">
      <w:r>
        <w:br w:type="page"/>
      </w:r>
    </w:p>
    <w:p w14:paraId="3DCA32A3">
      <w:pPr>
        <w:pStyle w:val="2"/>
      </w:pPr>
      <w:bookmarkStart w:id="89" w:name="_Toc240757397"/>
      <w:r>
        <w:t>Appendix B: Individual document log and reference reconciliation</w:t>
      </w:r>
      <w:bookmarkEnd w:id="89"/>
    </w:p>
    <w:p w14:paraId="11055F00">
      <w:pPr>
        <w:pStyle w:val="214"/>
      </w:pPr>
      <w:r>
        <w:t>D01–D15 are the included units. Access status is part of the evidence definition. “PDF page” below means the page’s position in the PDF file, starting at one, not the printed folio. All links were checked on 5 September 2026. Complete source texts remain the property of their publishers; the extract register reproduces only brief quotations and attributed paraphrases.</w:t>
      </w:r>
    </w:p>
    <w:p w14:paraId="161A36EE">
      <w:pPr>
        <w:pStyle w:val="214"/>
      </w:pPr>
    </w:p>
    <w:p w14:paraId="06B9F738">
      <w:pPr>
        <w:spacing w:before="100" w:beforeAutospacing="1" w:after="100" w:afterAutospacing="1"/>
        <w:outlineLvl w:val="2"/>
        <w:rPr>
          <w:b/>
          <w:bCs/>
          <w:color w:val="000000"/>
          <w:sz w:val="27"/>
          <w:szCs w:val="27"/>
        </w:rPr>
      </w:pPr>
      <w:bookmarkStart w:id="90" w:name="_Toc240757398"/>
      <w:r>
        <w:rPr>
          <w:b/>
          <w:bCs/>
          <w:color w:val="000000"/>
          <w:sz w:val="27"/>
          <w:szCs w:val="27"/>
        </w:rPr>
        <w:t>Appendix B: Individual Document Log and Reference Reconciliation</w:t>
      </w:r>
      <w:bookmarkEnd w:id="90"/>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132"/>
        <w:gridCol w:w="824"/>
        <w:gridCol w:w="1832"/>
        <w:gridCol w:w="1210"/>
        <w:gridCol w:w="1389"/>
        <w:gridCol w:w="2293"/>
      </w:tblGrid>
      <w:tr w14:paraId="43C9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E2EDFA"/>
          </w:tcPr>
          <w:p w14:paraId="274DE002">
            <w:pPr>
              <w:jc w:val="center"/>
              <w:rPr>
                <w:b/>
                <w:bCs/>
                <w:color w:val="000000"/>
                <w:sz w:val="18"/>
                <w:szCs w:val="18"/>
              </w:rPr>
            </w:pPr>
            <w:r>
              <w:rPr>
                <w:b/>
                <w:bCs/>
                <w:color w:val="000000"/>
                <w:sz w:val="18"/>
                <w:szCs w:val="18"/>
              </w:rPr>
              <w:t>ID</w:t>
            </w:r>
          </w:p>
        </w:tc>
        <w:tc>
          <w:tcPr>
            <w:tcW w:w="1132" w:type="dxa"/>
            <w:shd w:val="clear" w:color="auto" w:fill="E2EDFA"/>
          </w:tcPr>
          <w:p w14:paraId="71977D32">
            <w:pPr>
              <w:jc w:val="center"/>
              <w:rPr>
                <w:b/>
                <w:bCs/>
                <w:color w:val="000000"/>
                <w:sz w:val="18"/>
                <w:szCs w:val="18"/>
              </w:rPr>
            </w:pPr>
            <w:r>
              <w:rPr>
                <w:b/>
                <w:bCs/>
                <w:color w:val="000000"/>
                <w:sz w:val="18"/>
                <w:szCs w:val="18"/>
              </w:rPr>
              <w:t>Source</w:t>
            </w:r>
          </w:p>
        </w:tc>
        <w:tc>
          <w:tcPr>
            <w:tcW w:w="824" w:type="dxa"/>
            <w:shd w:val="clear" w:color="auto" w:fill="E2EDFA"/>
          </w:tcPr>
          <w:p w14:paraId="5BAAEA83">
            <w:pPr>
              <w:jc w:val="right"/>
              <w:rPr>
                <w:b/>
                <w:bCs/>
                <w:color w:val="000000"/>
                <w:sz w:val="18"/>
                <w:szCs w:val="18"/>
              </w:rPr>
            </w:pPr>
            <w:r>
              <w:rPr>
                <w:b/>
                <w:bCs/>
                <w:color w:val="000000"/>
                <w:sz w:val="18"/>
                <w:szCs w:val="18"/>
              </w:rPr>
              <w:t>Year</w:t>
            </w:r>
          </w:p>
        </w:tc>
        <w:tc>
          <w:tcPr>
            <w:tcW w:w="1832" w:type="dxa"/>
            <w:shd w:val="clear" w:color="auto" w:fill="E2EDFA"/>
          </w:tcPr>
          <w:p w14:paraId="46F38D77">
            <w:pPr>
              <w:jc w:val="center"/>
              <w:rPr>
                <w:b/>
                <w:bCs/>
                <w:color w:val="000000"/>
                <w:sz w:val="18"/>
                <w:szCs w:val="18"/>
              </w:rPr>
            </w:pPr>
            <w:r>
              <w:rPr>
                <w:b/>
                <w:bCs/>
                <w:color w:val="000000"/>
                <w:sz w:val="18"/>
                <w:szCs w:val="18"/>
              </w:rPr>
              <w:t>Document type</w:t>
            </w:r>
          </w:p>
        </w:tc>
        <w:tc>
          <w:tcPr>
            <w:tcW w:w="1210" w:type="dxa"/>
            <w:shd w:val="clear" w:color="auto" w:fill="E2EDFA"/>
          </w:tcPr>
          <w:p w14:paraId="0886DAF6">
            <w:pPr>
              <w:jc w:val="center"/>
              <w:rPr>
                <w:b/>
                <w:bCs/>
                <w:color w:val="000000"/>
                <w:sz w:val="18"/>
                <w:szCs w:val="18"/>
              </w:rPr>
            </w:pPr>
            <w:r>
              <w:rPr>
                <w:b/>
                <w:bCs/>
                <w:color w:val="000000"/>
                <w:sz w:val="18"/>
                <w:szCs w:val="18"/>
              </w:rPr>
              <w:t>Coverage</w:t>
            </w:r>
          </w:p>
        </w:tc>
        <w:tc>
          <w:tcPr>
            <w:tcW w:w="1389" w:type="dxa"/>
            <w:shd w:val="clear" w:color="auto" w:fill="E2EDFA"/>
          </w:tcPr>
          <w:p w14:paraId="388AC2D8">
            <w:pPr>
              <w:jc w:val="center"/>
              <w:rPr>
                <w:b/>
                <w:bCs/>
                <w:color w:val="000000"/>
                <w:sz w:val="18"/>
                <w:szCs w:val="18"/>
              </w:rPr>
            </w:pPr>
            <w:r>
              <w:rPr>
                <w:b/>
                <w:bCs/>
                <w:color w:val="000000"/>
                <w:sz w:val="18"/>
                <w:szCs w:val="18"/>
              </w:rPr>
              <w:t xml:space="preserve">Access </w:t>
            </w:r>
          </w:p>
        </w:tc>
        <w:tc>
          <w:tcPr>
            <w:tcW w:w="2293" w:type="dxa"/>
            <w:shd w:val="clear" w:color="auto" w:fill="E2EDFA"/>
          </w:tcPr>
          <w:p w14:paraId="3E61AA24">
            <w:pPr>
              <w:jc w:val="center"/>
              <w:rPr>
                <w:b/>
                <w:bCs/>
                <w:color w:val="000000"/>
                <w:sz w:val="18"/>
                <w:szCs w:val="18"/>
              </w:rPr>
            </w:pPr>
            <w:r>
              <w:rPr>
                <w:b/>
                <w:bCs/>
                <w:color w:val="000000"/>
                <w:sz w:val="18"/>
                <w:szCs w:val="18"/>
              </w:rPr>
              <w:t>Evidential use</w:t>
            </w:r>
          </w:p>
        </w:tc>
      </w:tr>
      <w:tr w14:paraId="5CC03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1123C9D2">
            <w:pPr>
              <w:rPr>
                <w:color w:val="000000"/>
                <w:sz w:val="18"/>
                <w:szCs w:val="18"/>
              </w:rPr>
            </w:pPr>
            <w:r>
              <w:rPr>
                <w:color w:val="000000"/>
                <w:sz w:val="18"/>
                <w:szCs w:val="18"/>
              </w:rPr>
              <w:t>D01</w:t>
            </w:r>
          </w:p>
        </w:tc>
        <w:tc>
          <w:tcPr>
            <w:tcW w:w="1132" w:type="dxa"/>
          </w:tcPr>
          <w:p w14:paraId="2502490B">
            <w:pPr>
              <w:rPr>
                <w:color w:val="000000"/>
                <w:sz w:val="18"/>
                <w:szCs w:val="18"/>
              </w:rPr>
            </w:pPr>
            <w:r>
              <w:rPr>
                <w:color w:val="000000"/>
                <w:sz w:val="18"/>
                <w:szCs w:val="18"/>
              </w:rPr>
              <w:t>ASOS plc</w:t>
            </w:r>
          </w:p>
        </w:tc>
        <w:tc>
          <w:tcPr>
            <w:tcW w:w="824" w:type="dxa"/>
          </w:tcPr>
          <w:p w14:paraId="63B8F6F9">
            <w:pPr>
              <w:jc w:val="right"/>
              <w:rPr>
                <w:color w:val="000000"/>
                <w:sz w:val="18"/>
                <w:szCs w:val="18"/>
              </w:rPr>
            </w:pPr>
            <w:r>
              <w:rPr>
                <w:color w:val="000000"/>
                <w:sz w:val="18"/>
                <w:szCs w:val="18"/>
              </w:rPr>
              <w:t>2025a</w:t>
            </w:r>
          </w:p>
        </w:tc>
        <w:tc>
          <w:tcPr>
            <w:tcW w:w="1832" w:type="dxa"/>
          </w:tcPr>
          <w:p w14:paraId="49E78F57">
            <w:pPr>
              <w:rPr>
                <w:color w:val="000000"/>
                <w:sz w:val="18"/>
                <w:szCs w:val="18"/>
              </w:rPr>
            </w:pPr>
            <w:r>
              <w:rPr>
                <w:color w:val="000000"/>
                <w:sz w:val="18"/>
                <w:szCs w:val="18"/>
              </w:rPr>
              <w:t>Annual report</w:t>
            </w:r>
          </w:p>
        </w:tc>
        <w:tc>
          <w:tcPr>
            <w:tcW w:w="1210" w:type="dxa"/>
          </w:tcPr>
          <w:p w14:paraId="5372D120">
            <w:pPr>
              <w:rPr>
                <w:color w:val="000000"/>
                <w:sz w:val="18"/>
                <w:szCs w:val="18"/>
              </w:rPr>
            </w:pPr>
            <w:r>
              <w:rPr>
                <w:color w:val="000000"/>
                <w:sz w:val="18"/>
                <w:szCs w:val="18"/>
              </w:rPr>
              <w:t>ASOS</w:t>
            </w:r>
          </w:p>
        </w:tc>
        <w:tc>
          <w:tcPr>
            <w:tcW w:w="1389" w:type="dxa"/>
          </w:tcPr>
          <w:p w14:paraId="76CD8E44">
            <w:pPr>
              <w:rPr>
                <w:color w:val="000000"/>
                <w:sz w:val="18"/>
                <w:szCs w:val="18"/>
              </w:rPr>
            </w:pPr>
            <w:r>
              <w:fldChar w:fldCharType="begin"/>
            </w:r>
            <w:r>
              <w:instrText xml:space="preserve"> HYPERLINK "https://www.asosplc.com/media/buijobcn/49775_asos_ar25_text_int_031225-final.pdf"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46D7B825">
            <w:pPr>
              <w:rPr>
                <w:color w:val="000000"/>
                <w:sz w:val="18"/>
                <w:szCs w:val="18"/>
              </w:rPr>
            </w:pPr>
            <w:r>
              <w:rPr>
                <w:color w:val="000000"/>
                <w:sz w:val="18"/>
                <w:szCs w:val="18"/>
              </w:rPr>
              <w:t>Circular delivery; internal review</w:t>
            </w:r>
          </w:p>
        </w:tc>
      </w:tr>
      <w:tr w14:paraId="2D67D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56018492">
            <w:pPr>
              <w:rPr>
                <w:color w:val="000000"/>
                <w:sz w:val="18"/>
                <w:szCs w:val="18"/>
              </w:rPr>
            </w:pPr>
            <w:r>
              <w:rPr>
                <w:color w:val="000000"/>
                <w:sz w:val="18"/>
                <w:szCs w:val="18"/>
              </w:rPr>
              <w:t>D02</w:t>
            </w:r>
          </w:p>
        </w:tc>
        <w:tc>
          <w:tcPr>
            <w:tcW w:w="1132" w:type="dxa"/>
          </w:tcPr>
          <w:p w14:paraId="1347A631">
            <w:pPr>
              <w:rPr>
                <w:color w:val="000000"/>
                <w:sz w:val="18"/>
                <w:szCs w:val="18"/>
              </w:rPr>
            </w:pPr>
            <w:r>
              <w:rPr>
                <w:color w:val="000000"/>
                <w:sz w:val="18"/>
                <w:szCs w:val="18"/>
              </w:rPr>
              <w:t>ASOS plc</w:t>
            </w:r>
          </w:p>
        </w:tc>
        <w:tc>
          <w:tcPr>
            <w:tcW w:w="824" w:type="dxa"/>
          </w:tcPr>
          <w:p w14:paraId="3EBF4E6A">
            <w:pPr>
              <w:jc w:val="right"/>
              <w:rPr>
                <w:color w:val="000000"/>
                <w:sz w:val="18"/>
                <w:szCs w:val="18"/>
              </w:rPr>
            </w:pPr>
            <w:r>
              <w:rPr>
                <w:color w:val="000000"/>
                <w:sz w:val="18"/>
                <w:szCs w:val="18"/>
              </w:rPr>
              <w:t>2025b</w:t>
            </w:r>
          </w:p>
        </w:tc>
        <w:tc>
          <w:tcPr>
            <w:tcW w:w="1832" w:type="dxa"/>
          </w:tcPr>
          <w:p w14:paraId="4C2FFD37">
            <w:pPr>
              <w:rPr>
                <w:color w:val="000000"/>
                <w:sz w:val="18"/>
                <w:szCs w:val="18"/>
              </w:rPr>
            </w:pPr>
            <w:r>
              <w:rPr>
                <w:color w:val="000000"/>
                <w:sz w:val="18"/>
                <w:szCs w:val="18"/>
              </w:rPr>
              <w:t>Strategy webpage</w:t>
            </w:r>
          </w:p>
        </w:tc>
        <w:tc>
          <w:tcPr>
            <w:tcW w:w="1210" w:type="dxa"/>
          </w:tcPr>
          <w:p w14:paraId="68121679">
            <w:pPr>
              <w:rPr>
                <w:color w:val="000000"/>
                <w:sz w:val="18"/>
                <w:szCs w:val="18"/>
              </w:rPr>
            </w:pPr>
            <w:r>
              <w:rPr>
                <w:color w:val="000000"/>
                <w:sz w:val="18"/>
                <w:szCs w:val="18"/>
              </w:rPr>
              <w:t>ASOS</w:t>
            </w:r>
          </w:p>
        </w:tc>
        <w:tc>
          <w:tcPr>
            <w:tcW w:w="1389" w:type="dxa"/>
          </w:tcPr>
          <w:p w14:paraId="18F50497">
            <w:pPr>
              <w:rPr>
                <w:color w:val="000000"/>
                <w:sz w:val="18"/>
                <w:szCs w:val="18"/>
              </w:rPr>
            </w:pPr>
            <w:r>
              <w:fldChar w:fldCharType="begin"/>
            </w:r>
            <w:r>
              <w:instrText xml:space="preserve"> HYPERLINK "https://www.asosplc.com/sustainability/fashion-with-integrity/"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0ABDC629">
            <w:pPr>
              <w:rPr>
                <w:color w:val="000000"/>
                <w:sz w:val="18"/>
                <w:szCs w:val="18"/>
              </w:rPr>
            </w:pPr>
            <w:r>
              <w:rPr>
                <w:color w:val="000000"/>
                <w:sz w:val="18"/>
                <w:szCs w:val="18"/>
              </w:rPr>
              <w:t>Sustainability strategy and targets</w:t>
            </w:r>
          </w:p>
        </w:tc>
      </w:tr>
      <w:tr w14:paraId="543C7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42E99C9">
            <w:pPr>
              <w:rPr>
                <w:color w:val="000000"/>
                <w:sz w:val="18"/>
                <w:szCs w:val="18"/>
              </w:rPr>
            </w:pPr>
            <w:r>
              <w:rPr>
                <w:color w:val="000000"/>
                <w:sz w:val="18"/>
                <w:szCs w:val="18"/>
              </w:rPr>
              <w:t>D03</w:t>
            </w:r>
          </w:p>
        </w:tc>
        <w:tc>
          <w:tcPr>
            <w:tcW w:w="1132" w:type="dxa"/>
          </w:tcPr>
          <w:p w14:paraId="0ACE7762">
            <w:pPr>
              <w:rPr>
                <w:color w:val="000000"/>
                <w:sz w:val="18"/>
                <w:szCs w:val="18"/>
              </w:rPr>
            </w:pPr>
            <w:r>
              <w:rPr>
                <w:color w:val="000000"/>
                <w:sz w:val="18"/>
                <w:szCs w:val="18"/>
              </w:rPr>
              <w:t>Boohoo Group plc</w:t>
            </w:r>
          </w:p>
        </w:tc>
        <w:tc>
          <w:tcPr>
            <w:tcW w:w="824" w:type="dxa"/>
          </w:tcPr>
          <w:p w14:paraId="2DC6A965">
            <w:pPr>
              <w:jc w:val="right"/>
              <w:rPr>
                <w:color w:val="000000"/>
                <w:sz w:val="18"/>
                <w:szCs w:val="18"/>
              </w:rPr>
            </w:pPr>
            <w:r>
              <w:rPr>
                <w:color w:val="000000"/>
                <w:sz w:val="18"/>
                <w:szCs w:val="18"/>
              </w:rPr>
              <w:t>2024b</w:t>
            </w:r>
          </w:p>
        </w:tc>
        <w:tc>
          <w:tcPr>
            <w:tcW w:w="1832" w:type="dxa"/>
          </w:tcPr>
          <w:p w14:paraId="395D4369">
            <w:pPr>
              <w:rPr>
                <w:color w:val="000000"/>
                <w:sz w:val="18"/>
                <w:szCs w:val="18"/>
              </w:rPr>
            </w:pPr>
            <w:r>
              <w:rPr>
                <w:color w:val="000000"/>
                <w:sz w:val="18"/>
                <w:szCs w:val="18"/>
              </w:rPr>
              <w:t>Corporate testimony</w:t>
            </w:r>
          </w:p>
        </w:tc>
        <w:tc>
          <w:tcPr>
            <w:tcW w:w="1210" w:type="dxa"/>
          </w:tcPr>
          <w:p w14:paraId="49EFE411">
            <w:pPr>
              <w:rPr>
                <w:color w:val="000000"/>
                <w:sz w:val="18"/>
                <w:szCs w:val="18"/>
              </w:rPr>
            </w:pPr>
            <w:r>
              <w:rPr>
                <w:color w:val="000000"/>
                <w:sz w:val="18"/>
                <w:szCs w:val="18"/>
              </w:rPr>
              <w:t>Boohoo</w:t>
            </w:r>
          </w:p>
        </w:tc>
        <w:tc>
          <w:tcPr>
            <w:tcW w:w="1389" w:type="dxa"/>
          </w:tcPr>
          <w:p w14:paraId="130D409D">
            <w:pPr>
              <w:rPr>
                <w:color w:val="000000"/>
                <w:sz w:val="18"/>
                <w:szCs w:val="18"/>
              </w:rPr>
            </w:pPr>
            <w:r>
              <w:fldChar w:fldCharType="begin"/>
            </w:r>
            <w:r>
              <w:instrText xml:space="preserve"> HYPERLINK "https://committees.parliament.uk/writtenevidence/130568/html/"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7E7471BE">
            <w:pPr>
              <w:rPr>
                <w:color w:val="000000"/>
                <w:sz w:val="18"/>
                <w:szCs w:val="18"/>
              </w:rPr>
            </w:pPr>
            <w:r>
              <w:rPr>
                <w:color w:val="000000"/>
                <w:sz w:val="18"/>
                <w:szCs w:val="18"/>
              </w:rPr>
              <w:t>Material targets and reported share</w:t>
            </w:r>
          </w:p>
        </w:tc>
      </w:tr>
      <w:tr w14:paraId="3C817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E4A0F99">
            <w:pPr>
              <w:rPr>
                <w:color w:val="000000"/>
                <w:sz w:val="18"/>
                <w:szCs w:val="18"/>
              </w:rPr>
            </w:pPr>
            <w:r>
              <w:rPr>
                <w:color w:val="000000"/>
                <w:sz w:val="18"/>
                <w:szCs w:val="18"/>
              </w:rPr>
              <w:t>D04</w:t>
            </w:r>
          </w:p>
        </w:tc>
        <w:tc>
          <w:tcPr>
            <w:tcW w:w="1132" w:type="dxa"/>
          </w:tcPr>
          <w:p w14:paraId="6A45304E">
            <w:pPr>
              <w:rPr>
                <w:color w:val="000000"/>
                <w:sz w:val="18"/>
                <w:szCs w:val="18"/>
              </w:rPr>
            </w:pPr>
            <w:r>
              <w:rPr>
                <w:color w:val="000000"/>
                <w:sz w:val="18"/>
                <w:szCs w:val="18"/>
              </w:rPr>
              <w:t>H&amp;M Group</w:t>
            </w:r>
          </w:p>
        </w:tc>
        <w:tc>
          <w:tcPr>
            <w:tcW w:w="824" w:type="dxa"/>
          </w:tcPr>
          <w:p w14:paraId="7B5B045D">
            <w:pPr>
              <w:jc w:val="right"/>
              <w:rPr>
                <w:color w:val="000000"/>
                <w:sz w:val="18"/>
                <w:szCs w:val="18"/>
              </w:rPr>
            </w:pPr>
            <w:r>
              <w:rPr>
                <w:color w:val="000000"/>
                <w:sz w:val="18"/>
                <w:szCs w:val="18"/>
              </w:rPr>
              <w:t>2025</w:t>
            </w:r>
          </w:p>
        </w:tc>
        <w:tc>
          <w:tcPr>
            <w:tcW w:w="1832" w:type="dxa"/>
          </w:tcPr>
          <w:p w14:paraId="6DC3506E">
            <w:pPr>
              <w:rPr>
                <w:color w:val="000000"/>
                <w:sz w:val="18"/>
                <w:szCs w:val="18"/>
              </w:rPr>
            </w:pPr>
            <w:r>
              <w:rPr>
                <w:color w:val="000000"/>
                <w:sz w:val="18"/>
                <w:szCs w:val="18"/>
              </w:rPr>
              <w:t>Annual/sustainability report</w:t>
            </w:r>
          </w:p>
        </w:tc>
        <w:tc>
          <w:tcPr>
            <w:tcW w:w="1210" w:type="dxa"/>
          </w:tcPr>
          <w:p w14:paraId="78F17455">
            <w:pPr>
              <w:rPr>
                <w:color w:val="000000"/>
                <w:sz w:val="18"/>
                <w:szCs w:val="18"/>
              </w:rPr>
            </w:pPr>
            <w:r>
              <w:rPr>
                <w:color w:val="000000"/>
                <w:sz w:val="18"/>
                <w:szCs w:val="18"/>
              </w:rPr>
              <w:t>H&amp;M</w:t>
            </w:r>
          </w:p>
        </w:tc>
        <w:tc>
          <w:tcPr>
            <w:tcW w:w="1389" w:type="dxa"/>
          </w:tcPr>
          <w:p w14:paraId="6208E221">
            <w:pPr>
              <w:rPr>
                <w:color w:val="000000"/>
                <w:sz w:val="18"/>
                <w:szCs w:val="18"/>
              </w:rPr>
            </w:pPr>
            <w:r>
              <w:fldChar w:fldCharType="begin"/>
            </w:r>
            <w:r>
              <w:instrText xml:space="preserve"> HYPERLINK "https://hmgroup.com/wp-content/uploads/2025/03/HM-Group-Annual-and-sustainability-report-2024.pdf"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09D7F292">
            <w:pPr>
              <w:rPr>
                <w:color w:val="000000"/>
                <w:sz w:val="18"/>
                <w:szCs w:val="18"/>
              </w:rPr>
            </w:pPr>
            <w:r>
              <w:rPr>
                <w:color w:val="000000"/>
                <w:sz w:val="18"/>
                <w:szCs w:val="18"/>
              </w:rPr>
              <w:t>Materials data; assurance scope</w:t>
            </w:r>
          </w:p>
        </w:tc>
      </w:tr>
      <w:tr w14:paraId="70113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CF3D5BD">
            <w:pPr>
              <w:rPr>
                <w:color w:val="000000"/>
                <w:sz w:val="18"/>
                <w:szCs w:val="18"/>
              </w:rPr>
            </w:pPr>
            <w:r>
              <w:rPr>
                <w:color w:val="000000"/>
                <w:sz w:val="18"/>
                <w:szCs w:val="18"/>
              </w:rPr>
              <w:t>D05</w:t>
            </w:r>
          </w:p>
        </w:tc>
        <w:tc>
          <w:tcPr>
            <w:tcW w:w="1132" w:type="dxa"/>
          </w:tcPr>
          <w:p w14:paraId="415B9B36">
            <w:pPr>
              <w:rPr>
                <w:color w:val="000000"/>
                <w:sz w:val="18"/>
                <w:szCs w:val="18"/>
              </w:rPr>
            </w:pPr>
            <w:r>
              <w:rPr>
                <w:color w:val="000000"/>
                <w:sz w:val="18"/>
                <w:szCs w:val="18"/>
              </w:rPr>
              <w:t>Inditex</w:t>
            </w:r>
          </w:p>
        </w:tc>
        <w:tc>
          <w:tcPr>
            <w:tcW w:w="824" w:type="dxa"/>
          </w:tcPr>
          <w:p w14:paraId="725E4181">
            <w:pPr>
              <w:jc w:val="right"/>
              <w:rPr>
                <w:color w:val="000000"/>
                <w:sz w:val="18"/>
                <w:szCs w:val="18"/>
              </w:rPr>
            </w:pPr>
            <w:r>
              <w:rPr>
                <w:color w:val="000000"/>
                <w:sz w:val="18"/>
                <w:szCs w:val="18"/>
              </w:rPr>
              <w:t>2025</w:t>
            </w:r>
          </w:p>
        </w:tc>
        <w:tc>
          <w:tcPr>
            <w:tcW w:w="1832" w:type="dxa"/>
          </w:tcPr>
          <w:p w14:paraId="2503D85E">
            <w:pPr>
              <w:rPr>
                <w:color w:val="000000"/>
                <w:sz w:val="18"/>
                <w:szCs w:val="18"/>
              </w:rPr>
            </w:pPr>
            <w:r>
              <w:rPr>
                <w:color w:val="000000"/>
                <w:sz w:val="18"/>
                <w:szCs w:val="18"/>
              </w:rPr>
              <w:t>Annual/sustainability report</w:t>
            </w:r>
          </w:p>
        </w:tc>
        <w:tc>
          <w:tcPr>
            <w:tcW w:w="1210" w:type="dxa"/>
          </w:tcPr>
          <w:p w14:paraId="1F905435">
            <w:pPr>
              <w:rPr>
                <w:color w:val="000000"/>
                <w:sz w:val="18"/>
                <w:szCs w:val="18"/>
              </w:rPr>
            </w:pPr>
            <w:r>
              <w:rPr>
                <w:color w:val="000000"/>
                <w:sz w:val="18"/>
                <w:szCs w:val="18"/>
              </w:rPr>
              <w:t>Zara/Inditex</w:t>
            </w:r>
          </w:p>
        </w:tc>
        <w:tc>
          <w:tcPr>
            <w:tcW w:w="1389" w:type="dxa"/>
          </w:tcPr>
          <w:p w14:paraId="7EFB48B8">
            <w:pPr>
              <w:rPr>
                <w:color w:val="000000"/>
                <w:sz w:val="18"/>
                <w:szCs w:val="18"/>
              </w:rPr>
            </w:pPr>
            <w:r>
              <w:fldChar w:fldCharType="begin"/>
            </w:r>
            <w:r>
              <w:instrText xml:space="preserve"> HYPERLINK "https://static.inditex.com/annualreport2024/en/our-drivers"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0921C863">
            <w:pPr>
              <w:rPr>
                <w:color w:val="000000"/>
                <w:sz w:val="18"/>
                <w:szCs w:val="18"/>
              </w:rPr>
            </w:pPr>
            <w:r>
              <w:rPr>
                <w:color w:val="000000"/>
                <w:sz w:val="18"/>
                <w:szCs w:val="18"/>
              </w:rPr>
              <w:t>Emissions boundaries; supplier requirements</w:t>
            </w:r>
          </w:p>
        </w:tc>
      </w:tr>
      <w:tr w14:paraId="305AD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5F54C5B4">
            <w:pPr>
              <w:rPr>
                <w:color w:val="000000"/>
                <w:sz w:val="18"/>
                <w:szCs w:val="18"/>
              </w:rPr>
            </w:pPr>
            <w:r>
              <w:rPr>
                <w:color w:val="000000"/>
                <w:sz w:val="18"/>
                <w:szCs w:val="18"/>
              </w:rPr>
              <w:t>D06</w:t>
            </w:r>
          </w:p>
        </w:tc>
        <w:tc>
          <w:tcPr>
            <w:tcW w:w="1132" w:type="dxa"/>
          </w:tcPr>
          <w:p w14:paraId="523170D1">
            <w:pPr>
              <w:rPr>
                <w:color w:val="000000"/>
                <w:sz w:val="18"/>
                <w:szCs w:val="18"/>
              </w:rPr>
            </w:pPr>
            <w:r>
              <w:rPr>
                <w:color w:val="000000"/>
                <w:sz w:val="18"/>
                <w:szCs w:val="18"/>
              </w:rPr>
              <w:t>CMA</w:t>
            </w:r>
          </w:p>
        </w:tc>
        <w:tc>
          <w:tcPr>
            <w:tcW w:w="824" w:type="dxa"/>
          </w:tcPr>
          <w:p w14:paraId="4DC1E761">
            <w:pPr>
              <w:jc w:val="right"/>
              <w:rPr>
                <w:color w:val="000000"/>
                <w:sz w:val="18"/>
                <w:szCs w:val="18"/>
              </w:rPr>
            </w:pPr>
            <w:r>
              <w:rPr>
                <w:color w:val="000000"/>
                <w:sz w:val="18"/>
                <w:szCs w:val="18"/>
              </w:rPr>
              <w:t>2021</w:t>
            </w:r>
          </w:p>
        </w:tc>
        <w:tc>
          <w:tcPr>
            <w:tcW w:w="1832" w:type="dxa"/>
          </w:tcPr>
          <w:p w14:paraId="22D64BD5">
            <w:pPr>
              <w:rPr>
                <w:color w:val="000000"/>
                <w:sz w:val="18"/>
                <w:szCs w:val="18"/>
              </w:rPr>
            </w:pPr>
            <w:r>
              <w:rPr>
                <w:color w:val="000000"/>
                <w:sz w:val="18"/>
                <w:szCs w:val="18"/>
              </w:rPr>
              <w:t>Regulatory guidance</w:t>
            </w:r>
          </w:p>
        </w:tc>
        <w:tc>
          <w:tcPr>
            <w:tcW w:w="1210" w:type="dxa"/>
          </w:tcPr>
          <w:p w14:paraId="1227EAD2">
            <w:pPr>
              <w:rPr>
                <w:color w:val="000000"/>
                <w:sz w:val="18"/>
                <w:szCs w:val="18"/>
              </w:rPr>
            </w:pPr>
            <w:r>
              <w:rPr>
                <w:color w:val="000000"/>
                <w:sz w:val="18"/>
                <w:szCs w:val="18"/>
              </w:rPr>
              <w:t>Shared</w:t>
            </w:r>
          </w:p>
        </w:tc>
        <w:tc>
          <w:tcPr>
            <w:tcW w:w="1389" w:type="dxa"/>
          </w:tcPr>
          <w:p w14:paraId="206835DC">
            <w:pPr>
              <w:rPr>
                <w:color w:val="000000"/>
                <w:sz w:val="18"/>
                <w:szCs w:val="18"/>
              </w:rPr>
            </w:pPr>
            <w:r>
              <w:fldChar w:fldCharType="begin"/>
            </w:r>
            <w:r>
              <w:instrText xml:space="preserve"> HYPERLINK "https://www.gov.uk/government/publications/green-claims-code-making-environmental-claims/environmental-claims-on-goods-and-services"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58E6FBE8">
            <w:pPr>
              <w:rPr>
                <w:color w:val="000000"/>
                <w:sz w:val="18"/>
                <w:szCs w:val="18"/>
              </w:rPr>
            </w:pPr>
            <w:r>
              <w:rPr>
                <w:color w:val="000000"/>
                <w:sz w:val="18"/>
                <w:szCs w:val="18"/>
              </w:rPr>
              <w:t>Green-claims benchmark</w:t>
            </w:r>
          </w:p>
        </w:tc>
      </w:tr>
      <w:tr w14:paraId="5CD8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8B51654">
            <w:pPr>
              <w:rPr>
                <w:color w:val="000000"/>
                <w:sz w:val="18"/>
                <w:szCs w:val="18"/>
              </w:rPr>
            </w:pPr>
            <w:r>
              <w:rPr>
                <w:color w:val="000000"/>
                <w:sz w:val="18"/>
                <w:szCs w:val="18"/>
              </w:rPr>
              <w:t>D07</w:t>
            </w:r>
          </w:p>
        </w:tc>
        <w:tc>
          <w:tcPr>
            <w:tcW w:w="1132" w:type="dxa"/>
          </w:tcPr>
          <w:p w14:paraId="46266391">
            <w:pPr>
              <w:rPr>
                <w:color w:val="000000"/>
                <w:sz w:val="18"/>
                <w:szCs w:val="18"/>
              </w:rPr>
            </w:pPr>
            <w:r>
              <w:rPr>
                <w:color w:val="000000"/>
                <w:sz w:val="18"/>
                <w:szCs w:val="18"/>
              </w:rPr>
              <w:t>CMA</w:t>
            </w:r>
          </w:p>
        </w:tc>
        <w:tc>
          <w:tcPr>
            <w:tcW w:w="824" w:type="dxa"/>
          </w:tcPr>
          <w:p w14:paraId="49C67D5A">
            <w:pPr>
              <w:jc w:val="right"/>
              <w:rPr>
                <w:color w:val="000000"/>
                <w:sz w:val="18"/>
                <w:szCs w:val="18"/>
              </w:rPr>
            </w:pPr>
            <w:r>
              <w:rPr>
                <w:color w:val="000000"/>
                <w:sz w:val="18"/>
                <w:szCs w:val="18"/>
              </w:rPr>
              <w:t>2024a</w:t>
            </w:r>
          </w:p>
        </w:tc>
        <w:tc>
          <w:tcPr>
            <w:tcW w:w="1832" w:type="dxa"/>
          </w:tcPr>
          <w:p w14:paraId="5EC3D111">
            <w:pPr>
              <w:rPr>
                <w:color w:val="000000"/>
                <w:sz w:val="18"/>
                <w:szCs w:val="18"/>
              </w:rPr>
            </w:pPr>
            <w:r>
              <w:rPr>
                <w:color w:val="000000"/>
                <w:sz w:val="18"/>
                <w:szCs w:val="18"/>
              </w:rPr>
              <w:t>Regulatory announcement</w:t>
            </w:r>
          </w:p>
        </w:tc>
        <w:tc>
          <w:tcPr>
            <w:tcW w:w="1210" w:type="dxa"/>
          </w:tcPr>
          <w:p w14:paraId="19385E2F">
            <w:pPr>
              <w:rPr>
                <w:color w:val="000000"/>
                <w:sz w:val="18"/>
                <w:szCs w:val="18"/>
              </w:rPr>
            </w:pPr>
            <w:r>
              <w:rPr>
                <w:color w:val="000000"/>
                <w:sz w:val="18"/>
                <w:szCs w:val="18"/>
              </w:rPr>
              <w:t>ASOS; Boohoo</w:t>
            </w:r>
          </w:p>
        </w:tc>
        <w:tc>
          <w:tcPr>
            <w:tcW w:w="1389" w:type="dxa"/>
          </w:tcPr>
          <w:p w14:paraId="2281DEDC">
            <w:pPr>
              <w:rPr>
                <w:color w:val="000000"/>
                <w:sz w:val="18"/>
                <w:szCs w:val="18"/>
              </w:rPr>
            </w:pPr>
            <w:r>
              <w:fldChar w:fldCharType="begin"/>
            </w:r>
            <w:r>
              <w:instrText xml:space="preserve"> HYPERLINK "https://www.gov.uk/government/news/green-claims-cma-secures-landmark-changes-from-asos-boohoo-and-asda"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6B4F50B9">
            <w:pPr>
              <w:rPr>
                <w:color w:val="000000"/>
                <w:sz w:val="18"/>
                <w:szCs w:val="18"/>
              </w:rPr>
            </w:pPr>
            <w:r>
              <w:rPr>
                <w:color w:val="000000"/>
                <w:sz w:val="18"/>
                <w:szCs w:val="18"/>
              </w:rPr>
              <w:t>Regulatory intervention</w:t>
            </w:r>
          </w:p>
        </w:tc>
      </w:tr>
      <w:tr w14:paraId="76652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7ED40B04">
            <w:pPr>
              <w:rPr>
                <w:color w:val="000000"/>
                <w:sz w:val="18"/>
                <w:szCs w:val="18"/>
              </w:rPr>
            </w:pPr>
            <w:r>
              <w:rPr>
                <w:color w:val="000000"/>
                <w:sz w:val="18"/>
                <w:szCs w:val="18"/>
              </w:rPr>
              <w:t>D08</w:t>
            </w:r>
          </w:p>
        </w:tc>
        <w:tc>
          <w:tcPr>
            <w:tcW w:w="1132" w:type="dxa"/>
          </w:tcPr>
          <w:p w14:paraId="27B790A4">
            <w:pPr>
              <w:rPr>
                <w:color w:val="000000"/>
                <w:sz w:val="18"/>
                <w:szCs w:val="18"/>
              </w:rPr>
            </w:pPr>
            <w:r>
              <w:rPr>
                <w:color w:val="000000"/>
                <w:sz w:val="18"/>
                <w:szCs w:val="18"/>
              </w:rPr>
              <w:t>CMA</w:t>
            </w:r>
          </w:p>
        </w:tc>
        <w:tc>
          <w:tcPr>
            <w:tcW w:w="824" w:type="dxa"/>
          </w:tcPr>
          <w:p w14:paraId="4834A48A">
            <w:pPr>
              <w:jc w:val="right"/>
              <w:rPr>
                <w:color w:val="000000"/>
                <w:sz w:val="18"/>
                <w:szCs w:val="18"/>
              </w:rPr>
            </w:pPr>
            <w:r>
              <w:rPr>
                <w:color w:val="000000"/>
                <w:sz w:val="18"/>
                <w:szCs w:val="18"/>
              </w:rPr>
              <w:t>2024b</w:t>
            </w:r>
          </w:p>
        </w:tc>
        <w:tc>
          <w:tcPr>
            <w:tcW w:w="1832" w:type="dxa"/>
          </w:tcPr>
          <w:p w14:paraId="26992E7B">
            <w:pPr>
              <w:rPr>
                <w:color w:val="000000"/>
                <w:sz w:val="18"/>
                <w:szCs w:val="18"/>
              </w:rPr>
            </w:pPr>
            <w:r>
              <w:rPr>
                <w:color w:val="000000"/>
                <w:sz w:val="18"/>
                <w:szCs w:val="18"/>
              </w:rPr>
              <w:t>Regulatory guidance</w:t>
            </w:r>
          </w:p>
        </w:tc>
        <w:tc>
          <w:tcPr>
            <w:tcW w:w="1210" w:type="dxa"/>
          </w:tcPr>
          <w:p w14:paraId="5D98F12F">
            <w:pPr>
              <w:rPr>
                <w:color w:val="000000"/>
                <w:sz w:val="18"/>
                <w:szCs w:val="18"/>
              </w:rPr>
            </w:pPr>
            <w:r>
              <w:rPr>
                <w:color w:val="000000"/>
                <w:sz w:val="18"/>
                <w:szCs w:val="18"/>
              </w:rPr>
              <w:t>Shared</w:t>
            </w:r>
          </w:p>
        </w:tc>
        <w:tc>
          <w:tcPr>
            <w:tcW w:w="1389" w:type="dxa"/>
          </w:tcPr>
          <w:p w14:paraId="4F69835F">
            <w:pPr>
              <w:rPr>
                <w:color w:val="000000"/>
                <w:sz w:val="18"/>
                <w:szCs w:val="18"/>
              </w:rPr>
            </w:pPr>
            <w:r>
              <w:fldChar w:fldCharType="begin"/>
            </w:r>
            <w:r>
              <w:instrText xml:space="preserve"> HYPERLINK "https://www.gov.uk/government/publications/complying-with-consumer-law-when-making-environmental-claims-in-the-fashion-retail-sector/complying-with-consumer-law-when-making-environmental-claims-in-the-fashion-retail-sector"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1DE1B18D">
            <w:pPr>
              <w:rPr>
                <w:color w:val="000000"/>
                <w:sz w:val="18"/>
                <w:szCs w:val="18"/>
              </w:rPr>
            </w:pPr>
            <w:r>
              <w:rPr>
                <w:color w:val="000000"/>
                <w:sz w:val="18"/>
                <w:szCs w:val="18"/>
              </w:rPr>
              <w:t>Claim prominence; target presentation</w:t>
            </w:r>
          </w:p>
        </w:tc>
      </w:tr>
      <w:tr w14:paraId="17C4E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08E446B">
            <w:pPr>
              <w:rPr>
                <w:color w:val="000000"/>
                <w:sz w:val="18"/>
                <w:szCs w:val="18"/>
              </w:rPr>
            </w:pPr>
            <w:r>
              <w:rPr>
                <w:color w:val="000000"/>
                <w:sz w:val="18"/>
                <w:szCs w:val="18"/>
              </w:rPr>
              <w:t>D09</w:t>
            </w:r>
          </w:p>
        </w:tc>
        <w:tc>
          <w:tcPr>
            <w:tcW w:w="1132" w:type="dxa"/>
          </w:tcPr>
          <w:p w14:paraId="0CE379CB">
            <w:pPr>
              <w:rPr>
                <w:color w:val="000000"/>
                <w:sz w:val="18"/>
                <w:szCs w:val="18"/>
              </w:rPr>
            </w:pPr>
            <w:r>
              <w:rPr>
                <w:color w:val="000000"/>
                <w:sz w:val="18"/>
                <w:szCs w:val="18"/>
              </w:rPr>
              <w:t>ACM</w:t>
            </w:r>
          </w:p>
        </w:tc>
        <w:tc>
          <w:tcPr>
            <w:tcW w:w="824" w:type="dxa"/>
          </w:tcPr>
          <w:p w14:paraId="0DC407B6">
            <w:pPr>
              <w:jc w:val="right"/>
              <w:rPr>
                <w:color w:val="000000"/>
                <w:sz w:val="18"/>
                <w:szCs w:val="18"/>
              </w:rPr>
            </w:pPr>
            <w:r>
              <w:rPr>
                <w:color w:val="000000"/>
                <w:sz w:val="18"/>
                <w:szCs w:val="18"/>
              </w:rPr>
              <w:t>2022</w:t>
            </w:r>
          </w:p>
        </w:tc>
        <w:tc>
          <w:tcPr>
            <w:tcW w:w="1832" w:type="dxa"/>
          </w:tcPr>
          <w:p w14:paraId="346895FA">
            <w:pPr>
              <w:rPr>
                <w:color w:val="000000"/>
                <w:sz w:val="18"/>
                <w:szCs w:val="18"/>
              </w:rPr>
            </w:pPr>
            <w:r>
              <w:rPr>
                <w:color w:val="000000"/>
                <w:sz w:val="18"/>
                <w:szCs w:val="18"/>
              </w:rPr>
              <w:t>Regulatory decision</w:t>
            </w:r>
          </w:p>
        </w:tc>
        <w:tc>
          <w:tcPr>
            <w:tcW w:w="1210" w:type="dxa"/>
          </w:tcPr>
          <w:p w14:paraId="2B4E6EE3">
            <w:pPr>
              <w:rPr>
                <w:color w:val="000000"/>
                <w:sz w:val="18"/>
                <w:szCs w:val="18"/>
              </w:rPr>
            </w:pPr>
            <w:r>
              <w:rPr>
                <w:color w:val="000000"/>
                <w:sz w:val="18"/>
                <w:szCs w:val="18"/>
              </w:rPr>
              <w:t>H&amp;M</w:t>
            </w:r>
          </w:p>
        </w:tc>
        <w:tc>
          <w:tcPr>
            <w:tcW w:w="1389" w:type="dxa"/>
          </w:tcPr>
          <w:p w14:paraId="7B00D6D9">
            <w:pPr>
              <w:rPr>
                <w:color w:val="000000"/>
                <w:sz w:val="18"/>
                <w:szCs w:val="18"/>
              </w:rPr>
            </w:pPr>
            <w:r>
              <w:fldChar w:fldCharType="begin"/>
            </w:r>
            <w:r>
              <w:instrText xml:space="preserve"> HYPERLINK "https://www.acm.nl/en/publications/commitment-decision-handm-regarding-sustainability-claims"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6A3F419C">
            <w:pPr>
              <w:rPr>
                <w:color w:val="000000"/>
                <w:sz w:val="18"/>
                <w:szCs w:val="18"/>
              </w:rPr>
            </w:pPr>
            <w:r>
              <w:rPr>
                <w:color w:val="000000"/>
                <w:sz w:val="18"/>
                <w:szCs w:val="18"/>
              </w:rPr>
              <w:t>Sustainability-claim commitments</w:t>
            </w:r>
          </w:p>
        </w:tc>
      </w:tr>
      <w:tr w14:paraId="67087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777AF804">
            <w:pPr>
              <w:rPr>
                <w:color w:val="000000"/>
                <w:sz w:val="18"/>
                <w:szCs w:val="18"/>
              </w:rPr>
            </w:pPr>
            <w:r>
              <w:rPr>
                <w:color w:val="000000"/>
                <w:sz w:val="18"/>
                <w:szCs w:val="18"/>
              </w:rPr>
              <w:t>D10</w:t>
            </w:r>
          </w:p>
        </w:tc>
        <w:tc>
          <w:tcPr>
            <w:tcW w:w="1132" w:type="dxa"/>
          </w:tcPr>
          <w:p w14:paraId="43899EEC">
            <w:pPr>
              <w:rPr>
                <w:color w:val="000000"/>
                <w:sz w:val="18"/>
                <w:szCs w:val="18"/>
              </w:rPr>
            </w:pPr>
            <w:r>
              <w:rPr>
                <w:color w:val="000000"/>
                <w:sz w:val="18"/>
                <w:szCs w:val="18"/>
              </w:rPr>
              <w:t>UK Parliament</w:t>
            </w:r>
          </w:p>
        </w:tc>
        <w:tc>
          <w:tcPr>
            <w:tcW w:w="824" w:type="dxa"/>
          </w:tcPr>
          <w:p w14:paraId="11A2AC1D">
            <w:pPr>
              <w:jc w:val="right"/>
              <w:rPr>
                <w:color w:val="000000"/>
                <w:sz w:val="18"/>
                <w:szCs w:val="18"/>
              </w:rPr>
            </w:pPr>
            <w:r>
              <w:rPr>
                <w:color w:val="000000"/>
                <w:sz w:val="18"/>
                <w:szCs w:val="18"/>
              </w:rPr>
              <w:t>2024</w:t>
            </w:r>
          </w:p>
        </w:tc>
        <w:tc>
          <w:tcPr>
            <w:tcW w:w="1832" w:type="dxa"/>
          </w:tcPr>
          <w:p w14:paraId="28B188FD">
            <w:pPr>
              <w:rPr>
                <w:color w:val="000000"/>
                <w:sz w:val="18"/>
                <w:szCs w:val="18"/>
              </w:rPr>
            </w:pPr>
            <w:r>
              <w:rPr>
                <w:color w:val="000000"/>
                <w:sz w:val="18"/>
                <w:szCs w:val="18"/>
              </w:rPr>
              <w:t>Legislation</w:t>
            </w:r>
          </w:p>
        </w:tc>
        <w:tc>
          <w:tcPr>
            <w:tcW w:w="1210" w:type="dxa"/>
          </w:tcPr>
          <w:p w14:paraId="3DE10B15">
            <w:pPr>
              <w:rPr>
                <w:color w:val="000000"/>
                <w:sz w:val="18"/>
                <w:szCs w:val="18"/>
              </w:rPr>
            </w:pPr>
            <w:r>
              <w:rPr>
                <w:color w:val="000000"/>
                <w:sz w:val="18"/>
                <w:szCs w:val="18"/>
              </w:rPr>
              <w:t>Shared</w:t>
            </w:r>
          </w:p>
        </w:tc>
        <w:tc>
          <w:tcPr>
            <w:tcW w:w="1389" w:type="dxa"/>
          </w:tcPr>
          <w:p w14:paraId="7D72EECE">
            <w:pPr>
              <w:rPr>
                <w:color w:val="000000"/>
                <w:sz w:val="18"/>
                <w:szCs w:val="18"/>
              </w:rPr>
            </w:pPr>
            <w:r>
              <w:fldChar w:fldCharType="begin"/>
            </w:r>
            <w:r>
              <w:instrText xml:space="preserve"> HYPERLINK "https://www.legislation.gov.uk/ukpga/2024/13/pdfs/ukpga_20240013_en.pdf"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3D404E4C">
            <w:pPr>
              <w:rPr>
                <w:color w:val="000000"/>
                <w:sz w:val="18"/>
                <w:szCs w:val="18"/>
              </w:rPr>
            </w:pPr>
            <w:r>
              <w:rPr>
                <w:color w:val="000000"/>
                <w:sz w:val="18"/>
                <w:szCs w:val="18"/>
              </w:rPr>
              <w:t>Regulatory context</w:t>
            </w:r>
          </w:p>
        </w:tc>
      </w:tr>
      <w:tr w14:paraId="6F0AC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BD75970">
            <w:pPr>
              <w:rPr>
                <w:color w:val="000000"/>
                <w:sz w:val="18"/>
                <w:szCs w:val="18"/>
              </w:rPr>
            </w:pPr>
            <w:r>
              <w:rPr>
                <w:color w:val="000000"/>
                <w:sz w:val="18"/>
                <w:szCs w:val="18"/>
              </w:rPr>
              <w:t>D11</w:t>
            </w:r>
          </w:p>
        </w:tc>
        <w:tc>
          <w:tcPr>
            <w:tcW w:w="1132" w:type="dxa"/>
          </w:tcPr>
          <w:p w14:paraId="1F8EEC70">
            <w:pPr>
              <w:rPr>
                <w:color w:val="000000"/>
                <w:sz w:val="18"/>
                <w:szCs w:val="18"/>
              </w:rPr>
            </w:pPr>
            <w:r>
              <w:rPr>
                <w:color w:val="000000"/>
                <w:sz w:val="18"/>
                <w:szCs w:val="18"/>
              </w:rPr>
              <w:t>Changing Markets Foundation</w:t>
            </w:r>
          </w:p>
        </w:tc>
        <w:tc>
          <w:tcPr>
            <w:tcW w:w="824" w:type="dxa"/>
          </w:tcPr>
          <w:p w14:paraId="49115ADB">
            <w:pPr>
              <w:jc w:val="right"/>
              <w:rPr>
                <w:color w:val="000000"/>
                <w:sz w:val="18"/>
                <w:szCs w:val="18"/>
              </w:rPr>
            </w:pPr>
            <w:r>
              <w:rPr>
                <w:color w:val="000000"/>
                <w:sz w:val="18"/>
                <w:szCs w:val="18"/>
              </w:rPr>
              <w:t>2021</w:t>
            </w:r>
          </w:p>
        </w:tc>
        <w:tc>
          <w:tcPr>
            <w:tcW w:w="1832" w:type="dxa"/>
          </w:tcPr>
          <w:p w14:paraId="39D7590D">
            <w:pPr>
              <w:rPr>
                <w:color w:val="000000"/>
                <w:sz w:val="18"/>
                <w:szCs w:val="18"/>
              </w:rPr>
            </w:pPr>
            <w:r>
              <w:rPr>
                <w:color w:val="000000"/>
                <w:sz w:val="18"/>
                <w:szCs w:val="18"/>
              </w:rPr>
              <w:t>NGO research</w:t>
            </w:r>
          </w:p>
        </w:tc>
        <w:tc>
          <w:tcPr>
            <w:tcW w:w="1210" w:type="dxa"/>
          </w:tcPr>
          <w:p w14:paraId="15802B3B">
            <w:pPr>
              <w:rPr>
                <w:color w:val="000000"/>
                <w:sz w:val="18"/>
                <w:szCs w:val="18"/>
              </w:rPr>
            </w:pPr>
            <w:r>
              <w:rPr>
                <w:color w:val="000000"/>
                <w:sz w:val="18"/>
                <w:szCs w:val="18"/>
              </w:rPr>
              <w:t>ASOS; Boohoo; H&amp;M; Zara</w:t>
            </w:r>
          </w:p>
        </w:tc>
        <w:tc>
          <w:tcPr>
            <w:tcW w:w="1389" w:type="dxa"/>
          </w:tcPr>
          <w:p w14:paraId="7107324C">
            <w:pPr>
              <w:rPr>
                <w:color w:val="000000"/>
                <w:sz w:val="18"/>
                <w:szCs w:val="18"/>
              </w:rPr>
            </w:pPr>
            <w:r>
              <w:fldChar w:fldCharType="begin"/>
            </w:r>
            <w:r>
              <w:instrText xml:space="preserve"> HYPERLINK "https://changingmarkets.org/report/synthetics-anonymous-fashion-brands-addiction-to-fossil-fuels/"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3C2192D5">
            <w:pPr>
              <w:rPr>
                <w:color w:val="000000"/>
                <w:sz w:val="18"/>
                <w:szCs w:val="18"/>
              </w:rPr>
            </w:pPr>
            <w:r>
              <w:rPr>
                <w:color w:val="000000"/>
                <w:sz w:val="18"/>
                <w:szCs w:val="18"/>
              </w:rPr>
              <w:t>Product claims; synthetic-fibre critique</w:t>
            </w:r>
          </w:p>
        </w:tc>
      </w:tr>
      <w:tr w14:paraId="1D2D7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C7D2BDD">
            <w:pPr>
              <w:rPr>
                <w:color w:val="000000"/>
                <w:sz w:val="18"/>
                <w:szCs w:val="18"/>
              </w:rPr>
            </w:pPr>
            <w:r>
              <w:rPr>
                <w:color w:val="000000"/>
                <w:sz w:val="18"/>
                <w:szCs w:val="18"/>
              </w:rPr>
              <w:t>D12</w:t>
            </w:r>
          </w:p>
        </w:tc>
        <w:tc>
          <w:tcPr>
            <w:tcW w:w="1132" w:type="dxa"/>
          </w:tcPr>
          <w:p w14:paraId="39087E40">
            <w:pPr>
              <w:rPr>
                <w:color w:val="000000"/>
                <w:sz w:val="18"/>
                <w:szCs w:val="18"/>
              </w:rPr>
            </w:pPr>
            <w:r>
              <w:rPr>
                <w:color w:val="000000"/>
                <w:sz w:val="18"/>
                <w:szCs w:val="18"/>
              </w:rPr>
              <w:t>Changing Markets Foundation</w:t>
            </w:r>
          </w:p>
        </w:tc>
        <w:tc>
          <w:tcPr>
            <w:tcW w:w="824" w:type="dxa"/>
          </w:tcPr>
          <w:p w14:paraId="15E0233C">
            <w:pPr>
              <w:jc w:val="right"/>
              <w:rPr>
                <w:color w:val="000000"/>
                <w:sz w:val="18"/>
                <w:szCs w:val="18"/>
              </w:rPr>
            </w:pPr>
            <w:r>
              <w:rPr>
                <w:color w:val="000000"/>
                <w:sz w:val="18"/>
                <w:szCs w:val="18"/>
              </w:rPr>
              <w:t>2022</w:t>
            </w:r>
          </w:p>
        </w:tc>
        <w:tc>
          <w:tcPr>
            <w:tcW w:w="1832" w:type="dxa"/>
          </w:tcPr>
          <w:p w14:paraId="52B4814C">
            <w:pPr>
              <w:rPr>
                <w:color w:val="000000"/>
                <w:sz w:val="18"/>
                <w:szCs w:val="18"/>
              </w:rPr>
            </w:pPr>
            <w:r>
              <w:rPr>
                <w:color w:val="000000"/>
                <w:sz w:val="18"/>
                <w:szCs w:val="18"/>
              </w:rPr>
              <w:t>NGO research</w:t>
            </w:r>
          </w:p>
        </w:tc>
        <w:tc>
          <w:tcPr>
            <w:tcW w:w="1210" w:type="dxa"/>
          </w:tcPr>
          <w:p w14:paraId="71D12BE7">
            <w:pPr>
              <w:rPr>
                <w:color w:val="000000"/>
                <w:sz w:val="18"/>
                <w:szCs w:val="18"/>
              </w:rPr>
            </w:pPr>
            <w:r>
              <w:rPr>
                <w:color w:val="000000"/>
                <w:sz w:val="18"/>
                <w:szCs w:val="18"/>
              </w:rPr>
              <w:t>Boohoo; Primark; H&amp;M; Zara</w:t>
            </w:r>
          </w:p>
        </w:tc>
        <w:tc>
          <w:tcPr>
            <w:tcW w:w="1389" w:type="dxa"/>
          </w:tcPr>
          <w:p w14:paraId="008E4152">
            <w:pPr>
              <w:rPr>
                <w:color w:val="000000"/>
                <w:sz w:val="18"/>
                <w:szCs w:val="18"/>
              </w:rPr>
            </w:pPr>
            <w:r>
              <w:fldChar w:fldCharType="begin"/>
            </w:r>
            <w:r>
              <w:instrText xml:space="preserve"> HYPERLINK "https://changingmarkets.org/report/fossil-fashion-todays-fashion-industry-has-become-synonymous-with-overconsumption-a-snowballing-waste-crisis-widespread-pollution-and-the-exploitation-of-workers-in-global-supply-chains-w/"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6C6C98C4">
            <w:pPr>
              <w:rPr>
                <w:color w:val="000000"/>
                <w:sz w:val="18"/>
                <w:szCs w:val="18"/>
              </w:rPr>
            </w:pPr>
            <w:r>
              <w:rPr>
                <w:color w:val="000000"/>
                <w:sz w:val="18"/>
                <w:szCs w:val="18"/>
              </w:rPr>
              <w:t>Synthetics; supplier-energy issues</w:t>
            </w:r>
          </w:p>
        </w:tc>
      </w:tr>
      <w:tr w14:paraId="5B327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7439A5FD">
            <w:pPr>
              <w:rPr>
                <w:color w:val="000000"/>
                <w:sz w:val="18"/>
                <w:szCs w:val="18"/>
              </w:rPr>
            </w:pPr>
            <w:r>
              <w:rPr>
                <w:color w:val="000000"/>
                <w:sz w:val="18"/>
                <w:szCs w:val="18"/>
              </w:rPr>
              <w:t>D13</w:t>
            </w:r>
          </w:p>
        </w:tc>
        <w:tc>
          <w:tcPr>
            <w:tcW w:w="1132" w:type="dxa"/>
          </w:tcPr>
          <w:p w14:paraId="62A1C6F4">
            <w:pPr>
              <w:rPr>
                <w:color w:val="000000"/>
                <w:sz w:val="18"/>
                <w:szCs w:val="18"/>
              </w:rPr>
            </w:pPr>
            <w:r>
              <w:rPr>
                <w:color w:val="000000"/>
                <w:sz w:val="18"/>
                <w:szCs w:val="18"/>
              </w:rPr>
              <w:t>Fashion Revolution</w:t>
            </w:r>
          </w:p>
        </w:tc>
        <w:tc>
          <w:tcPr>
            <w:tcW w:w="824" w:type="dxa"/>
          </w:tcPr>
          <w:p w14:paraId="735A7BFE">
            <w:pPr>
              <w:jc w:val="right"/>
              <w:rPr>
                <w:color w:val="000000"/>
                <w:sz w:val="18"/>
                <w:szCs w:val="18"/>
              </w:rPr>
            </w:pPr>
            <w:r>
              <w:rPr>
                <w:color w:val="000000"/>
                <w:sz w:val="18"/>
                <w:szCs w:val="18"/>
              </w:rPr>
              <w:t>2024</w:t>
            </w:r>
          </w:p>
        </w:tc>
        <w:tc>
          <w:tcPr>
            <w:tcW w:w="1832" w:type="dxa"/>
          </w:tcPr>
          <w:p w14:paraId="7153BB0D">
            <w:pPr>
              <w:rPr>
                <w:color w:val="000000"/>
                <w:sz w:val="18"/>
                <w:szCs w:val="18"/>
              </w:rPr>
            </w:pPr>
            <w:r>
              <w:rPr>
                <w:color w:val="000000"/>
                <w:sz w:val="18"/>
                <w:szCs w:val="18"/>
              </w:rPr>
              <w:t>NGO benchmark</w:t>
            </w:r>
          </w:p>
        </w:tc>
        <w:tc>
          <w:tcPr>
            <w:tcW w:w="1210" w:type="dxa"/>
          </w:tcPr>
          <w:p w14:paraId="343BE4A0">
            <w:pPr>
              <w:rPr>
                <w:color w:val="000000"/>
                <w:sz w:val="18"/>
                <w:szCs w:val="18"/>
              </w:rPr>
            </w:pPr>
            <w:r>
              <w:rPr>
                <w:color w:val="000000"/>
                <w:sz w:val="18"/>
                <w:szCs w:val="18"/>
              </w:rPr>
              <w:t>Shared</w:t>
            </w:r>
          </w:p>
        </w:tc>
        <w:tc>
          <w:tcPr>
            <w:tcW w:w="1389" w:type="dxa"/>
          </w:tcPr>
          <w:p w14:paraId="78BE8E30">
            <w:pPr>
              <w:rPr>
                <w:color w:val="000000"/>
                <w:sz w:val="18"/>
                <w:szCs w:val="18"/>
              </w:rPr>
            </w:pPr>
            <w:r>
              <w:fldChar w:fldCharType="begin"/>
            </w:r>
            <w:r>
              <w:instrText xml:space="preserve"> HYPERLINK "https://www.fashionrevolution.org/wff-2024/"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4161ACE4">
            <w:pPr>
              <w:rPr>
                <w:color w:val="000000"/>
                <w:sz w:val="18"/>
                <w:szCs w:val="18"/>
              </w:rPr>
            </w:pPr>
            <w:r>
              <w:rPr>
                <w:color w:val="000000"/>
                <w:sz w:val="18"/>
                <w:szCs w:val="18"/>
              </w:rPr>
              <w:t>Transparency/verification framework</w:t>
            </w:r>
          </w:p>
        </w:tc>
      </w:tr>
      <w:tr w14:paraId="7AEE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3B28B5AC">
            <w:pPr>
              <w:rPr>
                <w:color w:val="000000"/>
                <w:sz w:val="18"/>
                <w:szCs w:val="18"/>
              </w:rPr>
            </w:pPr>
            <w:r>
              <w:rPr>
                <w:color w:val="000000"/>
                <w:sz w:val="18"/>
                <w:szCs w:val="18"/>
              </w:rPr>
              <w:t>D14</w:t>
            </w:r>
          </w:p>
        </w:tc>
        <w:tc>
          <w:tcPr>
            <w:tcW w:w="1132" w:type="dxa"/>
          </w:tcPr>
          <w:p w14:paraId="23CE696B">
            <w:pPr>
              <w:rPr>
                <w:color w:val="000000"/>
                <w:sz w:val="18"/>
                <w:szCs w:val="18"/>
              </w:rPr>
            </w:pPr>
            <w:r>
              <w:rPr>
                <w:color w:val="000000"/>
                <w:sz w:val="18"/>
                <w:szCs w:val="18"/>
              </w:rPr>
              <w:t>Remake</w:t>
            </w:r>
          </w:p>
        </w:tc>
        <w:tc>
          <w:tcPr>
            <w:tcW w:w="824" w:type="dxa"/>
          </w:tcPr>
          <w:p w14:paraId="40AEF0DB">
            <w:pPr>
              <w:jc w:val="right"/>
              <w:rPr>
                <w:color w:val="000000"/>
                <w:sz w:val="18"/>
                <w:szCs w:val="18"/>
              </w:rPr>
            </w:pPr>
            <w:r>
              <w:rPr>
                <w:color w:val="000000"/>
                <w:sz w:val="18"/>
                <w:szCs w:val="18"/>
              </w:rPr>
              <w:t>2024</w:t>
            </w:r>
          </w:p>
        </w:tc>
        <w:tc>
          <w:tcPr>
            <w:tcW w:w="1832" w:type="dxa"/>
          </w:tcPr>
          <w:p w14:paraId="125AEA3D">
            <w:pPr>
              <w:rPr>
                <w:color w:val="000000"/>
                <w:sz w:val="18"/>
                <w:szCs w:val="18"/>
              </w:rPr>
            </w:pPr>
            <w:r>
              <w:rPr>
                <w:color w:val="000000"/>
                <w:sz w:val="18"/>
                <w:szCs w:val="18"/>
              </w:rPr>
              <w:t>NGO report overview</w:t>
            </w:r>
          </w:p>
        </w:tc>
        <w:tc>
          <w:tcPr>
            <w:tcW w:w="1210" w:type="dxa"/>
          </w:tcPr>
          <w:p w14:paraId="44D8D01F">
            <w:pPr>
              <w:rPr>
                <w:color w:val="000000"/>
                <w:sz w:val="18"/>
                <w:szCs w:val="18"/>
              </w:rPr>
            </w:pPr>
            <w:r>
              <w:rPr>
                <w:color w:val="000000"/>
                <w:sz w:val="18"/>
                <w:szCs w:val="18"/>
              </w:rPr>
              <w:t>Shared</w:t>
            </w:r>
          </w:p>
        </w:tc>
        <w:tc>
          <w:tcPr>
            <w:tcW w:w="1389" w:type="dxa"/>
          </w:tcPr>
          <w:p w14:paraId="4CB50450">
            <w:pPr>
              <w:rPr>
                <w:color w:val="000000"/>
                <w:sz w:val="18"/>
                <w:szCs w:val="18"/>
              </w:rPr>
            </w:pPr>
            <w:r>
              <w:fldChar w:fldCharType="begin"/>
            </w:r>
            <w:r>
              <w:instrText xml:space="preserve"> HYPERLINK "https://remake.world/accountability-report-2024/"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57733CBD">
            <w:pPr>
              <w:rPr>
                <w:color w:val="000000"/>
                <w:sz w:val="18"/>
                <w:szCs w:val="18"/>
              </w:rPr>
            </w:pPr>
            <w:r>
              <w:rPr>
                <w:color w:val="000000"/>
                <w:sz w:val="18"/>
                <w:szCs w:val="18"/>
              </w:rPr>
              <w:t>Accountability framework</w:t>
            </w:r>
          </w:p>
        </w:tc>
      </w:tr>
      <w:tr w14:paraId="34168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1903B9EA">
            <w:pPr>
              <w:rPr>
                <w:color w:val="000000"/>
                <w:sz w:val="18"/>
                <w:szCs w:val="18"/>
              </w:rPr>
            </w:pPr>
            <w:r>
              <w:rPr>
                <w:color w:val="000000"/>
                <w:sz w:val="18"/>
                <w:szCs w:val="18"/>
              </w:rPr>
              <w:t>D15</w:t>
            </w:r>
          </w:p>
        </w:tc>
        <w:tc>
          <w:tcPr>
            <w:tcW w:w="1132" w:type="dxa"/>
          </w:tcPr>
          <w:p w14:paraId="3EFFF3CA">
            <w:pPr>
              <w:rPr>
                <w:color w:val="000000"/>
                <w:sz w:val="18"/>
                <w:szCs w:val="18"/>
              </w:rPr>
            </w:pPr>
            <w:r>
              <w:rPr>
                <w:color w:val="000000"/>
                <w:sz w:val="18"/>
                <w:szCs w:val="18"/>
              </w:rPr>
              <w:t>Janmark et al.</w:t>
            </w:r>
          </w:p>
        </w:tc>
        <w:tc>
          <w:tcPr>
            <w:tcW w:w="824" w:type="dxa"/>
          </w:tcPr>
          <w:p w14:paraId="7C38658B">
            <w:pPr>
              <w:jc w:val="right"/>
              <w:rPr>
                <w:color w:val="000000"/>
                <w:sz w:val="18"/>
                <w:szCs w:val="18"/>
              </w:rPr>
            </w:pPr>
            <w:r>
              <w:rPr>
                <w:color w:val="000000"/>
                <w:sz w:val="18"/>
                <w:szCs w:val="18"/>
              </w:rPr>
              <w:t>2024</w:t>
            </w:r>
          </w:p>
        </w:tc>
        <w:tc>
          <w:tcPr>
            <w:tcW w:w="1832" w:type="dxa"/>
          </w:tcPr>
          <w:p w14:paraId="1A9C8B8C">
            <w:pPr>
              <w:rPr>
                <w:color w:val="000000"/>
                <w:sz w:val="18"/>
                <w:szCs w:val="18"/>
              </w:rPr>
            </w:pPr>
            <w:r>
              <w:rPr>
                <w:color w:val="000000"/>
                <w:sz w:val="18"/>
                <w:szCs w:val="18"/>
              </w:rPr>
              <w:t>Industry analysis</w:t>
            </w:r>
          </w:p>
        </w:tc>
        <w:tc>
          <w:tcPr>
            <w:tcW w:w="1210" w:type="dxa"/>
          </w:tcPr>
          <w:p w14:paraId="02A22BB1">
            <w:pPr>
              <w:rPr>
                <w:color w:val="000000"/>
                <w:sz w:val="18"/>
                <w:szCs w:val="18"/>
              </w:rPr>
            </w:pPr>
            <w:r>
              <w:rPr>
                <w:color w:val="000000"/>
                <w:sz w:val="18"/>
                <w:szCs w:val="18"/>
              </w:rPr>
              <w:t>Shared</w:t>
            </w:r>
          </w:p>
        </w:tc>
        <w:tc>
          <w:tcPr>
            <w:tcW w:w="1389" w:type="dxa"/>
          </w:tcPr>
          <w:p w14:paraId="2272D0C3">
            <w:pPr>
              <w:rPr>
                <w:color w:val="000000"/>
                <w:sz w:val="18"/>
                <w:szCs w:val="18"/>
              </w:rPr>
            </w:pPr>
            <w:r>
              <w:fldChar w:fldCharType="begin"/>
            </w:r>
            <w:r>
              <w:instrText xml:space="preserve"> HYPERLINK "https://www.mckinsey.com/industries/retail/our-insights/sustainable-style-how-fashion-can-afford-and-accelerate-decarbonization" \h </w:instrText>
            </w:r>
            <w:r>
              <w:fldChar w:fldCharType="separate"/>
            </w:r>
            <w:r>
              <w:rPr>
                <w:color w:val="1F4D78"/>
                <w:sz w:val="18"/>
                <w:szCs w:val="18"/>
                <w:u w:val="single"/>
              </w:rPr>
              <w:t>Open source</w:t>
            </w:r>
            <w:r>
              <w:rPr>
                <w:color w:val="1F4D78"/>
                <w:sz w:val="18"/>
                <w:szCs w:val="18"/>
                <w:u w:val="single"/>
              </w:rPr>
              <w:fldChar w:fldCharType="end"/>
            </w:r>
          </w:p>
        </w:tc>
        <w:tc>
          <w:tcPr>
            <w:tcW w:w="2293" w:type="dxa"/>
          </w:tcPr>
          <w:p w14:paraId="29BF89CF">
            <w:pPr>
              <w:rPr>
                <w:color w:val="000000"/>
                <w:sz w:val="18"/>
                <w:szCs w:val="18"/>
              </w:rPr>
            </w:pPr>
            <w:r>
              <w:rPr>
                <w:color w:val="000000"/>
                <w:sz w:val="18"/>
                <w:szCs w:val="18"/>
              </w:rPr>
              <w:t>Emissions-intensity modelling</w:t>
            </w:r>
          </w:p>
        </w:tc>
      </w:tr>
    </w:tbl>
    <w:p w14:paraId="5E58E216">
      <w:pPr>
        <w:spacing w:before="100" w:beforeAutospacing="1" w:after="100" w:afterAutospacing="1"/>
        <w:rPr>
          <w:color w:val="000000"/>
        </w:rPr>
      </w:pPr>
      <w:r>
        <w:rPr>
          <w:b/>
          <w:bCs/>
          <w:color w:val="000000"/>
        </w:rPr>
        <w:t>Note:</w:t>
      </w:r>
      <w:r>
        <w:rPr>
          <w:color w:val="000000"/>
        </w:rPr>
        <w:t> D01–D15 constitute the included documentary units. Access status forms part of the evidence definition. PDF page numbers refer to file position rather than printed folio. All links were checked on 5 September 2026.</w:t>
      </w:r>
    </w:p>
    <w:p w14:paraId="12E6521E">
      <w:pPr>
        <w:pStyle w:val="3"/>
        <w:pageBreakBefore/>
      </w:pPr>
      <w:bookmarkStart w:id="91" w:name="_Toc240757399"/>
      <w:r>
        <w:t>B2. Classification of all 47 final-reference records</w:t>
      </w:r>
      <w:bookmarkEnd w:id="91"/>
    </w:p>
    <w:p w14:paraId="28E9007F">
      <w:pPr>
        <w:pStyle w:val="214"/>
      </w:pPr>
      <w:r>
        <w:t>R01–R47 preserve the original reference-list order. S denotes a scholarly resource retained for literature or methodology, rather than a retailer documentary observation. D identifies an included unit; X identifies a withheld documentary candidate. This classification is not a claim that all scholarly works were reanalysed as empirical data.</w:t>
      </w:r>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820"/>
        <w:gridCol w:w="7276"/>
        <w:gridCol w:w="930"/>
      </w:tblGrid>
      <w:tr w14:paraId="6CA33E5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820" w:type="dxa"/>
            <w:shd w:val="clear" w:color="auto" w:fill="F2F4F7"/>
            <w:vAlign w:val="center"/>
          </w:tcPr>
          <w:p w14:paraId="0DC4D970">
            <w:pPr>
              <w:pStyle w:val="213"/>
            </w:pPr>
            <w:r>
              <w:t>Record</w:t>
            </w:r>
          </w:p>
        </w:tc>
        <w:tc>
          <w:tcPr>
            <w:tcW w:w="7276" w:type="dxa"/>
            <w:shd w:val="clear" w:color="auto" w:fill="F2F4F7"/>
            <w:vAlign w:val="center"/>
          </w:tcPr>
          <w:p w14:paraId="53D6543C">
            <w:pPr>
              <w:pStyle w:val="213"/>
            </w:pPr>
            <w:r>
              <w:t>Original author/year identification</w:t>
            </w:r>
          </w:p>
        </w:tc>
        <w:tc>
          <w:tcPr>
            <w:tcW w:w="930" w:type="dxa"/>
            <w:shd w:val="clear" w:color="auto" w:fill="F2F4F7"/>
            <w:vAlign w:val="center"/>
          </w:tcPr>
          <w:p w14:paraId="606A64A0">
            <w:pPr>
              <w:pStyle w:val="213"/>
            </w:pPr>
            <w:r>
              <w:t>Role</w:t>
            </w:r>
          </w:p>
        </w:tc>
      </w:tr>
      <w:tr w14:paraId="451E4592">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4D9C79BC">
            <w:pPr>
              <w:pStyle w:val="212"/>
            </w:pPr>
            <w:r>
              <w:t>R01</w:t>
            </w:r>
          </w:p>
        </w:tc>
        <w:tc>
          <w:tcPr>
            <w:tcW w:w="7276" w:type="dxa"/>
            <w:vAlign w:val="center"/>
          </w:tcPr>
          <w:p w14:paraId="06F6F632">
            <w:pPr>
              <w:pStyle w:val="212"/>
            </w:pPr>
            <w:r>
              <w:t>Adamkiewicz, J., Kochanska, E., Adamkiewicz, I. and Lukasik, R.M. (2022)</w:t>
            </w:r>
          </w:p>
        </w:tc>
        <w:tc>
          <w:tcPr>
            <w:tcW w:w="930" w:type="dxa"/>
            <w:vAlign w:val="center"/>
          </w:tcPr>
          <w:p w14:paraId="4B4F87EC">
            <w:pPr>
              <w:pStyle w:val="212"/>
            </w:pPr>
            <w:r>
              <w:t>S</w:t>
            </w:r>
          </w:p>
        </w:tc>
      </w:tr>
      <w:tr w14:paraId="27D3747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355FCDE7">
            <w:pPr>
              <w:pStyle w:val="212"/>
            </w:pPr>
            <w:r>
              <w:t>R02</w:t>
            </w:r>
          </w:p>
        </w:tc>
        <w:tc>
          <w:tcPr>
            <w:tcW w:w="7276" w:type="dxa"/>
            <w:vAlign w:val="center"/>
          </w:tcPr>
          <w:p w14:paraId="376AE4EB">
            <w:pPr>
              <w:pStyle w:val="212"/>
            </w:pPr>
            <w:r>
              <w:t>Aguinis, H., Bergh, D. and Molina-Azorin, J.F. (2022)</w:t>
            </w:r>
          </w:p>
        </w:tc>
        <w:tc>
          <w:tcPr>
            <w:tcW w:w="930" w:type="dxa"/>
            <w:vAlign w:val="center"/>
          </w:tcPr>
          <w:p w14:paraId="1ADCE896">
            <w:pPr>
              <w:pStyle w:val="212"/>
            </w:pPr>
            <w:r>
              <w:t>S</w:t>
            </w:r>
          </w:p>
        </w:tc>
      </w:tr>
      <w:tr w14:paraId="2EE072B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7627FF59">
            <w:pPr>
              <w:pStyle w:val="212"/>
            </w:pPr>
            <w:r>
              <w:t>R03</w:t>
            </w:r>
          </w:p>
        </w:tc>
        <w:tc>
          <w:tcPr>
            <w:tcW w:w="7276" w:type="dxa"/>
            <w:vAlign w:val="center"/>
          </w:tcPr>
          <w:p w14:paraId="777BFEC7">
            <w:pPr>
              <w:pStyle w:val="212"/>
            </w:pPr>
            <w:r>
              <w:t>Alizadeh, L., Liscio, M.C. and Sospiro, P. (2024)</w:t>
            </w:r>
          </w:p>
        </w:tc>
        <w:tc>
          <w:tcPr>
            <w:tcW w:w="930" w:type="dxa"/>
            <w:vAlign w:val="center"/>
          </w:tcPr>
          <w:p w14:paraId="6AEA0576">
            <w:pPr>
              <w:pStyle w:val="212"/>
            </w:pPr>
            <w:r>
              <w:t>S</w:t>
            </w:r>
          </w:p>
        </w:tc>
      </w:tr>
      <w:tr w14:paraId="5BDAABEA">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739E5B4E">
            <w:pPr>
              <w:pStyle w:val="212"/>
            </w:pPr>
            <w:r>
              <w:t>R04</w:t>
            </w:r>
          </w:p>
        </w:tc>
        <w:tc>
          <w:tcPr>
            <w:tcW w:w="7276" w:type="dxa"/>
            <w:vAlign w:val="center"/>
          </w:tcPr>
          <w:p w14:paraId="1D21A457">
            <w:pPr>
              <w:pStyle w:val="212"/>
            </w:pPr>
            <w:r>
              <w:t>ASOS plc (2025a)</w:t>
            </w:r>
          </w:p>
        </w:tc>
        <w:tc>
          <w:tcPr>
            <w:tcW w:w="930" w:type="dxa"/>
            <w:vAlign w:val="center"/>
          </w:tcPr>
          <w:p w14:paraId="2EAA71C0">
            <w:pPr>
              <w:pStyle w:val="212"/>
            </w:pPr>
            <w:r>
              <w:t>D01</w:t>
            </w:r>
          </w:p>
        </w:tc>
      </w:tr>
      <w:tr w14:paraId="640464A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6F020FB0">
            <w:pPr>
              <w:pStyle w:val="212"/>
            </w:pPr>
            <w:r>
              <w:t>R05</w:t>
            </w:r>
          </w:p>
        </w:tc>
        <w:tc>
          <w:tcPr>
            <w:tcW w:w="7276" w:type="dxa"/>
            <w:vAlign w:val="center"/>
          </w:tcPr>
          <w:p w14:paraId="3D20D16B">
            <w:pPr>
              <w:pStyle w:val="212"/>
            </w:pPr>
            <w:r>
              <w:t>ASOS plc (2025b)</w:t>
            </w:r>
          </w:p>
        </w:tc>
        <w:tc>
          <w:tcPr>
            <w:tcW w:w="930" w:type="dxa"/>
            <w:vAlign w:val="center"/>
          </w:tcPr>
          <w:p w14:paraId="2F0EC0BA">
            <w:pPr>
              <w:pStyle w:val="212"/>
            </w:pPr>
            <w:r>
              <w:t>D02</w:t>
            </w:r>
          </w:p>
        </w:tc>
      </w:tr>
      <w:tr w14:paraId="226BA34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179646A4">
            <w:pPr>
              <w:pStyle w:val="212"/>
            </w:pPr>
            <w:r>
              <w:t>R06</w:t>
            </w:r>
          </w:p>
        </w:tc>
        <w:tc>
          <w:tcPr>
            <w:tcW w:w="7276" w:type="dxa"/>
            <w:vAlign w:val="center"/>
          </w:tcPr>
          <w:p w14:paraId="7B20D199">
            <w:pPr>
              <w:pStyle w:val="212"/>
            </w:pPr>
            <w:r>
              <w:t>Atik, D. and Ozdamar Ertekin, Z. (2023)</w:t>
            </w:r>
          </w:p>
        </w:tc>
        <w:tc>
          <w:tcPr>
            <w:tcW w:w="930" w:type="dxa"/>
            <w:vAlign w:val="center"/>
          </w:tcPr>
          <w:p w14:paraId="3515DA7C">
            <w:pPr>
              <w:pStyle w:val="212"/>
            </w:pPr>
            <w:r>
              <w:t>S</w:t>
            </w:r>
          </w:p>
        </w:tc>
      </w:tr>
      <w:tr w14:paraId="31E8E8D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1663F200">
            <w:pPr>
              <w:pStyle w:val="212"/>
            </w:pPr>
            <w:r>
              <w:t>R07</w:t>
            </w:r>
          </w:p>
        </w:tc>
        <w:tc>
          <w:tcPr>
            <w:tcW w:w="7276" w:type="dxa"/>
            <w:vAlign w:val="center"/>
          </w:tcPr>
          <w:p w14:paraId="1347B29C">
            <w:pPr>
              <w:pStyle w:val="212"/>
            </w:pPr>
            <w:r>
              <w:t>Authority for Consumers and Markets (2022)</w:t>
            </w:r>
          </w:p>
        </w:tc>
        <w:tc>
          <w:tcPr>
            <w:tcW w:w="930" w:type="dxa"/>
            <w:vAlign w:val="center"/>
          </w:tcPr>
          <w:p w14:paraId="409BBE86">
            <w:pPr>
              <w:pStyle w:val="212"/>
            </w:pPr>
            <w:r>
              <w:t>D09</w:t>
            </w:r>
          </w:p>
        </w:tc>
      </w:tr>
      <w:tr w14:paraId="5B0234B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4F38F82A">
            <w:pPr>
              <w:pStyle w:val="212"/>
            </w:pPr>
            <w:r>
              <w:t>R08</w:t>
            </w:r>
          </w:p>
        </w:tc>
        <w:tc>
          <w:tcPr>
            <w:tcW w:w="7276" w:type="dxa"/>
            <w:vAlign w:val="center"/>
          </w:tcPr>
          <w:p w14:paraId="5795335B">
            <w:pPr>
              <w:pStyle w:val="212"/>
            </w:pPr>
            <w:r>
              <w:t>Badhwar, A., Islam, S., Swee, C., Panwar, T., Wigley, S. and Nayak, R. (2024)</w:t>
            </w:r>
          </w:p>
        </w:tc>
        <w:tc>
          <w:tcPr>
            <w:tcW w:w="930" w:type="dxa"/>
            <w:vAlign w:val="center"/>
          </w:tcPr>
          <w:p w14:paraId="11E00A92">
            <w:pPr>
              <w:pStyle w:val="212"/>
            </w:pPr>
            <w:r>
              <w:t>S</w:t>
            </w:r>
          </w:p>
        </w:tc>
      </w:tr>
      <w:tr w14:paraId="24809B7B">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7EAD3ABA">
            <w:pPr>
              <w:pStyle w:val="212"/>
            </w:pPr>
            <w:r>
              <w:t>R09</w:t>
            </w:r>
          </w:p>
        </w:tc>
        <w:tc>
          <w:tcPr>
            <w:tcW w:w="7276" w:type="dxa"/>
            <w:vAlign w:val="center"/>
          </w:tcPr>
          <w:p w14:paraId="56B2E123">
            <w:pPr>
              <w:pStyle w:val="212"/>
            </w:pPr>
            <w:r>
              <w:t>Boohoo Group plc (2023)</w:t>
            </w:r>
          </w:p>
        </w:tc>
        <w:tc>
          <w:tcPr>
            <w:tcW w:w="930" w:type="dxa"/>
            <w:vAlign w:val="center"/>
          </w:tcPr>
          <w:p w14:paraId="2773E763">
            <w:pPr>
              <w:pStyle w:val="212"/>
            </w:pPr>
            <w:r>
              <w:t>X01</w:t>
            </w:r>
          </w:p>
        </w:tc>
      </w:tr>
      <w:tr w14:paraId="78032532">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74D98157">
            <w:pPr>
              <w:pStyle w:val="212"/>
            </w:pPr>
            <w:r>
              <w:t>R10</w:t>
            </w:r>
          </w:p>
        </w:tc>
        <w:tc>
          <w:tcPr>
            <w:tcW w:w="7276" w:type="dxa"/>
            <w:vAlign w:val="center"/>
          </w:tcPr>
          <w:p w14:paraId="5743E7A2">
            <w:pPr>
              <w:pStyle w:val="212"/>
            </w:pPr>
            <w:r>
              <w:t>Boohoo Group plc (2024a)</w:t>
            </w:r>
          </w:p>
        </w:tc>
        <w:tc>
          <w:tcPr>
            <w:tcW w:w="930" w:type="dxa"/>
            <w:vAlign w:val="center"/>
          </w:tcPr>
          <w:p w14:paraId="631A0372">
            <w:pPr>
              <w:pStyle w:val="212"/>
            </w:pPr>
            <w:r>
              <w:t>X02</w:t>
            </w:r>
          </w:p>
        </w:tc>
      </w:tr>
      <w:tr w14:paraId="72B26E0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2BB6E7E0">
            <w:pPr>
              <w:pStyle w:val="212"/>
            </w:pPr>
            <w:r>
              <w:t>R11</w:t>
            </w:r>
          </w:p>
        </w:tc>
        <w:tc>
          <w:tcPr>
            <w:tcW w:w="7276" w:type="dxa"/>
            <w:vAlign w:val="center"/>
          </w:tcPr>
          <w:p w14:paraId="22EA47D4">
            <w:pPr>
              <w:pStyle w:val="212"/>
            </w:pPr>
            <w:r>
              <w:t>Boohoo Group plc (2024b)</w:t>
            </w:r>
          </w:p>
        </w:tc>
        <w:tc>
          <w:tcPr>
            <w:tcW w:w="930" w:type="dxa"/>
            <w:vAlign w:val="center"/>
          </w:tcPr>
          <w:p w14:paraId="10D2667C">
            <w:pPr>
              <w:pStyle w:val="212"/>
            </w:pPr>
            <w:r>
              <w:t>D03</w:t>
            </w:r>
          </w:p>
        </w:tc>
      </w:tr>
      <w:tr w14:paraId="49C505F6">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4234BBBE">
            <w:pPr>
              <w:pStyle w:val="212"/>
            </w:pPr>
            <w:r>
              <w:t>R12</w:t>
            </w:r>
          </w:p>
        </w:tc>
        <w:tc>
          <w:tcPr>
            <w:tcW w:w="7276" w:type="dxa"/>
            <w:vAlign w:val="center"/>
          </w:tcPr>
          <w:p w14:paraId="7C134BC0">
            <w:pPr>
              <w:pStyle w:val="212"/>
            </w:pPr>
            <w:r>
              <w:t>Braun, V. and Clarke, V. (2022)</w:t>
            </w:r>
          </w:p>
        </w:tc>
        <w:tc>
          <w:tcPr>
            <w:tcW w:w="930" w:type="dxa"/>
            <w:vAlign w:val="center"/>
          </w:tcPr>
          <w:p w14:paraId="0B4DFBE4">
            <w:pPr>
              <w:pStyle w:val="212"/>
            </w:pPr>
            <w:r>
              <w:t>S</w:t>
            </w:r>
          </w:p>
        </w:tc>
      </w:tr>
      <w:tr w14:paraId="39BC1B3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268287AF">
            <w:pPr>
              <w:pStyle w:val="212"/>
            </w:pPr>
            <w:r>
              <w:t>R13</w:t>
            </w:r>
          </w:p>
        </w:tc>
        <w:tc>
          <w:tcPr>
            <w:tcW w:w="7276" w:type="dxa"/>
            <w:vAlign w:val="center"/>
          </w:tcPr>
          <w:p w14:paraId="789C0BD4">
            <w:pPr>
              <w:pStyle w:val="212"/>
            </w:pPr>
            <w:r>
              <w:t>Changing Markets Foundation (2021)</w:t>
            </w:r>
          </w:p>
        </w:tc>
        <w:tc>
          <w:tcPr>
            <w:tcW w:w="930" w:type="dxa"/>
            <w:vAlign w:val="center"/>
          </w:tcPr>
          <w:p w14:paraId="157EBA41">
            <w:pPr>
              <w:pStyle w:val="212"/>
            </w:pPr>
            <w:r>
              <w:t>D11</w:t>
            </w:r>
          </w:p>
        </w:tc>
      </w:tr>
      <w:tr w14:paraId="54C005D4">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006CF163">
            <w:pPr>
              <w:pStyle w:val="212"/>
            </w:pPr>
            <w:r>
              <w:t>R14</w:t>
            </w:r>
          </w:p>
        </w:tc>
        <w:tc>
          <w:tcPr>
            <w:tcW w:w="7276" w:type="dxa"/>
            <w:vAlign w:val="center"/>
          </w:tcPr>
          <w:p w14:paraId="6E7525B9">
            <w:pPr>
              <w:pStyle w:val="212"/>
            </w:pPr>
            <w:r>
              <w:t>Changing Markets Foundation (2022)</w:t>
            </w:r>
          </w:p>
        </w:tc>
        <w:tc>
          <w:tcPr>
            <w:tcW w:w="930" w:type="dxa"/>
            <w:vAlign w:val="center"/>
          </w:tcPr>
          <w:p w14:paraId="1F352458">
            <w:pPr>
              <w:pStyle w:val="212"/>
            </w:pPr>
            <w:r>
              <w:t>D12</w:t>
            </w:r>
          </w:p>
        </w:tc>
      </w:tr>
      <w:tr w14:paraId="5D7DB79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65AC8941">
            <w:pPr>
              <w:pStyle w:val="212"/>
            </w:pPr>
            <w:r>
              <w:t>R15</w:t>
            </w:r>
          </w:p>
        </w:tc>
        <w:tc>
          <w:tcPr>
            <w:tcW w:w="7276" w:type="dxa"/>
            <w:vAlign w:val="center"/>
          </w:tcPr>
          <w:p w14:paraId="271A6A64">
            <w:pPr>
              <w:pStyle w:val="212"/>
            </w:pPr>
            <w:r>
              <w:t>Cho, M., Ko, E. and Borenstein, B.E. (2024)</w:t>
            </w:r>
          </w:p>
        </w:tc>
        <w:tc>
          <w:tcPr>
            <w:tcW w:w="930" w:type="dxa"/>
            <w:vAlign w:val="center"/>
          </w:tcPr>
          <w:p w14:paraId="3B7047C2">
            <w:pPr>
              <w:pStyle w:val="212"/>
            </w:pPr>
            <w:r>
              <w:t>S</w:t>
            </w:r>
          </w:p>
        </w:tc>
      </w:tr>
      <w:tr w14:paraId="4DDBEC4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3AF9EF95">
            <w:pPr>
              <w:pStyle w:val="212"/>
            </w:pPr>
            <w:r>
              <w:t>R16</w:t>
            </w:r>
          </w:p>
        </w:tc>
        <w:tc>
          <w:tcPr>
            <w:tcW w:w="7276" w:type="dxa"/>
            <w:vAlign w:val="center"/>
          </w:tcPr>
          <w:p w14:paraId="2168F009">
            <w:pPr>
              <w:pStyle w:val="212"/>
            </w:pPr>
            <w:r>
              <w:t>Chun, E., Joung, H., Lim, Y.J. and Ko, E. (2021)</w:t>
            </w:r>
          </w:p>
        </w:tc>
        <w:tc>
          <w:tcPr>
            <w:tcW w:w="930" w:type="dxa"/>
            <w:vAlign w:val="center"/>
          </w:tcPr>
          <w:p w14:paraId="51CD58FE">
            <w:pPr>
              <w:pStyle w:val="212"/>
            </w:pPr>
            <w:r>
              <w:t>S</w:t>
            </w:r>
          </w:p>
        </w:tc>
      </w:tr>
      <w:tr w14:paraId="3863FD8F">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0905329F">
            <w:pPr>
              <w:pStyle w:val="212"/>
            </w:pPr>
            <w:r>
              <w:t>R17</w:t>
            </w:r>
          </w:p>
        </w:tc>
        <w:tc>
          <w:tcPr>
            <w:tcW w:w="7276" w:type="dxa"/>
            <w:vAlign w:val="center"/>
          </w:tcPr>
          <w:p w14:paraId="2773BFC6">
            <w:pPr>
              <w:pStyle w:val="212"/>
            </w:pPr>
            <w:r>
              <w:t>CMA (2021)</w:t>
            </w:r>
          </w:p>
        </w:tc>
        <w:tc>
          <w:tcPr>
            <w:tcW w:w="930" w:type="dxa"/>
            <w:vAlign w:val="center"/>
          </w:tcPr>
          <w:p w14:paraId="1E90E9BF">
            <w:pPr>
              <w:pStyle w:val="212"/>
            </w:pPr>
            <w:r>
              <w:t>D06</w:t>
            </w:r>
          </w:p>
        </w:tc>
      </w:tr>
      <w:tr w14:paraId="7C8E650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6F032120">
            <w:pPr>
              <w:pStyle w:val="212"/>
            </w:pPr>
            <w:r>
              <w:t>R18</w:t>
            </w:r>
          </w:p>
        </w:tc>
        <w:tc>
          <w:tcPr>
            <w:tcW w:w="7276" w:type="dxa"/>
            <w:vAlign w:val="center"/>
          </w:tcPr>
          <w:p w14:paraId="661AC215">
            <w:pPr>
              <w:pStyle w:val="212"/>
            </w:pPr>
            <w:r>
              <w:t>CMA (2024)</w:t>
            </w:r>
          </w:p>
        </w:tc>
        <w:tc>
          <w:tcPr>
            <w:tcW w:w="930" w:type="dxa"/>
            <w:vAlign w:val="center"/>
          </w:tcPr>
          <w:p w14:paraId="2B948A67">
            <w:pPr>
              <w:pStyle w:val="212"/>
            </w:pPr>
            <w:r>
              <w:t>D07</w:t>
            </w:r>
          </w:p>
        </w:tc>
      </w:tr>
      <w:tr w14:paraId="1F24E3B8">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7DC6FF61">
            <w:pPr>
              <w:pStyle w:val="212"/>
            </w:pPr>
            <w:r>
              <w:t>R19</w:t>
            </w:r>
          </w:p>
        </w:tc>
        <w:tc>
          <w:tcPr>
            <w:tcW w:w="7276" w:type="dxa"/>
            <w:vAlign w:val="center"/>
          </w:tcPr>
          <w:p w14:paraId="564028D8">
            <w:pPr>
              <w:pStyle w:val="212"/>
            </w:pPr>
            <w:r>
              <w:t>CMA UK (2024a)</w:t>
            </w:r>
          </w:p>
        </w:tc>
        <w:tc>
          <w:tcPr>
            <w:tcW w:w="930" w:type="dxa"/>
            <w:vAlign w:val="center"/>
          </w:tcPr>
          <w:p w14:paraId="766BC301">
            <w:pPr>
              <w:pStyle w:val="212"/>
            </w:pPr>
            <w:r>
              <w:t>D10</w:t>
            </w:r>
          </w:p>
        </w:tc>
      </w:tr>
      <w:tr w14:paraId="136A6AC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6540C1F7">
            <w:pPr>
              <w:pStyle w:val="212"/>
            </w:pPr>
            <w:r>
              <w:t>R20</w:t>
            </w:r>
          </w:p>
        </w:tc>
        <w:tc>
          <w:tcPr>
            <w:tcW w:w="7276" w:type="dxa"/>
            <w:vAlign w:val="center"/>
          </w:tcPr>
          <w:p w14:paraId="005DFC72">
            <w:pPr>
              <w:pStyle w:val="212"/>
            </w:pPr>
            <w:r>
              <w:t>Competition and Markets Authority (2024)</w:t>
            </w:r>
          </w:p>
        </w:tc>
        <w:tc>
          <w:tcPr>
            <w:tcW w:w="930" w:type="dxa"/>
            <w:vAlign w:val="center"/>
          </w:tcPr>
          <w:p w14:paraId="30AA617B">
            <w:pPr>
              <w:pStyle w:val="212"/>
            </w:pPr>
            <w:r>
              <w:t>D08</w:t>
            </w:r>
          </w:p>
        </w:tc>
      </w:tr>
      <w:tr w14:paraId="14B40B4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748F13E7">
            <w:pPr>
              <w:pStyle w:val="212"/>
            </w:pPr>
            <w:r>
              <w:t>R21</w:t>
            </w:r>
          </w:p>
        </w:tc>
        <w:tc>
          <w:tcPr>
            <w:tcW w:w="7276" w:type="dxa"/>
            <w:vAlign w:val="center"/>
          </w:tcPr>
          <w:p w14:paraId="2FFB8D4A">
            <w:pPr>
              <w:pStyle w:val="212"/>
            </w:pPr>
            <w:r>
              <w:t>Fashion Revolution (2024)</w:t>
            </w:r>
          </w:p>
        </w:tc>
        <w:tc>
          <w:tcPr>
            <w:tcW w:w="930" w:type="dxa"/>
            <w:vAlign w:val="center"/>
          </w:tcPr>
          <w:p w14:paraId="606819D6">
            <w:pPr>
              <w:pStyle w:val="212"/>
            </w:pPr>
            <w:r>
              <w:t>D13</w:t>
            </w:r>
          </w:p>
        </w:tc>
      </w:tr>
      <w:tr w14:paraId="7C7D092E">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5A22334E">
            <w:pPr>
              <w:pStyle w:val="212"/>
            </w:pPr>
            <w:r>
              <w:t>R22</w:t>
            </w:r>
          </w:p>
        </w:tc>
        <w:tc>
          <w:tcPr>
            <w:tcW w:w="7276" w:type="dxa"/>
            <w:vAlign w:val="center"/>
          </w:tcPr>
          <w:p w14:paraId="6D172939">
            <w:pPr>
              <w:pStyle w:val="212"/>
            </w:pPr>
            <w:r>
              <w:t>Garcia-Ortega, B., Galan-Cubillo, J., Llorens-Montes, F.J. and de-Miguel-Molina, B. (2023)</w:t>
            </w:r>
          </w:p>
        </w:tc>
        <w:tc>
          <w:tcPr>
            <w:tcW w:w="930" w:type="dxa"/>
            <w:vAlign w:val="center"/>
          </w:tcPr>
          <w:p w14:paraId="2C957382">
            <w:pPr>
              <w:pStyle w:val="212"/>
            </w:pPr>
            <w:r>
              <w:t>S</w:t>
            </w:r>
          </w:p>
        </w:tc>
      </w:tr>
      <w:tr w14:paraId="350F0E9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63D62A70">
            <w:pPr>
              <w:pStyle w:val="212"/>
            </w:pPr>
            <w:r>
              <w:t>R23</w:t>
            </w:r>
          </w:p>
        </w:tc>
        <w:tc>
          <w:tcPr>
            <w:tcW w:w="7276" w:type="dxa"/>
            <w:vAlign w:val="center"/>
          </w:tcPr>
          <w:p w14:paraId="2A26E6C7">
            <w:pPr>
              <w:pStyle w:val="212"/>
            </w:pPr>
            <w:r>
              <w:t>H&amp;M Group (2025)</w:t>
            </w:r>
          </w:p>
        </w:tc>
        <w:tc>
          <w:tcPr>
            <w:tcW w:w="930" w:type="dxa"/>
            <w:vAlign w:val="center"/>
          </w:tcPr>
          <w:p w14:paraId="31701CD6">
            <w:pPr>
              <w:pStyle w:val="212"/>
            </w:pPr>
            <w:r>
              <w:t>D04</w:t>
            </w:r>
          </w:p>
        </w:tc>
      </w:tr>
      <w:tr w14:paraId="1DDE8E11">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1DAF9053">
            <w:pPr>
              <w:pStyle w:val="212"/>
            </w:pPr>
            <w:r>
              <w:t>R24</w:t>
            </w:r>
          </w:p>
        </w:tc>
        <w:tc>
          <w:tcPr>
            <w:tcW w:w="7276" w:type="dxa"/>
            <w:vAlign w:val="center"/>
          </w:tcPr>
          <w:p w14:paraId="73406EFB">
            <w:pPr>
              <w:pStyle w:val="212"/>
            </w:pPr>
            <w:r>
              <w:t>Hejlova, D., Ariestya, A., Koudelkova, P. and Schneiderova, S. (2025)</w:t>
            </w:r>
          </w:p>
        </w:tc>
        <w:tc>
          <w:tcPr>
            <w:tcW w:w="930" w:type="dxa"/>
            <w:vAlign w:val="center"/>
          </w:tcPr>
          <w:p w14:paraId="09EE812F">
            <w:pPr>
              <w:pStyle w:val="212"/>
            </w:pPr>
            <w:r>
              <w:t>S</w:t>
            </w:r>
          </w:p>
        </w:tc>
      </w:tr>
      <w:tr w14:paraId="5AB2794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7DFCD92B">
            <w:pPr>
              <w:pStyle w:val="212"/>
            </w:pPr>
            <w:r>
              <w:t>R25</w:t>
            </w:r>
          </w:p>
        </w:tc>
        <w:tc>
          <w:tcPr>
            <w:tcW w:w="7276" w:type="dxa"/>
            <w:vAlign w:val="center"/>
          </w:tcPr>
          <w:p w14:paraId="68245342">
            <w:pPr>
              <w:pStyle w:val="212"/>
            </w:pPr>
            <w:r>
              <w:t>Inditex (2025)</w:t>
            </w:r>
          </w:p>
        </w:tc>
        <w:tc>
          <w:tcPr>
            <w:tcW w:w="930" w:type="dxa"/>
            <w:vAlign w:val="center"/>
          </w:tcPr>
          <w:p w14:paraId="549B08EE">
            <w:pPr>
              <w:pStyle w:val="212"/>
            </w:pPr>
            <w:r>
              <w:t>D05</w:t>
            </w:r>
          </w:p>
        </w:tc>
      </w:tr>
      <w:tr w14:paraId="58633F6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0BE2E146">
            <w:pPr>
              <w:pStyle w:val="212"/>
            </w:pPr>
            <w:r>
              <w:t>R26</w:t>
            </w:r>
          </w:p>
        </w:tc>
        <w:tc>
          <w:tcPr>
            <w:tcW w:w="7276" w:type="dxa"/>
            <w:vAlign w:val="center"/>
          </w:tcPr>
          <w:p w14:paraId="19E8FD6B">
            <w:pPr>
              <w:pStyle w:val="212"/>
            </w:pPr>
            <w:r>
              <w:t>Janmark, J., Magnus, K.-H., Marcos, I. and Wiener, E. (2024)</w:t>
            </w:r>
          </w:p>
        </w:tc>
        <w:tc>
          <w:tcPr>
            <w:tcW w:w="930" w:type="dxa"/>
            <w:vAlign w:val="center"/>
          </w:tcPr>
          <w:p w14:paraId="1A4EB42F">
            <w:pPr>
              <w:pStyle w:val="212"/>
            </w:pPr>
            <w:r>
              <w:t>D15</w:t>
            </w:r>
          </w:p>
        </w:tc>
      </w:tr>
      <w:tr w14:paraId="742E23DF">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7283FB1A">
            <w:pPr>
              <w:pStyle w:val="212"/>
            </w:pPr>
            <w:r>
              <w:t>R27</w:t>
            </w:r>
          </w:p>
        </w:tc>
        <w:tc>
          <w:tcPr>
            <w:tcW w:w="7276" w:type="dxa"/>
            <w:vAlign w:val="center"/>
          </w:tcPr>
          <w:p w14:paraId="4C45067C">
            <w:pPr>
              <w:pStyle w:val="212"/>
            </w:pPr>
            <w:r>
              <w:t>Jia, T., Iqbal, S., Ayub, A., Fatima, T. and Rasool, Z. (2023)</w:t>
            </w:r>
          </w:p>
        </w:tc>
        <w:tc>
          <w:tcPr>
            <w:tcW w:w="930" w:type="dxa"/>
            <w:vAlign w:val="center"/>
          </w:tcPr>
          <w:p w14:paraId="0F16AE6C">
            <w:pPr>
              <w:pStyle w:val="212"/>
            </w:pPr>
            <w:r>
              <w:t>S</w:t>
            </w:r>
          </w:p>
        </w:tc>
      </w:tr>
      <w:tr w14:paraId="518B792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29231C85">
            <w:pPr>
              <w:pStyle w:val="212"/>
            </w:pPr>
            <w:r>
              <w:t>R28</w:t>
            </w:r>
          </w:p>
        </w:tc>
        <w:tc>
          <w:tcPr>
            <w:tcW w:w="7276" w:type="dxa"/>
            <w:vAlign w:val="center"/>
          </w:tcPr>
          <w:p w14:paraId="4309F38E">
            <w:pPr>
              <w:pStyle w:val="212"/>
            </w:pPr>
            <w:r>
              <w:t>Jung, J., Kim, S.J. and Kim, K.H. (2020)</w:t>
            </w:r>
          </w:p>
        </w:tc>
        <w:tc>
          <w:tcPr>
            <w:tcW w:w="930" w:type="dxa"/>
            <w:vAlign w:val="center"/>
          </w:tcPr>
          <w:p w14:paraId="6FD1753C">
            <w:pPr>
              <w:pStyle w:val="212"/>
            </w:pPr>
            <w:r>
              <w:t>S</w:t>
            </w:r>
          </w:p>
        </w:tc>
      </w:tr>
      <w:tr w14:paraId="319AAF1F">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6EB3BED5">
            <w:pPr>
              <w:pStyle w:val="212"/>
            </w:pPr>
            <w:r>
              <w:t>R29</w:t>
            </w:r>
          </w:p>
        </w:tc>
        <w:tc>
          <w:tcPr>
            <w:tcW w:w="7276" w:type="dxa"/>
            <w:vAlign w:val="center"/>
          </w:tcPr>
          <w:p w14:paraId="00ACE047">
            <w:pPr>
              <w:pStyle w:val="212"/>
            </w:pPr>
            <w:r>
              <w:t>Kim, Y. and Oh, K.W. (2020)</w:t>
            </w:r>
          </w:p>
        </w:tc>
        <w:tc>
          <w:tcPr>
            <w:tcW w:w="930" w:type="dxa"/>
            <w:vAlign w:val="center"/>
          </w:tcPr>
          <w:p w14:paraId="0324B0AE">
            <w:pPr>
              <w:pStyle w:val="212"/>
            </w:pPr>
            <w:r>
              <w:t>S</w:t>
            </w:r>
          </w:p>
        </w:tc>
      </w:tr>
      <w:tr w14:paraId="6B8066D8">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163D082C">
            <w:pPr>
              <w:pStyle w:val="212"/>
            </w:pPr>
            <w:r>
              <w:t>R30</w:t>
            </w:r>
          </w:p>
        </w:tc>
        <w:tc>
          <w:tcPr>
            <w:tcW w:w="7276" w:type="dxa"/>
            <w:vAlign w:val="center"/>
          </w:tcPr>
          <w:p w14:paraId="3E6F4B40">
            <w:pPr>
              <w:pStyle w:val="212"/>
            </w:pPr>
            <w:r>
              <w:t>Lee, E.J., Bae, J. and Kim, K.H. (2020)</w:t>
            </w:r>
          </w:p>
        </w:tc>
        <w:tc>
          <w:tcPr>
            <w:tcW w:w="930" w:type="dxa"/>
            <w:vAlign w:val="center"/>
          </w:tcPr>
          <w:p w14:paraId="4EA6AE7A">
            <w:pPr>
              <w:pStyle w:val="212"/>
            </w:pPr>
            <w:r>
              <w:t>S</w:t>
            </w:r>
          </w:p>
        </w:tc>
      </w:tr>
      <w:tr w14:paraId="0C59AB8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37F65538">
            <w:pPr>
              <w:pStyle w:val="212"/>
            </w:pPr>
            <w:r>
              <w:t>R31</w:t>
            </w:r>
          </w:p>
        </w:tc>
        <w:tc>
          <w:tcPr>
            <w:tcW w:w="7276" w:type="dxa"/>
            <w:vAlign w:val="center"/>
          </w:tcPr>
          <w:p w14:paraId="00301CA4">
            <w:pPr>
              <w:pStyle w:val="212"/>
            </w:pPr>
            <w:r>
              <w:t>Li, J., Ding, H., Hu, Y. and Wan, G. (2021)</w:t>
            </w:r>
          </w:p>
        </w:tc>
        <w:tc>
          <w:tcPr>
            <w:tcW w:w="930" w:type="dxa"/>
            <w:vAlign w:val="center"/>
          </w:tcPr>
          <w:p w14:paraId="50C76424">
            <w:pPr>
              <w:pStyle w:val="212"/>
            </w:pPr>
            <w:r>
              <w:t>S</w:t>
            </w:r>
          </w:p>
        </w:tc>
      </w:tr>
      <w:tr w14:paraId="11C1E58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6714F702">
            <w:pPr>
              <w:pStyle w:val="212"/>
            </w:pPr>
            <w:r>
              <w:t>R32</w:t>
            </w:r>
          </w:p>
        </w:tc>
        <w:tc>
          <w:tcPr>
            <w:tcW w:w="7276" w:type="dxa"/>
            <w:vAlign w:val="center"/>
          </w:tcPr>
          <w:p w14:paraId="2A54F9B2">
            <w:pPr>
              <w:pStyle w:val="212"/>
            </w:pPr>
            <w:r>
              <w:t>Majeed, M.U., Aslam, S., Murtaza, S.A., Attila, S. and Molnar, E. (2022)</w:t>
            </w:r>
          </w:p>
        </w:tc>
        <w:tc>
          <w:tcPr>
            <w:tcW w:w="930" w:type="dxa"/>
            <w:vAlign w:val="center"/>
          </w:tcPr>
          <w:p w14:paraId="18FBDFB5">
            <w:pPr>
              <w:pStyle w:val="212"/>
            </w:pPr>
            <w:r>
              <w:t>S</w:t>
            </w:r>
          </w:p>
        </w:tc>
      </w:tr>
      <w:tr w14:paraId="51D19124">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568ECCB9">
            <w:pPr>
              <w:pStyle w:val="212"/>
            </w:pPr>
            <w:r>
              <w:t>R33</w:t>
            </w:r>
          </w:p>
        </w:tc>
        <w:tc>
          <w:tcPr>
            <w:tcW w:w="7276" w:type="dxa"/>
            <w:vAlign w:val="center"/>
          </w:tcPr>
          <w:p w14:paraId="3F50B1E5">
            <w:pPr>
              <w:pStyle w:val="212"/>
            </w:pPr>
            <w:r>
              <w:t>Neumann, H.L., Martinez, L.M. and Martinez, L.F. (2021)</w:t>
            </w:r>
          </w:p>
        </w:tc>
        <w:tc>
          <w:tcPr>
            <w:tcW w:w="930" w:type="dxa"/>
            <w:vAlign w:val="center"/>
          </w:tcPr>
          <w:p w14:paraId="15C56C1F">
            <w:pPr>
              <w:pStyle w:val="212"/>
            </w:pPr>
            <w:r>
              <w:t>S</w:t>
            </w:r>
          </w:p>
        </w:tc>
      </w:tr>
      <w:tr w14:paraId="2F41462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6FB9EE89">
            <w:pPr>
              <w:pStyle w:val="212"/>
            </w:pPr>
            <w:r>
              <w:t>R34</w:t>
            </w:r>
          </w:p>
        </w:tc>
        <w:tc>
          <w:tcPr>
            <w:tcW w:w="7276" w:type="dxa"/>
            <w:vAlign w:val="center"/>
          </w:tcPr>
          <w:p w14:paraId="4B010384">
            <w:pPr>
              <w:pStyle w:val="212"/>
            </w:pPr>
            <w:r>
              <w:t>Olson, E.L. (2022)</w:t>
            </w:r>
          </w:p>
        </w:tc>
        <w:tc>
          <w:tcPr>
            <w:tcW w:w="930" w:type="dxa"/>
            <w:vAlign w:val="center"/>
          </w:tcPr>
          <w:p w14:paraId="00F0C1A3">
            <w:pPr>
              <w:pStyle w:val="212"/>
            </w:pPr>
            <w:r>
              <w:t>S</w:t>
            </w:r>
          </w:p>
        </w:tc>
      </w:tr>
      <w:tr w14:paraId="2742E20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762D525B">
            <w:pPr>
              <w:pStyle w:val="212"/>
            </w:pPr>
            <w:r>
              <w:t>R35</w:t>
            </w:r>
          </w:p>
        </w:tc>
        <w:tc>
          <w:tcPr>
            <w:tcW w:w="7276" w:type="dxa"/>
            <w:vAlign w:val="center"/>
          </w:tcPr>
          <w:p w14:paraId="43BD72FE">
            <w:pPr>
              <w:pStyle w:val="212"/>
            </w:pPr>
            <w:r>
              <w:t>Papasolomou, I., Melanthiou, Y. and Tsamouridis, A. (2023)</w:t>
            </w:r>
          </w:p>
        </w:tc>
        <w:tc>
          <w:tcPr>
            <w:tcW w:w="930" w:type="dxa"/>
            <w:vAlign w:val="center"/>
          </w:tcPr>
          <w:p w14:paraId="55F15B28">
            <w:pPr>
              <w:pStyle w:val="212"/>
            </w:pPr>
            <w:r>
              <w:t>S</w:t>
            </w:r>
          </w:p>
        </w:tc>
      </w:tr>
      <w:tr w14:paraId="45CEB122">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4BE6E25E">
            <w:pPr>
              <w:pStyle w:val="212"/>
            </w:pPr>
            <w:r>
              <w:t>R36</w:t>
            </w:r>
          </w:p>
        </w:tc>
        <w:tc>
          <w:tcPr>
            <w:tcW w:w="7276" w:type="dxa"/>
            <w:vAlign w:val="center"/>
          </w:tcPr>
          <w:p w14:paraId="7386FB39">
            <w:pPr>
              <w:pStyle w:val="212"/>
            </w:pPr>
            <w:r>
              <w:t>Policarpo, M.C., Apaolaza, V., Hartmann, P., Paredes, M.R. and D'Souza, C. (2023)</w:t>
            </w:r>
          </w:p>
        </w:tc>
        <w:tc>
          <w:tcPr>
            <w:tcW w:w="930" w:type="dxa"/>
            <w:vAlign w:val="center"/>
          </w:tcPr>
          <w:p w14:paraId="1C60BA10">
            <w:pPr>
              <w:pStyle w:val="212"/>
            </w:pPr>
            <w:r>
              <w:t>S</w:t>
            </w:r>
          </w:p>
        </w:tc>
      </w:tr>
      <w:tr w14:paraId="483A8AE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256E3D78">
            <w:pPr>
              <w:pStyle w:val="212"/>
            </w:pPr>
            <w:r>
              <w:t>R37</w:t>
            </w:r>
          </w:p>
        </w:tc>
        <w:tc>
          <w:tcPr>
            <w:tcW w:w="7276" w:type="dxa"/>
            <w:vAlign w:val="center"/>
          </w:tcPr>
          <w:p w14:paraId="1138EF73">
            <w:pPr>
              <w:pStyle w:val="212"/>
            </w:pPr>
            <w:r>
              <w:t>Ragab, M.A. and Arisha, A. (2017)</w:t>
            </w:r>
          </w:p>
        </w:tc>
        <w:tc>
          <w:tcPr>
            <w:tcW w:w="930" w:type="dxa"/>
            <w:vAlign w:val="center"/>
          </w:tcPr>
          <w:p w14:paraId="5046D3DC">
            <w:pPr>
              <w:pStyle w:val="212"/>
            </w:pPr>
            <w:r>
              <w:t>S</w:t>
            </w:r>
          </w:p>
        </w:tc>
      </w:tr>
      <w:tr w14:paraId="2492F232">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08EF4338">
            <w:pPr>
              <w:pStyle w:val="212"/>
            </w:pPr>
            <w:r>
              <w:t>R38</w:t>
            </w:r>
          </w:p>
        </w:tc>
        <w:tc>
          <w:tcPr>
            <w:tcW w:w="7276" w:type="dxa"/>
            <w:vAlign w:val="center"/>
          </w:tcPr>
          <w:p w14:paraId="5DF26E85">
            <w:pPr>
              <w:pStyle w:val="212"/>
            </w:pPr>
            <w:r>
              <w:t>Rashid, Y., Rashid, A., Warraich, M.A., Sabir, S.S. and Waseem, A. (2019)</w:t>
            </w:r>
          </w:p>
        </w:tc>
        <w:tc>
          <w:tcPr>
            <w:tcW w:w="930" w:type="dxa"/>
            <w:vAlign w:val="center"/>
          </w:tcPr>
          <w:p w14:paraId="3886C07B">
            <w:pPr>
              <w:pStyle w:val="212"/>
            </w:pPr>
            <w:r>
              <w:t>S</w:t>
            </w:r>
          </w:p>
        </w:tc>
      </w:tr>
      <w:tr w14:paraId="51517A2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346234E4">
            <w:pPr>
              <w:pStyle w:val="212"/>
            </w:pPr>
            <w:r>
              <w:t>R39</w:t>
            </w:r>
          </w:p>
        </w:tc>
        <w:tc>
          <w:tcPr>
            <w:tcW w:w="7276" w:type="dxa"/>
            <w:vAlign w:val="center"/>
          </w:tcPr>
          <w:p w14:paraId="3693E8AB">
            <w:pPr>
              <w:pStyle w:val="212"/>
            </w:pPr>
            <w:r>
              <w:t>Ray, S. and Nayak, L. (2023)</w:t>
            </w:r>
          </w:p>
        </w:tc>
        <w:tc>
          <w:tcPr>
            <w:tcW w:w="930" w:type="dxa"/>
            <w:vAlign w:val="center"/>
          </w:tcPr>
          <w:p w14:paraId="6351B9CB">
            <w:pPr>
              <w:pStyle w:val="212"/>
            </w:pPr>
            <w:r>
              <w:t>S</w:t>
            </w:r>
          </w:p>
        </w:tc>
      </w:tr>
      <w:tr w14:paraId="5226B0F2">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3DC75EF1">
            <w:pPr>
              <w:pStyle w:val="212"/>
            </w:pPr>
            <w:r>
              <w:t>R40</w:t>
            </w:r>
          </w:p>
        </w:tc>
        <w:tc>
          <w:tcPr>
            <w:tcW w:w="7276" w:type="dxa"/>
            <w:vAlign w:val="center"/>
          </w:tcPr>
          <w:p w14:paraId="24920F4E">
            <w:pPr>
              <w:pStyle w:val="212"/>
            </w:pPr>
            <w:r>
              <w:t>Remake (2024)</w:t>
            </w:r>
          </w:p>
        </w:tc>
        <w:tc>
          <w:tcPr>
            <w:tcW w:w="930" w:type="dxa"/>
            <w:vAlign w:val="center"/>
          </w:tcPr>
          <w:p w14:paraId="1261EF51">
            <w:pPr>
              <w:pStyle w:val="212"/>
            </w:pPr>
            <w:r>
              <w:t>D14</w:t>
            </w:r>
          </w:p>
        </w:tc>
      </w:tr>
      <w:tr w14:paraId="07B009FA">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315F086F">
            <w:pPr>
              <w:pStyle w:val="212"/>
            </w:pPr>
            <w:r>
              <w:t>R41</w:t>
            </w:r>
          </w:p>
        </w:tc>
        <w:tc>
          <w:tcPr>
            <w:tcW w:w="7276" w:type="dxa"/>
            <w:vAlign w:val="center"/>
          </w:tcPr>
          <w:p w14:paraId="25D35FF8">
            <w:pPr>
              <w:pStyle w:val="212"/>
            </w:pPr>
            <w:r>
              <w:t>Saunders, M.N.K., Lewis, P. &amp; Thornhill, A. (2023)</w:t>
            </w:r>
          </w:p>
        </w:tc>
        <w:tc>
          <w:tcPr>
            <w:tcW w:w="930" w:type="dxa"/>
            <w:vAlign w:val="center"/>
          </w:tcPr>
          <w:p w14:paraId="3915782C">
            <w:pPr>
              <w:pStyle w:val="212"/>
            </w:pPr>
            <w:r>
              <w:t>S</w:t>
            </w:r>
          </w:p>
        </w:tc>
      </w:tr>
      <w:tr w14:paraId="3421E7B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077B7512">
            <w:pPr>
              <w:pStyle w:val="212"/>
            </w:pPr>
            <w:r>
              <w:t>R42</w:t>
            </w:r>
          </w:p>
        </w:tc>
        <w:tc>
          <w:tcPr>
            <w:tcW w:w="7276" w:type="dxa"/>
            <w:vAlign w:val="center"/>
          </w:tcPr>
          <w:p w14:paraId="2646DE53">
            <w:pPr>
              <w:pStyle w:val="212"/>
            </w:pPr>
            <w:r>
              <w:t>Snyder, H. (2019)</w:t>
            </w:r>
          </w:p>
        </w:tc>
        <w:tc>
          <w:tcPr>
            <w:tcW w:w="930" w:type="dxa"/>
            <w:vAlign w:val="center"/>
          </w:tcPr>
          <w:p w14:paraId="07CBE521">
            <w:pPr>
              <w:pStyle w:val="212"/>
            </w:pPr>
            <w:r>
              <w:t>S</w:t>
            </w:r>
          </w:p>
        </w:tc>
      </w:tr>
      <w:tr w14:paraId="741FC5B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13C28729">
            <w:pPr>
              <w:pStyle w:val="212"/>
            </w:pPr>
            <w:r>
              <w:t>R43</w:t>
            </w:r>
          </w:p>
        </w:tc>
        <w:tc>
          <w:tcPr>
            <w:tcW w:w="7276" w:type="dxa"/>
            <w:vAlign w:val="center"/>
          </w:tcPr>
          <w:p w14:paraId="28C7EE29">
            <w:pPr>
              <w:pStyle w:val="212"/>
            </w:pPr>
            <w:r>
              <w:t>Toebast-Wensink, A., Timmerman, T., Hekkert, M.P. and Broek, K.L. van den (2025)</w:t>
            </w:r>
          </w:p>
        </w:tc>
        <w:tc>
          <w:tcPr>
            <w:tcW w:w="930" w:type="dxa"/>
            <w:vAlign w:val="center"/>
          </w:tcPr>
          <w:p w14:paraId="19087290">
            <w:pPr>
              <w:pStyle w:val="212"/>
            </w:pPr>
            <w:r>
              <w:t>S</w:t>
            </w:r>
          </w:p>
        </w:tc>
      </w:tr>
      <w:tr w14:paraId="201C99C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01F101A8">
            <w:pPr>
              <w:pStyle w:val="212"/>
            </w:pPr>
            <w:r>
              <w:t>R44</w:t>
            </w:r>
          </w:p>
        </w:tc>
        <w:tc>
          <w:tcPr>
            <w:tcW w:w="7276" w:type="dxa"/>
            <w:vAlign w:val="center"/>
          </w:tcPr>
          <w:p w14:paraId="15D94D65">
            <w:pPr>
              <w:pStyle w:val="212"/>
            </w:pPr>
            <w:r>
              <w:t>Welch, C., Paavilainen-Mäntymäki, E., Piekkari, R. and Plakoyiannaki, E. (2022)</w:t>
            </w:r>
          </w:p>
        </w:tc>
        <w:tc>
          <w:tcPr>
            <w:tcW w:w="930" w:type="dxa"/>
            <w:vAlign w:val="center"/>
          </w:tcPr>
          <w:p w14:paraId="4C7ADA7C">
            <w:pPr>
              <w:pStyle w:val="212"/>
            </w:pPr>
            <w:r>
              <w:t>S</w:t>
            </w:r>
          </w:p>
        </w:tc>
      </w:tr>
      <w:tr w14:paraId="3C9F10F8">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0443E26D">
            <w:pPr>
              <w:pStyle w:val="212"/>
            </w:pPr>
            <w:r>
              <w:t>R45</w:t>
            </w:r>
          </w:p>
        </w:tc>
        <w:tc>
          <w:tcPr>
            <w:tcW w:w="7276" w:type="dxa"/>
            <w:vAlign w:val="center"/>
          </w:tcPr>
          <w:p w14:paraId="3B522A7E">
            <w:pPr>
              <w:pStyle w:val="212"/>
            </w:pPr>
            <w:r>
              <w:t>Welch, C., Piekkari, R., Plakoyiannaki, E. and Paavilainen-Mäntymäki, E. (2019)</w:t>
            </w:r>
          </w:p>
        </w:tc>
        <w:tc>
          <w:tcPr>
            <w:tcW w:w="930" w:type="dxa"/>
            <w:vAlign w:val="center"/>
          </w:tcPr>
          <w:p w14:paraId="5A34F4C5">
            <w:pPr>
              <w:pStyle w:val="212"/>
            </w:pPr>
            <w:r>
              <w:t>S</w:t>
            </w:r>
          </w:p>
        </w:tc>
      </w:tr>
      <w:tr w14:paraId="293D346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3D5AC70C">
            <w:pPr>
              <w:pStyle w:val="212"/>
            </w:pPr>
            <w:r>
              <w:t>R46</w:t>
            </w:r>
          </w:p>
        </w:tc>
        <w:tc>
          <w:tcPr>
            <w:tcW w:w="7276" w:type="dxa"/>
            <w:vAlign w:val="center"/>
          </w:tcPr>
          <w:p w14:paraId="5E92DFBD">
            <w:pPr>
              <w:pStyle w:val="212"/>
            </w:pPr>
            <w:r>
              <w:t>WRAP (2024)</w:t>
            </w:r>
          </w:p>
        </w:tc>
        <w:tc>
          <w:tcPr>
            <w:tcW w:w="930" w:type="dxa"/>
            <w:vAlign w:val="center"/>
          </w:tcPr>
          <w:p w14:paraId="439E4155">
            <w:pPr>
              <w:pStyle w:val="212"/>
            </w:pPr>
            <w:r>
              <w:t>X03</w:t>
            </w:r>
          </w:p>
        </w:tc>
      </w:tr>
      <w:tr w14:paraId="39C2225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820" w:type="dxa"/>
            <w:vAlign w:val="center"/>
          </w:tcPr>
          <w:p w14:paraId="2C0FCA5A">
            <w:pPr>
              <w:pStyle w:val="212"/>
            </w:pPr>
            <w:r>
              <w:t>R47</w:t>
            </w:r>
          </w:p>
        </w:tc>
        <w:tc>
          <w:tcPr>
            <w:tcW w:w="7276" w:type="dxa"/>
            <w:vAlign w:val="center"/>
          </w:tcPr>
          <w:p w14:paraId="74D2B95B">
            <w:pPr>
              <w:pStyle w:val="212"/>
            </w:pPr>
            <w:r>
              <w:t>Yin, R.K. (2018)</w:t>
            </w:r>
          </w:p>
        </w:tc>
        <w:tc>
          <w:tcPr>
            <w:tcW w:w="930" w:type="dxa"/>
            <w:vAlign w:val="center"/>
          </w:tcPr>
          <w:p w14:paraId="531DD005">
            <w:pPr>
              <w:pStyle w:val="212"/>
            </w:pPr>
            <w:r>
              <w:t>S</w:t>
            </w:r>
          </w:p>
        </w:tc>
      </w:tr>
    </w:tbl>
    <w:p w14:paraId="67AB3060">
      <w:r>
        <w:br w:type="page"/>
      </w:r>
    </w:p>
    <w:p w14:paraId="2D6BC07F">
      <w:pPr>
        <w:pStyle w:val="2"/>
      </w:pPr>
      <w:bookmarkStart w:id="92" w:name="_Toc240757400"/>
      <w:r>
        <w:t>Appendix C: Evidence hierarchy and confidence rules</w:t>
      </w:r>
      <w:bookmarkEnd w:id="92"/>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1760"/>
        <w:gridCol w:w="3600"/>
        <w:gridCol w:w="3666"/>
      </w:tblGrid>
      <w:tr w14:paraId="77F80A8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1760" w:type="dxa"/>
            <w:shd w:val="clear" w:color="auto" w:fill="F2F4F7"/>
            <w:vAlign w:val="center"/>
          </w:tcPr>
          <w:p w14:paraId="19C49803">
            <w:pPr>
              <w:pStyle w:val="213"/>
            </w:pPr>
            <w:r>
              <w:t>Evidence type</w:t>
            </w:r>
          </w:p>
        </w:tc>
        <w:tc>
          <w:tcPr>
            <w:tcW w:w="3600" w:type="dxa"/>
            <w:shd w:val="clear" w:color="auto" w:fill="F2F4F7"/>
            <w:vAlign w:val="center"/>
          </w:tcPr>
          <w:p w14:paraId="260876B2">
            <w:pPr>
              <w:pStyle w:val="213"/>
            </w:pPr>
            <w:r>
              <w:t>Strongest warranted use</w:t>
            </w:r>
          </w:p>
        </w:tc>
        <w:tc>
          <w:tcPr>
            <w:tcW w:w="3666" w:type="dxa"/>
            <w:shd w:val="clear" w:color="auto" w:fill="F2F4F7"/>
            <w:vAlign w:val="center"/>
          </w:tcPr>
          <w:p w14:paraId="2DBE48B5">
            <w:pPr>
              <w:pStyle w:val="213"/>
            </w:pPr>
            <w:r>
              <w:t>Boundary</w:t>
            </w:r>
          </w:p>
        </w:tc>
      </w:tr>
      <w:tr w14:paraId="2CE8DD2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60" w:type="dxa"/>
            <w:vAlign w:val="center"/>
          </w:tcPr>
          <w:p w14:paraId="01B83DBA">
            <w:pPr>
              <w:pStyle w:val="212"/>
            </w:pPr>
            <w:r>
              <w:t>Regulatory action</w:t>
            </w:r>
          </w:p>
        </w:tc>
        <w:tc>
          <w:tcPr>
            <w:tcW w:w="3600" w:type="dxa"/>
            <w:vAlign w:val="center"/>
          </w:tcPr>
          <w:p w14:paraId="1424BEE5">
            <w:pPr>
              <w:pStyle w:val="212"/>
            </w:pPr>
            <w:r>
              <w:t>Establishes the action, issuer, timing and stated requirements.</w:t>
            </w:r>
          </w:p>
        </w:tc>
        <w:tc>
          <w:tcPr>
            <w:tcW w:w="3666" w:type="dxa"/>
            <w:vAlign w:val="center"/>
          </w:tcPr>
          <w:p w14:paraId="60BC251E">
            <w:pPr>
              <w:pStyle w:val="212"/>
            </w:pPr>
            <w:r>
              <w:t>Does not establish consumer attitude change; voluntary undertakings retain legal caveats.</w:t>
            </w:r>
          </w:p>
        </w:tc>
      </w:tr>
      <w:tr w14:paraId="7665F191">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60" w:type="dxa"/>
            <w:vAlign w:val="center"/>
          </w:tcPr>
          <w:p w14:paraId="7C78A7D5">
            <w:pPr>
              <w:pStyle w:val="212"/>
            </w:pPr>
            <w:r>
              <w:t>Legislation / guidance</w:t>
            </w:r>
          </w:p>
        </w:tc>
        <w:tc>
          <w:tcPr>
            <w:tcW w:w="3600" w:type="dxa"/>
            <w:vAlign w:val="center"/>
          </w:tcPr>
          <w:p w14:paraId="3BCB9CF3">
            <w:pPr>
              <w:pStyle w:val="212"/>
            </w:pPr>
            <w:r>
              <w:t>Defines institutional context and applicable analytical standards.</w:t>
            </w:r>
          </w:p>
        </w:tc>
        <w:tc>
          <w:tcPr>
            <w:tcW w:w="3666" w:type="dxa"/>
            <w:vAlign w:val="center"/>
          </w:tcPr>
          <w:p w14:paraId="0D50F8D0">
            <w:pPr>
              <w:pStyle w:val="212"/>
            </w:pPr>
            <w:r>
              <w:t>A generic example is not a finding against a named case; commencement and liability are not inferred.</w:t>
            </w:r>
          </w:p>
        </w:tc>
      </w:tr>
      <w:tr w14:paraId="30A103D1">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60" w:type="dxa"/>
            <w:vAlign w:val="center"/>
          </w:tcPr>
          <w:p w14:paraId="3FF135BF">
            <w:pPr>
              <w:pStyle w:val="212"/>
            </w:pPr>
            <w:r>
              <w:t>Corporate report / testimony</w:t>
            </w:r>
          </w:p>
        </w:tc>
        <w:tc>
          <w:tcPr>
            <w:tcW w:w="3600" w:type="dxa"/>
            <w:vAlign w:val="center"/>
          </w:tcPr>
          <w:p w14:paraId="23A7B3C9">
            <w:pPr>
              <w:pStyle w:val="212"/>
            </w:pPr>
            <w:r>
              <w:t>Establishes what the organisation reported, including qualifications and admissions.</w:t>
            </w:r>
          </w:p>
        </w:tc>
        <w:tc>
          <w:tcPr>
            <w:tcW w:w="3666" w:type="dxa"/>
            <w:vAlign w:val="center"/>
          </w:tcPr>
          <w:p w14:paraId="73A8DFDD">
            <w:pPr>
              <w:pStyle w:val="212"/>
            </w:pPr>
            <w:r>
              <w:t>Not independently verified merely because published in an annual report or hosted by Parliament.</w:t>
            </w:r>
          </w:p>
        </w:tc>
      </w:tr>
      <w:tr w14:paraId="10F91AD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60" w:type="dxa"/>
            <w:vAlign w:val="center"/>
          </w:tcPr>
          <w:p w14:paraId="2C1C3D5F">
            <w:pPr>
              <w:pStyle w:val="212"/>
            </w:pPr>
            <w:r>
              <w:t>Selected assurance</w:t>
            </w:r>
          </w:p>
        </w:tc>
        <w:tc>
          <w:tcPr>
            <w:tcW w:w="3600" w:type="dxa"/>
            <w:vAlign w:val="center"/>
          </w:tcPr>
          <w:p w14:paraId="526B3430">
            <w:pPr>
              <w:pStyle w:val="212"/>
            </w:pPr>
            <w:r>
              <w:t>Supports only the specified information, criteria and assurance level.</w:t>
            </w:r>
          </w:p>
        </w:tc>
        <w:tc>
          <w:tcPr>
            <w:tcW w:w="3666" w:type="dxa"/>
            <w:vAlign w:val="center"/>
          </w:tcPr>
          <w:p w14:paraId="75BDE4A2">
            <w:pPr>
              <w:pStyle w:val="212"/>
            </w:pPr>
            <w:r>
              <w:t>Does not validate every product claim or certify whole-brand sustainability.</w:t>
            </w:r>
          </w:p>
        </w:tc>
      </w:tr>
      <w:tr w14:paraId="5A73810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60" w:type="dxa"/>
            <w:vAlign w:val="center"/>
          </w:tcPr>
          <w:p w14:paraId="3F871A25">
            <w:pPr>
              <w:pStyle w:val="212"/>
            </w:pPr>
            <w:r>
              <w:t>NGO report / summary</w:t>
            </w:r>
          </w:p>
        </w:tc>
        <w:tc>
          <w:tcPr>
            <w:tcW w:w="3600" w:type="dxa"/>
            <w:vAlign w:val="center"/>
          </w:tcPr>
          <w:p w14:paraId="3D02E332">
            <w:pPr>
              <w:pStyle w:val="212"/>
            </w:pPr>
            <w:r>
              <w:t>Documents an external framing within a stated sample and method.</w:t>
            </w:r>
          </w:p>
        </w:tc>
        <w:tc>
          <w:tcPr>
            <w:tcW w:w="3666" w:type="dxa"/>
            <w:vAlign w:val="center"/>
          </w:tcPr>
          <w:p w14:paraId="32D2C244">
            <w:pPr>
              <w:pStyle w:val="212"/>
            </w:pPr>
            <w:r>
              <w:t>Campaign priorities and reused corporate disclosure limit independence; summaries do not supply unseen scores.</w:t>
            </w:r>
          </w:p>
        </w:tc>
      </w:tr>
      <w:tr w14:paraId="1A4FE6EA">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60" w:type="dxa"/>
            <w:vAlign w:val="center"/>
          </w:tcPr>
          <w:p w14:paraId="1C298040">
            <w:pPr>
              <w:pStyle w:val="212"/>
            </w:pPr>
            <w:r>
              <w:t>Industry modelling</w:t>
            </w:r>
          </w:p>
        </w:tc>
        <w:tc>
          <w:tcPr>
            <w:tcW w:w="3600" w:type="dxa"/>
            <w:vAlign w:val="center"/>
          </w:tcPr>
          <w:p w14:paraId="7F29CC25">
            <w:pPr>
              <w:pStyle w:val="212"/>
            </w:pPr>
            <w:r>
              <w:t>Supplies contextual mechanisms and methodological comparisons.</w:t>
            </w:r>
          </w:p>
        </w:tc>
        <w:tc>
          <w:tcPr>
            <w:tcW w:w="3666" w:type="dxa"/>
            <w:vAlign w:val="center"/>
          </w:tcPr>
          <w:p w14:paraId="0189B0CA">
            <w:pPr>
              <w:pStyle w:val="212"/>
            </w:pPr>
            <w:r>
              <w:t>A model or proxy is not a measured outcome for these five cases.</w:t>
            </w:r>
          </w:p>
        </w:tc>
      </w:tr>
    </w:tbl>
    <w:p w14:paraId="065A54F6">
      <w:pPr>
        <w:pStyle w:val="3"/>
      </w:pPr>
      <w:bookmarkStart w:id="93" w:name="_Toc240757401"/>
      <w:r>
        <w:t>C2. Confidence calibration</w:t>
      </w:r>
      <w:bookmarkEnd w:id="93"/>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1400"/>
        <w:gridCol w:w="3800"/>
        <w:gridCol w:w="3826"/>
      </w:tblGrid>
      <w:tr w14:paraId="69C0D42B">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1400" w:type="dxa"/>
            <w:shd w:val="clear" w:color="auto" w:fill="F2F4F7"/>
            <w:vAlign w:val="center"/>
          </w:tcPr>
          <w:p w14:paraId="527A17F4">
            <w:pPr>
              <w:pStyle w:val="213"/>
            </w:pPr>
            <w:r>
              <w:t>Label</w:t>
            </w:r>
          </w:p>
        </w:tc>
        <w:tc>
          <w:tcPr>
            <w:tcW w:w="3800" w:type="dxa"/>
            <w:shd w:val="clear" w:color="auto" w:fill="F2F4F7"/>
            <w:vAlign w:val="center"/>
          </w:tcPr>
          <w:p w14:paraId="30F5BEC6">
            <w:pPr>
              <w:pStyle w:val="213"/>
            </w:pPr>
            <w:r>
              <w:t>Rule</w:t>
            </w:r>
          </w:p>
        </w:tc>
        <w:tc>
          <w:tcPr>
            <w:tcW w:w="3826" w:type="dxa"/>
            <w:shd w:val="clear" w:color="auto" w:fill="F2F4F7"/>
            <w:vAlign w:val="center"/>
          </w:tcPr>
          <w:p w14:paraId="5EA48CF7">
            <w:pPr>
              <w:pStyle w:val="213"/>
            </w:pPr>
            <w:r>
              <w:t>Example</w:t>
            </w:r>
          </w:p>
        </w:tc>
      </w:tr>
      <w:tr w14:paraId="5DA034E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400" w:type="dxa"/>
            <w:vAlign w:val="center"/>
          </w:tcPr>
          <w:p w14:paraId="259859CD">
            <w:pPr>
              <w:pStyle w:val="212"/>
            </w:pPr>
            <w:r>
              <w:t>High</w:t>
            </w:r>
          </w:p>
        </w:tc>
        <w:tc>
          <w:tcPr>
            <w:tcW w:w="3800" w:type="dxa"/>
            <w:vAlign w:val="center"/>
          </w:tcPr>
          <w:p w14:paraId="60B9E1B1">
            <w:pPr>
              <w:pStyle w:val="212"/>
            </w:pPr>
            <w:r>
              <w:t>Direct, locatable support for a narrow descriptive statement.</w:t>
            </w:r>
          </w:p>
        </w:tc>
        <w:tc>
          <w:tcPr>
            <w:tcW w:w="3826" w:type="dxa"/>
            <w:vAlign w:val="center"/>
          </w:tcPr>
          <w:p w14:paraId="5614236F">
            <w:pPr>
              <w:pStyle w:val="212"/>
            </w:pPr>
            <w:r>
              <w:t>D03 states the material-share decline.</w:t>
            </w:r>
          </w:p>
        </w:tc>
      </w:tr>
      <w:tr w14:paraId="0767537A">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400" w:type="dxa"/>
            <w:vAlign w:val="center"/>
          </w:tcPr>
          <w:p w14:paraId="6619C0F4">
            <w:pPr>
              <w:pStyle w:val="212"/>
            </w:pPr>
            <w:r>
              <w:t>Moderate</w:t>
            </w:r>
          </w:p>
        </w:tc>
        <w:tc>
          <w:tcPr>
            <w:tcW w:w="3800" w:type="dxa"/>
            <w:vAlign w:val="center"/>
          </w:tcPr>
          <w:p w14:paraId="050C3E57">
            <w:pPr>
              <w:pStyle w:val="212"/>
            </w:pPr>
            <w:r>
              <w:t>Bounded interpretation combining relevant evidence with acknowledged limits.</w:t>
            </w:r>
          </w:p>
        </w:tc>
        <w:tc>
          <w:tcPr>
            <w:tcW w:w="3826" w:type="dxa"/>
            <w:vAlign w:val="center"/>
          </w:tcPr>
          <w:p w14:paraId="41C04016">
            <w:pPr>
              <w:pStyle w:val="212"/>
            </w:pPr>
            <w:r>
              <w:t>The decline constrains a simple progress narrative.</w:t>
            </w:r>
          </w:p>
        </w:tc>
      </w:tr>
      <w:tr w14:paraId="0AE90731">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400" w:type="dxa"/>
            <w:vAlign w:val="center"/>
          </w:tcPr>
          <w:p w14:paraId="21FA2DBD">
            <w:pPr>
              <w:pStyle w:val="212"/>
            </w:pPr>
            <w:r>
              <w:t>Low</w:t>
            </w:r>
          </w:p>
        </w:tc>
        <w:tc>
          <w:tcPr>
            <w:tcW w:w="3800" w:type="dxa"/>
            <w:vAlign w:val="center"/>
          </w:tcPr>
          <w:p w14:paraId="15B96AE7">
            <w:pPr>
              <w:pStyle w:val="212"/>
            </w:pPr>
            <w:r>
              <w:t>Indirect attribution, incomplete coverage or unmeasured outcome.</w:t>
            </w:r>
          </w:p>
        </w:tc>
        <w:tc>
          <w:tcPr>
            <w:tcW w:w="3826" w:type="dxa"/>
            <w:vAlign w:val="center"/>
          </w:tcPr>
          <w:p w14:paraId="0546DF16">
            <w:pPr>
              <w:pStyle w:val="212"/>
            </w:pPr>
            <w:r>
              <w:t>An inferred change in Boohoo customer trust.</w:t>
            </w:r>
          </w:p>
        </w:tc>
      </w:tr>
      <w:tr w14:paraId="35229AEA">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400" w:type="dxa"/>
            <w:vAlign w:val="center"/>
          </w:tcPr>
          <w:p w14:paraId="28C59F1F">
            <w:pPr>
              <w:pStyle w:val="212"/>
            </w:pPr>
            <w:r>
              <w:t>Unavailable</w:t>
            </w:r>
          </w:p>
        </w:tc>
        <w:tc>
          <w:tcPr>
            <w:tcW w:w="3800" w:type="dxa"/>
            <w:vAlign w:val="center"/>
          </w:tcPr>
          <w:p w14:paraId="40762434">
            <w:pPr>
              <w:pStyle w:val="212"/>
            </w:pPr>
            <w:r>
              <w:t>No inspected evidence adequate to judge the proposition.</w:t>
            </w:r>
          </w:p>
        </w:tc>
        <w:tc>
          <w:tcPr>
            <w:tcW w:w="3826" w:type="dxa"/>
            <w:vAlign w:val="center"/>
          </w:tcPr>
          <w:p w14:paraId="0F57C4B9">
            <w:pPr>
              <w:pStyle w:val="212"/>
            </w:pPr>
            <w:r>
              <w:t>Primark’s current campaign specificity in the retained corpus.</w:t>
            </w:r>
          </w:p>
        </w:tc>
      </w:tr>
    </w:tbl>
    <w:p w14:paraId="0B9DD535">
      <w:pPr>
        <w:pStyle w:val="214"/>
      </w:pPr>
      <w:r>
        <w:t>No numerical weights or aggregated brand scores are calculated. Unavailable information is not zero performance. Authority is proposition-specific: an official decision has high authority for legal intervention, whereas a corporate report may be the primary source for the precise claim being assessed.</w:t>
      </w:r>
    </w:p>
    <w:p w14:paraId="41090FB2">
      <w:r>
        <w:br w:type="page"/>
      </w:r>
    </w:p>
    <w:p w14:paraId="13ABF768">
      <w:pPr>
        <w:pStyle w:val="2"/>
      </w:pPr>
      <w:bookmarkStart w:id="94" w:name="_Toc240757402"/>
      <w:r>
        <w:t>Appendix D: Source-linked evidence and worked coding</w:t>
      </w:r>
      <w:bookmarkEnd w:id="94"/>
    </w:p>
    <w:p w14:paraId="473F1F28">
      <w:pPr>
        <w:pStyle w:val="214"/>
      </w:pPr>
      <w:r>
        <w:t>Twenty-four selected segments constitute the compact coding trail for this reanalysis. Q marks a short exact quotation; P marks a researcher paraphrase. Each locator resolves through Appendix B. Bracketed conclusions in the main text are not passed off as participant statements. The corpus contains no interview or survey participants.</w:t>
      </w:r>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2100"/>
        <w:gridCol w:w="4910"/>
        <w:gridCol w:w="2016"/>
      </w:tblGrid>
      <w:tr w14:paraId="4A4B5C0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2100" w:type="dxa"/>
            <w:shd w:val="clear" w:color="auto" w:fill="F2F4F7"/>
            <w:vAlign w:val="center"/>
          </w:tcPr>
          <w:p w14:paraId="5B9B1B38">
            <w:pPr>
              <w:pStyle w:val="213"/>
            </w:pPr>
            <w:r>
              <w:t>Extract / source / locator</w:t>
            </w:r>
          </w:p>
        </w:tc>
        <w:tc>
          <w:tcPr>
            <w:tcW w:w="4910" w:type="dxa"/>
            <w:shd w:val="clear" w:color="auto" w:fill="F2F4F7"/>
            <w:vAlign w:val="center"/>
          </w:tcPr>
          <w:p w14:paraId="68701D71">
            <w:pPr>
              <w:pStyle w:val="213"/>
            </w:pPr>
            <w:r>
              <w:t>Evidence segment</w:t>
            </w:r>
          </w:p>
        </w:tc>
        <w:tc>
          <w:tcPr>
            <w:tcW w:w="2016" w:type="dxa"/>
            <w:shd w:val="clear" w:color="auto" w:fill="F2F4F7"/>
            <w:vAlign w:val="center"/>
          </w:tcPr>
          <w:p w14:paraId="302659AF">
            <w:pPr>
              <w:pStyle w:val="213"/>
            </w:pPr>
            <w:r>
              <w:t>Applied codes / question</w:t>
            </w:r>
          </w:p>
        </w:tc>
      </w:tr>
      <w:tr w14:paraId="0B7C635B">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48173185">
            <w:pPr>
              <w:pStyle w:val="212"/>
            </w:pPr>
            <w:r>
              <w:t>E01 | D02</w:t>
            </w:r>
            <w:r>
              <w:br w:type="textWrapping"/>
            </w:r>
            <w:r>
              <w:t>Our approach to sustainability</w:t>
            </w:r>
          </w:p>
        </w:tc>
        <w:tc>
          <w:tcPr>
            <w:tcW w:w="4910" w:type="dxa"/>
            <w:vAlign w:val="center"/>
          </w:tcPr>
          <w:p w14:paraId="3CD38A24">
            <w:pPr>
              <w:pStyle w:val="212"/>
            </w:pPr>
            <w:r>
              <w:t>Q: “Planet”; “Product”; “People”.</w:t>
            </w:r>
          </w:p>
        </w:tc>
        <w:tc>
          <w:tcPr>
            <w:tcW w:w="2016" w:type="dxa"/>
            <w:vAlign w:val="center"/>
          </w:tcPr>
          <w:p w14:paraId="1A676437">
            <w:pPr>
              <w:pStyle w:val="212"/>
            </w:pPr>
            <w:r>
              <w:t>K05</w:t>
            </w:r>
            <w:r>
              <w:br w:type="textWrapping"/>
            </w:r>
            <w:r>
              <w:t>RQ1</w:t>
            </w:r>
          </w:p>
        </w:tc>
      </w:tr>
      <w:tr w14:paraId="368AC27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3DFC5793">
            <w:pPr>
              <w:pStyle w:val="212"/>
            </w:pPr>
            <w:r>
              <w:t>E02 | D01</w:t>
            </w:r>
            <w:r>
              <w:br w:type="textWrapping"/>
            </w:r>
            <w:r>
              <w:t>PDF p. 33; circular business models</w:t>
            </w:r>
          </w:p>
        </w:tc>
        <w:tc>
          <w:tcPr>
            <w:tcW w:w="4910" w:type="dxa"/>
            <w:vAlign w:val="center"/>
          </w:tcPr>
          <w:p w14:paraId="14B8811D">
            <w:pPr>
              <w:pStyle w:val="212"/>
            </w:pPr>
            <w:r>
              <w:t>Q: “less progress on our care and repair propositions than planned”. P: The surrounding passage also describes vintage and rental provision.</w:t>
            </w:r>
          </w:p>
        </w:tc>
        <w:tc>
          <w:tcPr>
            <w:tcW w:w="2016" w:type="dxa"/>
            <w:vAlign w:val="center"/>
          </w:tcPr>
          <w:p w14:paraId="053DFFCB">
            <w:pPr>
              <w:pStyle w:val="212"/>
            </w:pPr>
            <w:r>
              <w:t>K03, K04</w:t>
            </w:r>
            <w:r>
              <w:br w:type="textWrapping"/>
            </w:r>
            <w:r>
              <w:t>RQ1; RQ3</w:t>
            </w:r>
          </w:p>
        </w:tc>
      </w:tr>
      <w:tr w14:paraId="4B44545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045275FF">
            <w:pPr>
              <w:pStyle w:val="212"/>
            </w:pPr>
            <w:r>
              <w:t>E03 | D01</w:t>
            </w:r>
            <w:r>
              <w:br w:type="textWrapping"/>
            </w:r>
            <w:r>
              <w:t>PDF p. 91; internal audits completed in FY25</w:t>
            </w:r>
          </w:p>
        </w:tc>
        <w:tc>
          <w:tcPr>
            <w:tcW w:w="4910" w:type="dxa"/>
            <w:vAlign w:val="center"/>
          </w:tcPr>
          <w:p w14:paraId="6A855E4C">
            <w:pPr>
              <w:pStyle w:val="212"/>
            </w:pPr>
            <w:r>
              <w:t>Q: “CMA Undertaking – Reporting Assurance”.</w:t>
            </w:r>
          </w:p>
        </w:tc>
        <w:tc>
          <w:tcPr>
            <w:tcW w:w="2016" w:type="dxa"/>
            <w:vAlign w:val="center"/>
          </w:tcPr>
          <w:p w14:paraId="197F7F53">
            <w:pPr>
              <w:pStyle w:val="212"/>
            </w:pPr>
            <w:r>
              <w:t>K12</w:t>
            </w:r>
            <w:r>
              <w:br w:type="textWrapping"/>
            </w:r>
            <w:r>
              <w:t>RQ3</w:t>
            </w:r>
          </w:p>
        </w:tc>
      </w:tr>
      <w:tr w14:paraId="0516B3A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1764687F">
            <w:pPr>
              <w:pStyle w:val="212"/>
            </w:pPr>
            <w:r>
              <w:t>E04 | D03</w:t>
            </w:r>
            <w:r>
              <w:br w:type="textWrapping"/>
            </w:r>
            <w:r>
              <w:t>Material Mix; progress paragraph</w:t>
            </w:r>
          </w:p>
        </w:tc>
        <w:tc>
          <w:tcPr>
            <w:tcW w:w="4910" w:type="dxa"/>
            <w:vAlign w:val="center"/>
          </w:tcPr>
          <w:p w14:paraId="02099048">
            <w:pPr>
              <w:pStyle w:val="212"/>
            </w:pPr>
            <w:r>
              <w:t>Q: “we dropped to 21% in 2022 and then further to 16% in 2023”. P: The preceding comparator is 23% in 2021.</w:t>
            </w:r>
          </w:p>
        </w:tc>
        <w:tc>
          <w:tcPr>
            <w:tcW w:w="2016" w:type="dxa"/>
            <w:vAlign w:val="center"/>
          </w:tcPr>
          <w:p w14:paraId="43F0B9DA">
            <w:pPr>
              <w:pStyle w:val="212"/>
            </w:pPr>
            <w:r>
              <w:t>K02, K06</w:t>
            </w:r>
            <w:r>
              <w:br w:type="textWrapping"/>
            </w:r>
            <w:r>
              <w:t>RQ1; RQ3</w:t>
            </w:r>
          </w:p>
        </w:tc>
      </w:tr>
      <w:tr w14:paraId="4B787AEE">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52F77EF0">
            <w:pPr>
              <w:pStyle w:val="212"/>
            </w:pPr>
            <w:r>
              <w:t>E05 | D03</w:t>
            </w:r>
            <w:r>
              <w:br w:type="textWrapping"/>
            </w:r>
            <w:r>
              <w:t>Material Mix; target list</w:t>
            </w:r>
          </w:p>
        </w:tc>
        <w:tc>
          <w:tcPr>
            <w:tcW w:w="4910" w:type="dxa"/>
            <w:vAlign w:val="center"/>
          </w:tcPr>
          <w:p w14:paraId="7BCD9287">
            <w:pPr>
              <w:pStyle w:val="212"/>
            </w:pPr>
            <w:r>
              <w:t>P: The company lists material commitments for 2025 and an ambition covering all garment materials by 2030. These are targets.</w:t>
            </w:r>
          </w:p>
        </w:tc>
        <w:tc>
          <w:tcPr>
            <w:tcW w:w="2016" w:type="dxa"/>
            <w:vAlign w:val="center"/>
          </w:tcPr>
          <w:p w14:paraId="187B40FA">
            <w:pPr>
              <w:pStyle w:val="212"/>
            </w:pPr>
            <w:r>
              <w:t>K01, K13</w:t>
            </w:r>
            <w:r>
              <w:br w:type="textWrapping"/>
            </w:r>
            <w:r>
              <w:t>RQ1; RQ3</w:t>
            </w:r>
          </w:p>
        </w:tc>
      </w:tr>
      <w:tr w14:paraId="7F626EA8">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6810DA92">
            <w:pPr>
              <w:pStyle w:val="212"/>
            </w:pPr>
            <w:r>
              <w:t>E06 | D04</w:t>
            </w:r>
            <w:r>
              <w:br w:type="textWrapping"/>
            </w:r>
            <w:r>
              <w:t>PDF p. 57; auditor’s limited assurance report</w:t>
            </w:r>
          </w:p>
        </w:tc>
        <w:tc>
          <w:tcPr>
            <w:tcW w:w="4910" w:type="dxa"/>
            <w:vAlign w:val="center"/>
          </w:tcPr>
          <w:p w14:paraId="699DF245">
            <w:pPr>
              <w:pStyle w:val="212"/>
            </w:pPr>
            <w:r>
              <w:t>Q: “limited assurance engagement on selected sustainability information”.</w:t>
            </w:r>
          </w:p>
        </w:tc>
        <w:tc>
          <w:tcPr>
            <w:tcW w:w="2016" w:type="dxa"/>
            <w:vAlign w:val="center"/>
          </w:tcPr>
          <w:p w14:paraId="6B643C19">
            <w:pPr>
              <w:pStyle w:val="212"/>
            </w:pPr>
            <w:r>
              <w:t>K10</w:t>
            </w:r>
            <w:r>
              <w:br w:type="textWrapping"/>
            </w:r>
            <w:r>
              <w:t>RQ2</w:t>
            </w:r>
          </w:p>
        </w:tc>
      </w:tr>
      <w:tr w14:paraId="39069F4E">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7E3C32AA">
            <w:pPr>
              <w:pStyle w:val="212"/>
            </w:pPr>
            <w:r>
              <w:t>E07 | D04</w:t>
            </w:r>
            <w:r>
              <w:br w:type="textWrapping"/>
            </w:r>
            <w:r>
              <w:t>PDF p. 40; Materials table, 2024 column</w:t>
            </w:r>
          </w:p>
        </w:tc>
        <w:tc>
          <w:tcPr>
            <w:tcW w:w="4910" w:type="dxa"/>
            <w:vAlign w:val="center"/>
          </w:tcPr>
          <w:p w14:paraId="6670ABE7">
            <w:pPr>
              <w:pStyle w:val="212"/>
            </w:pPr>
            <w:r>
              <w:t>P: Group reporting gives 89% recycled or sustainably sourced materials and 29.5% recycled materials. The latter is a subset.</w:t>
            </w:r>
          </w:p>
        </w:tc>
        <w:tc>
          <w:tcPr>
            <w:tcW w:w="2016" w:type="dxa"/>
            <w:vAlign w:val="center"/>
          </w:tcPr>
          <w:p w14:paraId="0B7F9869">
            <w:pPr>
              <w:pStyle w:val="212"/>
            </w:pPr>
            <w:r>
              <w:t>K02, K11</w:t>
            </w:r>
            <w:r>
              <w:br w:type="textWrapping"/>
            </w:r>
            <w:r>
              <w:t>RQ1; RQ2</w:t>
            </w:r>
          </w:p>
        </w:tc>
      </w:tr>
      <w:tr w14:paraId="27D6BE8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4E1A3ECA">
            <w:pPr>
              <w:pStyle w:val="212"/>
            </w:pPr>
            <w:r>
              <w:t>E08 | D05</w:t>
            </w:r>
            <w:r>
              <w:br w:type="textWrapping"/>
            </w:r>
            <w:r>
              <w:t>Improving our Impact</w:t>
            </w:r>
          </w:p>
        </w:tc>
        <w:tc>
          <w:tcPr>
            <w:tcW w:w="4910" w:type="dxa"/>
            <w:vAlign w:val="center"/>
          </w:tcPr>
          <w:p w14:paraId="5FE7A1D9">
            <w:pPr>
              <w:pStyle w:val="212"/>
            </w:pPr>
            <w:r>
              <w:t>Q: “according to the emission categories subject to our SBT objectives”. P: This qualifies the reported 5% reduction; the direct-emissions figure is 88%.</w:t>
            </w:r>
          </w:p>
        </w:tc>
        <w:tc>
          <w:tcPr>
            <w:tcW w:w="2016" w:type="dxa"/>
            <w:vAlign w:val="center"/>
          </w:tcPr>
          <w:p w14:paraId="5438F333">
            <w:pPr>
              <w:pStyle w:val="212"/>
            </w:pPr>
            <w:r>
              <w:t>K09, K11</w:t>
            </w:r>
            <w:r>
              <w:br w:type="textWrapping"/>
            </w:r>
            <w:r>
              <w:t>RQ2</w:t>
            </w:r>
          </w:p>
        </w:tc>
      </w:tr>
      <w:tr w14:paraId="5FA7B3D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7458E496">
            <w:pPr>
              <w:pStyle w:val="212"/>
            </w:pPr>
            <w:r>
              <w:t>E09 | D05</w:t>
            </w:r>
            <w:r>
              <w:br w:type="textWrapping"/>
            </w:r>
            <w:r>
              <w:t>2024–2027 Supply Chain Transformation Plan</w:t>
            </w:r>
          </w:p>
        </w:tc>
        <w:tc>
          <w:tcPr>
            <w:tcW w:w="4910" w:type="dxa"/>
            <w:vAlign w:val="center"/>
          </w:tcPr>
          <w:p w14:paraId="114645A2">
            <w:pPr>
              <w:pStyle w:val="212"/>
            </w:pPr>
            <w:r>
              <w:t>Q: “new mandatory requirements”. P: The passage specifies environmental requirements for suppliers.</w:t>
            </w:r>
          </w:p>
        </w:tc>
        <w:tc>
          <w:tcPr>
            <w:tcW w:w="2016" w:type="dxa"/>
            <w:vAlign w:val="center"/>
          </w:tcPr>
          <w:p w14:paraId="4FEA03FC">
            <w:pPr>
              <w:pStyle w:val="212"/>
            </w:pPr>
            <w:r>
              <w:t>K23</w:t>
            </w:r>
            <w:r>
              <w:br w:type="textWrapping"/>
            </w:r>
            <w:r>
              <w:t>RQ1; RQ2</w:t>
            </w:r>
          </w:p>
        </w:tc>
      </w:tr>
      <w:tr w14:paraId="094C84F1">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3FABEC8B">
            <w:pPr>
              <w:pStyle w:val="212"/>
            </w:pPr>
            <w:r>
              <w:t>E10 | D06</w:t>
            </w:r>
            <w:r>
              <w:br w:type="textWrapping"/>
            </w:r>
            <w:r>
              <w:t>Substantiation principle</w:t>
            </w:r>
          </w:p>
        </w:tc>
        <w:tc>
          <w:tcPr>
            <w:tcW w:w="4910" w:type="dxa"/>
            <w:vAlign w:val="center"/>
          </w:tcPr>
          <w:p w14:paraId="419E605F">
            <w:pPr>
              <w:pStyle w:val="212"/>
            </w:pPr>
            <w:r>
              <w:t>P: Environmental claims require supporting evidence appropriate to their scope.</w:t>
            </w:r>
          </w:p>
        </w:tc>
        <w:tc>
          <w:tcPr>
            <w:tcW w:w="2016" w:type="dxa"/>
            <w:vAlign w:val="center"/>
          </w:tcPr>
          <w:p w14:paraId="73E3E81D">
            <w:pPr>
              <w:pStyle w:val="212"/>
            </w:pPr>
            <w:r>
              <w:t>K08, K16</w:t>
            </w:r>
            <w:r>
              <w:br w:type="textWrapping"/>
            </w:r>
            <w:r>
              <w:t>RQ2; RQ3</w:t>
            </w:r>
          </w:p>
        </w:tc>
      </w:tr>
      <w:tr w14:paraId="1F97761A">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5794D450">
            <w:pPr>
              <w:pStyle w:val="212"/>
            </w:pPr>
            <w:r>
              <w:t>E11 | D07</w:t>
            </w:r>
            <w:r>
              <w:br w:type="textWrapping"/>
            </w:r>
            <w:r>
              <w:t>Notes to editors, item 1</w:t>
            </w:r>
          </w:p>
        </w:tc>
        <w:tc>
          <w:tcPr>
            <w:tcW w:w="4910" w:type="dxa"/>
            <w:vAlign w:val="center"/>
          </w:tcPr>
          <w:p w14:paraId="03A1D4D6">
            <w:pPr>
              <w:pStyle w:val="212"/>
            </w:pPr>
            <w:r>
              <w:t>Q: “without any admission of wrongdoing or liability”.</w:t>
            </w:r>
          </w:p>
        </w:tc>
        <w:tc>
          <w:tcPr>
            <w:tcW w:w="2016" w:type="dxa"/>
            <w:vAlign w:val="center"/>
          </w:tcPr>
          <w:p w14:paraId="726ECC10">
            <w:pPr>
              <w:pStyle w:val="212"/>
            </w:pPr>
            <w:r>
              <w:t>K14, K15</w:t>
            </w:r>
            <w:r>
              <w:br w:type="textWrapping"/>
            </w:r>
            <w:r>
              <w:t>RQ3</w:t>
            </w:r>
          </w:p>
        </w:tc>
      </w:tr>
      <w:tr w14:paraId="64EF4C4B">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109A99B1">
            <w:pPr>
              <w:pStyle w:val="212"/>
            </w:pPr>
            <w:r>
              <w:t>E12 | D07</w:t>
            </w:r>
            <w:r>
              <w:br w:type="textWrapping"/>
            </w:r>
            <w:r>
              <w:t>Statements regarding fabrics; range criteria</w:t>
            </w:r>
          </w:p>
        </w:tc>
        <w:tc>
          <w:tcPr>
            <w:tcW w:w="4910" w:type="dxa"/>
            <w:vAlign w:val="center"/>
          </w:tcPr>
          <w:p w14:paraId="1606D167">
            <w:pPr>
              <w:pStyle w:val="212"/>
            </w:pPr>
            <w:r>
              <w:t>Q: “percentage of recycled or organic fibres”. P: The text addresses visibility and environmental-range inclusion requirements.</w:t>
            </w:r>
          </w:p>
        </w:tc>
        <w:tc>
          <w:tcPr>
            <w:tcW w:w="2016" w:type="dxa"/>
            <w:vAlign w:val="center"/>
          </w:tcPr>
          <w:p w14:paraId="1E9C1571">
            <w:pPr>
              <w:pStyle w:val="212"/>
            </w:pPr>
            <w:r>
              <w:t>K07, K08</w:t>
            </w:r>
            <w:r>
              <w:br w:type="textWrapping"/>
            </w:r>
            <w:r>
              <w:t>RQ2; RQ3</w:t>
            </w:r>
          </w:p>
        </w:tc>
      </w:tr>
      <w:tr w14:paraId="2FB82F16">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4B4EB495">
            <w:pPr>
              <w:pStyle w:val="212"/>
            </w:pPr>
            <w:r>
              <w:t>E13 | D08</w:t>
            </w:r>
            <w:r>
              <w:br w:type="textWrapping"/>
            </w:r>
            <w:r>
              <w:t>Don’t hide important information</w:t>
            </w:r>
          </w:p>
        </w:tc>
        <w:tc>
          <w:tcPr>
            <w:tcW w:w="4910" w:type="dxa"/>
            <w:vAlign w:val="center"/>
          </w:tcPr>
          <w:p w14:paraId="2572A214">
            <w:pPr>
              <w:pStyle w:val="212"/>
            </w:pPr>
            <w:r>
              <w:t>Q: “presented close to the environmental claim made”.</w:t>
            </w:r>
          </w:p>
        </w:tc>
        <w:tc>
          <w:tcPr>
            <w:tcW w:w="2016" w:type="dxa"/>
            <w:vAlign w:val="center"/>
          </w:tcPr>
          <w:p w14:paraId="39C0ACF6">
            <w:pPr>
              <w:pStyle w:val="212"/>
            </w:pPr>
            <w:r>
              <w:t>K07</w:t>
            </w:r>
            <w:r>
              <w:br w:type="textWrapping"/>
            </w:r>
            <w:r>
              <w:t>RQ2</w:t>
            </w:r>
          </w:p>
        </w:tc>
      </w:tr>
      <w:tr w14:paraId="3EE22AA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47F3310A">
            <w:pPr>
              <w:pStyle w:val="212"/>
            </w:pPr>
            <w:r>
              <w:t>E14 | D08</w:t>
            </w:r>
            <w:r>
              <w:br w:type="textWrapping"/>
            </w:r>
            <w:r>
              <w:t>Ensure environmental targets are presented clearly</w:t>
            </w:r>
          </w:p>
        </w:tc>
        <w:tc>
          <w:tcPr>
            <w:tcW w:w="4910" w:type="dxa"/>
            <w:vAlign w:val="center"/>
          </w:tcPr>
          <w:p w14:paraId="57AD2280">
            <w:pPr>
              <w:pStyle w:val="212"/>
            </w:pPr>
            <w:r>
              <w:t>Q: “clear and verifiable strategy”.</w:t>
            </w:r>
          </w:p>
        </w:tc>
        <w:tc>
          <w:tcPr>
            <w:tcW w:w="2016" w:type="dxa"/>
            <w:vAlign w:val="center"/>
          </w:tcPr>
          <w:p w14:paraId="2811687C">
            <w:pPr>
              <w:pStyle w:val="212"/>
            </w:pPr>
            <w:r>
              <w:t>K01, K08, K13</w:t>
            </w:r>
            <w:r>
              <w:br w:type="textWrapping"/>
            </w:r>
            <w:r>
              <w:t>RQ2; RQ3</w:t>
            </w:r>
          </w:p>
        </w:tc>
      </w:tr>
      <w:tr w14:paraId="588F51E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058BE938">
            <w:pPr>
              <w:pStyle w:val="212"/>
            </w:pPr>
            <w:r>
              <w:t>E15 | D09</w:t>
            </w:r>
            <w:r>
              <w:br w:type="textWrapping"/>
            </w:r>
            <w:r>
              <w:t>Opening paragraph</w:t>
            </w:r>
          </w:p>
        </w:tc>
        <w:tc>
          <w:tcPr>
            <w:tcW w:w="4910" w:type="dxa"/>
            <w:vAlign w:val="center"/>
          </w:tcPr>
          <w:p w14:paraId="637ECFED">
            <w:pPr>
              <w:pStyle w:val="212"/>
            </w:pPr>
            <w:r>
              <w:t>Q: “adjusting or stopping using sustainability claims”.</w:t>
            </w:r>
          </w:p>
        </w:tc>
        <w:tc>
          <w:tcPr>
            <w:tcW w:w="2016" w:type="dxa"/>
            <w:vAlign w:val="center"/>
          </w:tcPr>
          <w:p w14:paraId="12FB94FC">
            <w:pPr>
              <w:pStyle w:val="212"/>
            </w:pPr>
            <w:r>
              <w:t>K14</w:t>
            </w:r>
            <w:r>
              <w:br w:type="textWrapping"/>
            </w:r>
            <w:r>
              <w:t>RQ3</w:t>
            </w:r>
          </w:p>
        </w:tc>
      </w:tr>
      <w:tr w14:paraId="6763802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0D44DF69">
            <w:pPr>
              <w:pStyle w:val="212"/>
            </w:pPr>
            <w:r>
              <w:t>E16 | D10</w:t>
            </w:r>
            <w:r>
              <w:br w:type="textWrapping"/>
            </w:r>
            <w:r>
              <w:t>Part 3 heading</w:t>
            </w:r>
          </w:p>
        </w:tc>
        <w:tc>
          <w:tcPr>
            <w:tcW w:w="4910" w:type="dxa"/>
            <w:vAlign w:val="center"/>
          </w:tcPr>
          <w:p w14:paraId="263B7B3D">
            <w:pPr>
              <w:pStyle w:val="212"/>
            </w:pPr>
            <w:r>
              <w:t>P: The Act contains a framework for enforcement of consumer protection law. It is retained as institutional context.</w:t>
            </w:r>
          </w:p>
        </w:tc>
        <w:tc>
          <w:tcPr>
            <w:tcW w:w="2016" w:type="dxa"/>
            <w:vAlign w:val="center"/>
          </w:tcPr>
          <w:p w14:paraId="52F3A08F">
            <w:pPr>
              <w:pStyle w:val="212"/>
            </w:pPr>
            <w:r>
              <w:t>K24</w:t>
            </w:r>
            <w:r>
              <w:br w:type="textWrapping"/>
            </w:r>
            <w:r>
              <w:t>RQ3</w:t>
            </w:r>
          </w:p>
        </w:tc>
      </w:tr>
      <w:tr w14:paraId="3FAFBB8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6F37B805">
            <w:pPr>
              <w:pStyle w:val="212"/>
            </w:pPr>
            <w:r>
              <w:t>E17 | D11</w:t>
            </w:r>
            <w:r>
              <w:br w:type="textWrapping"/>
            </w:r>
            <w:r>
              <w:t>Riddled with greenwashing</w:t>
            </w:r>
          </w:p>
        </w:tc>
        <w:tc>
          <w:tcPr>
            <w:tcW w:w="4910" w:type="dxa"/>
            <w:vAlign w:val="center"/>
          </w:tcPr>
          <w:p w14:paraId="479B9AF1">
            <w:pPr>
              <w:pStyle w:val="212"/>
            </w:pPr>
            <w:r>
              <w:t>Q: “Zara and Gucci made the fewest claims in contravention of the guidance”. P: This is the NGO’s historical sample assessment.</w:t>
            </w:r>
          </w:p>
        </w:tc>
        <w:tc>
          <w:tcPr>
            <w:tcW w:w="2016" w:type="dxa"/>
            <w:vAlign w:val="center"/>
          </w:tcPr>
          <w:p w14:paraId="3793E472">
            <w:pPr>
              <w:pStyle w:val="212"/>
            </w:pPr>
            <w:r>
              <w:t>K22</w:t>
            </w:r>
            <w:r>
              <w:br w:type="textWrapping"/>
            </w:r>
            <w:r>
              <w:t>RQ3</w:t>
            </w:r>
          </w:p>
        </w:tc>
      </w:tr>
      <w:tr w14:paraId="4C4B36C2">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53BA539B">
            <w:pPr>
              <w:pStyle w:val="212"/>
            </w:pPr>
            <w:r>
              <w:t>E18 | D11</w:t>
            </w:r>
            <w:r>
              <w:br w:type="textWrapping"/>
            </w:r>
            <w:r>
              <w:t>Conscious collections not addressing fossil fashion</w:t>
            </w:r>
          </w:p>
        </w:tc>
        <w:tc>
          <w:tcPr>
            <w:tcW w:w="4910" w:type="dxa"/>
            <w:vAlign w:val="center"/>
          </w:tcPr>
          <w:p w14:paraId="2E263D2C">
            <w:pPr>
              <w:pStyle w:val="212"/>
            </w:pPr>
            <w:r>
              <w:t>P: The publisher contrasts synthetic-fibre presence in H&amp;M’s Conscious collection with its main collection.</w:t>
            </w:r>
          </w:p>
        </w:tc>
        <w:tc>
          <w:tcPr>
            <w:tcW w:w="2016" w:type="dxa"/>
            <w:vAlign w:val="center"/>
          </w:tcPr>
          <w:p w14:paraId="0C058EFD">
            <w:pPr>
              <w:pStyle w:val="212"/>
            </w:pPr>
            <w:r>
              <w:t>K20</w:t>
            </w:r>
            <w:r>
              <w:br w:type="textWrapping"/>
            </w:r>
            <w:r>
              <w:t>RQ1; RQ3</w:t>
            </w:r>
          </w:p>
        </w:tc>
      </w:tr>
      <w:tr w14:paraId="3B8BF321">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7C8088D0">
            <w:pPr>
              <w:pStyle w:val="212"/>
            </w:pPr>
            <w:r>
              <w:t>E19 | D12</w:t>
            </w:r>
            <w:r>
              <w:br w:type="textWrapping"/>
            </w:r>
            <w:r>
              <w:t>Hazy on climate; final bullet</w:t>
            </w:r>
          </w:p>
        </w:tc>
        <w:tc>
          <w:tcPr>
            <w:tcW w:w="4910" w:type="dxa"/>
            <w:vAlign w:val="center"/>
          </w:tcPr>
          <w:p w14:paraId="6A0D99AF">
            <w:pPr>
              <w:pStyle w:val="212"/>
            </w:pPr>
            <w:r>
              <w:t>P: Primark is named among companies indicating continued sourcing from suppliers using coal.</w:t>
            </w:r>
          </w:p>
        </w:tc>
        <w:tc>
          <w:tcPr>
            <w:tcW w:w="2016" w:type="dxa"/>
            <w:vAlign w:val="center"/>
          </w:tcPr>
          <w:p w14:paraId="26CDADA9">
            <w:pPr>
              <w:pStyle w:val="212"/>
            </w:pPr>
            <w:r>
              <w:t>K21</w:t>
            </w:r>
            <w:r>
              <w:br w:type="textWrapping"/>
            </w:r>
            <w:r>
              <w:t>RQ3</w:t>
            </w:r>
          </w:p>
        </w:tc>
      </w:tr>
      <w:tr w14:paraId="7F711996">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02FAFE73">
            <w:pPr>
              <w:pStyle w:val="212"/>
            </w:pPr>
            <w:r>
              <w:t>E20 | D12</w:t>
            </w:r>
            <w:r>
              <w:br w:type="textWrapping"/>
            </w:r>
            <w:r>
              <w:t>Still hooked on fossil fuels</w:t>
            </w:r>
          </w:p>
        </w:tc>
        <w:tc>
          <w:tcPr>
            <w:tcW w:w="4910" w:type="dxa"/>
            <w:vAlign w:val="center"/>
          </w:tcPr>
          <w:p w14:paraId="720043DD">
            <w:pPr>
              <w:pStyle w:val="212"/>
            </w:pPr>
            <w:r>
              <w:t>P: The summary identifies Boohoo as highly dependent on synthetics among companies disclosing their material mix.</w:t>
            </w:r>
          </w:p>
        </w:tc>
        <w:tc>
          <w:tcPr>
            <w:tcW w:w="2016" w:type="dxa"/>
            <w:vAlign w:val="center"/>
          </w:tcPr>
          <w:p w14:paraId="0F385712">
            <w:pPr>
              <w:pStyle w:val="212"/>
            </w:pPr>
            <w:r>
              <w:t>K20</w:t>
            </w:r>
            <w:r>
              <w:br w:type="textWrapping"/>
            </w:r>
            <w:r>
              <w:t>RQ3</w:t>
            </w:r>
          </w:p>
        </w:tc>
      </w:tr>
      <w:tr w14:paraId="2392AFFF">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30EF9DB5">
            <w:pPr>
              <w:pStyle w:val="212"/>
            </w:pPr>
            <w:r>
              <w:t>E21 | D12</w:t>
            </w:r>
            <w:r>
              <w:br w:type="textWrapping"/>
            </w:r>
            <w:r>
              <w:t>Still hooked on fossil fuels</w:t>
            </w:r>
          </w:p>
        </w:tc>
        <w:tc>
          <w:tcPr>
            <w:tcW w:w="4910" w:type="dxa"/>
            <w:vAlign w:val="center"/>
          </w:tcPr>
          <w:p w14:paraId="7381F926">
            <w:pPr>
              <w:pStyle w:val="212"/>
            </w:pPr>
            <w:r>
              <w:t>P: Inditex is identified as a large-volume user of synthetics. The observation concerns the group.</w:t>
            </w:r>
          </w:p>
        </w:tc>
        <w:tc>
          <w:tcPr>
            <w:tcW w:w="2016" w:type="dxa"/>
            <w:vAlign w:val="center"/>
          </w:tcPr>
          <w:p w14:paraId="5C40232F">
            <w:pPr>
              <w:pStyle w:val="212"/>
            </w:pPr>
            <w:r>
              <w:t>K11, K20</w:t>
            </w:r>
            <w:r>
              <w:br w:type="textWrapping"/>
            </w:r>
            <w:r>
              <w:t>RQ2; RQ3</w:t>
            </w:r>
          </w:p>
        </w:tc>
      </w:tr>
      <w:tr w14:paraId="7A6235A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4D768F05">
            <w:pPr>
              <w:pStyle w:val="212"/>
            </w:pPr>
            <w:r>
              <w:t>E22 | D13</w:t>
            </w:r>
            <w:r>
              <w:br w:type="textWrapping"/>
            </w:r>
            <w:r>
              <w:t>Why do you focus on transparency and not sustainability?</w:t>
            </w:r>
          </w:p>
        </w:tc>
        <w:tc>
          <w:tcPr>
            <w:tcW w:w="4910" w:type="dxa"/>
            <w:vAlign w:val="center"/>
          </w:tcPr>
          <w:p w14:paraId="5859944C">
            <w:pPr>
              <w:pStyle w:val="212"/>
            </w:pPr>
            <w:r>
              <w:t>Q: “We are not making any statement about whether a brand is ethical or sustainable.”</w:t>
            </w:r>
          </w:p>
        </w:tc>
        <w:tc>
          <w:tcPr>
            <w:tcW w:w="2016" w:type="dxa"/>
            <w:vAlign w:val="center"/>
          </w:tcPr>
          <w:p w14:paraId="7F9B0D82">
            <w:pPr>
              <w:pStyle w:val="212"/>
            </w:pPr>
            <w:r>
              <w:t>K19</w:t>
            </w:r>
            <w:r>
              <w:br w:type="textWrapping"/>
            </w:r>
            <w:r>
              <w:t>RQ2</w:t>
            </w:r>
          </w:p>
        </w:tc>
      </w:tr>
      <w:tr w14:paraId="7DF98E7F">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24B02FA4">
            <w:pPr>
              <w:pStyle w:val="212"/>
            </w:pPr>
            <w:r>
              <w:t>E23 | D14</w:t>
            </w:r>
            <w:r>
              <w:br w:type="textWrapping"/>
            </w:r>
            <w:r>
              <w:t>How Remake’s Report is Different</w:t>
            </w:r>
          </w:p>
        </w:tc>
        <w:tc>
          <w:tcPr>
            <w:tcW w:w="4910" w:type="dxa"/>
            <w:vAlign w:val="center"/>
          </w:tcPr>
          <w:p w14:paraId="16206B71">
            <w:pPr>
              <w:pStyle w:val="212"/>
            </w:pPr>
            <w:r>
              <w:t>Q: “We Score Companies on Progress, Not Promises”.</w:t>
            </w:r>
          </w:p>
        </w:tc>
        <w:tc>
          <w:tcPr>
            <w:tcW w:w="2016" w:type="dxa"/>
            <w:vAlign w:val="center"/>
          </w:tcPr>
          <w:p w14:paraId="74C67EC0">
            <w:pPr>
              <w:pStyle w:val="212"/>
            </w:pPr>
            <w:r>
              <w:t>K13, K18</w:t>
            </w:r>
            <w:r>
              <w:br w:type="textWrapping"/>
            </w:r>
            <w:r>
              <w:t>RQ3</w:t>
            </w:r>
          </w:p>
        </w:tc>
      </w:tr>
      <w:tr w14:paraId="0BCE118B">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69DC9CFD">
            <w:pPr>
              <w:pStyle w:val="212"/>
            </w:pPr>
            <w:r>
              <w:t>E24 | D15</w:t>
            </w:r>
            <w:r>
              <w:br w:type="textWrapping"/>
            </w:r>
            <w:r>
              <w:t>Methodology</w:t>
            </w:r>
          </w:p>
        </w:tc>
        <w:tc>
          <w:tcPr>
            <w:tcW w:w="4910" w:type="dxa"/>
            <w:vAlign w:val="center"/>
          </w:tcPr>
          <w:p w14:paraId="4F7F83AE">
            <w:pPr>
              <w:pStyle w:val="212"/>
            </w:pPr>
            <w:r>
              <w:t>Q: “proxy for emissions per unit of production”. P: The proxy is emissions divided by revenue, not a direct product-footprint measure.</w:t>
            </w:r>
          </w:p>
        </w:tc>
        <w:tc>
          <w:tcPr>
            <w:tcW w:w="2016" w:type="dxa"/>
            <w:vAlign w:val="center"/>
          </w:tcPr>
          <w:p w14:paraId="69EB8805">
            <w:pPr>
              <w:pStyle w:val="212"/>
            </w:pPr>
            <w:r>
              <w:t>K17</w:t>
            </w:r>
            <w:r>
              <w:br w:type="textWrapping"/>
            </w:r>
            <w:r>
              <w:t>RQ2; RQ3</w:t>
            </w:r>
          </w:p>
        </w:tc>
      </w:tr>
    </w:tbl>
    <w:p w14:paraId="7B83C048">
      <w:pPr>
        <w:pStyle w:val="3"/>
      </w:pPr>
      <w:bookmarkStart w:id="95" w:name="_Toc240757403"/>
      <w:r>
        <w:t>D2. Worked example: Boohoo’s material-share disclosure</w:t>
      </w:r>
      <w:bookmarkEnd w:id="95"/>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1730"/>
        <w:gridCol w:w="7296"/>
      </w:tblGrid>
      <w:tr w14:paraId="6C637AF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1730" w:type="dxa"/>
            <w:shd w:val="clear" w:color="auto" w:fill="F2F4F7"/>
            <w:vAlign w:val="center"/>
          </w:tcPr>
          <w:p w14:paraId="0874929B">
            <w:pPr>
              <w:pStyle w:val="213"/>
              <w:keepNext/>
            </w:pPr>
            <w:r>
              <w:t>Stage</w:t>
            </w:r>
          </w:p>
        </w:tc>
        <w:tc>
          <w:tcPr>
            <w:tcW w:w="7296" w:type="dxa"/>
            <w:shd w:val="clear" w:color="auto" w:fill="F2F4F7"/>
            <w:vAlign w:val="center"/>
          </w:tcPr>
          <w:p w14:paraId="7B28EEF1">
            <w:pPr>
              <w:pStyle w:val="213"/>
              <w:keepNext/>
            </w:pPr>
            <w:r>
              <w:t>Auditable decision</w:t>
            </w:r>
          </w:p>
        </w:tc>
      </w:tr>
      <w:tr w14:paraId="4FF8132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30" w:type="dxa"/>
            <w:vAlign w:val="center"/>
          </w:tcPr>
          <w:p w14:paraId="3F70AF98">
            <w:pPr>
              <w:pStyle w:val="212"/>
              <w:keepNext/>
            </w:pPr>
            <w:r>
              <w:t>Raw source</w:t>
            </w:r>
          </w:p>
        </w:tc>
        <w:tc>
          <w:tcPr>
            <w:tcW w:w="7296" w:type="dxa"/>
            <w:vAlign w:val="center"/>
          </w:tcPr>
          <w:p w14:paraId="610D22AC">
            <w:pPr>
              <w:pStyle w:val="212"/>
              <w:keepNext/>
            </w:pPr>
            <w:r>
              <w:t>E04, D03, Material Mix: the quoted sentence records the 2022 and 2023 shares; the preceding sentence supplies the 2021 comparator.</w:t>
            </w:r>
          </w:p>
        </w:tc>
      </w:tr>
      <w:tr w14:paraId="1BAAAA5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30" w:type="dxa"/>
            <w:vAlign w:val="center"/>
          </w:tcPr>
          <w:p w14:paraId="7B028904">
            <w:pPr>
              <w:pStyle w:val="212"/>
              <w:keepNext/>
            </w:pPr>
            <w:r>
              <w:t>Initial code</w:t>
            </w:r>
          </w:p>
        </w:tc>
        <w:tc>
          <w:tcPr>
            <w:tcW w:w="7296" w:type="dxa"/>
            <w:vAlign w:val="center"/>
          </w:tcPr>
          <w:p w14:paraId="2B4F48DA">
            <w:pPr>
              <w:pStyle w:val="212"/>
              <w:keepNext/>
            </w:pPr>
            <w:r>
              <w:t>K02 quantified material disclosure; K06 decline alongside ambition. E05 supplies the separately coded target.</w:t>
            </w:r>
          </w:p>
        </w:tc>
      </w:tr>
      <w:tr w14:paraId="4B615D8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30" w:type="dxa"/>
            <w:vAlign w:val="center"/>
          </w:tcPr>
          <w:p w14:paraId="7D558898">
            <w:pPr>
              <w:pStyle w:val="212"/>
              <w:keepNext/>
            </w:pPr>
            <w:r>
              <w:t>Category</w:t>
            </w:r>
          </w:p>
        </w:tc>
        <w:tc>
          <w:tcPr>
            <w:tcW w:w="7296" w:type="dxa"/>
            <w:vAlign w:val="center"/>
          </w:tcPr>
          <w:p w14:paraId="556629E0">
            <w:pPr>
              <w:pStyle w:val="212"/>
              <w:keepNext/>
            </w:pPr>
            <w:r>
              <w:t>CT5: ambition, implementation and scale.</w:t>
            </w:r>
          </w:p>
        </w:tc>
      </w:tr>
      <w:tr w14:paraId="522388D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30" w:type="dxa"/>
            <w:vAlign w:val="center"/>
          </w:tcPr>
          <w:p w14:paraId="714EC8A1">
            <w:pPr>
              <w:pStyle w:val="212"/>
              <w:keepNext/>
            </w:pPr>
            <w:r>
              <w:t>Final theme</w:t>
            </w:r>
          </w:p>
        </w:tc>
        <w:tc>
          <w:tcPr>
            <w:tcW w:w="7296" w:type="dxa"/>
            <w:vAlign w:val="center"/>
          </w:tcPr>
          <w:p w14:paraId="7673C398">
            <w:pPr>
              <w:pStyle w:val="212"/>
              <w:keepNext/>
            </w:pPr>
            <w:r>
              <w:t>T3: ambition–implementation tensions.</w:t>
            </w:r>
          </w:p>
        </w:tc>
      </w:tr>
      <w:tr w14:paraId="2013E33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30" w:type="dxa"/>
            <w:vAlign w:val="center"/>
          </w:tcPr>
          <w:p w14:paraId="38458C3A">
            <w:pPr>
              <w:pStyle w:val="212"/>
              <w:keepNext/>
            </w:pPr>
            <w:r>
              <w:t>Interpretation</w:t>
            </w:r>
          </w:p>
        </w:tc>
        <w:tc>
          <w:tcPr>
            <w:tcW w:w="7296" w:type="dxa"/>
            <w:vAlign w:val="center"/>
          </w:tcPr>
          <w:p w14:paraId="5F216B07">
            <w:pPr>
              <w:pStyle w:val="212"/>
              <w:keepNext/>
            </w:pPr>
            <w:r>
              <w:t>A disclosed target cannot stand as evidence of achieved transition. The admission improves observability while weakening an uncomplicated progress claim.</w:t>
            </w:r>
          </w:p>
        </w:tc>
      </w:tr>
      <w:tr w14:paraId="512F573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30" w:type="dxa"/>
            <w:vAlign w:val="center"/>
          </w:tcPr>
          <w:p w14:paraId="36001ECD">
            <w:pPr>
              <w:pStyle w:val="212"/>
            </w:pPr>
            <w:r>
              <w:t>Research question</w:t>
            </w:r>
          </w:p>
        </w:tc>
        <w:tc>
          <w:tcPr>
            <w:tcW w:w="7296" w:type="dxa"/>
            <w:vAlign w:val="center"/>
          </w:tcPr>
          <w:p w14:paraId="3DAA814E">
            <w:pPr>
              <w:pStyle w:val="212"/>
            </w:pPr>
            <w:r>
              <w:t>RQ3 primarily; RQ1 for identification of the material strategy. No measured customer response is inferred.</w:t>
            </w:r>
          </w:p>
        </w:tc>
      </w:tr>
    </w:tbl>
    <w:p w14:paraId="2031B691">
      <w:pPr>
        <w:pStyle w:val="3"/>
      </w:pPr>
      <w:bookmarkStart w:id="96" w:name="_Toc240757404"/>
      <w:r>
        <w:t>D3. Worked example: assurance and brand-level inference</w:t>
      </w:r>
      <w:bookmarkEnd w:id="96"/>
    </w:p>
    <w:p w14:paraId="2E35AD7F">
      <w:pPr>
        <w:pStyle w:val="214"/>
      </w:pPr>
      <w:r>
        <w:t>E06 → K10 selected assurance → CT3 evidence architecture → T2 scope and presentation alignment → interpretation: assurance must remain attached to the specified information. E15 supplies a differently dated regulatory challenge, not proof that the assured metrics were false. RQ2 is answered as a credibility condition, with customer response left unmeasured.</w:t>
      </w:r>
    </w:p>
    <w:p w14:paraId="5C4DAC4A">
      <w:r>
        <w:br w:type="page"/>
      </w:r>
    </w:p>
    <w:p w14:paraId="2AD773D7">
      <w:pPr>
        <w:pStyle w:val="2"/>
      </w:pPr>
      <w:bookmarkStart w:id="97" w:name="_Toc240757405"/>
      <w:r>
        <w:t>Appendix E: Applied codes, theme evolution and negative evidence</w:t>
      </w:r>
      <w:bookmarkEnd w:id="97"/>
    </w:p>
    <w:p w14:paraId="2683DA98">
      <w:pPr>
        <w:pStyle w:val="214"/>
      </w:pPr>
      <w:r>
        <w:t>Twenty-four applied codes replace the unsupported claim of sixty-eight fully demonstrated coding results. The previous appendix supplied sixty-eight definitions but no complete, resolvable application record. Retaining that number would reproduce the original audit weakness. The revised trail is 24 applied codes → 7 provisional groupings → 4 final themes. It records the present analysis, not a fabricated history of earlier coding sessions.</w:t>
      </w:r>
    </w:p>
    <w:p w14:paraId="2B65CABE">
      <w:pPr>
        <w:pStyle w:val="214"/>
      </w:pPr>
      <w:r>
        <w:t>Origin flags: S = sensitised by the prior framework, research questions or regulatory standards; D = a specific pattern or distinction developed through this documentary comparison. These flags do not imply pure induction or claim novelty across the wider literature. All codes remain researcher interpretations.</w:t>
      </w:r>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1790"/>
        <w:gridCol w:w="3750"/>
        <w:gridCol w:w="1970"/>
        <w:gridCol w:w="1516"/>
      </w:tblGrid>
      <w:tr w14:paraId="307A5B4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1790" w:type="dxa"/>
            <w:shd w:val="clear" w:color="auto" w:fill="F2F4F7"/>
            <w:vAlign w:val="center"/>
          </w:tcPr>
          <w:p w14:paraId="7B1FA679">
            <w:pPr>
              <w:pStyle w:val="213"/>
            </w:pPr>
            <w:r>
              <w:t>Code / label</w:t>
            </w:r>
          </w:p>
        </w:tc>
        <w:tc>
          <w:tcPr>
            <w:tcW w:w="3750" w:type="dxa"/>
            <w:shd w:val="clear" w:color="auto" w:fill="F2F4F7"/>
            <w:vAlign w:val="center"/>
          </w:tcPr>
          <w:p w14:paraId="08426CCB">
            <w:pPr>
              <w:pStyle w:val="213"/>
            </w:pPr>
            <w:r>
              <w:t>Application rule</w:t>
            </w:r>
          </w:p>
        </w:tc>
        <w:tc>
          <w:tcPr>
            <w:tcW w:w="1970" w:type="dxa"/>
            <w:shd w:val="clear" w:color="auto" w:fill="F2F4F7"/>
            <w:vAlign w:val="center"/>
          </w:tcPr>
          <w:p w14:paraId="77544C62">
            <w:pPr>
              <w:pStyle w:val="213"/>
            </w:pPr>
            <w:r>
              <w:t>Evidence / origin</w:t>
            </w:r>
          </w:p>
        </w:tc>
        <w:tc>
          <w:tcPr>
            <w:tcW w:w="1516" w:type="dxa"/>
            <w:shd w:val="clear" w:color="auto" w:fill="F2F4F7"/>
            <w:vAlign w:val="center"/>
          </w:tcPr>
          <w:p w14:paraId="780344FB">
            <w:pPr>
              <w:pStyle w:val="213"/>
            </w:pPr>
            <w:r>
              <w:t>Grouping / theme</w:t>
            </w:r>
          </w:p>
        </w:tc>
      </w:tr>
      <w:tr w14:paraId="620358A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610C83A4">
            <w:pPr>
              <w:pStyle w:val="212"/>
            </w:pPr>
            <w:r>
              <w:t>K01</w:t>
            </w:r>
            <w:r>
              <w:br w:type="textWrapping"/>
            </w:r>
            <w:r>
              <w:t>Environmental ambition</w:t>
            </w:r>
          </w:p>
        </w:tc>
        <w:tc>
          <w:tcPr>
            <w:tcW w:w="3750" w:type="dxa"/>
            <w:vAlign w:val="center"/>
          </w:tcPr>
          <w:p w14:paraId="3823040B">
            <w:pPr>
              <w:pStyle w:val="212"/>
            </w:pPr>
            <w:r>
              <w:t>Apply to future environmental commitments or their presentation requirements; exclude achieved figures.</w:t>
            </w:r>
          </w:p>
        </w:tc>
        <w:tc>
          <w:tcPr>
            <w:tcW w:w="1970" w:type="dxa"/>
            <w:vAlign w:val="center"/>
          </w:tcPr>
          <w:p w14:paraId="325EEF31">
            <w:pPr>
              <w:pStyle w:val="212"/>
            </w:pPr>
            <w:r>
              <w:t>E05, E14</w:t>
            </w:r>
            <w:r>
              <w:br w:type="textWrapping"/>
            </w:r>
            <w:r>
              <w:t>S</w:t>
            </w:r>
          </w:p>
        </w:tc>
        <w:tc>
          <w:tcPr>
            <w:tcW w:w="1516" w:type="dxa"/>
            <w:vAlign w:val="center"/>
          </w:tcPr>
          <w:p w14:paraId="7F0AF26E">
            <w:pPr>
              <w:pStyle w:val="212"/>
            </w:pPr>
            <w:r>
              <w:t>CT1 → T1</w:t>
            </w:r>
          </w:p>
        </w:tc>
      </w:tr>
      <w:tr w14:paraId="52CE2E1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356DC249">
            <w:pPr>
              <w:pStyle w:val="212"/>
            </w:pPr>
            <w:r>
              <w:t>K02</w:t>
            </w:r>
            <w:r>
              <w:br w:type="textWrapping"/>
            </w:r>
            <w:r>
              <w:t>Quantified material disclosure</w:t>
            </w:r>
          </w:p>
        </w:tc>
        <w:tc>
          <w:tcPr>
            <w:tcW w:w="3750" w:type="dxa"/>
            <w:vAlign w:val="center"/>
          </w:tcPr>
          <w:p w14:paraId="4EC33167">
            <w:pPr>
              <w:pStyle w:val="212"/>
            </w:pPr>
            <w:r>
              <w:t>Apply to a stated share with its reporting period; retain denominator limitations.</w:t>
            </w:r>
          </w:p>
        </w:tc>
        <w:tc>
          <w:tcPr>
            <w:tcW w:w="1970" w:type="dxa"/>
            <w:vAlign w:val="center"/>
          </w:tcPr>
          <w:p w14:paraId="314B0FD0">
            <w:pPr>
              <w:pStyle w:val="212"/>
            </w:pPr>
            <w:r>
              <w:t>E04, E07</w:t>
            </w:r>
            <w:r>
              <w:br w:type="textWrapping"/>
            </w:r>
            <w:r>
              <w:t>S</w:t>
            </w:r>
          </w:p>
        </w:tc>
        <w:tc>
          <w:tcPr>
            <w:tcW w:w="1516" w:type="dxa"/>
            <w:vAlign w:val="center"/>
          </w:tcPr>
          <w:p w14:paraId="27AA7EC6">
            <w:pPr>
              <w:pStyle w:val="212"/>
            </w:pPr>
            <w:r>
              <w:t>CT1 → T1</w:t>
            </w:r>
          </w:p>
        </w:tc>
      </w:tr>
      <w:tr w14:paraId="0CB3477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4ACB4973">
            <w:pPr>
              <w:pStyle w:val="212"/>
            </w:pPr>
            <w:r>
              <w:t>K03</w:t>
            </w:r>
            <w:r>
              <w:br w:type="textWrapping"/>
            </w:r>
            <w:r>
              <w:t>Circular provision</w:t>
            </w:r>
          </w:p>
        </w:tc>
        <w:tc>
          <w:tcPr>
            <w:tcW w:w="3750" w:type="dxa"/>
            <w:vAlign w:val="center"/>
          </w:tcPr>
          <w:p w14:paraId="73CDAED8">
            <w:pPr>
              <w:pStyle w:val="212"/>
            </w:pPr>
            <w:r>
              <w:t>Apply to described resale, rental or product-life provision; do not infer avoided production.</w:t>
            </w:r>
          </w:p>
        </w:tc>
        <w:tc>
          <w:tcPr>
            <w:tcW w:w="1970" w:type="dxa"/>
            <w:vAlign w:val="center"/>
          </w:tcPr>
          <w:p w14:paraId="34B98E27">
            <w:pPr>
              <w:pStyle w:val="212"/>
            </w:pPr>
            <w:r>
              <w:t>E02</w:t>
            </w:r>
            <w:r>
              <w:br w:type="textWrapping"/>
            </w:r>
            <w:r>
              <w:t>D</w:t>
            </w:r>
          </w:p>
        </w:tc>
        <w:tc>
          <w:tcPr>
            <w:tcW w:w="1516" w:type="dxa"/>
            <w:vAlign w:val="center"/>
          </w:tcPr>
          <w:p w14:paraId="4D8F4768">
            <w:pPr>
              <w:pStyle w:val="212"/>
            </w:pPr>
            <w:r>
              <w:t>CT2 → T1</w:t>
            </w:r>
          </w:p>
        </w:tc>
      </w:tr>
      <w:tr w14:paraId="51B6AF34">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54C84151">
            <w:pPr>
              <w:pStyle w:val="212"/>
            </w:pPr>
            <w:r>
              <w:t>K04</w:t>
            </w:r>
            <w:r>
              <w:br w:type="textWrapping"/>
            </w:r>
            <w:r>
              <w:t>Delayed implementation</w:t>
            </w:r>
          </w:p>
        </w:tc>
        <w:tc>
          <w:tcPr>
            <w:tcW w:w="3750" w:type="dxa"/>
            <w:vAlign w:val="center"/>
          </w:tcPr>
          <w:p w14:paraId="217EB205">
            <w:pPr>
              <w:pStyle w:val="212"/>
            </w:pPr>
            <w:r>
              <w:t>Apply to an explicit admission of delayed delivery.</w:t>
            </w:r>
          </w:p>
        </w:tc>
        <w:tc>
          <w:tcPr>
            <w:tcW w:w="1970" w:type="dxa"/>
            <w:vAlign w:val="center"/>
          </w:tcPr>
          <w:p w14:paraId="14802B62">
            <w:pPr>
              <w:pStyle w:val="212"/>
            </w:pPr>
            <w:r>
              <w:t>E02</w:t>
            </w:r>
            <w:r>
              <w:br w:type="textWrapping"/>
            </w:r>
            <w:r>
              <w:t>D</w:t>
            </w:r>
          </w:p>
        </w:tc>
        <w:tc>
          <w:tcPr>
            <w:tcW w:w="1516" w:type="dxa"/>
            <w:vAlign w:val="center"/>
          </w:tcPr>
          <w:p w14:paraId="140CFF9C">
            <w:pPr>
              <w:pStyle w:val="212"/>
            </w:pPr>
            <w:r>
              <w:t>CT2 → T3</w:t>
            </w:r>
          </w:p>
        </w:tc>
      </w:tr>
      <w:tr w14:paraId="597FB71A">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686C4C2F">
            <w:pPr>
              <w:pStyle w:val="212"/>
            </w:pPr>
            <w:r>
              <w:t>K05</w:t>
            </w:r>
            <w:r>
              <w:br w:type="textWrapping"/>
            </w:r>
            <w:r>
              <w:t>Strategy architecture</w:t>
            </w:r>
          </w:p>
        </w:tc>
        <w:tc>
          <w:tcPr>
            <w:tcW w:w="3750" w:type="dxa"/>
            <w:vAlign w:val="center"/>
          </w:tcPr>
          <w:p w14:paraId="1DB38F4D">
            <w:pPr>
              <w:pStyle w:val="212"/>
            </w:pPr>
            <w:r>
              <w:t>Apply to the way environmental activity is organised and presented.</w:t>
            </w:r>
          </w:p>
        </w:tc>
        <w:tc>
          <w:tcPr>
            <w:tcW w:w="1970" w:type="dxa"/>
            <w:vAlign w:val="center"/>
          </w:tcPr>
          <w:p w14:paraId="0C8D49DA">
            <w:pPr>
              <w:pStyle w:val="212"/>
            </w:pPr>
            <w:r>
              <w:t>E01</w:t>
            </w:r>
            <w:r>
              <w:br w:type="textWrapping"/>
            </w:r>
            <w:r>
              <w:t>D</w:t>
            </w:r>
          </w:p>
        </w:tc>
        <w:tc>
          <w:tcPr>
            <w:tcW w:w="1516" w:type="dxa"/>
            <w:vAlign w:val="center"/>
          </w:tcPr>
          <w:p w14:paraId="2356F19C">
            <w:pPr>
              <w:pStyle w:val="212"/>
            </w:pPr>
            <w:r>
              <w:t>CT3 → T1</w:t>
            </w:r>
          </w:p>
        </w:tc>
      </w:tr>
      <w:tr w14:paraId="7DBAA0C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13A03A96">
            <w:pPr>
              <w:pStyle w:val="212"/>
            </w:pPr>
            <w:r>
              <w:t>K06</w:t>
            </w:r>
            <w:r>
              <w:br w:type="textWrapping"/>
            </w:r>
            <w:r>
              <w:t>Decline alongside ambition</w:t>
            </w:r>
          </w:p>
        </w:tc>
        <w:tc>
          <w:tcPr>
            <w:tcW w:w="3750" w:type="dxa"/>
            <w:vAlign w:val="center"/>
          </w:tcPr>
          <w:p w14:paraId="04F453AE">
            <w:pPr>
              <w:pStyle w:val="212"/>
            </w:pPr>
            <w:r>
              <w:t>Apply where reported movement weakens an uncomplicated progress interpretation.</w:t>
            </w:r>
          </w:p>
        </w:tc>
        <w:tc>
          <w:tcPr>
            <w:tcW w:w="1970" w:type="dxa"/>
            <w:vAlign w:val="center"/>
          </w:tcPr>
          <w:p w14:paraId="2C3ADCC1">
            <w:pPr>
              <w:pStyle w:val="212"/>
            </w:pPr>
            <w:r>
              <w:t>E04</w:t>
            </w:r>
            <w:r>
              <w:br w:type="textWrapping"/>
            </w:r>
            <w:r>
              <w:t>D</w:t>
            </w:r>
          </w:p>
        </w:tc>
        <w:tc>
          <w:tcPr>
            <w:tcW w:w="1516" w:type="dxa"/>
            <w:vAlign w:val="center"/>
          </w:tcPr>
          <w:p w14:paraId="6933A7D6">
            <w:pPr>
              <w:pStyle w:val="212"/>
            </w:pPr>
            <w:r>
              <w:t>CT5 → T3</w:t>
            </w:r>
          </w:p>
        </w:tc>
      </w:tr>
      <w:tr w14:paraId="5C8EBE1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7BB69236">
            <w:pPr>
              <w:pStyle w:val="212"/>
            </w:pPr>
            <w:r>
              <w:t>K07</w:t>
            </w:r>
            <w:r>
              <w:br w:type="textWrapping"/>
            </w:r>
            <w:r>
              <w:t>Evidence proximity</w:t>
            </w:r>
          </w:p>
        </w:tc>
        <w:tc>
          <w:tcPr>
            <w:tcW w:w="3750" w:type="dxa"/>
            <w:vAlign w:val="center"/>
          </w:tcPr>
          <w:p w14:paraId="261409FF">
            <w:pPr>
              <w:pStyle w:val="212"/>
            </w:pPr>
            <w:r>
              <w:t>Apply to the visibility and location of qualifications relative to the claim.</w:t>
            </w:r>
          </w:p>
        </w:tc>
        <w:tc>
          <w:tcPr>
            <w:tcW w:w="1970" w:type="dxa"/>
            <w:vAlign w:val="center"/>
          </w:tcPr>
          <w:p w14:paraId="69D03029">
            <w:pPr>
              <w:pStyle w:val="212"/>
            </w:pPr>
            <w:r>
              <w:t>E12, E13</w:t>
            </w:r>
            <w:r>
              <w:br w:type="textWrapping"/>
            </w:r>
            <w:r>
              <w:t>S</w:t>
            </w:r>
          </w:p>
        </w:tc>
        <w:tc>
          <w:tcPr>
            <w:tcW w:w="1516" w:type="dxa"/>
            <w:vAlign w:val="center"/>
          </w:tcPr>
          <w:p w14:paraId="72D47B65">
            <w:pPr>
              <w:pStyle w:val="212"/>
            </w:pPr>
            <w:r>
              <w:t>CT4 → T2</w:t>
            </w:r>
          </w:p>
        </w:tc>
      </w:tr>
      <w:tr w14:paraId="1B8A4A14">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6B203214">
            <w:pPr>
              <w:pStyle w:val="212"/>
            </w:pPr>
            <w:r>
              <w:t>K08</w:t>
            </w:r>
            <w:r>
              <w:br w:type="textWrapping"/>
            </w:r>
            <w:r>
              <w:t>Claim substantiation</w:t>
            </w:r>
          </w:p>
        </w:tc>
        <w:tc>
          <w:tcPr>
            <w:tcW w:w="3750" w:type="dxa"/>
            <w:vAlign w:val="center"/>
          </w:tcPr>
          <w:p w14:paraId="4D2E1769">
            <w:pPr>
              <w:pStyle w:val="212"/>
            </w:pPr>
            <w:r>
              <w:t>Apply to required support or clear criteria for environmental statements.</w:t>
            </w:r>
          </w:p>
        </w:tc>
        <w:tc>
          <w:tcPr>
            <w:tcW w:w="1970" w:type="dxa"/>
            <w:vAlign w:val="center"/>
          </w:tcPr>
          <w:p w14:paraId="7C44F16E">
            <w:pPr>
              <w:pStyle w:val="212"/>
            </w:pPr>
            <w:r>
              <w:t>E10, E12, E14</w:t>
            </w:r>
            <w:r>
              <w:br w:type="textWrapping"/>
            </w:r>
            <w:r>
              <w:t>S</w:t>
            </w:r>
          </w:p>
        </w:tc>
        <w:tc>
          <w:tcPr>
            <w:tcW w:w="1516" w:type="dxa"/>
            <w:vAlign w:val="center"/>
          </w:tcPr>
          <w:p w14:paraId="7BEF0470">
            <w:pPr>
              <w:pStyle w:val="212"/>
            </w:pPr>
            <w:r>
              <w:t>CT3 → T2</w:t>
            </w:r>
          </w:p>
        </w:tc>
      </w:tr>
      <w:tr w14:paraId="74F49AFB">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2348B1D1">
            <w:pPr>
              <w:pStyle w:val="212"/>
            </w:pPr>
            <w:r>
              <w:t>K09</w:t>
            </w:r>
            <w:r>
              <w:br w:type="textWrapping"/>
            </w:r>
            <w:r>
              <w:t>Measurement boundary</w:t>
            </w:r>
          </w:p>
        </w:tc>
        <w:tc>
          <w:tcPr>
            <w:tcW w:w="3750" w:type="dxa"/>
            <w:vAlign w:val="center"/>
          </w:tcPr>
          <w:p w14:paraId="36DA5C85">
            <w:pPr>
              <w:pStyle w:val="212"/>
            </w:pPr>
            <w:r>
              <w:t>Apply where categories qualify the scope of a metric or comparison.</w:t>
            </w:r>
          </w:p>
        </w:tc>
        <w:tc>
          <w:tcPr>
            <w:tcW w:w="1970" w:type="dxa"/>
            <w:vAlign w:val="center"/>
          </w:tcPr>
          <w:p w14:paraId="721C19A1">
            <w:pPr>
              <w:pStyle w:val="212"/>
            </w:pPr>
            <w:r>
              <w:t>E08</w:t>
            </w:r>
            <w:r>
              <w:br w:type="textWrapping"/>
            </w:r>
            <w:r>
              <w:t>S</w:t>
            </w:r>
          </w:p>
        </w:tc>
        <w:tc>
          <w:tcPr>
            <w:tcW w:w="1516" w:type="dxa"/>
            <w:vAlign w:val="center"/>
          </w:tcPr>
          <w:p w14:paraId="3B1021FC">
            <w:pPr>
              <w:pStyle w:val="212"/>
            </w:pPr>
            <w:r>
              <w:t>CT3 → T2</w:t>
            </w:r>
          </w:p>
        </w:tc>
      </w:tr>
      <w:tr w14:paraId="1AABADE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66EA989A">
            <w:pPr>
              <w:pStyle w:val="212"/>
            </w:pPr>
            <w:r>
              <w:t>K10</w:t>
            </w:r>
            <w:r>
              <w:br w:type="textWrapping"/>
            </w:r>
            <w:r>
              <w:t>Selected assurance</w:t>
            </w:r>
          </w:p>
        </w:tc>
        <w:tc>
          <w:tcPr>
            <w:tcW w:w="3750" w:type="dxa"/>
            <w:vAlign w:val="center"/>
          </w:tcPr>
          <w:p w14:paraId="50ED2ABB">
            <w:pPr>
              <w:pStyle w:val="212"/>
            </w:pPr>
            <w:r>
              <w:t>Apply only to assurance scope explicitly specified in the text.</w:t>
            </w:r>
          </w:p>
        </w:tc>
        <w:tc>
          <w:tcPr>
            <w:tcW w:w="1970" w:type="dxa"/>
            <w:vAlign w:val="center"/>
          </w:tcPr>
          <w:p w14:paraId="358D1928">
            <w:pPr>
              <w:pStyle w:val="212"/>
            </w:pPr>
            <w:r>
              <w:t>E06</w:t>
            </w:r>
            <w:r>
              <w:br w:type="textWrapping"/>
            </w:r>
            <w:r>
              <w:t>S</w:t>
            </w:r>
          </w:p>
        </w:tc>
        <w:tc>
          <w:tcPr>
            <w:tcW w:w="1516" w:type="dxa"/>
            <w:vAlign w:val="center"/>
          </w:tcPr>
          <w:p w14:paraId="010AE97A">
            <w:pPr>
              <w:pStyle w:val="212"/>
            </w:pPr>
            <w:r>
              <w:t>CT3 → T2</w:t>
            </w:r>
          </w:p>
        </w:tc>
      </w:tr>
      <w:tr w14:paraId="1E4AAA9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473B8D26">
            <w:pPr>
              <w:pStyle w:val="212"/>
            </w:pPr>
            <w:r>
              <w:t>K11</w:t>
            </w:r>
            <w:r>
              <w:br w:type="textWrapping"/>
            </w:r>
            <w:r>
              <w:t>Group attribution</w:t>
            </w:r>
          </w:p>
        </w:tc>
        <w:tc>
          <w:tcPr>
            <w:tcW w:w="3750" w:type="dxa"/>
            <w:vAlign w:val="center"/>
          </w:tcPr>
          <w:p w14:paraId="52A2D76A">
            <w:pPr>
              <w:pStyle w:val="212"/>
            </w:pPr>
            <w:r>
              <w:t>Apply when group evidence must not be represented as a product finding.</w:t>
            </w:r>
          </w:p>
        </w:tc>
        <w:tc>
          <w:tcPr>
            <w:tcW w:w="1970" w:type="dxa"/>
            <w:vAlign w:val="center"/>
          </w:tcPr>
          <w:p w14:paraId="4C2ECF41">
            <w:pPr>
              <w:pStyle w:val="212"/>
            </w:pPr>
            <w:r>
              <w:t>E07, E08, E21</w:t>
            </w:r>
            <w:r>
              <w:br w:type="textWrapping"/>
            </w:r>
            <w:r>
              <w:t>D</w:t>
            </w:r>
          </w:p>
        </w:tc>
        <w:tc>
          <w:tcPr>
            <w:tcW w:w="1516" w:type="dxa"/>
            <w:vAlign w:val="center"/>
          </w:tcPr>
          <w:p w14:paraId="3AD1D0F9">
            <w:pPr>
              <w:pStyle w:val="212"/>
            </w:pPr>
            <w:r>
              <w:t>CT3 → T2</w:t>
            </w:r>
          </w:p>
        </w:tc>
      </w:tr>
      <w:tr w14:paraId="511F5B0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317E2271">
            <w:pPr>
              <w:pStyle w:val="212"/>
            </w:pPr>
            <w:r>
              <w:t>K12</w:t>
            </w:r>
            <w:r>
              <w:br w:type="textWrapping"/>
            </w:r>
            <w:r>
              <w:t>Governance response</w:t>
            </w:r>
          </w:p>
        </w:tc>
        <w:tc>
          <w:tcPr>
            <w:tcW w:w="3750" w:type="dxa"/>
            <w:vAlign w:val="center"/>
          </w:tcPr>
          <w:p w14:paraId="4EFC1181">
            <w:pPr>
              <w:pStyle w:val="212"/>
            </w:pPr>
            <w:r>
              <w:t>Apply to documented review or governance activity related to external scrutiny.</w:t>
            </w:r>
          </w:p>
        </w:tc>
        <w:tc>
          <w:tcPr>
            <w:tcW w:w="1970" w:type="dxa"/>
            <w:vAlign w:val="center"/>
          </w:tcPr>
          <w:p w14:paraId="37387481">
            <w:pPr>
              <w:pStyle w:val="212"/>
            </w:pPr>
            <w:r>
              <w:t>E03</w:t>
            </w:r>
            <w:r>
              <w:br w:type="textWrapping"/>
            </w:r>
            <w:r>
              <w:t>D</w:t>
            </w:r>
          </w:p>
        </w:tc>
        <w:tc>
          <w:tcPr>
            <w:tcW w:w="1516" w:type="dxa"/>
            <w:vAlign w:val="center"/>
          </w:tcPr>
          <w:p w14:paraId="0BDA4F42">
            <w:pPr>
              <w:pStyle w:val="212"/>
            </w:pPr>
            <w:r>
              <w:t>CT6 → T4</w:t>
            </w:r>
          </w:p>
        </w:tc>
      </w:tr>
      <w:tr w14:paraId="0120D4B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3AF3593B">
            <w:pPr>
              <w:pStyle w:val="212"/>
            </w:pPr>
            <w:r>
              <w:t>K13</w:t>
            </w:r>
            <w:r>
              <w:br w:type="textWrapping"/>
            </w:r>
            <w:r>
              <w:t>Promise versus achievement</w:t>
            </w:r>
          </w:p>
        </w:tc>
        <w:tc>
          <w:tcPr>
            <w:tcW w:w="3750" w:type="dxa"/>
            <w:vAlign w:val="center"/>
          </w:tcPr>
          <w:p w14:paraId="24B30FCA">
            <w:pPr>
              <w:pStyle w:val="212"/>
            </w:pPr>
            <w:r>
              <w:t>Separate future ambition from current outcome; do not infer intentional deception.</w:t>
            </w:r>
          </w:p>
        </w:tc>
        <w:tc>
          <w:tcPr>
            <w:tcW w:w="1970" w:type="dxa"/>
            <w:vAlign w:val="center"/>
          </w:tcPr>
          <w:p w14:paraId="04718CAE">
            <w:pPr>
              <w:pStyle w:val="212"/>
            </w:pPr>
            <w:r>
              <w:t>E05, E14, E23</w:t>
            </w:r>
            <w:r>
              <w:br w:type="textWrapping"/>
            </w:r>
            <w:r>
              <w:t>S</w:t>
            </w:r>
          </w:p>
        </w:tc>
        <w:tc>
          <w:tcPr>
            <w:tcW w:w="1516" w:type="dxa"/>
            <w:vAlign w:val="center"/>
          </w:tcPr>
          <w:p w14:paraId="132EAFF4">
            <w:pPr>
              <w:pStyle w:val="212"/>
            </w:pPr>
            <w:r>
              <w:t>CT5 → T3</w:t>
            </w:r>
          </w:p>
        </w:tc>
      </w:tr>
      <w:tr w14:paraId="366E100B">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638D6FB5">
            <w:pPr>
              <w:pStyle w:val="212"/>
            </w:pPr>
            <w:r>
              <w:t>K14</w:t>
            </w:r>
            <w:r>
              <w:br w:type="textWrapping"/>
            </w:r>
            <w:r>
              <w:t>Regulatory intervention</w:t>
            </w:r>
          </w:p>
        </w:tc>
        <w:tc>
          <w:tcPr>
            <w:tcW w:w="3750" w:type="dxa"/>
            <w:vAlign w:val="center"/>
          </w:tcPr>
          <w:p w14:paraId="44035CEE">
            <w:pPr>
              <w:pStyle w:val="212"/>
            </w:pPr>
            <w:r>
              <w:t>Apply to named regulatory action; exclude hypothetical guidance examples.</w:t>
            </w:r>
          </w:p>
        </w:tc>
        <w:tc>
          <w:tcPr>
            <w:tcW w:w="1970" w:type="dxa"/>
            <w:vAlign w:val="center"/>
          </w:tcPr>
          <w:p w14:paraId="5010E429">
            <w:pPr>
              <w:pStyle w:val="212"/>
            </w:pPr>
            <w:r>
              <w:t>E11, E15</w:t>
            </w:r>
            <w:r>
              <w:br w:type="textWrapping"/>
            </w:r>
            <w:r>
              <w:t>S</w:t>
            </w:r>
          </w:p>
        </w:tc>
        <w:tc>
          <w:tcPr>
            <w:tcW w:w="1516" w:type="dxa"/>
            <w:vAlign w:val="center"/>
          </w:tcPr>
          <w:p w14:paraId="330DE099">
            <w:pPr>
              <w:pStyle w:val="212"/>
            </w:pPr>
            <w:r>
              <w:t>CT6 → T4</w:t>
            </w:r>
          </w:p>
        </w:tc>
      </w:tr>
      <w:tr w14:paraId="21103942">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376A5442">
            <w:pPr>
              <w:pStyle w:val="212"/>
            </w:pPr>
            <w:r>
              <w:t>K15</w:t>
            </w:r>
            <w:r>
              <w:br w:type="textWrapping"/>
            </w:r>
            <w:r>
              <w:t>Legal-status qualification</w:t>
            </w:r>
          </w:p>
        </w:tc>
        <w:tc>
          <w:tcPr>
            <w:tcW w:w="3750" w:type="dxa"/>
            <w:vAlign w:val="center"/>
          </w:tcPr>
          <w:p w14:paraId="052F2ECA">
            <w:pPr>
              <w:pStyle w:val="212"/>
            </w:pPr>
            <w:r>
              <w:t>Retain caveats limiting the legal meaning of an undertaking.</w:t>
            </w:r>
          </w:p>
        </w:tc>
        <w:tc>
          <w:tcPr>
            <w:tcW w:w="1970" w:type="dxa"/>
            <w:vAlign w:val="center"/>
          </w:tcPr>
          <w:p w14:paraId="7E22A171">
            <w:pPr>
              <w:pStyle w:val="212"/>
            </w:pPr>
            <w:r>
              <w:t>E11</w:t>
            </w:r>
            <w:r>
              <w:br w:type="textWrapping"/>
            </w:r>
            <w:r>
              <w:t>D</w:t>
            </w:r>
          </w:p>
        </w:tc>
        <w:tc>
          <w:tcPr>
            <w:tcW w:w="1516" w:type="dxa"/>
            <w:vAlign w:val="center"/>
          </w:tcPr>
          <w:p w14:paraId="119876BF">
            <w:pPr>
              <w:pStyle w:val="212"/>
            </w:pPr>
            <w:r>
              <w:t>CT6 → T4</w:t>
            </w:r>
          </w:p>
        </w:tc>
      </w:tr>
      <w:tr w14:paraId="5D2EC31F">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0671517A">
            <w:pPr>
              <w:pStyle w:val="212"/>
            </w:pPr>
            <w:r>
              <w:t>K16</w:t>
            </w:r>
            <w:r>
              <w:br w:type="textWrapping"/>
            </w:r>
            <w:r>
              <w:t>Sector standard</w:t>
            </w:r>
          </w:p>
        </w:tc>
        <w:tc>
          <w:tcPr>
            <w:tcW w:w="3750" w:type="dxa"/>
            <w:vAlign w:val="center"/>
          </w:tcPr>
          <w:p w14:paraId="444F6726">
            <w:pPr>
              <w:pStyle w:val="212"/>
            </w:pPr>
            <w:r>
              <w:t>Apply to general guidance used as an analytical benchmark.</w:t>
            </w:r>
          </w:p>
        </w:tc>
        <w:tc>
          <w:tcPr>
            <w:tcW w:w="1970" w:type="dxa"/>
            <w:vAlign w:val="center"/>
          </w:tcPr>
          <w:p w14:paraId="3534EEA1">
            <w:pPr>
              <w:pStyle w:val="212"/>
            </w:pPr>
            <w:r>
              <w:t>E10</w:t>
            </w:r>
            <w:r>
              <w:br w:type="textWrapping"/>
            </w:r>
            <w:r>
              <w:t>S</w:t>
            </w:r>
          </w:p>
        </w:tc>
        <w:tc>
          <w:tcPr>
            <w:tcW w:w="1516" w:type="dxa"/>
            <w:vAlign w:val="center"/>
          </w:tcPr>
          <w:p w14:paraId="4AB35773">
            <w:pPr>
              <w:pStyle w:val="212"/>
            </w:pPr>
            <w:r>
              <w:t>CT6 → T4</w:t>
            </w:r>
          </w:p>
        </w:tc>
      </w:tr>
      <w:tr w14:paraId="6F580D2B">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66006F20">
            <w:pPr>
              <w:pStyle w:val="212"/>
            </w:pPr>
            <w:r>
              <w:t>K17</w:t>
            </w:r>
            <w:r>
              <w:br w:type="textWrapping"/>
            </w:r>
            <w:r>
              <w:t>Proxy limitation</w:t>
            </w:r>
          </w:p>
        </w:tc>
        <w:tc>
          <w:tcPr>
            <w:tcW w:w="3750" w:type="dxa"/>
            <w:vAlign w:val="center"/>
          </w:tcPr>
          <w:p w14:paraId="39B409EC">
            <w:pPr>
              <w:pStyle w:val="212"/>
            </w:pPr>
            <w:r>
              <w:t>Apply where an industry metric is explicitly a proxy with assumptions.</w:t>
            </w:r>
          </w:p>
        </w:tc>
        <w:tc>
          <w:tcPr>
            <w:tcW w:w="1970" w:type="dxa"/>
            <w:vAlign w:val="center"/>
          </w:tcPr>
          <w:p w14:paraId="4AED80C5">
            <w:pPr>
              <w:pStyle w:val="212"/>
            </w:pPr>
            <w:r>
              <w:t>E24</w:t>
            </w:r>
            <w:r>
              <w:br w:type="textWrapping"/>
            </w:r>
            <w:r>
              <w:t>D</w:t>
            </w:r>
          </w:p>
        </w:tc>
        <w:tc>
          <w:tcPr>
            <w:tcW w:w="1516" w:type="dxa"/>
            <w:vAlign w:val="center"/>
          </w:tcPr>
          <w:p w14:paraId="1471DDD6">
            <w:pPr>
              <w:pStyle w:val="212"/>
            </w:pPr>
            <w:r>
              <w:t>CT5 → T3</w:t>
            </w:r>
          </w:p>
        </w:tc>
      </w:tr>
      <w:tr w14:paraId="08CA963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1FFE0DD4">
            <w:pPr>
              <w:pStyle w:val="212"/>
            </w:pPr>
            <w:r>
              <w:t>K18</w:t>
            </w:r>
            <w:r>
              <w:br w:type="textWrapping"/>
            </w:r>
            <w:r>
              <w:t>Accountability framing</w:t>
            </w:r>
          </w:p>
        </w:tc>
        <w:tc>
          <w:tcPr>
            <w:tcW w:w="3750" w:type="dxa"/>
            <w:vAlign w:val="center"/>
          </w:tcPr>
          <w:p w14:paraId="7065445F">
            <w:pPr>
              <w:pStyle w:val="212"/>
            </w:pPr>
            <w:r>
              <w:t>Apply to an external evaluator’s stated preference for realised progress.</w:t>
            </w:r>
          </w:p>
        </w:tc>
        <w:tc>
          <w:tcPr>
            <w:tcW w:w="1970" w:type="dxa"/>
            <w:vAlign w:val="center"/>
          </w:tcPr>
          <w:p w14:paraId="77FCDFDA">
            <w:pPr>
              <w:pStyle w:val="212"/>
            </w:pPr>
            <w:r>
              <w:t>E23</w:t>
            </w:r>
            <w:r>
              <w:br w:type="textWrapping"/>
            </w:r>
            <w:r>
              <w:t>D</w:t>
            </w:r>
          </w:p>
        </w:tc>
        <w:tc>
          <w:tcPr>
            <w:tcW w:w="1516" w:type="dxa"/>
            <w:vAlign w:val="center"/>
          </w:tcPr>
          <w:p w14:paraId="3B24AB40">
            <w:pPr>
              <w:pStyle w:val="212"/>
            </w:pPr>
            <w:r>
              <w:t>CT6 → T4</w:t>
            </w:r>
          </w:p>
        </w:tc>
      </w:tr>
      <w:tr w14:paraId="3A17ACA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5EF2496C">
            <w:pPr>
              <w:pStyle w:val="212"/>
            </w:pPr>
            <w:r>
              <w:t>K19</w:t>
            </w:r>
            <w:r>
              <w:br w:type="textWrapping"/>
            </w:r>
            <w:r>
              <w:t>Disclosure is not endorsement</w:t>
            </w:r>
          </w:p>
        </w:tc>
        <w:tc>
          <w:tcPr>
            <w:tcW w:w="3750" w:type="dxa"/>
            <w:vAlign w:val="center"/>
          </w:tcPr>
          <w:p w14:paraId="0FF794F8">
            <w:pPr>
              <w:pStyle w:val="212"/>
            </w:pPr>
            <w:r>
              <w:t>Apply to explicit limits of an index’s evaluative meaning.</w:t>
            </w:r>
          </w:p>
        </w:tc>
        <w:tc>
          <w:tcPr>
            <w:tcW w:w="1970" w:type="dxa"/>
            <w:vAlign w:val="center"/>
          </w:tcPr>
          <w:p w14:paraId="281AB4AE">
            <w:pPr>
              <w:pStyle w:val="212"/>
            </w:pPr>
            <w:r>
              <w:t>E22</w:t>
            </w:r>
            <w:r>
              <w:br w:type="textWrapping"/>
            </w:r>
            <w:r>
              <w:t>D</w:t>
            </w:r>
          </w:p>
        </w:tc>
        <w:tc>
          <w:tcPr>
            <w:tcW w:w="1516" w:type="dxa"/>
            <w:vAlign w:val="center"/>
          </w:tcPr>
          <w:p w14:paraId="23922EBC">
            <w:pPr>
              <w:pStyle w:val="212"/>
            </w:pPr>
            <w:r>
              <w:t>CT7 → T4</w:t>
            </w:r>
          </w:p>
        </w:tc>
      </w:tr>
      <w:tr w14:paraId="4B98BBC6">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39465728">
            <w:pPr>
              <w:pStyle w:val="212"/>
            </w:pPr>
            <w:r>
              <w:t>K20</w:t>
            </w:r>
            <w:r>
              <w:br w:type="textWrapping"/>
            </w:r>
            <w:r>
              <w:t>Synthetic dependence</w:t>
            </w:r>
          </w:p>
        </w:tc>
        <w:tc>
          <w:tcPr>
            <w:tcW w:w="3750" w:type="dxa"/>
            <w:vAlign w:val="center"/>
          </w:tcPr>
          <w:p w14:paraId="5A8A7BFC">
            <w:pPr>
              <w:pStyle w:val="212"/>
            </w:pPr>
            <w:r>
              <w:t>Apply to the NGO’s documented material-use critique; attribute its standpoint.</w:t>
            </w:r>
          </w:p>
        </w:tc>
        <w:tc>
          <w:tcPr>
            <w:tcW w:w="1970" w:type="dxa"/>
            <w:vAlign w:val="center"/>
          </w:tcPr>
          <w:p w14:paraId="0DC36651">
            <w:pPr>
              <w:pStyle w:val="212"/>
            </w:pPr>
            <w:r>
              <w:t>E18, E20, E21</w:t>
            </w:r>
            <w:r>
              <w:br w:type="textWrapping"/>
            </w:r>
            <w:r>
              <w:t>D</w:t>
            </w:r>
          </w:p>
        </w:tc>
        <w:tc>
          <w:tcPr>
            <w:tcW w:w="1516" w:type="dxa"/>
            <w:vAlign w:val="center"/>
          </w:tcPr>
          <w:p w14:paraId="1C38D6E4">
            <w:pPr>
              <w:pStyle w:val="212"/>
            </w:pPr>
            <w:r>
              <w:t>CT5 → T3</w:t>
            </w:r>
          </w:p>
        </w:tc>
      </w:tr>
      <w:tr w14:paraId="3F37B5FF">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3D6877B1">
            <w:pPr>
              <w:pStyle w:val="212"/>
            </w:pPr>
            <w:r>
              <w:t>K21</w:t>
            </w:r>
            <w:r>
              <w:br w:type="textWrapping"/>
            </w:r>
            <w:r>
              <w:t>Supplier-energy concern</w:t>
            </w:r>
          </w:p>
        </w:tc>
        <w:tc>
          <w:tcPr>
            <w:tcW w:w="3750" w:type="dxa"/>
            <w:vAlign w:val="center"/>
          </w:tcPr>
          <w:p w14:paraId="6BC49631">
            <w:pPr>
              <w:pStyle w:val="212"/>
            </w:pPr>
            <w:r>
              <w:t>Apply to the reported supplier-energy issue; retain date and attribution.</w:t>
            </w:r>
          </w:p>
        </w:tc>
        <w:tc>
          <w:tcPr>
            <w:tcW w:w="1970" w:type="dxa"/>
            <w:vAlign w:val="center"/>
          </w:tcPr>
          <w:p w14:paraId="6FC2CE48">
            <w:pPr>
              <w:pStyle w:val="212"/>
            </w:pPr>
            <w:r>
              <w:t>E19</w:t>
            </w:r>
            <w:r>
              <w:br w:type="textWrapping"/>
            </w:r>
            <w:r>
              <w:t>D</w:t>
            </w:r>
          </w:p>
        </w:tc>
        <w:tc>
          <w:tcPr>
            <w:tcW w:w="1516" w:type="dxa"/>
            <w:vAlign w:val="center"/>
          </w:tcPr>
          <w:p w14:paraId="1F70A35C">
            <w:pPr>
              <w:pStyle w:val="212"/>
            </w:pPr>
            <w:r>
              <w:t>CT5 → T3</w:t>
            </w:r>
          </w:p>
        </w:tc>
      </w:tr>
      <w:tr w14:paraId="638DBA51">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574DCC9B">
            <w:pPr>
              <w:pStyle w:val="212"/>
            </w:pPr>
            <w:r>
              <w:t>K22</w:t>
            </w:r>
            <w:r>
              <w:br w:type="textWrapping"/>
            </w:r>
            <w:r>
              <w:t>Favourable counterexample</w:t>
            </w:r>
          </w:p>
        </w:tc>
        <w:tc>
          <w:tcPr>
            <w:tcW w:w="3750" w:type="dxa"/>
            <w:vAlign w:val="center"/>
          </w:tcPr>
          <w:p w14:paraId="5EAF2F66">
            <w:pPr>
              <w:pStyle w:val="212"/>
            </w:pPr>
            <w:r>
              <w:t>Retain a favourable comparative observation that challenges uniform condemnation.</w:t>
            </w:r>
          </w:p>
        </w:tc>
        <w:tc>
          <w:tcPr>
            <w:tcW w:w="1970" w:type="dxa"/>
            <w:vAlign w:val="center"/>
          </w:tcPr>
          <w:p w14:paraId="01BA34C6">
            <w:pPr>
              <w:pStyle w:val="212"/>
            </w:pPr>
            <w:r>
              <w:t>E17</w:t>
            </w:r>
            <w:r>
              <w:br w:type="textWrapping"/>
            </w:r>
            <w:r>
              <w:t>D</w:t>
            </w:r>
          </w:p>
        </w:tc>
        <w:tc>
          <w:tcPr>
            <w:tcW w:w="1516" w:type="dxa"/>
            <w:vAlign w:val="center"/>
          </w:tcPr>
          <w:p w14:paraId="5F8745CD">
            <w:pPr>
              <w:pStyle w:val="212"/>
            </w:pPr>
            <w:r>
              <w:t>CT7 → T4</w:t>
            </w:r>
          </w:p>
        </w:tc>
      </w:tr>
      <w:tr w14:paraId="214F68B4">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4F319509">
            <w:pPr>
              <w:pStyle w:val="212"/>
            </w:pPr>
            <w:r>
              <w:t>K23</w:t>
            </w:r>
            <w:r>
              <w:br w:type="textWrapping"/>
            </w:r>
            <w:r>
              <w:t>Supplier requirements</w:t>
            </w:r>
          </w:p>
        </w:tc>
        <w:tc>
          <w:tcPr>
            <w:tcW w:w="3750" w:type="dxa"/>
            <w:vAlign w:val="center"/>
          </w:tcPr>
          <w:p w14:paraId="3C2F4B6B">
            <w:pPr>
              <w:pStyle w:val="212"/>
            </w:pPr>
            <w:r>
              <w:t>Apply to disclosed environmental requirements; do not assume compliance.</w:t>
            </w:r>
          </w:p>
        </w:tc>
        <w:tc>
          <w:tcPr>
            <w:tcW w:w="1970" w:type="dxa"/>
            <w:vAlign w:val="center"/>
          </w:tcPr>
          <w:p w14:paraId="7D6D16D8">
            <w:pPr>
              <w:pStyle w:val="212"/>
            </w:pPr>
            <w:r>
              <w:t>E09</w:t>
            </w:r>
            <w:r>
              <w:br w:type="textWrapping"/>
            </w:r>
            <w:r>
              <w:t>D</w:t>
            </w:r>
          </w:p>
        </w:tc>
        <w:tc>
          <w:tcPr>
            <w:tcW w:w="1516" w:type="dxa"/>
            <w:vAlign w:val="center"/>
          </w:tcPr>
          <w:p w14:paraId="5D12478A">
            <w:pPr>
              <w:pStyle w:val="212"/>
            </w:pPr>
            <w:r>
              <w:t>CT3 → T1</w:t>
            </w:r>
          </w:p>
        </w:tc>
      </w:tr>
      <w:tr w14:paraId="0516D64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790" w:type="dxa"/>
            <w:vAlign w:val="center"/>
          </w:tcPr>
          <w:p w14:paraId="7E70869F">
            <w:pPr>
              <w:pStyle w:val="212"/>
            </w:pPr>
            <w:r>
              <w:t>K24</w:t>
            </w:r>
            <w:r>
              <w:br w:type="textWrapping"/>
            </w:r>
            <w:r>
              <w:t>Statutory context</w:t>
            </w:r>
          </w:p>
        </w:tc>
        <w:tc>
          <w:tcPr>
            <w:tcW w:w="3750" w:type="dxa"/>
            <w:vAlign w:val="center"/>
          </w:tcPr>
          <w:p w14:paraId="3DE97BAC">
            <w:pPr>
              <w:pStyle w:val="212"/>
            </w:pPr>
            <w:r>
              <w:t>Apply to the institutional setting; do not infer a retailer’s infringement.</w:t>
            </w:r>
          </w:p>
        </w:tc>
        <w:tc>
          <w:tcPr>
            <w:tcW w:w="1970" w:type="dxa"/>
            <w:vAlign w:val="center"/>
          </w:tcPr>
          <w:p w14:paraId="413A3D57">
            <w:pPr>
              <w:pStyle w:val="212"/>
            </w:pPr>
            <w:r>
              <w:t>E16</w:t>
            </w:r>
            <w:r>
              <w:br w:type="textWrapping"/>
            </w:r>
            <w:r>
              <w:t>S</w:t>
            </w:r>
          </w:p>
        </w:tc>
        <w:tc>
          <w:tcPr>
            <w:tcW w:w="1516" w:type="dxa"/>
            <w:vAlign w:val="center"/>
          </w:tcPr>
          <w:p w14:paraId="725013DC">
            <w:pPr>
              <w:pStyle w:val="212"/>
            </w:pPr>
            <w:r>
              <w:t>CT6 → T4</w:t>
            </w:r>
          </w:p>
        </w:tc>
      </w:tr>
    </w:tbl>
    <w:p w14:paraId="58276FA2">
      <w:pPr>
        <w:pStyle w:val="3"/>
      </w:pPr>
      <w:bookmarkStart w:id="98" w:name="_Toc240757406"/>
      <w:r>
        <w:t>E2. Seven provisional groupings and review decisions</w:t>
      </w:r>
      <w:bookmarkEnd w:id="98"/>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2950"/>
        <w:gridCol w:w="4630"/>
        <w:gridCol w:w="1446"/>
      </w:tblGrid>
      <w:tr w14:paraId="4EA4E5E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2950" w:type="dxa"/>
            <w:shd w:val="clear" w:color="auto" w:fill="F2F4F7"/>
            <w:vAlign w:val="center"/>
          </w:tcPr>
          <w:p w14:paraId="7BF26DC5">
            <w:pPr>
              <w:pStyle w:val="213"/>
            </w:pPr>
            <w:r>
              <w:t>Grouping / codes</w:t>
            </w:r>
          </w:p>
        </w:tc>
        <w:tc>
          <w:tcPr>
            <w:tcW w:w="4630" w:type="dxa"/>
            <w:shd w:val="clear" w:color="auto" w:fill="F2F4F7"/>
            <w:vAlign w:val="center"/>
          </w:tcPr>
          <w:p w14:paraId="1E6A0931">
            <w:pPr>
              <w:pStyle w:val="213"/>
            </w:pPr>
            <w:r>
              <w:t>Decision</w:t>
            </w:r>
          </w:p>
        </w:tc>
        <w:tc>
          <w:tcPr>
            <w:tcW w:w="1446" w:type="dxa"/>
            <w:shd w:val="clear" w:color="auto" w:fill="F2F4F7"/>
            <w:vAlign w:val="center"/>
          </w:tcPr>
          <w:p w14:paraId="64EF628F">
            <w:pPr>
              <w:pStyle w:val="213"/>
            </w:pPr>
            <w:r>
              <w:t>Final allocation</w:t>
            </w:r>
          </w:p>
        </w:tc>
      </w:tr>
      <w:tr w14:paraId="26972FE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950" w:type="dxa"/>
            <w:vAlign w:val="center"/>
          </w:tcPr>
          <w:p w14:paraId="2714ECF2">
            <w:pPr>
              <w:pStyle w:val="212"/>
            </w:pPr>
            <w:r>
              <w:t>CT1 Materials and targets</w:t>
            </w:r>
            <w:r>
              <w:br w:type="textWrapping"/>
            </w:r>
            <w:r>
              <w:t>K01, K02</w:t>
            </w:r>
          </w:p>
        </w:tc>
        <w:tc>
          <w:tcPr>
            <w:tcW w:w="4630" w:type="dxa"/>
            <w:vAlign w:val="center"/>
          </w:tcPr>
          <w:p w14:paraId="68D2B676">
            <w:pPr>
              <w:pStyle w:val="212"/>
            </w:pPr>
            <w:r>
              <w:t>Retain as part of the strategy portfolio; separate targets from measured shares.</w:t>
            </w:r>
          </w:p>
        </w:tc>
        <w:tc>
          <w:tcPr>
            <w:tcW w:w="1446" w:type="dxa"/>
            <w:vAlign w:val="center"/>
          </w:tcPr>
          <w:p w14:paraId="76AEAFB2">
            <w:pPr>
              <w:pStyle w:val="212"/>
            </w:pPr>
            <w:r>
              <w:t>T1</w:t>
            </w:r>
          </w:p>
        </w:tc>
      </w:tr>
      <w:tr w14:paraId="336E9358">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950" w:type="dxa"/>
            <w:vAlign w:val="center"/>
          </w:tcPr>
          <w:p w14:paraId="1115B4DF">
            <w:pPr>
              <w:pStyle w:val="212"/>
            </w:pPr>
            <w:r>
              <w:t>CT2 Circular provision</w:t>
            </w:r>
            <w:r>
              <w:br w:type="textWrapping"/>
            </w:r>
            <w:r>
              <w:t>K03, K04</w:t>
            </w:r>
          </w:p>
        </w:tc>
        <w:tc>
          <w:tcPr>
            <w:tcW w:w="4630" w:type="dxa"/>
            <w:vAlign w:val="center"/>
          </w:tcPr>
          <w:p w14:paraId="08C87D79">
            <w:pPr>
              <w:pStyle w:val="212"/>
            </w:pPr>
            <w:r>
              <w:t>Keep provision in T1; move delay to T3 so availability is not equated with successful delivery.</w:t>
            </w:r>
          </w:p>
        </w:tc>
        <w:tc>
          <w:tcPr>
            <w:tcW w:w="1446" w:type="dxa"/>
            <w:vAlign w:val="center"/>
          </w:tcPr>
          <w:p w14:paraId="0E822FC0">
            <w:pPr>
              <w:pStyle w:val="212"/>
            </w:pPr>
            <w:r>
              <w:t>T1; T3</w:t>
            </w:r>
          </w:p>
        </w:tc>
      </w:tr>
      <w:tr w14:paraId="21F00C1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950" w:type="dxa"/>
            <w:vAlign w:val="center"/>
          </w:tcPr>
          <w:p w14:paraId="34177275">
            <w:pPr>
              <w:pStyle w:val="212"/>
            </w:pPr>
            <w:r>
              <w:t>CT3 Evidence architecture</w:t>
            </w:r>
            <w:r>
              <w:br w:type="textWrapping"/>
            </w:r>
            <w:r>
              <w:t>K05, K08–K11, K23</w:t>
            </w:r>
          </w:p>
        </w:tc>
        <w:tc>
          <w:tcPr>
            <w:tcW w:w="4630" w:type="dxa"/>
            <w:vAlign w:val="center"/>
          </w:tcPr>
          <w:p w14:paraId="028EC408">
            <w:pPr>
              <w:pStyle w:val="212"/>
            </w:pPr>
            <w:r>
              <w:t>Move strategy architecture and supplier requirements to T1; retain evidential conditions in T2.</w:t>
            </w:r>
          </w:p>
        </w:tc>
        <w:tc>
          <w:tcPr>
            <w:tcW w:w="1446" w:type="dxa"/>
            <w:vAlign w:val="center"/>
          </w:tcPr>
          <w:p w14:paraId="3A030BFF">
            <w:pPr>
              <w:pStyle w:val="212"/>
            </w:pPr>
            <w:r>
              <w:t>T1; T2</w:t>
            </w:r>
          </w:p>
        </w:tc>
      </w:tr>
      <w:tr w14:paraId="520959F1">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950" w:type="dxa"/>
            <w:vAlign w:val="center"/>
          </w:tcPr>
          <w:p w14:paraId="110D49D1">
            <w:pPr>
              <w:pStyle w:val="212"/>
            </w:pPr>
            <w:r>
              <w:t>CT4 Communication delivery</w:t>
            </w:r>
            <w:r>
              <w:br w:type="textWrapping"/>
            </w:r>
            <w:r>
              <w:t>K07</w:t>
            </w:r>
          </w:p>
        </w:tc>
        <w:tc>
          <w:tcPr>
            <w:tcW w:w="4630" w:type="dxa"/>
            <w:vAlign w:val="center"/>
          </w:tcPr>
          <w:p w14:paraId="45D5A0E1">
            <w:pPr>
              <w:pStyle w:val="212"/>
            </w:pPr>
            <w:r>
              <w:t>Combine with evidence architecture: adequate evidence must retain its scope at the point of communication.</w:t>
            </w:r>
          </w:p>
        </w:tc>
        <w:tc>
          <w:tcPr>
            <w:tcW w:w="1446" w:type="dxa"/>
            <w:vAlign w:val="center"/>
          </w:tcPr>
          <w:p w14:paraId="2F89BC4B">
            <w:pPr>
              <w:pStyle w:val="212"/>
            </w:pPr>
            <w:r>
              <w:t>T2</w:t>
            </w:r>
          </w:p>
        </w:tc>
      </w:tr>
      <w:tr w14:paraId="35F56AA4">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950" w:type="dxa"/>
            <w:vAlign w:val="center"/>
          </w:tcPr>
          <w:p w14:paraId="4BCC6471">
            <w:pPr>
              <w:pStyle w:val="212"/>
            </w:pPr>
            <w:r>
              <w:t>CT5 Ambition, implementation and scale</w:t>
            </w:r>
            <w:r>
              <w:br w:type="textWrapping"/>
            </w:r>
            <w:r>
              <w:t>K06, K13, K17, K20, K21</w:t>
            </w:r>
          </w:p>
        </w:tc>
        <w:tc>
          <w:tcPr>
            <w:tcW w:w="4630" w:type="dxa"/>
            <w:vAlign w:val="center"/>
          </w:tcPr>
          <w:p w14:paraId="7B36207C">
            <w:pPr>
              <w:pStyle w:val="212"/>
            </w:pPr>
            <w:r>
              <w:t>Retain as tensions; reject a universal finding of intentional deception.</w:t>
            </w:r>
          </w:p>
        </w:tc>
        <w:tc>
          <w:tcPr>
            <w:tcW w:w="1446" w:type="dxa"/>
            <w:vAlign w:val="center"/>
          </w:tcPr>
          <w:p w14:paraId="6689224A">
            <w:pPr>
              <w:pStyle w:val="212"/>
            </w:pPr>
            <w:r>
              <w:t>T3</w:t>
            </w:r>
          </w:p>
        </w:tc>
      </w:tr>
      <w:tr w14:paraId="71ED21E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950" w:type="dxa"/>
            <w:vAlign w:val="center"/>
          </w:tcPr>
          <w:p w14:paraId="2308F5CA">
            <w:pPr>
              <w:pStyle w:val="212"/>
            </w:pPr>
            <w:r>
              <w:t>CT6 External authority and response</w:t>
            </w:r>
            <w:r>
              <w:br w:type="textWrapping"/>
            </w:r>
            <w:r>
              <w:t>K12, K14–K16, K18, K24</w:t>
            </w:r>
          </w:p>
        </w:tc>
        <w:tc>
          <w:tcPr>
            <w:tcW w:w="4630" w:type="dxa"/>
            <w:vAlign w:val="center"/>
          </w:tcPr>
          <w:p w14:paraId="29CA028D">
            <w:pPr>
              <w:pStyle w:val="212"/>
            </w:pPr>
            <w:r>
              <w:t>Retain source-specific authority and distinguish procedural response from restored reputation.</w:t>
            </w:r>
          </w:p>
        </w:tc>
        <w:tc>
          <w:tcPr>
            <w:tcW w:w="1446" w:type="dxa"/>
            <w:vAlign w:val="center"/>
          </w:tcPr>
          <w:p w14:paraId="45D0AF98">
            <w:pPr>
              <w:pStyle w:val="212"/>
            </w:pPr>
            <w:r>
              <w:t>T4</w:t>
            </w:r>
          </w:p>
        </w:tc>
      </w:tr>
      <w:tr w14:paraId="404240A6">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950" w:type="dxa"/>
            <w:vAlign w:val="center"/>
          </w:tcPr>
          <w:p w14:paraId="313B546B">
            <w:pPr>
              <w:pStyle w:val="212"/>
            </w:pPr>
            <w:r>
              <w:t>CT7 Comparative evaluation</w:t>
            </w:r>
            <w:r>
              <w:br w:type="textWrapping"/>
            </w:r>
            <w:r>
              <w:t>K19, K22</w:t>
            </w:r>
          </w:p>
        </w:tc>
        <w:tc>
          <w:tcPr>
            <w:tcW w:w="4630" w:type="dxa"/>
            <w:vAlign w:val="center"/>
          </w:tcPr>
          <w:p w14:paraId="4C22661C">
            <w:pPr>
              <w:pStyle w:val="212"/>
            </w:pPr>
            <w:r>
              <w:t>Combine with external scrutiny; retain evaluation limits and favourable counterexamples.</w:t>
            </w:r>
          </w:p>
        </w:tc>
        <w:tc>
          <w:tcPr>
            <w:tcW w:w="1446" w:type="dxa"/>
            <w:vAlign w:val="center"/>
          </w:tcPr>
          <w:p w14:paraId="5EB426D2">
            <w:pPr>
              <w:pStyle w:val="212"/>
            </w:pPr>
            <w:r>
              <w:t>T4</w:t>
            </w:r>
          </w:p>
        </w:tc>
      </w:tr>
    </w:tbl>
    <w:p w14:paraId="48B6EB88">
      <w:pPr>
        <w:pStyle w:val="3"/>
      </w:pPr>
      <w:bookmarkStart w:id="99" w:name="_Toc240757407"/>
      <w:r>
        <w:t>E3. Final definitions</w:t>
      </w:r>
      <w:bookmarkEnd w:id="99"/>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2450"/>
        <w:gridCol w:w="3480"/>
        <w:gridCol w:w="3096"/>
      </w:tblGrid>
      <w:tr w14:paraId="5EF75CF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2450" w:type="dxa"/>
            <w:shd w:val="clear" w:color="auto" w:fill="F2F4F7"/>
            <w:vAlign w:val="center"/>
          </w:tcPr>
          <w:p w14:paraId="2C76A855">
            <w:pPr>
              <w:pStyle w:val="213"/>
            </w:pPr>
            <w:r>
              <w:t>Theme</w:t>
            </w:r>
          </w:p>
        </w:tc>
        <w:tc>
          <w:tcPr>
            <w:tcW w:w="3480" w:type="dxa"/>
            <w:shd w:val="clear" w:color="auto" w:fill="F2F4F7"/>
            <w:vAlign w:val="center"/>
          </w:tcPr>
          <w:p w14:paraId="5F249C3E">
            <w:pPr>
              <w:pStyle w:val="213"/>
            </w:pPr>
            <w:r>
              <w:t>Central meaning</w:t>
            </w:r>
          </w:p>
        </w:tc>
        <w:tc>
          <w:tcPr>
            <w:tcW w:w="3096" w:type="dxa"/>
            <w:shd w:val="clear" w:color="auto" w:fill="F2F4F7"/>
            <w:vAlign w:val="center"/>
          </w:tcPr>
          <w:p w14:paraId="1A8AEEC9">
            <w:pPr>
              <w:pStyle w:val="213"/>
            </w:pPr>
            <w:r>
              <w:t>Boundary</w:t>
            </w:r>
          </w:p>
        </w:tc>
      </w:tr>
      <w:tr w14:paraId="6F47431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450" w:type="dxa"/>
            <w:vAlign w:val="center"/>
          </w:tcPr>
          <w:p w14:paraId="52B5BE80">
            <w:pPr>
              <w:pStyle w:val="212"/>
            </w:pPr>
            <w:r>
              <w:t>T1 Uneven strategy portfolios</w:t>
            </w:r>
          </w:p>
        </w:tc>
        <w:tc>
          <w:tcPr>
            <w:tcW w:w="3480" w:type="dxa"/>
            <w:vAlign w:val="center"/>
          </w:tcPr>
          <w:p w14:paraId="215A27BE">
            <w:pPr>
              <w:pStyle w:val="212"/>
            </w:pPr>
            <w:r>
              <w:t>Communicated activities and their differing delivery states.</w:t>
            </w:r>
          </w:p>
        </w:tc>
        <w:tc>
          <w:tcPr>
            <w:tcW w:w="3096" w:type="dxa"/>
            <w:vAlign w:val="center"/>
          </w:tcPr>
          <w:p w14:paraId="1AB36570">
            <w:pPr>
              <w:pStyle w:val="212"/>
            </w:pPr>
            <w:r>
              <w:t>Does not equate activity count with sustainability or trust.</w:t>
            </w:r>
          </w:p>
        </w:tc>
      </w:tr>
      <w:tr w14:paraId="4B38FCFE">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450" w:type="dxa"/>
            <w:vAlign w:val="center"/>
          </w:tcPr>
          <w:p w14:paraId="1BE6B00A">
            <w:pPr>
              <w:pStyle w:val="212"/>
            </w:pPr>
            <w:r>
              <w:t>T2 Scope and accessible evidence</w:t>
            </w:r>
          </w:p>
        </w:tc>
        <w:tc>
          <w:tcPr>
            <w:tcW w:w="3480" w:type="dxa"/>
            <w:vAlign w:val="center"/>
          </w:tcPr>
          <w:p w14:paraId="7BFC36E3">
            <w:pPr>
              <w:pStyle w:val="212"/>
            </w:pPr>
            <w:r>
              <w:t>Substantiation must match claim level, measurement boundary and presentation.</w:t>
            </w:r>
          </w:p>
        </w:tc>
        <w:tc>
          <w:tcPr>
            <w:tcW w:w="3096" w:type="dxa"/>
            <w:vAlign w:val="center"/>
          </w:tcPr>
          <w:p w14:paraId="15D298B4">
            <w:pPr>
              <w:pStyle w:val="212"/>
            </w:pPr>
            <w:r>
              <w:t>The four prior credibility conditions are sensitising concepts, not newly discovered variables.</w:t>
            </w:r>
          </w:p>
        </w:tc>
      </w:tr>
      <w:tr w14:paraId="1EEB5EC2">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450" w:type="dxa"/>
            <w:vAlign w:val="center"/>
          </w:tcPr>
          <w:p w14:paraId="644E80AD">
            <w:pPr>
              <w:pStyle w:val="212"/>
            </w:pPr>
            <w:r>
              <w:t>T3 Ambition–implementation tensions</w:t>
            </w:r>
          </w:p>
        </w:tc>
        <w:tc>
          <w:tcPr>
            <w:tcW w:w="3480" w:type="dxa"/>
            <w:vAlign w:val="center"/>
          </w:tcPr>
          <w:p w14:paraId="32AB55F9">
            <w:pPr>
              <w:pStyle w:val="212"/>
            </w:pPr>
            <w:r>
              <w:t>Targets, implementation and outcomes can diverge.</w:t>
            </w:r>
          </w:p>
        </w:tc>
        <w:tc>
          <w:tcPr>
            <w:tcW w:w="3096" w:type="dxa"/>
            <w:vAlign w:val="center"/>
          </w:tcPr>
          <w:p w14:paraId="720E0539">
            <w:pPr>
              <w:pStyle w:val="212"/>
            </w:pPr>
            <w:r>
              <w:t>Does not prove intent, deception or realised consumer misunderstanding.</w:t>
            </w:r>
          </w:p>
        </w:tc>
      </w:tr>
      <w:tr w14:paraId="59415F2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450" w:type="dxa"/>
            <w:vAlign w:val="center"/>
          </w:tcPr>
          <w:p w14:paraId="469F067A">
            <w:pPr>
              <w:pStyle w:val="212"/>
            </w:pPr>
            <w:r>
              <w:t>T4 External scrutiny and qualification</w:t>
            </w:r>
          </w:p>
        </w:tc>
        <w:tc>
          <w:tcPr>
            <w:tcW w:w="3480" w:type="dxa"/>
            <w:vAlign w:val="center"/>
          </w:tcPr>
          <w:p w14:paraId="5DC85388">
            <w:pPr>
              <w:pStyle w:val="212"/>
            </w:pPr>
            <w:r>
              <w:t>External actors alter the evidential questions and qualify interpretations.</w:t>
            </w:r>
          </w:p>
        </w:tc>
        <w:tc>
          <w:tcPr>
            <w:tcW w:w="3096" w:type="dxa"/>
            <w:vAlign w:val="center"/>
          </w:tcPr>
          <w:p w14:paraId="693960BF">
            <w:pPr>
              <w:pStyle w:val="212"/>
            </w:pPr>
            <w:r>
              <w:t>Includes favourable counterexamples and source limitations, not only criticism.</w:t>
            </w:r>
          </w:p>
        </w:tc>
      </w:tr>
    </w:tbl>
    <w:p w14:paraId="3BEBED87">
      <w:pPr>
        <w:pStyle w:val="3"/>
      </w:pPr>
      <w:bookmarkStart w:id="100" w:name="_Toc240757408"/>
      <w:r>
        <w:t>E4. Negative evidence that changed interpretation</w:t>
      </w:r>
      <w:bookmarkEnd w:id="100"/>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3300"/>
        <w:gridCol w:w="2400"/>
        <w:gridCol w:w="3326"/>
      </w:tblGrid>
      <w:tr w14:paraId="335CCD4F">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3300" w:type="dxa"/>
            <w:shd w:val="clear" w:color="auto" w:fill="F2F4F7"/>
            <w:vAlign w:val="center"/>
          </w:tcPr>
          <w:p w14:paraId="65041AC6">
            <w:pPr>
              <w:pStyle w:val="213"/>
            </w:pPr>
            <w:r>
              <w:t>Case / rejected interpretation</w:t>
            </w:r>
          </w:p>
        </w:tc>
        <w:tc>
          <w:tcPr>
            <w:tcW w:w="2400" w:type="dxa"/>
            <w:shd w:val="clear" w:color="auto" w:fill="F2F4F7"/>
            <w:vAlign w:val="center"/>
          </w:tcPr>
          <w:p w14:paraId="698409C0">
            <w:pPr>
              <w:pStyle w:val="213"/>
            </w:pPr>
            <w:r>
              <w:t>Disconfirming evidence</w:t>
            </w:r>
          </w:p>
        </w:tc>
        <w:tc>
          <w:tcPr>
            <w:tcW w:w="3326" w:type="dxa"/>
            <w:shd w:val="clear" w:color="auto" w:fill="F2F4F7"/>
            <w:vAlign w:val="center"/>
          </w:tcPr>
          <w:p w14:paraId="0976F334">
            <w:pPr>
              <w:pStyle w:val="213"/>
            </w:pPr>
            <w:r>
              <w:t>Change</w:t>
            </w:r>
          </w:p>
        </w:tc>
      </w:tr>
      <w:tr w14:paraId="4BD36F8E">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3300" w:type="dxa"/>
            <w:vAlign w:val="center"/>
          </w:tcPr>
          <w:p w14:paraId="0A3D2B1E">
            <w:pPr>
              <w:pStyle w:val="212"/>
            </w:pPr>
            <w:r>
              <w:t>ASOS</w:t>
            </w:r>
            <w:r>
              <w:br w:type="textWrapping"/>
            </w:r>
            <w:r>
              <w:t>A broad circular portfolio demonstrates successful delivery.</w:t>
            </w:r>
          </w:p>
        </w:tc>
        <w:tc>
          <w:tcPr>
            <w:tcW w:w="2400" w:type="dxa"/>
            <w:vAlign w:val="center"/>
          </w:tcPr>
          <w:p w14:paraId="67ABC216">
            <w:pPr>
              <w:pStyle w:val="212"/>
            </w:pPr>
            <w:r>
              <w:t>E02: explicit delay.</w:t>
            </w:r>
          </w:p>
        </w:tc>
        <w:tc>
          <w:tcPr>
            <w:tcW w:w="3326" w:type="dxa"/>
            <w:vAlign w:val="center"/>
          </w:tcPr>
          <w:p w14:paraId="4341BBEE">
            <w:pPr>
              <w:pStyle w:val="212"/>
            </w:pPr>
            <w:r>
              <w:t>Move K04 to T3; distinguish service provision from delivery status.</w:t>
            </w:r>
          </w:p>
        </w:tc>
      </w:tr>
      <w:tr w14:paraId="180F5B1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3300" w:type="dxa"/>
            <w:vAlign w:val="center"/>
          </w:tcPr>
          <w:p w14:paraId="096B691D">
            <w:pPr>
              <w:pStyle w:val="212"/>
            </w:pPr>
            <w:r>
              <w:t>H&amp;M</w:t>
            </w:r>
            <w:r>
              <w:br w:type="textWrapping"/>
            </w:r>
            <w:r>
              <w:t>Quantified and assured reporting establishes universal claim credibility.</w:t>
            </w:r>
          </w:p>
        </w:tc>
        <w:tc>
          <w:tcPr>
            <w:tcW w:w="2400" w:type="dxa"/>
            <w:vAlign w:val="center"/>
          </w:tcPr>
          <w:p w14:paraId="78AC3ECB">
            <w:pPr>
              <w:pStyle w:val="212"/>
            </w:pPr>
            <w:r>
              <w:t>E06: selected assurance; E15: earlier claim intervention.</w:t>
            </w:r>
          </w:p>
        </w:tc>
        <w:tc>
          <w:tcPr>
            <w:tcW w:w="3326" w:type="dxa"/>
            <w:vAlign w:val="center"/>
          </w:tcPr>
          <w:p w14:paraId="02F1F9F8">
            <w:pPr>
              <w:pStyle w:val="212"/>
            </w:pPr>
            <w:r>
              <w:t>Reject assurance spillover. Retain a scope-specific T2 interpretation.</w:t>
            </w:r>
          </w:p>
        </w:tc>
      </w:tr>
      <w:tr w14:paraId="6C605A64">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3300" w:type="dxa"/>
            <w:vAlign w:val="center"/>
          </w:tcPr>
          <w:p w14:paraId="20272DF9">
            <w:pPr>
              <w:pStyle w:val="212"/>
            </w:pPr>
            <w:r>
              <w:t>Zara</w:t>
            </w:r>
            <w:r>
              <w:br w:type="textWrapping"/>
            </w:r>
            <w:r>
              <w:t>External evidence condemns all five retailers equally.</w:t>
            </w:r>
          </w:p>
        </w:tc>
        <w:tc>
          <w:tcPr>
            <w:tcW w:w="2400" w:type="dxa"/>
            <w:vAlign w:val="center"/>
          </w:tcPr>
          <w:p w14:paraId="1A1B6A0C">
            <w:pPr>
              <w:pStyle w:val="212"/>
            </w:pPr>
            <w:r>
              <w:t>E17: comparatively favourable historical observation.</w:t>
            </w:r>
          </w:p>
        </w:tc>
        <w:tc>
          <w:tcPr>
            <w:tcW w:w="3326" w:type="dxa"/>
            <w:vAlign w:val="center"/>
          </w:tcPr>
          <w:p w14:paraId="28C017DE">
            <w:pPr>
              <w:pStyle w:val="212"/>
            </w:pPr>
            <w:r>
              <w:t>Reject uniform condemnation; define T4 as qualification, including favourable evidence.</w:t>
            </w:r>
          </w:p>
        </w:tc>
      </w:tr>
      <w:tr w14:paraId="41A21082">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3300" w:type="dxa"/>
            <w:vAlign w:val="center"/>
          </w:tcPr>
          <w:p w14:paraId="477897C1">
            <w:pPr>
              <w:pStyle w:val="212"/>
            </w:pPr>
            <w:r>
              <w:t>Primark</w:t>
            </w:r>
            <w:r>
              <w:br w:type="textWrapping"/>
            </w:r>
            <w:r>
              <w:t>Little selected regulatory evidence indicates strong credibility.</w:t>
            </w:r>
          </w:p>
        </w:tc>
        <w:tc>
          <w:tcPr>
            <w:tcW w:w="2400" w:type="dxa"/>
            <w:vAlign w:val="center"/>
          </w:tcPr>
          <w:p w14:paraId="78629077">
            <w:pPr>
              <w:pStyle w:val="212"/>
            </w:pPr>
            <w:r>
              <w:t>E19 is an external account; no direct corporate counterpart is retained.</w:t>
            </w:r>
          </w:p>
        </w:tc>
        <w:tc>
          <w:tcPr>
            <w:tcW w:w="3326" w:type="dxa"/>
            <w:vAlign w:val="center"/>
          </w:tcPr>
          <w:p w14:paraId="784D1EC3">
            <w:pPr>
              <w:pStyle w:val="212"/>
            </w:pPr>
            <w:r>
              <w:t>Record insufficient direct evidence; do not rank the case favourably.</w:t>
            </w:r>
          </w:p>
        </w:tc>
      </w:tr>
    </w:tbl>
    <w:p w14:paraId="016013D6">
      <w:pPr>
        <w:pStyle w:val="214"/>
      </w:pPr>
      <w:r>
        <w:t>The four final themes are not claimed to have equal support in every case. Primark’s limited direct evidence is retained as a coverage boundary. No theme frequency is used as a proxy for prevalence or importance; the relevant test is explanatory fit with the accessible evidence.</w:t>
      </w:r>
    </w:p>
    <w:p w14:paraId="5DE5AC97">
      <w:r>
        <w:br w:type="page"/>
      </w:r>
    </w:p>
    <w:p w14:paraId="4F1B115F">
      <w:pPr>
        <w:pStyle w:val="2"/>
      </w:pPr>
      <w:bookmarkStart w:id="101" w:name="_Toc240757409"/>
      <w:r>
        <w:t>Appendix F: Triangulation and reflexive decisions</w:t>
      </w:r>
      <w:bookmarkEnd w:id="101"/>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1610"/>
        <w:gridCol w:w="2610"/>
        <w:gridCol w:w="4806"/>
      </w:tblGrid>
      <w:tr w14:paraId="1E20C268">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1610" w:type="dxa"/>
            <w:shd w:val="clear" w:color="auto" w:fill="F2F4F7"/>
            <w:vAlign w:val="center"/>
          </w:tcPr>
          <w:p w14:paraId="5C7639C2">
            <w:pPr>
              <w:pStyle w:val="213"/>
            </w:pPr>
            <w:r>
              <w:t>Mode</w:t>
            </w:r>
          </w:p>
        </w:tc>
        <w:tc>
          <w:tcPr>
            <w:tcW w:w="2610" w:type="dxa"/>
            <w:shd w:val="clear" w:color="auto" w:fill="F2F4F7"/>
            <w:vAlign w:val="center"/>
          </w:tcPr>
          <w:p w14:paraId="3E92B5EC">
            <w:pPr>
              <w:pStyle w:val="213"/>
            </w:pPr>
            <w:r>
              <w:t>Evidence pair</w:t>
            </w:r>
          </w:p>
        </w:tc>
        <w:tc>
          <w:tcPr>
            <w:tcW w:w="4806" w:type="dxa"/>
            <w:shd w:val="clear" w:color="auto" w:fill="F2F4F7"/>
            <w:vAlign w:val="center"/>
          </w:tcPr>
          <w:p w14:paraId="1D59EE89">
            <w:pPr>
              <w:pStyle w:val="213"/>
            </w:pPr>
            <w:r>
              <w:t>Conclusion and boundary</w:t>
            </w:r>
          </w:p>
        </w:tc>
      </w:tr>
      <w:tr w14:paraId="7D9603A1">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610" w:type="dxa"/>
            <w:vAlign w:val="center"/>
          </w:tcPr>
          <w:p w14:paraId="69CED1F1">
            <w:pPr>
              <w:pStyle w:val="212"/>
            </w:pPr>
            <w:r>
              <w:t>Convergence</w:t>
            </w:r>
          </w:p>
        </w:tc>
        <w:tc>
          <w:tcPr>
            <w:tcW w:w="2610" w:type="dxa"/>
            <w:vAlign w:val="center"/>
          </w:tcPr>
          <w:p w14:paraId="3E58F34D">
            <w:pPr>
              <w:pStyle w:val="212"/>
            </w:pPr>
            <w:r>
              <w:t>D01 / E03 and D07 / E11–E12</w:t>
            </w:r>
          </w:p>
        </w:tc>
        <w:tc>
          <w:tcPr>
            <w:tcW w:w="4806" w:type="dxa"/>
            <w:vAlign w:val="center"/>
          </w:tcPr>
          <w:p w14:paraId="757AA843">
            <w:pPr>
              <w:pStyle w:val="212"/>
            </w:pPr>
            <w:r>
              <w:t>Both document the existence of an oversight response concerning ASOS claims. Neither establishes universal compliance or restored trust.</w:t>
            </w:r>
          </w:p>
        </w:tc>
      </w:tr>
      <w:tr w14:paraId="6F713E82">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610" w:type="dxa"/>
            <w:vAlign w:val="center"/>
          </w:tcPr>
          <w:p w14:paraId="7F1629E6">
            <w:pPr>
              <w:pStyle w:val="212"/>
            </w:pPr>
            <w:r>
              <w:t>Complementarity</w:t>
            </w:r>
          </w:p>
        </w:tc>
        <w:tc>
          <w:tcPr>
            <w:tcW w:w="2610" w:type="dxa"/>
            <w:vAlign w:val="center"/>
          </w:tcPr>
          <w:p w14:paraId="10526AD9">
            <w:pPr>
              <w:pStyle w:val="212"/>
            </w:pPr>
            <w:r>
              <w:t>D04 / E06–E07 and D09 / E15</w:t>
            </w:r>
          </w:p>
        </w:tc>
        <w:tc>
          <w:tcPr>
            <w:tcW w:w="4806" w:type="dxa"/>
            <w:vAlign w:val="center"/>
          </w:tcPr>
          <w:p w14:paraId="44D9B7E9">
            <w:pPr>
              <w:pStyle w:val="212"/>
            </w:pPr>
            <w:r>
              <w:t>Selected reporting assurance and earlier Dutch claim intervention answer different questions in different periods.</w:t>
            </w:r>
          </w:p>
        </w:tc>
      </w:tr>
      <w:tr w14:paraId="11EF810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610" w:type="dxa"/>
            <w:vAlign w:val="center"/>
          </w:tcPr>
          <w:p w14:paraId="6677EB66">
            <w:pPr>
              <w:pStyle w:val="212"/>
            </w:pPr>
            <w:r>
              <w:t>Contradiction of interpretation</w:t>
            </w:r>
          </w:p>
        </w:tc>
        <w:tc>
          <w:tcPr>
            <w:tcW w:w="2610" w:type="dxa"/>
            <w:vAlign w:val="center"/>
          </w:tcPr>
          <w:p w14:paraId="218E90BB">
            <w:pPr>
              <w:pStyle w:val="212"/>
            </w:pPr>
            <w:r>
              <w:t>D11 / E17 against a uniform-greenwashing proposition</w:t>
            </w:r>
          </w:p>
        </w:tc>
        <w:tc>
          <w:tcPr>
            <w:tcW w:w="4806" w:type="dxa"/>
            <w:vAlign w:val="center"/>
          </w:tcPr>
          <w:p w14:paraId="75532641">
            <w:pPr>
              <w:pStyle w:val="212"/>
            </w:pPr>
            <w:r>
              <w:t>The favourable historical Zara comparison requires rejection of indiscriminate condemnation. It does not disprove separate material concerns.</w:t>
            </w:r>
          </w:p>
        </w:tc>
      </w:tr>
      <w:tr w14:paraId="6999B664">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610" w:type="dxa"/>
            <w:vAlign w:val="center"/>
          </w:tcPr>
          <w:p w14:paraId="2C35B54C">
            <w:pPr>
              <w:pStyle w:val="212"/>
            </w:pPr>
            <w:r>
              <w:t>Within-source tension</w:t>
            </w:r>
          </w:p>
        </w:tc>
        <w:tc>
          <w:tcPr>
            <w:tcW w:w="2610" w:type="dxa"/>
            <w:vAlign w:val="center"/>
          </w:tcPr>
          <w:p w14:paraId="2378F097">
            <w:pPr>
              <w:pStyle w:val="212"/>
            </w:pPr>
            <w:r>
              <w:t>D03 / E04 and E05</w:t>
            </w:r>
          </w:p>
        </w:tc>
        <w:tc>
          <w:tcPr>
            <w:tcW w:w="4806" w:type="dxa"/>
            <w:vAlign w:val="center"/>
          </w:tcPr>
          <w:p w14:paraId="71B28B5F">
            <w:pPr>
              <w:pStyle w:val="212"/>
            </w:pPr>
            <w:r>
              <w:t>Ambitions coexist with a reported declining share. This is a tension between promise and delivery, not two independent witnesses.</w:t>
            </w:r>
          </w:p>
        </w:tc>
      </w:tr>
    </w:tbl>
    <w:p w14:paraId="48F71656">
      <w:pPr>
        <w:pStyle w:val="3"/>
      </w:pPr>
      <w:bookmarkStart w:id="102" w:name="_Toc240757410"/>
      <w:r>
        <w:t>F2. Source dependence</w:t>
      </w:r>
      <w:bookmarkEnd w:id="102"/>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2400"/>
        <w:gridCol w:w="6626"/>
      </w:tblGrid>
      <w:tr w14:paraId="552174E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2400" w:type="dxa"/>
            <w:shd w:val="clear" w:color="auto" w:fill="F2F4F7"/>
            <w:vAlign w:val="center"/>
          </w:tcPr>
          <w:p w14:paraId="4A20AC52">
            <w:pPr>
              <w:pStyle w:val="213"/>
            </w:pPr>
            <w:r>
              <w:t>Relationship</w:t>
            </w:r>
          </w:p>
        </w:tc>
        <w:tc>
          <w:tcPr>
            <w:tcW w:w="6626" w:type="dxa"/>
            <w:shd w:val="clear" w:color="auto" w:fill="F2F4F7"/>
            <w:vAlign w:val="center"/>
          </w:tcPr>
          <w:p w14:paraId="627F9FC7">
            <w:pPr>
              <w:pStyle w:val="213"/>
            </w:pPr>
            <w:r>
              <w:t>Dependence rule</w:t>
            </w:r>
          </w:p>
        </w:tc>
      </w:tr>
      <w:tr w14:paraId="4DA116E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400" w:type="dxa"/>
            <w:vAlign w:val="center"/>
          </w:tcPr>
          <w:p w14:paraId="7F8E9310">
            <w:pPr>
              <w:pStyle w:val="212"/>
            </w:pPr>
            <w:r>
              <w:t>D11 and D12</w:t>
            </w:r>
          </w:p>
        </w:tc>
        <w:tc>
          <w:tcPr>
            <w:tcW w:w="6626" w:type="dxa"/>
            <w:vAlign w:val="center"/>
          </w:tcPr>
          <w:p w14:paraId="1BACC227">
            <w:pPr>
              <w:pStyle w:val="212"/>
            </w:pPr>
            <w:r>
              <w:t>Same campaigning organisation and related research programme; do not count as fully independent confirmation.</w:t>
            </w:r>
          </w:p>
        </w:tc>
      </w:tr>
      <w:tr w14:paraId="004A4E7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400" w:type="dxa"/>
            <w:vAlign w:val="center"/>
          </w:tcPr>
          <w:p w14:paraId="37F77EDE">
            <w:pPr>
              <w:pStyle w:val="212"/>
            </w:pPr>
            <w:r>
              <w:t>D13 and corporate reports</w:t>
            </w:r>
          </w:p>
        </w:tc>
        <w:tc>
          <w:tcPr>
            <w:tcW w:w="6626" w:type="dxa"/>
            <w:vAlign w:val="center"/>
          </w:tcPr>
          <w:p w14:paraId="2CCAEF47">
            <w:pPr>
              <w:pStyle w:val="212"/>
            </w:pPr>
            <w:r>
              <w:t>The index relies on public disclosure and does not independently verify all underlying corporate information.</w:t>
            </w:r>
          </w:p>
        </w:tc>
      </w:tr>
      <w:tr w14:paraId="14805746">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400" w:type="dxa"/>
            <w:vAlign w:val="center"/>
          </w:tcPr>
          <w:p w14:paraId="3DB0CC46">
            <w:pPr>
              <w:pStyle w:val="212"/>
            </w:pPr>
            <w:r>
              <w:t>D03 and Parliament</w:t>
            </w:r>
          </w:p>
        </w:tc>
        <w:tc>
          <w:tcPr>
            <w:tcW w:w="6626" w:type="dxa"/>
            <w:vAlign w:val="center"/>
          </w:tcPr>
          <w:p w14:paraId="4299773E">
            <w:pPr>
              <w:pStyle w:val="212"/>
            </w:pPr>
            <w:r>
              <w:t>Hosting does not change corporate authorship.</w:t>
            </w:r>
          </w:p>
        </w:tc>
      </w:tr>
      <w:tr w14:paraId="18A4EA8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400" w:type="dxa"/>
            <w:vAlign w:val="center"/>
          </w:tcPr>
          <w:p w14:paraId="1AA0D26D">
            <w:pPr>
              <w:pStyle w:val="212"/>
            </w:pPr>
            <w:r>
              <w:t>D06–D08</w:t>
            </w:r>
          </w:p>
        </w:tc>
        <w:tc>
          <w:tcPr>
            <w:tcW w:w="6626" w:type="dxa"/>
            <w:vAlign w:val="center"/>
          </w:tcPr>
          <w:p w14:paraId="26B569B4">
            <w:pPr>
              <w:pStyle w:val="212"/>
            </w:pPr>
            <w:r>
              <w:t>Same regulator; guidance and intervention have distinct roles but are institutionally related.</w:t>
            </w:r>
          </w:p>
        </w:tc>
      </w:tr>
      <w:tr w14:paraId="3467D7A6">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400" w:type="dxa"/>
            <w:vAlign w:val="center"/>
          </w:tcPr>
          <w:p w14:paraId="09C5B8C7">
            <w:pPr>
              <w:pStyle w:val="212"/>
            </w:pPr>
            <w:r>
              <w:t>D04 and its assurance statement</w:t>
            </w:r>
          </w:p>
        </w:tc>
        <w:tc>
          <w:tcPr>
            <w:tcW w:w="6626" w:type="dxa"/>
            <w:vAlign w:val="center"/>
          </w:tcPr>
          <w:p w14:paraId="014E5036">
            <w:pPr>
              <w:pStyle w:val="212"/>
            </w:pPr>
            <w:r>
              <w:t>Assurance is a component within one report unit; do not add another documentary observation.</w:t>
            </w:r>
          </w:p>
        </w:tc>
      </w:tr>
    </w:tbl>
    <w:p w14:paraId="0EC8BF58">
      <w:pPr>
        <w:pStyle w:val="3"/>
      </w:pPr>
      <w:bookmarkStart w:id="103" w:name="_Toc240757411"/>
      <w:r>
        <w:t>F3. Reflexive memo register</w:t>
      </w:r>
      <w:bookmarkEnd w:id="103"/>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780"/>
        <w:gridCol w:w="3700"/>
        <w:gridCol w:w="4546"/>
      </w:tblGrid>
      <w:tr w14:paraId="609AEB96">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780" w:type="dxa"/>
            <w:shd w:val="clear" w:color="auto" w:fill="F2F4F7"/>
            <w:vAlign w:val="center"/>
          </w:tcPr>
          <w:p w14:paraId="46614F40">
            <w:pPr>
              <w:pStyle w:val="213"/>
            </w:pPr>
            <w:r>
              <w:t>Memo</w:t>
            </w:r>
          </w:p>
        </w:tc>
        <w:tc>
          <w:tcPr>
            <w:tcW w:w="3700" w:type="dxa"/>
            <w:shd w:val="clear" w:color="auto" w:fill="F2F4F7"/>
            <w:vAlign w:val="center"/>
          </w:tcPr>
          <w:p w14:paraId="1E2A15E4">
            <w:pPr>
              <w:pStyle w:val="213"/>
            </w:pPr>
            <w:r>
              <w:t>Potential interpretive bias</w:t>
            </w:r>
          </w:p>
        </w:tc>
        <w:tc>
          <w:tcPr>
            <w:tcW w:w="4546" w:type="dxa"/>
            <w:shd w:val="clear" w:color="auto" w:fill="F2F4F7"/>
            <w:vAlign w:val="center"/>
          </w:tcPr>
          <w:p w14:paraId="4F96A092">
            <w:pPr>
              <w:pStyle w:val="213"/>
            </w:pPr>
            <w:r>
              <w:t>Decision retained</w:t>
            </w:r>
          </w:p>
        </w:tc>
      </w:tr>
      <w:tr w14:paraId="778D22A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780" w:type="dxa"/>
            <w:vAlign w:val="center"/>
          </w:tcPr>
          <w:p w14:paraId="324CBE92">
            <w:pPr>
              <w:pStyle w:val="212"/>
            </w:pPr>
            <w:r>
              <w:t>M01</w:t>
            </w:r>
          </w:p>
        </w:tc>
        <w:tc>
          <w:tcPr>
            <w:tcW w:w="3700" w:type="dxa"/>
            <w:vAlign w:val="center"/>
          </w:tcPr>
          <w:p w14:paraId="4537C227">
            <w:pPr>
              <w:pStyle w:val="212"/>
            </w:pPr>
            <w:r>
              <w:t>Extensive disclosure looks inherently more credible.</w:t>
            </w:r>
          </w:p>
        </w:tc>
        <w:tc>
          <w:tcPr>
            <w:tcW w:w="4546" w:type="dxa"/>
            <w:vAlign w:val="center"/>
          </w:tcPr>
          <w:p w14:paraId="07202737">
            <w:pPr>
              <w:pStyle w:val="212"/>
            </w:pPr>
            <w:r>
              <w:t>Assess scope and content; do not rank by document volume.</w:t>
            </w:r>
          </w:p>
        </w:tc>
      </w:tr>
      <w:tr w14:paraId="568ABA9B">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780" w:type="dxa"/>
            <w:vAlign w:val="center"/>
          </w:tcPr>
          <w:p w14:paraId="7C781B70">
            <w:pPr>
              <w:pStyle w:val="212"/>
            </w:pPr>
            <w:r>
              <w:t>M02</w:t>
            </w:r>
          </w:p>
        </w:tc>
        <w:tc>
          <w:tcPr>
            <w:tcW w:w="3700" w:type="dxa"/>
            <w:vAlign w:val="center"/>
          </w:tcPr>
          <w:p w14:paraId="26C19ABD">
            <w:pPr>
              <w:pStyle w:val="212"/>
            </w:pPr>
            <w:r>
              <w:t>Every fast-fashion environmental initiative is dismissed.</w:t>
            </w:r>
          </w:p>
        </w:tc>
        <w:tc>
          <w:tcPr>
            <w:tcW w:w="4546" w:type="dxa"/>
            <w:vAlign w:val="center"/>
          </w:tcPr>
          <w:p w14:paraId="6C5A12A8">
            <w:pPr>
              <w:pStyle w:val="212"/>
            </w:pPr>
            <w:r>
              <w:t>Retain bounded improvement claims and the favourable Zara counterexample.</w:t>
            </w:r>
          </w:p>
        </w:tc>
      </w:tr>
      <w:tr w14:paraId="6712E65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780" w:type="dxa"/>
            <w:vAlign w:val="center"/>
          </w:tcPr>
          <w:p w14:paraId="2325A4A7">
            <w:pPr>
              <w:pStyle w:val="212"/>
            </w:pPr>
            <w:r>
              <w:t>M03</w:t>
            </w:r>
          </w:p>
        </w:tc>
        <w:tc>
          <w:tcPr>
            <w:tcW w:w="3700" w:type="dxa"/>
            <w:vAlign w:val="center"/>
          </w:tcPr>
          <w:p w14:paraId="762A540F">
            <w:pPr>
              <w:pStyle w:val="212"/>
            </w:pPr>
            <w:r>
              <w:t>Corporate admissions are either success or failure.</w:t>
            </w:r>
          </w:p>
        </w:tc>
        <w:tc>
          <w:tcPr>
            <w:tcW w:w="4546" w:type="dxa"/>
            <w:vAlign w:val="center"/>
          </w:tcPr>
          <w:p w14:paraId="50E7C8E5">
            <w:pPr>
              <w:pStyle w:val="212"/>
            </w:pPr>
            <w:r>
              <w:t>Separate transparency from operational achievement.</w:t>
            </w:r>
          </w:p>
        </w:tc>
      </w:tr>
      <w:tr w14:paraId="2CB3DD6E">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780" w:type="dxa"/>
            <w:vAlign w:val="center"/>
          </w:tcPr>
          <w:p w14:paraId="5B1C4A36">
            <w:pPr>
              <w:pStyle w:val="212"/>
            </w:pPr>
            <w:r>
              <w:t>M04</w:t>
            </w:r>
          </w:p>
        </w:tc>
        <w:tc>
          <w:tcPr>
            <w:tcW w:w="3700" w:type="dxa"/>
            <w:vAlign w:val="center"/>
          </w:tcPr>
          <w:p w14:paraId="6757DDF2">
            <w:pPr>
              <w:pStyle w:val="212"/>
            </w:pPr>
            <w:r>
              <w:t>A quieter criticism record signals leadership.</w:t>
            </w:r>
          </w:p>
        </w:tc>
        <w:tc>
          <w:tcPr>
            <w:tcW w:w="4546" w:type="dxa"/>
            <w:vAlign w:val="center"/>
          </w:tcPr>
          <w:p w14:paraId="30EA6F12">
            <w:pPr>
              <w:pStyle w:val="212"/>
            </w:pPr>
            <w:r>
              <w:t>Treat Primark’s thin direct corpus as uncertainty.</w:t>
            </w:r>
          </w:p>
        </w:tc>
      </w:tr>
      <w:tr w14:paraId="0657D44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780" w:type="dxa"/>
            <w:vAlign w:val="center"/>
          </w:tcPr>
          <w:p w14:paraId="0B42A147">
            <w:pPr>
              <w:pStyle w:val="212"/>
            </w:pPr>
            <w:r>
              <w:t>M05</w:t>
            </w:r>
          </w:p>
        </w:tc>
        <w:tc>
          <w:tcPr>
            <w:tcW w:w="3700" w:type="dxa"/>
            <w:vAlign w:val="center"/>
          </w:tcPr>
          <w:p w14:paraId="1631CBE1">
            <w:pPr>
              <w:pStyle w:val="212"/>
            </w:pPr>
            <w:r>
              <w:t>Earlier criticism automatically invalidates later reporting.</w:t>
            </w:r>
          </w:p>
        </w:tc>
        <w:tc>
          <w:tcPr>
            <w:tcW w:w="4546" w:type="dxa"/>
            <w:vAlign w:val="center"/>
          </w:tcPr>
          <w:p w14:paraId="0F673B3A">
            <w:pPr>
              <w:pStyle w:val="212"/>
            </w:pPr>
            <w:r>
              <w:t>Maintain dates, jurisdictions and claim boundaries.</w:t>
            </w:r>
          </w:p>
        </w:tc>
      </w:tr>
      <w:tr w14:paraId="3DF0A18E">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780" w:type="dxa"/>
            <w:vAlign w:val="center"/>
          </w:tcPr>
          <w:p w14:paraId="7278323C">
            <w:pPr>
              <w:pStyle w:val="212"/>
            </w:pPr>
            <w:r>
              <w:t>M06</w:t>
            </w:r>
          </w:p>
        </w:tc>
        <w:tc>
          <w:tcPr>
            <w:tcW w:w="3700" w:type="dxa"/>
            <w:vAlign w:val="center"/>
          </w:tcPr>
          <w:p w14:paraId="082C24B5">
            <w:pPr>
              <w:pStyle w:val="212"/>
            </w:pPr>
            <w:r>
              <w:t>A numerical figure appears comparable to another percentage.</w:t>
            </w:r>
          </w:p>
        </w:tc>
        <w:tc>
          <w:tcPr>
            <w:tcW w:w="4546" w:type="dxa"/>
            <w:vAlign w:val="center"/>
          </w:tcPr>
          <w:p w14:paraId="2088DF70">
            <w:pPr>
              <w:pStyle w:val="212"/>
            </w:pPr>
            <w:r>
              <w:t>Preserve denominator, group scope and measurement definition.</w:t>
            </w:r>
          </w:p>
        </w:tc>
      </w:tr>
    </w:tbl>
    <w:p w14:paraId="5372A491">
      <w:r>
        <w:br w:type="page"/>
      </w:r>
    </w:p>
    <w:p w14:paraId="702042AA">
      <w:pPr>
        <w:pStyle w:val="2"/>
      </w:pPr>
      <w:bookmarkStart w:id="104" w:name="_Toc240757412"/>
      <w:r>
        <w:t>Appendix G: Research questions and interpretive mechanism</w:t>
      </w:r>
      <w:bookmarkEnd w:id="104"/>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2110"/>
        <w:gridCol w:w="3410"/>
        <w:gridCol w:w="3506"/>
      </w:tblGrid>
      <w:tr w14:paraId="44EE8422">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2110" w:type="dxa"/>
            <w:shd w:val="clear" w:color="auto" w:fill="F2F4F7"/>
            <w:vAlign w:val="center"/>
          </w:tcPr>
          <w:p w14:paraId="20AA547E">
            <w:pPr>
              <w:pStyle w:val="213"/>
            </w:pPr>
            <w:r>
              <w:t>Question</w:t>
            </w:r>
          </w:p>
        </w:tc>
        <w:tc>
          <w:tcPr>
            <w:tcW w:w="3410" w:type="dxa"/>
            <w:shd w:val="clear" w:color="auto" w:fill="F2F4F7"/>
            <w:vAlign w:val="center"/>
          </w:tcPr>
          <w:p w14:paraId="41782C6E">
            <w:pPr>
              <w:pStyle w:val="213"/>
            </w:pPr>
            <w:r>
              <w:t>Comparative finding</w:t>
            </w:r>
          </w:p>
        </w:tc>
        <w:tc>
          <w:tcPr>
            <w:tcW w:w="3506" w:type="dxa"/>
            <w:shd w:val="clear" w:color="auto" w:fill="F2F4F7"/>
            <w:vAlign w:val="center"/>
          </w:tcPr>
          <w:p w14:paraId="3A4D5CD1">
            <w:pPr>
              <w:pStyle w:val="213"/>
            </w:pPr>
            <w:r>
              <w:t>Evidence / limit</w:t>
            </w:r>
          </w:p>
        </w:tc>
      </w:tr>
      <w:tr w14:paraId="5811A70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10" w:type="dxa"/>
            <w:vAlign w:val="center"/>
          </w:tcPr>
          <w:p w14:paraId="0D4FEDC3">
            <w:pPr>
              <w:pStyle w:val="212"/>
            </w:pPr>
            <w:r>
              <w:t>RQ1: communicated strategies</w:t>
            </w:r>
          </w:p>
        </w:tc>
        <w:tc>
          <w:tcPr>
            <w:tcW w:w="3410" w:type="dxa"/>
            <w:vAlign w:val="center"/>
          </w:tcPr>
          <w:p w14:paraId="4E610A69">
            <w:pPr>
              <w:pStyle w:val="212"/>
            </w:pPr>
            <w:r>
              <w:t>Portfolio breadth conceals differing delivery states.</w:t>
            </w:r>
          </w:p>
        </w:tc>
        <w:tc>
          <w:tcPr>
            <w:tcW w:w="3506" w:type="dxa"/>
            <w:vAlign w:val="center"/>
          </w:tcPr>
          <w:p w14:paraId="7BD93D4D">
            <w:pPr>
              <w:pStyle w:val="212"/>
            </w:pPr>
            <w:r>
              <w:t>E01–E05, E07, E09; Primark’s direct strategy is not reconstructed.</w:t>
            </w:r>
          </w:p>
        </w:tc>
      </w:tr>
      <w:tr w14:paraId="2B82B7DD">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10" w:type="dxa"/>
            <w:vAlign w:val="center"/>
          </w:tcPr>
          <w:p w14:paraId="3841EC0C">
            <w:pPr>
              <w:pStyle w:val="212"/>
            </w:pPr>
            <w:r>
              <w:t>RQ2: credibility and brand implications</w:t>
            </w:r>
          </w:p>
        </w:tc>
        <w:tc>
          <w:tcPr>
            <w:tcW w:w="3410" w:type="dxa"/>
            <w:vAlign w:val="center"/>
          </w:tcPr>
          <w:p w14:paraId="540951CA">
            <w:pPr>
              <w:pStyle w:val="212"/>
            </w:pPr>
            <w:r>
              <w:t>Evidence must retain its scope when translated from group report or selected metric to a claim.</w:t>
            </w:r>
          </w:p>
        </w:tc>
        <w:tc>
          <w:tcPr>
            <w:tcW w:w="3506" w:type="dxa"/>
            <w:vAlign w:val="center"/>
          </w:tcPr>
          <w:p w14:paraId="04938C87">
            <w:pPr>
              <w:pStyle w:val="212"/>
            </w:pPr>
            <w:r>
              <w:t>E06–E08, E12–E13, E22; brand image and trust remain unmeasured.</w:t>
            </w:r>
          </w:p>
        </w:tc>
      </w:tr>
      <w:tr w14:paraId="5E45AD79">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10" w:type="dxa"/>
            <w:vAlign w:val="center"/>
          </w:tcPr>
          <w:p w14:paraId="50D46231">
            <w:pPr>
              <w:pStyle w:val="212"/>
            </w:pPr>
            <w:r>
              <w:t>RQ3: greenwashing and criticism</w:t>
            </w:r>
          </w:p>
        </w:tc>
        <w:tc>
          <w:tcPr>
            <w:tcW w:w="3410" w:type="dxa"/>
            <w:vAlign w:val="center"/>
          </w:tcPr>
          <w:p w14:paraId="7EC7C185">
            <w:pPr>
              <w:pStyle w:val="212"/>
            </w:pPr>
            <w:r>
              <w:t>Challenges concern presentation, delivery and operational context; external assessment can qualify both positive and negative narratives.</w:t>
            </w:r>
          </w:p>
        </w:tc>
        <w:tc>
          <w:tcPr>
            <w:tcW w:w="3506" w:type="dxa"/>
            <w:vAlign w:val="center"/>
          </w:tcPr>
          <w:p w14:paraId="505815B5">
            <w:pPr>
              <w:pStyle w:val="212"/>
            </w:pPr>
            <w:r>
              <w:t>E04–E05, E11, E15, E17–E21, E23; no intent or causal consumer effect established.</w:t>
            </w:r>
          </w:p>
        </w:tc>
      </w:tr>
    </w:tbl>
    <w:p w14:paraId="321CEA4D">
      <w:pPr>
        <w:pStyle w:val="17"/>
      </w:pPr>
      <w:r>
        <w:t>Figure G1. Conditional documentary mechanism</w:t>
      </w:r>
    </w:p>
    <w:p w14:paraId="1A5562AB">
      <w:r>
        <w:drawing>
          <wp:inline distT="0" distB="0" distL="0" distR="0">
            <wp:extent cx="5715000" cy="2530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2"/>
                    <a:stretch>
                      <a:fillRect/>
                    </a:stretch>
                  </pic:blipFill>
                  <pic:spPr>
                    <a:xfrm>
                      <a:off x="0" y="0"/>
                      <a:ext cx="5715000" cy="2530929"/>
                    </a:xfrm>
                    <a:prstGeom prst="rect">
                      <a:avLst/>
                    </a:prstGeom>
                  </pic:spPr>
                </pic:pic>
              </a:graphicData>
            </a:graphic>
          </wp:inline>
        </w:drawing>
      </w:r>
    </w:p>
    <w:p w14:paraId="58B6F3AA">
      <w:pPr>
        <w:pStyle w:val="214"/>
      </w:pPr>
      <w:r>
        <w:t>Solid arrows organise the documentary interpretation. The dashed arrow marks an inferred relationship with brand/reputational meaning, not an estimated effect. Specificity, verification, transparency and congruence came from the sensitising framework; comparison adds the requirement to preserve scope across measurement, organisation, time and presentation.</w:t>
      </w:r>
    </w:p>
    <w:p w14:paraId="7DAEADC6">
      <w:pPr>
        <w:pStyle w:val="3"/>
      </w:pPr>
      <w:bookmarkStart w:id="105" w:name="_Toc240757413"/>
      <w:r>
        <w:t>G2. Three levels of reporting</w:t>
      </w:r>
      <w:bookmarkEnd w:id="105"/>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1550"/>
        <w:gridCol w:w="3600"/>
        <w:gridCol w:w="3876"/>
      </w:tblGrid>
      <w:tr w14:paraId="148B731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1550" w:type="dxa"/>
            <w:shd w:val="clear" w:color="auto" w:fill="F2F4F7"/>
            <w:vAlign w:val="center"/>
          </w:tcPr>
          <w:p w14:paraId="314D9026">
            <w:pPr>
              <w:pStyle w:val="213"/>
            </w:pPr>
            <w:r>
              <w:t>Level</w:t>
            </w:r>
          </w:p>
        </w:tc>
        <w:tc>
          <w:tcPr>
            <w:tcW w:w="3600" w:type="dxa"/>
            <w:shd w:val="clear" w:color="auto" w:fill="F2F4F7"/>
            <w:vAlign w:val="center"/>
          </w:tcPr>
          <w:p w14:paraId="079FC804">
            <w:pPr>
              <w:pStyle w:val="213"/>
            </w:pPr>
            <w:r>
              <w:t>Permissible formulation</w:t>
            </w:r>
          </w:p>
        </w:tc>
        <w:tc>
          <w:tcPr>
            <w:tcW w:w="3876" w:type="dxa"/>
            <w:shd w:val="clear" w:color="auto" w:fill="F2F4F7"/>
            <w:vAlign w:val="center"/>
          </w:tcPr>
          <w:p w14:paraId="17C8FC80">
            <w:pPr>
              <w:pStyle w:val="213"/>
            </w:pPr>
            <w:r>
              <w:t>Impermissible extension</w:t>
            </w:r>
          </w:p>
        </w:tc>
      </w:tr>
      <w:tr w14:paraId="6E61E2E3">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550" w:type="dxa"/>
            <w:vAlign w:val="center"/>
          </w:tcPr>
          <w:p w14:paraId="44CA58B3">
            <w:pPr>
              <w:pStyle w:val="212"/>
            </w:pPr>
            <w:r>
              <w:t>Observed communication</w:t>
            </w:r>
          </w:p>
        </w:tc>
        <w:tc>
          <w:tcPr>
            <w:tcW w:w="3600" w:type="dxa"/>
            <w:vAlign w:val="center"/>
          </w:tcPr>
          <w:p w14:paraId="21B998BB">
            <w:pPr>
              <w:pStyle w:val="212"/>
            </w:pPr>
            <w:r>
              <w:t>The report states a target, figure or qualification.</w:t>
            </w:r>
          </w:p>
        </w:tc>
        <w:tc>
          <w:tcPr>
            <w:tcW w:w="3876" w:type="dxa"/>
            <w:vAlign w:val="center"/>
          </w:tcPr>
          <w:p w14:paraId="6824FF45">
            <w:pPr>
              <w:pStyle w:val="212"/>
            </w:pPr>
            <w:r>
              <w:t>The company necessarily achieved every implication of the message.</w:t>
            </w:r>
          </w:p>
        </w:tc>
      </w:tr>
      <w:tr w14:paraId="791CE8E7">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550" w:type="dxa"/>
            <w:vAlign w:val="center"/>
          </w:tcPr>
          <w:p w14:paraId="3C4A2317">
            <w:pPr>
              <w:pStyle w:val="212"/>
            </w:pPr>
            <w:r>
              <w:t>Documented challenge</w:t>
            </w:r>
          </w:p>
        </w:tc>
        <w:tc>
          <w:tcPr>
            <w:tcW w:w="3600" w:type="dxa"/>
            <w:vAlign w:val="center"/>
          </w:tcPr>
          <w:p w14:paraId="0330F02B">
            <w:pPr>
              <w:pStyle w:val="212"/>
            </w:pPr>
            <w:r>
              <w:t>The named regulator or NGO raised the specified concern.</w:t>
            </w:r>
          </w:p>
        </w:tc>
        <w:tc>
          <w:tcPr>
            <w:tcW w:w="3876" w:type="dxa"/>
            <w:vAlign w:val="center"/>
          </w:tcPr>
          <w:p w14:paraId="077A47B0">
            <w:pPr>
              <w:pStyle w:val="212"/>
            </w:pPr>
            <w:r>
              <w:t>The whole brand was proved deceptive or its reputation measurably deteriorated.</w:t>
            </w:r>
          </w:p>
        </w:tc>
      </w:tr>
      <w:tr w14:paraId="199EF74E">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1550" w:type="dxa"/>
            <w:vAlign w:val="center"/>
          </w:tcPr>
          <w:p w14:paraId="651FDF11">
            <w:pPr>
              <w:pStyle w:val="212"/>
            </w:pPr>
            <w:r>
              <w:t>Inferred implication</w:t>
            </w:r>
          </w:p>
        </w:tc>
        <w:tc>
          <w:tcPr>
            <w:tcW w:w="3600" w:type="dxa"/>
            <w:vAlign w:val="center"/>
          </w:tcPr>
          <w:p w14:paraId="12BD7528">
            <w:pPr>
              <w:pStyle w:val="212"/>
            </w:pPr>
            <w:r>
              <w:t>The evidence creates conditions consistent with credibility or reputational risk.</w:t>
            </w:r>
          </w:p>
        </w:tc>
        <w:tc>
          <w:tcPr>
            <w:tcW w:w="3876" w:type="dxa"/>
            <w:vAlign w:val="center"/>
          </w:tcPr>
          <w:p w14:paraId="09443B2E">
            <w:pPr>
              <w:pStyle w:val="212"/>
            </w:pPr>
            <w:r>
              <w:t>Customers trusted the brand more or less as a demonstrated result.</w:t>
            </w:r>
          </w:p>
        </w:tc>
      </w:tr>
    </w:tbl>
    <w:p w14:paraId="02822988">
      <w:r>
        <w:br w:type="page"/>
      </w:r>
    </w:p>
    <w:p w14:paraId="567FF0BD">
      <w:pPr>
        <w:pStyle w:val="2"/>
      </w:pPr>
      <w:bookmarkStart w:id="106" w:name="_Toc240757414"/>
      <w:r>
        <w:t>Appendix H: Quantitative extracts and comparability checks</w:t>
      </w:r>
      <w:bookmarkEnd w:id="106"/>
    </w:p>
    <w:tbl>
      <w:tblPr>
        <w:tblStyle w:val="12"/>
        <w:tblW w:w="9026" w:type="dxa"/>
        <w:tblInd w:w="120" w:type="dxa"/>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Layout w:type="fixed"/>
        <w:tblCellMar>
          <w:top w:w="80" w:type="dxa"/>
          <w:left w:w="120" w:type="dxa"/>
          <w:bottom w:w="80" w:type="dxa"/>
          <w:right w:w="120" w:type="dxa"/>
        </w:tblCellMar>
      </w:tblPr>
      <w:tblGrid>
        <w:gridCol w:w="2100"/>
        <w:gridCol w:w="1990"/>
        <w:gridCol w:w="2700"/>
        <w:gridCol w:w="2236"/>
      </w:tblGrid>
      <w:tr w14:paraId="1ABC8EE6">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blHeader/>
        </w:trPr>
        <w:tc>
          <w:tcPr>
            <w:tcW w:w="2100" w:type="dxa"/>
            <w:shd w:val="clear" w:color="auto" w:fill="F2F4F7"/>
            <w:vAlign w:val="center"/>
          </w:tcPr>
          <w:p w14:paraId="0543748F">
            <w:pPr>
              <w:pStyle w:val="213"/>
            </w:pPr>
            <w:r>
              <w:t>Source / metric</w:t>
            </w:r>
          </w:p>
        </w:tc>
        <w:tc>
          <w:tcPr>
            <w:tcW w:w="1990" w:type="dxa"/>
            <w:shd w:val="clear" w:color="auto" w:fill="F2F4F7"/>
            <w:vAlign w:val="center"/>
          </w:tcPr>
          <w:p w14:paraId="07DB39AA">
            <w:pPr>
              <w:pStyle w:val="213"/>
            </w:pPr>
            <w:r>
              <w:t>Recorded values</w:t>
            </w:r>
          </w:p>
        </w:tc>
        <w:tc>
          <w:tcPr>
            <w:tcW w:w="2700" w:type="dxa"/>
            <w:shd w:val="clear" w:color="auto" w:fill="F2F4F7"/>
            <w:vAlign w:val="center"/>
          </w:tcPr>
          <w:p w14:paraId="003FEC94">
            <w:pPr>
              <w:pStyle w:val="213"/>
            </w:pPr>
            <w:r>
              <w:t>Permitted calculation or inference</w:t>
            </w:r>
          </w:p>
        </w:tc>
        <w:tc>
          <w:tcPr>
            <w:tcW w:w="2236" w:type="dxa"/>
            <w:shd w:val="clear" w:color="auto" w:fill="F2F4F7"/>
            <w:vAlign w:val="center"/>
          </w:tcPr>
          <w:p w14:paraId="2F6397A0">
            <w:pPr>
              <w:pStyle w:val="213"/>
            </w:pPr>
            <w:r>
              <w:t>Prohibited inference</w:t>
            </w:r>
          </w:p>
        </w:tc>
      </w:tr>
      <w:tr w14:paraId="3F12FE90">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4EC2D124">
            <w:pPr>
              <w:pStyle w:val="212"/>
            </w:pPr>
            <w:r>
              <w:t>Boohoo D03; reported more sustainable material share</w:t>
            </w:r>
          </w:p>
        </w:tc>
        <w:tc>
          <w:tcPr>
            <w:tcW w:w="1990" w:type="dxa"/>
            <w:vAlign w:val="center"/>
          </w:tcPr>
          <w:p w14:paraId="22DE25C6">
            <w:pPr>
              <w:pStyle w:val="212"/>
            </w:pPr>
            <w:r>
              <w:t>2021: 23%; 2022: 21%; 2023: 16%.</w:t>
            </w:r>
          </w:p>
        </w:tc>
        <w:tc>
          <w:tcPr>
            <w:tcW w:w="2700" w:type="dxa"/>
            <w:vAlign w:val="center"/>
          </w:tcPr>
          <w:p w14:paraId="3F5BF2A6">
            <w:pPr>
              <w:pStyle w:val="212"/>
            </w:pPr>
            <w:r>
              <w:t>16 − 23 = −7 percentage points. Relative change in the share = (16 − 23) / 23 × 100 = −30.4%, rounded.</w:t>
            </w:r>
          </w:p>
        </w:tc>
        <w:tc>
          <w:tcPr>
            <w:tcW w:w="2236" w:type="dxa"/>
            <w:vAlign w:val="center"/>
          </w:tcPr>
          <w:p w14:paraId="45789C5A">
            <w:pPr>
              <w:pStyle w:val="212"/>
            </w:pPr>
            <w:r>
              <w:t>Not a 30.4% fall in material tonnage, emissions, sales or trust.</w:t>
            </w:r>
          </w:p>
        </w:tc>
      </w:tr>
      <w:tr w14:paraId="3CC40FCC">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56BCBA4B">
            <w:pPr>
              <w:pStyle w:val="212"/>
            </w:pPr>
            <w:r>
              <w:t>H&amp;M D04; material categories in 2024</w:t>
            </w:r>
          </w:p>
        </w:tc>
        <w:tc>
          <w:tcPr>
            <w:tcW w:w="1990" w:type="dxa"/>
            <w:vAlign w:val="center"/>
          </w:tcPr>
          <w:p w14:paraId="2143C33D">
            <w:pPr>
              <w:pStyle w:val="212"/>
            </w:pPr>
            <w:r>
              <w:t>89% recycled or sustainably sourced; 29.5% recycled.</w:t>
            </w:r>
          </w:p>
        </w:tc>
        <w:tc>
          <w:tcPr>
            <w:tcW w:w="2700" w:type="dxa"/>
            <w:vAlign w:val="center"/>
          </w:tcPr>
          <w:p w14:paraId="3FA5B588">
            <w:pPr>
              <w:pStyle w:val="212"/>
            </w:pPr>
            <w:r>
              <w:t>The recycled share belongs within the broader category; no addition is performed.</w:t>
            </w:r>
          </w:p>
        </w:tc>
        <w:tc>
          <w:tcPr>
            <w:tcW w:w="2236" w:type="dxa"/>
            <w:vAlign w:val="center"/>
          </w:tcPr>
          <w:p w14:paraId="5331E8FD">
            <w:pPr>
              <w:pStyle w:val="212"/>
            </w:pPr>
            <w:r>
              <w:t>Not 118.5%; not the percentage of garments with zero environmental impact.</w:t>
            </w:r>
          </w:p>
        </w:tc>
      </w:tr>
      <w:tr w14:paraId="198DF2B5">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489ECF70">
            <w:pPr>
              <w:pStyle w:val="212"/>
            </w:pPr>
            <w:r>
              <w:t>Inditex D05; reported emissions reductions against 2018</w:t>
            </w:r>
          </w:p>
        </w:tc>
        <w:tc>
          <w:tcPr>
            <w:tcW w:w="1990" w:type="dxa"/>
            <w:vAlign w:val="center"/>
          </w:tcPr>
          <w:p w14:paraId="0F88DCB9">
            <w:pPr>
              <w:pStyle w:val="212"/>
            </w:pPr>
            <w:r>
              <w:t>5% within categories subject to SBT objectives; 88% for direct operations.</w:t>
            </w:r>
          </w:p>
        </w:tc>
        <w:tc>
          <w:tcPr>
            <w:tcW w:w="2700" w:type="dxa"/>
            <w:vAlign w:val="center"/>
          </w:tcPr>
          <w:p w14:paraId="1088614E">
            <w:pPr>
              <w:pStyle w:val="212"/>
            </w:pPr>
            <w:r>
              <w:t>Retain each figure with its own scope.</w:t>
            </w:r>
          </w:p>
        </w:tc>
        <w:tc>
          <w:tcPr>
            <w:tcW w:w="2236" w:type="dxa"/>
            <w:vAlign w:val="center"/>
          </w:tcPr>
          <w:p w14:paraId="5B09945F">
            <w:pPr>
              <w:pStyle w:val="212"/>
            </w:pPr>
            <w:r>
              <w:t>Do not present 88% as the reduction across the whole value chain or for a Zara garment.</w:t>
            </w:r>
          </w:p>
        </w:tc>
      </w:tr>
      <w:tr w14:paraId="5F0822EB">
        <w:tblPrEx>
          <w:tblBorders>
            <w:top w:val="single" w:color="B9BEC4" w:sz="4" w:space="0"/>
            <w:left w:val="single" w:color="B9BEC4" w:sz="4" w:space="0"/>
            <w:bottom w:val="single" w:color="B9BEC4" w:sz="4" w:space="0"/>
            <w:right w:val="single" w:color="B9BEC4" w:sz="4" w:space="0"/>
            <w:insideH w:val="single" w:color="B9BEC4" w:sz="4" w:space="0"/>
            <w:insideV w:val="single" w:color="B9BEC4" w:sz="4" w:space="0"/>
          </w:tblBorders>
          <w:tblCellMar>
            <w:top w:w="80" w:type="dxa"/>
            <w:left w:w="120" w:type="dxa"/>
            <w:bottom w:w="80" w:type="dxa"/>
            <w:right w:w="120" w:type="dxa"/>
          </w:tblCellMar>
        </w:tblPrEx>
        <w:trPr>
          <w:cantSplit/>
        </w:trPr>
        <w:tc>
          <w:tcPr>
            <w:tcW w:w="2100" w:type="dxa"/>
            <w:vAlign w:val="center"/>
          </w:tcPr>
          <w:p w14:paraId="75A4B655">
            <w:pPr>
              <w:pStyle w:val="212"/>
            </w:pPr>
            <w:r>
              <w:t>Industry D15; emissions intensity</w:t>
            </w:r>
          </w:p>
        </w:tc>
        <w:tc>
          <w:tcPr>
            <w:tcW w:w="1990" w:type="dxa"/>
            <w:vAlign w:val="center"/>
          </w:tcPr>
          <w:p w14:paraId="4AF3DE01">
            <w:pPr>
              <w:pStyle w:val="212"/>
            </w:pPr>
            <w:r>
              <w:t>GHG emissions divided by revenue.</w:t>
            </w:r>
          </w:p>
        </w:tc>
        <w:tc>
          <w:tcPr>
            <w:tcW w:w="2700" w:type="dxa"/>
            <w:vAlign w:val="center"/>
          </w:tcPr>
          <w:p w14:paraId="0898A143">
            <w:pPr>
              <w:pStyle w:val="212"/>
            </w:pPr>
            <w:r>
              <w:t>Interpret as the source’s stated proxy and modelling choice.</w:t>
            </w:r>
          </w:p>
        </w:tc>
        <w:tc>
          <w:tcPr>
            <w:tcW w:w="2236" w:type="dxa"/>
            <w:vAlign w:val="center"/>
          </w:tcPr>
          <w:p w14:paraId="626F3319">
            <w:pPr>
              <w:pStyle w:val="212"/>
            </w:pPr>
            <w:r>
              <w:t>Not a directly observed environmental footprint per garment or a five-case ranking.</w:t>
            </w:r>
          </w:p>
        </w:tc>
      </w:tr>
    </w:tbl>
    <w:p w14:paraId="5813A4FC">
      <w:pPr>
        <w:pStyle w:val="214"/>
      </w:pPr>
      <w:r>
        <w:t>No inferential statistics, regression, consumer survey results or statistical significance tests are appropriate for this dataset. Numerical information is documentary evidence used to test the scope of claims. Differences in years, categories, reporting boundaries and access prevent a common performance league table.</w:t>
      </w:r>
    </w:p>
    <w:sectPr>
      <w:footerReference r:id="rId7" w:type="default"/>
      <w:pgSz w:w="11900" w:h="16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Vrinda">
    <w:panose1 w:val="020B0502040204020203"/>
    <w:charset w:val="00"/>
    <w:family w:val="swiss"/>
    <w:pitch w:val="default"/>
    <w:sig w:usb0="00010003" w:usb1="00000000" w:usb2="00000000" w:usb3="00000000" w:csb0="0000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Light">
    <w:altName w:val="Li Sweet Rupam Unicode"/>
    <w:panose1 w:val="00000000000000000000"/>
    <w:charset w:val="00"/>
    <w:family w:val="auto"/>
    <w:pitch w:val="default"/>
    <w:sig w:usb0="00000000" w:usb1="00000000" w:usb2="00000000" w:usb3="00000000" w:csb0="00000000" w:csb1="00000000"/>
  </w:font>
  <w:font w:name="Li Sweet Rupam Unicode">
    <w:panose1 w:val="02000500000000000000"/>
    <w:charset w:val="00"/>
    <w:family w:val="auto"/>
    <w:pitch w:val="default"/>
    <w:sig w:usb0="00010001" w:usb1="00000000" w:usb2="00000000" w:usb3="00000000" w:csb0="00000001" w:csb1="00000000"/>
  </w:font>
  <w:font w:name="Calibri Light">
    <w:panose1 w:val="020F03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Symbol">
    <w:panose1 w:val="05050102010706020507"/>
    <w:charset w:val="02"/>
    <w:family w:val="decorative"/>
    <w:pitch w:val="default"/>
    <w:sig w:usb0="00000000" w:usb1="00000000" w:usb2="00000000" w:usb3="00000000" w:csb0="80000000" w:csb1="00000000"/>
  </w:font>
  <w:font w:name="Courier">
    <w:altName w:val="Courier New"/>
    <w:panose1 w:val="02070309020205020404"/>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E126A">
    <w:pPr>
      <w:pStyle w:val="22"/>
      <w:jc w:val="center"/>
    </w:pPr>
    <w:r>
      <w:rPr>
        <w:rFonts w:ascii="Arial" w:hAnsi="Arial"/>
        <w:color w:val="5F5F5F"/>
        <w:sz w:val="17"/>
      </w:rPr>
      <w:fldChar w:fldCharType="begin"/>
    </w:r>
    <w:r>
      <w:rPr>
        <w:rFonts w:ascii="Arial" w:hAnsi="Arial"/>
        <w:color w:val="5F5F5F"/>
        <w:sz w:val="17"/>
      </w:rPr>
      <w:instrText xml:space="preserve"> PAGE </w:instrText>
    </w:r>
    <w:r>
      <w:rPr>
        <w:rFonts w:ascii="Arial" w:hAnsi="Arial"/>
        <w:color w:val="5F5F5F"/>
        <w:sz w:val="17"/>
      </w:rPr>
      <w:fldChar w:fldCharType="separate"/>
    </w:r>
    <w:r>
      <w:rPr>
        <w:rFonts w:ascii="Arial" w:hAnsi="Arial"/>
        <w:color w:val="5F5F5F"/>
        <w:sz w:val="17"/>
      </w:rPr>
      <w:t>1</w:t>
    </w:r>
    <w:r>
      <w:rPr>
        <w:rFonts w:ascii="Arial" w:hAnsi="Arial"/>
        <w:color w:val="5F5F5F"/>
        <w:sz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36849811"/>
      <w:docPartObj>
        <w:docPartGallery w:val="autotext"/>
      </w:docPartObj>
    </w:sdtPr>
    <w:sdtContent>
      <w:p w14:paraId="28EEC95B">
        <w:pPr>
          <w:pStyle w:val="22"/>
          <w:jc w:val="right"/>
        </w:pPr>
        <w:r>
          <w:fldChar w:fldCharType="begin"/>
        </w:r>
        <w:r>
          <w:instrText xml:space="preserve"> PAGE   \* MERGEFORMAT </w:instrText>
        </w:r>
        <w:r>
          <w:fldChar w:fldCharType="separate"/>
        </w:r>
        <w:r>
          <w:t>1</w:t>
        </w:r>
        <w:r>
          <w:fldChar w:fldCharType="end"/>
        </w:r>
      </w:p>
    </w:sdtContent>
  </w:sdt>
  <w:p w14:paraId="5F35BF97">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40B87">
    <w:pPr>
      <w:pStyle w:val="2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36"/>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35"/>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30"/>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9"/>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34"/>
      <w:lvlText w:val="%1."/>
      <w:lvlJc w:val="left"/>
      <w:pPr>
        <w:tabs>
          <w:tab w:val="left" w:pos="360"/>
        </w:tabs>
        <w:ind w:left="360" w:hanging="360"/>
      </w:pPr>
    </w:lvl>
  </w:abstractNum>
  <w:abstractNum w:abstractNumId="5">
    <w:nsid w:val="57F52CC3"/>
    <w:multiLevelType w:val="singleLevel"/>
    <w:tmpl w:val="57F52CC3"/>
    <w:lvl w:ilvl="0" w:tentative="0">
      <w:start w:val="1"/>
      <w:numFmt w:val="decimal"/>
      <w:lvlText w:val="%1."/>
      <w:lvlJc w:val="left"/>
      <w:pPr>
        <w:ind w:left="720" w:hanging="360"/>
      </w:p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3693"/>
    <w:rsid w:val="000049B5"/>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106"/>
    <w:rsid w:val="00076357"/>
    <w:rsid w:val="00077276"/>
    <w:rsid w:val="00077BDB"/>
    <w:rsid w:val="000803CA"/>
    <w:rsid w:val="00080986"/>
    <w:rsid w:val="00082153"/>
    <w:rsid w:val="00083754"/>
    <w:rsid w:val="0008526B"/>
    <w:rsid w:val="00087775"/>
    <w:rsid w:val="00090C83"/>
    <w:rsid w:val="0009371E"/>
    <w:rsid w:val="000952CB"/>
    <w:rsid w:val="00095B9A"/>
    <w:rsid w:val="00095CB8"/>
    <w:rsid w:val="00096615"/>
    <w:rsid w:val="00096E47"/>
    <w:rsid w:val="000A0B99"/>
    <w:rsid w:val="000A0EA9"/>
    <w:rsid w:val="000A14F1"/>
    <w:rsid w:val="000A4526"/>
    <w:rsid w:val="000A65CD"/>
    <w:rsid w:val="000A6CF1"/>
    <w:rsid w:val="000A7CB7"/>
    <w:rsid w:val="000B0163"/>
    <w:rsid w:val="000B245A"/>
    <w:rsid w:val="000B3944"/>
    <w:rsid w:val="000B3D55"/>
    <w:rsid w:val="000C0B9A"/>
    <w:rsid w:val="000C1C9E"/>
    <w:rsid w:val="000C3B82"/>
    <w:rsid w:val="000C4C78"/>
    <w:rsid w:val="000D0BCC"/>
    <w:rsid w:val="000D3F3B"/>
    <w:rsid w:val="000D4C42"/>
    <w:rsid w:val="000D6BBB"/>
    <w:rsid w:val="000E11EE"/>
    <w:rsid w:val="000E2D38"/>
    <w:rsid w:val="000E2F56"/>
    <w:rsid w:val="000E4326"/>
    <w:rsid w:val="000E628B"/>
    <w:rsid w:val="000E6A7E"/>
    <w:rsid w:val="000F1070"/>
    <w:rsid w:val="000F1833"/>
    <w:rsid w:val="000F2CC4"/>
    <w:rsid w:val="000F3F8E"/>
    <w:rsid w:val="000F50A3"/>
    <w:rsid w:val="000F7992"/>
    <w:rsid w:val="00101B07"/>
    <w:rsid w:val="00101CD4"/>
    <w:rsid w:val="00101D2F"/>
    <w:rsid w:val="00102F07"/>
    <w:rsid w:val="00104DC2"/>
    <w:rsid w:val="00105CC4"/>
    <w:rsid w:val="00107786"/>
    <w:rsid w:val="00111E52"/>
    <w:rsid w:val="001127DF"/>
    <w:rsid w:val="0011301C"/>
    <w:rsid w:val="00115303"/>
    <w:rsid w:val="00117679"/>
    <w:rsid w:val="00120D5E"/>
    <w:rsid w:val="00121E0B"/>
    <w:rsid w:val="00125780"/>
    <w:rsid w:val="001274E4"/>
    <w:rsid w:val="00127A02"/>
    <w:rsid w:val="00130B02"/>
    <w:rsid w:val="0013127F"/>
    <w:rsid w:val="001354AC"/>
    <w:rsid w:val="00136215"/>
    <w:rsid w:val="001518FD"/>
    <w:rsid w:val="00152221"/>
    <w:rsid w:val="00152F46"/>
    <w:rsid w:val="001534BB"/>
    <w:rsid w:val="00153B0C"/>
    <w:rsid w:val="001547C8"/>
    <w:rsid w:val="0015619C"/>
    <w:rsid w:val="00175F11"/>
    <w:rsid w:val="0017745F"/>
    <w:rsid w:val="00181D0D"/>
    <w:rsid w:val="0018362A"/>
    <w:rsid w:val="00183BD9"/>
    <w:rsid w:val="00184365"/>
    <w:rsid w:val="001866FE"/>
    <w:rsid w:val="00190697"/>
    <w:rsid w:val="00190D94"/>
    <w:rsid w:val="001925E6"/>
    <w:rsid w:val="001951E6"/>
    <w:rsid w:val="00195D22"/>
    <w:rsid w:val="001975B1"/>
    <w:rsid w:val="001A0C75"/>
    <w:rsid w:val="001A0D4C"/>
    <w:rsid w:val="001A174E"/>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53897"/>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94BD2"/>
    <w:rsid w:val="002A30F5"/>
    <w:rsid w:val="002A4456"/>
    <w:rsid w:val="002B1999"/>
    <w:rsid w:val="002B1EC8"/>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F07C9"/>
    <w:rsid w:val="002F0C52"/>
    <w:rsid w:val="002F1535"/>
    <w:rsid w:val="002F33BF"/>
    <w:rsid w:val="002F36C1"/>
    <w:rsid w:val="002F557D"/>
    <w:rsid w:val="002F5735"/>
    <w:rsid w:val="002F642A"/>
    <w:rsid w:val="0030145F"/>
    <w:rsid w:val="00302430"/>
    <w:rsid w:val="003071A3"/>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254A"/>
    <w:rsid w:val="0033437C"/>
    <w:rsid w:val="003402F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0EBF"/>
    <w:rsid w:val="00372838"/>
    <w:rsid w:val="00374568"/>
    <w:rsid w:val="00374EAF"/>
    <w:rsid w:val="00376B34"/>
    <w:rsid w:val="00380992"/>
    <w:rsid w:val="003818E0"/>
    <w:rsid w:val="00383851"/>
    <w:rsid w:val="003857BE"/>
    <w:rsid w:val="0038662F"/>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2BD8"/>
    <w:rsid w:val="003C6320"/>
    <w:rsid w:val="003C670C"/>
    <w:rsid w:val="003C68F3"/>
    <w:rsid w:val="003D00EB"/>
    <w:rsid w:val="003D2083"/>
    <w:rsid w:val="003D3B71"/>
    <w:rsid w:val="003D49E5"/>
    <w:rsid w:val="003D4CBD"/>
    <w:rsid w:val="003D5612"/>
    <w:rsid w:val="003D5E48"/>
    <w:rsid w:val="003D6ACB"/>
    <w:rsid w:val="003E4F13"/>
    <w:rsid w:val="003E5020"/>
    <w:rsid w:val="003E655C"/>
    <w:rsid w:val="003E65F7"/>
    <w:rsid w:val="003E7E62"/>
    <w:rsid w:val="003F17FD"/>
    <w:rsid w:val="003F1F3F"/>
    <w:rsid w:val="003F21AB"/>
    <w:rsid w:val="003F3BF3"/>
    <w:rsid w:val="003F5BF5"/>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483"/>
    <w:rsid w:val="004205AF"/>
    <w:rsid w:val="00423084"/>
    <w:rsid w:val="004241A9"/>
    <w:rsid w:val="00427FF1"/>
    <w:rsid w:val="00434D3B"/>
    <w:rsid w:val="00436054"/>
    <w:rsid w:val="00437924"/>
    <w:rsid w:val="00440D09"/>
    <w:rsid w:val="00442F9A"/>
    <w:rsid w:val="00444398"/>
    <w:rsid w:val="00450200"/>
    <w:rsid w:val="004551F4"/>
    <w:rsid w:val="00455C30"/>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A7603"/>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6475"/>
    <w:rsid w:val="004F3288"/>
    <w:rsid w:val="004F3B1E"/>
    <w:rsid w:val="004F3C71"/>
    <w:rsid w:val="004F427A"/>
    <w:rsid w:val="004F4DA3"/>
    <w:rsid w:val="004F50C5"/>
    <w:rsid w:val="004F7ABE"/>
    <w:rsid w:val="00501296"/>
    <w:rsid w:val="00504DD1"/>
    <w:rsid w:val="00504F04"/>
    <w:rsid w:val="00510B22"/>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078"/>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C5094"/>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0C7"/>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0BE"/>
    <w:rsid w:val="007402C4"/>
    <w:rsid w:val="0074349C"/>
    <w:rsid w:val="00744C21"/>
    <w:rsid w:val="00745234"/>
    <w:rsid w:val="00745DDA"/>
    <w:rsid w:val="007514BB"/>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3520"/>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6228"/>
    <w:rsid w:val="0080689B"/>
    <w:rsid w:val="0080705C"/>
    <w:rsid w:val="00813E37"/>
    <w:rsid w:val="00814C66"/>
    <w:rsid w:val="0081656D"/>
    <w:rsid w:val="0082028C"/>
    <w:rsid w:val="00820BB0"/>
    <w:rsid w:val="00826A9E"/>
    <w:rsid w:val="0083155B"/>
    <w:rsid w:val="00834355"/>
    <w:rsid w:val="00834369"/>
    <w:rsid w:val="008349BD"/>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51FE"/>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68F0"/>
    <w:rsid w:val="008E715C"/>
    <w:rsid w:val="008F1AFB"/>
    <w:rsid w:val="008F2B5D"/>
    <w:rsid w:val="008F56F8"/>
    <w:rsid w:val="008F5E17"/>
    <w:rsid w:val="00905604"/>
    <w:rsid w:val="00911964"/>
    <w:rsid w:val="00915F23"/>
    <w:rsid w:val="00920EB4"/>
    <w:rsid w:val="00924CEA"/>
    <w:rsid w:val="009267F6"/>
    <w:rsid w:val="00932226"/>
    <w:rsid w:val="00932CD0"/>
    <w:rsid w:val="0093345A"/>
    <w:rsid w:val="00937668"/>
    <w:rsid w:val="00937D83"/>
    <w:rsid w:val="00950E92"/>
    <w:rsid w:val="00951717"/>
    <w:rsid w:val="00953DFE"/>
    <w:rsid w:val="00953E47"/>
    <w:rsid w:val="00954D27"/>
    <w:rsid w:val="009551B5"/>
    <w:rsid w:val="00955C03"/>
    <w:rsid w:val="0095651D"/>
    <w:rsid w:val="009600F2"/>
    <w:rsid w:val="0096371A"/>
    <w:rsid w:val="00966112"/>
    <w:rsid w:val="00967681"/>
    <w:rsid w:val="009704C8"/>
    <w:rsid w:val="00972982"/>
    <w:rsid w:val="00973D5E"/>
    <w:rsid w:val="00974705"/>
    <w:rsid w:val="009819AA"/>
    <w:rsid w:val="00982AE3"/>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364E"/>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013F"/>
    <w:rsid w:val="00A8106D"/>
    <w:rsid w:val="00A81911"/>
    <w:rsid w:val="00A86AFE"/>
    <w:rsid w:val="00A924BA"/>
    <w:rsid w:val="00A9301C"/>
    <w:rsid w:val="00A9342F"/>
    <w:rsid w:val="00A93847"/>
    <w:rsid w:val="00A96F77"/>
    <w:rsid w:val="00AA28E8"/>
    <w:rsid w:val="00AA3758"/>
    <w:rsid w:val="00AA3B8F"/>
    <w:rsid w:val="00AA5152"/>
    <w:rsid w:val="00AA5DCD"/>
    <w:rsid w:val="00AA7982"/>
    <w:rsid w:val="00AB1FD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BF5"/>
    <w:rsid w:val="00AF3CC3"/>
    <w:rsid w:val="00AF44F5"/>
    <w:rsid w:val="00AF467F"/>
    <w:rsid w:val="00AF776C"/>
    <w:rsid w:val="00B00207"/>
    <w:rsid w:val="00B00255"/>
    <w:rsid w:val="00B00926"/>
    <w:rsid w:val="00B0466E"/>
    <w:rsid w:val="00B05F1F"/>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62E0"/>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331E"/>
    <w:rsid w:val="00BC47A3"/>
    <w:rsid w:val="00BC5EEB"/>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5E2B"/>
    <w:rsid w:val="00BF732C"/>
    <w:rsid w:val="00BF7ED1"/>
    <w:rsid w:val="00C04405"/>
    <w:rsid w:val="00C05E74"/>
    <w:rsid w:val="00C0601A"/>
    <w:rsid w:val="00C07AA1"/>
    <w:rsid w:val="00C12133"/>
    <w:rsid w:val="00C1250D"/>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86086"/>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CF65EE"/>
    <w:rsid w:val="00D01FDC"/>
    <w:rsid w:val="00D02624"/>
    <w:rsid w:val="00D04575"/>
    <w:rsid w:val="00D10545"/>
    <w:rsid w:val="00D111C3"/>
    <w:rsid w:val="00D12D74"/>
    <w:rsid w:val="00D1368A"/>
    <w:rsid w:val="00D15A21"/>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0EE"/>
    <w:rsid w:val="00D555EE"/>
    <w:rsid w:val="00D5585D"/>
    <w:rsid w:val="00D565AE"/>
    <w:rsid w:val="00D5678C"/>
    <w:rsid w:val="00D60014"/>
    <w:rsid w:val="00D61D58"/>
    <w:rsid w:val="00D656D2"/>
    <w:rsid w:val="00D7245B"/>
    <w:rsid w:val="00D72C06"/>
    <w:rsid w:val="00D735D9"/>
    <w:rsid w:val="00D74165"/>
    <w:rsid w:val="00D74B08"/>
    <w:rsid w:val="00D77858"/>
    <w:rsid w:val="00D834C4"/>
    <w:rsid w:val="00D84F3D"/>
    <w:rsid w:val="00D85345"/>
    <w:rsid w:val="00D85FA7"/>
    <w:rsid w:val="00D86F52"/>
    <w:rsid w:val="00D877F2"/>
    <w:rsid w:val="00D8786C"/>
    <w:rsid w:val="00D9341C"/>
    <w:rsid w:val="00D95488"/>
    <w:rsid w:val="00D97BFB"/>
    <w:rsid w:val="00DA1316"/>
    <w:rsid w:val="00DA13FF"/>
    <w:rsid w:val="00DA2A01"/>
    <w:rsid w:val="00DA2AFA"/>
    <w:rsid w:val="00DA3E17"/>
    <w:rsid w:val="00DA4383"/>
    <w:rsid w:val="00DA5563"/>
    <w:rsid w:val="00DA5C78"/>
    <w:rsid w:val="00DA6578"/>
    <w:rsid w:val="00DA6949"/>
    <w:rsid w:val="00DB0C9C"/>
    <w:rsid w:val="00DB267B"/>
    <w:rsid w:val="00DB3078"/>
    <w:rsid w:val="00DB39F4"/>
    <w:rsid w:val="00DB3DA6"/>
    <w:rsid w:val="00DB534C"/>
    <w:rsid w:val="00DB5695"/>
    <w:rsid w:val="00DB6365"/>
    <w:rsid w:val="00DC1557"/>
    <w:rsid w:val="00DC1948"/>
    <w:rsid w:val="00DC3499"/>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48F"/>
    <w:rsid w:val="00E525AD"/>
    <w:rsid w:val="00E52DB0"/>
    <w:rsid w:val="00E53E5A"/>
    <w:rsid w:val="00E55D62"/>
    <w:rsid w:val="00E56429"/>
    <w:rsid w:val="00E56898"/>
    <w:rsid w:val="00E601E6"/>
    <w:rsid w:val="00E60449"/>
    <w:rsid w:val="00E60832"/>
    <w:rsid w:val="00E63212"/>
    <w:rsid w:val="00E6474C"/>
    <w:rsid w:val="00E66777"/>
    <w:rsid w:val="00E67525"/>
    <w:rsid w:val="00E703D6"/>
    <w:rsid w:val="00E70A93"/>
    <w:rsid w:val="00E717B3"/>
    <w:rsid w:val="00E72A13"/>
    <w:rsid w:val="00E72E51"/>
    <w:rsid w:val="00E75100"/>
    <w:rsid w:val="00E7566F"/>
    <w:rsid w:val="00E76659"/>
    <w:rsid w:val="00E77829"/>
    <w:rsid w:val="00E8067B"/>
    <w:rsid w:val="00E80B25"/>
    <w:rsid w:val="00E82AAF"/>
    <w:rsid w:val="00E835BE"/>
    <w:rsid w:val="00E9001E"/>
    <w:rsid w:val="00E90713"/>
    <w:rsid w:val="00E9339C"/>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2D0E"/>
    <w:rsid w:val="00ED389A"/>
    <w:rsid w:val="00ED49D0"/>
    <w:rsid w:val="00ED7454"/>
    <w:rsid w:val="00ED75E4"/>
    <w:rsid w:val="00EE0F5C"/>
    <w:rsid w:val="00EE0F8D"/>
    <w:rsid w:val="00EE270E"/>
    <w:rsid w:val="00EE5EF8"/>
    <w:rsid w:val="00EE6CBD"/>
    <w:rsid w:val="00EE7B7F"/>
    <w:rsid w:val="00EF03A1"/>
    <w:rsid w:val="00EF1036"/>
    <w:rsid w:val="00EF4094"/>
    <w:rsid w:val="00EF4802"/>
    <w:rsid w:val="00F02946"/>
    <w:rsid w:val="00F02DF8"/>
    <w:rsid w:val="00F03EE2"/>
    <w:rsid w:val="00F0796A"/>
    <w:rsid w:val="00F12722"/>
    <w:rsid w:val="00F13DD4"/>
    <w:rsid w:val="00F172B1"/>
    <w:rsid w:val="00F210AA"/>
    <w:rsid w:val="00F21916"/>
    <w:rsid w:val="00F25C06"/>
    <w:rsid w:val="00F30805"/>
    <w:rsid w:val="00F366C1"/>
    <w:rsid w:val="00F42151"/>
    <w:rsid w:val="00F45052"/>
    <w:rsid w:val="00F513E0"/>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 w:val="09B04618"/>
    <w:rsid w:val="29BA5FC2"/>
    <w:rsid w:val="453F0A63"/>
    <w:rsid w:val="51394072"/>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120" w:line="360" w:lineRule="auto"/>
      <w:jc w:val="both"/>
    </w:pPr>
    <w:rPr>
      <w:rFonts w:ascii="Times New Roman" w:hAnsi="Times New Roman" w:eastAsia="Times New Roman" w:cs="Times New Roman"/>
      <w:kern w:val="2"/>
      <w:sz w:val="24"/>
      <w:szCs w:val="22"/>
      <w:lang w:val="en-GB" w:eastAsia="en-GB" w:bidi="ar-SA"/>
      <w14:ligatures w14:val="standardContextual"/>
    </w:rPr>
  </w:style>
  <w:style w:type="paragraph" w:styleId="2">
    <w:name w:val="heading 1"/>
    <w:basedOn w:val="1"/>
    <w:next w:val="1"/>
    <w:link w:val="151"/>
    <w:autoRedefine/>
    <w:qFormat/>
    <w:uiPriority w:val="9"/>
    <w:pPr>
      <w:keepNext/>
      <w:keepLines/>
      <w:spacing w:before="0" w:after="360" w:line="240" w:lineRule="auto"/>
      <w:outlineLvl w:val="0"/>
    </w:pPr>
    <w:rPr>
      <w:b/>
      <w:kern w:val="0"/>
      <w:sz w:val="32"/>
      <w:szCs w:val="32"/>
      <w:lang w:val="zh-CN" w:eastAsia="en-US" w:bidi="bn-IN"/>
      <w14:ligatures w14:val="none"/>
    </w:rPr>
  </w:style>
  <w:style w:type="paragraph" w:styleId="3">
    <w:name w:val="heading 2"/>
    <w:basedOn w:val="1"/>
    <w:next w:val="1"/>
    <w:link w:val="152"/>
    <w:autoRedefine/>
    <w:unhideWhenUsed/>
    <w:qFormat/>
    <w:uiPriority w:val="9"/>
    <w:pPr>
      <w:keepNext/>
      <w:keepLines/>
      <w:spacing w:before="40" w:after="0"/>
      <w:outlineLvl w:val="1"/>
    </w:pPr>
    <w:rPr>
      <w:rFonts w:eastAsiaTheme="majorEastAsia" w:cstheme="majorBidi"/>
      <w:b/>
      <w:kern w:val="0"/>
      <w:sz w:val="26"/>
      <w:szCs w:val="33"/>
      <w:lang w:val="zh-CN" w:eastAsia="en-US" w:bidi="bn-IN"/>
      <w14:ligatures w14:val="none"/>
    </w:rPr>
  </w:style>
  <w:style w:type="paragraph" w:styleId="4">
    <w:name w:val="heading 3"/>
    <w:basedOn w:val="1"/>
    <w:next w:val="1"/>
    <w:link w:val="153"/>
    <w:autoRedefine/>
    <w:unhideWhenUsed/>
    <w:qFormat/>
    <w:uiPriority w:val="9"/>
    <w:pPr>
      <w:keepNext/>
      <w:keepLines/>
      <w:spacing w:before="40" w:after="0" w:line="480" w:lineRule="auto"/>
      <w:outlineLvl w:val="2"/>
    </w:pPr>
    <w:rPr>
      <w:rFonts w:eastAsiaTheme="majorEastAsia" w:cstheme="majorBidi"/>
      <w:b/>
      <w:kern w:val="0"/>
      <w:szCs w:val="30"/>
      <w:lang w:val="zh-CN" w:eastAsia="en-US" w:bidi="bn-IN"/>
      <w14:ligatures w14:val="none"/>
    </w:rPr>
  </w:style>
  <w:style w:type="paragraph" w:styleId="5">
    <w:name w:val="heading 4"/>
    <w:basedOn w:val="1"/>
    <w:next w:val="1"/>
    <w:link w:val="169"/>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kern w:val="0"/>
      <w:szCs w:val="24"/>
      <w:lang w:val="zh-CN" w:bidi="bn-IN"/>
      <w14:ligatures w14:val="none"/>
    </w:rPr>
  </w:style>
  <w:style w:type="paragraph" w:styleId="6">
    <w:name w:val="heading 5"/>
    <w:basedOn w:val="1"/>
    <w:next w:val="1"/>
    <w:link w:val="191"/>
    <w:semiHidden/>
    <w:unhideWhenUsed/>
    <w:qFormat/>
    <w:uiPriority w:val="9"/>
    <w:pPr>
      <w:keepNext/>
      <w:keepLines/>
      <w:spacing w:before="200" w:after="0" w:line="240" w:lineRule="auto"/>
      <w:jc w:val="left"/>
      <w:outlineLvl w:val="4"/>
    </w:pPr>
    <w:rPr>
      <w:rFonts w:asciiTheme="majorHAnsi" w:hAnsiTheme="majorHAnsi" w:eastAsiaTheme="majorEastAsia" w:cstheme="majorBidi"/>
      <w:color w:val="203864" w:themeColor="accent1" w:themeShade="80"/>
      <w:kern w:val="0"/>
      <w:sz w:val="22"/>
      <w:lang w:val="en-US" w:eastAsia="en-US"/>
      <w14:ligatures w14:val="none"/>
    </w:rPr>
  </w:style>
  <w:style w:type="paragraph" w:styleId="7">
    <w:name w:val="heading 6"/>
    <w:basedOn w:val="1"/>
    <w:next w:val="1"/>
    <w:link w:val="192"/>
    <w:semiHidden/>
    <w:unhideWhenUsed/>
    <w:qFormat/>
    <w:uiPriority w:val="9"/>
    <w:pPr>
      <w:keepNext/>
      <w:keepLines/>
      <w:spacing w:before="200" w:after="0" w:line="240" w:lineRule="auto"/>
      <w:jc w:val="left"/>
      <w:outlineLvl w:val="5"/>
    </w:pPr>
    <w:rPr>
      <w:rFonts w:asciiTheme="majorHAnsi" w:hAnsiTheme="majorHAnsi" w:eastAsiaTheme="majorEastAsia" w:cstheme="majorBidi"/>
      <w:i/>
      <w:iCs/>
      <w:color w:val="203864" w:themeColor="accent1" w:themeShade="80"/>
      <w:kern w:val="0"/>
      <w:sz w:val="22"/>
      <w:lang w:val="en-US" w:eastAsia="en-US"/>
      <w14:ligatures w14:val="none"/>
    </w:rPr>
  </w:style>
  <w:style w:type="paragraph" w:styleId="8">
    <w:name w:val="heading 7"/>
    <w:basedOn w:val="1"/>
    <w:next w:val="1"/>
    <w:link w:val="193"/>
    <w:semiHidden/>
    <w:unhideWhenUsed/>
    <w:qFormat/>
    <w:uiPriority w:val="9"/>
    <w:pPr>
      <w:keepNext/>
      <w:keepLines/>
      <w:spacing w:before="200" w:after="0" w:line="240" w:lineRule="auto"/>
      <w:jc w:val="left"/>
      <w:outlineLvl w:val="6"/>
    </w:pPr>
    <w:rPr>
      <w:rFonts w:asciiTheme="majorHAnsi" w:hAnsiTheme="majorHAnsi" w:eastAsiaTheme="majorEastAsia" w:cstheme="majorBidi"/>
      <w:i/>
      <w:iCs/>
      <w:color w:val="404040" w:themeColor="text1" w:themeTint="BF"/>
      <w:kern w:val="0"/>
      <w:sz w:val="22"/>
      <w:lang w:val="en-US" w:eastAsia="en-US"/>
      <w14:textFill>
        <w14:solidFill>
          <w14:schemeClr w14:val="tx1">
            <w14:lumMod w14:val="75000"/>
            <w14:lumOff w14:val="25000"/>
          </w14:schemeClr>
        </w14:solidFill>
      </w14:textFill>
      <w14:ligatures w14:val="none"/>
    </w:rPr>
  </w:style>
  <w:style w:type="paragraph" w:styleId="9">
    <w:name w:val="heading 8"/>
    <w:basedOn w:val="1"/>
    <w:next w:val="1"/>
    <w:link w:val="194"/>
    <w:semiHidden/>
    <w:unhideWhenUsed/>
    <w:qFormat/>
    <w:uiPriority w:val="9"/>
    <w:pPr>
      <w:keepNext/>
      <w:keepLines/>
      <w:spacing w:before="200" w:after="0" w:line="240" w:lineRule="auto"/>
      <w:jc w:val="left"/>
      <w:outlineLvl w:val="7"/>
    </w:pPr>
    <w:rPr>
      <w:rFonts w:asciiTheme="majorHAnsi" w:hAnsiTheme="majorHAnsi" w:eastAsiaTheme="majorEastAsia" w:cstheme="majorBidi"/>
      <w:color w:val="4472C4" w:themeColor="accent1"/>
      <w:kern w:val="0"/>
      <w:sz w:val="20"/>
      <w:szCs w:val="20"/>
      <w:lang w:val="en-US" w:eastAsia="en-US"/>
      <w14:textFill>
        <w14:solidFill>
          <w14:schemeClr w14:val="accent1"/>
        </w14:solidFill>
      </w14:textFill>
      <w14:ligatures w14:val="none"/>
    </w:rPr>
  </w:style>
  <w:style w:type="paragraph" w:styleId="10">
    <w:name w:val="heading 9"/>
    <w:basedOn w:val="1"/>
    <w:next w:val="1"/>
    <w:link w:val="195"/>
    <w:semiHidden/>
    <w:unhideWhenUsed/>
    <w:qFormat/>
    <w:uiPriority w:val="9"/>
    <w:pPr>
      <w:keepNext/>
      <w:keepLines/>
      <w:spacing w:before="200" w:after="0" w:line="240" w:lineRule="auto"/>
      <w:jc w:val="left"/>
      <w:outlineLvl w:val="8"/>
    </w:pPr>
    <w:rPr>
      <w:rFonts w:asciiTheme="majorHAnsi" w:hAnsiTheme="majorHAnsi" w:eastAsiaTheme="majorEastAsia" w:cstheme="majorBidi"/>
      <w:i/>
      <w:iCs/>
      <w:color w:val="404040" w:themeColor="text1" w:themeTint="BF"/>
      <w:kern w:val="0"/>
      <w:sz w:val="20"/>
      <w:szCs w:val="20"/>
      <w:lang w:val="en-US" w:eastAsia="en-US"/>
      <w14:textFill>
        <w14:solidFill>
          <w14:schemeClr w14:val="tx1">
            <w14:lumMod w14:val="75000"/>
            <w14:lumOff w14:val="25000"/>
          </w14:schemeClr>
        </w14:solidFill>
      </w14:textFill>
      <w14:ligatures w14:val="none"/>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157"/>
    <w:semiHidden/>
    <w:unhideWhenUsed/>
    <w:qFormat/>
    <w:uiPriority w:val="99"/>
    <w:rPr>
      <w:rFonts w:ascii="Segoe UI" w:hAnsi="Segoe UI" w:cs="Segoe UI" w:eastAsiaTheme="minorHAnsi"/>
      <w:sz w:val="18"/>
      <w:lang w:eastAsia="en-US"/>
    </w:rPr>
  </w:style>
  <w:style w:type="paragraph" w:styleId="14">
    <w:name w:val="Body Text"/>
    <w:basedOn w:val="1"/>
    <w:link w:val="168"/>
    <w:qFormat/>
    <w:uiPriority w:val="99"/>
    <w:pPr>
      <w:widowControl w:val="0"/>
      <w:autoSpaceDE w:val="0"/>
      <w:autoSpaceDN w:val="0"/>
      <w:spacing w:before="0" w:after="0" w:line="240" w:lineRule="auto"/>
      <w:jc w:val="left"/>
    </w:pPr>
    <w:rPr>
      <w:rFonts w:ascii="Arial" w:hAnsi="Arial"/>
      <w:kern w:val="0"/>
      <w:sz w:val="16"/>
      <w:szCs w:val="16"/>
      <w:lang w:val="en-US" w:eastAsia="en-US"/>
      <w14:ligatures w14:val="none"/>
    </w:rPr>
  </w:style>
  <w:style w:type="paragraph" w:styleId="15">
    <w:name w:val="Body Text 2"/>
    <w:basedOn w:val="1"/>
    <w:link w:val="198"/>
    <w:unhideWhenUsed/>
    <w:qFormat/>
    <w:uiPriority w:val="99"/>
    <w:pPr>
      <w:spacing w:before="0" w:line="480" w:lineRule="auto"/>
      <w:jc w:val="left"/>
    </w:pPr>
    <w:rPr>
      <w:rFonts w:eastAsiaTheme="minorEastAsia" w:cstheme="minorBidi"/>
      <w:kern w:val="0"/>
      <w:sz w:val="22"/>
      <w:lang w:val="en-US" w:eastAsia="en-US"/>
      <w14:ligatures w14:val="none"/>
    </w:rPr>
  </w:style>
  <w:style w:type="paragraph" w:styleId="16">
    <w:name w:val="Body Text 3"/>
    <w:basedOn w:val="1"/>
    <w:link w:val="199"/>
    <w:unhideWhenUsed/>
    <w:qFormat/>
    <w:uiPriority w:val="99"/>
    <w:pPr>
      <w:spacing w:before="0" w:line="240" w:lineRule="auto"/>
      <w:jc w:val="left"/>
    </w:pPr>
    <w:rPr>
      <w:rFonts w:eastAsiaTheme="minorEastAsia" w:cstheme="minorBidi"/>
      <w:kern w:val="0"/>
      <w:sz w:val="16"/>
      <w:szCs w:val="16"/>
      <w:lang w:val="en-US" w:eastAsia="en-US"/>
      <w14:ligatures w14:val="none"/>
    </w:rPr>
  </w:style>
  <w:style w:type="paragraph" w:styleId="17">
    <w:name w:val="caption"/>
    <w:basedOn w:val="1"/>
    <w:next w:val="1"/>
    <w:autoRedefine/>
    <w:unhideWhenUsed/>
    <w:qFormat/>
    <w:uiPriority w:val="35"/>
    <w:pPr>
      <w:keepNext/>
      <w:spacing w:before="0" w:after="200"/>
      <w:jc w:val="center"/>
    </w:pPr>
    <w:rPr>
      <w:rFonts w:eastAsiaTheme="minorHAnsi" w:cstheme="minorBidi"/>
      <w:b/>
      <w:iCs/>
      <w:kern w:val="0"/>
      <w:sz w:val="20"/>
      <w:szCs w:val="24"/>
      <w:lang w:val="zh-CN" w:eastAsia="en-US" w:bidi="bn-IN"/>
      <w14:ligatures w14:val="none"/>
    </w:rPr>
  </w:style>
  <w:style w:type="character" w:styleId="18">
    <w:name w:val="annotation reference"/>
    <w:basedOn w:val="11"/>
    <w:semiHidden/>
    <w:unhideWhenUsed/>
    <w:qFormat/>
    <w:uiPriority w:val="99"/>
    <w:rPr>
      <w:sz w:val="16"/>
      <w:szCs w:val="16"/>
    </w:rPr>
  </w:style>
  <w:style w:type="paragraph" w:styleId="19">
    <w:name w:val="annotation text"/>
    <w:basedOn w:val="1"/>
    <w:link w:val="162"/>
    <w:semiHidden/>
    <w:unhideWhenUsed/>
    <w:qFormat/>
    <w:uiPriority w:val="99"/>
    <w:pPr>
      <w:spacing w:before="0" w:after="160"/>
    </w:pPr>
    <w:rPr>
      <w:rFonts w:eastAsiaTheme="minorHAnsi" w:cstheme="minorBidi"/>
      <w:kern w:val="0"/>
      <w:sz w:val="20"/>
      <w:szCs w:val="20"/>
      <w:lang w:val="zh-CN" w:eastAsia="en-US"/>
      <w14:ligatures w14:val="none"/>
    </w:rPr>
  </w:style>
  <w:style w:type="character" w:styleId="20">
    <w:name w:val="Emphasis"/>
    <w:basedOn w:val="11"/>
    <w:qFormat/>
    <w:uiPriority w:val="20"/>
    <w:rPr>
      <w:i/>
      <w:iCs/>
    </w:rPr>
  </w:style>
  <w:style w:type="character" w:styleId="21">
    <w:name w:val="FollowedHyperlink"/>
    <w:basedOn w:val="11"/>
    <w:semiHidden/>
    <w:unhideWhenUsed/>
    <w:qFormat/>
    <w:uiPriority w:val="99"/>
    <w:rPr>
      <w:color w:val="954F72" w:themeColor="followedHyperlink"/>
      <w:u w:val="single"/>
      <w14:textFill>
        <w14:solidFill>
          <w14:schemeClr w14:val="folHlink"/>
        </w14:solidFill>
      </w14:textFill>
    </w:rPr>
  </w:style>
  <w:style w:type="paragraph" w:styleId="22">
    <w:name w:val="footer"/>
    <w:basedOn w:val="1"/>
    <w:link w:val="156"/>
    <w:unhideWhenUsed/>
    <w:qFormat/>
    <w:uiPriority w:val="99"/>
    <w:pPr>
      <w:tabs>
        <w:tab w:val="center" w:pos="4680"/>
        <w:tab w:val="right" w:pos="9360"/>
      </w:tabs>
      <w:spacing w:before="0" w:after="0"/>
    </w:pPr>
    <w:rPr>
      <w:rFonts w:eastAsiaTheme="minorHAnsi" w:cstheme="minorBidi"/>
      <w:kern w:val="0"/>
      <w:szCs w:val="28"/>
      <w:lang w:val="zh-CN" w:eastAsia="en-US" w:bidi="bn-IN"/>
      <w14:ligatures w14:val="none"/>
    </w:rPr>
  </w:style>
  <w:style w:type="paragraph" w:styleId="23">
    <w:name w:val="header"/>
    <w:basedOn w:val="1"/>
    <w:link w:val="155"/>
    <w:unhideWhenUsed/>
    <w:qFormat/>
    <w:uiPriority w:val="99"/>
    <w:pPr>
      <w:tabs>
        <w:tab w:val="center" w:pos="4680"/>
        <w:tab w:val="right" w:pos="9360"/>
      </w:tabs>
      <w:spacing w:before="0" w:after="0"/>
    </w:pPr>
    <w:rPr>
      <w:rFonts w:eastAsiaTheme="minorHAnsi" w:cstheme="minorBidi"/>
      <w:kern w:val="0"/>
      <w:szCs w:val="28"/>
      <w:lang w:val="zh-CN" w:eastAsia="en-US" w:bidi="bn-IN"/>
      <w14:ligatures w14:val="none"/>
    </w:rPr>
  </w:style>
  <w:style w:type="character" w:styleId="24">
    <w:name w:val="Hyperlink"/>
    <w:basedOn w:val="11"/>
    <w:unhideWhenUsed/>
    <w:qFormat/>
    <w:uiPriority w:val="99"/>
    <w:rPr>
      <w:color w:val="0563C1" w:themeColor="hyperlink"/>
      <w:u w:val="single"/>
      <w14:textFill>
        <w14:solidFill>
          <w14:schemeClr w14:val="hlink"/>
        </w14:solidFill>
      </w14:textFill>
    </w:rPr>
  </w:style>
  <w:style w:type="paragraph" w:styleId="25">
    <w:name w:val="List"/>
    <w:basedOn w:val="1"/>
    <w:unhideWhenUsed/>
    <w:qFormat/>
    <w:uiPriority w:val="99"/>
    <w:pPr>
      <w:spacing w:before="0" w:after="80" w:line="240" w:lineRule="auto"/>
      <w:ind w:left="360" w:hanging="360"/>
      <w:contextualSpacing/>
      <w:jc w:val="left"/>
    </w:pPr>
    <w:rPr>
      <w:rFonts w:eastAsiaTheme="minorEastAsia" w:cstheme="minorBidi"/>
      <w:kern w:val="0"/>
      <w:sz w:val="22"/>
      <w:lang w:val="en-US" w:eastAsia="en-US"/>
      <w14:ligatures w14:val="none"/>
    </w:rPr>
  </w:style>
  <w:style w:type="paragraph" w:styleId="26">
    <w:name w:val="List 2"/>
    <w:basedOn w:val="1"/>
    <w:unhideWhenUsed/>
    <w:qFormat/>
    <w:uiPriority w:val="99"/>
    <w:pPr>
      <w:spacing w:before="0" w:after="80" w:line="240" w:lineRule="auto"/>
      <w:ind w:left="720" w:hanging="360"/>
      <w:contextualSpacing/>
      <w:jc w:val="left"/>
    </w:pPr>
    <w:rPr>
      <w:rFonts w:eastAsiaTheme="minorEastAsia" w:cstheme="minorBidi"/>
      <w:kern w:val="0"/>
      <w:sz w:val="22"/>
      <w:lang w:val="en-US" w:eastAsia="en-US"/>
      <w14:ligatures w14:val="none"/>
    </w:rPr>
  </w:style>
  <w:style w:type="paragraph" w:styleId="27">
    <w:name w:val="List 3"/>
    <w:basedOn w:val="1"/>
    <w:unhideWhenUsed/>
    <w:qFormat/>
    <w:uiPriority w:val="99"/>
    <w:pPr>
      <w:spacing w:before="0" w:after="80" w:line="240" w:lineRule="auto"/>
      <w:ind w:left="1080" w:hanging="360"/>
      <w:contextualSpacing/>
      <w:jc w:val="left"/>
    </w:pPr>
    <w:rPr>
      <w:rFonts w:eastAsiaTheme="minorEastAsia" w:cstheme="minorBidi"/>
      <w:kern w:val="0"/>
      <w:sz w:val="22"/>
      <w:lang w:val="en-US" w:eastAsia="en-US"/>
      <w14:ligatures w14:val="none"/>
    </w:rPr>
  </w:style>
  <w:style w:type="paragraph" w:styleId="28">
    <w:name w:val="List Bullet"/>
    <w:basedOn w:val="1"/>
    <w:unhideWhenUsed/>
    <w:qFormat/>
    <w:uiPriority w:val="99"/>
    <w:pPr>
      <w:spacing w:before="0"/>
      <w:contextualSpacing/>
    </w:pPr>
    <w:rPr>
      <w:rFonts w:eastAsiaTheme="minorEastAsia" w:cstheme="minorBidi"/>
      <w:kern w:val="0"/>
      <w:lang w:val="en-US" w:eastAsia="en-US"/>
      <w14:ligatures w14:val="none"/>
    </w:rPr>
  </w:style>
  <w:style w:type="paragraph" w:styleId="29">
    <w:name w:val="List Bullet 2"/>
    <w:basedOn w:val="1"/>
    <w:unhideWhenUsed/>
    <w:qFormat/>
    <w:uiPriority w:val="99"/>
    <w:pPr>
      <w:numPr>
        <w:ilvl w:val="0"/>
        <w:numId w:val="1"/>
      </w:numPr>
      <w:spacing w:before="0" w:after="80" w:line="240" w:lineRule="auto"/>
      <w:contextualSpacing/>
      <w:jc w:val="left"/>
    </w:pPr>
    <w:rPr>
      <w:rFonts w:eastAsiaTheme="minorEastAsia" w:cstheme="minorBidi"/>
      <w:kern w:val="0"/>
      <w:sz w:val="22"/>
      <w:lang w:val="en-US" w:eastAsia="en-US"/>
      <w14:ligatures w14:val="none"/>
    </w:rPr>
  </w:style>
  <w:style w:type="paragraph" w:styleId="30">
    <w:name w:val="List Bullet 3"/>
    <w:basedOn w:val="1"/>
    <w:unhideWhenUsed/>
    <w:qFormat/>
    <w:uiPriority w:val="99"/>
    <w:pPr>
      <w:numPr>
        <w:ilvl w:val="0"/>
        <w:numId w:val="2"/>
      </w:numPr>
      <w:spacing w:before="0" w:after="80" w:line="240" w:lineRule="auto"/>
      <w:contextualSpacing/>
      <w:jc w:val="left"/>
    </w:pPr>
    <w:rPr>
      <w:rFonts w:eastAsiaTheme="minorEastAsia" w:cstheme="minorBidi"/>
      <w:kern w:val="0"/>
      <w:sz w:val="22"/>
      <w:lang w:val="en-US" w:eastAsia="en-US"/>
      <w14:ligatures w14:val="none"/>
    </w:rPr>
  </w:style>
  <w:style w:type="paragraph" w:styleId="31">
    <w:name w:val="List Continue"/>
    <w:basedOn w:val="1"/>
    <w:unhideWhenUsed/>
    <w:qFormat/>
    <w:uiPriority w:val="99"/>
    <w:pPr>
      <w:spacing w:before="0" w:line="240" w:lineRule="auto"/>
      <w:ind w:left="360"/>
      <w:contextualSpacing/>
      <w:jc w:val="left"/>
    </w:pPr>
    <w:rPr>
      <w:rFonts w:eastAsiaTheme="minorEastAsia" w:cstheme="minorBidi"/>
      <w:kern w:val="0"/>
      <w:sz w:val="22"/>
      <w:lang w:val="en-US" w:eastAsia="en-US"/>
      <w14:ligatures w14:val="none"/>
    </w:rPr>
  </w:style>
  <w:style w:type="paragraph" w:styleId="32">
    <w:name w:val="List Continue 2"/>
    <w:basedOn w:val="1"/>
    <w:unhideWhenUsed/>
    <w:qFormat/>
    <w:uiPriority w:val="99"/>
    <w:pPr>
      <w:spacing w:before="0" w:line="240" w:lineRule="auto"/>
      <w:ind w:left="720"/>
      <w:contextualSpacing/>
      <w:jc w:val="left"/>
    </w:pPr>
    <w:rPr>
      <w:rFonts w:eastAsiaTheme="minorEastAsia" w:cstheme="minorBidi"/>
      <w:kern w:val="0"/>
      <w:sz w:val="22"/>
      <w:lang w:val="en-US" w:eastAsia="en-US"/>
      <w14:ligatures w14:val="none"/>
    </w:rPr>
  </w:style>
  <w:style w:type="paragraph" w:styleId="33">
    <w:name w:val="List Continue 3"/>
    <w:basedOn w:val="1"/>
    <w:unhideWhenUsed/>
    <w:qFormat/>
    <w:uiPriority w:val="99"/>
    <w:pPr>
      <w:spacing w:before="0" w:line="240" w:lineRule="auto"/>
      <w:ind w:left="1080"/>
      <w:contextualSpacing/>
      <w:jc w:val="left"/>
    </w:pPr>
    <w:rPr>
      <w:rFonts w:eastAsiaTheme="minorEastAsia" w:cstheme="minorBidi"/>
      <w:kern w:val="0"/>
      <w:sz w:val="22"/>
      <w:lang w:val="en-US" w:eastAsia="en-US"/>
      <w14:ligatures w14:val="none"/>
    </w:rPr>
  </w:style>
  <w:style w:type="paragraph" w:styleId="34">
    <w:name w:val="List Number"/>
    <w:basedOn w:val="1"/>
    <w:unhideWhenUsed/>
    <w:qFormat/>
    <w:uiPriority w:val="99"/>
    <w:pPr>
      <w:numPr>
        <w:ilvl w:val="0"/>
        <w:numId w:val="3"/>
      </w:numPr>
      <w:spacing w:before="0" w:after="80" w:line="240" w:lineRule="auto"/>
      <w:contextualSpacing/>
      <w:jc w:val="left"/>
    </w:pPr>
    <w:rPr>
      <w:rFonts w:eastAsiaTheme="minorEastAsia" w:cstheme="minorBidi"/>
      <w:kern w:val="0"/>
      <w:sz w:val="22"/>
      <w:lang w:val="en-US" w:eastAsia="en-US"/>
      <w14:ligatures w14:val="none"/>
    </w:rPr>
  </w:style>
  <w:style w:type="paragraph" w:styleId="35">
    <w:name w:val="List Number 2"/>
    <w:basedOn w:val="1"/>
    <w:unhideWhenUsed/>
    <w:qFormat/>
    <w:uiPriority w:val="99"/>
    <w:pPr>
      <w:numPr>
        <w:ilvl w:val="0"/>
        <w:numId w:val="4"/>
      </w:numPr>
      <w:spacing w:before="0" w:after="80" w:line="240" w:lineRule="auto"/>
      <w:contextualSpacing/>
      <w:jc w:val="left"/>
    </w:pPr>
    <w:rPr>
      <w:rFonts w:eastAsiaTheme="minorEastAsia" w:cstheme="minorBidi"/>
      <w:kern w:val="0"/>
      <w:sz w:val="22"/>
      <w:lang w:val="en-US" w:eastAsia="en-US"/>
      <w14:ligatures w14:val="none"/>
    </w:rPr>
  </w:style>
  <w:style w:type="paragraph" w:styleId="36">
    <w:name w:val="List Number 3"/>
    <w:basedOn w:val="1"/>
    <w:unhideWhenUsed/>
    <w:qFormat/>
    <w:uiPriority w:val="99"/>
    <w:pPr>
      <w:numPr>
        <w:ilvl w:val="0"/>
        <w:numId w:val="5"/>
      </w:numPr>
      <w:spacing w:before="0" w:after="80" w:line="240" w:lineRule="auto"/>
      <w:contextualSpacing/>
      <w:jc w:val="left"/>
    </w:pPr>
    <w:rPr>
      <w:rFonts w:eastAsiaTheme="minorEastAsia" w:cstheme="minorBidi"/>
      <w:kern w:val="0"/>
      <w:sz w:val="22"/>
      <w:lang w:val="en-US" w:eastAsia="en-US"/>
      <w14:ligatures w14:val="none"/>
    </w:rPr>
  </w:style>
  <w:style w:type="paragraph" w:styleId="37">
    <w:name w:val="macro"/>
    <w:link w:val="200"/>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38">
    <w:name w:val="Normal (Web)"/>
    <w:basedOn w:val="1"/>
    <w:unhideWhenUsed/>
    <w:qFormat/>
    <w:uiPriority w:val="99"/>
    <w:pPr>
      <w:spacing w:after="160"/>
    </w:pPr>
    <w:rPr>
      <w:rFonts w:eastAsiaTheme="minorHAnsi"/>
      <w:szCs w:val="30"/>
      <w:lang w:eastAsia="en-US"/>
    </w:rPr>
  </w:style>
  <w:style w:type="character" w:styleId="39">
    <w:name w:val="Strong"/>
    <w:basedOn w:val="11"/>
    <w:qFormat/>
    <w:uiPriority w:val="22"/>
    <w:rPr>
      <w:b/>
      <w:bCs/>
    </w:rPr>
  </w:style>
  <w:style w:type="paragraph" w:styleId="40">
    <w:name w:val="Subtitle"/>
    <w:basedOn w:val="1"/>
    <w:next w:val="1"/>
    <w:link w:val="197"/>
    <w:qFormat/>
    <w:uiPriority w:val="11"/>
    <w:pPr>
      <w:spacing w:before="0" w:after="80" w:line="240" w:lineRule="auto"/>
      <w:jc w:val="left"/>
    </w:pPr>
    <w:rPr>
      <w:rFonts w:asciiTheme="majorHAnsi" w:hAnsiTheme="majorHAnsi" w:eastAsiaTheme="majorEastAsia" w:cstheme="majorBidi"/>
      <w:i/>
      <w:iCs/>
      <w:color w:val="4472C4" w:themeColor="accent1"/>
      <w:spacing w:val="15"/>
      <w:kern w:val="0"/>
      <w:szCs w:val="24"/>
      <w:lang w:val="en-US" w:eastAsia="en-US"/>
      <w14:textFill>
        <w14:solidFill>
          <w14:schemeClr w14:val="accent1"/>
        </w14:solidFill>
      </w14:textFill>
      <w14:ligatures w14:val="none"/>
    </w:rPr>
  </w:style>
  <w:style w:type="table" w:styleId="41">
    <w:name w:val="Table Grid"/>
    <w:basedOn w:val="12"/>
    <w:qFormat/>
    <w:uiPriority w:val="59"/>
    <w:pPr>
      <w:spacing w:after="0" w:line="240" w:lineRule="auto"/>
    </w:pPr>
    <w:rPr>
      <w:szCs w:val="22"/>
      <w:lang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42">
    <w:name w:val="table of figures"/>
    <w:basedOn w:val="1"/>
    <w:next w:val="1"/>
    <w:unhideWhenUsed/>
    <w:qFormat/>
    <w:uiPriority w:val="99"/>
    <w:rPr>
      <w:rFonts w:eastAsiaTheme="minorHAnsi" w:cstheme="minorBidi"/>
      <w:szCs w:val="28"/>
      <w:lang w:eastAsia="en-US"/>
    </w:rPr>
  </w:style>
  <w:style w:type="paragraph" w:styleId="43">
    <w:name w:val="Title"/>
    <w:basedOn w:val="1"/>
    <w:next w:val="1"/>
    <w:link w:val="196"/>
    <w:qFormat/>
    <w:uiPriority w:val="10"/>
    <w:pPr>
      <w:pBdr>
        <w:bottom w:val="single" w:color="4472C4" w:themeColor="accent1" w:sz="8" w:space="4"/>
      </w:pBdr>
      <w:spacing w:before="0" w:after="300" w:line="240" w:lineRule="auto"/>
      <w:contextualSpacing/>
      <w:jc w:val="left"/>
    </w:pPr>
    <w:rPr>
      <w:rFonts w:asciiTheme="majorHAnsi" w:hAnsiTheme="majorHAnsi" w:eastAsiaTheme="majorEastAsia" w:cstheme="majorBidi"/>
      <w:color w:val="333F50" w:themeColor="text2" w:themeShade="BF"/>
      <w:spacing w:val="5"/>
      <w:kern w:val="28"/>
      <w:sz w:val="52"/>
      <w:szCs w:val="52"/>
      <w:lang w:val="en-US" w:eastAsia="en-US"/>
      <w14:ligatures w14:val="none"/>
    </w:rPr>
  </w:style>
  <w:style w:type="paragraph" w:styleId="44">
    <w:name w:val="toc 1"/>
    <w:basedOn w:val="1"/>
    <w:next w:val="1"/>
    <w:autoRedefine/>
    <w:unhideWhenUsed/>
    <w:qFormat/>
    <w:uiPriority w:val="39"/>
    <w:pPr>
      <w:spacing w:after="0"/>
      <w:jc w:val="left"/>
    </w:pPr>
    <w:rPr>
      <w:rFonts w:asciiTheme="minorHAnsi" w:hAnsiTheme="minorHAnsi" w:cstheme="minorHAnsi"/>
      <w:b/>
      <w:bCs/>
      <w:i/>
      <w:iCs/>
      <w:szCs w:val="28"/>
    </w:rPr>
  </w:style>
  <w:style w:type="paragraph" w:styleId="45">
    <w:name w:val="toc 2"/>
    <w:basedOn w:val="1"/>
    <w:next w:val="1"/>
    <w:autoRedefine/>
    <w:unhideWhenUsed/>
    <w:qFormat/>
    <w:uiPriority w:val="39"/>
    <w:pPr>
      <w:spacing w:after="0"/>
      <w:ind w:left="240"/>
      <w:jc w:val="left"/>
    </w:pPr>
    <w:rPr>
      <w:rFonts w:asciiTheme="minorHAnsi" w:hAnsiTheme="minorHAnsi" w:cstheme="minorHAnsi"/>
      <w:b/>
      <w:bCs/>
      <w:sz w:val="22"/>
      <w:szCs w:val="26"/>
    </w:rPr>
  </w:style>
  <w:style w:type="paragraph" w:styleId="46">
    <w:name w:val="toc 3"/>
    <w:basedOn w:val="1"/>
    <w:next w:val="1"/>
    <w:autoRedefine/>
    <w:unhideWhenUsed/>
    <w:qFormat/>
    <w:uiPriority w:val="39"/>
    <w:pPr>
      <w:spacing w:before="0" w:after="0"/>
      <w:ind w:left="480"/>
      <w:jc w:val="left"/>
    </w:pPr>
    <w:rPr>
      <w:rFonts w:asciiTheme="minorHAnsi" w:hAnsiTheme="minorHAnsi" w:cstheme="minorHAnsi"/>
      <w:sz w:val="20"/>
      <w:szCs w:val="24"/>
    </w:rPr>
  </w:style>
  <w:style w:type="paragraph" w:styleId="47">
    <w:name w:val="toc 4"/>
    <w:basedOn w:val="1"/>
    <w:next w:val="1"/>
    <w:autoRedefine/>
    <w:unhideWhenUsed/>
    <w:qFormat/>
    <w:uiPriority w:val="39"/>
    <w:pPr>
      <w:spacing w:before="0" w:after="0"/>
      <w:ind w:left="720"/>
      <w:jc w:val="left"/>
    </w:pPr>
    <w:rPr>
      <w:rFonts w:asciiTheme="minorHAnsi" w:hAnsiTheme="minorHAnsi" w:cstheme="minorHAnsi"/>
      <w:sz w:val="20"/>
      <w:szCs w:val="24"/>
    </w:rPr>
  </w:style>
  <w:style w:type="paragraph" w:styleId="48">
    <w:name w:val="toc 5"/>
    <w:basedOn w:val="1"/>
    <w:next w:val="1"/>
    <w:autoRedefine/>
    <w:unhideWhenUsed/>
    <w:qFormat/>
    <w:uiPriority w:val="39"/>
    <w:pPr>
      <w:spacing w:before="0" w:after="0"/>
      <w:ind w:left="960"/>
      <w:jc w:val="left"/>
    </w:pPr>
    <w:rPr>
      <w:rFonts w:asciiTheme="minorHAnsi" w:hAnsiTheme="minorHAnsi" w:cstheme="minorHAnsi"/>
      <w:sz w:val="20"/>
      <w:szCs w:val="24"/>
    </w:rPr>
  </w:style>
  <w:style w:type="paragraph" w:styleId="49">
    <w:name w:val="toc 6"/>
    <w:basedOn w:val="1"/>
    <w:next w:val="1"/>
    <w:autoRedefine/>
    <w:unhideWhenUsed/>
    <w:qFormat/>
    <w:uiPriority w:val="39"/>
    <w:pPr>
      <w:spacing w:before="0" w:after="0"/>
      <w:ind w:left="1200"/>
      <w:jc w:val="left"/>
    </w:pPr>
    <w:rPr>
      <w:rFonts w:asciiTheme="minorHAnsi" w:hAnsiTheme="minorHAnsi" w:cstheme="minorHAnsi"/>
      <w:sz w:val="20"/>
      <w:szCs w:val="24"/>
    </w:rPr>
  </w:style>
  <w:style w:type="paragraph" w:styleId="50">
    <w:name w:val="toc 7"/>
    <w:basedOn w:val="1"/>
    <w:next w:val="1"/>
    <w:autoRedefine/>
    <w:unhideWhenUsed/>
    <w:qFormat/>
    <w:uiPriority w:val="39"/>
    <w:pPr>
      <w:spacing w:before="0" w:after="0"/>
      <w:ind w:left="1440"/>
      <w:jc w:val="left"/>
    </w:pPr>
    <w:rPr>
      <w:rFonts w:asciiTheme="minorHAnsi" w:hAnsiTheme="minorHAnsi" w:cstheme="minorHAnsi"/>
      <w:sz w:val="20"/>
      <w:szCs w:val="24"/>
    </w:rPr>
  </w:style>
  <w:style w:type="paragraph" w:styleId="51">
    <w:name w:val="toc 8"/>
    <w:basedOn w:val="1"/>
    <w:next w:val="1"/>
    <w:autoRedefine/>
    <w:unhideWhenUsed/>
    <w:qFormat/>
    <w:uiPriority w:val="39"/>
    <w:pPr>
      <w:spacing w:before="0" w:after="0"/>
      <w:ind w:left="1680"/>
      <w:jc w:val="left"/>
    </w:pPr>
    <w:rPr>
      <w:rFonts w:asciiTheme="minorHAnsi" w:hAnsiTheme="minorHAnsi" w:cstheme="minorHAnsi"/>
      <w:sz w:val="20"/>
      <w:szCs w:val="24"/>
    </w:rPr>
  </w:style>
  <w:style w:type="paragraph" w:styleId="52">
    <w:name w:val="toc 9"/>
    <w:basedOn w:val="1"/>
    <w:next w:val="1"/>
    <w:autoRedefine/>
    <w:unhideWhenUsed/>
    <w:qFormat/>
    <w:uiPriority w:val="39"/>
    <w:pPr>
      <w:spacing w:before="0" w:after="0"/>
      <w:ind w:left="1920"/>
      <w:jc w:val="left"/>
    </w:pPr>
    <w:rPr>
      <w:rFonts w:asciiTheme="minorHAnsi" w:hAnsiTheme="minorHAnsi" w:cstheme="minorHAnsi"/>
      <w:sz w:val="20"/>
      <w:szCs w:val="24"/>
    </w:rPr>
  </w:style>
  <w:style w:type="table" w:styleId="53">
    <w:name w:val="Light Shading"/>
    <w:basedOn w:val="12"/>
    <w:qFormat/>
    <w:uiPriority w:val="60"/>
    <w:pPr>
      <w:spacing w:after="0" w:line="240" w:lineRule="auto"/>
    </w:pPr>
    <w:rPr>
      <w:rFonts w:eastAsiaTheme="minorEastAsia"/>
      <w:color w:val="000000" w:themeColor="text1" w:themeShade="BF"/>
      <w:szCs w:val="22"/>
      <w:lang w:val="en-US" w:bidi="ar-SA"/>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54">
    <w:name w:val="Light Shading Accent 1"/>
    <w:basedOn w:val="12"/>
    <w:qFormat/>
    <w:uiPriority w:val="60"/>
    <w:pPr>
      <w:spacing w:after="0" w:line="240" w:lineRule="auto"/>
    </w:pPr>
    <w:rPr>
      <w:rFonts w:eastAsiaTheme="minorEastAsia"/>
      <w:color w:val="2F5597" w:themeColor="accent1" w:themeShade="BF"/>
      <w:szCs w:val="22"/>
      <w:lang w:val="en-US" w:bidi="ar-SA"/>
    </w:rPr>
    <w:tblPr>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CF0" w:themeFill="accent1" w:themeFillTint="3F"/>
      </w:tcPr>
    </w:tblStylePr>
    <w:tblStylePr w:type="band1Horz">
      <w:tblPr/>
      <w:tcPr>
        <w:tcBorders>
          <w:left w:val="nil"/>
          <w:right w:val="nil"/>
          <w:insideH w:val="nil"/>
          <w:insideV w:val="nil"/>
        </w:tcBorders>
        <w:shd w:val="clear" w:color="auto" w:fill="D0DCF0" w:themeFill="accent1" w:themeFillTint="3F"/>
      </w:tcPr>
    </w:tblStylePr>
  </w:style>
  <w:style w:type="table" w:styleId="55">
    <w:name w:val="Light Shading Accent 2"/>
    <w:basedOn w:val="12"/>
    <w:qFormat/>
    <w:uiPriority w:val="60"/>
    <w:pPr>
      <w:spacing w:after="0" w:line="240" w:lineRule="auto"/>
    </w:pPr>
    <w:rPr>
      <w:rFonts w:eastAsiaTheme="minorEastAsia"/>
      <w:color w:val="C55A11" w:themeColor="accent2" w:themeShade="BF"/>
      <w:szCs w:val="22"/>
      <w:lang w:val="en-US" w:bidi="ar-SA"/>
    </w:rPr>
    <w:tblPr>
      <w:tblBorders>
        <w:top w:val="single" w:color="ED7D31" w:themeColor="accent2" w:sz="8" w:space="0"/>
        <w:bottom w:val="single" w:color="ED7D31" w:themeColor="accent2" w:sz="8" w:space="0"/>
      </w:tblBorders>
    </w:tblPr>
    <w:tblStylePr w:type="firstRow">
      <w:pPr>
        <w:spacing w:before="0" w:after="0" w:line="240" w:lineRule="auto"/>
      </w:pPr>
      <w:rPr>
        <w:b/>
        <w:bCs/>
      </w:rPr>
      <w:tblPr/>
      <w:tcPr>
        <w:tcBorders>
          <w:top w:val="single" w:color="ED7D31" w:themeColor="accent2" w:sz="8" w:space="0"/>
          <w:left w:val="nil"/>
          <w:bottom w:val="single" w:color="ED7D31" w:themeColor="accent2" w:sz="8" w:space="0"/>
          <w:right w:val="nil"/>
          <w:insideH w:val="nil"/>
          <w:insideV w:val="nil"/>
        </w:tcBorders>
      </w:tcPr>
    </w:tblStylePr>
    <w:tblStylePr w:type="lastRow">
      <w:pPr>
        <w:spacing w:before="0" w:after="0" w:line="240" w:lineRule="auto"/>
      </w:pPr>
      <w:rPr>
        <w:b/>
        <w:bCs/>
      </w:rPr>
      <w:tblPr/>
      <w:tcPr>
        <w:tcBorders>
          <w:top w:val="single" w:color="ED7D31" w:themeColor="accent2" w:sz="8" w:space="0"/>
          <w:left w:val="nil"/>
          <w:bottom w:val="single" w:color="ED7D31"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C" w:themeFill="accent2" w:themeFillTint="3F"/>
      </w:tcPr>
    </w:tblStylePr>
    <w:tblStylePr w:type="band1Horz">
      <w:tblPr/>
      <w:tcPr>
        <w:tcBorders>
          <w:left w:val="nil"/>
          <w:right w:val="nil"/>
          <w:insideH w:val="nil"/>
          <w:insideV w:val="nil"/>
        </w:tcBorders>
        <w:shd w:val="clear" w:color="auto" w:fill="FADECC" w:themeFill="accent2" w:themeFillTint="3F"/>
      </w:tcPr>
    </w:tblStylePr>
  </w:style>
  <w:style w:type="table" w:styleId="56">
    <w:name w:val="Light Shading Accent 3"/>
    <w:basedOn w:val="12"/>
    <w:qFormat/>
    <w:uiPriority w:val="60"/>
    <w:pPr>
      <w:spacing w:after="0" w:line="240" w:lineRule="auto"/>
    </w:pPr>
    <w:rPr>
      <w:rFonts w:eastAsiaTheme="minorEastAsia"/>
      <w:color w:val="7C7C7C" w:themeColor="accent3" w:themeShade="BF"/>
      <w:szCs w:val="22"/>
      <w:lang w:val="en-US" w:bidi="ar-SA"/>
    </w:rPr>
    <w:tblPr>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57">
    <w:name w:val="Light Shading Accent 4"/>
    <w:basedOn w:val="12"/>
    <w:qFormat/>
    <w:uiPriority w:val="60"/>
    <w:pPr>
      <w:spacing w:after="0" w:line="240" w:lineRule="auto"/>
    </w:pPr>
    <w:rPr>
      <w:rFonts w:eastAsiaTheme="minorEastAsia"/>
      <w:color w:val="BF9000" w:themeColor="accent4" w:themeShade="BF"/>
      <w:szCs w:val="22"/>
      <w:lang w:val="en-US" w:bidi="ar-SA"/>
    </w:rPr>
    <w:tblPr>
      <w:tblBorders>
        <w:top w:val="single" w:color="FFC000" w:themeColor="accent4" w:sz="8" w:space="0"/>
        <w:bottom w:val="single" w:color="FFC000" w:themeColor="accent4" w:sz="8" w:space="0"/>
      </w:tblBorders>
    </w:tblPr>
    <w:tblStylePr w:type="fir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la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BF" w:themeFill="accent4" w:themeFillTint="3F"/>
      </w:tcPr>
    </w:tblStylePr>
    <w:tblStylePr w:type="band1Horz">
      <w:tblPr/>
      <w:tcPr>
        <w:tcBorders>
          <w:left w:val="nil"/>
          <w:right w:val="nil"/>
          <w:insideH w:val="nil"/>
          <w:insideV w:val="nil"/>
        </w:tcBorders>
        <w:shd w:val="clear" w:color="auto" w:fill="FFEFBF" w:themeFill="accent4" w:themeFillTint="3F"/>
      </w:tcPr>
    </w:tblStylePr>
  </w:style>
  <w:style w:type="table" w:styleId="58">
    <w:name w:val="Light Shading Accent 5"/>
    <w:basedOn w:val="12"/>
    <w:qFormat/>
    <w:uiPriority w:val="60"/>
    <w:pPr>
      <w:spacing w:after="0" w:line="240" w:lineRule="auto"/>
    </w:pPr>
    <w:rPr>
      <w:rFonts w:eastAsiaTheme="minorEastAsia"/>
      <w:color w:val="2E75B6" w:themeColor="accent5" w:themeShade="BF"/>
      <w:szCs w:val="22"/>
      <w:lang w:val="en-US" w:bidi="ar-SA"/>
    </w:rPr>
    <w:tblPr>
      <w:tblBorders>
        <w:top w:val="single" w:color="5B9BD5" w:themeColor="accent5" w:sz="8" w:space="0"/>
        <w:bottom w:val="single" w:color="5B9BD5" w:themeColor="accent5" w:sz="8" w:space="0"/>
      </w:tblBorders>
    </w:tblPr>
    <w:tblStylePr w:type="fir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la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59">
    <w:name w:val="Light Shading Accent 6"/>
    <w:basedOn w:val="12"/>
    <w:qFormat/>
    <w:uiPriority w:val="60"/>
    <w:pPr>
      <w:spacing w:after="0" w:line="240" w:lineRule="auto"/>
    </w:pPr>
    <w:rPr>
      <w:rFonts w:eastAsiaTheme="minorEastAsia"/>
      <w:color w:val="548235" w:themeColor="accent6" w:themeShade="BF"/>
      <w:szCs w:val="22"/>
      <w:lang w:val="en-US" w:bidi="ar-SA"/>
    </w:rPr>
    <w:tblPr>
      <w:tblBorders>
        <w:top w:val="single" w:color="70AD47" w:themeColor="accent6" w:sz="8" w:space="0"/>
        <w:bottom w:val="single" w:color="70AD47" w:themeColor="accent6" w:sz="8" w:space="0"/>
      </w:tblBorders>
    </w:tblPr>
    <w:tblStylePr w:type="firstRow">
      <w:pPr>
        <w:spacing w:before="0" w:after="0" w:line="24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lastRow">
      <w:pPr>
        <w:spacing w:before="0" w:after="0" w:line="24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60">
    <w:name w:val="Light List"/>
    <w:basedOn w:val="12"/>
    <w:qFormat/>
    <w:uiPriority w:val="61"/>
    <w:pPr>
      <w:spacing w:after="0" w:line="240" w:lineRule="auto"/>
    </w:pPr>
    <w:rPr>
      <w:rFonts w:eastAsiaTheme="minorEastAsia"/>
      <w:szCs w:val="22"/>
      <w:lang w:val="en-US" w:bidi="ar-SA"/>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61">
    <w:name w:val="Light List Accent 1"/>
    <w:basedOn w:val="12"/>
    <w:qFormat/>
    <w:uiPriority w:val="61"/>
    <w:pPr>
      <w:spacing w:after="0" w:line="240" w:lineRule="auto"/>
    </w:pPr>
    <w:rPr>
      <w:rFonts w:eastAsiaTheme="minorEastAsia"/>
      <w:szCs w:val="22"/>
      <w:lang w:val="en-US" w:bidi="ar-SA"/>
    </w:rPr>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472C4" w:themeFill="accent1"/>
      </w:tcPr>
    </w:tblStylePr>
    <w:tblStylePr w:type="lastRow">
      <w:pPr>
        <w:spacing w:before="0" w:after="0" w:line="240" w:lineRule="auto"/>
      </w:pPr>
      <w:rPr>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tcBorders>
      </w:tcPr>
    </w:tblStylePr>
    <w:tblStylePr w:type="firstCol">
      <w:rPr>
        <w:b/>
        <w:bCs/>
      </w:rPr>
    </w:tblStylePr>
    <w:tblStylePr w:type="lastCol">
      <w:rPr>
        <w:b/>
        <w:bCs/>
      </w:r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style>
  <w:style w:type="table" w:styleId="62">
    <w:name w:val="Light List Accent 2"/>
    <w:basedOn w:val="12"/>
    <w:qFormat/>
    <w:uiPriority w:val="61"/>
    <w:pPr>
      <w:spacing w:after="0" w:line="240" w:lineRule="auto"/>
    </w:pPr>
    <w:rPr>
      <w:rFonts w:eastAsiaTheme="minorEastAsia"/>
      <w:szCs w:val="22"/>
      <w:lang w:val="en-US" w:bidi="ar-SA"/>
    </w:rPr>
    <w:tblPr>
      <w:tblBorders>
        <w:top w:val="single" w:color="ED7D31" w:themeColor="accent2" w:sz="8" w:space="0"/>
        <w:left w:val="single" w:color="ED7D31" w:themeColor="accent2" w:sz="8" w:space="0"/>
        <w:bottom w:val="single" w:color="ED7D31" w:themeColor="accent2" w:sz="8" w:space="0"/>
        <w:right w:val="single" w:color="ED7D31"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ED7D31" w:themeFill="accent2"/>
      </w:tcPr>
    </w:tblStylePr>
    <w:tblStylePr w:type="lastRow">
      <w:pPr>
        <w:spacing w:before="0" w:after="0" w:line="240" w:lineRule="auto"/>
      </w:pPr>
      <w:rPr>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tcBorders>
      </w:tcPr>
    </w:tblStylePr>
    <w:tblStylePr w:type="firstCol">
      <w:rPr>
        <w:b/>
        <w:bCs/>
      </w:rPr>
    </w:tblStylePr>
    <w:tblStylePr w:type="lastCol">
      <w:rPr>
        <w:b/>
        <w:bCs/>
      </w:r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style>
  <w:style w:type="table" w:styleId="63">
    <w:name w:val="Light List Accent 3"/>
    <w:basedOn w:val="12"/>
    <w:qFormat/>
    <w:uiPriority w:val="61"/>
    <w:pPr>
      <w:spacing w:after="0" w:line="240" w:lineRule="auto"/>
    </w:pPr>
    <w:rPr>
      <w:rFonts w:eastAsiaTheme="minorEastAsia"/>
      <w:szCs w:val="22"/>
      <w:lang w:val="en-US" w:bidi="ar-SA"/>
    </w:rPr>
    <w:tblPr>
      <w:tblBorders>
        <w:top w:val="single" w:color="A5A5A5" w:themeColor="accent3" w:sz="8" w:space="0"/>
        <w:left w:val="single" w:color="A5A5A5" w:themeColor="accent3" w:sz="8" w:space="0"/>
        <w:bottom w:val="single" w:color="A5A5A5" w:themeColor="accent3" w:sz="8" w:space="0"/>
        <w:right w:val="single" w:color="A5A5A5"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A5A5A5" w:themeFill="accent3"/>
      </w:tcPr>
    </w:tblStylePr>
    <w:tblStylePr w:type="lastRow">
      <w:pPr>
        <w:spacing w:before="0" w:after="0" w:line="240" w:lineRule="auto"/>
      </w:pPr>
      <w:rPr>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tcBorders>
      </w:tcPr>
    </w:tblStylePr>
    <w:tblStylePr w:type="firstCol">
      <w:rPr>
        <w:b/>
        <w:bCs/>
      </w:rPr>
    </w:tblStylePr>
    <w:tblStylePr w:type="lastCol">
      <w:rPr>
        <w:b/>
        <w:bCs/>
      </w:r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style>
  <w:style w:type="table" w:styleId="64">
    <w:name w:val="Light List Accent 4"/>
    <w:basedOn w:val="12"/>
    <w:qFormat/>
    <w:uiPriority w:val="61"/>
    <w:pPr>
      <w:spacing w:after="0" w:line="240" w:lineRule="auto"/>
    </w:pPr>
    <w:rPr>
      <w:rFonts w:eastAsiaTheme="minorEastAsia"/>
      <w:szCs w:val="22"/>
      <w:lang w:val="en-US" w:bidi="ar-SA"/>
    </w:rPr>
    <w:tblPr>
      <w:tblBorders>
        <w:top w:val="single" w:color="FFC000" w:themeColor="accent4" w:sz="8" w:space="0"/>
        <w:left w:val="single" w:color="FFC000" w:themeColor="accent4" w:sz="8" w:space="0"/>
        <w:bottom w:val="single" w:color="FFC000" w:themeColor="accent4" w:sz="8" w:space="0"/>
        <w:right w:val="single" w:color="FFC000"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FC000" w:themeFill="accent4"/>
      </w:tcPr>
    </w:tblStylePr>
    <w:tblStylePr w:type="lastRow">
      <w:pPr>
        <w:spacing w:before="0" w:after="0" w:line="240" w:lineRule="auto"/>
      </w:pPr>
      <w:rPr>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tcBorders>
      </w:tcPr>
    </w:tblStylePr>
    <w:tblStylePr w:type="firstCol">
      <w:rPr>
        <w:b/>
        <w:bCs/>
      </w:rPr>
    </w:tblStylePr>
    <w:tblStylePr w:type="lastCol">
      <w:rPr>
        <w:b/>
        <w:bCs/>
      </w:r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style>
  <w:style w:type="table" w:styleId="65">
    <w:name w:val="Light List Accent 5"/>
    <w:basedOn w:val="12"/>
    <w:qFormat/>
    <w:uiPriority w:val="61"/>
    <w:pPr>
      <w:spacing w:after="0" w:line="240" w:lineRule="auto"/>
    </w:pPr>
    <w:rPr>
      <w:rFonts w:eastAsiaTheme="minorEastAsia"/>
      <w:szCs w:val="22"/>
      <w:lang w:val="en-US" w:bidi="ar-SA"/>
    </w:rPr>
    <w:tblPr>
      <w:tblBorders>
        <w:top w:val="single" w:color="5B9BD5" w:themeColor="accent5" w:sz="8" w:space="0"/>
        <w:left w:val="single" w:color="5B9BD5" w:themeColor="accent5" w:sz="8" w:space="0"/>
        <w:bottom w:val="single" w:color="5B9BD5" w:themeColor="accent5" w:sz="8" w:space="0"/>
        <w:right w:val="single" w:color="5B9BD5"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5B9BD5" w:themeFill="accent5"/>
      </w:tcPr>
    </w:tblStylePr>
    <w:tblStylePr w:type="lastRow">
      <w:pPr>
        <w:spacing w:before="0" w:after="0" w:line="240" w:lineRule="auto"/>
      </w:pPr>
      <w:rPr>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tcBorders>
      </w:tcPr>
    </w:tblStylePr>
    <w:tblStylePr w:type="firstCol">
      <w:rPr>
        <w:b/>
        <w:bCs/>
      </w:rPr>
    </w:tblStylePr>
    <w:tblStylePr w:type="lastCol">
      <w:rPr>
        <w:b/>
        <w:bCs/>
      </w:r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style>
  <w:style w:type="table" w:styleId="66">
    <w:name w:val="Light List Accent 6"/>
    <w:basedOn w:val="12"/>
    <w:qFormat/>
    <w:uiPriority w:val="61"/>
    <w:pPr>
      <w:spacing w:after="0" w:line="240" w:lineRule="auto"/>
    </w:pPr>
    <w:rPr>
      <w:rFonts w:eastAsiaTheme="minorEastAsia"/>
      <w:szCs w:val="22"/>
      <w:lang w:val="en-US" w:bidi="ar-SA"/>
    </w:rPr>
    <w:tblPr>
      <w:tblBorders>
        <w:top w:val="single" w:color="70AD47" w:themeColor="accent6" w:sz="8" w:space="0"/>
        <w:left w:val="single" w:color="70AD47" w:themeColor="accent6" w:sz="8" w:space="0"/>
        <w:bottom w:val="single" w:color="70AD47" w:themeColor="accent6" w:sz="8" w:space="0"/>
        <w:right w:val="single" w:color="70AD47"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70AD47" w:themeFill="accent6"/>
      </w:tcPr>
    </w:tblStylePr>
    <w:tblStylePr w:type="lastRow">
      <w:pPr>
        <w:spacing w:before="0" w:after="0" w:line="240" w:lineRule="auto"/>
      </w:pPr>
      <w:rPr>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tcBorders>
      </w:tcPr>
    </w:tblStylePr>
    <w:tblStylePr w:type="firstCol">
      <w:rPr>
        <w:b/>
        <w:bCs/>
      </w:rPr>
    </w:tblStylePr>
    <w:tblStylePr w:type="lastCol">
      <w:rPr>
        <w:b/>
        <w:bCs/>
      </w:r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style>
  <w:style w:type="table" w:styleId="67">
    <w:name w:val="Light Grid"/>
    <w:basedOn w:val="12"/>
    <w:qFormat/>
    <w:uiPriority w:val="62"/>
    <w:pPr>
      <w:spacing w:after="0" w:line="240" w:lineRule="auto"/>
    </w:pPr>
    <w:rPr>
      <w:rFonts w:eastAsiaTheme="minorEastAsia"/>
      <w:szCs w:val="22"/>
      <w:lang w:val="en-US" w:bidi="ar-SA"/>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68">
    <w:name w:val="Light Grid Accent 1"/>
    <w:basedOn w:val="12"/>
    <w:qFormat/>
    <w:uiPriority w:val="62"/>
    <w:pPr>
      <w:spacing w:after="0" w:line="240" w:lineRule="auto"/>
    </w:pPr>
    <w:rPr>
      <w:rFonts w:eastAsiaTheme="minorEastAsia"/>
      <w:szCs w:val="22"/>
      <w:lang w:val="en-US" w:bidi="ar-SA"/>
    </w:rPr>
    <w:tblPr>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18" w:space="0"/>
          <w:right w:val="single" w:color="4472C4"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shd w:val="clear" w:color="auto" w:fill="D0DCF0" w:themeFill="accent1" w:themeFillTint="3F"/>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sz="8" w:space="0"/>
        </w:tcBorders>
        <w:shd w:val="clear" w:color="auto" w:fill="D0DCF0" w:themeFill="accent1" w:themeFillTint="3F"/>
      </w:tcPr>
    </w:tblStylePr>
    <w:tblStylePr w:type="band2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sz="8" w:space="0"/>
        </w:tcBorders>
      </w:tcPr>
    </w:tblStylePr>
  </w:style>
  <w:style w:type="table" w:styleId="69">
    <w:name w:val="Light Grid Accent 2"/>
    <w:basedOn w:val="12"/>
    <w:qFormat/>
    <w:uiPriority w:val="62"/>
    <w:pPr>
      <w:spacing w:after="0" w:line="240" w:lineRule="auto"/>
    </w:pPr>
    <w:rPr>
      <w:rFonts w:eastAsiaTheme="minorEastAsia"/>
      <w:szCs w:val="22"/>
      <w:lang w:val="en-US" w:bidi="ar-SA"/>
    </w:rPr>
    <w:tblPr>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18" w:space="0"/>
          <w:right w:val="single" w:color="ED7D31"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shd w:val="clear" w:color="auto" w:fill="FADECC" w:themeFill="accent2" w:themeFillTint="3F"/>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sz="8" w:space="0"/>
        </w:tcBorders>
        <w:shd w:val="clear" w:color="auto" w:fill="FADECC" w:themeFill="accent2" w:themeFillTint="3F"/>
      </w:tcPr>
    </w:tblStylePr>
    <w:tblStylePr w:type="band2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sz="8" w:space="0"/>
        </w:tcBorders>
      </w:tcPr>
    </w:tblStylePr>
  </w:style>
  <w:style w:type="table" w:styleId="70">
    <w:name w:val="Light Grid Accent 3"/>
    <w:basedOn w:val="12"/>
    <w:qFormat/>
    <w:uiPriority w:val="62"/>
    <w:pPr>
      <w:spacing w:after="0" w:line="240" w:lineRule="auto"/>
    </w:pPr>
    <w:rPr>
      <w:rFonts w:eastAsiaTheme="minorEastAsia"/>
      <w:szCs w:val="22"/>
      <w:lang w:val="en-US" w:bidi="ar-SA"/>
    </w:rPr>
    <w:tblPr>
      <w:tblBorders>
        <w:top w:val="single" w:color="A5A5A5" w:themeColor="accent3" w:sz="8" w:space="0"/>
        <w:left w:val="single" w:color="A5A5A5" w:themeColor="accent3" w:sz="8" w:space="0"/>
        <w:bottom w:val="single" w:color="A5A5A5" w:themeColor="accent3" w:sz="8" w:space="0"/>
        <w:right w:val="single" w:color="A5A5A5" w:themeColor="accent3" w:sz="8" w:space="0"/>
        <w:insideH w:val="single" w:color="A5A5A5" w:themeColor="accent3" w:sz="8" w:space="0"/>
        <w:insideV w:val="single" w:color="A5A5A5"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A5A5A5" w:themeColor="accent3" w:sz="8" w:space="0"/>
          <w:left w:val="single" w:color="A5A5A5" w:themeColor="accent3" w:sz="8" w:space="0"/>
          <w:bottom w:val="single" w:color="A5A5A5" w:themeColor="accent3" w:sz="18" w:space="0"/>
          <w:right w:val="single" w:color="A5A5A5"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shd w:val="clear" w:color="auto" w:fill="E8E8E8" w:themeFill="accent3" w:themeFillTint="3F"/>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insideV w:val="single" w:sz="8" w:space="0"/>
        </w:tcBorders>
        <w:shd w:val="clear" w:color="auto" w:fill="E8E8E8" w:themeFill="accent3" w:themeFillTint="3F"/>
      </w:tcPr>
    </w:tblStylePr>
    <w:tblStylePr w:type="band2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insideV w:val="single" w:sz="8" w:space="0"/>
        </w:tcBorders>
      </w:tcPr>
    </w:tblStylePr>
  </w:style>
  <w:style w:type="table" w:styleId="71">
    <w:name w:val="Light Grid Accent 4"/>
    <w:basedOn w:val="12"/>
    <w:qFormat/>
    <w:uiPriority w:val="62"/>
    <w:pPr>
      <w:spacing w:after="0" w:line="240" w:lineRule="auto"/>
    </w:pPr>
    <w:rPr>
      <w:rFonts w:eastAsiaTheme="minorEastAsia"/>
      <w:szCs w:val="22"/>
      <w:lang w:val="en-US" w:bidi="ar-SA"/>
    </w:rPr>
    <w:tblPr>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18" w:space="0"/>
          <w:right w:val="single" w:color="FFC000"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shd w:val="clear" w:color="auto" w:fill="FFEFBF" w:themeFill="accent4" w:themeFillTint="3F"/>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sz="8" w:space="0"/>
        </w:tcBorders>
        <w:shd w:val="clear" w:color="auto" w:fill="FFEFBF" w:themeFill="accent4" w:themeFillTint="3F"/>
      </w:tcPr>
    </w:tblStylePr>
    <w:tblStylePr w:type="band2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sz="8" w:space="0"/>
        </w:tcBorders>
      </w:tcPr>
    </w:tblStylePr>
  </w:style>
  <w:style w:type="table" w:styleId="72">
    <w:name w:val="Light Grid Accent 5"/>
    <w:basedOn w:val="12"/>
    <w:qFormat/>
    <w:uiPriority w:val="62"/>
    <w:pPr>
      <w:spacing w:after="0" w:line="240" w:lineRule="auto"/>
    </w:pPr>
    <w:rPr>
      <w:rFonts w:eastAsiaTheme="minorEastAsia"/>
      <w:szCs w:val="22"/>
      <w:lang w:val="en-US" w:bidi="ar-SA"/>
    </w:rPr>
    <w:tblPr>
      <w:tblBorders>
        <w:top w:val="single" w:color="5B9BD5" w:themeColor="accent5" w:sz="8" w:space="0"/>
        <w:left w:val="single" w:color="5B9BD5" w:themeColor="accent5" w:sz="8" w:space="0"/>
        <w:bottom w:val="single" w:color="5B9BD5" w:themeColor="accent5" w:sz="8" w:space="0"/>
        <w:right w:val="single" w:color="5B9BD5" w:themeColor="accent5" w:sz="8" w:space="0"/>
        <w:insideH w:val="single" w:color="5B9BD5" w:themeColor="accent5" w:sz="8" w:space="0"/>
        <w:insideV w:val="single" w:color="5B9BD5"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5B9BD5" w:themeColor="accent5" w:sz="8" w:space="0"/>
          <w:left w:val="single" w:color="5B9BD5" w:themeColor="accent5" w:sz="8" w:space="0"/>
          <w:bottom w:val="single" w:color="5B9BD5" w:themeColor="accent5" w:sz="18" w:space="0"/>
          <w:right w:val="single" w:color="5B9BD5"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shd w:val="clear" w:color="auto" w:fill="D6E6F4" w:themeFill="accent5" w:themeFillTint="3F"/>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insideV w:val="single" w:sz="8" w:space="0"/>
        </w:tcBorders>
        <w:shd w:val="clear" w:color="auto" w:fill="D6E6F4" w:themeFill="accent5" w:themeFillTint="3F"/>
      </w:tcPr>
    </w:tblStylePr>
    <w:tblStylePr w:type="band2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insideV w:val="single" w:sz="8" w:space="0"/>
        </w:tcBorders>
      </w:tcPr>
    </w:tblStylePr>
  </w:style>
  <w:style w:type="table" w:styleId="73">
    <w:name w:val="Light Grid Accent 6"/>
    <w:basedOn w:val="12"/>
    <w:qFormat/>
    <w:uiPriority w:val="62"/>
    <w:pPr>
      <w:spacing w:after="0" w:line="240" w:lineRule="auto"/>
    </w:pPr>
    <w:rPr>
      <w:rFonts w:eastAsiaTheme="minorEastAsia"/>
      <w:szCs w:val="22"/>
      <w:lang w:val="en-US" w:bidi="ar-SA"/>
    </w:rPr>
    <w:tblPr>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18" w:space="0"/>
          <w:right w:val="single" w:color="70AD47"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shd w:val="clear" w:color="auto" w:fill="DBEBD0" w:themeFill="accent6" w:themeFillTint="3F"/>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sz="8" w:space="0"/>
        </w:tcBorders>
        <w:shd w:val="clear" w:color="auto" w:fill="DBEBD0" w:themeFill="accent6" w:themeFillTint="3F"/>
      </w:tcPr>
    </w:tblStylePr>
    <w:tblStylePr w:type="band2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sz="8" w:space="0"/>
        </w:tcBorders>
      </w:tcPr>
    </w:tblStylePr>
  </w:style>
  <w:style w:type="table" w:styleId="74">
    <w:name w:val="Medium Shading 1"/>
    <w:basedOn w:val="12"/>
    <w:qFormat/>
    <w:uiPriority w:val="63"/>
    <w:pPr>
      <w:spacing w:after="0" w:line="240" w:lineRule="auto"/>
    </w:pPr>
    <w:rPr>
      <w:rFonts w:eastAsiaTheme="minorEastAsia"/>
      <w:szCs w:val="22"/>
      <w:lang w:val="en-US" w:bidi="ar-SA"/>
    </w:r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75">
    <w:name w:val="Medium Shading 1 Accent 1"/>
    <w:basedOn w:val="12"/>
    <w:qFormat/>
    <w:uiPriority w:val="63"/>
    <w:pPr>
      <w:spacing w:after="0" w:line="240" w:lineRule="auto"/>
    </w:pPr>
    <w:rPr>
      <w:rFonts w:eastAsiaTheme="minorEastAsia"/>
      <w:szCs w:val="22"/>
      <w:lang w:val="en-US" w:bidi="ar-SA"/>
    </w:rPr>
    <w:tblPr>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shd w:val="clear" w:color="auto" w:fill="4472C4" w:themeFill="accent1"/>
      </w:tcPr>
    </w:tblStylePr>
    <w:tblStylePr w:type="lastRow">
      <w:pPr>
        <w:spacing w:before="0" w:after="0" w:line="240" w:lineRule="auto"/>
      </w:pPr>
      <w:rPr>
        <w:b/>
        <w:bCs/>
      </w:rPr>
      <w:tblPr/>
      <w:tcPr>
        <w:tcBorders>
          <w:top w:val="double" w:color="7295D2" w:themeColor="accent1" w:themeTint="BF" w:sz="6"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0DCF0" w:themeFill="accent1" w:themeFillTint="3F"/>
      </w:tcPr>
    </w:tblStylePr>
    <w:tblStylePr w:type="band1Horz">
      <w:tblPr/>
      <w:tcPr>
        <w:tcBorders>
          <w:insideH w:val="nil"/>
          <w:insideV w:val="nil"/>
        </w:tcBorders>
        <w:shd w:val="clear" w:color="auto" w:fill="D0DCF0" w:themeFill="accent1" w:themeFillTint="3F"/>
      </w:tcPr>
    </w:tblStylePr>
    <w:tblStylePr w:type="band2Horz">
      <w:tblPr/>
      <w:tcPr>
        <w:tcBorders>
          <w:insideH w:val="nil"/>
          <w:insideV w:val="nil"/>
        </w:tcBorders>
      </w:tcPr>
    </w:tblStylePr>
  </w:style>
  <w:style w:type="table" w:styleId="76">
    <w:name w:val="Medium Shading 1 Accent 2"/>
    <w:basedOn w:val="12"/>
    <w:qFormat/>
    <w:uiPriority w:val="63"/>
    <w:pPr>
      <w:spacing w:after="0" w:line="240" w:lineRule="auto"/>
    </w:pPr>
    <w:rPr>
      <w:rFonts w:eastAsiaTheme="minorEastAsia"/>
      <w:szCs w:val="22"/>
      <w:lang w:val="en-US" w:bidi="ar-SA"/>
    </w:rPr>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nil"/>
          <w:insideV w:val="nil"/>
        </w:tcBorders>
        <w:shd w:val="clear" w:color="auto" w:fill="ED7D31" w:themeFill="accent2"/>
      </w:tcPr>
    </w:tblStylePr>
    <w:tblStylePr w:type="lastRow">
      <w:pPr>
        <w:spacing w:before="0" w:after="0" w:line="240" w:lineRule="auto"/>
      </w:pPr>
      <w:rPr>
        <w:b/>
        <w:bCs/>
      </w:rPr>
      <w:tblPr/>
      <w:tcPr>
        <w:tcBorders>
          <w:top w:val="double" w:color="F19D64" w:themeColor="accent2" w:themeTint="BF" w:sz="6" w:space="0"/>
          <w:left w:val="single" w:color="F19D64" w:themeColor="accent2" w:themeTint="BF" w:sz="8" w:space="0"/>
          <w:bottom w:val="single" w:color="F19D64" w:themeColor="accent2" w:themeTint="BF" w:sz="8" w:space="0"/>
          <w:right w:val="single" w:color="F19D64"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ADECC" w:themeFill="accent2" w:themeFillTint="3F"/>
      </w:tcPr>
    </w:tblStylePr>
    <w:tblStylePr w:type="band1Horz">
      <w:tblPr/>
      <w:tcPr>
        <w:tcBorders>
          <w:insideH w:val="nil"/>
          <w:insideV w:val="nil"/>
        </w:tcBorders>
        <w:shd w:val="clear" w:color="auto" w:fill="FADECC" w:themeFill="accent2" w:themeFillTint="3F"/>
      </w:tcPr>
    </w:tblStylePr>
    <w:tblStylePr w:type="band2Horz">
      <w:tblPr/>
      <w:tcPr>
        <w:tcBorders>
          <w:insideH w:val="nil"/>
          <w:insideV w:val="nil"/>
        </w:tcBorders>
      </w:tcPr>
    </w:tblStylePr>
  </w:style>
  <w:style w:type="table" w:styleId="77">
    <w:name w:val="Medium Shading 1 Accent 3"/>
    <w:basedOn w:val="12"/>
    <w:qFormat/>
    <w:uiPriority w:val="63"/>
    <w:pPr>
      <w:spacing w:after="0" w:line="240" w:lineRule="auto"/>
    </w:pPr>
    <w:rPr>
      <w:rFonts w:eastAsiaTheme="minorEastAsia"/>
      <w:szCs w:val="22"/>
      <w:lang w:val="en-US" w:bidi="ar-SA"/>
    </w:rPr>
    <w:tblPr>
      <w:tbl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single" w:color="BBBBBB"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nil"/>
          <w:insideV w:val="nil"/>
        </w:tcBorders>
        <w:shd w:val="clear" w:color="auto" w:fill="A5A5A5" w:themeFill="accent3"/>
      </w:tcPr>
    </w:tblStylePr>
    <w:tblStylePr w:type="lastRow">
      <w:pPr>
        <w:spacing w:before="0" w:after="0" w:line="240" w:lineRule="auto"/>
      </w:pPr>
      <w:rPr>
        <w:b/>
        <w:bCs/>
      </w:rPr>
      <w:tblPr/>
      <w:tcPr>
        <w:tcBorders>
          <w:top w:val="double" w:color="BBBBBB" w:themeColor="accent3" w:themeTint="BF" w:sz="6" w:space="0"/>
          <w:left w:val="single" w:color="BBBBBB" w:themeColor="accent3" w:themeTint="BF" w:sz="8" w:space="0"/>
          <w:bottom w:val="single" w:color="BBBBBB" w:themeColor="accent3" w:themeTint="BF" w:sz="8" w:space="0"/>
          <w:right w:val="single" w:color="BBBBBB"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78">
    <w:name w:val="Medium Shading 1 Accent 4"/>
    <w:basedOn w:val="12"/>
    <w:qFormat/>
    <w:uiPriority w:val="63"/>
    <w:pPr>
      <w:spacing w:after="0" w:line="240" w:lineRule="auto"/>
    </w:pPr>
    <w:rPr>
      <w:rFonts w:eastAsiaTheme="minorEastAsia"/>
      <w:szCs w:val="22"/>
      <w:lang w:val="en-US" w:bidi="ar-SA"/>
    </w:rPr>
    <w:tblPr>
      <w:tbl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single" w:color="FFCF3F"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nil"/>
          <w:insideV w:val="nil"/>
        </w:tcBorders>
        <w:shd w:val="clear" w:color="auto" w:fill="FFC000" w:themeFill="accent4"/>
      </w:tcPr>
    </w:tblStylePr>
    <w:tblStylePr w:type="lastRow">
      <w:pPr>
        <w:spacing w:before="0" w:after="0" w:line="240" w:lineRule="auto"/>
      </w:pPr>
      <w:rPr>
        <w:b/>
        <w:bCs/>
      </w:rPr>
      <w:tblPr/>
      <w:tcPr>
        <w:tcBorders>
          <w:top w:val="double" w:color="FFCF3F" w:themeColor="accent4" w:themeTint="BF" w:sz="6" w:space="0"/>
          <w:left w:val="single" w:color="FFCF3F" w:themeColor="accent4" w:themeTint="BF" w:sz="8" w:space="0"/>
          <w:bottom w:val="single" w:color="FFCF3F" w:themeColor="accent4" w:themeTint="BF" w:sz="8" w:space="0"/>
          <w:right w:val="single" w:color="FFCF3F"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FFEFBF" w:themeFill="accent4" w:themeFillTint="3F"/>
      </w:tcPr>
    </w:tblStylePr>
    <w:tblStylePr w:type="band1Horz">
      <w:tblPr/>
      <w:tcPr>
        <w:tcBorders>
          <w:insideH w:val="nil"/>
          <w:insideV w:val="nil"/>
        </w:tcBorders>
        <w:shd w:val="clear" w:color="auto" w:fill="FFEFBF" w:themeFill="accent4" w:themeFillTint="3F"/>
      </w:tcPr>
    </w:tblStylePr>
    <w:tblStylePr w:type="band2Horz">
      <w:tblPr/>
      <w:tcPr>
        <w:tcBorders>
          <w:insideH w:val="nil"/>
          <w:insideV w:val="nil"/>
        </w:tcBorders>
      </w:tcPr>
    </w:tblStylePr>
  </w:style>
  <w:style w:type="table" w:styleId="79">
    <w:name w:val="Medium Shading 1 Accent 5"/>
    <w:basedOn w:val="12"/>
    <w:qFormat/>
    <w:uiPriority w:val="63"/>
    <w:pPr>
      <w:spacing w:after="0" w:line="240" w:lineRule="auto"/>
    </w:pPr>
    <w:rPr>
      <w:rFonts w:eastAsiaTheme="minorEastAsia"/>
      <w:szCs w:val="22"/>
      <w:lang w:val="en-US" w:bidi="ar-SA"/>
    </w:rPr>
    <w:tblPr>
      <w:tbl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single" w:color="84B4DF"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nil"/>
          <w:insideV w:val="nil"/>
        </w:tcBorders>
        <w:shd w:val="clear" w:color="auto" w:fill="5B9BD5" w:themeFill="accent5"/>
      </w:tcPr>
    </w:tblStylePr>
    <w:tblStylePr w:type="lastRow">
      <w:pPr>
        <w:spacing w:before="0" w:after="0" w:line="240" w:lineRule="auto"/>
      </w:pPr>
      <w:rPr>
        <w:b/>
        <w:bCs/>
      </w:rPr>
      <w:tblPr/>
      <w:tcPr>
        <w:tcBorders>
          <w:top w:val="double" w:color="84B4DF" w:themeColor="accent5" w:themeTint="BF" w:sz="6" w:space="0"/>
          <w:left w:val="single" w:color="84B4DF" w:themeColor="accent5" w:themeTint="BF" w:sz="8" w:space="0"/>
          <w:bottom w:val="single" w:color="84B4DF" w:themeColor="accent5" w:themeTint="BF" w:sz="8" w:space="0"/>
          <w:right w:val="single" w:color="84B4DF"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80">
    <w:name w:val="Medium Shading 1 Accent 6"/>
    <w:basedOn w:val="12"/>
    <w:qFormat/>
    <w:uiPriority w:val="63"/>
    <w:pPr>
      <w:spacing w:after="0" w:line="240" w:lineRule="auto"/>
    </w:pPr>
    <w:rPr>
      <w:rFonts w:eastAsiaTheme="minorEastAsia"/>
      <w:szCs w:val="22"/>
      <w:lang w:val="en-US" w:bidi="ar-SA"/>
    </w:rPr>
    <w:tblPr>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shd w:val="clear" w:color="auto" w:fill="70AD47" w:themeFill="accent6"/>
      </w:tcPr>
    </w:tblStylePr>
    <w:tblStylePr w:type="lastRow">
      <w:pPr>
        <w:spacing w:before="0" w:after="0" w:line="240" w:lineRule="auto"/>
      </w:pPr>
      <w:rPr>
        <w:b/>
        <w:bCs/>
      </w:rPr>
      <w:tblPr/>
      <w:tcPr>
        <w:tcBorders>
          <w:top w:val="double" w:color="93C571" w:themeColor="accent6" w:themeTint="BF" w:sz="6"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81">
    <w:name w:val="Medium Shading 2"/>
    <w:basedOn w:val="12"/>
    <w:qFormat/>
    <w:uiPriority w:val="64"/>
    <w:pPr>
      <w:spacing w:after="0" w:line="240" w:lineRule="auto"/>
    </w:pPr>
    <w:rPr>
      <w:rFonts w:eastAsiaTheme="minorEastAsia"/>
      <w:szCs w:val="22"/>
      <w:lang w:val="en-US" w:bidi="ar-SA"/>
    </w:r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2">
    <w:name w:val="Medium Shading 2 Accent 1"/>
    <w:basedOn w:val="12"/>
    <w:uiPriority w:val="64"/>
    <w:pPr>
      <w:spacing w:after="0" w:line="240" w:lineRule="auto"/>
    </w:pPr>
    <w:rPr>
      <w:rFonts w:eastAsiaTheme="minorEastAsia"/>
      <w:szCs w:val="22"/>
      <w:lang w:val="en-US" w:bidi="ar-SA"/>
    </w:r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472C4"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3">
    <w:name w:val="Medium Shading 2 Accent 2"/>
    <w:basedOn w:val="12"/>
    <w:qFormat/>
    <w:uiPriority w:val="64"/>
    <w:pPr>
      <w:spacing w:after="0" w:line="240" w:lineRule="auto"/>
    </w:pPr>
    <w:rPr>
      <w:rFonts w:eastAsiaTheme="minorEastAsia"/>
      <w:szCs w:val="22"/>
      <w:lang w:val="en-US" w:bidi="ar-SA"/>
    </w:r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ED7D31"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4">
    <w:name w:val="Medium Shading 2 Accent 3"/>
    <w:basedOn w:val="12"/>
    <w:qFormat/>
    <w:uiPriority w:val="64"/>
    <w:pPr>
      <w:spacing w:after="0" w:line="240" w:lineRule="auto"/>
    </w:pPr>
    <w:rPr>
      <w:rFonts w:eastAsiaTheme="minorEastAsia"/>
      <w:szCs w:val="22"/>
      <w:lang w:val="en-US" w:bidi="ar-SA"/>
    </w:r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A5A5A5"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5">
    <w:name w:val="Medium Shading 2 Accent 4"/>
    <w:basedOn w:val="12"/>
    <w:qFormat/>
    <w:uiPriority w:val="64"/>
    <w:pPr>
      <w:spacing w:after="0" w:line="240" w:lineRule="auto"/>
    </w:pPr>
    <w:rPr>
      <w:rFonts w:eastAsiaTheme="minorEastAsia"/>
      <w:szCs w:val="22"/>
      <w:lang w:val="en-US" w:bidi="ar-SA"/>
    </w:r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FC000"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6">
    <w:name w:val="Medium Shading 2 Accent 5"/>
    <w:basedOn w:val="12"/>
    <w:qFormat/>
    <w:uiPriority w:val="64"/>
    <w:pPr>
      <w:spacing w:after="0" w:line="240" w:lineRule="auto"/>
    </w:pPr>
    <w:rPr>
      <w:rFonts w:eastAsiaTheme="minorEastAsia"/>
      <w:szCs w:val="22"/>
      <w:lang w:val="en-US" w:bidi="ar-SA"/>
    </w:r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5B9BD5"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7">
    <w:name w:val="Medium Shading 2 Accent 6"/>
    <w:basedOn w:val="12"/>
    <w:qFormat/>
    <w:uiPriority w:val="64"/>
    <w:pPr>
      <w:spacing w:after="0" w:line="240" w:lineRule="auto"/>
    </w:pPr>
    <w:rPr>
      <w:rFonts w:eastAsiaTheme="minorEastAsia"/>
      <w:szCs w:val="22"/>
      <w:lang w:val="en-US" w:bidi="ar-SA"/>
    </w:r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70AD47"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8">
    <w:name w:val="Medium List 1"/>
    <w:basedOn w:val="12"/>
    <w:qFormat/>
    <w:uiPriority w:val="65"/>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89">
    <w:name w:val="Medium List 1 Accent 1"/>
    <w:basedOn w:val="12"/>
    <w:qFormat/>
    <w:uiPriority w:val="65"/>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4472C4" w:themeColor="accent1" w:sz="8" w:space="0"/>
        <w:bottom w:val="single" w:color="4472C4" w:themeColor="accent1" w:sz="8" w:space="0"/>
      </w:tblBorders>
    </w:tblPr>
    <w:tblStylePr w:type="firstRow">
      <w:rPr>
        <w:rFonts w:asciiTheme="majorHAnsi" w:hAnsiTheme="majorHAnsi" w:eastAsiaTheme="majorEastAsia" w:cstheme="majorBidi"/>
      </w:rPr>
      <w:tblPr/>
      <w:tcPr>
        <w:tcBorders>
          <w:top w:val="nil"/>
          <w:bottom w:val="single" w:color="4472C4" w:themeColor="accent1" w:sz="8" w:space="0"/>
        </w:tcBorders>
      </w:tcPr>
    </w:tblStylePr>
    <w:tblStylePr w:type="lastRow">
      <w:rPr>
        <w:b/>
        <w:bCs/>
        <w:color w:val="44546A" w:themeColor="text2"/>
        <w14:textFill>
          <w14:solidFill>
            <w14:schemeClr w14:val="tx2"/>
          </w14:solidFill>
        </w14:textFill>
      </w:rPr>
      <w:tblPr/>
      <w:tcPr>
        <w:tcBorders>
          <w:top w:val="single" w:color="4472C4" w:themeColor="accent1" w:sz="8" w:space="0"/>
          <w:bottom w:val="single" w:color="4472C4" w:themeColor="accent1" w:sz="8" w:space="0"/>
        </w:tcBorders>
      </w:tcPr>
    </w:tblStylePr>
    <w:tblStylePr w:type="firstCol">
      <w:rPr>
        <w:b/>
        <w:bCs/>
      </w:rPr>
    </w:tblStylePr>
    <w:tblStylePr w:type="lastCol">
      <w:rPr>
        <w:b/>
        <w:bCs/>
      </w:rPr>
      <w:tblPr/>
      <w:tcPr>
        <w:tcBorders>
          <w:top w:val="single" w:color="4472C4" w:themeColor="accent1" w:sz="8" w:space="0"/>
          <w:bottom w:val="single" w:color="4472C4" w:themeColor="accent1" w:sz="8" w:space="0"/>
        </w:tcBorders>
      </w:tcPr>
    </w:tblStylePr>
    <w:tblStylePr w:type="band1Vert">
      <w:tblPr/>
      <w:tcPr>
        <w:shd w:val="clear" w:color="auto" w:fill="D0DCF0" w:themeFill="accent1" w:themeFillTint="3F"/>
      </w:tcPr>
    </w:tblStylePr>
    <w:tblStylePr w:type="band1Horz">
      <w:tblPr/>
      <w:tcPr>
        <w:shd w:val="clear" w:color="auto" w:fill="D0DCF0" w:themeFill="accent1" w:themeFillTint="3F"/>
      </w:tcPr>
    </w:tblStylePr>
  </w:style>
  <w:style w:type="table" w:styleId="90">
    <w:name w:val="Medium List 1 Accent 2"/>
    <w:basedOn w:val="12"/>
    <w:qFormat/>
    <w:uiPriority w:val="65"/>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ED7D31" w:themeColor="accent2" w:sz="8" w:space="0"/>
        <w:bottom w:val="single" w:color="ED7D31" w:themeColor="accent2" w:sz="8" w:space="0"/>
      </w:tblBorders>
    </w:tblPr>
    <w:tblStylePr w:type="firstRow">
      <w:rPr>
        <w:rFonts w:asciiTheme="majorHAnsi" w:hAnsiTheme="majorHAnsi" w:eastAsiaTheme="majorEastAsia" w:cstheme="majorBidi"/>
      </w:rPr>
      <w:tblPr/>
      <w:tcPr>
        <w:tcBorders>
          <w:top w:val="nil"/>
          <w:bottom w:val="single" w:color="ED7D31" w:themeColor="accent2" w:sz="8" w:space="0"/>
        </w:tcBorders>
      </w:tcPr>
    </w:tblStylePr>
    <w:tblStylePr w:type="lastRow">
      <w:rPr>
        <w:b/>
        <w:bCs/>
        <w:color w:val="44546A" w:themeColor="text2"/>
        <w14:textFill>
          <w14:solidFill>
            <w14:schemeClr w14:val="tx2"/>
          </w14:solidFill>
        </w14:textFill>
      </w:rPr>
      <w:tblPr/>
      <w:tcPr>
        <w:tcBorders>
          <w:top w:val="single" w:color="ED7D31" w:themeColor="accent2" w:sz="8" w:space="0"/>
          <w:bottom w:val="single" w:color="ED7D31" w:themeColor="accent2" w:sz="8" w:space="0"/>
        </w:tcBorders>
      </w:tcPr>
    </w:tblStylePr>
    <w:tblStylePr w:type="firstCol">
      <w:rPr>
        <w:b/>
        <w:bCs/>
      </w:rPr>
    </w:tblStylePr>
    <w:tblStylePr w:type="lastCol">
      <w:rPr>
        <w:b/>
        <w:bCs/>
      </w:rPr>
      <w:tblPr/>
      <w:tcPr>
        <w:tcBorders>
          <w:top w:val="single" w:color="ED7D31" w:themeColor="accent2" w:sz="8" w:space="0"/>
          <w:bottom w:val="single" w:color="ED7D31" w:themeColor="accent2" w:sz="8" w:space="0"/>
        </w:tcBorders>
      </w:tcPr>
    </w:tblStylePr>
    <w:tblStylePr w:type="band1Vert">
      <w:tblPr/>
      <w:tcPr>
        <w:shd w:val="clear" w:color="auto" w:fill="FADECC" w:themeFill="accent2" w:themeFillTint="3F"/>
      </w:tcPr>
    </w:tblStylePr>
    <w:tblStylePr w:type="band1Horz">
      <w:tblPr/>
      <w:tcPr>
        <w:shd w:val="clear" w:color="auto" w:fill="FADECC" w:themeFill="accent2" w:themeFillTint="3F"/>
      </w:tcPr>
    </w:tblStylePr>
  </w:style>
  <w:style w:type="table" w:styleId="91">
    <w:name w:val="Medium List 1 Accent 3"/>
    <w:basedOn w:val="12"/>
    <w:qFormat/>
    <w:uiPriority w:val="65"/>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A5A5A5" w:themeColor="accent3" w:sz="8" w:space="0"/>
        <w:bottom w:val="single" w:color="A5A5A5" w:themeColor="accent3" w:sz="8" w:space="0"/>
      </w:tblBorders>
    </w:tblPr>
    <w:tblStylePr w:type="firstRow">
      <w:rPr>
        <w:rFonts w:asciiTheme="majorHAnsi" w:hAnsiTheme="majorHAnsi" w:eastAsiaTheme="majorEastAsia" w:cstheme="majorBidi"/>
      </w:rPr>
      <w:tblPr/>
      <w:tcPr>
        <w:tcBorders>
          <w:top w:val="nil"/>
          <w:bottom w:val="single" w:color="A5A5A5" w:themeColor="accent3" w:sz="8" w:space="0"/>
        </w:tcBorders>
      </w:tcPr>
    </w:tblStylePr>
    <w:tblStylePr w:type="lastRow">
      <w:rPr>
        <w:b/>
        <w:bCs/>
        <w:color w:val="44546A" w:themeColor="text2"/>
        <w14:textFill>
          <w14:solidFill>
            <w14:schemeClr w14:val="tx2"/>
          </w14:solidFill>
        </w14:textFill>
      </w:rPr>
      <w:tblPr/>
      <w:tcPr>
        <w:tcBorders>
          <w:top w:val="single" w:color="A5A5A5" w:themeColor="accent3" w:sz="8" w:space="0"/>
          <w:bottom w:val="single" w:color="A5A5A5" w:themeColor="accent3" w:sz="8" w:space="0"/>
        </w:tcBorders>
      </w:tcPr>
    </w:tblStylePr>
    <w:tblStylePr w:type="firstCol">
      <w:rPr>
        <w:b/>
        <w:bCs/>
      </w:rPr>
    </w:tblStylePr>
    <w:tblStylePr w:type="lastCol">
      <w:rPr>
        <w:b/>
        <w:bCs/>
      </w:rPr>
      <w:tblPr/>
      <w:tcPr>
        <w:tcBorders>
          <w:top w:val="single" w:color="A5A5A5" w:themeColor="accent3" w:sz="8" w:space="0"/>
          <w:bottom w:val="single" w:color="A5A5A5" w:themeColor="accent3" w:sz="8" w:space="0"/>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92">
    <w:name w:val="Medium List 1 Accent 4"/>
    <w:basedOn w:val="12"/>
    <w:qFormat/>
    <w:uiPriority w:val="65"/>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FFC000" w:themeColor="accent4" w:sz="8" w:space="0"/>
        <w:bottom w:val="single" w:color="FFC000" w:themeColor="accent4" w:sz="8" w:space="0"/>
      </w:tblBorders>
    </w:tblPr>
    <w:tblStylePr w:type="firstRow">
      <w:rPr>
        <w:rFonts w:asciiTheme="majorHAnsi" w:hAnsiTheme="majorHAnsi" w:eastAsiaTheme="majorEastAsia" w:cstheme="majorBidi"/>
      </w:rPr>
      <w:tblPr/>
      <w:tcPr>
        <w:tcBorders>
          <w:top w:val="nil"/>
          <w:bottom w:val="single" w:color="FFC000" w:themeColor="accent4" w:sz="8" w:space="0"/>
        </w:tcBorders>
      </w:tcPr>
    </w:tblStylePr>
    <w:tblStylePr w:type="lastRow">
      <w:rPr>
        <w:b/>
        <w:bCs/>
        <w:color w:val="44546A" w:themeColor="text2"/>
        <w14:textFill>
          <w14:solidFill>
            <w14:schemeClr w14:val="tx2"/>
          </w14:solidFill>
        </w14:textFill>
      </w:rPr>
      <w:tblPr/>
      <w:tcPr>
        <w:tcBorders>
          <w:top w:val="single" w:color="FFC000" w:themeColor="accent4" w:sz="8" w:space="0"/>
          <w:bottom w:val="single" w:color="FFC000" w:themeColor="accent4" w:sz="8" w:space="0"/>
        </w:tcBorders>
      </w:tcPr>
    </w:tblStylePr>
    <w:tblStylePr w:type="firstCol">
      <w:rPr>
        <w:b/>
        <w:bCs/>
      </w:rPr>
    </w:tblStylePr>
    <w:tblStylePr w:type="lastCol">
      <w:rPr>
        <w:b/>
        <w:bCs/>
      </w:rPr>
      <w:tblPr/>
      <w:tcPr>
        <w:tcBorders>
          <w:top w:val="single" w:color="FFC000" w:themeColor="accent4" w:sz="8" w:space="0"/>
          <w:bottom w:val="single" w:color="FFC000" w:themeColor="accent4" w:sz="8" w:space="0"/>
        </w:tcBorders>
      </w:tcPr>
    </w:tblStylePr>
    <w:tblStylePr w:type="band1Vert">
      <w:tblPr/>
      <w:tcPr>
        <w:shd w:val="clear" w:color="auto" w:fill="FFEFBF" w:themeFill="accent4" w:themeFillTint="3F"/>
      </w:tcPr>
    </w:tblStylePr>
    <w:tblStylePr w:type="band1Horz">
      <w:tblPr/>
      <w:tcPr>
        <w:shd w:val="clear" w:color="auto" w:fill="FFEFBF" w:themeFill="accent4" w:themeFillTint="3F"/>
      </w:tcPr>
    </w:tblStylePr>
  </w:style>
  <w:style w:type="table" w:styleId="93">
    <w:name w:val="Medium List 1 Accent 5"/>
    <w:basedOn w:val="12"/>
    <w:qFormat/>
    <w:uiPriority w:val="65"/>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5B9BD5" w:themeColor="accent5" w:sz="8" w:space="0"/>
        <w:bottom w:val="single" w:color="5B9BD5" w:themeColor="accent5" w:sz="8" w:space="0"/>
      </w:tblBorders>
    </w:tblPr>
    <w:tblStylePr w:type="firstRow">
      <w:rPr>
        <w:rFonts w:asciiTheme="majorHAnsi" w:hAnsiTheme="majorHAnsi" w:eastAsiaTheme="majorEastAsia" w:cstheme="majorBidi"/>
      </w:rPr>
      <w:tblPr/>
      <w:tcPr>
        <w:tcBorders>
          <w:top w:val="nil"/>
          <w:bottom w:val="single" w:color="5B9BD5" w:themeColor="accent5" w:sz="8" w:space="0"/>
        </w:tcBorders>
      </w:tcPr>
    </w:tblStylePr>
    <w:tblStylePr w:type="lastRow">
      <w:rPr>
        <w:b/>
        <w:bCs/>
        <w:color w:val="44546A" w:themeColor="text2"/>
        <w14:textFill>
          <w14:solidFill>
            <w14:schemeClr w14:val="tx2"/>
          </w14:solidFill>
        </w14:textFill>
      </w:rPr>
      <w:tblPr/>
      <w:tcPr>
        <w:tcBorders>
          <w:top w:val="single" w:color="5B9BD5" w:themeColor="accent5" w:sz="8" w:space="0"/>
          <w:bottom w:val="single" w:color="5B9BD5" w:themeColor="accent5" w:sz="8" w:space="0"/>
        </w:tcBorders>
      </w:tcPr>
    </w:tblStylePr>
    <w:tblStylePr w:type="firstCol">
      <w:rPr>
        <w:b/>
        <w:bCs/>
      </w:rPr>
    </w:tblStylePr>
    <w:tblStylePr w:type="lastCol">
      <w:rPr>
        <w:b/>
        <w:bCs/>
      </w:rPr>
      <w:tblPr/>
      <w:tcPr>
        <w:tcBorders>
          <w:top w:val="single" w:color="5B9BD5" w:themeColor="accent5" w:sz="8" w:space="0"/>
          <w:bottom w:val="single" w:color="5B9BD5" w:themeColor="accent5" w:sz="8" w:space="0"/>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94">
    <w:name w:val="Medium List 1 Accent 6"/>
    <w:basedOn w:val="12"/>
    <w:qFormat/>
    <w:uiPriority w:val="65"/>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blPr/>
      <w:tcPr>
        <w:tcBorders>
          <w:top w:val="nil"/>
          <w:bottom w:val="single" w:color="70AD47" w:themeColor="accent6" w:sz="8" w:space="0"/>
        </w:tcBorders>
      </w:tcPr>
    </w:tblStylePr>
    <w:tblStylePr w:type="lastRow">
      <w:rPr>
        <w:b/>
        <w:bCs/>
        <w:color w:val="44546A" w:themeColor="text2"/>
        <w14:textFill>
          <w14:solidFill>
            <w14:schemeClr w14:val="tx2"/>
          </w14:solidFill>
        </w14:textFill>
      </w:rPr>
      <w:tblPr/>
      <w:tcPr>
        <w:tcBorders>
          <w:top w:val="single" w:color="70AD47" w:themeColor="accent6" w:sz="8" w:space="0"/>
          <w:bottom w:val="single" w:color="70AD47" w:themeColor="accent6" w:sz="8" w:space="0"/>
        </w:tcBorders>
      </w:tcPr>
    </w:tblStylePr>
    <w:tblStylePr w:type="firstCol">
      <w:rPr>
        <w:b/>
        <w:bCs/>
      </w:rPr>
    </w:tblStylePr>
    <w:tblStylePr w:type="lastCol">
      <w:rPr>
        <w:b/>
        <w:bCs/>
      </w:rPr>
      <w:tblPr/>
      <w:tcPr>
        <w:tcBorders>
          <w:top w:val="single" w:color="70AD47" w:themeColor="accent6" w:sz="8" w:space="0"/>
          <w:bottom w:val="single" w:color="70AD47" w:themeColor="accent6" w:sz="8" w:space="0"/>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95">
    <w:name w:val="Medium List 2"/>
    <w:basedOn w:val="12"/>
    <w:qFormat/>
    <w:uiPriority w:val="66"/>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96">
    <w:name w:val="Medium List 2 Accent 1"/>
    <w:basedOn w:val="12"/>
    <w:qFormat/>
    <w:uiPriority w:val="66"/>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rPr>
        <w:sz w:val="24"/>
        <w:szCs w:val="24"/>
      </w:rPr>
      <w:tblPr/>
      <w:tcPr>
        <w:tcBorders>
          <w:top w:val="nil"/>
          <w:left w:val="nil"/>
          <w:bottom w:val="single" w:color="4472C4" w:themeColor="accent1" w:sz="24" w:space="0"/>
          <w:right w:val="nil"/>
          <w:insideH w:val="nil"/>
          <w:insideV w:val="nil"/>
        </w:tcBorders>
        <w:shd w:val="clear" w:color="auto" w:fill="FFFFFF" w:themeFill="background1"/>
      </w:tcPr>
    </w:tblStylePr>
    <w:tblStylePr w:type="lastRow">
      <w:tblPr/>
      <w:tcPr>
        <w:tcBorders>
          <w:top w:val="single" w:color="4472C4"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472C4" w:themeColor="accent1" w:sz="8" w:space="0"/>
          <w:insideH w:val="nil"/>
          <w:insideV w:val="nil"/>
        </w:tcBorders>
        <w:shd w:val="clear" w:color="auto" w:fill="FFFFFF" w:themeFill="background1"/>
      </w:tcPr>
    </w:tblStylePr>
    <w:tblStylePr w:type="lastCol">
      <w:tblPr/>
      <w:tcPr>
        <w:tcBorders>
          <w:top w:val="nil"/>
          <w:left w:val="single" w:color="4472C4"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CF0" w:themeFill="accent1" w:themeFillTint="3F"/>
      </w:tcPr>
    </w:tblStylePr>
    <w:tblStylePr w:type="band1Horz">
      <w:tblPr/>
      <w:tcPr>
        <w:tcBorders>
          <w:top w:val="nil"/>
          <w:bottom w:val="nil"/>
          <w:insideH w:val="nil"/>
          <w:insideV w:val="nil"/>
        </w:tcBorders>
        <w:shd w:val="clear" w:color="auto" w:fill="D0DC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97">
    <w:name w:val="Medium List 2 Accent 2"/>
    <w:basedOn w:val="12"/>
    <w:qFormat/>
    <w:uiPriority w:val="66"/>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ED7D31" w:themeColor="accent2" w:sz="8" w:space="0"/>
        <w:left w:val="single" w:color="ED7D31" w:themeColor="accent2" w:sz="8" w:space="0"/>
        <w:bottom w:val="single" w:color="ED7D31" w:themeColor="accent2" w:sz="8" w:space="0"/>
        <w:right w:val="single" w:color="ED7D31" w:themeColor="accent2" w:sz="8" w:space="0"/>
      </w:tblBorders>
    </w:tblPr>
    <w:tblStylePr w:type="firstRow">
      <w:rPr>
        <w:sz w:val="24"/>
        <w:szCs w:val="24"/>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tblPr/>
      <w:tcPr>
        <w:tcBorders>
          <w:top w:val="single" w:color="ED7D31"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ED7D31" w:themeColor="accent2" w:sz="8" w:space="0"/>
          <w:insideH w:val="nil"/>
          <w:insideV w:val="nil"/>
        </w:tcBorders>
        <w:shd w:val="clear" w:color="auto" w:fill="FFFFFF" w:themeFill="background1"/>
      </w:tcPr>
    </w:tblStylePr>
    <w:tblStylePr w:type="lastCol">
      <w:tblPr/>
      <w:tcPr>
        <w:tcBorders>
          <w:top w:val="nil"/>
          <w:left w:val="single" w:color="ED7D31"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C" w:themeFill="accent2" w:themeFillTint="3F"/>
      </w:tcPr>
    </w:tblStylePr>
    <w:tblStylePr w:type="band1Horz">
      <w:tblPr/>
      <w:tcPr>
        <w:tcBorders>
          <w:top w:val="nil"/>
          <w:bottom w:val="nil"/>
          <w:insideH w:val="nil"/>
          <w:insideV w:val="nil"/>
        </w:tcBorders>
        <w:shd w:val="clear" w:color="auto" w:fill="FADE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98">
    <w:name w:val="Medium List 2 Accent 3"/>
    <w:basedOn w:val="12"/>
    <w:qFormat/>
    <w:uiPriority w:val="66"/>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A5A5A5" w:themeColor="accent3" w:sz="8" w:space="0"/>
        <w:left w:val="single" w:color="A5A5A5" w:themeColor="accent3" w:sz="8" w:space="0"/>
        <w:bottom w:val="single" w:color="A5A5A5" w:themeColor="accent3" w:sz="8" w:space="0"/>
        <w:right w:val="single" w:color="A5A5A5" w:themeColor="accent3" w:sz="8" w:space="0"/>
      </w:tblBorders>
    </w:tblPr>
    <w:tblStylePr w:type="firstRow">
      <w:rPr>
        <w:sz w:val="24"/>
        <w:szCs w:val="24"/>
      </w:rPr>
      <w:tblPr/>
      <w:tcPr>
        <w:tcBorders>
          <w:top w:val="nil"/>
          <w:left w:val="nil"/>
          <w:bottom w:val="single" w:color="A5A5A5" w:themeColor="accent3" w:sz="24" w:space="0"/>
          <w:right w:val="nil"/>
          <w:insideH w:val="nil"/>
          <w:insideV w:val="nil"/>
        </w:tcBorders>
        <w:shd w:val="clear" w:color="auto" w:fill="FFFFFF" w:themeFill="background1"/>
      </w:tcPr>
    </w:tblStylePr>
    <w:tblStylePr w:type="lastRow">
      <w:tblPr/>
      <w:tcPr>
        <w:tcBorders>
          <w:top w:val="single" w:color="A5A5A5"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A5A5A5" w:themeColor="accent3" w:sz="8" w:space="0"/>
          <w:insideH w:val="nil"/>
          <w:insideV w:val="nil"/>
        </w:tcBorders>
        <w:shd w:val="clear" w:color="auto" w:fill="FFFFFF" w:themeFill="background1"/>
      </w:tcPr>
    </w:tblStylePr>
    <w:tblStylePr w:type="lastCol">
      <w:tblPr/>
      <w:tcPr>
        <w:tcBorders>
          <w:top w:val="nil"/>
          <w:left w:val="single" w:color="A5A5A5"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99">
    <w:name w:val="Medium List 2 Accent 4"/>
    <w:basedOn w:val="12"/>
    <w:qFormat/>
    <w:uiPriority w:val="66"/>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FFC000" w:themeColor="accent4" w:sz="8" w:space="0"/>
        <w:left w:val="single" w:color="FFC000" w:themeColor="accent4" w:sz="8" w:space="0"/>
        <w:bottom w:val="single" w:color="FFC000" w:themeColor="accent4" w:sz="8" w:space="0"/>
        <w:right w:val="single" w:color="FFC000" w:themeColor="accent4" w:sz="8" w:space="0"/>
      </w:tblBorders>
    </w:tblPr>
    <w:tblStylePr w:type="firstRow">
      <w:rPr>
        <w:sz w:val="24"/>
        <w:szCs w:val="24"/>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tblPr/>
      <w:tcPr>
        <w:tcBorders>
          <w:top w:val="single" w:color="FFC000"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C000" w:themeColor="accent4" w:sz="8" w:space="0"/>
          <w:insideH w:val="nil"/>
          <w:insideV w:val="nil"/>
        </w:tcBorders>
        <w:shd w:val="clear" w:color="auto" w:fill="FFFFFF" w:themeFill="background1"/>
      </w:tcPr>
    </w:tblStylePr>
    <w:tblStylePr w:type="lastCol">
      <w:tblPr/>
      <w:tcPr>
        <w:tcBorders>
          <w:top w:val="nil"/>
          <w:left w:val="single" w:color="FFC000"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BF" w:themeFill="accent4" w:themeFillTint="3F"/>
      </w:tcPr>
    </w:tblStylePr>
    <w:tblStylePr w:type="band1Horz">
      <w:tblPr/>
      <w:tcPr>
        <w:tcBorders>
          <w:top w:val="nil"/>
          <w:bottom w:val="nil"/>
          <w:insideH w:val="nil"/>
          <w:insideV w:val="nil"/>
        </w:tcBorders>
        <w:shd w:val="clear" w:color="auto" w:fill="FFEFB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100">
    <w:name w:val="Medium List 2 Accent 5"/>
    <w:basedOn w:val="12"/>
    <w:qFormat/>
    <w:uiPriority w:val="66"/>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5B9BD5" w:themeColor="accent5" w:sz="8" w:space="0"/>
        <w:left w:val="single" w:color="5B9BD5" w:themeColor="accent5" w:sz="8" w:space="0"/>
        <w:bottom w:val="single" w:color="5B9BD5" w:themeColor="accent5" w:sz="8" w:space="0"/>
        <w:right w:val="single" w:color="5B9BD5" w:themeColor="accent5" w:sz="8" w:space="0"/>
      </w:tblBorders>
    </w:tblPr>
    <w:tblStylePr w:type="firstRow">
      <w:rPr>
        <w:sz w:val="24"/>
        <w:szCs w:val="24"/>
      </w:rPr>
      <w:tblPr/>
      <w:tcPr>
        <w:tcBorders>
          <w:top w:val="nil"/>
          <w:left w:val="nil"/>
          <w:bottom w:val="single" w:color="5B9BD5" w:themeColor="accent5" w:sz="24" w:space="0"/>
          <w:right w:val="nil"/>
          <w:insideH w:val="nil"/>
          <w:insideV w:val="nil"/>
        </w:tcBorders>
        <w:shd w:val="clear" w:color="auto" w:fill="FFFFFF" w:themeFill="background1"/>
      </w:tcPr>
    </w:tblStylePr>
    <w:tblStylePr w:type="lastRow">
      <w:tblPr/>
      <w:tcPr>
        <w:tcBorders>
          <w:top w:val="single" w:color="5B9BD5"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B9BD5" w:themeColor="accent5" w:sz="8" w:space="0"/>
          <w:insideH w:val="nil"/>
          <w:insideV w:val="nil"/>
        </w:tcBorders>
        <w:shd w:val="clear" w:color="auto" w:fill="FFFFFF" w:themeFill="background1"/>
      </w:tcPr>
    </w:tblStylePr>
    <w:tblStylePr w:type="lastCol">
      <w:tblPr/>
      <w:tcPr>
        <w:tcBorders>
          <w:top w:val="nil"/>
          <w:left w:val="single" w:color="5B9BD5"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101">
    <w:name w:val="Medium List 2 Accent 6"/>
    <w:basedOn w:val="12"/>
    <w:qFormat/>
    <w:uiPriority w:val="66"/>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70AD47" w:themeColor="accent6" w:sz="8" w:space="0"/>
        <w:left w:val="single" w:color="70AD47" w:themeColor="accent6" w:sz="8" w:space="0"/>
        <w:bottom w:val="single" w:color="70AD47" w:themeColor="accent6" w:sz="8" w:space="0"/>
        <w:right w:val="single" w:color="70AD47" w:themeColor="accent6" w:sz="8" w:space="0"/>
      </w:tblBorders>
    </w:tblPr>
    <w:tblStylePr w:type="firstRow">
      <w:rPr>
        <w:sz w:val="24"/>
        <w:szCs w:val="24"/>
      </w:rPr>
      <w:tblPr/>
      <w:tcPr>
        <w:tcBorders>
          <w:top w:val="nil"/>
          <w:left w:val="nil"/>
          <w:bottom w:val="single" w:color="70AD47" w:themeColor="accent6" w:sz="24" w:space="0"/>
          <w:right w:val="nil"/>
          <w:insideH w:val="nil"/>
          <w:insideV w:val="nil"/>
        </w:tcBorders>
        <w:shd w:val="clear" w:color="auto" w:fill="FFFFFF" w:themeFill="background1"/>
      </w:tcPr>
    </w:tblStylePr>
    <w:tblStylePr w:type="lastRow">
      <w:tblPr/>
      <w:tcPr>
        <w:tcBorders>
          <w:top w:val="single" w:color="70AD47"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0AD47" w:themeColor="accent6" w:sz="8" w:space="0"/>
          <w:insideH w:val="nil"/>
          <w:insideV w:val="nil"/>
        </w:tcBorders>
        <w:shd w:val="clear" w:color="auto" w:fill="FFFFFF" w:themeFill="background1"/>
      </w:tcPr>
    </w:tblStylePr>
    <w:tblStylePr w:type="lastCol">
      <w:tblPr/>
      <w:tcPr>
        <w:tcBorders>
          <w:top w:val="nil"/>
          <w:left w:val="single" w:color="70AD47"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02">
    <w:name w:val="Medium Grid 1"/>
    <w:basedOn w:val="12"/>
    <w:qFormat/>
    <w:uiPriority w:val="67"/>
    <w:pPr>
      <w:spacing w:after="0" w:line="240" w:lineRule="auto"/>
    </w:pPr>
    <w:rPr>
      <w:rFonts w:eastAsiaTheme="minorEastAsia"/>
      <w:szCs w:val="22"/>
      <w:lang w:val="en-US" w:bidi="ar-SA"/>
    </w:r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03">
    <w:name w:val="Medium Grid 1 Accent 1"/>
    <w:basedOn w:val="12"/>
    <w:qFormat/>
    <w:uiPriority w:val="67"/>
    <w:pPr>
      <w:spacing w:after="0" w:line="240" w:lineRule="auto"/>
    </w:pPr>
    <w:rPr>
      <w:rFonts w:eastAsiaTheme="minorEastAsia"/>
      <w:szCs w:val="22"/>
      <w:lang w:val="en-US" w:bidi="ar-SA"/>
    </w:rPr>
    <w:tblPr>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insideV w:val="single" w:color="7295D2" w:themeColor="accent1" w:themeTint="BF" w:sz="8" w:space="0"/>
      </w:tblBorders>
    </w:tblPr>
    <w:tcPr>
      <w:shd w:val="clear" w:color="auto" w:fill="D0DCF0" w:themeFill="accent1" w:themeFillTint="3F"/>
    </w:tcPr>
    <w:tblStylePr w:type="firstRow">
      <w:rPr>
        <w:b/>
        <w:bCs/>
      </w:rPr>
    </w:tblStylePr>
    <w:tblStylePr w:type="lastRow">
      <w:rPr>
        <w:b/>
        <w:bCs/>
      </w:rPr>
      <w:tblPr/>
      <w:tcPr>
        <w:tcBorders>
          <w:top w:val="single" w:color="7295D2" w:themeColor="accent1" w:themeTint="BF" w:sz="18" w:space="0"/>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04">
    <w:name w:val="Medium Grid 1 Accent 2"/>
    <w:basedOn w:val="12"/>
    <w:qFormat/>
    <w:uiPriority w:val="67"/>
    <w:pPr>
      <w:spacing w:after="0" w:line="240" w:lineRule="auto"/>
    </w:pPr>
    <w:rPr>
      <w:rFonts w:eastAsiaTheme="minorEastAsia"/>
      <w:szCs w:val="22"/>
      <w:lang w:val="en-US" w:bidi="ar-SA"/>
    </w:rPr>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insideV w:val="single" w:color="F19D64" w:themeColor="accent2" w:themeTint="BF" w:sz="8" w:space="0"/>
      </w:tblBorders>
    </w:tblPr>
    <w:tcPr>
      <w:shd w:val="clear" w:color="auto" w:fill="FADECC" w:themeFill="accent2" w:themeFillTint="3F"/>
    </w:tcPr>
    <w:tblStylePr w:type="firstRow">
      <w:rPr>
        <w:b/>
        <w:bCs/>
      </w:rPr>
    </w:tblStylePr>
    <w:tblStylePr w:type="lastRow">
      <w:rPr>
        <w:b/>
        <w:bCs/>
      </w:rPr>
      <w:tblPr/>
      <w:tcPr>
        <w:tcBorders>
          <w:top w:val="single" w:color="F19D64" w:themeColor="accent2" w:themeTint="BF" w:sz="18" w:space="0"/>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05">
    <w:name w:val="Medium Grid 1 Accent 3"/>
    <w:basedOn w:val="12"/>
    <w:qFormat/>
    <w:uiPriority w:val="67"/>
    <w:pPr>
      <w:spacing w:after="0" w:line="240" w:lineRule="auto"/>
    </w:pPr>
    <w:rPr>
      <w:rFonts w:eastAsiaTheme="minorEastAsia"/>
      <w:szCs w:val="22"/>
      <w:lang w:val="en-US" w:bidi="ar-SA"/>
    </w:rPr>
    <w:tblPr>
      <w:tbl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single" w:color="BBBBBB" w:themeColor="accent3" w:themeTint="BF" w:sz="8" w:space="0"/>
        <w:insideV w:val="single" w:color="BBBBBB" w:themeColor="accent3" w:themeTint="BF" w:sz="8" w:space="0"/>
      </w:tblBorders>
    </w:tblPr>
    <w:tcPr>
      <w:shd w:val="clear" w:color="auto" w:fill="E8E8E8" w:themeFill="accent3" w:themeFillTint="3F"/>
    </w:tcPr>
    <w:tblStylePr w:type="firstRow">
      <w:rPr>
        <w:b/>
        <w:bCs/>
      </w:rPr>
    </w:tblStylePr>
    <w:tblStylePr w:type="lastRow">
      <w:rPr>
        <w:b/>
        <w:bCs/>
      </w:rPr>
      <w:tblPr/>
      <w:tcPr>
        <w:tcBorders>
          <w:top w:val="single" w:color="BBBBBB" w:themeColor="accent3" w:themeTint="BF" w:sz="18" w:space="0"/>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06">
    <w:name w:val="Medium Grid 1 Accent 4"/>
    <w:basedOn w:val="12"/>
    <w:qFormat/>
    <w:uiPriority w:val="67"/>
    <w:pPr>
      <w:spacing w:after="0" w:line="240" w:lineRule="auto"/>
    </w:pPr>
    <w:rPr>
      <w:rFonts w:eastAsiaTheme="minorEastAsia"/>
      <w:szCs w:val="22"/>
      <w:lang w:val="en-US" w:bidi="ar-SA"/>
    </w:rPr>
    <w:tblPr>
      <w:tbl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single" w:color="FFCF3F" w:themeColor="accent4" w:themeTint="BF" w:sz="8" w:space="0"/>
        <w:insideV w:val="single" w:color="FFCF3F" w:themeColor="accent4" w:themeTint="BF" w:sz="8" w:space="0"/>
      </w:tblBorders>
    </w:tblPr>
    <w:tcPr>
      <w:shd w:val="clear" w:color="auto" w:fill="FFEFBF" w:themeFill="accent4" w:themeFillTint="3F"/>
    </w:tcPr>
    <w:tblStylePr w:type="firstRow">
      <w:rPr>
        <w:b/>
        <w:bCs/>
      </w:rPr>
    </w:tblStylePr>
    <w:tblStylePr w:type="lastRow">
      <w:rPr>
        <w:b/>
        <w:bCs/>
      </w:rPr>
      <w:tblPr/>
      <w:tcPr>
        <w:tcBorders>
          <w:top w:val="single" w:color="FFCF3F" w:themeColor="accent4" w:themeTint="BF" w:sz="18" w:space="0"/>
        </w:tcBorders>
      </w:tcPr>
    </w:tblStylePr>
    <w:tblStylePr w:type="firstCol">
      <w:rPr>
        <w:b/>
        <w:bCs/>
      </w:rPr>
    </w:tblStylePr>
    <w:tblStylePr w:type="lastCol">
      <w:rPr>
        <w:b/>
        <w:bCs/>
      </w:rPr>
    </w:tblStylePr>
    <w:tblStylePr w:type="band1Vert">
      <w:tblPr/>
      <w:tcPr>
        <w:shd w:val="clear" w:color="auto" w:fill="FFDF7F" w:themeFill="accent4" w:themeFillTint="7F"/>
      </w:tcPr>
    </w:tblStylePr>
    <w:tblStylePr w:type="band1Horz">
      <w:tblPr/>
      <w:tcPr>
        <w:shd w:val="clear" w:color="auto" w:fill="FFDF7F" w:themeFill="accent4" w:themeFillTint="7F"/>
      </w:tcPr>
    </w:tblStylePr>
  </w:style>
  <w:style w:type="table" w:styleId="107">
    <w:name w:val="Medium Grid 1 Accent 5"/>
    <w:basedOn w:val="12"/>
    <w:qFormat/>
    <w:uiPriority w:val="67"/>
    <w:pPr>
      <w:spacing w:after="0" w:line="240" w:lineRule="auto"/>
    </w:pPr>
    <w:rPr>
      <w:rFonts w:eastAsiaTheme="minorEastAsia"/>
      <w:szCs w:val="22"/>
      <w:lang w:val="en-US" w:bidi="ar-SA"/>
    </w:rPr>
    <w:tblPr>
      <w:tbl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single" w:color="84B4DF" w:themeColor="accent5" w:themeTint="BF" w:sz="8" w:space="0"/>
        <w:insideV w:val="single" w:color="84B4DF" w:themeColor="accent5" w:themeTint="BF" w:sz="8" w:space="0"/>
      </w:tblBorders>
    </w:tblPr>
    <w:tcPr>
      <w:shd w:val="clear" w:color="auto" w:fill="D6E6F4" w:themeFill="accent5" w:themeFillTint="3F"/>
    </w:tcPr>
    <w:tblStylePr w:type="firstRow">
      <w:rPr>
        <w:b/>
        <w:bCs/>
      </w:rPr>
    </w:tblStylePr>
    <w:tblStylePr w:type="lastRow">
      <w:rPr>
        <w:b/>
        <w:bCs/>
      </w:rPr>
      <w:tblPr/>
      <w:tcPr>
        <w:tcBorders>
          <w:top w:val="single" w:color="84B4DF" w:themeColor="accent5" w:themeTint="BF" w:sz="18" w:space="0"/>
        </w:tcBorders>
      </w:tcPr>
    </w:tblStylePr>
    <w:tblStylePr w:type="firstCol">
      <w:rPr>
        <w:b/>
        <w:bCs/>
      </w:rPr>
    </w:tblStylePr>
    <w:tblStylePr w:type="lastCol">
      <w:rPr>
        <w:b/>
        <w:bCs/>
      </w:rPr>
    </w:tblStylePr>
    <w:tblStylePr w:type="band1Vert">
      <w:tblPr/>
      <w:tcPr>
        <w:shd w:val="clear" w:color="auto" w:fill="ADCDEA" w:themeFill="accent5" w:themeFillTint="7F"/>
      </w:tcPr>
    </w:tblStylePr>
    <w:tblStylePr w:type="band1Horz">
      <w:tblPr/>
      <w:tcPr>
        <w:shd w:val="clear" w:color="auto" w:fill="ADCDEA" w:themeFill="accent5" w:themeFillTint="7F"/>
      </w:tcPr>
    </w:tblStylePr>
  </w:style>
  <w:style w:type="table" w:styleId="108">
    <w:name w:val="Medium Grid 1 Accent 6"/>
    <w:basedOn w:val="12"/>
    <w:qFormat/>
    <w:uiPriority w:val="67"/>
    <w:pPr>
      <w:spacing w:after="0" w:line="240" w:lineRule="auto"/>
    </w:pPr>
    <w:rPr>
      <w:rFonts w:eastAsiaTheme="minorEastAsia"/>
      <w:szCs w:val="22"/>
      <w:lang w:val="en-US" w:bidi="ar-SA"/>
    </w:rPr>
    <w:tblPr>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insideV w:val="single" w:color="93C571" w:themeColor="accent6" w:themeTint="BF" w:sz="8" w:space="0"/>
      </w:tblBorders>
    </w:tblPr>
    <w:tcPr>
      <w:shd w:val="clear" w:color="auto" w:fill="DBEBD0" w:themeFill="accent6" w:themeFillTint="3F"/>
    </w:tcPr>
    <w:tblStylePr w:type="firstRow">
      <w:rPr>
        <w:b/>
        <w:bCs/>
      </w:rPr>
    </w:tblStylePr>
    <w:tblStylePr w:type="lastRow">
      <w:rPr>
        <w:b/>
        <w:bCs/>
      </w:rPr>
      <w:tblPr/>
      <w:tcPr>
        <w:tcBorders>
          <w:top w:val="single" w:color="93C571" w:themeColor="accent6" w:themeTint="BF" w:sz="18" w:space="0"/>
        </w:tcBorders>
      </w:tcPr>
    </w:tblStylePr>
    <w:tblStylePr w:type="firstCol">
      <w:rPr>
        <w:b/>
        <w:bCs/>
      </w:rPr>
    </w:tblStylePr>
    <w:tblStylePr w:type="lastCol">
      <w:rPr>
        <w:b/>
        <w:bCs/>
      </w:rPr>
    </w:tblStylePr>
    <w:tblStylePr w:type="band1Vert">
      <w:tblPr/>
      <w:tcPr>
        <w:shd w:val="clear" w:color="auto" w:fill="B7D8A1" w:themeFill="accent6" w:themeFillTint="7F"/>
      </w:tcPr>
    </w:tblStylePr>
    <w:tblStylePr w:type="band1Horz">
      <w:tblPr/>
      <w:tcPr>
        <w:shd w:val="clear" w:color="auto" w:fill="B7D8A1" w:themeFill="accent6" w:themeFillTint="7F"/>
      </w:tcPr>
    </w:tblStylePr>
  </w:style>
  <w:style w:type="table" w:styleId="109">
    <w:name w:val="Medium Grid 2"/>
    <w:basedOn w:val="12"/>
    <w:qFormat/>
    <w:uiPriority w:val="68"/>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110">
    <w:name w:val="Medium Grid 2 Accent 1"/>
    <w:basedOn w:val="12"/>
    <w:uiPriority w:val="68"/>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Pr>
    <w:tcPr>
      <w:shd w:val="clear" w:color="auto" w:fill="D0DCF0" w:themeFill="accent1" w:themeFillTint="3F"/>
    </w:tcPr>
    <w:tblStylePr w:type="firstRow">
      <w:rPr>
        <w:b/>
        <w:bCs/>
        <w:color w:val="000000" w:themeColor="text1"/>
        <w14:textFill>
          <w14:solidFill>
            <w14:schemeClr w14:val="tx1"/>
          </w14:solidFill>
        </w14:textFill>
      </w:rPr>
      <w:tblPr/>
      <w:tcPr>
        <w:shd w:val="clear" w:color="auto" w:fill="ECF1F9"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insideV w:val="single" w:sz="6" w:space="0"/>
        </w:tcBorders>
        <w:shd w:val="clear" w:color="auto" w:fill="A1B8E1" w:themeFill="accent1" w:themeFillTint="7F"/>
      </w:tcPr>
    </w:tblStylePr>
    <w:tblStylePr w:type="nwCell">
      <w:tblPr/>
      <w:tcPr>
        <w:shd w:val="clear" w:color="auto" w:fill="FFFFFF" w:themeFill="background1"/>
      </w:tcPr>
    </w:tblStylePr>
  </w:style>
  <w:style w:type="table" w:styleId="111">
    <w:name w:val="Medium Grid 2 Accent 2"/>
    <w:basedOn w:val="12"/>
    <w:uiPriority w:val="68"/>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Pr>
    <w:tcPr>
      <w:shd w:val="clear" w:color="auto" w:fill="FADECC" w:themeFill="accent2" w:themeFillTint="3F"/>
    </w:tcPr>
    <w:tblStylePr w:type="firstRow">
      <w:rPr>
        <w:b/>
        <w:bCs/>
        <w:color w:val="000000" w:themeColor="text1"/>
        <w14:textFill>
          <w14:solidFill>
            <w14:schemeClr w14:val="tx1"/>
          </w14:solidFill>
        </w14:textFill>
      </w:rPr>
      <w:tblPr/>
      <w:tcPr>
        <w:shd w:val="clear" w:color="auto" w:fill="FDF2EA"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insideV w:val="single" w:sz="6" w:space="0"/>
        </w:tcBorders>
        <w:shd w:val="clear" w:color="auto" w:fill="F6BE98" w:themeFill="accent2" w:themeFillTint="7F"/>
      </w:tcPr>
    </w:tblStylePr>
    <w:tblStylePr w:type="nwCell">
      <w:tblPr/>
      <w:tcPr>
        <w:shd w:val="clear" w:color="auto" w:fill="FFFFFF" w:themeFill="background1"/>
      </w:tcPr>
    </w:tblStylePr>
  </w:style>
  <w:style w:type="table" w:styleId="112">
    <w:name w:val="Medium Grid 2 Accent 3"/>
    <w:basedOn w:val="12"/>
    <w:uiPriority w:val="68"/>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A5A5A5" w:themeColor="accent3" w:sz="8" w:space="0"/>
        <w:left w:val="single" w:color="A5A5A5" w:themeColor="accent3" w:sz="8" w:space="0"/>
        <w:bottom w:val="single" w:color="A5A5A5" w:themeColor="accent3" w:sz="8" w:space="0"/>
        <w:right w:val="single" w:color="A5A5A5" w:themeColor="accent3" w:sz="8" w:space="0"/>
        <w:insideH w:val="single" w:color="A5A5A5" w:themeColor="accent3" w:sz="8" w:space="0"/>
        <w:insideV w:val="single" w:color="A5A5A5" w:themeColor="accent3" w:sz="8" w:space="0"/>
      </w:tblBorders>
    </w:tblPr>
    <w:tcPr>
      <w:shd w:val="clear" w:color="auto" w:fill="E8E8E8" w:themeFill="accent3" w:themeFillTint="3F"/>
    </w:tcPr>
    <w:tblStylePr w:type="firstRow">
      <w:rPr>
        <w:b/>
        <w:bCs/>
        <w:color w:val="000000" w:themeColor="text1"/>
        <w14:textFill>
          <w14:solidFill>
            <w14:schemeClr w14:val="tx1"/>
          </w14:solidFill>
        </w14:textFill>
      </w:rPr>
      <w:tblPr/>
      <w:tcPr>
        <w:shd w:val="clear" w:color="auto" w:fill="F6F6F6"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CECEC" w:themeFill="accent3" w:themeFillTint="33"/>
      </w:tcPr>
    </w:tblStylePr>
    <w:tblStylePr w:type="band1Vert">
      <w:tblPr/>
      <w:tcPr>
        <w:shd w:val="clear" w:color="auto" w:fill="D2D2D2" w:themeFill="accent3" w:themeFillTint="7F"/>
      </w:tcPr>
    </w:tblStylePr>
    <w:tblStylePr w:type="band1Horz">
      <w:tblPr/>
      <w:tcPr>
        <w:tcBorders>
          <w:insideH w:val="single" w:sz="6" w:space="0"/>
          <w:insideV w:val="single" w:sz="6" w:space="0"/>
        </w:tcBorders>
        <w:shd w:val="clear" w:color="auto" w:fill="D2D2D2" w:themeFill="accent3" w:themeFillTint="7F"/>
      </w:tcPr>
    </w:tblStylePr>
    <w:tblStylePr w:type="nwCell">
      <w:tblPr/>
      <w:tcPr>
        <w:shd w:val="clear" w:color="auto" w:fill="FFFFFF" w:themeFill="background1"/>
      </w:tcPr>
    </w:tblStylePr>
  </w:style>
  <w:style w:type="table" w:styleId="113">
    <w:name w:val="Medium Grid 2 Accent 4"/>
    <w:basedOn w:val="12"/>
    <w:uiPriority w:val="68"/>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Pr>
    <w:tcPr>
      <w:shd w:val="clear" w:color="auto" w:fill="FFEFBF" w:themeFill="accent4" w:themeFillTint="3F"/>
    </w:tcPr>
    <w:tblStylePr w:type="firstRow">
      <w:rPr>
        <w:b/>
        <w:bCs/>
        <w:color w:val="000000" w:themeColor="text1"/>
        <w14:textFill>
          <w14:solidFill>
            <w14:schemeClr w14:val="tx1"/>
          </w14:solidFill>
        </w14:textFill>
      </w:rPr>
      <w:tblPr/>
      <w:tcPr>
        <w:shd w:val="clear" w:color="auto" w:fill="FFF8E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EF2CC" w:themeFill="accent4" w:themeFillTint="33"/>
      </w:tcPr>
    </w:tblStylePr>
    <w:tblStylePr w:type="band1Vert">
      <w:tblPr/>
      <w:tcPr>
        <w:shd w:val="clear" w:color="auto" w:fill="FFDF7F" w:themeFill="accent4" w:themeFillTint="7F"/>
      </w:tcPr>
    </w:tblStylePr>
    <w:tblStylePr w:type="band1Horz">
      <w:tblPr/>
      <w:tcPr>
        <w:tcBorders>
          <w:insideH w:val="single" w:sz="6" w:space="0"/>
          <w:insideV w:val="single" w:sz="6" w:space="0"/>
        </w:tcBorders>
        <w:shd w:val="clear" w:color="auto" w:fill="FFDF7F" w:themeFill="accent4" w:themeFillTint="7F"/>
      </w:tcPr>
    </w:tblStylePr>
    <w:tblStylePr w:type="nwCell">
      <w:tblPr/>
      <w:tcPr>
        <w:shd w:val="clear" w:color="auto" w:fill="FFFFFF" w:themeFill="background1"/>
      </w:tcPr>
    </w:tblStylePr>
  </w:style>
  <w:style w:type="table" w:styleId="114">
    <w:name w:val="Medium Grid 2 Accent 5"/>
    <w:basedOn w:val="12"/>
    <w:uiPriority w:val="68"/>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5B9BD5" w:themeColor="accent5" w:sz="8" w:space="0"/>
        <w:left w:val="single" w:color="5B9BD5" w:themeColor="accent5" w:sz="8" w:space="0"/>
        <w:bottom w:val="single" w:color="5B9BD5" w:themeColor="accent5" w:sz="8" w:space="0"/>
        <w:right w:val="single" w:color="5B9BD5" w:themeColor="accent5" w:sz="8" w:space="0"/>
        <w:insideH w:val="single" w:color="5B9BD5" w:themeColor="accent5" w:sz="8" w:space="0"/>
        <w:insideV w:val="single" w:color="5B9BD5" w:themeColor="accent5" w:sz="8" w:space="0"/>
      </w:tblBorders>
    </w:tblPr>
    <w:tcPr>
      <w:shd w:val="clear" w:color="auto" w:fill="D6E6F4" w:themeFill="accent5" w:themeFillTint="3F"/>
    </w:tcPr>
    <w:tblStylePr w:type="firstRow">
      <w:rPr>
        <w:b/>
        <w:bCs/>
        <w:color w:val="000000" w:themeColor="text1"/>
        <w14:textFill>
          <w14:solidFill>
            <w14:schemeClr w14:val="tx1"/>
          </w14:solidFill>
        </w14:textFill>
      </w:rPr>
      <w:tblPr/>
      <w:tcPr>
        <w:shd w:val="clear" w:color="auto" w:fill="EEF5FA"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DEA" w:themeFill="accent5" w:themeFillTint="7F"/>
      </w:tcPr>
    </w:tblStylePr>
    <w:tblStylePr w:type="band1Horz">
      <w:tblPr/>
      <w:tcPr>
        <w:tcBorders>
          <w:insideH w:val="single" w:sz="6" w:space="0"/>
          <w:insideV w:val="single" w:sz="6" w:space="0"/>
        </w:tcBorders>
        <w:shd w:val="clear" w:color="auto" w:fill="ADCDEA" w:themeFill="accent5" w:themeFillTint="7F"/>
      </w:tcPr>
    </w:tblStylePr>
    <w:tblStylePr w:type="nwCell">
      <w:tblPr/>
      <w:tcPr>
        <w:shd w:val="clear" w:color="auto" w:fill="FFFFFF" w:themeFill="background1"/>
      </w:tcPr>
    </w:tblStylePr>
  </w:style>
  <w:style w:type="table" w:styleId="115">
    <w:name w:val="Medium Grid 2 Accent 6"/>
    <w:basedOn w:val="12"/>
    <w:uiPriority w:val="68"/>
    <w:pPr>
      <w:spacing w:after="0" w:line="240" w:lineRule="auto"/>
    </w:pPr>
    <w:rPr>
      <w:rFonts w:asciiTheme="majorHAnsi" w:hAnsiTheme="majorHAnsi" w:eastAsiaTheme="majorEastAsia" w:cstheme="majorBidi"/>
      <w:color w:val="000000" w:themeColor="text1"/>
      <w:szCs w:val="22"/>
      <w:lang w:val="en-US" w:bidi="ar-SA"/>
      <w14:textFill>
        <w14:solidFill>
          <w14:schemeClr w14:val="tx1"/>
        </w14:solidFill>
      </w14:textFill>
    </w:rPr>
    <w:tblPr>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cPr>
      <w:shd w:val="clear" w:color="auto" w:fill="DBEBD0" w:themeFill="accent6" w:themeFillTint="3F"/>
    </w:tcPr>
    <w:tblStylePr w:type="firstRow">
      <w:rPr>
        <w:b/>
        <w:bCs/>
        <w:color w:val="000000" w:themeColor="text1"/>
        <w14:textFill>
          <w14:solidFill>
            <w14:schemeClr w14:val="tx1"/>
          </w14:solidFill>
        </w14:textFill>
      </w:rPr>
      <w:tblPr/>
      <w:tcPr>
        <w:shd w:val="clear" w:color="auto" w:fill="F0F7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1" w:themeFill="accent6" w:themeFillTint="7F"/>
      </w:tcPr>
    </w:tblStylePr>
    <w:tblStylePr w:type="band1Horz">
      <w:tblPr/>
      <w:tcPr>
        <w:tcBorders>
          <w:insideH w:val="single" w:sz="6" w:space="0"/>
          <w:insideV w:val="single" w:sz="6" w:space="0"/>
        </w:tcBorders>
        <w:shd w:val="clear" w:color="auto" w:fill="B7D8A1" w:themeFill="accent6" w:themeFillTint="7F"/>
      </w:tcPr>
    </w:tblStylePr>
    <w:tblStylePr w:type="nwCell">
      <w:tblPr/>
      <w:tcPr>
        <w:shd w:val="clear" w:color="auto" w:fill="FFFFFF" w:themeFill="background1"/>
      </w:tcPr>
    </w:tblStylePr>
  </w:style>
  <w:style w:type="table" w:styleId="116">
    <w:name w:val="Medium Grid 3"/>
    <w:basedOn w:val="12"/>
    <w:uiPriority w:val="69"/>
    <w:pPr>
      <w:spacing w:after="0" w:line="240" w:lineRule="auto"/>
    </w:pPr>
    <w:rPr>
      <w:rFonts w:eastAsiaTheme="minorEastAsia"/>
      <w:szCs w:val="22"/>
      <w:lang w:val="en-US" w:bidi="ar-SA"/>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17">
    <w:name w:val="Medium Grid 3 Accent 1"/>
    <w:basedOn w:val="12"/>
    <w:uiPriority w:val="69"/>
    <w:pPr>
      <w:spacing w:after="0" w:line="240" w:lineRule="auto"/>
    </w:pPr>
    <w:rPr>
      <w:rFonts w:eastAsiaTheme="minorEastAsia"/>
      <w:szCs w:val="22"/>
      <w:lang w:val="en-US" w:bidi="ar-SA"/>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472C4"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472C4"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472C4"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472C4"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1B8E1"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1B8E1" w:themeFill="accent1" w:themeFillTint="7F"/>
      </w:tcPr>
    </w:tblStylePr>
  </w:style>
  <w:style w:type="table" w:styleId="118">
    <w:name w:val="Medium Grid 3 Accent 2"/>
    <w:basedOn w:val="12"/>
    <w:uiPriority w:val="69"/>
    <w:pPr>
      <w:spacing w:after="0" w:line="240" w:lineRule="auto"/>
    </w:pPr>
    <w:rPr>
      <w:rFonts w:eastAsiaTheme="minorEastAsia"/>
      <w:szCs w:val="22"/>
      <w:lang w:val="en-US" w:bidi="ar-SA"/>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ED7D31"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ED7D31"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ED7D31"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ED7D31"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6BE98"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6BE98" w:themeFill="accent2" w:themeFillTint="7F"/>
      </w:tcPr>
    </w:tblStylePr>
  </w:style>
  <w:style w:type="table" w:styleId="119">
    <w:name w:val="Medium Grid 3 Accent 3"/>
    <w:basedOn w:val="12"/>
    <w:uiPriority w:val="69"/>
    <w:pPr>
      <w:spacing w:after="0" w:line="240" w:lineRule="auto"/>
    </w:pPr>
    <w:rPr>
      <w:rFonts w:eastAsiaTheme="minorEastAsia"/>
      <w:szCs w:val="22"/>
      <w:lang w:val="en-US" w:bidi="ar-SA"/>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A5A5A5"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A5A5A5"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A5A5A5"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A5A5A5"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2D2D2"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2D2D2" w:themeFill="accent3" w:themeFillTint="7F"/>
      </w:tcPr>
    </w:tblStylePr>
  </w:style>
  <w:style w:type="table" w:styleId="120">
    <w:name w:val="Medium Grid 3 Accent 4"/>
    <w:basedOn w:val="12"/>
    <w:uiPriority w:val="69"/>
    <w:pPr>
      <w:spacing w:after="0" w:line="240" w:lineRule="auto"/>
    </w:pPr>
    <w:rPr>
      <w:rFonts w:eastAsiaTheme="minorEastAsia"/>
      <w:szCs w:val="22"/>
      <w:lang w:val="en-US" w:bidi="ar-SA"/>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FC000"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FC000"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FC000"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FC000"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DF7F"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FDF7F" w:themeFill="accent4" w:themeFillTint="7F"/>
      </w:tcPr>
    </w:tblStylePr>
  </w:style>
  <w:style w:type="table" w:styleId="121">
    <w:name w:val="Medium Grid 3 Accent 5"/>
    <w:basedOn w:val="12"/>
    <w:uiPriority w:val="69"/>
    <w:pPr>
      <w:spacing w:after="0" w:line="240" w:lineRule="auto"/>
    </w:pPr>
    <w:rPr>
      <w:rFonts w:eastAsiaTheme="minorEastAsia"/>
      <w:szCs w:val="22"/>
      <w:lang w:val="en-US" w:bidi="ar-SA"/>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5B9BD5"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5B9BD5"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5B9BD5"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5B9BD5"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DCDE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DCDEA" w:themeFill="accent5" w:themeFillTint="7F"/>
      </w:tcPr>
    </w:tblStylePr>
  </w:style>
  <w:style w:type="table" w:styleId="122">
    <w:name w:val="Medium Grid 3 Accent 6"/>
    <w:basedOn w:val="12"/>
    <w:uiPriority w:val="69"/>
    <w:pPr>
      <w:spacing w:after="0" w:line="240" w:lineRule="auto"/>
    </w:pPr>
    <w:rPr>
      <w:rFonts w:eastAsiaTheme="minorEastAsia"/>
      <w:szCs w:val="22"/>
      <w:lang w:val="en-US" w:bidi="ar-SA"/>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70AD47"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70AD47"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70AD47"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70AD47"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7D8A1"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7D8A1" w:themeFill="accent6" w:themeFillTint="7F"/>
      </w:tcPr>
    </w:tblStylePr>
  </w:style>
  <w:style w:type="table" w:styleId="123">
    <w:name w:val="Dark List"/>
    <w:basedOn w:val="12"/>
    <w:uiPriority w:val="70"/>
    <w:pPr>
      <w:spacing w:after="0" w:line="240" w:lineRule="auto"/>
    </w:pPr>
    <w:rPr>
      <w:rFonts w:eastAsiaTheme="minorEastAsia"/>
      <w:color w:val="FFFFFF" w:themeColor="background1"/>
      <w:szCs w:val="22"/>
      <w:lang w:val="en-US" w:bidi="ar-SA"/>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4">
    <w:name w:val="Dark List Accent 1"/>
    <w:basedOn w:val="12"/>
    <w:uiPriority w:val="70"/>
    <w:pPr>
      <w:spacing w:after="0" w:line="240" w:lineRule="auto"/>
    </w:pPr>
    <w:rPr>
      <w:rFonts w:eastAsiaTheme="minorEastAsia"/>
      <w:color w:val="FFFFFF" w:themeColor="background1"/>
      <w:szCs w:val="22"/>
      <w:lang w:val="en-US" w:bidi="ar-SA"/>
      <w14:textFill>
        <w14:solidFill>
          <w14:schemeClr w14:val="bg1"/>
        </w14:solidFill>
      </w14:textFill>
    </w:rPr>
    <w:tblPr>
      <w:tblStyleRowBandSize w:val="1"/>
      <w:tblStyleColBandSize w:val="1"/>
    </w:tblPr>
    <w:tcPr>
      <w:shd w:val="clear" w:color="auto" w:fill="4472C4"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F3863"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2F549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125">
    <w:name w:val="Dark List Accent 2"/>
    <w:basedOn w:val="12"/>
    <w:uiPriority w:val="70"/>
    <w:pPr>
      <w:spacing w:after="0" w:line="240" w:lineRule="auto"/>
    </w:pPr>
    <w:rPr>
      <w:rFonts w:eastAsiaTheme="minorEastAsia"/>
      <w:color w:val="FFFFFF" w:themeColor="background1"/>
      <w:szCs w:val="22"/>
      <w:lang w:val="en-US" w:bidi="ar-SA"/>
      <w14:textFill>
        <w14:solidFill>
          <w14:schemeClr w14:val="bg1"/>
        </w14:solidFill>
      </w14:textFill>
    </w:rPr>
    <w:tblPr>
      <w:tblStyleRowBandSize w:val="1"/>
      <w:tblStyleColBandSize w:val="1"/>
    </w:tblPr>
    <w:tcPr>
      <w:shd w:val="clear" w:color="auto" w:fill="ED7D31"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C5591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C55911" w:themeFill="accent2" w:themeFillShade="BF"/>
      </w:tcPr>
    </w:tblStylePr>
    <w:tblStylePr w:type="band1Vert">
      <w:tblPr/>
      <w:tcPr>
        <w:tcBorders>
          <w:top w:val="nil"/>
          <w:left w:val="nil"/>
          <w:bottom w:val="nil"/>
          <w:right w:val="nil"/>
          <w:insideH w:val="nil"/>
          <w:insideV w:val="nil"/>
        </w:tcBorders>
        <w:shd w:val="clear" w:color="auto" w:fill="C55911" w:themeFill="accent2" w:themeFillShade="BF"/>
      </w:tcPr>
    </w:tblStylePr>
    <w:tblStylePr w:type="band1Horz">
      <w:tblPr/>
      <w:tcPr>
        <w:tcBorders>
          <w:top w:val="nil"/>
          <w:left w:val="nil"/>
          <w:bottom w:val="nil"/>
          <w:right w:val="nil"/>
          <w:insideH w:val="nil"/>
          <w:insideV w:val="nil"/>
        </w:tcBorders>
        <w:shd w:val="clear" w:color="auto" w:fill="C55911" w:themeFill="accent2" w:themeFillShade="BF"/>
      </w:tcPr>
    </w:tblStylePr>
  </w:style>
  <w:style w:type="table" w:styleId="126">
    <w:name w:val="Dark List Accent 3"/>
    <w:basedOn w:val="12"/>
    <w:uiPriority w:val="70"/>
    <w:pPr>
      <w:spacing w:after="0" w:line="240" w:lineRule="auto"/>
    </w:pPr>
    <w:rPr>
      <w:rFonts w:eastAsiaTheme="minorEastAsia"/>
      <w:color w:val="FFFFFF" w:themeColor="background1"/>
      <w:szCs w:val="22"/>
      <w:lang w:val="en-US" w:bidi="ar-SA"/>
      <w14:textFill>
        <w14:solidFill>
          <w14:schemeClr w14:val="bg1"/>
        </w14:solidFill>
      </w14:textFill>
    </w:rPr>
    <w:tblPr>
      <w:tblStyleRowBandSize w:val="1"/>
      <w:tblStyleColBandSize w:val="1"/>
    </w:tblPr>
    <w:tcPr>
      <w:shd w:val="clear" w:color="auto" w:fill="A5A5A5"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B7B7B"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127">
    <w:name w:val="Dark List Accent 4"/>
    <w:basedOn w:val="12"/>
    <w:uiPriority w:val="70"/>
    <w:pPr>
      <w:spacing w:after="0" w:line="240" w:lineRule="auto"/>
    </w:pPr>
    <w:rPr>
      <w:rFonts w:eastAsiaTheme="minorEastAsia"/>
      <w:color w:val="FFFFFF" w:themeColor="background1"/>
      <w:szCs w:val="22"/>
      <w:lang w:val="en-US" w:bidi="ar-SA"/>
      <w14:textFill>
        <w14:solidFill>
          <w14:schemeClr w14:val="bg1"/>
        </w14:solidFill>
      </w14:textFill>
    </w:rPr>
    <w:tblPr>
      <w:tblStyleRowBandSize w:val="1"/>
      <w:tblStyleColBandSize w:val="1"/>
    </w:tblPr>
    <w:tcPr>
      <w:shd w:val="clear" w:color="auto" w:fill="FFC000"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E5F00"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BE8F0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BE8F00" w:themeFill="accent4" w:themeFillShade="BF"/>
      </w:tcPr>
    </w:tblStylePr>
    <w:tblStylePr w:type="band1Vert">
      <w:tblPr/>
      <w:tcPr>
        <w:tcBorders>
          <w:top w:val="nil"/>
          <w:left w:val="nil"/>
          <w:bottom w:val="nil"/>
          <w:right w:val="nil"/>
          <w:insideH w:val="nil"/>
          <w:insideV w:val="nil"/>
        </w:tcBorders>
        <w:shd w:val="clear" w:color="auto" w:fill="BE8F00" w:themeFill="accent4" w:themeFillShade="BF"/>
      </w:tcPr>
    </w:tblStylePr>
    <w:tblStylePr w:type="band1Horz">
      <w:tblPr/>
      <w:tcPr>
        <w:tcBorders>
          <w:top w:val="nil"/>
          <w:left w:val="nil"/>
          <w:bottom w:val="nil"/>
          <w:right w:val="nil"/>
          <w:insideH w:val="nil"/>
          <w:insideV w:val="nil"/>
        </w:tcBorders>
        <w:shd w:val="clear" w:color="auto" w:fill="BE8F00" w:themeFill="accent4" w:themeFillShade="BF"/>
      </w:tcPr>
    </w:tblStylePr>
  </w:style>
  <w:style w:type="table" w:styleId="128">
    <w:name w:val="Dark List Accent 5"/>
    <w:basedOn w:val="12"/>
    <w:uiPriority w:val="70"/>
    <w:pPr>
      <w:spacing w:after="0" w:line="240" w:lineRule="auto"/>
    </w:pPr>
    <w:rPr>
      <w:rFonts w:eastAsiaTheme="minorEastAsia"/>
      <w:color w:val="FFFFFF" w:themeColor="background1"/>
      <w:szCs w:val="22"/>
      <w:lang w:val="en-US" w:bidi="ar-SA"/>
      <w14:textFill>
        <w14:solidFill>
          <w14:schemeClr w14:val="bg1"/>
        </w14:solidFill>
      </w14:textFill>
    </w:rPr>
    <w:tblPr>
      <w:tblStyleRowBandSize w:val="1"/>
      <w:tblStyleColBandSize w:val="1"/>
    </w:tblPr>
    <w:tcPr>
      <w:shd w:val="clear" w:color="auto" w:fill="5B9BD5"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E4D78"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2E75B5"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2E75B5" w:themeFill="accent5" w:themeFillShade="BF"/>
      </w:tcPr>
    </w:tblStylePr>
    <w:tblStylePr w:type="band1Vert">
      <w:tblPr/>
      <w:tcPr>
        <w:tcBorders>
          <w:top w:val="nil"/>
          <w:left w:val="nil"/>
          <w:bottom w:val="nil"/>
          <w:right w:val="nil"/>
          <w:insideH w:val="nil"/>
          <w:insideV w:val="nil"/>
        </w:tcBorders>
        <w:shd w:val="clear" w:color="auto" w:fill="2E75B5" w:themeFill="accent5" w:themeFillShade="BF"/>
      </w:tcPr>
    </w:tblStylePr>
    <w:tblStylePr w:type="band1Horz">
      <w:tblPr/>
      <w:tcPr>
        <w:tcBorders>
          <w:top w:val="nil"/>
          <w:left w:val="nil"/>
          <w:bottom w:val="nil"/>
          <w:right w:val="nil"/>
          <w:insideH w:val="nil"/>
          <w:insideV w:val="nil"/>
        </w:tcBorders>
        <w:shd w:val="clear" w:color="auto" w:fill="2E75B5" w:themeFill="accent5" w:themeFillShade="BF"/>
      </w:tcPr>
    </w:tblStylePr>
  </w:style>
  <w:style w:type="table" w:styleId="129">
    <w:name w:val="Dark List Accent 6"/>
    <w:basedOn w:val="12"/>
    <w:uiPriority w:val="70"/>
    <w:pPr>
      <w:spacing w:after="0" w:line="240" w:lineRule="auto"/>
    </w:pPr>
    <w:rPr>
      <w:rFonts w:eastAsiaTheme="minorEastAsia"/>
      <w:color w:val="FFFFFF" w:themeColor="background1"/>
      <w:szCs w:val="22"/>
      <w:lang w:val="en-US" w:bidi="ar-SA"/>
      <w14:textFill>
        <w14:solidFill>
          <w14:schemeClr w14:val="bg1"/>
        </w14:solidFill>
      </w14:textFill>
    </w:rPr>
    <w:tblPr>
      <w:tblStyleRowBandSize w:val="1"/>
      <w:tblStyleColBandSize w:val="1"/>
    </w:tblPr>
    <w:tcPr>
      <w:shd w:val="clear" w:color="auto" w:fill="70AD47"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538135"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130">
    <w:name w:val="Colorful Shading"/>
    <w:basedOn w:val="12"/>
    <w:uiPriority w:val="71"/>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ED7D31"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1">
    <w:name w:val="Colorful Shading Accent 1"/>
    <w:basedOn w:val="12"/>
    <w:uiPriority w:val="71"/>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ED7D31" w:themeColor="accent2" w:sz="24" w:space="0"/>
        <w:left w:val="single" w:color="4472C4" w:themeColor="accent1" w:sz="4" w:space="0"/>
        <w:bottom w:val="single" w:color="4472C4" w:themeColor="accent1" w:sz="4" w:space="0"/>
        <w:right w:val="single" w:color="4472C4" w:themeColor="accent1" w:sz="4" w:space="0"/>
        <w:insideH w:val="single" w:color="FFFFFF" w:themeColor="background1" w:sz="4" w:space="0"/>
        <w:insideV w:val="single" w:color="FFFFFF" w:themeColor="background1" w:sz="4" w:space="0"/>
      </w:tblBorders>
    </w:tblPr>
    <w:tcPr>
      <w:shd w:val="clear" w:color="auto" w:fill="ECF1F9" w:themeFill="accent1"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54378"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54378"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5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2">
    <w:name w:val="Colorful Shading Accent 2"/>
    <w:basedOn w:val="12"/>
    <w:uiPriority w:val="71"/>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ED7D31" w:themeColor="accent2" w:sz="24" w:space="0"/>
        <w:left w:val="single" w:color="ED7D31" w:themeColor="accent2" w:sz="4" w:space="0"/>
        <w:bottom w:val="single" w:color="ED7D31" w:themeColor="accent2" w:sz="4" w:space="0"/>
        <w:right w:val="single" w:color="ED7D31" w:themeColor="accent2" w:sz="4" w:space="0"/>
        <w:insideH w:val="single" w:color="FFFFFF" w:themeColor="background1" w:sz="4" w:space="0"/>
        <w:insideV w:val="single" w:color="FFFFFF" w:themeColor="background1" w:sz="4" w:space="0"/>
      </w:tblBorders>
    </w:tblPr>
    <w:tcPr>
      <w:shd w:val="clear" w:color="auto" w:fill="FDF2EA" w:themeFill="accent2"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9D480D"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9D480D"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9D48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3">
    <w:name w:val="Colorful Shading Accent 3"/>
    <w:basedOn w:val="12"/>
    <w:uiPriority w:val="71"/>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FFC000" w:themeColor="accent4" w:sz="24" w:space="0"/>
        <w:left w:val="single" w:color="A5A5A5" w:themeColor="accent3" w:sz="4" w:space="0"/>
        <w:bottom w:val="single" w:color="A5A5A5" w:themeColor="accent3" w:sz="4" w:space="0"/>
        <w:right w:val="single" w:color="A5A5A5" w:themeColor="accent3" w:sz="4" w:space="0"/>
        <w:insideH w:val="single" w:color="FFFFFF" w:themeColor="background1" w:sz="4" w:space="0"/>
        <w:insideV w:val="single" w:color="FFFFFF" w:themeColor="background1" w:sz="4" w:space="0"/>
      </w:tblBorders>
    </w:tblPr>
    <w:tcPr>
      <w:shd w:val="clear" w:color="auto" w:fill="F6F6F6" w:themeFill="accent3" w:themeFillTint="19"/>
    </w:tcPr>
    <w:tblStylePr w:type="firstRow">
      <w:rPr>
        <w:b/>
        <w:bCs/>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626262"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626262"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626262" w:themeFill="accent3" w:themeFillShade="99"/>
      </w:tcPr>
    </w:tblStylePr>
    <w:tblStylePr w:type="band1Vert">
      <w:tblPr/>
      <w:tcPr>
        <w:shd w:val="clear" w:color="auto" w:fill="DADADA" w:themeFill="accent3" w:themeFillTint="66"/>
      </w:tcPr>
    </w:tblStylePr>
    <w:tblStylePr w:type="band1Horz">
      <w:tblPr/>
      <w:tcPr>
        <w:shd w:val="clear" w:color="auto" w:fill="D2D2D2" w:themeFill="accent3" w:themeFillTint="7F"/>
      </w:tcPr>
    </w:tblStylePr>
  </w:style>
  <w:style w:type="table" w:styleId="134">
    <w:name w:val="Colorful Shading Accent 4"/>
    <w:basedOn w:val="12"/>
    <w:uiPriority w:val="71"/>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A5A5A5" w:themeColor="accent3" w:sz="24" w:space="0"/>
        <w:left w:val="single" w:color="FFC000" w:themeColor="accent4" w:sz="4" w:space="0"/>
        <w:bottom w:val="single" w:color="FFC000" w:themeColor="accent4" w:sz="4" w:space="0"/>
        <w:right w:val="single" w:color="FFC000" w:themeColor="accent4" w:sz="4" w:space="0"/>
        <w:insideH w:val="single" w:color="FFFFFF" w:themeColor="background1" w:sz="4" w:space="0"/>
        <w:insideV w:val="single" w:color="FFFFFF" w:themeColor="background1" w:sz="4" w:space="0"/>
      </w:tblBorders>
    </w:tblPr>
    <w:tcPr>
      <w:shd w:val="clear" w:color="auto" w:fill="FFF8E5" w:themeFill="accent4" w:themeFillTint="19"/>
    </w:tcPr>
    <w:tblStylePr w:type="firstRow">
      <w:rPr>
        <w:b/>
        <w:bCs/>
      </w:rPr>
      <w:tblPr/>
      <w:tcPr>
        <w:tcBorders>
          <w:top w:val="nil"/>
          <w:left w:val="nil"/>
          <w:bottom w:val="single" w:color="A5A5A5"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997300"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997300"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7F"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5">
    <w:name w:val="Colorful Shading Accent 5"/>
    <w:basedOn w:val="12"/>
    <w:uiPriority w:val="71"/>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70AD47" w:themeColor="accent6" w:sz="24" w:space="0"/>
        <w:left w:val="single" w:color="5B9BD5" w:themeColor="accent5" w:sz="4" w:space="0"/>
        <w:bottom w:val="single" w:color="5B9BD5" w:themeColor="accent5" w:sz="4" w:space="0"/>
        <w:right w:val="single" w:color="5B9BD5" w:themeColor="accent5" w:sz="4" w:space="0"/>
        <w:insideH w:val="single" w:color="FFFFFF" w:themeColor="background1" w:sz="4" w:space="0"/>
        <w:insideV w:val="single" w:color="FFFFFF" w:themeColor="background1" w:sz="4" w:space="0"/>
      </w:tblBorders>
    </w:tblPr>
    <w:tcPr>
      <w:shd w:val="clear" w:color="auto" w:fill="EEF5FA" w:themeFill="accent5" w:themeFillTint="19"/>
    </w:tcPr>
    <w:tblStylePr w:type="firstRow">
      <w:rPr>
        <w:b/>
        <w:bCs/>
      </w:rPr>
      <w:tblPr/>
      <w:tcPr>
        <w:tcBorders>
          <w:top w:val="nil"/>
          <w:left w:val="nil"/>
          <w:bottom w:val="single" w:color="70AD47"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55D91"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55D91"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DEA"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6">
    <w:name w:val="Colorful Shading Accent 6"/>
    <w:basedOn w:val="12"/>
    <w:uiPriority w:val="71"/>
    <w:pPr>
      <w:spacing w:after="0" w:line="240" w:lineRule="auto"/>
    </w:pPr>
    <w:rPr>
      <w:rFonts w:eastAsiaTheme="minorEastAsia"/>
      <w:color w:val="000000" w:themeColor="text1"/>
      <w:szCs w:val="22"/>
      <w:lang w:val="en-US" w:bidi="ar-SA"/>
      <w14:textFill>
        <w14:solidFill>
          <w14:schemeClr w14:val="tx1"/>
        </w14:solidFill>
      </w14:textFill>
    </w:rPr>
    <w:tblPr>
      <w:tblBorders>
        <w:top w:val="single" w:color="5B9BD5" w:themeColor="accent5" w:sz="24" w:space="0"/>
        <w:left w:val="single" w:color="70AD47" w:themeColor="accent6" w:sz="4" w:space="0"/>
        <w:bottom w:val="single" w:color="70AD47" w:themeColor="accent6" w:sz="4" w:space="0"/>
        <w:right w:val="single" w:color="70AD47" w:themeColor="accent6" w:sz="4" w:space="0"/>
        <w:insideH w:val="single" w:color="FFFFFF" w:themeColor="background1" w:sz="4" w:space="0"/>
        <w:insideV w:val="single" w:color="FFFFFF" w:themeColor="background1" w:sz="4" w:space="0"/>
      </w:tblBorders>
    </w:tblPr>
    <w:tcPr>
      <w:shd w:val="clear" w:color="auto" w:fill="F0F7EC" w:themeFill="accent6" w:themeFillTint="19"/>
    </w:tcPr>
    <w:tblStylePr w:type="firstRow">
      <w:rPr>
        <w:b/>
        <w:bCs/>
      </w:rPr>
      <w:tblPr/>
      <w:tcPr>
        <w:tcBorders>
          <w:top w:val="nil"/>
          <w:left w:val="nil"/>
          <w:bottom w:val="single" w:color="5B9BD5"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3672A"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3672A"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1"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7">
    <w:name w:val="Colorful List"/>
    <w:basedOn w:val="12"/>
    <w:uiPriority w:val="72"/>
    <w:pPr>
      <w:spacing w:after="0" w:line="240" w:lineRule="auto"/>
    </w:pPr>
    <w:rPr>
      <w:rFonts w:eastAsiaTheme="minorEastAsia"/>
      <w:color w:val="000000" w:themeColor="text1"/>
      <w:szCs w:val="22"/>
      <w:lang w:val="en-US" w:bidi="ar-SA"/>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38">
    <w:name w:val="Colorful List Accent 1"/>
    <w:basedOn w:val="12"/>
    <w:uiPriority w:val="72"/>
    <w:pPr>
      <w:spacing w:after="0" w:line="240" w:lineRule="auto"/>
    </w:pPr>
    <w:rPr>
      <w:rFonts w:eastAsiaTheme="minorEastAsia"/>
      <w:color w:val="000000" w:themeColor="text1"/>
      <w:szCs w:val="22"/>
      <w:lang w:val="en-US" w:bidi="ar-SA"/>
      <w14:textFill>
        <w14:solidFill>
          <w14:schemeClr w14:val="tx1"/>
        </w14:solidFill>
      </w14:textFill>
    </w:rPr>
    <w:tblPr>
      <w:tblStyleRowBandSize w:val="1"/>
      <w:tblStyleColBandSize w:val="1"/>
    </w:tblPr>
    <w:tcPr>
      <w:shd w:val="clear" w:color="auto" w:fill="ECF1F9"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CF0" w:themeFill="accent1" w:themeFillTint="3F"/>
      </w:tcPr>
    </w:tblStylePr>
    <w:tblStylePr w:type="band1Horz">
      <w:tblPr/>
      <w:tcPr>
        <w:shd w:val="clear" w:color="auto" w:fill="D9E2F3" w:themeFill="accent1" w:themeFillTint="33"/>
      </w:tcPr>
    </w:tblStylePr>
  </w:style>
  <w:style w:type="table" w:styleId="139">
    <w:name w:val="Colorful List Accent 2"/>
    <w:basedOn w:val="12"/>
    <w:uiPriority w:val="72"/>
    <w:pPr>
      <w:spacing w:after="0" w:line="240" w:lineRule="auto"/>
    </w:pPr>
    <w:rPr>
      <w:rFonts w:eastAsiaTheme="minorEastAsia"/>
      <w:color w:val="000000" w:themeColor="text1"/>
      <w:szCs w:val="22"/>
      <w:lang w:val="en-US" w:bidi="ar-SA"/>
      <w14:textFill>
        <w14:solidFill>
          <w14:schemeClr w14:val="tx1"/>
        </w14:solidFill>
      </w14:textFill>
    </w:rPr>
    <w:tblPr>
      <w:tblStyleRowBandSize w:val="1"/>
      <w:tblStyleColBandSize w:val="1"/>
    </w:tblPr>
    <w:tcPr>
      <w:shd w:val="clear" w:color="auto" w:fill="FDF2EA"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C" w:themeFill="accent2" w:themeFillTint="3F"/>
      </w:tcPr>
    </w:tblStylePr>
    <w:tblStylePr w:type="band1Horz">
      <w:tblPr/>
      <w:tcPr>
        <w:shd w:val="clear" w:color="auto" w:fill="FBE4D5" w:themeFill="accent2" w:themeFillTint="33"/>
      </w:tcPr>
    </w:tblStylePr>
  </w:style>
  <w:style w:type="table" w:styleId="140">
    <w:name w:val="Colorful List Accent 3"/>
    <w:basedOn w:val="12"/>
    <w:uiPriority w:val="72"/>
    <w:pPr>
      <w:spacing w:after="0" w:line="240" w:lineRule="auto"/>
    </w:pPr>
    <w:rPr>
      <w:rFonts w:eastAsiaTheme="minorEastAsia"/>
      <w:color w:val="000000" w:themeColor="text1"/>
      <w:szCs w:val="22"/>
      <w:lang w:val="en-US" w:bidi="ar-SA"/>
      <w14:textFill>
        <w14:solidFill>
          <w14:schemeClr w14:val="tx1"/>
        </w14:solidFill>
      </w14:textFill>
    </w:rPr>
    <w:tblPr>
      <w:tblStyleRowBandSize w:val="1"/>
      <w:tblStyleColBandSize w:val="1"/>
    </w:tblPr>
    <w:tcPr>
      <w:shd w:val="clear" w:color="auto" w:fill="F6F6F6"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CC9900" w:themeFill="accent4" w:themeFillShade="CC"/>
      </w:tcPr>
    </w:tblStylePr>
    <w:tblStylePr w:type="lastRow">
      <w:rPr>
        <w:b/>
        <w:bCs/>
        <w:color w:val="CC9A00"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CECEC" w:themeFill="accent3" w:themeFillTint="33"/>
      </w:tcPr>
    </w:tblStylePr>
  </w:style>
  <w:style w:type="table" w:styleId="141">
    <w:name w:val="Colorful List Accent 4"/>
    <w:basedOn w:val="12"/>
    <w:uiPriority w:val="72"/>
    <w:pPr>
      <w:spacing w:after="0" w:line="240" w:lineRule="auto"/>
    </w:pPr>
    <w:rPr>
      <w:rFonts w:eastAsiaTheme="minorEastAsia"/>
      <w:color w:val="000000" w:themeColor="text1"/>
      <w:szCs w:val="22"/>
      <w:lang w:val="en-US" w:bidi="ar-SA"/>
      <w14:textFill>
        <w14:solidFill>
          <w14:schemeClr w14:val="tx1"/>
        </w14:solidFill>
      </w14:textFill>
    </w:rPr>
    <w:tblPr>
      <w:tblStyleRowBandSize w:val="1"/>
      <w:tblStyleColBandSize w:val="1"/>
    </w:tblPr>
    <w:tcPr>
      <w:shd w:val="clear" w:color="auto" w:fill="FFF8E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838383" w:themeFill="accent3" w:themeFillShade="CC"/>
      </w:tcPr>
    </w:tblStylePr>
    <w:tblStylePr w:type="lastRow">
      <w:rPr>
        <w:b/>
        <w:bCs/>
        <w:color w:val="848484"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BF" w:themeFill="accent4" w:themeFillTint="3F"/>
      </w:tcPr>
    </w:tblStylePr>
    <w:tblStylePr w:type="band1Horz">
      <w:tblPr/>
      <w:tcPr>
        <w:shd w:val="clear" w:color="auto" w:fill="FEF2CC" w:themeFill="accent4" w:themeFillTint="33"/>
      </w:tcPr>
    </w:tblStylePr>
  </w:style>
  <w:style w:type="table" w:styleId="142">
    <w:name w:val="Colorful List Accent 5"/>
    <w:basedOn w:val="12"/>
    <w:uiPriority w:val="72"/>
    <w:pPr>
      <w:spacing w:after="0" w:line="240" w:lineRule="auto"/>
    </w:pPr>
    <w:rPr>
      <w:rFonts w:eastAsiaTheme="minorEastAsia"/>
      <w:color w:val="000000" w:themeColor="text1"/>
      <w:szCs w:val="22"/>
      <w:lang w:val="en-US" w:bidi="ar-SA"/>
      <w14:textFill>
        <w14:solidFill>
          <w14:schemeClr w14:val="tx1"/>
        </w14:solidFill>
      </w14:textFill>
    </w:rPr>
    <w:tblPr>
      <w:tblStyleRowBandSize w:val="1"/>
      <w:tblStyleColBandSize w:val="1"/>
    </w:tblPr>
    <w:tcPr>
      <w:shd w:val="clear" w:color="auto" w:fill="EEF5FA"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598A38" w:themeFill="accent6" w:themeFillShade="CC"/>
      </w:tcPr>
    </w:tblStylePr>
    <w:tblStylePr w:type="lastRow">
      <w:rPr>
        <w:b/>
        <w:bCs/>
        <w:color w:val="5A8A39"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143">
    <w:name w:val="Colorful List Accent 6"/>
    <w:basedOn w:val="12"/>
    <w:uiPriority w:val="72"/>
    <w:pPr>
      <w:spacing w:after="0" w:line="240" w:lineRule="auto"/>
    </w:pPr>
    <w:rPr>
      <w:rFonts w:eastAsiaTheme="minorEastAsia"/>
      <w:color w:val="000000" w:themeColor="text1"/>
      <w:szCs w:val="22"/>
      <w:lang w:val="en-US" w:bidi="ar-SA"/>
      <w14:textFill>
        <w14:solidFill>
          <w14:schemeClr w14:val="tx1"/>
        </w14:solidFill>
      </w14:textFill>
    </w:rPr>
    <w:tblPr>
      <w:tblStyleRowBandSize w:val="1"/>
      <w:tblStyleColBandSize w:val="1"/>
    </w:tblPr>
    <w:tcPr>
      <w:shd w:val="clear" w:color="auto" w:fill="F0F7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17DC1" w:themeFill="accent5" w:themeFillShade="CC"/>
      </w:tcPr>
    </w:tblStylePr>
    <w:tblStylePr w:type="lastRow">
      <w:rPr>
        <w:b/>
        <w:bCs/>
        <w:color w:val="327DC2"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144">
    <w:name w:val="Colorful Grid"/>
    <w:basedOn w:val="12"/>
    <w:uiPriority w:val="73"/>
    <w:pPr>
      <w:spacing w:after="0" w:line="240" w:lineRule="auto"/>
    </w:pPr>
    <w:rPr>
      <w:rFonts w:eastAsiaTheme="minorEastAsia"/>
      <w:color w:val="000000" w:themeColor="text1"/>
      <w:szCs w:val="22"/>
      <w:lang w:val="en-US" w:bidi="ar-SA"/>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45">
    <w:name w:val="Colorful Grid Accent 1"/>
    <w:basedOn w:val="12"/>
    <w:uiPriority w:val="73"/>
    <w:pPr>
      <w:spacing w:after="0" w:line="240" w:lineRule="auto"/>
    </w:pPr>
    <w:rPr>
      <w:rFonts w:eastAsiaTheme="minorEastAsia"/>
      <w:color w:val="000000" w:themeColor="text1"/>
      <w:szCs w:val="22"/>
      <w:lang w:val="en-US" w:bidi="ar-SA"/>
      <w14:textFill>
        <w14:solidFill>
          <w14:schemeClr w14:val="tx1"/>
        </w14:solidFill>
      </w14:textFill>
    </w:rPr>
    <w:tblPr>
      <w:tblBorders>
        <w:insideH w:val="single" w:color="FFFFFF" w:themeColor="background1" w:sz="4" w:space="0"/>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14:textFill>
          <w14:solidFill>
            <w14:schemeClr w14:val="tx1"/>
          </w14:solidFill>
        </w14:textFill>
      </w:rPr>
      <w:tblPr/>
      <w:tcPr>
        <w:shd w:val="clear" w:color="auto" w:fill="B4C6E7" w:themeFill="accent1" w:themeFillTint="66"/>
      </w:tcPr>
    </w:tblStylePr>
    <w:tblStylePr w:type="firstCol">
      <w:rPr>
        <w:color w:val="FFFFFF" w:themeColor="background1"/>
        <w14:textFill>
          <w14:solidFill>
            <w14:schemeClr w14:val="bg1"/>
          </w14:solidFill>
        </w14:textFill>
      </w:rPr>
      <w:tblPr/>
      <w:tcPr>
        <w:shd w:val="clear" w:color="auto" w:fill="2F5496" w:themeFill="accent1" w:themeFillShade="BF"/>
      </w:tcPr>
    </w:tblStylePr>
    <w:tblStylePr w:type="lastCol">
      <w:rPr>
        <w:color w:val="FFFFFF" w:themeColor="background1"/>
        <w14:textFill>
          <w14:solidFill>
            <w14:schemeClr w14:val="bg1"/>
          </w14:solidFill>
        </w14:textFill>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46">
    <w:name w:val="Colorful Grid Accent 2"/>
    <w:basedOn w:val="12"/>
    <w:uiPriority w:val="73"/>
    <w:pPr>
      <w:spacing w:after="0" w:line="240" w:lineRule="auto"/>
    </w:pPr>
    <w:rPr>
      <w:rFonts w:eastAsiaTheme="minorEastAsia"/>
      <w:color w:val="000000" w:themeColor="text1"/>
      <w:szCs w:val="22"/>
      <w:lang w:val="en-US" w:bidi="ar-SA"/>
      <w14:textFill>
        <w14:solidFill>
          <w14:schemeClr w14:val="tx1"/>
        </w14:solidFill>
      </w14:textFill>
    </w:rPr>
    <w:tblPr>
      <w:tblBorders>
        <w:insideH w:val="single" w:color="FFFFFF" w:themeColor="background1" w:sz="4" w:space="0"/>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14:textFill>
          <w14:solidFill>
            <w14:schemeClr w14:val="tx1"/>
          </w14:solidFill>
        </w14:textFill>
      </w:rPr>
      <w:tblPr/>
      <w:tcPr>
        <w:shd w:val="clear" w:color="auto" w:fill="F7CAAC" w:themeFill="accent2" w:themeFillTint="66"/>
      </w:tcPr>
    </w:tblStylePr>
    <w:tblStylePr w:type="firstCol">
      <w:rPr>
        <w:color w:val="FFFFFF" w:themeColor="background1"/>
        <w14:textFill>
          <w14:solidFill>
            <w14:schemeClr w14:val="bg1"/>
          </w14:solidFill>
        </w14:textFill>
      </w:rPr>
      <w:tblPr/>
      <w:tcPr>
        <w:shd w:val="clear" w:color="auto" w:fill="C55911" w:themeFill="accent2" w:themeFillShade="BF"/>
      </w:tcPr>
    </w:tblStylePr>
    <w:tblStylePr w:type="lastCol">
      <w:rPr>
        <w:color w:val="FFFFFF" w:themeColor="background1"/>
        <w14:textFill>
          <w14:solidFill>
            <w14:schemeClr w14:val="bg1"/>
          </w14:solidFill>
        </w14:textFill>
      </w:rPr>
      <w:tblPr/>
      <w:tcPr>
        <w:shd w:val="clear" w:color="auto" w:fill="C5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47">
    <w:name w:val="Colorful Grid Accent 3"/>
    <w:basedOn w:val="12"/>
    <w:uiPriority w:val="73"/>
    <w:pPr>
      <w:spacing w:after="0" w:line="240" w:lineRule="auto"/>
    </w:pPr>
    <w:rPr>
      <w:rFonts w:eastAsiaTheme="minorEastAsia"/>
      <w:color w:val="000000" w:themeColor="text1"/>
      <w:szCs w:val="22"/>
      <w:lang w:val="en-US" w:bidi="ar-SA"/>
      <w14:textFill>
        <w14:solidFill>
          <w14:schemeClr w14:val="tx1"/>
        </w14:solidFill>
      </w14:textFill>
    </w:rPr>
    <w:tblPr>
      <w:tblBorders>
        <w:insideH w:val="single" w:color="FFFFFF" w:themeColor="background1" w:sz="4" w:space="0"/>
      </w:tblBorders>
    </w:tblPr>
    <w:tcPr>
      <w:shd w:val="clear" w:color="auto" w:fill="ECECEC" w:themeFill="accent3" w:themeFillTint="33"/>
    </w:tcPr>
    <w:tblStylePr w:type="firstRow">
      <w:rPr>
        <w:b/>
        <w:bCs/>
      </w:rPr>
      <w:tblPr/>
      <w:tcPr>
        <w:shd w:val="clear" w:color="auto" w:fill="DADADA" w:themeFill="accent3" w:themeFillTint="66"/>
      </w:tcPr>
    </w:tblStylePr>
    <w:tblStylePr w:type="lastRow">
      <w:rPr>
        <w:b/>
        <w:bCs/>
        <w:color w:val="000000" w:themeColor="text1"/>
        <w14:textFill>
          <w14:solidFill>
            <w14:schemeClr w14:val="tx1"/>
          </w14:solidFill>
        </w14:textFill>
      </w:rPr>
      <w:tblPr/>
      <w:tcPr>
        <w:shd w:val="clear" w:color="auto" w:fill="DADADA" w:themeFill="accent3" w:themeFillTint="66"/>
      </w:tcPr>
    </w:tblStylePr>
    <w:tblStylePr w:type="firstCol">
      <w:rPr>
        <w:color w:val="FFFFFF" w:themeColor="background1"/>
        <w14:textFill>
          <w14:solidFill>
            <w14:schemeClr w14:val="bg1"/>
          </w14:solidFill>
        </w14:textFill>
      </w:rPr>
      <w:tblPr/>
      <w:tcPr>
        <w:shd w:val="clear" w:color="auto" w:fill="7B7B7B" w:themeFill="accent3" w:themeFillShade="BF"/>
      </w:tcPr>
    </w:tblStylePr>
    <w:tblStylePr w:type="lastCol">
      <w:rPr>
        <w:color w:val="FFFFFF" w:themeColor="background1"/>
        <w14:textFill>
          <w14:solidFill>
            <w14:schemeClr w14:val="bg1"/>
          </w14:solidFill>
        </w14:textFill>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8">
    <w:name w:val="Colorful Grid Accent 4"/>
    <w:basedOn w:val="12"/>
    <w:uiPriority w:val="73"/>
    <w:pPr>
      <w:spacing w:after="0" w:line="240" w:lineRule="auto"/>
    </w:pPr>
    <w:rPr>
      <w:rFonts w:eastAsiaTheme="minorEastAsia"/>
      <w:color w:val="000000" w:themeColor="text1"/>
      <w:szCs w:val="22"/>
      <w:lang w:val="en-US" w:bidi="ar-SA"/>
      <w14:textFill>
        <w14:solidFill>
          <w14:schemeClr w14:val="tx1"/>
        </w14:solidFill>
      </w14:textFill>
    </w:rPr>
    <w:tblPr>
      <w:tblBorders>
        <w:insideH w:val="single" w:color="FFFFFF" w:themeColor="background1" w:sz="4" w:space="0"/>
      </w:tblBorders>
    </w:tblPr>
    <w:tcPr>
      <w:shd w:val="clear" w:color="auto" w:fill="FEF2CC" w:themeFill="accent4" w:themeFillTint="33"/>
    </w:tcPr>
    <w:tblStylePr w:type="firstRow">
      <w:rPr>
        <w:b/>
        <w:bCs/>
      </w:rPr>
      <w:tblPr/>
      <w:tcPr>
        <w:shd w:val="clear" w:color="auto" w:fill="FFE599" w:themeFill="accent4" w:themeFillTint="66"/>
      </w:tcPr>
    </w:tblStylePr>
    <w:tblStylePr w:type="lastRow">
      <w:rPr>
        <w:b/>
        <w:bCs/>
        <w:color w:val="000000" w:themeColor="text1"/>
        <w14:textFill>
          <w14:solidFill>
            <w14:schemeClr w14:val="tx1"/>
          </w14:solidFill>
        </w14:textFill>
      </w:rPr>
      <w:tblPr/>
      <w:tcPr>
        <w:shd w:val="clear" w:color="auto" w:fill="FFE599" w:themeFill="accent4" w:themeFillTint="66"/>
      </w:tcPr>
    </w:tblStylePr>
    <w:tblStylePr w:type="firstCol">
      <w:rPr>
        <w:color w:val="FFFFFF" w:themeColor="background1"/>
        <w14:textFill>
          <w14:solidFill>
            <w14:schemeClr w14:val="bg1"/>
          </w14:solidFill>
        </w14:textFill>
      </w:rPr>
      <w:tblPr/>
      <w:tcPr>
        <w:shd w:val="clear" w:color="auto" w:fill="BE8F00" w:themeFill="accent4" w:themeFillShade="BF"/>
      </w:tcPr>
    </w:tblStylePr>
    <w:tblStylePr w:type="lastCol">
      <w:rPr>
        <w:color w:val="FFFFFF" w:themeColor="background1"/>
        <w14:textFill>
          <w14:solidFill>
            <w14:schemeClr w14:val="bg1"/>
          </w14:solidFill>
        </w14:textFill>
      </w:rPr>
      <w:tblPr/>
      <w:tcPr>
        <w:shd w:val="clear" w:color="auto" w:fill="BE8F00" w:themeFill="accent4" w:themeFillShade="BF"/>
      </w:tcPr>
    </w:tblStylePr>
    <w:tblStylePr w:type="band1Vert">
      <w:tblPr/>
      <w:tcPr>
        <w:shd w:val="clear" w:color="auto" w:fill="FFDF7F" w:themeFill="accent4" w:themeFillTint="7F"/>
      </w:tcPr>
    </w:tblStylePr>
    <w:tblStylePr w:type="band1Horz">
      <w:tblPr/>
      <w:tcPr>
        <w:shd w:val="clear" w:color="auto" w:fill="FFDF7F" w:themeFill="accent4" w:themeFillTint="7F"/>
      </w:tcPr>
    </w:tblStylePr>
  </w:style>
  <w:style w:type="table" w:styleId="149">
    <w:name w:val="Colorful Grid Accent 5"/>
    <w:basedOn w:val="12"/>
    <w:uiPriority w:val="73"/>
    <w:pPr>
      <w:spacing w:after="0" w:line="240" w:lineRule="auto"/>
    </w:pPr>
    <w:rPr>
      <w:rFonts w:eastAsiaTheme="minorEastAsia"/>
      <w:color w:val="000000" w:themeColor="text1"/>
      <w:szCs w:val="22"/>
      <w:lang w:val="en-US" w:bidi="ar-SA"/>
      <w14:textFill>
        <w14:solidFill>
          <w14:schemeClr w14:val="tx1"/>
        </w14:solidFill>
      </w14:textFill>
    </w:rPr>
    <w:tblPr>
      <w:tblBorders>
        <w:insideH w:val="single" w:color="FFFFFF" w:themeColor="background1" w:sz="4" w:space="0"/>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14:textFill>
          <w14:solidFill>
            <w14:schemeClr w14:val="tx1"/>
          </w14:solidFill>
        </w14:textFill>
      </w:rPr>
      <w:tblPr/>
      <w:tcPr>
        <w:shd w:val="clear" w:color="auto" w:fill="BDD6EE" w:themeFill="accent5" w:themeFillTint="66"/>
      </w:tcPr>
    </w:tblStylePr>
    <w:tblStylePr w:type="firstCol">
      <w:rPr>
        <w:color w:val="FFFFFF" w:themeColor="background1"/>
        <w14:textFill>
          <w14:solidFill>
            <w14:schemeClr w14:val="bg1"/>
          </w14:solidFill>
        </w14:textFill>
      </w:rPr>
      <w:tblPr/>
      <w:tcPr>
        <w:shd w:val="clear" w:color="auto" w:fill="2E75B5" w:themeFill="accent5" w:themeFillShade="BF"/>
      </w:tcPr>
    </w:tblStylePr>
    <w:tblStylePr w:type="lastCol">
      <w:rPr>
        <w:color w:val="FFFFFF" w:themeColor="background1"/>
        <w14:textFill>
          <w14:solidFill>
            <w14:schemeClr w14:val="bg1"/>
          </w14:solidFill>
        </w14:textFill>
      </w:rPr>
      <w:tblPr/>
      <w:tcPr>
        <w:shd w:val="clear" w:color="auto" w:fill="2E75B5" w:themeFill="accent5" w:themeFillShade="BF"/>
      </w:tcPr>
    </w:tblStylePr>
    <w:tblStylePr w:type="band1Vert">
      <w:tblPr/>
      <w:tcPr>
        <w:shd w:val="clear" w:color="auto" w:fill="ADCDEA" w:themeFill="accent5" w:themeFillTint="7F"/>
      </w:tcPr>
    </w:tblStylePr>
    <w:tblStylePr w:type="band1Horz">
      <w:tblPr/>
      <w:tcPr>
        <w:shd w:val="clear" w:color="auto" w:fill="ADCDEA" w:themeFill="accent5" w:themeFillTint="7F"/>
      </w:tcPr>
    </w:tblStylePr>
  </w:style>
  <w:style w:type="table" w:styleId="150">
    <w:name w:val="Colorful Grid Accent 6"/>
    <w:basedOn w:val="12"/>
    <w:uiPriority w:val="73"/>
    <w:pPr>
      <w:spacing w:after="0" w:line="240" w:lineRule="auto"/>
    </w:pPr>
    <w:rPr>
      <w:rFonts w:eastAsiaTheme="minorEastAsia"/>
      <w:color w:val="000000" w:themeColor="text1"/>
      <w:szCs w:val="22"/>
      <w:lang w:val="en-US" w:bidi="ar-SA"/>
      <w14:textFill>
        <w14:solidFill>
          <w14:schemeClr w14:val="tx1"/>
        </w14:solidFill>
      </w14:textFill>
    </w:rPr>
    <w:tblPr>
      <w:tblBorders>
        <w:insideH w:val="single" w:color="FFFFFF" w:themeColor="background1" w:sz="4" w:space="0"/>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14:textFill>
          <w14:solidFill>
            <w14:schemeClr w14:val="tx1"/>
          </w14:solidFill>
        </w14:textFill>
      </w:rPr>
      <w:tblPr/>
      <w:tcPr>
        <w:shd w:val="clear" w:color="auto" w:fill="C5E0B3" w:themeFill="accent6" w:themeFillTint="66"/>
      </w:tcPr>
    </w:tblStylePr>
    <w:tblStylePr w:type="firstCol">
      <w:rPr>
        <w:color w:val="FFFFFF" w:themeColor="background1"/>
        <w14:textFill>
          <w14:solidFill>
            <w14:schemeClr w14:val="bg1"/>
          </w14:solidFill>
        </w14:textFill>
      </w:rPr>
      <w:tblPr/>
      <w:tcPr>
        <w:shd w:val="clear" w:color="auto" w:fill="538135" w:themeFill="accent6" w:themeFillShade="BF"/>
      </w:tcPr>
    </w:tblStylePr>
    <w:tblStylePr w:type="lastCol">
      <w:rPr>
        <w:color w:val="FFFFFF" w:themeColor="background1"/>
        <w14:textFill>
          <w14:solidFill>
            <w14:schemeClr w14:val="bg1"/>
          </w14:solidFill>
        </w14:textFill>
      </w:rPr>
      <w:tblPr/>
      <w:tcPr>
        <w:shd w:val="clear" w:color="auto" w:fill="538135" w:themeFill="accent6" w:themeFillShade="BF"/>
      </w:tcPr>
    </w:tblStylePr>
    <w:tblStylePr w:type="band1Vert">
      <w:tblPr/>
      <w:tcPr>
        <w:shd w:val="clear" w:color="auto" w:fill="B7D8A1" w:themeFill="accent6" w:themeFillTint="7F"/>
      </w:tcPr>
    </w:tblStylePr>
    <w:tblStylePr w:type="band1Horz">
      <w:tblPr/>
      <w:tcPr>
        <w:shd w:val="clear" w:color="auto" w:fill="B7D8A1" w:themeFill="accent6" w:themeFillTint="7F"/>
      </w:tcPr>
    </w:tblStylePr>
  </w:style>
  <w:style w:type="character" w:customStyle="1" w:styleId="151">
    <w:name w:val="Heading 1 Char"/>
    <w:basedOn w:val="11"/>
    <w:link w:val="2"/>
    <w:qFormat/>
    <w:uiPriority w:val="9"/>
    <w:rPr>
      <w:rFonts w:ascii="Times New Roman" w:hAnsi="Times New Roman" w:eastAsia="Times New Roman" w:cs="Times New Roman"/>
      <w:b/>
      <w:sz w:val="32"/>
      <w:szCs w:val="32"/>
      <w:lang w:val="zh-CN"/>
    </w:rPr>
  </w:style>
  <w:style w:type="character" w:customStyle="1" w:styleId="152">
    <w:name w:val="Heading 2 Char"/>
    <w:basedOn w:val="11"/>
    <w:link w:val="3"/>
    <w:qFormat/>
    <w:uiPriority w:val="9"/>
    <w:rPr>
      <w:rFonts w:ascii="Times New Roman" w:hAnsi="Times New Roman" w:eastAsiaTheme="majorEastAsia" w:cstheme="majorBidi"/>
      <w:b/>
      <w:sz w:val="26"/>
      <w:szCs w:val="33"/>
      <w:lang w:val="zh-CN"/>
    </w:rPr>
  </w:style>
  <w:style w:type="character" w:customStyle="1" w:styleId="153">
    <w:name w:val="Heading 3 Char"/>
    <w:basedOn w:val="11"/>
    <w:link w:val="4"/>
    <w:qFormat/>
    <w:uiPriority w:val="9"/>
    <w:rPr>
      <w:rFonts w:ascii="Times New Roman" w:hAnsi="Times New Roman" w:eastAsiaTheme="majorEastAsia" w:cstheme="majorBidi"/>
      <w:b/>
      <w:sz w:val="24"/>
      <w:szCs w:val="30"/>
    </w:rPr>
  </w:style>
  <w:style w:type="paragraph" w:customStyle="1" w:styleId="154">
    <w:name w:val="TOC Heading"/>
    <w:basedOn w:val="2"/>
    <w:next w:val="1"/>
    <w:unhideWhenUsed/>
    <w:qFormat/>
    <w:uiPriority w:val="39"/>
    <w:pPr>
      <w:outlineLvl w:val="9"/>
    </w:pPr>
    <w:rPr>
      <w:lang w:bidi="ar-SA"/>
    </w:rPr>
  </w:style>
  <w:style w:type="character" w:customStyle="1" w:styleId="155">
    <w:name w:val="Header Char"/>
    <w:basedOn w:val="11"/>
    <w:link w:val="23"/>
    <w:qFormat/>
    <w:uiPriority w:val="99"/>
    <w:rPr>
      <w:rFonts w:ascii="Times New Roman" w:hAnsi="Times New Roman"/>
      <w:sz w:val="24"/>
    </w:rPr>
  </w:style>
  <w:style w:type="character" w:customStyle="1" w:styleId="156">
    <w:name w:val="Footer Char"/>
    <w:basedOn w:val="11"/>
    <w:link w:val="22"/>
    <w:qFormat/>
    <w:uiPriority w:val="99"/>
    <w:rPr>
      <w:rFonts w:ascii="Times New Roman" w:hAnsi="Times New Roman"/>
      <w:sz w:val="24"/>
    </w:rPr>
  </w:style>
  <w:style w:type="character" w:customStyle="1" w:styleId="157">
    <w:name w:val="Balloon Text Char"/>
    <w:basedOn w:val="11"/>
    <w:link w:val="13"/>
    <w:semiHidden/>
    <w:qFormat/>
    <w:uiPriority w:val="99"/>
    <w:rPr>
      <w:rFonts w:ascii="Segoe UI" w:hAnsi="Segoe UI" w:cs="Segoe UI"/>
      <w:sz w:val="18"/>
      <w:szCs w:val="22"/>
    </w:rPr>
  </w:style>
  <w:style w:type="character" w:customStyle="1" w:styleId="158">
    <w:name w:val="apple-converted-space"/>
    <w:basedOn w:val="11"/>
    <w:qFormat/>
    <w:uiPriority w:val="0"/>
  </w:style>
  <w:style w:type="paragraph" w:styleId="159">
    <w:name w:val="List Paragraph"/>
    <w:basedOn w:val="1"/>
    <w:qFormat/>
    <w:uiPriority w:val="34"/>
    <w:pPr>
      <w:spacing w:before="0" w:after="160"/>
      <w:ind w:left="720"/>
      <w:contextualSpacing/>
    </w:pPr>
    <w:rPr>
      <w:rFonts w:eastAsiaTheme="minorHAnsi" w:cstheme="minorBidi"/>
      <w:kern w:val="0"/>
      <w:szCs w:val="28"/>
      <w:lang w:val="zh-CN" w:eastAsia="en-US" w:bidi="bn-IN"/>
      <w14:ligatures w14:val="none"/>
    </w:rPr>
  </w:style>
  <w:style w:type="paragraph" w:styleId="160">
    <w:name w:val="No Spacing"/>
    <w:qFormat/>
    <w:uiPriority w:val="1"/>
    <w:pPr>
      <w:spacing w:after="0" w:line="240" w:lineRule="auto"/>
      <w:jc w:val="both"/>
    </w:pPr>
    <w:rPr>
      <w:rFonts w:ascii="Times New Roman" w:hAnsi="Times New Roman" w:eastAsiaTheme="minorHAnsi" w:cstheme="minorBidi"/>
      <w:sz w:val="24"/>
      <w:szCs w:val="28"/>
      <w:lang w:val="en-GB" w:eastAsia="en-US" w:bidi="bn-IN"/>
    </w:rPr>
  </w:style>
  <w:style w:type="table" w:customStyle="1" w:styleId="161">
    <w:name w:val="Plain Table 1"/>
    <w:basedOn w:val="12"/>
    <w:qFormat/>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character" w:customStyle="1" w:styleId="162">
    <w:name w:val="Comment Text Char"/>
    <w:basedOn w:val="11"/>
    <w:link w:val="19"/>
    <w:semiHidden/>
    <w:qFormat/>
    <w:uiPriority w:val="99"/>
    <w:rPr>
      <w:rFonts w:ascii="Times New Roman" w:hAnsi="Times New Roman"/>
      <w:sz w:val="20"/>
      <w:szCs w:val="20"/>
      <w:lang w:bidi="ar-SA"/>
    </w:rPr>
  </w:style>
  <w:style w:type="table" w:customStyle="1" w:styleId="163">
    <w:name w:val="_Style 52"/>
    <w:basedOn w:val="12"/>
    <w:qFormat/>
    <w:uiPriority w:val="0"/>
    <w:pPr>
      <w:spacing w:after="200" w:line="276" w:lineRule="auto"/>
    </w:pPr>
    <w:rPr>
      <w:rFonts w:ascii="Tahoma" w:hAnsi="Tahoma" w:eastAsia="Tahoma" w:cs="Tahoma"/>
      <w:sz w:val="20"/>
      <w:szCs w:val="20"/>
      <w:lang w:val="en-US" w:bidi="ar-SA"/>
    </w:rPr>
    <w:tblPr>
      <w:tblCellMar>
        <w:left w:w="0" w:type="dxa"/>
        <w:right w:w="0" w:type="dxa"/>
      </w:tblCellMar>
    </w:tblPr>
  </w:style>
  <w:style w:type="table" w:customStyle="1" w:styleId="164">
    <w:name w:val="_Style 53"/>
    <w:basedOn w:val="12"/>
    <w:qFormat/>
    <w:uiPriority w:val="0"/>
    <w:pPr>
      <w:spacing w:after="200" w:line="276" w:lineRule="auto"/>
    </w:pPr>
    <w:rPr>
      <w:rFonts w:ascii="Tahoma" w:hAnsi="Tahoma" w:eastAsia="Tahoma" w:cs="Tahoma"/>
      <w:sz w:val="20"/>
      <w:szCs w:val="20"/>
      <w:lang w:val="en-US" w:bidi="ar-SA"/>
    </w:rPr>
    <w:tblPr>
      <w:tblCellMar>
        <w:left w:w="113" w:type="dxa"/>
        <w:right w:w="113" w:type="dxa"/>
      </w:tblCellMar>
    </w:tblPr>
  </w:style>
  <w:style w:type="character" w:styleId="165">
    <w:name w:val="Placeholder Text"/>
    <w:basedOn w:val="11"/>
    <w:semiHidden/>
    <w:uiPriority w:val="99"/>
    <w:rPr>
      <w:color w:val="808080"/>
    </w:rPr>
  </w:style>
  <w:style w:type="paragraph" w:customStyle="1" w:styleId="166">
    <w:name w:val="Normal1"/>
    <w:uiPriority w:val="0"/>
    <w:pPr>
      <w:spacing w:after="0" w:line="276" w:lineRule="auto"/>
    </w:pPr>
    <w:rPr>
      <w:rFonts w:ascii="Arial" w:hAnsi="Arial" w:eastAsia="Arial" w:cs="Arial"/>
      <w:sz w:val="22"/>
      <w:szCs w:val="22"/>
      <w:lang w:val="en-US" w:eastAsia="en-US" w:bidi="ar-SA"/>
    </w:rPr>
  </w:style>
  <w:style w:type="table" w:customStyle="1" w:styleId="167">
    <w:name w:val="TableGrid"/>
    <w:uiPriority w:val="0"/>
    <w:pPr>
      <w:spacing w:after="0" w:line="240" w:lineRule="auto"/>
    </w:pPr>
    <w:rPr>
      <w:rFonts w:eastAsiaTheme="minorEastAsia"/>
      <w:szCs w:val="22"/>
      <w:lang w:eastAsia="en-GB" w:bidi="ar-SA"/>
    </w:rPr>
    <w:tblPr>
      <w:tblCellMar>
        <w:top w:w="0" w:type="dxa"/>
        <w:left w:w="0" w:type="dxa"/>
        <w:bottom w:w="0" w:type="dxa"/>
        <w:right w:w="0" w:type="dxa"/>
      </w:tblCellMar>
    </w:tblPr>
  </w:style>
  <w:style w:type="character" w:customStyle="1" w:styleId="168">
    <w:name w:val="Body Text Char"/>
    <w:basedOn w:val="11"/>
    <w:link w:val="14"/>
    <w:uiPriority w:val="99"/>
    <w:rPr>
      <w:rFonts w:ascii="Arial" w:hAnsi="Arial" w:eastAsia="Arial" w:cs="Arial"/>
      <w:sz w:val="16"/>
      <w:szCs w:val="16"/>
      <w:lang w:val="en-US" w:bidi="ar-SA"/>
    </w:rPr>
  </w:style>
  <w:style w:type="character" w:customStyle="1" w:styleId="169">
    <w:name w:val="Heading 4 Char"/>
    <w:basedOn w:val="11"/>
    <w:link w:val="5"/>
    <w:semiHidden/>
    <w:uiPriority w:val="9"/>
    <w:rPr>
      <w:rFonts w:asciiTheme="majorHAnsi" w:hAnsiTheme="majorHAnsi" w:eastAsiaTheme="majorEastAsia" w:cstheme="majorBidi"/>
      <w:i/>
      <w:iCs/>
      <w:color w:val="2F5597" w:themeColor="accent1" w:themeShade="BF"/>
      <w:sz w:val="24"/>
      <w:szCs w:val="22"/>
      <w:lang w:eastAsia="en-GB"/>
    </w:rPr>
  </w:style>
  <w:style w:type="paragraph" w:customStyle="1" w:styleId="170">
    <w:name w:val="muitypography-root"/>
    <w:basedOn w:val="1"/>
    <w:uiPriority w:val="0"/>
    <w:pPr>
      <w:spacing w:before="100" w:beforeAutospacing="1" w:after="100" w:afterAutospacing="1" w:line="240" w:lineRule="auto"/>
      <w:jc w:val="left"/>
    </w:pPr>
  </w:style>
  <w:style w:type="character" w:customStyle="1" w:styleId="171">
    <w:name w:val="url"/>
    <w:basedOn w:val="11"/>
    <w:uiPriority w:val="0"/>
  </w:style>
  <w:style w:type="paragraph" w:customStyle="1" w:styleId="172">
    <w:name w:val="Default"/>
    <w:uiPriority w:val="0"/>
    <w:pPr>
      <w:autoSpaceDE w:val="0"/>
      <w:autoSpaceDN w:val="0"/>
      <w:adjustRightInd w:val="0"/>
      <w:spacing w:after="0" w:line="240" w:lineRule="auto"/>
    </w:pPr>
    <w:rPr>
      <w:rFonts w:ascii="Times New Roman" w:hAnsi="Times New Roman" w:eastAsia="Calibri" w:cs="Times New Roman"/>
      <w:color w:val="000000"/>
      <w:sz w:val="24"/>
      <w:szCs w:val="24"/>
      <w:lang w:val="en-GB" w:eastAsia="en-US" w:bidi="ar-SA"/>
    </w:rPr>
  </w:style>
  <w:style w:type="character" w:customStyle="1" w:styleId="173">
    <w:name w:val="Unresolved Mention"/>
    <w:basedOn w:val="11"/>
    <w:semiHidden/>
    <w:unhideWhenUsed/>
    <w:uiPriority w:val="99"/>
    <w:rPr>
      <w:color w:val="605E5C"/>
      <w:shd w:val="clear" w:color="auto" w:fill="E1DFDD"/>
    </w:rPr>
  </w:style>
  <w:style w:type="character" w:customStyle="1" w:styleId="174">
    <w:name w:val="_fadein_pfttw_8"/>
    <w:basedOn w:val="11"/>
    <w:uiPriority w:val="0"/>
  </w:style>
  <w:style w:type="paragraph" w:customStyle="1" w:styleId="175">
    <w:name w:val="p1"/>
    <w:basedOn w:val="1"/>
    <w:uiPriority w:val="0"/>
    <w:pPr>
      <w:spacing w:line="240" w:lineRule="auto"/>
      <w:jc w:val="left"/>
    </w:pPr>
    <w:rPr>
      <w:rFonts w:ascii="Arial" w:hAnsi="Arial" w:cs="Arial"/>
      <w:color w:val="000000"/>
      <w:sz w:val="17"/>
      <w:szCs w:val="17"/>
    </w:rPr>
  </w:style>
  <w:style w:type="paragraph" w:customStyle="1" w:styleId="176">
    <w:name w:val="p2"/>
    <w:basedOn w:val="1"/>
    <w:uiPriority w:val="0"/>
    <w:pPr>
      <w:spacing w:line="240" w:lineRule="auto"/>
      <w:jc w:val="left"/>
    </w:pPr>
    <w:rPr>
      <w:rFonts w:ascii="Arial" w:hAnsi="Arial" w:cs="Arial"/>
      <w:color w:val="103CC0"/>
      <w:sz w:val="17"/>
      <w:szCs w:val="17"/>
    </w:rPr>
  </w:style>
  <w:style w:type="character" w:customStyle="1" w:styleId="177">
    <w:name w:val="s1"/>
    <w:basedOn w:val="11"/>
    <w:uiPriority w:val="0"/>
    <w:rPr>
      <w:color w:val="000000"/>
    </w:rPr>
  </w:style>
  <w:style w:type="character" w:customStyle="1" w:styleId="178">
    <w:name w:val="s2"/>
    <w:basedOn w:val="11"/>
    <w:uiPriority w:val="0"/>
    <w:rPr>
      <w:color w:val="103CC0"/>
    </w:rPr>
  </w:style>
  <w:style w:type="table" w:customStyle="1" w:styleId="179">
    <w:name w:val="Grid Table 4 Accent 1"/>
    <w:basedOn w:val="12"/>
    <w:uiPriority w:val="49"/>
    <w:pPr>
      <w:spacing w:after="0" w:line="240" w:lineRule="auto"/>
    </w:p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cPr>
        <w:tcBorders>
          <w:top w:val="double" w:color="4472C4" w:themeColor="accent1"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180">
    <w:name w:val="Grid Table 4 Accent 5"/>
    <w:basedOn w:val="12"/>
    <w:uiPriority w:val="49"/>
    <w:pPr>
      <w:spacing w:after="0" w:line="240" w:lineRule="auto"/>
    </w:p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181">
    <w:name w:val="Grid Table 5 Dark Accent 5"/>
    <w:basedOn w:val="12"/>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cPr>
        <w:shd w:val="clear" w:color="auto" w:fill="BDD6EE" w:themeFill="accent5" w:themeFillTint="66"/>
      </w:tcPr>
    </w:tblStylePr>
    <w:tblStylePr w:type="band1Horz">
      <w:tcPr>
        <w:shd w:val="clear" w:color="auto" w:fill="BDD6EE" w:themeFill="accent5" w:themeFillTint="66"/>
      </w:tcPr>
    </w:tblStylePr>
  </w:style>
  <w:style w:type="table" w:customStyle="1" w:styleId="182">
    <w:name w:val="Grid Table 5 Dark Accent 1"/>
    <w:basedOn w:val="12"/>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cPr>
        <w:shd w:val="clear" w:color="auto" w:fill="B4C6E7" w:themeFill="accent1" w:themeFillTint="66"/>
      </w:tcPr>
    </w:tblStylePr>
    <w:tblStylePr w:type="band1Horz">
      <w:tcPr>
        <w:shd w:val="clear" w:color="auto" w:fill="B4C6E7" w:themeFill="accent1" w:themeFillTint="66"/>
      </w:tcPr>
    </w:tblStylePr>
  </w:style>
  <w:style w:type="paragraph" w:customStyle="1" w:styleId="183">
    <w:name w:val="s15"/>
    <w:basedOn w:val="1"/>
    <w:uiPriority w:val="0"/>
    <w:pPr>
      <w:spacing w:before="100" w:beforeAutospacing="1" w:after="100" w:afterAutospacing="1" w:line="240" w:lineRule="auto"/>
      <w:jc w:val="left"/>
    </w:pPr>
    <w:rPr>
      <w:kern w:val="0"/>
      <w:szCs w:val="24"/>
      <w:lang w:val="zh-CN" w:bidi="bn-IN"/>
      <w14:ligatures w14:val="none"/>
    </w:rPr>
  </w:style>
  <w:style w:type="character" w:customStyle="1" w:styleId="184">
    <w:name w:val="s12"/>
    <w:basedOn w:val="11"/>
    <w:uiPriority w:val="0"/>
  </w:style>
  <w:style w:type="character" w:customStyle="1" w:styleId="185">
    <w:name w:val="s13"/>
    <w:basedOn w:val="11"/>
    <w:uiPriority w:val="0"/>
  </w:style>
  <w:style w:type="character" w:customStyle="1" w:styleId="186">
    <w:name w:val="s14"/>
    <w:basedOn w:val="11"/>
    <w:uiPriority w:val="0"/>
  </w:style>
  <w:style w:type="table" w:customStyle="1" w:styleId="187">
    <w:name w:val="Plain Table 3"/>
    <w:basedOn w:val="12"/>
    <w:uiPriority w:val="43"/>
    <w:pPr>
      <w:spacing w:after="0" w:line="240" w:lineRule="auto"/>
    </w:pPr>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188">
    <w:name w:val="Plain Table 5"/>
    <w:basedOn w:val="12"/>
    <w:uiPriority w:val="45"/>
    <w:pPr>
      <w:spacing w:after="0" w:line="240" w:lineRule="auto"/>
    </w:pPr>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paragraph" w:customStyle="1" w:styleId="189">
    <w:name w:val="Reference Entry"/>
    <w:uiPriority w:val="0"/>
    <w:pPr>
      <w:spacing w:after="80" w:line="264" w:lineRule="auto"/>
      <w:ind w:left="425" w:hanging="425"/>
    </w:pPr>
    <w:rPr>
      <w:rFonts w:ascii="Times New Roman" w:hAnsi="Times New Roman" w:eastAsiaTheme="minorEastAsia" w:cstheme="minorBidi"/>
      <w:color w:val="000000"/>
      <w:sz w:val="21"/>
      <w:szCs w:val="22"/>
      <w:lang w:val="en-US" w:eastAsia="en-US" w:bidi="ar-SA"/>
    </w:rPr>
  </w:style>
  <w:style w:type="table" w:customStyle="1" w:styleId="190">
    <w:name w:val="List Table 3 Accent 1"/>
    <w:basedOn w:val="12"/>
    <w:uiPriority w:val="48"/>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bCs/>
        <w:color w:val="FFFFFF" w:themeColor="background1"/>
        <w14:textFill>
          <w14:solidFill>
            <w14:schemeClr w14:val="bg1"/>
          </w14:solidFill>
        </w14:textFill>
      </w:rPr>
      <w:tcPr>
        <w:shd w:val="clear" w:color="auto" w:fill="4472C4" w:themeFill="accent1"/>
      </w:tcPr>
    </w:tblStylePr>
    <w:tblStylePr w:type="lastRow">
      <w:rPr>
        <w:b/>
        <w:bCs/>
      </w:rPr>
      <w:tcPr>
        <w:tcBorders>
          <w:top w:val="double" w:color="4472C4" w:themeColor="accen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472C4" w:themeColor="accent1" w:sz="4" w:space="0"/>
          <w:right w:val="single" w:color="4472C4" w:themeColor="accent1" w:sz="4" w:space="0"/>
        </w:tcBorders>
      </w:tcPr>
    </w:tblStylePr>
    <w:tblStylePr w:type="band1Horz">
      <w:tcPr>
        <w:tcBorders>
          <w:top w:val="single" w:color="4472C4" w:themeColor="accent1" w:sz="4" w:space="0"/>
          <w:bottom w:val="single" w:color="4472C4" w:themeColor="accen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472C4" w:themeColor="accent1" w:sz="4" w:space="0"/>
          <w:left w:val="nil"/>
        </w:tcBorders>
      </w:tcPr>
    </w:tblStylePr>
    <w:tblStylePr w:type="swCell">
      <w:tcPr>
        <w:tcBorders>
          <w:top w:val="double" w:color="4472C4" w:themeColor="accent1" w:sz="4" w:space="0"/>
          <w:right w:val="nil"/>
        </w:tcBorders>
      </w:tcPr>
    </w:tblStylePr>
  </w:style>
  <w:style w:type="character" w:customStyle="1" w:styleId="191">
    <w:name w:val="Heading 5 Char"/>
    <w:basedOn w:val="11"/>
    <w:link w:val="6"/>
    <w:semiHidden/>
    <w:uiPriority w:val="9"/>
    <w:rPr>
      <w:rFonts w:asciiTheme="majorHAnsi" w:hAnsiTheme="majorHAnsi" w:eastAsiaTheme="majorEastAsia" w:cstheme="majorBidi"/>
      <w:color w:val="203864" w:themeColor="accent1" w:themeShade="80"/>
      <w:szCs w:val="22"/>
      <w:lang w:val="en-US" w:bidi="ar-SA"/>
    </w:rPr>
  </w:style>
  <w:style w:type="character" w:customStyle="1" w:styleId="192">
    <w:name w:val="Heading 6 Char"/>
    <w:basedOn w:val="11"/>
    <w:link w:val="7"/>
    <w:semiHidden/>
    <w:qFormat/>
    <w:uiPriority w:val="9"/>
    <w:rPr>
      <w:rFonts w:asciiTheme="majorHAnsi" w:hAnsiTheme="majorHAnsi" w:eastAsiaTheme="majorEastAsia" w:cstheme="majorBidi"/>
      <w:i/>
      <w:iCs/>
      <w:color w:val="203864" w:themeColor="accent1" w:themeShade="80"/>
      <w:szCs w:val="22"/>
      <w:lang w:val="en-US" w:bidi="ar-SA"/>
    </w:rPr>
  </w:style>
  <w:style w:type="character" w:customStyle="1" w:styleId="193">
    <w:name w:val="Heading 7 Char"/>
    <w:basedOn w:val="11"/>
    <w:link w:val="8"/>
    <w:semiHidden/>
    <w:uiPriority w:val="9"/>
    <w:rPr>
      <w:rFonts w:asciiTheme="majorHAnsi" w:hAnsiTheme="majorHAnsi" w:eastAsiaTheme="majorEastAsia" w:cstheme="majorBidi"/>
      <w:i/>
      <w:iCs/>
      <w:color w:val="404040" w:themeColor="text1" w:themeTint="BF"/>
      <w:szCs w:val="22"/>
      <w:lang w:val="en-US" w:bidi="ar-SA"/>
      <w14:textFill>
        <w14:solidFill>
          <w14:schemeClr w14:val="tx1">
            <w14:lumMod w14:val="75000"/>
            <w14:lumOff w14:val="25000"/>
          </w14:schemeClr>
        </w14:solidFill>
      </w14:textFill>
    </w:rPr>
  </w:style>
  <w:style w:type="character" w:customStyle="1" w:styleId="194">
    <w:name w:val="Heading 8 Char"/>
    <w:basedOn w:val="11"/>
    <w:link w:val="9"/>
    <w:semiHidden/>
    <w:uiPriority w:val="9"/>
    <w:rPr>
      <w:rFonts w:asciiTheme="majorHAnsi" w:hAnsiTheme="majorHAnsi" w:eastAsiaTheme="majorEastAsia" w:cstheme="majorBidi"/>
      <w:color w:val="4472C4" w:themeColor="accent1"/>
      <w:sz w:val="20"/>
      <w:szCs w:val="20"/>
      <w:lang w:val="en-US" w:bidi="ar-SA"/>
      <w14:textFill>
        <w14:solidFill>
          <w14:schemeClr w14:val="accent1"/>
        </w14:solidFill>
      </w14:textFill>
    </w:rPr>
  </w:style>
  <w:style w:type="character" w:customStyle="1" w:styleId="195">
    <w:name w:val="Heading 9 Char"/>
    <w:basedOn w:val="11"/>
    <w:link w:val="10"/>
    <w:semiHidden/>
    <w:uiPriority w:val="9"/>
    <w:rPr>
      <w:rFonts w:asciiTheme="majorHAnsi" w:hAnsiTheme="majorHAnsi" w:eastAsiaTheme="majorEastAsia" w:cstheme="majorBidi"/>
      <w:i/>
      <w:iCs/>
      <w:color w:val="404040" w:themeColor="text1" w:themeTint="BF"/>
      <w:sz w:val="20"/>
      <w:szCs w:val="20"/>
      <w:lang w:val="en-US" w:bidi="ar-SA"/>
      <w14:textFill>
        <w14:solidFill>
          <w14:schemeClr w14:val="tx1">
            <w14:lumMod w14:val="75000"/>
            <w14:lumOff w14:val="25000"/>
          </w14:schemeClr>
        </w14:solidFill>
      </w14:textFill>
    </w:rPr>
  </w:style>
  <w:style w:type="character" w:customStyle="1" w:styleId="196">
    <w:name w:val="Title Char"/>
    <w:basedOn w:val="11"/>
    <w:link w:val="43"/>
    <w:uiPriority w:val="10"/>
    <w:rPr>
      <w:rFonts w:asciiTheme="majorHAnsi" w:hAnsiTheme="majorHAnsi" w:eastAsiaTheme="majorEastAsia" w:cstheme="majorBidi"/>
      <w:color w:val="333F50" w:themeColor="text2" w:themeShade="BF"/>
      <w:spacing w:val="5"/>
      <w:kern w:val="28"/>
      <w:sz w:val="52"/>
      <w:szCs w:val="52"/>
      <w:lang w:val="en-US" w:bidi="ar-SA"/>
    </w:rPr>
  </w:style>
  <w:style w:type="character" w:customStyle="1" w:styleId="197">
    <w:name w:val="Subtitle Char"/>
    <w:basedOn w:val="11"/>
    <w:link w:val="40"/>
    <w:uiPriority w:val="11"/>
    <w:rPr>
      <w:rFonts w:asciiTheme="majorHAnsi" w:hAnsiTheme="majorHAnsi" w:eastAsiaTheme="majorEastAsia" w:cstheme="majorBidi"/>
      <w:i/>
      <w:iCs/>
      <w:color w:val="4472C4" w:themeColor="accent1"/>
      <w:spacing w:val="15"/>
      <w:sz w:val="24"/>
      <w:szCs w:val="24"/>
      <w:lang w:val="en-US" w:bidi="ar-SA"/>
      <w14:textFill>
        <w14:solidFill>
          <w14:schemeClr w14:val="accent1"/>
        </w14:solidFill>
      </w14:textFill>
    </w:rPr>
  </w:style>
  <w:style w:type="character" w:customStyle="1" w:styleId="198">
    <w:name w:val="Body Text 2 Char"/>
    <w:basedOn w:val="11"/>
    <w:link w:val="15"/>
    <w:uiPriority w:val="99"/>
    <w:rPr>
      <w:rFonts w:ascii="Times New Roman" w:hAnsi="Times New Roman" w:eastAsiaTheme="minorEastAsia"/>
      <w:szCs w:val="22"/>
      <w:lang w:val="en-US" w:bidi="ar-SA"/>
    </w:rPr>
  </w:style>
  <w:style w:type="character" w:customStyle="1" w:styleId="199">
    <w:name w:val="Body Text 3 Char"/>
    <w:basedOn w:val="11"/>
    <w:link w:val="16"/>
    <w:uiPriority w:val="99"/>
    <w:rPr>
      <w:rFonts w:ascii="Times New Roman" w:hAnsi="Times New Roman" w:eastAsiaTheme="minorEastAsia"/>
      <w:sz w:val="16"/>
      <w:szCs w:val="16"/>
      <w:lang w:val="en-US" w:bidi="ar-SA"/>
    </w:rPr>
  </w:style>
  <w:style w:type="character" w:customStyle="1" w:styleId="200">
    <w:name w:val="Macro Text Char"/>
    <w:basedOn w:val="11"/>
    <w:link w:val="37"/>
    <w:uiPriority w:val="99"/>
    <w:rPr>
      <w:rFonts w:ascii="Courier" w:hAnsi="Courier" w:eastAsiaTheme="minorEastAsia"/>
      <w:sz w:val="20"/>
      <w:szCs w:val="20"/>
      <w:lang w:val="en-US" w:bidi="ar-SA"/>
    </w:rPr>
  </w:style>
  <w:style w:type="paragraph" w:styleId="201">
    <w:name w:val="Quote"/>
    <w:basedOn w:val="1"/>
    <w:next w:val="1"/>
    <w:link w:val="202"/>
    <w:qFormat/>
    <w:uiPriority w:val="29"/>
    <w:pPr>
      <w:spacing w:before="0" w:after="80" w:line="240" w:lineRule="auto"/>
      <w:jc w:val="left"/>
    </w:pPr>
    <w:rPr>
      <w:rFonts w:eastAsiaTheme="minorEastAsia" w:cstheme="minorBidi"/>
      <w:i/>
      <w:iCs/>
      <w:color w:val="000000" w:themeColor="text1"/>
      <w:kern w:val="0"/>
      <w:sz w:val="22"/>
      <w:lang w:val="en-US" w:eastAsia="en-US"/>
      <w14:textFill>
        <w14:solidFill>
          <w14:schemeClr w14:val="tx1"/>
        </w14:solidFill>
      </w14:textFill>
      <w14:ligatures w14:val="none"/>
    </w:rPr>
  </w:style>
  <w:style w:type="character" w:customStyle="1" w:styleId="202">
    <w:name w:val="Quote Char"/>
    <w:basedOn w:val="11"/>
    <w:link w:val="201"/>
    <w:uiPriority w:val="29"/>
    <w:rPr>
      <w:rFonts w:ascii="Times New Roman" w:hAnsi="Times New Roman" w:eastAsiaTheme="minorEastAsia"/>
      <w:i/>
      <w:iCs/>
      <w:color w:val="000000" w:themeColor="text1"/>
      <w:szCs w:val="22"/>
      <w:lang w:val="en-US" w:bidi="ar-SA"/>
      <w14:textFill>
        <w14:solidFill>
          <w14:schemeClr w14:val="tx1"/>
        </w14:solidFill>
      </w14:textFill>
    </w:rPr>
  </w:style>
  <w:style w:type="paragraph" w:styleId="203">
    <w:name w:val="Intense Quote"/>
    <w:basedOn w:val="1"/>
    <w:next w:val="1"/>
    <w:link w:val="204"/>
    <w:qFormat/>
    <w:uiPriority w:val="30"/>
    <w:pPr>
      <w:pBdr>
        <w:bottom w:val="single" w:color="4472C4" w:themeColor="accent1" w:sz="4" w:space="4"/>
      </w:pBdr>
      <w:spacing w:before="200" w:after="280" w:line="240" w:lineRule="auto"/>
      <w:ind w:left="936" w:right="936"/>
      <w:jc w:val="left"/>
    </w:pPr>
    <w:rPr>
      <w:rFonts w:eastAsiaTheme="minorEastAsia" w:cstheme="minorBidi"/>
      <w:b/>
      <w:bCs/>
      <w:i/>
      <w:iCs/>
      <w:color w:val="4472C4" w:themeColor="accent1"/>
      <w:kern w:val="0"/>
      <w:sz w:val="22"/>
      <w:lang w:val="en-US" w:eastAsia="en-US"/>
      <w14:textFill>
        <w14:solidFill>
          <w14:schemeClr w14:val="accent1"/>
        </w14:solidFill>
      </w14:textFill>
      <w14:ligatures w14:val="none"/>
    </w:rPr>
  </w:style>
  <w:style w:type="character" w:customStyle="1" w:styleId="204">
    <w:name w:val="Intense Quote Char"/>
    <w:basedOn w:val="11"/>
    <w:link w:val="203"/>
    <w:uiPriority w:val="30"/>
    <w:rPr>
      <w:rFonts w:ascii="Times New Roman" w:hAnsi="Times New Roman" w:eastAsiaTheme="minorEastAsia"/>
      <w:b/>
      <w:bCs/>
      <w:i/>
      <w:iCs/>
      <w:color w:val="4472C4" w:themeColor="accent1"/>
      <w:szCs w:val="22"/>
      <w:lang w:val="en-US" w:bidi="ar-SA"/>
      <w14:textFill>
        <w14:solidFill>
          <w14:schemeClr w14:val="accent1"/>
        </w14:solidFill>
      </w14:textFill>
    </w:rPr>
  </w:style>
  <w:style w:type="character" w:customStyle="1" w:styleId="205">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206">
    <w:name w:val="Intense Emphasis"/>
    <w:basedOn w:val="11"/>
    <w:qFormat/>
    <w:uiPriority w:val="21"/>
    <w:rPr>
      <w:b/>
      <w:bCs/>
      <w:i/>
      <w:iCs/>
      <w:color w:val="4472C4" w:themeColor="accent1"/>
      <w14:textFill>
        <w14:solidFill>
          <w14:schemeClr w14:val="accent1"/>
        </w14:solidFill>
      </w14:textFill>
    </w:rPr>
  </w:style>
  <w:style w:type="character" w:customStyle="1" w:styleId="207">
    <w:name w:val="Subtle Reference"/>
    <w:basedOn w:val="11"/>
    <w:qFormat/>
    <w:uiPriority w:val="31"/>
    <w:rPr>
      <w:smallCaps/>
      <w:color w:val="ED7D31" w:themeColor="accent2"/>
      <w:u w:val="single"/>
      <w14:textFill>
        <w14:solidFill>
          <w14:schemeClr w14:val="accent2"/>
        </w14:solidFill>
      </w14:textFill>
    </w:rPr>
  </w:style>
  <w:style w:type="character" w:customStyle="1" w:styleId="208">
    <w:name w:val="Intense Reference"/>
    <w:basedOn w:val="11"/>
    <w:qFormat/>
    <w:uiPriority w:val="32"/>
    <w:rPr>
      <w:b/>
      <w:bCs/>
      <w:smallCaps/>
      <w:color w:val="ED7D31" w:themeColor="accent2"/>
      <w:spacing w:val="5"/>
      <w:u w:val="single"/>
      <w14:textFill>
        <w14:solidFill>
          <w14:schemeClr w14:val="accent2"/>
        </w14:solidFill>
      </w14:textFill>
    </w:rPr>
  </w:style>
  <w:style w:type="character" w:customStyle="1" w:styleId="209">
    <w:name w:val="Book Title"/>
    <w:basedOn w:val="11"/>
    <w:qFormat/>
    <w:uiPriority w:val="33"/>
    <w:rPr>
      <w:b/>
      <w:bCs/>
      <w:smallCaps/>
      <w:spacing w:val="5"/>
    </w:rPr>
  </w:style>
  <w:style w:type="table" w:customStyle="1" w:styleId="210">
    <w:name w:val="List Table 3 Accent 5"/>
    <w:basedOn w:val="12"/>
    <w:qFormat/>
    <w:uiPriority w:val="48"/>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tblBorders>
    </w:tblPr>
    <w:tblStylePr w:type="firstRow">
      <w:rPr>
        <w:b/>
        <w:bCs/>
        <w:color w:val="FFFFFF" w:themeColor="background1"/>
        <w14:textFill>
          <w14:solidFill>
            <w14:schemeClr w14:val="bg1"/>
          </w14:solidFill>
        </w14:textFill>
      </w:rPr>
      <w:tcPr>
        <w:shd w:val="clear" w:color="auto" w:fill="5B9BD5" w:themeFill="accent5"/>
      </w:tcPr>
    </w:tblStylePr>
    <w:tblStylePr w:type="lastRow">
      <w:rPr>
        <w:b/>
        <w:bCs/>
      </w:rPr>
      <w:tcPr>
        <w:tcBorders>
          <w:top w:val="double" w:color="5B9BD5" w:themeColor="accent5"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5B9BD5" w:themeColor="accent5" w:sz="4" w:space="0"/>
          <w:right w:val="single" w:color="5B9BD5" w:themeColor="accent5" w:sz="4" w:space="0"/>
        </w:tcBorders>
      </w:tcPr>
    </w:tblStylePr>
    <w:tblStylePr w:type="band1Horz">
      <w:tcPr>
        <w:tcBorders>
          <w:top w:val="single" w:color="5B9BD5" w:themeColor="accent5" w:sz="4" w:space="0"/>
          <w:bottom w:val="single" w:color="5B9BD5" w:themeColor="accent5"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5B9BD5" w:themeColor="accent5" w:sz="4" w:space="0"/>
          <w:left w:val="nil"/>
        </w:tcBorders>
      </w:tcPr>
    </w:tblStylePr>
    <w:tblStylePr w:type="swCell">
      <w:tcPr>
        <w:tcBorders>
          <w:top w:val="double" w:color="5B9BD5" w:themeColor="accent5" w:sz="4" w:space="0"/>
          <w:right w:val="nil"/>
        </w:tcBorders>
      </w:tcPr>
    </w:tblStylePr>
  </w:style>
  <w:style w:type="table" w:customStyle="1" w:styleId="211">
    <w:name w:val="Grid Table 6 Colorful Accent 5"/>
    <w:basedOn w:val="12"/>
    <w:qFormat/>
    <w:uiPriority w:val="51"/>
    <w:pPr>
      <w:spacing w:after="0" w:line="240" w:lineRule="auto"/>
    </w:pPr>
    <w:rPr>
      <w:color w:val="2E75B6" w:themeColor="accent5" w:themeShade="BF"/>
    </w:r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cPr>
        <w:tcBorders>
          <w:bottom w:val="single" w:color="9CC2E5" w:themeColor="accent5" w:themeTint="99" w:sz="12" w:space="0"/>
        </w:tcBorders>
      </w:tcPr>
    </w:tblStylePr>
    <w:tblStylePr w:type="lastRow">
      <w:rPr>
        <w:b/>
        <w:bCs/>
      </w:rPr>
      <w:tcPr>
        <w:tcBorders>
          <w:top w:val="doub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paragraph" w:customStyle="1" w:styleId="212">
    <w:name w:val="Table Text"/>
    <w:qFormat/>
    <w:uiPriority w:val="0"/>
    <w:pPr>
      <w:spacing w:after="40" w:line="252" w:lineRule="auto"/>
    </w:pPr>
    <w:rPr>
      <w:rFonts w:ascii="Times New Roman" w:hAnsi="Times New Roman" w:eastAsia="Times New Roman" w:cs="Times New Roman"/>
      <w:color w:val="000000"/>
      <w:sz w:val="18"/>
      <w:szCs w:val="22"/>
      <w:lang w:val="en-US" w:eastAsia="en-US" w:bidi="ar-SA"/>
    </w:rPr>
  </w:style>
  <w:style w:type="paragraph" w:customStyle="1" w:styleId="213">
    <w:name w:val="Table Header"/>
    <w:qFormat/>
    <w:uiPriority w:val="0"/>
    <w:pPr>
      <w:spacing w:after="40" w:line="252" w:lineRule="auto"/>
    </w:pPr>
    <w:rPr>
      <w:rFonts w:ascii="Times New Roman" w:hAnsi="Times New Roman" w:eastAsia="Times New Roman" w:cs="Times New Roman"/>
      <w:b/>
      <w:color w:val="000000"/>
      <w:sz w:val="18"/>
      <w:szCs w:val="22"/>
      <w:lang w:val="en-US" w:eastAsia="en-US" w:bidi="ar-SA"/>
    </w:rPr>
  </w:style>
  <w:style w:type="paragraph" w:customStyle="1" w:styleId="214">
    <w:name w:val="Appendix Body"/>
    <w:qFormat/>
    <w:uiPriority w:val="0"/>
    <w:pPr>
      <w:spacing w:after="100" w:line="269" w:lineRule="auto"/>
    </w:pPr>
    <w:rPr>
      <w:rFonts w:ascii="Times New Roman" w:hAnsi="Times New Roman" w:eastAsia="Times New Roman" w:cs="Times New Roman"/>
      <w:color w:val="000000"/>
      <w:sz w:val="21"/>
      <w:szCs w:val="22"/>
      <w:lang w:val="en-US" w:eastAsia="en-US" w:bidi="ar-SA"/>
    </w:rPr>
  </w:style>
  <w:style w:type="paragraph" w:customStyle="1" w:styleId="215">
    <w:name w:val="Appendix Record"/>
    <w:qFormat/>
    <w:uiPriority w:val="0"/>
    <w:pPr>
      <w:spacing w:after="80" w:line="264" w:lineRule="auto"/>
    </w:pPr>
    <w:rPr>
      <w:rFonts w:ascii="Times New Roman" w:hAnsi="Times New Roman" w:eastAsia="Times New Roman" w:cs="Times New Roman"/>
      <w:color w:val="000000"/>
      <w:sz w:val="20"/>
      <w:szCs w:val="22"/>
      <w:lang w:val="en-US" w:eastAsia="en-US" w:bidi="ar-SA"/>
    </w:rPr>
  </w:style>
  <w:style w:type="paragraph" w:customStyle="1" w:styleId="216">
    <w:name w:val="Reference"/>
    <w:qFormat/>
    <w:uiPriority w:val="0"/>
    <w:pPr>
      <w:spacing w:after="160" w:line="269" w:lineRule="auto"/>
      <w:ind w:left="317" w:hanging="317"/>
    </w:pPr>
    <w:rPr>
      <w:rFonts w:ascii="Times New Roman" w:hAnsi="Times New Roman" w:eastAsia="Times New Roman" w:cs="Times New Roman"/>
      <w:color w:val="000000"/>
      <w:sz w:val="21"/>
      <w:szCs w:val="22"/>
      <w:lang w:val="en-US" w:eastAsia="en-US" w:bidi="ar-SA"/>
    </w:rPr>
  </w:style>
  <w:style w:type="paragraph" w:customStyle="1" w:styleId="217">
    <w:name w:val="Cover Note"/>
    <w:qFormat/>
    <w:uiPriority w:val="0"/>
    <w:pPr>
      <w:spacing w:after="200" w:line="288" w:lineRule="auto"/>
    </w:pPr>
    <w:rPr>
      <w:rFonts w:ascii="Times New Roman" w:hAnsi="Times New Roman" w:eastAsia="Times New Roman" w:cs="Times New Roman"/>
      <w:color w:val="000000"/>
      <w:sz w:val="21"/>
      <w:szCs w:val="22"/>
      <w:lang w:val="en-US" w:eastAsia="en-US" w:bidi="ar-SA"/>
    </w:rPr>
  </w:style>
  <w:style w:type="paragraph" w:customStyle="1" w:styleId="218">
    <w:name w:val="Front Matter Heading"/>
    <w:qFormat/>
    <w:uiPriority w:val="0"/>
    <w:pPr>
      <w:keepNext/>
      <w:spacing w:after="360" w:line="276" w:lineRule="auto"/>
      <w:jc w:val="center"/>
    </w:pPr>
    <w:rPr>
      <w:rFonts w:ascii="Times New Roman" w:hAnsi="Times New Roman" w:eastAsiaTheme="minorEastAsia" w:cstheme="minorBidi"/>
      <w:b/>
      <w:sz w:val="3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datastoreItem>
</file>

<file path=docProps/app.xml><?xml version="1.0" encoding="utf-8"?>
<Properties xmlns="http://schemas.openxmlformats.org/officeDocument/2006/extended-properties" xmlns:vt="http://schemas.openxmlformats.org/officeDocument/2006/docPropsVTypes">
  <Template>Normal.dotm</Template>
  <Pages>76</Pages>
  <Words>3734</Words>
  <Characters>22963</Characters>
  <Lines>1208</Lines>
  <Paragraphs>340</Paragraphs>
  <TotalTime>16</TotalTime>
  <ScaleCrop>false</ScaleCrop>
  <LinksUpToDate>false</LinksUpToDate>
  <CharactersWithSpaces>26479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2026-07-05T07:58:00Z</dcterms:created>
  <dcterms:modified xsi:type="dcterms:W3CDTF">2026-09-22T13:14:56Z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y fmtid="{D5CDD505-2E9C-101B-9397-08002B2CF9AE}" pid="3" name="KSOTemplateDocerSaveRecord">
    <vt:lpwstr>eyJoZGlkIjoiYmQ0NjBhOGUzYTQyMGFkMGJhOTU5ZTA0NTU4YWViMWUiLCJ1c2VySWQiOiI4ODEzNDcxNDAyMzM2In0=</vt:lpwstr>
  </property>
  <property fmtid="{D5CDD505-2E9C-101B-9397-08002B2CF9AE}" pid="4" name="KSOProductBuildVer">
    <vt:lpwstr>1033-12.1.0.28485</vt:lpwstr>
  </property>
  <property fmtid="{D5CDD505-2E9C-101B-9397-08002B2CF9AE}" pid="5" name="ICV">
    <vt:lpwstr>5C7EACC8204142E0854C2E681DBF8129_12</vt:lpwstr>
  </property>
</Properties>
</file>