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076FA" w14:textId="4986CC9F" w:rsidR="00934B40" w:rsidRPr="00F11938" w:rsidRDefault="00751616" w:rsidP="009A7B71">
      <w:pPr>
        <w:spacing w:line="360" w:lineRule="auto"/>
        <w:rPr>
          <w:rFonts w:ascii="Arial" w:hAnsi="Arial" w:cs="Arial"/>
          <w:b/>
          <w:bCs/>
        </w:rPr>
      </w:pPr>
      <w:r w:rsidRPr="00F11938">
        <w:rPr>
          <w:rFonts w:ascii="Arial" w:hAnsi="Arial" w:cs="Arial"/>
          <w:b/>
          <w:bCs/>
        </w:rPr>
        <w:t>Module Title – Psychology in Health and Social Care</w:t>
      </w:r>
      <w:r w:rsidRPr="00F11938">
        <w:rPr>
          <w:rFonts w:ascii="Arial" w:hAnsi="Arial" w:cs="Arial"/>
          <w:b/>
          <w:bCs/>
        </w:rPr>
        <w:br/>
        <w:t>Module Code – LCHS4010</w:t>
      </w:r>
      <w:r w:rsidRPr="00F11938">
        <w:rPr>
          <w:rFonts w:ascii="Arial" w:hAnsi="Arial" w:cs="Arial"/>
          <w:b/>
          <w:bCs/>
        </w:rPr>
        <w:br/>
        <w:t>Assignment Title –</w:t>
      </w:r>
      <w:r w:rsidR="00BE63F3" w:rsidRPr="00F11938">
        <w:rPr>
          <w:rFonts w:ascii="Arial" w:hAnsi="Arial" w:cs="Arial"/>
          <w:b/>
          <w:bCs/>
        </w:rPr>
        <w:t xml:space="preserve"> </w:t>
      </w:r>
      <w:r w:rsidR="001453F4" w:rsidRPr="00F11938">
        <w:rPr>
          <w:rFonts w:ascii="Arial" w:hAnsi="Arial" w:cs="Arial"/>
          <w:b/>
          <w:bCs/>
        </w:rPr>
        <w:t>Assessment 2: Bibliography &amp;  Report</w:t>
      </w:r>
      <w:r w:rsidRPr="00F11938">
        <w:rPr>
          <w:rFonts w:ascii="Arial" w:hAnsi="Arial" w:cs="Arial"/>
          <w:b/>
          <w:bCs/>
        </w:rPr>
        <w:br/>
        <w:t>Student Name – Romeenah Akhtar</w:t>
      </w:r>
      <w:r w:rsidRPr="00F11938">
        <w:rPr>
          <w:rFonts w:ascii="Arial" w:hAnsi="Arial" w:cs="Arial"/>
          <w:b/>
          <w:bCs/>
        </w:rPr>
        <w:br/>
        <w:t>Student Number- 2433755</w:t>
      </w:r>
      <w:r w:rsidRPr="00F11938">
        <w:rPr>
          <w:rFonts w:ascii="Arial" w:hAnsi="Arial" w:cs="Arial"/>
          <w:b/>
          <w:bCs/>
        </w:rPr>
        <w:br/>
        <w:t>Lecturer’s Name – Alice Clayton</w:t>
      </w:r>
      <w:r w:rsidRPr="00F11938">
        <w:rPr>
          <w:rFonts w:ascii="Arial" w:hAnsi="Arial" w:cs="Arial"/>
          <w:b/>
          <w:bCs/>
        </w:rPr>
        <w:br/>
        <w:t>Date –</w:t>
      </w:r>
      <w:r w:rsidR="00BE63F3" w:rsidRPr="00F11938">
        <w:rPr>
          <w:rFonts w:ascii="Arial" w:hAnsi="Arial" w:cs="Arial"/>
          <w:b/>
          <w:bCs/>
        </w:rPr>
        <w:t>23</w:t>
      </w:r>
      <w:r w:rsidR="00BE63F3" w:rsidRPr="00F11938">
        <w:rPr>
          <w:rFonts w:ascii="Arial" w:hAnsi="Arial" w:cs="Arial"/>
          <w:b/>
          <w:bCs/>
          <w:vertAlign w:val="superscript"/>
        </w:rPr>
        <w:t>rd</w:t>
      </w:r>
      <w:r w:rsidR="00BE63F3" w:rsidRPr="00F11938">
        <w:rPr>
          <w:rFonts w:ascii="Arial" w:hAnsi="Arial" w:cs="Arial"/>
          <w:b/>
          <w:bCs/>
        </w:rPr>
        <w:t xml:space="preserve"> March </w:t>
      </w:r>
      <w:r w:rsidRPr="00F11938">
        <w:rPr>
          <w:rFonts w:ascii="Arial" w:hAnsi="Arial" w:cs="Arial"/>
          <w:b/>
          <w:bCs/>
        </w:rPr>
        <w:t>2026</w:t>
      </w:r>
    </w:p>
    <w:p w14:paraId="6D066AD1" w14:textId="77777777" w:rsidR="00934B40" w:rsidRDefault="00934B40" w:rsidP="009A7B71">
      <w:pPr>
        <w:spacing w:line="360" w:lineRule="auto"/>
        <w:rPr>
          <w:rFonts w:ascii="Arial" w:hAnsi="Arial" w:cs="Arial"/>
          <w:b/>
          <w:bCs/>
          <w:sz w:val="24"/>
          <w:szCs w:val="24"/>
          <w:u w:val="single"/>
        </w:rPr>
      </w:pPr>
    </w:p>
    <w:p w14:paraId="7B6C48E7" w14:textId="77777777" w:rsidR="000302E8" w:rsidRDefault="000302E8" w:rsidP="009A7B71">
      <w:pPr>
        <w:spacing w:line="360" w:lineRule="auto"/>
        <w:rPr>
          <w:rFonts w:ascii="Arial" w:hAnsi="Arial" w:cs="Arial"/>
          <w:b/>
          <w:bCs/>
          <w:sz w:val="24"/>
          <w:szCs w:val="24"/>
          <w:u w:val="single"/>
        </w:rPr>
      </w:pPr>
    </w:p>
    <w:p w14:paraId="1EBC1C7A" w14:textId="77777777" w:rsidR="000302E8" w:rsidRDefault="000302E8" w:rsidP="009A7B71">
      <w:pPr>
        <w:spacing w:line="360" w:lineRule="auto"/>
        <w:rPr>
          <w:rFonts w:ascii="Arial" w:hAnsi="Arial" w:cs="Arial"/>
          <w:b/>
          <w:bCs/>
          <w:sz w:val="24"/>
          <w:szCs w:val="24"/>
          <w:u w:val="single"/>
        </w:rPr>
      </w:pPr>
    </w:p>
    <w:p w14:paraId="7582697A" w14:textId="77777777" w:rsidR="000302E8" w:rsidRDefault="000302E8" w:rsidP="009A7B71">
      <w:pPr>
        <w:spacing w:line="360" w:lineRule="auto"/>
        <w:rPr>
          <w:rFonts w:ascii="Arial" w:hAnsi="Arial" w:cs="Arial"/>
          <w:b/>
          <w:bCs/>
          <w:sz w:val="24"/>
          <w:szCs w:val="24"/>
          <w:u w:val="single"/>
        </w:rPr>
      </w:pPr>
    </w:p>
    <w:p w14:paraId="79B33B0B" w14:textId="77777777" w:rsidR="000302E8" w:rsidRDefault="000302E8" w:rsidP="009A7B71">
      <w:pPr>
        <w:spacing w:line="360" w:lineRule="auto"/>
        <w:rPr>
          <w:rFonts w:ascii="Arial" w:hAnsi="Arial" w:cs="Arial"/>
          <w:b/>
          <w:bCs/>
          <w:sz w:val="24"/>
          <w:szCs w:val="24"/>
          <w:u w:val="single"/>
        </w:rPr>
      </w:pPr>
    </w:p>
    <w:p w14:paraId="02A927F7" w14:textId="77777777" w:rsidR="000302E8" w:rsidRDefault="000302E8" w:rsidP="009A7B71">
      <w:pPr>
        <w:spacing w:line="360" w:lineRule="auto"/>
        <w:rPr>
          <w:rFonts w:ascii="Arial" w:hAnsi="Arial" w:cs="Arial"/>
          <w:b/>
          <w:bCs/>
          <w:sz w:val="24"/>
          <w:szCs w:val="24"/>
          <w:u w:val="single"/>
        </w:rPr>
      </w:pPr>
    </w:p>
    <w:p w14:paraId="6C707961" w14:textId="77777777" w:rsidR="000302E8" w:rsidRDefault="000302E8" w:rsidP="009A7B71">
      <w:pPr>
        <w:spacing w:line="360" w:lineRule="auto"/>
        <w:rPr>
          <w:rFonts w:ascii="Arial" w:hAnsi="Arial" w:cs="Arial"/>
          <w:b/>
          <w:bCs/>
          <w:sz w:val="24"/>
          <w:szCs w:val="24"/>
          <w:u w:val="single"/>
        </w:rPr>
      </w:pPr>
    </w:p>
    <w:p w14:paraId="7A9D9A52" w14:textId="77777777" w:rsidR="000302E8" w:rsidRDefault="000302E8" w:rsidP="009A7B71">
      <w:pPr>
        <w:spacing w:line="360" w:lineRule="auto"/>
        <w:rPr>
          <w:rFonts w:ascii="Arial" w:hAnsi="Arial" w:cs="Arial"/>
          <w:b/>
          <w:bCs/>
          <w:sz w:val="24"/>
          <w:szCs w:val="24"/>
          <w:u w:val="single"/>
        </w:rPr>
      </w:pPr>
    </w:p>
    <w:p w14:paraId="39CAFB0E" w14:textId="77777777" w:rsidR="000302E8" w:rsidRDefault="000302E8" w:rsidP="009A7B71">
      <w:pPr>
        <w:spacing w:line="360" w:lineRule="auto"/>
        <w:rPr>
          <w:rFonts w:ascii="Arial" w:hAnsi="Arial" w:cs="Arial"/>
          <w:b/>
          <w:bCs/>
          <w:sz w:val="24"/>
          <w:szCs w:val="24"/>
          <w:u w:val="single"/>
        </w:rPr>
      </w:pPr>
    </w:p>
    <w:p w14:paraId="260D8BBB" w14:textId="77777777" w:rsidR="000302E8" w:rsidRDefault="000302E8" w:rsidP="009A7B71">
      <w:pPr>
        <w:spacing w:line="360" w:lineRule="auto"/>
        <w:rPr>
          <w:rFonts w:ascii="Arial" w:hAnsi="Arial" w:cs="Arial"/>
          <w:b/>
          <w:bCs/>
          <w:sz w:val="24"/>
          <w:szCs w:val="24"/>
          <w:u w:val="single"/>
        </w:rPr>
      </w:pPr>
    </w:p>
    <w:p w14:paraId="1DC39619" w14:textId="77777777" w:rsidR="000302E8" w:rsidRDefault="000302E8" w:rsidP="009A7B71">
      <w:pPr>
        <w:spacing w:line="360" w:lineRule="auto"/>
        <w:rPr>
          <w:rFonts w:ascii="Arial" w:hAnsi="Arial" w:cs="Arial"/>
          <w:b/>
          <w:bCs/>
          <w:sz w:val="24"/>
          <w:szCs w:val="24"/>
          <w:u w:val="single"/>
        </w:rPr>
      </w:pPr>
    </w:p>
    <w:p w14:paraId="115BD858" w14:textId="77777777" w:rsidR="000302E8" w:rsidRDefault="000302E8" w:rsidP="009A7B71">
      <w:pPr>
        <w:spacing w:line="360" w:lineRule="auto"/>
        <w:rPr>
          <w:rFonts w:ascii="Arial" w:hAnsi="Arial" w:cs="Arial"/>
          <w:b/>
          <w:bCs/>
          <w:sz w:val="24"/>
          <w:szCs w:val="24"/>
          <w:u w:val="single"/>
        </w:rPr>
      </w:pPr>
    </w:p>
    <w:p w14:paraId="6691CAA1" w14:textId="77777777" w:rsidR="000302E8" w:rsidRDefault="000302E8" w:rsidP="009A7B71">
      <w:pPr>
        <w:spacing w:line="360" w:lineRule="auto"/>
        <w:rPr>
          <w:rFonts w:ascii="Arial" w:hAnsi="Arial" w:cs="Arial"/>
          <w:b/>
          <w:bCs/>
          <w:sz w:val="24"/>
          <w:szCs w:val="24"/>
          <w:u w:val="single"/>
        </w:rPr>
      </w:pPr>
    </w:p>
    <w:p w14:paraId="5A6258F4" w14:textId="77777777" w:rsidR="000302E8" w:rsidRDefault="000302E8" w:rsidP="009A7B71">
      <w:pPr>
        <w:spacing w:line="360" w:lineRule="auto"/>
        <w:rPr>
          <w:rFonts w:ascii="Arial" w:hAnsi="Arial" w:cs="Arial"/>
          <w:b/>
          <w:bCs/>
          <w:sz w:val="24"/>
          <w:szCs w:val="24"/>
          <w:u w:val="single"/>
        </w:rPr>
      </w:pPr>
    </w:p>
    <w:p w14:paraId="10873D1D" w14:textId="77777777" w:rsidR="000302E8" w:rsidRDefault="000302E8" w:rsidP="009A7B71">
      <w:pPr>
        <w:spacing w:line="360" w:lineRule="auto"/>
        <w:rPr>
          <w:rFonts w:ascii="Arial" w:hAnsi="Arial" w:cs="Arial"/>
          <w:b/>
          <w:bCs/>
          <w:sz w:val="24"/>
          <w:szCs w:val="24"/>
          <w:u w:val="single"/>
        </w:rPr>
      </w:pPr>
    </w:p>
    <w:p w14:paraId="4F46CE5A" w14:textId="77777777" w:rsidR="000302E8" w:rsidRDefault="000302E8" w:rsidP="009A7B71">
      <w:pPr>
        <w:spacing w:line="360" w:lineRule="auto"/>
        <w:rPr>
          <w:rFonts w:ascii="Arial" w:hAnsi="Arial" w:cs="Arial"/>
          <w:b/>
          <w:bCs/>
          <w:sz w:val="24"/>
          <w:szCs w:val="24"/>
          <w:u w:val="single"/>
        </w:rPr>
      </w:pPr>
    </w:p>
    <w:p w14:paraId="1646515D" w14:textId="77777777" w:rsidR="000302E8" w:rsidRDefault="000302E8" w:rsidP="009A7B71">
      <w:pPr>
        <w:spacing w:line="360" w:lineRule="auto"/>
        <w:rPr>
          <w:rFonts w:ascii="Arial" w:hAnsi="Arial" w:cs="Arial"/>
          <w:b/>
          <w:bCs/>
          <w:sz w:val="24"/>
          <w:szCs w:val="24"/>
          <w:u w:val="single"/>
        </w:rPr>
      </w:pPr>
    </w:p>
    <w:p w14:paraId="3E128AD9" w14:textId="77777777" w:rsidR="000302E8" w:rsidRDefault="000302E8" w:rsidP="009A7B71">
      <w:pPr>
        <w:spacing w:line="360" w:lineRule="auto"/>
        <w:rPr>
          <w:rFonts w:ascii="Arial" w:hAnsi="Arial" w:cs="Arial"/>
          <w:b/>
          <w:bCs/>
          <w:sz w:val="24"/>
          <w:szCs w:val="24"/>
          <w:u w:val="single"/>
        </w:rPr>
      </w:pPr>
    </w:p>
    <w:p w14:paraId="1925B6BC" w14:textId="77777777" w:rsidR="000302E8" w:rsidRDefault="000302E8" w:rsidP="009A7B71">
      <w:pPr>
        <w:spacing w:line="360" w:lineRule="auto"/>
        <w:rPr>
          <w:rFonts w:ascii="Arial" w:hAnsi="Arial" w:cs="Arial"/>
          <w:b/>
          <w:bCs/>
          <w:sz w:val="24"/>
          <w:szCs w:val="24"/>
          <w:u w:val="single"/>
        </w:rPr>
      </w:pPr>
    </w:p>
    <w:p w14:paraId="6EBA9130" w14:textId="371E0258" w:rsidR="000302E8" w:rsidRPr="00DF6D3E" w:rsidRDefault="000302E8" w:rsidP="009A7B71">
      <w:pPr>
        <w:spacing w:line="360" w:lineRule="auto"/>
        <w:jc w:val="center"/>
        <w:rPr>
          <w:rFonts w:ascii="Arial" w:hAnsi="Arial" w:cs="Arial"/>
          <w:b/>
          <w:bCs/>
          <w:sz w:val="28"/>
          <w:szCs w:val="28"/>
          <w:u w:val="single"/>
        </w:rPr>
      </w:pPr>
      <w:r w:rsidRPr="00DF6D3E">
        <w:rPr>
          <w:rFonts w:ascii="Arial" w:hAnsi="Arial" w:cs="Arial"/>
          <w:b/>
          <w:bCs/>
          <w:sz w:val="28"/>
          <w:szCs w:val="28"/>
          <w:u w:val="single"/>
        </w:rPr>
        <w:lastRenderedPageBreak/>
        <w:t>Contents page</w:t>
      </w:r>
    </w:p>
    <w:p w14:paraId="4B1F445C" w14:textId="77777777" w:rsidR="000302E8" w:rsidRDefault="000302E8" w:rsidP="009A7B71">
      <w:pPr>
        <w:spacing w:line="360" w:lineRule="auto"/>
        <w:rPr>
          <w:rFonts w:ascii="Arial" w:hAnsi="Arial" w:cs="Arial"/>
          <w:b/>
          <w:bCs/>
          <w:sz w:val="24"/>
          <w:szCs w:val="24"/>
          <w:u w:val="single"/>
        </w:rPr>
      </w:pPr>
    </w:p>
    <w:p w14:paraId="35321174" w14:textId="2B471F81" w:rsidR="000302E8" w:rsidRDefault="00734A00" w:rsidP="009A7B71">
      <w:pPr>
        <w:spacing w:line="360" w:lineRule="auto"/>
        <w:rPr>
          <w:rFonts w:ascii="Arial" w:hAnsi="Arial" w:cs="Arial"/>
          <w:sz w:val="24"/>
          <w:szCs w:val="24"/>
        </w:rPr>
      </w:pPr>
      <w:r>
        <w:rPr>
          <w:rFonts w:ascii="Arial" w:hAnsi="Arial" w:cs="Arial"/>
          <w:sz w:val="24"/>
          <w:szCs w:val="24"/>
        </w:rPr>
        <w:t>Part A: Annotated bibliography ……………………………………</w:t>
      </w:r>
      <w:r>
        <w:rPr>
          <w:rFonts w:ascii="Arial" w:hAnsi="Arial" w:cs="Arial"/>
          <w:sz w:val="24"/>
          <w:szCs w:val="24"/>
        </w:rPr>
        <w:tab/>
        <w:t>pp.3-5</w:t>
      </w:r>
    </w:p>
    <w:p w14:paraId="59CE7EEA" w14:textId="77CAC9A3" w:rsidR="00734A00" w:rsidRDefault="00734A00" w:rsidP="009A7B71">
      <w:pPr>
        <w:spacing w:line="360" w:lineRule="auto"/>
        <w:rPr>
          <w:rFonts w:ascii="Arial" w:hAnsi="Arial" w:cs="Arial"/>
          <w:sz w:val="24"/>
          <w:szCs w:val="24"/>
        </w:rPr>
      </w:pPr>
      <w:r>
        <w:rPr>
          <w:rFonts w:ascii="Arial" w:hAnsi="Arial" w:cs="Arial"/>
          <w:sz w:val="24"/>
          <w:szCs w:val="24"/>
        </w:rPr>
        <w:t>Part B: Short report ………………………………………………..</w:t>
      </w:r>
      <w:r>
        <w:rPr>
          <w:rFonts w:ascii="Arial" w:hAnsi="Arial" w:cs="Arial"/>
          <w:sz w:val="24"/>
          <w:szCs w:val="24"/>
        </w:rPr>
        <w:tab/>
        <w:t>pp.6-8</w:t>
      </w:r>
    </w:p>
    <w:p w14:paraId="42691A11" w14:textId="7B5EFAC3" w:rsidR="00734A00" w:rsidRPr="00734A00" w:rsidRDefault="00734A00" w:rsidP="009A7B71">
      <w:pPr>
        <w:spacing w:line="360" w:lineRule="auto"/>
        <w:rPr>
          <w:rFonts w:ascii="Arial" w:hAnsi="Arial" w:cs="Arial"/>
          <w:sz w:val="24"/>
          <w:szCs w:val="24"/>
        </w:rPr>
      </w:pPr>
      <w:r>
        <w:rPr>
          <w:rFonts w:ascii="Arial" w:hAnsi="Arial" w:cs="Arial"/>
          <w:sz w:val="24"/>
          <w:szCs w:val="24"/>
        </w:rPr>
        <w:t>Reference list ………………………………………………………</w:t>
      </w:r>
      <w:r>
        <w:rPr>
          <w:rFonts w:ascii="Arial" w:hAnsi="Arial" w:cs="Arial"/>
          <w:sz w:val="24"/>
          <w:szCs w:val="24"/>
        </w:rPr>
        <w:tab/>
        <w:t>pp.9-10</w:t>
      </w:r>
    </w:p>
    <w:p w14:paraId="582BC0A0" w14:textId="77777777" w:rsidR="000302E8" w:rsidRDefault="000302E8" w:rsidP="009A7B71">
      <w:pPr>
        <w:spacing w:line="360" w:lineRule="auto"/>
        <w:rPr>
          <w:rFonts w:ascii="Arial" w:hAnsi="Arial" w:cs="Arial"/>
          <w:b/>
          <w:bCs/>
          <w:sz w:val="24"/>
          <w:szCs w:val="24"/>
          <w:u w:val="single"/>
        </w:rPr>
      </w:pPr>
    </w:p>
    <w:p w14:paraId="39EF2F02" w14:textId="77777777" w:rsidR="000302E8" w:rsidRDefault="000302E8" w:rsidP="009A7B71">
      <w:pPr>
        <w:spacing w:line="360" w:lineRule="auto"/>
        <w:rPr>
          <w:rFonts w:ascii="Arial" w:hAnsi="Arial" w:cs="Arial"/>
          <w:b/>
          <w:bCs/>
          <w:sz w:val="24"/>
          <w:szCs w:val="24"/>
          <w:u w:val="single"/>
        </w:rPr>
      </w:pPr>
    </w:p>
    <w:p w14:paraId="07AD0E99" w14:textId="77777777" w:rsidR="000302E8" w:rsidRDefault="000302E8" w:rsidP="009A7B71">
      <w:pPr>
        <w:spacing w:line="360" w:lineRule="auto"/>
        <w:rPr>
          <w:rFonts w:ascii="Arial" w:hAnsi="Arial" w:cs="Arial"/>
          <w:b/>
          <w:bCs/>
          <w:sz w:val="24"/>
          <w:szCs w:val="24"/>
          <w:u w:val="single"/>
        </w:rPr>
      </w:pPr>
    </w:p>
    <w:p w14:paraId="1F38F033" w14:textId="77777777" w:rsidR="000302E8" w:rsidRDefault="000302E8" w:rsidP="009A7B71">
      <w:pPr>
        <w:spacing w:line="360" w:lineRule="auto"/>
        <w:rPr>
          <w:rFonts w:ascii="Arial" w:hAnsi="Arial" w:cs="Arial"/>
          <w:b/>
          <w:bCs/>
          <w:sz w:val="24"/>
          <w:szCs w:val="24"/>
          <w:u w:val="single"/>
        </w:rPr>
      </w:pPr>
    </w:p>
    <w:p w14:paraId="17958FCD" w14:textId="77777777" w:rsidR="000302E8" w:rsidRDefault="000302E8" w:rsidP="009A7B71">
      <w:pPr>
        <w:spacing w:line="360" w:lineRule="auto"/>
        <w:rPr>
          <w:rFonts w:ascii="Arial" w:hAnsi="Arial" w:cs="Arial"/>
          <w:b/>
          <w:bCs/>
          <w:sz w:val="24"/>
          <w:szCs w:val="24"/>
          <w:u w:val="single"/>
        </w:rPr>
      </w:pPr>
    </w:p>
    <w:p w14:paraId="0B638741" w14:textId="77777777" w:rsidR="000302E8" w:rsidRDefault="000302E8" w:rsidP="009A7B71">
      <w:pPr>
        <w:spacing w:line="360" w:lineRule="auto"/>
        <w:rPr>
          <w:rFonts w:ascii="Arial" w:hAnsi="Arial" w:cs="Arial"/>
          <w:b/>
          <w:bCs/>
          <w:sz w:val="24"/>
          <w:szCs w:val="24"/>
          <w:u w:val="single"/>
        </w:rPr>
      </w:pPr>
    </w:p>
    <w:p w14:paraId="6E0F1608" w14:textId="77777777" w:rsidR="000302E8" w:rsidRDefault="000302E8" w:rsidP="009A7B71">
      <w:pPr>
        <w:spacing w:line="360" w:lineRule="auto"/>
        <w:rPr>
          <w:rFonts w:ascii="Arial" w:hAnsi="Arial" w:cs="Arial"/>
          <w:b/>
          <w:bCs/>
          <w:sz w:val="24"/>
          <w:szCs w:val="24"/>
          <w:u w:val="single"/>
        </w:rPr>
      </w:pPr>
    </w:p>
    <w:p w14:paraId="7E6998F4" w14:textId="77777777" w:rsidR="000302E8" w:rsidRDefault="000302E8" w:rsidP="009A7B71">
      <w:pPr>
        <w:spacing w:line="360" w:lineRule="auto"/>
        <w:rPr>
          <w:rFonts w:ascii="Arial" w:hAnsi="Arial" w:cs="Arial"/>
          <w:b/>
          <w:bCs/>
          <w:sz w:val="24"/>
          <w:szCs w:val="24"/>
          <w:u w:val="single"/>
        </w:rPr>
      </w:pPr>
    </w:p>
    <w:p w14:paraId="7311166C" w14:textId="77777777" w:rsidR="000302E8" w:rsidRDefault="000302E8" w:rsidP="009A7B71">
      <w:pPr>
        <w:spacing w:line="360" w:lineRule="auto"/>
        <w:rPr>
          <w:rFonts w:ascii="Arial" w:hAnsi="Arial" w:cs="Arial"/>
          <w:b/>
          <w:bCs/>
          <w:sz w:val="24"/>
          <w:szCs w:val="24"/>
          <w:u w:val="single"/>
        </w:rPr>
      </w:pPr>
    </w:p>
    <w:p w14:paraId="25CABC82" w14:textId="77777777" w:rsidR="000302E8" w:rsidRDefault="000302E8" w:rsidP="009A7B71">
      <w:pPr>
        <w:spacing w:line="360" w:lineRule="auto"/>
        <w:rPr>
          <w:rFonts w:ascii="Arial" w:hAnsi="Arial" w:cs="Arial"/>
          <w:b/>
          <w:bCs/>
          <w:sz w:val="24"/>
          <w:szCs w:val="24"/>
          <w:u w:val="single"/>
        </w:rPr>
      </w:pPr>
    </w:p>
    <w:p w14:paraId="5BFC0229" w14:textId="77777777" w:rsidR="000302E8" w:rsidRDefault="000302E8" w:rsidP="009A7B71">
      <w:pPr>
        <w:spacing w:line="360" w:lineRule="auto"/>
        <w:rPr>
          <w:rFonts w:ascii="Arial" w:hAnsi="Arial" w:cs="Arial"/>
          <w:b/>
          <w:bCs/>
          <w:sz w:val="24"/>
          <w:szCs w:val="24"/>
          <w:u w:val="single"/>
        </w:rPr>
      </w:pPr>
    </w:p>
    <w:p w14:paraId="0AD52B09" w14:textId="77777777" w:rsidR="000302E8" w:rsidRDefault="000302E8" w:rsidP="009A7B71">
      <w:pPr>
        <w:spacing w:line="360" w:lineRule="auto"/>
        <w:rPr>
          <w:rFonts w:ascii="Arial" w:hAnsi="Arial" w:cs="Arial"/>
          <w:b/>
          <w:bCs/>
          <w:sz w:val="24"/>
          <w:szCs w:val="24"/>
          <w:u w:val="single"/>
        </w:rPr>
      </w:pPr>
    </w:p>
    <w:p w14:paraId="7E0C7A54" w14:textId="77777777" w:rsidR="000302E8" w:rsidRDefault="000302E8" w:rsidP="009A7B71">
      <w:pPr>
        <w:spacing w:line="360" w:lineRule="auto"/>
        <w:rPr>
          <w:rFonts w:ascii="Arial" w:hAnsi="Arial" w:cs="Arial"/>
          <w:b/>
          <w:bCs/>
          <w:sz w:val="24"/>
          <w:szCs w:val="24"/>
          <w:u w:val="single"/>
        </w:rPr>
      </w:pPr>
    </w:p>
    <w:p w14:paraId="733F7078" w14:textId="77777777" w:rsidR="000302E8" w:rsidRDefault="000302E8" w:rsidP="009A7B71">
      <w:pPr>
        <w:spacing w:line="360" w:lineRule="auto"/>
        <w:rPr>
          <w:rFonts w:ascii="Arial" w:hAnsi="Arial" w:cs="Arial"/>
          <w:b/>
          <w:bCs/>
          <w:sz w:val="24"/>
          <w:szCs w:val="24"/>
          <w:u w:val="single"/>
        </w:rPr>
      </w:pPr>
    </w:p>
    <w:p w14:paraId="6DAF8B00" w14:textId="77777777" w:rsidR="000302E8" w:rsidRDefault="000302E8" w:rsidP="009A7B71">
      <w:pPr>
        <w:spacing w:line="360" w:lineRule="auto"/>
        <w:rPr>
          <w:rFonts w:ascii="Arial" w:hAnsi="Arial" w:cs="Arial"/>
          <w:b/>
          <w:bCs/>
          <w:sz w:val="24"/>
          <w:szCs w:val="24"/>
          <w:u w:val="single"/>
        </w:rPr>
      </w:pPr>
    </w:p>
    <w:p w14:paraId="46C887AD" w14:textId="77777777" w:rsidR="000302E8" w:rsidRDefault="000302E8" w:rsidP="009A7B71">
      <w:pPr>
        <w:spacing w:line="360" w:lineRule="auto"/>
        <w:rPr>
          <w:rFonts w:ascii="Arial" w:hAnsi="Arial" w:cs="Arial"/>
          <w:b/>
          <w:bCs/>
          <w:sz w:val="24"/>
          <w:szCs w:val="24"/>
          <w:u w:val="single"/>
        </w:rPr>
      </w:pPr>
    </w:p>
    <w:p w14:paraId="0F2073C0" w14:textId="77777777" w:rsidR="000302E8" w:rsidRDefault="000302E8" w:rsidP="009A7B71">
      <w:pPr>
        <w:spacing w:line="360" w:lineRule="auto"/>
        <w:rPr>
          <w:rFonts w:ascii="Arial" w:hAnsi="Arial" w:cs="Arial"/>
          <w:b/>
          <w:bCs/>
          <w:sz w:val="24"/>
          <w:szCs w:val="24"/>
          <w:u w:val="single"/>
        </w:rPr>
      </w:pPr>
    </w:p>
    <w:p w14:paraId="7F7B10D4" w14:textId="77777777" w:rsidR="000302E8" w:rsidRDefault="000302E8" w:rsidP="009A7B71">
      <w:pPr>
        <w:spacing w:line="360" w:lineRule="auto"/>
        <w:rPr>
          <w:rFonts w:ascii="Arial" w:hAnsi="Arial" w:cs="Arial"/>
          <w:b/>
          <w:bCs/>
          <w:sz w:val="24"/>
          <w:szCs w:val="24"/>
          <w:u w:val="single"/>
        </w:rPr>
      </w:pPr>
    </w:p>
    <w:p w14:paraId="61213696" w14:textId="77777777" w:rsidR="000302E8" w:rsidRDefault="000302E8" w:rsidP="009A7B71">
      <w:pPr>
        <w:spacing w:line="360" w:lineRule="auto"/>
        <w:rPr>
          <w:rFonts w:ascii="Arial" w:hAnsi="Arial" w:cs="Arial"/>
        </w:rPr>
      </w:pPr>
    </w:p>
    <w:p w14:paraId="1E64CCC2" w14:textId="2DD50B5A" w:rsidR="00CE7F29" w:rsidRPr="000302E8" w:rsidRDefault="00CE7F29" w:rsidP="009A7B71">
      <w:pPr>
        <w:spacing w:line="360" w:lineRule="auto"/>
        <w:rPr>
          <w:rFonts w:ascii="Arial" w:hAnsi="Arial" w:cs="Arial"/>
          <w:b/>
          <w:bCs/>
          <w:sz w:val="28"/>
          <w:szCs w:val="28"/>
        </w:rPr>
      </w:pPr>
      <w:r w:rsidRPr="000302E8">
        <w:rPr>
          <w:rFonts w:ascii="Arial" w:hAnsi="Arial" w:cs="Arial"/>
          <w:b/>
          <w:bCs/>
          <w:sz w:val="28"/>
          <w:szCs w:val="28"/>
        </w:rPr>
        <w:lastRenderedPageBreak/>
        <w:t xml:space="preserve">Part A: Annotated Bibliography </w:t>
      </w:r>
    </w:p>
    <w:p w14:paraId="5222F4F6" w14:textId="77777777" w:rsidR="000D6311" w:rsidRDefault="000D6311" w:rsidP="009A7B71">
      <w:pPr>
        <w:spacing w:line="360" w:lineRule="auto"/>
        <w:rPr>
          <w:rFonts w:ascii="Arial" w:hAnsi="Arial" w:cs="Arial"/>
        </w:rPr>
      </w:pPr>
    </w:p>
    <w:p w14:paraId="1C0FEADF" w14:textId="3AAB2122" w:rsidR="00CE7F29" w:rsidRPr="000D6311" w:rsidRDefault="00CE7F29" w:rsidP="009A7B71">
      <w:pPr>
        <w:spacing w:line="360" w:lineRule="auto"/>
        <w:rPr>
          <w:rFonts w:ascii="Arial" w:hAnsi="Arial" w:cs="Arial"/>
          <w:u w:val="single"/>
        </w:rPr>
      </w:pPr>
      <w:r w:rsidRPr="000D6311">
        <w:rPr>
          <w:rFonts w:ascii="Arial" w:hAnsi="Arial" w:cs="Arial"/>
          <w:u w:val="single"/>
        </w:rPr>
        <w:t>Source 1 – Erikson’s Psychosocial Theory</w:t>
      </w:r>
    </w:p>
    <w:p w14:paraId="29B22FED" w14:textId="51861BAF" w:rsidR="00CE7F29" w:rsidRPr="00F11938" w:rsidRDefault="00CE7F29" w:rsidP="005306EF">
      <w:pPr>
        <w:spacing w:line="360" w:lineRule="auto"/>
        <w:rPr>
          <w:rFonts w:ascii="Arial" w:hAnsi="Arial" w:cs="Arial"/>
        </w:rPr>
      </w:pPr>
      <w:r w:rsidRPr="00F11938">
        <w:rPr>
          <w:rFonts w:ascii="Arial" w:hAnsi="Arial" w:cs="Arial"/>
        </w:rPr>
        <w:t>Abbasi, M., Radfar, M., Jafarizadeh, H.</w:t>
      </w:r>
      <w:r w:rsidR="000302E8">
        <w:rPr>
          <w:rFonts w:ascii="Arial" w:hAnsi="Arial" w:cs="Arial"/>
        </w:rPr>
        <w:t xml:space="preserve"> and </w:t>
      </w:r>
      <w:r w:rsidRPr="00F11938">
        <w:rPr>
          <w:rFonts w:ascii="Arial" w:hAnsi="Arial" w:cs="Arial"/>
        </w:rPr>
        <w:t>Khalkhali, H. (2025)</w:t>
      </w:r>
      <w:r w:rsidR="000302E8">
        <w:rPr>
          <w:rFonts w:ascii="Arial" w:hAnsi="Arial" w:cs="Arial"/>
        </w:rPr>
        <w:t xml:space="preserve"> </w:t>
      </w:r>
      <w:r w:rsidR="000302E8" w:rsidRPr="000302E8">
        <w:rPr>
          <w:rFonts w:ascii="Arial" w:hAnsi="Arial" w:cs="Arial"/>
        </w:rPr>
        <w:t>‘</w:t>
      </w:r>
      <w:r w:rsidRPr="000302E8">
        <w:rPr>
          <w:rFonts w:ascii="Arial" w:hAnsi="Arial" w:cs="Arial"/>
        </w:rPr>
        <w:t>Does life story work based on Erikson’s theory enhance psychological well</w:t>
      </w:r>
      <w:r w:rsidRPr="000302E8">
        <w:rPr>
          <w:rFonts w:ascii="Arial" w:hAnsi="Arial" w:cs="Arial"/>
        </w:rPr>
        <w:noBreakHyphen/>
        <w:t>being in elderly residents of nursing homes? A randomized controlled trial</w:t>
      </w:r>
      <w:r w:rsidR="000302E8">
        <w:rPr>
          <w:rFonts w:ascii="Arial" w:hAnsi="Arial" w:cs="Arial"/>
        </w:rPr>
        <w:t>’</w:t>
      </w:r>
      <w:r w:rsidRPr="000302E8">
        <w:rPr>
          <w:rFonts w:ascii="Arial" w:hAnsi="Arial" w:cs="Arial"/>
        </w:rPr>
        <w:t>,</w:t>
      </w:r>
      <w:r w:rsidRPr="00F11938">
        <w:rPr>
          <w:rFonts w:ascii="Arial" w:hAnsi="Arial" w:cs="Arial"/>
        </w:rPr>
        <w:t xml:space="preserve"> </w:t>
      </w:r>
      <w:r w:rsidRPr="000302E8">
        <w:rPr>
          <w:rFonts w:ascii="Arial" w:hAnsi="Arial" w:cs="Arial"/>
          <w:i/>
          <w:iCs/>
        </w:rPr>
        <w:t>Geriatric Nursing</w:t>
      </w:r>
      <w:r w:rsidRPr="00F11938">
        <w:rPr>
          <w:rFonts w:ascii="Arial" w:hAnsi="Arial" w:cs="Arial"/>
        </w:rPr>
        <w:t xml:space="preserve">, 61, pp. 140–148. </w:t>
      </w:r>
      <w:hyperlink r:id="rId6" w:history="1">
        <w:r w:rsidRPr="00F11938">
          <w:rPr>
            <w:rStyle w:val="Hyperlink"/>
            <w:rFonts w:ascii="Arial" w:hAnsi="Arial" w:cs="Arial"/>
          </w:rPr>
          <w:t>https://do</w:t>
        </w:r>
        <w:r w:rsidRPr="00F11938">
          <w:rPr>
            <w:rStyle w:val="Hyperlink"/>
            <w:rFonts w:ascii="Arial" w:hAnsi="Arial" w:cs="Arial"/>
          </w:rPr>
          <w:t>i</w:t>
        </w:r>
        <w:r w:rsidRPr="00F11938">
          <w:rPr>
            <w:rStyle w:val="Hyperlink"/>
            <w:rFonts w:ascii="Arial" w:hAnsi="Arial" w:cs="Arial"/>
          </w:rPr>
          <w:t>.org/10.1016/j.gerinurse.2024.10.066</w:t>
        </w:r>
      </w:hyperlink>
      <w:r w:rsidRPr="00F11938">
        <w:rPr>
          <w:rFonts w:ascii="Arial" w:hAnsi="Arial" w:cs="Arial"/>
        </w:rPr>
        <w:t xml:space="preserve"> </w:t>
      </w:r>
    </w:p>
    <w:p w14:paraId="33E55271" w14:textId="468298A8" w:rsidR="00CE7F29" w:rsidRPr="00F11938" w:rsidRDefault="00CE7F29" w:rsidP="005306EF">
      <w:pPr>
        <w:spacing w:line="360" w:lineRule="auto"/>
        <w:jc w:val="both"/>
        <w:rPr>
          <w:rFonts w:ascii="Arial" w:hAnsi="Arial" w:cs="Arial"/>
        </w:rPr>
      </w:pPr>
      <w:r w:rsidRPr="00F11938">
        <w:rPr>
          <w:rFonts w:ascii="Arial" w:hAnsi="Arial" w:cs="Arial"/>
        </w:rPr>
        <w:t>This controlled trial examined whether life story work grounded in Erikson’s psychosocial theory (especially the final stage of ego integrity vs despair) improves older adults’ psychological health in nursing home settings. Participants engaged in six structured sessions of life review focusing on meaningful life experiences, identity development, and self</w:t>
      </w:r>
      <w:r w:rsidRPr="00F11938">
        <w:rPr>
          <w:rFonts w:ascii="Arial" w:hAnsi="Arial" w:cs="Arial"/>
        </w:rPr>
        <w:noBreakHyphen/>
        <w:t>reflection. The study found significant improvements in psychological well</w:t>
      </w:r>
      <w:r w:rsidRPr="00F11938">
        <w:rPr>
          <w:rFonts w:ascii="Arial" w:hAnsi="Arial" w:cs="Arial"/>
        </w:rPr>
        <w:noBreakHyphen/>
        <w:t>being both immediately and two months post</w:t>
      </w:r>
      <w:r w:rsidRPr="00F11938">
        <w:rPr>
          <w:rFonts w:ascii="Arial" w:hAnsi="Arial" w:cs="Arial"/>
        </w:rPr>
        <w:noBreakHyphen/>
        <w:t xml:space="preserve">intervention compared to those receiving usual care. </w:t>
      </w:r>
    </w:p>
    <w:p w14:paraId="601AFD2B" w14:textId="62879A48" w:rsidR="005306EF" w:rsidRDefault="00CE7F29" w:rsidP="005306EF">
      <w:pPr>
        <w:spacing w:line="360" w:lineRule="auto"/>
        <w:jc w:val="both"/>
        <w:rPr>
          <w:rFonts w:ascii="Arial" w:hAnsi="Arial" w:cs="Arial"/>
        </w:rPr>
      </w:pPr>
      <w:r w:rsidRPr="00F11938">
        <w:rPr>
          <w:rFonts w:ascii="Arial" w:hAnsi="Arial" w:cs="Arial"/>
        </w:rPr>
        <w:t xml:space="preserve">This article </w:t>
      </w:r>
      <w:r w:rsidR="00753FDA" w:rsidRPr="00F11938">
        <w:rPr>
          <w:rFonts w:ascii="Arial" w:hAnsi="Arial" w:cs="Arial"/>
        </w:rPr>
        <w:t>links</w:t>
      </w:r>
      <w:r w:rsidRPr="00F11938">
        <w:rPr>
          <w:rFonts w:ascii="Arial" w:hAnsi="Arial" w:cs="Arial"/>
        </w:rPr>
        <w:t xml:space="preserve"> Erikson’s theory to practical health and social care interventions, showing that encouraging older adults to revisit and integrate their life narratives can support mental health outcomes. The strength of this research lies in its rigorous randomized design and application to real care settings. However, a limitation is its </w:t>
      </w:r>
      <w:r w:rsidR="00621C9F" w:rsidRPr="00F11938">
        <w:rPr>
          <w:rFonts w:ascii="Arial" w:hAnsi="Arial" w:cs="Arial"/>
        </w:rPr>
        <w:t>small</w:t>
      </w:r>
      <w:r w:rsidRPr="00F11938">
        <w:rPr>
          <w:rFonts w:ascii="Arial" w:hAnsi="Arial" w:cs="Arial"/>
        </w:rPr>
        <w:t xml:space="preserve"> sample (n = 60), which may affect generalizability. Overall, it demonstrates how psychosocial development theory can inform supportive approaches for psychological well</w:t>
      </w:r>
      <w:r w:rsidRPr="00F11938">
        <w:rPr>
          <w:rFonts w:ascii="Arial" w:hAnsi="Arial" w:cs="Arial"/>
        </w:rPr>
        <w:noBreakHyphen/>
        <w:t>being in elder care.</w:t>
      </w:r>
    </w:p>
    <w:p w14:paraId="31606DEA" w14:textId="4E8504EE" w:rsidR="00CE7F29" w:rsidRPr="000D6311" w:rsidRDefault="00CE7F29" w:rsidP="009A7B71">
      <w:pPr>
        <w:spacing w:line="360" w:lineRule="auto"/>
        <w:rPr>
          <w:rFonts w:ascii="Arial" w:hAnsi="Arial" w:cs="Arial"/>
          <w:u w:val="single"/>
        </w:rPr>
      </w:pPr>
      <w:r w:rsidRPr="000D6311">
        <w:rPr>
          <w:rFonts w:ascii="Arial" w:hAnsi="Arial" w:cs="Arial"/>
          <w:u w:val="single"/>
        </w:rPr>
        <w:t xml:space="preserve">Source 2 – Positive Psychology </w:t>
      </w:r>
      <w:r w:rsidR="006922B6" w:rsidRPr="000D6311">
        <w:rPr>
          <w:rFonts w:ascii="Arial" w:hAnsi="Arial" w:cs="Arial"/>
          <w:u w:val="single"/>
        </w:rPr>
        <w:t>and</w:t>
      </w:r>
      <w:r w:rsidRPr="000D6311">
        <w:rPr>
          <w:rFonts w:ascii="Arial" w:hAnsi="Arial" w:cs="Arial"/>
          <w:u w:val="single"/>
        </w:rPr>
        <w:t xml:space="preserve"> Resilience</w:t>
      </w:r>
    </w:p>
    <w:p w14:paraId="64F9693E" w14:textId="77777777" w:rsidR="005306EF" w:rsidRDefault="00CE7F29" w:rsidP="005306EF">
      <w:pPr>
        <w:spacing w:line="360" w:lineRule="auto"/>
        <w:rPr>
          <w:rFonts w:ascii="Arial" w:hAnsi="Arial" w:cs="Arial"/>
        </w:rPr>
      </w:pPr>
      <w:r w:rsidRPr="00F11938">
        <w:rPr>
          <w:rFonts w:ascii="Arial" w:hAnsi="Arial" w:cs="Arial"/>
        </w:rPr>
        <w:t>Balki, E., Hayes, N., &amp; Holland, C. (2023)</w:t>
      </w:r>
      <w:r w:rsidR="006922B6">
        <w:rPr>
          <w:rFonts w:ascii="Arial" w:hAnsi="Arial" w:cs="Arial"/>
        </w:rPr>
        <w:t xml:space="preserve"> ‘</w:t>
      </w:r>
      <w:r w:rsidRPr="006922B6">
        <w:rPr>
          <w:rFonts w:ascii="Arial" w:hAnsi="Arial" w:cs="Arial"/>
        </w:rPr>
        <w:t>Loneliness and older adults: psychological resilience and technology use during the COVID</w:t>
      </w:r>
      <w:r w:rsidRPr="006922B6">
        <w:rPr>
          <w:rFonts w:ascii="Arial" w:hAnsi="Arial" w:cs="Arial"/>
        </w:rPr>
        <w:noBreakHyphen/>
        <w:t>19 pandemic—a cross sectional study</w:t>
      </w:r>
      <w:r w:rsidR="006922B6">
        <w:rPr>
          <w:rFonts w:ascii="Arial" w:hAnsi="Arial" w:cs="Arial"/>
        </w:rPr>
        <w:t>’</w:t>
      </w:r>
      <w:r w:rsidRPr="00F11938">
        <w:rPr>
          <w:rFonts w:ascii="Arial" w:hAnsi="Arial" w:cs="Arial"/>
        </w:rPr>
        <w:t xml:space="preserve">, </w:t>
      </w:r>
      <w:r w:rsidRPr="006922B6">
        <w:rPr>
          <w:rFonts w:ascii="Arial" w:hAnsi="Arial" w:cs="Arial"/>
          <w:i/>
          <w:iCs/>
        </w:rPr>
        <w:t>Frontiers in Aging</w:t>
      </w:r>
      <w:r w:rsidRPr="00F11938">
        <w:rPr>
          <w:rFonts w:ascii="Arial" w:hAnsi="Arial" w:cs="Arial"/>
        </w:rPr>
        <w:t xml:space="preserve">, 4:1184386. </w:t>
      </w:r>
      <w:hyperlink r:id="rId7" w:history="1">
        <w:r w:rsidR="00E70503" w:rsidRPr="00D80681">
          <w:rPr>
            <w:rStyle w:val="Hyperlink"/>
            <w:rFonts w:ascii="Arial" w:hAnsi="Arial" w:cs="Arial"/>
          </w:rPr>
          <w:t>https://www.frontiersin.org/journals/aging/articles/10.3389/fragi.2023.1184386</w:t>
        </w:r>
      </w:hyperlink>
    </w:p>
    <w:p w14:paraId="7A805169" w14:textId="739A8A25" w:rsidR="008C3091" w:rsidRDefault="00CE7F29" w:rsidP="005306EF">
      <w:pPr>
        <w:spacing w:line="360" w:lineRule="auto"/>
        <w:jc w:val="both"/>
        <w:rPr>
          <w:rFonts w:ascii="Arial" w:hAnsi="Arial" w:cs="Arial"/>
        </w:rPr>
      </w:pPr>
      <w:r w:rsidRPr="00F11938">
        <w:rPr>
          <w:rFonts w:ascii="Arial" w:hAnsi="Arial" w:cs="Arial"/>
        </w:rPr>
        <w:t xml:space="preserve">This </w:t>
      </w:r>
      <w:r w:rsidR="00F50EF6" w:rsidRPr="00F11938">
        <w:rPr>
          <w:rFonts w:ascii="Arial" w:hAnsi="Arial" w:cs="Arial"/>
        </w:rPr>
        <w:t>observed</w:t>
      </w:r>
      <w:r w:rsidRPr="00F11938">
        <w:rPr>
          <w:rFonts w:ascii="Arial" w:hAnsi="Arial" w:cs="Arial"/>
        </w:rPr>
        <w:t xml:space="preserve"> study investigated how psychological resilience and technology use are related to loneliness among adults aged 65–89 during the COVID</w:t>
      </w:r>
      <w:r w:rsidRPr="00F11938">
        <w:rPr>
          <w:rFonts w:ascii="Arial" w:hAnsi="Arial" w:cs="Arial"/>
        </w:rPr>
        <w:noBreakHyphen/>
        <w:t xml:space="preserve">19 pandemic. Drawing on socioemotional selectivity theory and concepts from positive psychology, the authors showed that higher resilience predicted greater technology engagement and lower levels of loneliness. Technology partially mediated the link between resilience and loneliness, suggesting resilience supports adaptive coping and social connectivity. </w:t>
      </w:r>
    </w:p>
    <w:p w14:paraId="04163C17" w14:textId="1BE66E71" w:rsidR="005306EF" w:rsidRDefault="00CE7F29" w:rsidP="005306EF">
      <w:pPr>
        <w:spacing w:line="360" w:lineRule="auto"/>
        <w:jc w:val="both"/>
        <w:rPr>
          <w:rFonts w:ascii="Arial" w:hAnsi="Arial" w:cs="Arial"/>
        </w:rPr>
      </w:pPr>
      <w:r w:rsidRPr="00F11938">
        <w:rPr>
          <w:rFonts w:ascii="Arial" w:hAnsi="Arial" w:cs="Arial"/>
        </w:rPr>
        <w:t>This article highlights resilience as a positive psychological resource that contributes to well</w:t>
      </w:r>
      <w:r w:rsidRPr="00F11938">
        <w:rPr>
          <w:rFonts w:ascii="Arial" w:hAnsi="Arial" w:cs="Arial"/>
        </w:rPr>
        <w:noBreakHyphen/>
        <w:t xml:space="preserve">being in older adults and shows how resilience can interact with practical supports (technology) in health contexts. Its strengths include application of contemporary theory to real </w:t>
      </w:r>
      <w:r w:rsidRPr="00F11938">
        <w:rPr>
          <w:rFonts w:ascii="Arial" w:hAnsi="Arial" w:cs="Arial"/>
        </w:rPr>
        <w:lastRenderedPageBreak/>
        <w:t>life stressors and clear implications for interventions to reduce loneliness. Limitations include its cross</w:t>
      </w:r>
      <w:r w:rsidRPr="00F11938">
        <w:rPr>
          <w:rFonts w:ascii="Arial" w:hAnsi="Arial" w:cs="Arial"/>
        </w:rPr>
        <w:noBreakHyphen/>
        <w:t>sectional design, which cannot establish causality but is still useful for designing supportive health and social care practices.</w:t>
      </w:r>
    </w:p>
    <w:p w14:paraId="512C7988" w14:textId="5131F1CE" w:rsidR="00CE7F29" w:rsidRPr="000D6311" w:rsidRDefault="00CE7F29" w:rsidP="009A7B71">
      <w:pPr>
        <w:spacing w:line="360" w:lineRule="auto"/>
        <w:rPr>
          <w:rFonts w:ascii="Arial" w:hAnsi="Arial" w:cs="Arial"/>
          <w:u w:val="single"/>
        </w:rPr>
      </w:pPr>
      <w:r w:rsidRPr="000D6311">
        <w:rPr>
          <w:rFonts w:ascii="Arial" w:hAnsi="Arial" w:cs="Arial"/>
          <w:u w:val="single"/>
        </w:rPr>
        <w:t xml:space="preserve">Source 3 – Reminiscence </w:t>
      </w:r>
      <w:r w:rsidR="008C3091" w:rsidRPr="000D6311">
        <w:rPr>
          <w:rFonts w:ascii="Arial" w:hAnsi="Arial" w:cs="Arial"/>
          <w:u w:val="single"/>
        </w:rPr>
        <w:t>and</w:t>
      </w:r>
      <w:r w:rsidRPr="000D6311">
        <w:rPr>
          <w:rFonts w:ascii="Arial" w:hAnsi="Arial" w:cs="Arial"/>
          <w:u w:val="single"/>
        </w:rPr>
        <w:t xml:space="preserve"> Well</w:t>
      </w:r>
      <w:r w:rsidRPr="000D6311">
        <w:rPr>
          <w:rFonts w:ascii="Arial" w:hAnsi="Arial" w:cs="Arial"/>
          <w:u w:val="single"/>
        </w:rPr>
        <w:noBreakHyphen/>
        <w:t>Being Interventions</w:t>
      </w:r>
    </w:p>
    <w:p w14:paraId="12EDD171" w14:textId="77777777" w:rsidR="005306EF" w:rsidRDefault="00CE7F29" w:rsidP="009A7B71">
      <w:pPr>
        <w:spacing w:line="360" w:lineRule="auto"/>
        <w:rPr>
          <w:rFonts w:ascii="Arial" w:hAnsi="Arial" w:cs="Arial"/>
        </w:rPr>
      </w:pPr>
      <w:r w:rsidRPr="00B56762">
        <w:rPr>
          <w:rFonts w:ascii="Arial" w:hAnsi="Arial" w:cs="Arial"/>
          <w:lang w:val="fr-FR"/>
        </w:rPr>
        <w:t xml:space="preserve">Yang, H., Zhong, Q., Han, B., Pu, Y., He, R. et al. </w:t>
      </w:r>
      <w:r w:rsidRPr="00F11938">
        <w:rPr>
          <w:rFonts w:ascii="Arial" w:hAnsi="Arial" w:cs="Arial"/>
        </w:rPr>
        <w:t>(2025)</w:t>
      </w:r>
      <w:r w:rsidR="008C3091">
        <w:rPr>
          <w:rFonts w:ascii="Arial" w:hAnsi="Arial" w:cs="Arial"/>
        </w:rPr>
        <w:t xml:space="preserve"> ‘</w:t>
      </w:r>
      <w:r w:rsidRPr="008C3091">
        <w:rPr>
          <w:rFonts w:ascii="Arial" w:hAnsi="Arial" w:cs="Arial"/>
        </w:rPr>
        <w:t>Effects of reminiscence therapy for loneliness in older adults: a systematic review and meta</w:t>
      </w:r>
      <w:r w:rsidRPr="008C3091">
        <w:rPr>
          <w:rFonts w:ascii="Arial" w:hAnsi="Arial" w:cs="Arial"/>
        </w:rPr>
        <w:noBreakHyphen/>
        <w:t>analysis</w:t>
      </w:r>
      <w:r w:rsidR="008C3091">
        <w:rPr>
          <w:rFonts w:ascii="Arial" w:hAnsi="Arial" w:cs="Arial"/>
        </w:rPr>
        <w:t>’</w:t>
      </w:r>
      <w:r w:rsidRPr="00F11938">
        <w:rPr>
          <w:rFonts w:ascii="Arial" w:hAnsi="Arial" w:cs="Arial"/>
        </w:rPr>
        <w:t xml:space="preserve">, </w:t>
      </w:r>
      <w:r w:rsidRPr="008C3091">
        <w:rPr>
          <w:rFonts w:ascii="Arial" w:hAnsi="Arial" w:cs="Arial"/>
          <w:i/>
          <w:iCs/>
        </w:rPr>
        <w:t>Age and Ageing</w:t>
      </w:r>
      <w:r w:rsidRPr="00F11938">
        <w:rPr>
          <w:rFonts w:ascii="Arial" w:hAnsi="Arial" w:cs="Arial"/>
        </w:rPr>
        <w:t xml:space="preserve">, </w:t>
      </w:r>
      <w:r w:rsidRPr="00F11938">
        <w:rPr>
          <w:rFonts w:ascii="Arial" w:hAnsi="Arial" w:cs="Arial"/>
          <w:i/>
          <w:iCs/>
        </w:rPr>
        <w:t>afaf136</w:t>
      </w:r>
      <w:r w:rsidRPr="00F11938">
        <w:rPr>
          <w:rFonts w:ascii="Arial" w:hAnsi="Arial" w:cs="Arial"/>
        </w:rPr>
        <w:t xml:space="preserve">. </w:t>
      </w:r>
      <w:hyperlink r:id="rId8" w:history="1">
        <w:r w:rsidRPr="00F11938">
          <w:rPr>
            <w:rStyle w:val="Hyperlink"/>
            <w:rFonts w:ascii="Arial" w:hAnsi="Arial" w:cs="Arial"/>
          </w:rPr>
          <w:t>https://doi.org/10.1093/ageing/afaf136</w:t>
        </w:r>
      </w:hyperlink>
      <w:r w:rsidRPr="00F11938">
        <w:rPr>
          <w:rFonts w:ascii="Arial" w:hAnsi="Arial" w:cs="Arial"/>
        </w:rPr>
        <w:t xml:space="preserve"> </w:t>
      </w:r>
    </w:p>
    <w:p w14:paraId="64F7B24C" w14:textId="77777777" w:rsidR="005306EF" w:rsidRDefault="00CE7F29" w:rsidP="007F5E4D">
      <w:pPr>
        <w:spacing w:line="360" w:lineRule="auto"/>
        <w:jc w:val="both"/>
        <w:rPr>
          <w:rFonts w:ascii="Arial" w:hAnsi="Arial" w:cs="Arial"/>
        </w:rPr>
      </w:pPr>
      <w:r w:rsidRPr="00F11938">
        <w:rPr>
          <w:rFonts w:ascii="Arial" w:hAnsi="Arial" w:cs="Arial"/>
        </w:rPr>
        <w:t>This systematic review and meta</w:t>
      </w:r>
      <w:r w:rsidRPr="00F11938">
        <w:rPr>
          <w:rFonts w:ascii="Arial" w:hAnsi="Arial" w:cs="Arial"/>
        </w:rPr>
        <w:noBreakHyphen/>
        <w:t xml:space="preserve">analysis synthesised 22 studies on reminiscence therapy among older adults (group and individual formats). Results showed strong evidence that reminiscence interventions significantly reduce loneliness, with greater effectiveness when led by professionals and delivered in group settings. Both “simple reminiscence” (sharing memories) and “life review therapy” (structured reflection on past life) were beneficial. </w:t>
      </w:r>
    </w:p>
    <w:p w14:paraId="0749E7C0" w14:textId="77777777" w:rsidR="005306EF" w:rsidRDefault="00C52CAA" w:rsidP="007F5E4D">
      <w:pPr>
        <w:spacing w:line="360" w:lineRule="auto"/>
        <w:jc w:val="both"/>
        <w:rPr>
          <w:rFonts w:ascii="Arial" w:hAnsi="Arial" w:cs="Arial"/>
        </w:rPr>
      </w:pPr>
      <w:r w:rsidRPr="00F11938">
        <w:rPr>
          <w:rFonts w:ascii="Arial" w:hAnsi="Arial" w:cs="Arial"/>
        </w:rPr>
        <w:t>This source aligns with positive psychology approaches to ageing, which focus on enhancing wellbeing, meaning and social connection in later life.</w:t>
      </w:r>
      <w:r w:rsidR="000D5034" w:rsidRPr="00F11938">
        <w:rPr>
          <w:rFonts w:ascii="Arial" w:hAnsi="Arial" w:cs="Arial"/>
        </w:rPr>
        <w:t xml:space="preserve"> </w:t>
      </w:r>
      <w:r w:rsidR="00CE7F29" w:rsidRPr="00F11938">
        <w:rPr>
          <w:rFonts w:ascii="Arial" w:hAnsi="Arial" w:cs="Arial"/>
        </w:rPr>
        <w:t>It is highly valuable for health and social care professionals because it consolidates evidence showing that structured reminiscence supports mental health outcomes, offering a validated intervention model that can be embedded in community and residential care services. One limitation is variability in intervention styles across studies, which suggests the need for standardised protocols.</w:t>
      </w:r>
    </w:p>
    <w:p w14:paraId="3638CD7A" w14:textId="77777777" w:rsidR="005306EF" w:rsidRDefault="00F6697D" w:rsidP="007F5E4D">
      <w:pPr>
        <w:spacing w:line="360" w:lineRule="auto"/>
        <w:jc w:val="both"/>
        <w:rPr>
          <w:rFonts w:ascii="Arial" w:hAnsi="Arial" w:cs="Arial"/>
        </w:rPr>
      </w:pPr>
      <w:r w:rsidRPr="00F6697D">
        <w:rPr>
          <w:rFonts w:ascii="Arial" w:hAnsi="Arial" w:cs="Arial"/>
        </w:rPr>
        <w:t>Research suggests that reflecting on life experiences through reminiscence or structured life review can support the development of ego integrity and improve overall wellbeing in older adults (Bohlmeijer et al., 2007; Westerhof and Bohlmeijer, 2014). Additional interventions, such as mindfulness and physical activity, have also been shown to enhance emotional wellbeing and cognitive functioning (Brown, Ryan and Creswell, 2007; Colcombe and Kramer, 2003). However, it is important that such interventions are culturally appropriate and tailored to individual needs to ensure effectiveness (Pedrotti, 2014).</w:t>
      </w:r>
    </w:p>
    <w:p w14:paraId="25F80822" w14:textId="41CED11B" w:rsidR="00CE7F29" w:rsidRPr="000D6311" w:rsidRDefault="00CE7F29" w:rsidP="009A7B71">
      <w:pPr>
        <w:spacing w:line="360" w:lineRule="auto"/>
        <w:rPr>
          <w:rFonts w:ascii="Arial" w:hAnsi="Arial" w:cs="Arial"/>
          <w:u w:val="single"/>
        </w:rPr>
      </w:pPr>
      <w:r w:rsidRPr="000D6311">
        <w:rPr>
          <w:rFonts w:ascii="Arial" w:hAnsi="Arial" w:cs="Arial"/>
          <w:u w:val="single"/>
        </w:rPr>
        <w:t xml:space="preserve">Source 4 – Life Story Interventions </w:t>
      </w:r>
      <w:r w:rsidR="00262FEF" w:rsidRPr="000D6311">
        <w:rPr>
          <w:rFonts w:ascii="Arial" w:hAnsi="Arial" w:cs="Arial"/>
          <w:u w:val="single"/>
        </w:rPr>
        <w:t xml:space="preserve">and </w:t>
      </w:r>
      <w:r w:rsidRPr="000D6311">
        <w:rPr>
          <w:rFonts w:ascii="Arial" w:hAnsi="Arial" w:cs="Arial"/>
          <w:u w:val="single"/>
        </w:rPr>
        <w:t>Attitudes Toward Aging</w:t>
      </w:r>
    </w:p>
    <w:p w14:paraId="03611355" w14:textId="77777777" w:rsidR="005306EF" w:rsidRDefault="00CE7F29" w:rsidP="009A7B71">
      <w:pPr>
        <w:spacing w:line="360" w:lineRule="auto"/>
        <w:rPr>
          <w:rFonts w:ascii="Arial" w:hAnsi="Arial" w:cs="Arial"/>
        </w:rPr>
      </w:pPr>
      <w:r w:rsidRPr="00F11938">
        <w:rPr>
          <w:rFonts w:ascii="Arial" w:hAnsi="Arial" w:cs="Arial"/>
        </w:rPr>
        <w:t>Ho, Y.</w:t>
      </w:r>
      <w:r w:rsidRPr="00F11938">
        <w:rPr>
          <w:rFonts w:ascii="Arial" w:hAnsi="Arial" w:cs="Arial"/>
        </w:rPr>
        <w:noBreakHyphen/>
        <w:t>F., Tseng, M.</w:t>
      </w:r>
      <w:r w:rsidRPr="00F11938">
        <w:rPr>
          <w:rFonts w:ascii="Arial" w:hAnsi="Arial" w:cs="Arial"/>
        </w:rPr>
        <w:noBreakHyphen/>
        <w:t>C., &amp; Hsu, P.</w:t>
      </w:r>
      <w:r w:rsidRPr="00F11938">
        <w:rPr>
          <w:rFonts w:ascii="Arial" w:hAnsi="Arial" w:cs="Arial"/>
        </w:rPr>
        <w:noBreakHyphen/>
        <w:t>T. (2025)</w:t>
      </w:r>
      <w:r w:rsidR="00262FEF">
        <w:rPr>
          <w:rFonts w:ascii="Arial" w:hAnsi="Arial" w:cs="Arial"/>
        </w:rPr>
        <w:t xml:space="preserve"> ‘</w:t>
      </w:r>
      <w:r w:rsidRPr="00262FEF">
        <w:rPr>
          <w:rFonts w:ascii="Arial" w:hAnsi="Arial" w:cs="Arial"/>
        </w:rPr>
        <w:t xml:space="preserve">The impact of life story groups on </w:t>
      </w:r>
      <w:r w:rsidR="00C2510A" w:rsidRPr="00262FEF">
        <w:rPr>
          <w:rFonts w:ascii="Arial" w:hAnsi="Arial" w:cs="Arial"/>
        </w:rPr>
        <w:t>e</w:t>
      </w:r>
      <w:r w:rsidR="00C2510A">
        <w:rPr>
          <w:rFonts w:ascii="Arial" w:hAnsi="Arial" w:cs="Arial"/>
        </w:rPr>
        <w:t>n</w:t>
      </w:r>
      <w:r w:rsidR="00C2510A" w:rsidRPr="00262FEF">
        <w:rPr>
          <w:rFonts w:ascii="Arial" w:hAnsi="Arial" w:cs="Arial"/>
        </w:rPr>
        <w:t>hancing</w:t>
      </w:r>
      <w:r w:rsidRPr="00262FEF">
        <w:rPr>
          <w:rFonts w:ascii="Arial" w:hAnsi="Arial" w:cs="Arial"/>
        </w:rPr>
        <w:t xml:space="preserve"> attitudes toward aging in older adults: a mixed methods study</w:t>
      </w:r>
      <w:r w:rsidR="00262FEF">
        <w:rPr>
          <w:rFonts w:ascii="Arial" w:hAnsi="Arial" w:cs="Arial"/>
        </w:rPr>
        <w:t>’</w:t>
      </w:r>
      <w:r w:rsidRPr="00F11938">
        <w:rPr>
          <w:rFonts w:ascii="Arial" w:hAnsi="Arial" w:cs="Arial"/>
        </w:rPr>
        <w:t xml:space="preserve">, </w:t>
      </w:r>
      <w:r w:rsidRPr="00262FEF">
        <w:rPr>
          <w:rFonts w:ascii="Arial" w:hAnsi="Arial" w:cs="Arial"/>
          <w:i/>
          <w:iCs/>
        </w:rPr>
        <w:t>BMC Geriatrics</w:t>
      </w:r>
      <w:r w:rsidRPr="00F11938">
        <w:rPr>
          <w:rFonts w:ascii="Arial" w:hAnsi="Arial" w:cs="Arial"/>
        </w:rPr>
        <w:t xml:space="preserve">, 25, 389. </w:t>
      </w:r>
      <w:hyperlink r:id="rId9" w:history="1">
        <w:r w:rsidR="00B56762" w:rsidRPr="00D77A92">
          <w:rPr>
            <w:rStyle w:val="Hyperlink"/>
            <w:rFonts w:ascii="Arial" w:hAnsi="Arial" w:cs="Arial"/>
          </w:rPr>
          <w:t>https://doi.org/10.1186/s12877-025-05900-1</w:t>
        </w:r>
      </w:hyperlink>
      <w:r w:rsidR="00B56762">
        <w:rPr>
          <w:rFonts w:ascii="Arial" w:hAnsi="Arial" w:cs="Arial"/>
        </w:rPr>
        <w:t xml:space="preserve"> </w:t>
      </w:r>
    </w:p>
    <w:p w14:paraId="7AE45841" w14:textId="2E2CAFCD" w:rsidR="00CE7F29" w:rsidRPr="00F11938" w:rsidRDefault="00CE7F29" w:rsidP="007F5E4D">
      <w:pPr>
        <w:spacing w:line="360" w:lineRule="auto"/>
        <w:jc w:val="both"/>
        <w:rPr>
          <w:rFonts w:ascii="Arial" w:hAnsi="Arial" w:cs="Arial"/>
        </w:rPr>
      </w:pPr>
      <w:r w:rsidRPr="00F11938">
        <w:rPr>
          <w:rFonts w:ascii="Arial" w:hAnsi="Arial" w:cs="Arial"/>
        </w:rPr>
        <w:t>This mixed</w:t>
      </w:r>
      <w:r w:rsidRPr="00F11938">
        <w:rPr>
          <w:rFonts w:ascii="Arial" w:hAnsi="Arial" w:cs="Arial"/>
        </w:rPr>
        <w:noBreakHyphen/>
        <w:t>methods study evaluated life story group interventions with community</w:t>
      </w:r>
      <w:r w:rsidRPr="00F11938">
        <w:rPr>
          <w:rFonts w:ascii="Arial" w:hAnsi="Arial" w:cs="Arial"/>
        </w:rPr>
        <w:noBreakHyphen/>
        <w:t>dwelling older adults, exploring changes in attitudes toward aging and psychological well</w:t>
      </w:r>
      <w:r w:rsidRPr="00F11938">
        <w:rPr>
          <w:rFonts w:ascii="Arial" w:hAnsi="Arial" w:cs="Arial"/>
        </w:rPr>
        <w:noBreakHyphen/>
        <w:t xml:space="preserve">being. Participants who engaged in structured life story group sessions reported improved </w:t>
      </w:r>
      <w:r w:rsidRPr="00F11938">
        <w:rPr>
          <w:rFonts w:ascii="Arial" w:hAnsi="Arial" w:cs="Arial"/>
        </w:rPr>
        <w:lastRenderedPageBreak/>
        <w:t>perceptions of aging and increased social engagement. Qualitative findings also highlighted enhanced self</w:t>
      </w:r>
      <w:r w:rsidRPr="00F11938">
        <w:rPr>
          <w:rFonts w:ascii="Arial" w:hAnsi="Arial" w:cs="Arial"/>
        </w:rPr>
        <w:noBreakHyphen/>
        <w:t xml:space="preserve">esteem and stronger identity integration. </w:t>
      </w:r>
    </w:p>
    <w:p w14:paraId="251AA1BD" w14:textId="67BFDD70" w:rsidR="00CE7F29" w:rsidRPr="00F11938" w:rsidRDefault="00CE7F29" w:rsidP="007F5E4D">
      <w:pPr>
        <w:spacing w:line="360" w:lineRule="auto"/>
        <w:jc w:val="both"/>
        <w:rPr>
          <w:rFonts w:ascii="Arial" w:hAnsi="Arial" w:cs="Arial"/>
        </w:rPr>
      </w:pPr>
      <w:r w:rsidRPr="00F11938">
        <w:rPr>
          <w:rFonts w:ascii="Arial" w:hAnsi="Arial" w:cs="Arial"/>
        </w:rPr>
        <w:t xml:space="preserve">This research aligns with both lifespan developmental theory and positive psychology by showing how group reflection on life experiences can foster </w:t>
      </w:r>
      <w:r w:rsidRPr="00F11938">
        <w:rPr>
          <w:rFonts w:ascii="Arial" w:hAnsi="Arial" w:cs="Arial"/>
          <w:i/>
          <w:iCs/>
        </w:rPr>
        <w:t>positive attitudes toward aging</w:t>
      </w:r>
      <w:r w:rsidRPr="00F11938">
        <w:rPr>
          <w:rFonts w:ascii="Arial" w:hAnsi="Arial" w:cs="Arial"/>
        </w:rPr>
        <w:t>, enhanced self</w:t>
      </w:r>
      <w:r w:rsidRPr="00F11938">
        <w:rPr>
          <w:rFonts w:ascii="Arial" w:hAnsi="Arial" w:cs="Arial"/>
        </w:rPr>
        <w:noBreakHyphen/>
        <w:t>worth, and social connectedness—key components of well</w:t>
      </w:r>
      <w:r w:rsidRPr="00F11938">
        <w:rPr>
          <w:rFonts w:ascii="Arial" w:hAnsi="Arial" w:cs="Arial"/>
        </w:rPr>
        <w:noBreakHyphen/>
        <w:t xml:space="preserve">being. Its mixed methods strengthen understanding of both quantitative outcomes and </w:t>
      </w:r>
      <w:r w:rsidR="002118CA" w:rsidRPr="00F11938">
        <w:rPr>
          <w:rFonts w:ascii="Arial" w:hAnsi="Arial" w:cs="Arial"/>
        </w:rPr>
        <w:t>participants</w:t>
      </w:r>
      <w:r w:rsidRPr="00F11938">
        <w:rPr>
          <w:rFonts w:ascii="Arial" w:hAnsi="Arial" w:cs="Arial"/>
        </w:rPr>
        <w:t xml:space="preserve"> lived experiences. Limitations include the contextual specificity (Taiwanese sample), but the intervention’s principles have broad applicability.</w:t>
      </w:r>
    </w:p>
    <w:p w14:paraId="09BB8756" w14:textId="77777777" w:rsidR="00CE7F29" w:rsidRPr="00F11938" w:rsidRDefault="00CE7F29" w:rsidP="009A7B71">
      <w:pPr>
        <w:spacing w:line="360" w:lineRule="auto"/>
        <w:rPr>
          <w:rFonts w:ascii="Arial" w:hAnsi="Arial" w:cs="Arial"/>
        </w:rPr>
      </w:pPr>
    </w:p>
    <w:p w14:paraId="7A43A024" w14:textId="77777777" w:rsidR="00CE7F29" w:rsidRPr="00F11938" w:rsidRDefault="00CE7F29" w:rsidP="009A7B71">
      <w:pPr>
        <w:spacing w:line="360" w:lineRule="auto"/>
        <w:rPr>
          <w:rFonts w:ascii="Arial" w:hAnsi="Arial" w:cs="Arial"/>
        </w:rPr>
      </w:pPr>
    </w:p>
    <w:p w14:paraId="1F660400" w14:textId="77777777" w:rsidR="00DF6D3E" w:rsidRDefault="00DF6D3E" w:rsidP="009A7B71">
      <w:pPr>
        <w:spacing w:line="360" w:lineRule="auto"/>
        <w:rPr>
          <w:rFonts w:ascii="Arial" w:hAnsi="Arial" w:cs="Arial"/>
          <w:b/>
          <w:bCs/>
          <w:u w:val="single"/>
        </w:rPr>
      </w:pPr>
    </w:p>
    <w:p w14:paraId="152DF12E" w14:textId="77777777" w:rsidR="007F5E4D" w:rsidRDefault="007F5E4D" w:rsidP="009A7B71">
      <w:pPr>
        <w:spacing w:line="360" w:lineRule="auto"/>
        <w:rPr>
          <w:rFonts w:ascii="Arial" w:hAnsi="Arial" w:cs="Arial"/>
          <w:b/>
          <w:bCs/>
          <w:sz w:val="28"/>
          <w:szCs w:val="28"/>
        </w:rPr>
      </w:pPr>
    </w:p>
    <w:p w14:paraId="3792F3A6" w14:textId="77777777" w:rsidR="007F5E4D" w:rsidRDefault="007F5E4D" w:rsidP="009A7B71">
      <w:pPr>
        <w:spacing w:line="360" w:lineRule="auto"/>
        <w:rPr>
          <w:rFonts w:ascii="Arial" w:hAnsi="Arial" w:cs="Arial"/>
          <w:b/>
          <w:bCs/>
          <w:sz w:val="28"/>
          <w:szCs w:val="28"/>
        </w:rPr>
      </w:pPr>
    </w:p>
    <w:p w14:paraId="7E50186E" w14:textId="77777777" w:rsidR="007F5E4D" w:rsidRDefault="007F5E4D" w:rsidP="009A7B71">
      <w:pPr>
        <w:spacing w:line="360" w:lineRule="auto"/>
        <w:rPr>
          <w:rFonts w:ascii="Arial" w:hAnsi="Arial" w:cs="Arial"/>
          <w:b/>
          <w:bCs/>
          <w:sz w:val="28"/>
          <w:szCs w:val="28"/>
        </w:rPr>
      </w:pPr>
    </w:p>
    <w:p w14:paraId="09733C1D" w14:textId="77777777" w:rsidR="007F5E4D" w:rsidRDefault="007F5E4D" w:rsidP="009A7B71">
      <w:pPr>
        <w:spacing w:line="360" w:lineRule="auto"/>
        <w:rPr>
          <w:rFonts w:ascii="Arial" w:hAnsi="Arial" w:cs="Arial"/>
          <w:b/>
          <w:bCs/>
          <w:sz w:val="28"/>
          <w:szCs w:val="28"/>
        </w:rPr>
      </w:pPr>
    </w:p>
    <w:p w14:paraId="39AA69D3" w14:textId="77777777" w:rsidR="007F5E4D" w:rsidRDefault="007F5E4D" w:rsidP="009A7B71">
      <w:pPr>
        <w:spacing w:line="360" w:lineRule="auto"/>
        <w:rPr>
          <w:rFonts w:ascii="Arial" w:hAnsi="Arial" w:cs="Arial"/>
          <w:b/>
          <w:bCs/>
          <w:sz w:val="28"/>
          <w:szCs w:val="28"/>
        </w:rPr>
      </w:pPr>
    </w:p>
    <w:p w14:paraId="007A272F" w14:textId="77777777" w:rsidR="007F5E4D" w:rsidRDefault="007F5E4D" w:rsidP="009A7B71">
      <w:pPr>
        <w:spacing w:line="360" w:lineRule="auto"/>
        <w:rPr>
          <w:rFonts w:ascii="Arial" w:hAnsi="Arial" w:cs="Arial"/>
          <w:b/>
          <w:bCs/>
          <w:sz w:val="28"/>
          <w:szCs w:val="28"/>
        </w:rPr>
      </w:pPr>
    </w:p>
    <w:p w14:paraId="06A8BE3D" w14:textId="77777777" w:rsidR="007F5E4D" w:rsidRDefault="007F5E4D" w:rsidP="009A7B71">
      <w:pPr>
        <w:spacing w:line="360" w:lineRule="auto"/>
        <w:rPr>
          <w:rFonts w:ascii="Arial" w:hAnsi="Arial" w:cs="Arial"/>
          <w:b/>
          <w:bCs/>
          <w:sz w:val="28"/>
          <w:szCs w:val="28"/>
        </w:rPr>
      </w:pPr>
    </w:p>
    <w:p w14:paraId="3E2C65A2" w14:textId="77777777" w:rsidR="007F5E4D" w:rsidRDefault="007F5E4D" w:rsidP="009A7B71">
      <w:pPr>
        <w:spacing w:line="360" w:lineRule="auto"/>
        <w:rPr>
          <w:rFonts w:ascii="Arial" w:hAnsi="Arial" w:cs="Arial"/>
          <w:b/>
          <w:bCs/>
          <w:sz w:val="28"/>
          <w:szCs w:val="28"/>
        </w:rPr>
      </w:pPr>
    </w:p>
    <w:p w14:paraId="6B0FD925" w14:textId="77777777" w:rsidR="007F5E4D" w:rsidRDefault="007F5E4D" w:rsidP="009A7B71">
      <w:pPr>
        <w:spacing w:line="360" w:lineRule="auto"/>
        <w:rPr>
          <w:rFonts w:ascii="Arial" w:hAnsi="Arial" w:cs="Arial"/>
          <w:b/>
          <w:bCs/>
          <w:sz w:val="28"/>
          <w:szCs w:val="28"/>
        </w:rPr>
      </w:pPr>
    </w:p>
    <w:p w14:paraId="7F7A0D93" w14:textId="77777777" w:rsidR="007F5E4D" w:rsidRDefault="007F5E4D" w:rsidP="009A7B71">
      <w:pPr>
        <w:spacing w:line="360" w:lineRule="auto"/>
        <w:rPr>
          <w:rFonts w:ascii="Arial" w:hAnsi="Arial" w:cs="Arial"/>
          <w:b/>
          <w:bCs/>
          <w:sz w:val="28"/>
          <w:szCs w:val="28"/>
        </w:rPr>
      </w:pPr>
    </w:p>
    <w:p w14:paraId="0D2CE4E4" w14:textId="77777777" w:rsidR="007F5E4D" w:rsidRDefault="007F5E4D" w:rsidP="009A7B71">
      <w:pPr>
        <w:spacing w:line="360" w:lineRule="auto"/>
        <w:rPr>
          <w:rFonts w:ascii="Arial" w:hAnsi="Arial" w:cs="Arial"/>
          <w:b/>
          <w:bCs/>
          <w:sz w:val="28"/>
          <w:szCs w:val="28"/>
        </w:rPr>
      </w:pPr>
    </w:p>
    <w:p w14:paraId="07785997" w14:textId="77777777" w:rsidR="007F5E4D" w:rsidRDefault="007F5E4D" w:rsidP="009A7B71">
      <w:pPr>
        <w:spacing w:line="360" w:lineRule="auto"/>
        <w:rPr>
          <w:rFonts w:ascii="Arial" w:hAnsi="Arial" w:cs="Arial"/>
          <w:b/>
          <w:bCs/>
          <w:sz w:val="28"/>
          <w:szCs w:val="28"/>
        </w:rPr>
      </w:pPr>
    </w:p>
    <w:p w14:paraId="5523C1D5" w14:textId="77777777" w:rsidR="007F5E4D" w:rsidRDefault="007F5E4D" w:rsidP="009A7B71">
      <w:pPr>
        <w:spacing w:line="360" w:lineRule="auto"/>
        <w:rPr>
          <w:rFonts w:ascii="Arial" w:hAnsi="Arial" w:cs="Arial"/>
          <w:b/>
          <w:bCs/>
          <w:sz w:val="28"/>
          <w:szCs w:val="28"/>
        </w:rPr>
      </w:pPr>
    </w:p>
    <w:p w14:paraId="5EB5DE0A" w14:textId="77777777" w:rsidR="007F5E4D" w:rsidRDefault="007F5E4D" w:rsidP="009A7B71">
      <w:pPr>
        <w:spacing w:line="360" w:lineRule="auto"/>
        <w:rPr>
          <w:rFonts w:ascii="Arial" w:hAnsi="Arial" w:cs="Arial"/>
          <w:b/>
          <w:bCs/>
          <w:sz w:val="28"/>
          <w:szCs w:val="28"/>
        </w:rPr>
      </w:pPr>
    </w:p>
    <w:p w14:paraId="1E33B04E" w14:textId="021401A6" w:rsidR="00D47EFB" w:rsidRPr="00D47EFB" w:rsidRDefault="00D47EFB" w:rsidP="009A7B71">
      <w:pPr>
        <w:spacing w:line="360" w:lineRule="auto"/>
        <w:rPr>
          <w:rFonts w:ascii="Arial" w:hAnsi="Arial" w:cs="Arial"/>
          <w:b/>
          <w:bCs/>
          <w:sz w:val="28"/>
          <w:szCs w:val="28"/>
        </w:rPr>
      </w:pPr>
      <w:r w:rsidRPr="00D47EFB">
        <w:rPr>
          <w:rFonts w:ascii="Arial" w:hAnsi="Arial" w:cs="Arial"/>
          <w:b/>
          <w:bCs/>
          <w:sz w:val="28"/>
          <w:szCs w:val="28"/>
        </w:rPr>
        <w:lastRenderedPageBreak/>
        <w:t>Part B – Short Report</w:t>
      </w:r>
    </w:p>
    <w:p w14:paraId="3FFF67E5" w14:textId="77777777" w:rsidR="00D47EFB" w:rsidRPr="00D47EFB" w:rsidRDefault="00D47EFB" w:rsidP="009A7B71">
      <w:pPr>
        <w:spacing w:line="360" w:lineRule="auto"/>
        <w:rPr>
          <w:rFonts w:ascii="Arial" w:hAnsi="Arial" w:cs="Arial"/>
          <w:u w:val="single"/>
        </w:rPr>
      </w:pPr>
      <w:r w:rsidRPr="00D47EFB">
        <w:rPr>
          <w:rFonts w:ascii="Arial" w:hAnsi="Arial" w:cs="Arial"/>
          <w:b/>
          <w:bCs/>
          <w:u w:val="single"/>
        </w:rPr>
        <w:t>Using Psychological Theory to Support Older Adults in Care Homes</w:t>
      </w:r>
    </w:p>
    <w:p w14:paraId="44418193" w14:textId="6F8B72E3" w:rsidR="00D47EFB" w:rsidRPr="00D47EFB" w:rsidRDefault="00D47EFB" w:rsidP="009A7B71">
      <w:pPr>
        <w:spacing w:line="360" w:lineRule="auto"/>
        <w:rPr>
          <w:rFonts w:ascii="Arial" w:hAnsi="Arial" w:cs="Arial"/>
          <w:b/>
          <w:bCs/>
          <w:u w:val="single"/>
        </w:rPr>
      </w:pPr>
      <w:r w:rsidRPr="00D47EFB">
        <w:rPr>
          <w:rFonts w:ascii="Arial" w:hAnsi="Arial" w:cs="Arial"/>
          <w:b/>
          <w:bCs/>
          <w:u w:val="single"/>
        </w:rPr>
        <w:t xml:space="preserve">Introduction </w:t>
      </w:r>
    </w:p>
    <w:p w14:paraId="55CC6309" w14:textId="169BC966" w:rsidR="007F5E4D" w:rsidRDefault="00B9320F" w:rsidP="007F5E4D">
      <w:pPr>
        <w:spacing w:line="360" w:lineRule="auto"/>
        <w:jc w:val="both"/>
        <w:rPr>
          <w:rFonts w:ascii="Arial" w:hAnsi="Arial" w:cs="Arial"/>
        </w:rPr>
      </w:pPr>
      <w:r w:rsidRPr="00B9320F">
        <w:rPr>
          <w:rFonts w:ascii="Arial" w:hAnsi="Arial" w:cs="Arial"/>
        </w:rPr>
        <w:t xml:space="preserve">Understanding psychological theory is </w:t>
      </w:r>
      <w:r w:rsidR="005B2704">
        <w:rPr>
          <w:rFonts w:ascii="Arial" w:hAnsi="Arial" w:cs="Arial"/>
        </w:rPr>
        <w:t xml:space="preserve">highly </w:t>
      </w:r>
      <w:r w:rsidRPr="00B9320F">
        <w:rPr>
          <w:rFonts w:ascii="Arial" w:hAnsi="Arial" w:cs="Arial"/>
        </w:rPr>
        <w:t>valuable for health and social care professionals working with older adults in care homes</w:t>
      </w:r>
      <w:r w:rsidR="00D47EFB" w:rsidRPr="00D47EFB">
        <w:rPr>
          <w:rFonts w:ascii="Arial" w:hAnsi="Arial" w:cs="Arial"/>
        </w:rPr>
        <w:t xml:space="preserve">. Psychological theories help staff understand how ageing can affect people emotionally and socially, which can improve the way care is provided. </w:t>
      </w:r>
      <w:r w:rsidR="000304EB" w:rsidRPr="000304EB">
        <w:rPr>
          <w:rFonts w:ascii="Arial" w:hAnsi="Arial" w:cs="Arial"/>
        </w:rPr>
        <w:t>This report focuses on the work of Erik Erikson and his Psychosocial Development Theory.</w:t>
      </w:r>
      <w:r w:rsidR="000304EB">
        <w:rPr>
          <w:rFonts w:ascii="Arial" w:hAnsi="Arial" w:cs="Arial"/>
        </w:rPr>
        <w:t xml:space="preserve"> </w:t>
      </w:r>
      <w:r w:rsidR="00D47EFB" w:rsidRPr="00D47EFB">
        <w:rPr>
          <w:rFonts w:ascii="Arial" w:hAnsi="Arial" w:cs="Arial"/>
        </w:rPr>
        <w:t>The report will explain the key ideas of the theory, explore how it can be used in a care home environment, give a practical example, and discuss one challenge professionals might face when applying it in practice.</w:t>
      </w:r>
    </w:p>
    <w:p w14:paraId="6CE1E266" w14:textId="414D83F7" w:rsidR="00D47EFB" w:rsidRPr="007F5E4D" w:rsidRDefault="00D47EFB" w:rsidP="009A7B71">
      <w:pPr>
        <w:spacing w:line="360" w:lineRule="auto"/>
        <w:rPr>
          <w:rFonts w:ascii="Arial" w:hAnsi="Arial" w:cs="Arial"/>
        </w:rPr>
      </w:pPr>
      <w:r w:rsidRPr="00D47EFB">
        <w:rPr>
          <w:rFonts w:ascii="Arial" w:hAnsi="Arial" w:cs="Arial"/>
          <w:b/>
          <w:bCs/>
          <w:u w:val="single"/>
        </w:rPr>
        <w:t xml:space="preserve">Explanation of the Theory </w:t>
      </w:r>
    </w:p>
    <w:p w14:paraId="30B7577F" w14:textId="73F496E7" w:rsidR="00D47EFB" w:rsidRPr="00D47EFB" w:rsidRDefault="00D47EFB" w:rsidP="007F5E4D">
      <w:pPr>
        <w:spacing w:line="360" w:lineRule="auto"/>
        <w:jc w:val="both"/>
        <w:rPr>
          <w:rFonts w:ascii="Arial" w:hAnsi="Arial" w:cs="Arial"/>
        </w:rPr>
      </w:pPr>
      <w:r w:rsidRPr="00D47EFB">
        <w:rPr>
          <w:rFonts w:ascii="Arial" w:hAnsi="Arial" w:cs="Arial"/>
        </w:rPr>
        <w:t xml:space="preserve">Erik Erikson developed Erikson's Psychosocial Development Theory to explain how people develop psychologically throughout their lives. The theory suggests that development happens through eight stages, from childhood to older adulthood. Each stage involves a conflict that individuals need to work through </w:t>
      </w:r>
      <w:r w:rsidR="00621C9F" w:rsidRPr="00D47EFB">
        <w:rPr>
          <w:rFonts w:ascii="Arial" w:hAnsi="Arial" w:cs="Arial"/>
        </w:rPr>
        <w:t>to</w:t>
      </w:r>
      <w:r w:rsidRPr="00D47EFB">
        <w:rPr>
          <w:rFonts w:ascii="Arial" w:hAnsi="Arial" w:cs="Arial"/>
        </w:rPr>
        <w:t xml:space="preserve"> develop a healthy sense of identity and wellbeing (Erikson, 1950).</w:t>
      </w:r>
    </w:p>
    <w:p w14:paraId="6726186D" w14:textId="77265183" w:rsidR="00476A1D" w:rsidRDefault="00476A1D" w:rsidP="007F5E4D">
      <w:pPr>
        <w:spacing w:line="360" w:lineRule="auto"/>
        <w:jc w:val="both"/>
        <w:rPr>
          <w:rFonts w:ascii="Arial" w:hAnsi="Arial" w:cs="Arial"/>
        </w:rPr>
      </w:pPr>
      <w:r w:rsidRPr="00476A1D">
        <w:rPr>
          <w:rFonts w:ascii="Arial" w:hAnsi="Arial" w:cs="Arial"/>
        </w:rPr>
        <w:t xml:space="preserve">The stage most relevant to older adulthood is integrity versus despair. During this stage people reflect on their life and consider whether they feel satisfied with what they have achieved. Ego integrity refers to a sense of acceptance and meaning when reflecting on life experiences, while despair may occur if someone feels regret or disappointment (Erikson, 1982). This stage is particularly relevant in care homes because residents often experience major life changes such as moving away from their homes, losing </w:t>
      </w:r>
      <w:r w:rsidR="00621C9F" w:rsidRPr="00476A1D">
        <w:rPr>
          <w:rFonts w:ascii="Arial" w:hAnsi="Arial" w:cs="Arial"/>
        </w:rPr>
        <w:t>independence,</w:t>
      </w:r>
      <w:r w:rsidRPr="00476A1D">
        <w:rPr>
          <w:rFonts w:ascii="Arial" w:hAnsi="Arial" w:cs="Arial"/>
        </w:rPr>
        <w:t xml:space="preserve"> or coping with bereavement.</w:t>
      </w:r>
    </w:p>
    <w:p w14:paraId="230708B9" w14:textId="77777777" w:rsidR="007F5E4D" w:rsidRDefault="00D47EFB" w:rsidP="007F5E4D">
      <w:pPr>
        <w:spacing w:line="360" w:lineRule="auto"/>
        <w:jc w:val="both"/>
        <w:rPr>
          <w:rFonts w:ascii="Arial" w:hAnsi="Arial" w:cs="Arial"/>
        </w:rPr>
      </w:pPr>
      <w:r w:rsidRPr="00D47EFB">
        <w:rPr>
          <w:rFonts w:ascii="Arial" w:hAnsi="Arial" w:cs="Arial"/>
        </w:rPr>
        <w:t xml:space="preserve">This </w:t>
      </w:r>
      <w:r w:rsidR="00442534">
        <w:rPr>
          <w:rFonts w:ascii="Arial" w:hAnsi="Arial" w:cs="Arial"/>
        </w:rPr>
        <w:t xml:space="preserve">stage is </w:t>
      </w:r>
      <w:r w:rsidRPr="00D47EFB">
        <w:rPr>
          <w:rFonts w:ascii="Arial" w:hAnsi="Arial" w:cs="Arial"/>
        </w:rPr>
        <w:t>important in care homes because many residents experience major life changes, such as moving away from their homes, losing independence, or coping with bereavement. These experiences can lead individuals to reflect on their lives more deeply. Research suggests that developing a sense of integrity can improve emotional wellbeing and life satisfaction in older adults (Westerhof and Bohlmeijer, 2014). Understanding these ideas can help professionals provide more supportive and person-centred care.</w:t>
      </w:r>
    </w:p>
    <w:p w14:paraId="5E30710D" w14:textId="55D3378D" w:rsidR="00D47EFB" w:rsidRPr="007F5E4D" w:rsidRDefault="00D47EFB" w:rsidP="007F5E4D">
      <w:pPr>
        <w:spacing w:line="360" w:lineRule="auto"/>
        <w:jc w:val="both"/>
        <w:rPr>
          <w:rFonts w:ascii="Arial" w:hAnsi="Arial" w:cs="Arial"/>
        </w:rPr>
      </w:pPr>
      <w:r w:rsidRPr="00D47EFB">
        <w:rPr>
          <w:rFonts w:ascii="Arial" w:hAnsi="Arial" w:cs="Arial"/>
          <w:b/>
          <w:bCs/>
          <w:u w:val="single"/>
        </w:rPr>
        <w:t xml:space="preserve">Application of the Theory </w:t>
      </w:r>
    </w:p>
    <w:p w14:paraId="036DF789" w14:textId="77777777" w:rsidR="00D47EFB" w:rsidRPr="00D47EFB" w:rsidRDefault="00D47EFB" w:rsidP="007F5E4D">
      <w:pPr>
        <w:spacing w:line="360" w:lineRule="auto"/>
        <w:jc w:val="both"/>
        <w:rPr>
          <w:rFonts w:ascii="Arial" w:hAnsi="Arial" w:cs="Arial"/>
        </w:rPr>
      </w:pPr>
      <w:r w:rsidRPr="00D47EFB">
        <w:rPr>
          <w:rFonts w:ascii="Arial" w:hAnsi="Arial" w:cs="Arial"/>
        </w:rPr>
        <w:t>An understanding of Erikson's Psychosocial Development Theory can help health and social care professionals better support residents in care homes. If staff are aware that older adults may be reflecting on their life experiences, they can create opportunities for residents to talk about their past and share important memories.</w:t>
      </w:r>
    </w:p>
    <w:p w14:paraId="2CBE0741" w14:textId="663752C5" w:rsidR="00D47EFB" w:rsidRPr="00D47EFB" w:rsidRDefault="00D47EFB" w:rsidP="007F5E4D">
      <w:pPr>
        <w:spacing w:line="360" w:lineRule="auto"/>
        <w:jc w:val="both"/>
        <w:rPr>
          <w:rFonts w:ascii="Arial" w:hAnsi="Arial" w:cs="Arial"/>
        </w:rPr>
      </w:pPr>
      <w:r w:rsidRPr="00D47EFB">
        <w:rPr>
          <w:rFonts w:ascii="Arial" w:hAnsi="Arial" w:cs="Arial"/>
        </w:rPr>
        <w:lastRenderedPageBreak/>
        <w:t xml:space="preserve">For example, care workers might organise activities such as reminiscence sessions, where residents are encouraged to talk about past experiences, </w:t>
      </w:r>
      <w:r w:rsidR="00753FDA" w:rsidRPr="00D47EFB">
        <w:rPr>
          <w:rFonts w:ascii="Arial" w:hAnsi="Arial" w:cs="Arial"/>
        </w:rPr>
        <w:t>hobbies,</w:t>
      </w:r>
      <w:r w:rsidRPr="00D47EFB">
        <w:rPr>
          <w:rFonts w:ascii="Arial" w:hAnsi="Arial" w:cs="Arial"/>
        </w:rPr>
        <w:t xml:space="preserve"> or achievements. Looking through photographs or discussing family history can help residents feel valued and respected.</w:t>
      </w:r>
      <w:r w:rsidR="00F21E7B" w:rsidRPr="00F11938">
        <w:rPr>
          <w:rFonts w:ascii="Arial" w:hAnsi="Arial" w:cs="Arial"/>
        </w:rPr>
        <w:t xml:space="preserve"> These activities can also help residents recognise positive aspects of their lives</w:t>
      </w:r>
      <w:r w:rsidRPr="00D47EFB">
        <w:rPr>
          <w:rFonts w:ascii="Arial" w:hAnsi="Arial" w:cs="Arial"/>
        </w:rPr>
        <w:t>, which may support the development of ego integrity (Westerhof, Bohlmeijer and McAdams, 2017).</w:t>
      </w:r>
    </w:p>
    <w:p w14:paraId="6F0102BD" w14:textId="77777777" w:rsidR="007F5E4D" w:rsidRDefault="00D47EFB" w:rsidP="007F5E4D">
      <w:pPr>
        <w:spacing w:line="360" w:lineRule="auto"/>
        <w:jc w:val="both"/>
        <w:rPr>
          <w:rFonts w:ascii="Arial" w:hAnsi="Arial" w:cs="Arial"/>
        </w:rPr>
      </w:pPr>
      <w:r w:rsidRPr="00D47EFB">
        <w:rPr>
          <w:rFonts w:ascii="Arial" w:hAnsi="Arial" w:cs="Arial"/>
        </w:rPr>
        <w:t>Understanding the theory can also help professionals interpret emotional behaviours. If a resident appears withdrawn or unhappy, staff may recognise that these feelings could be linked to despair or unresolved life reflections. Responding with empathy and support can improve residents’ emotional wellbeing and overall quality of life.</w:t>
      </w:r>
    </w:p>
    <w:p w14:paraId="74DC60DB" w14:textId="0080F9EF" w:rsidR="00D47EFB" w:rsidRPr="007F5E4D" w:rsidRDefault="00D47EFB" w:rsidP="007F5E4D">
      <w:pPr>
        <w:spacing w:line="360" w:lineRule="auto"/>
        <w:jc w:val="both"/>
        <w:rPr>
          <w:rFonts w:ascii="Arial" w:hAnsi="Arial" w:cs="Arial"/>
        </w:rPr>
      </w:pPr>
      <w:r w:rsidRPr="00D47EFB">
        <w:rPr>
          <w:rFonts w:ascii="Arial" w:hAnsi="Arial" w:cs="Arial"/>
          <w:b/>
          <w:bCs/>
          <w:u w:val="single"/>
        </w:rPr>
        <w:t xml:space="preserve">Real-World Example </w:t>
      </w:r>
    </w:p>
    <w:p w14:paraId="457CA9F8" w14:textId="3F62CD91" w:rsidR="00D47EFB" w:rsidRPr="00D47EFB" w:rsidRDefault="00D47EFB" w:rsidP="007F5E4D">
      <w:pPr>
        <w:spacing w:line="360" w:lineRule="auto"/>
        <w:jc w:val="both"/>
        <w:rPr>
          <w:rFonts w:ascii="Arial" w:hAnsi="Arial" w:cs="Arial"/>
        </w:rPr>
      </w:pPr>
      <w:r w:rsidRPr="00F11938">
        <w:rPr>
          <w:rFonts w:ascii="Arial" w:hAnsi="Arial" w:cs="Arial"/>
        </w:rPr>
        <w:t xml:space="preserve">To understand how this theory can work in practice, it is helpful to look at an example from a care home environment. </w:t>
      </w:r>
      <w:r w:rsidR="00ED66D3" w:rsidRPr="00ED66D3">
        <w:rPr>
          <w:rFonts w:ascii="Arial" w:hAnsi="Arial" w:cs="Arial"/>
        </w:rPr>
        <w:t>An example of applying Erikson’s Psychosocial Development Theory is a resident who expresses regret about aspects of their past and appears unhappy since moving into the care home</w:t>
      </w:r>
      <w:r w:rsidRPr="00D47EFB">
        <w:rPr>
          <w:rFonts w:ascii="Arial" w:hAnsi="Arial" w:cs="Arial"/>
        </w:rPr>
        <w:t>. A care worker who understands Erikson’s theory may recognise that the resident could be experiencing feelings linked to the integrity versus despair stage.</w:t>
      </w:r>
    </w:p>
    <w:p w14:paraId="5A916509" w14:textId="55F498C3" w:rsidR="00D47EFB" w:rsidRPr="00D47EFB" w:rsidRDefault="00D47EFB" w:rsidP="007F5E4D">
      <w:pPr>
        <w:spacing w:line="360" w:lineRule="auto"/>
        <w:jc w:val="both"/>
        <w:rPr>
          <w:rFonts w:ascii="Arial" w:hAnsi="Arial" w:cs="Arial"/>
        </w:rPr>
      </w:pPr>
      <w:r w:rsidRPr="00D47EFB">
        <w:rPr>
          <w:rFonts w:ascii="Arial" w:hAnsi="Arial" w:cs="Arial"/>
        </w:rPr>
        <w:t>To support the resident, the care worker could spend time discussing the person’s life experiences and achievements. They might also help the resident create a personal “life story</w:t>
      </w:r>
      <w:r w:rsidR="00F21E7B" w:rsidRPr="00F11938">
        <w:rPr>
          <w:rFonts w:ascii="Arial" w:hAnsi="Arial" w:cs="Arial"/>
        </w:rPr>
        <w:t>”</w:t>
      </w:r>
      <w:r w:rsidRPr="00D47EFB">
        <w:rPr>
          <w:rFonts w:ascii="Arial" w:hAnsi="Arial" w:cs="Arial"/>
        </w:rPr>
        <w:t xml:space="preserve"> book that includes photographs, </w:t>
      </w:r>
      <w:r w:rsidR="00753FDA" w:rsidRPr="00D47EFB">
        <w:rPr>
          <w:rFonts w:ascii="Arial" w:hAnsi="Arial" w:cs="Arial"/>
        </w:rPr>
        <w:t>memories,</w:t>
      </w:r>
      <w:r w:rsidRPr="00D47EFB">
        <w:rPr>
          <w:rFonts w:ascii="Arial" w:hAnsi="Arial" w:cs="Arial"/>
        </w:rPr>
        <w:t xml:space="preserve"> and important events from their life. This activity encourages reflection on positive experiences and achievements.</w:t>
      </w:r>
    </w:p>
    <w:p w14:paraId="7B771C7B" w14:textId="77777777" w:rsidR="007F5E4D" w:rsidRDefault="00D47EFB" w:rsidP="007F5E4D">
      <w:pPr>
        <w:spacing w:line="360" w:lineRule="auto"/>
        <w:jc w:val="both"/>
        <w:rPr>
          <w:rFonts w:ascii="Arial" w:hAnsi="Arial" w:cs="Arial"/>
        </w:rPr>
      </w:pPr>
      <w:r w:rsidRPr="00D47EFB">
        <w:rPr>
          <w:rFonts w:ascii="Arial" w:hAnsi="Arial" w:cs="Arial"/>
        </w:rPr>
        <w:t xml:space="preserve">Research suggests that </w:t>
      </w:r>
      <w:r w:rsidR="00F21E7B" w:rsidRPr="00F11938">
        <w:rPr>
          <w:rFonts w:ascii="Arial" w:hAnsi="Arial" w:cs="Arial"/>
        </w:rPr>
        <w:t>looking back at memories</w:t>
      </w:r>
      <w:r w:rsidRPr="00D47EFB">
        <w:rPr>
          <w:rFonts w:ascii="Arial" w:hAnsi="Arial" w:cs="Arial"/>
        </w:rPr>
        <w:t xml:space="preserve"> and life review activities can help older adults feel more positive about their lives and improve their mental wellbeing (Bohlmeijer, Westerhof and Webster, 2011). In this way, psychological theory can guide practical care approaches that support emotional health in care homes.</w:t>
      </w:r>
    </w:p>
    <w:p w14:paraId="3A7BB5BA" w14:textId="1A4C481C" w:rsidR="00D47EFB" w:rsidRPr="007F5E4D" w:rsidRDefault="00D47EFB" w:rsidP="007F5E4D">
      <w:pPr>
        <w:spacing w:line="360" w:lineRule="auto"/>
        <w:jc w:val="both"/>
        <w:rPr>
          <w:rFonts w:ascii="Arial" w:hAnsi="Arial" w:cs="Arial"/>
        </w:rPr>
      </w:pPr>
      <w:r w:rsidRPr="00D47EFB">
        <w:rPr>
          <w:rFonts w:ascii="Arial" w:hAnsi="Arial" w:cs="Arial"/>
          <w:b/>
          <w:bCs/>
          <w:u w:val="single"/>
        </w:rPr>
        <w:t xml:space="preserve">Challenges </w:t>
      </w:r>
    </w:p>
    <w:p w14:paraId="36F763A2" w14:textId="77777777" w:rsidR="00D47EFB" w:rsidRPr="00D47EFB" w:rsidRDefault="00D47EFB" w:rsidP="007F5E4D">
      <w:pPr>
        <w:spacing w:line="360" w:lineRule="auto"/>
        <w:jc w:val="both"/>
        <w:rPr>
          <w:rFonts w:ascii="Arial" w:hAnsi="Arial" w:cs="Arial"/>
        </w:rPr>
      </w:pPr>
      <w:r w:rsidRPr="00D47EFB">
        <w:rPr>
          <w:rFonts w:ascii="Arial" w:hAnsi="Arial" w:cs="Arial"/>
        </w:rPr>
        <w:t>One challenge when applying Erikson's Psychosocial Development Theory in a care home is that some residents may have dementia or memory difficulties. This can make it harder for them to recall past experiences or take part in discussions about their life.</w:t>
      </w:r>
    </w:p>
    <w:p w14:paraId="4BB60722" w14:textId="77777777" w:rsidR="00D47EFB" w:rsidRPr="00D47EFB" w:rsidRDefault="00D47EFB" w:rsidP="007F5E4D">
      <w:pPr>
        <w:spacing w:line="360" w:lineRule="auto"/>
        <w:jc w:val="both"/>
        <w:rPr>
          <w:rFonts w:ascii="Arial" w:hAnsi="Arial" w:cs="Arial"/>
        </w:rPr>
      </w:pPr>
      <w:r w:rsidRPr="00D47EFB">
        <w:rPr>
          <w:rFonts w:ascii="Arial" w:hAnsi="Arial" w:cs="Arial"/>
        </w:rPr>
        <w:t>A possible way to overcome this challenge is by adapting activities so they are more accessible. For example, staff could use music, photographs or familiar objects to help stimulate memories and start conversations. These prompts can make it easier for residents to engage in reminiscence activities and still benefit from reflecting on their life experiences (Subramaniam and Woods, 2012).</w:t>
      </w:r>
    </w:p>
    <w:p w14:paraId="213C6F8E" w14:textId="2C5B9B1A" w:rsidR="00D47EFB" w:rsidRPr="00D47EFB" w:rsidRDefault="00D47EFB" w:rsidP="007F5E4D">
      <w:pPr>
        <w:spacing w:line="360" w:lineRule="auto"/>
        <w:jc w:val="both"/>
        <w:rPr>
          <w:rFonts w:ascii="Arial" w:hAnsi="Arial" w:cs="Arial"/>
        </w:rPr>
      </w:pPr>
    </w:p>
    <w:p w14:paraId="26906A03" w14:textId="5159F3FC" w:rsidR="00D47EFB" w:rsidRPr="00D47EFB" w:rsidRDefault="00D47EFB" w:rsidP="009A7B71">
      <w:pPr>
        <w:spacing w:line="360" w:lineRule="auto"/>
        <w:rPr>
          <w:rFonts w:ascii="Arial" w:hAnsi="Arial" w:cs="Arial"/>
          <w:b/>
          <w:bCs/>
          <w:u w:val="single"/>
        </w:rPr>
      </w:pPr>
      <w:r w:rsidRPr="00D47EFB">
        <w:rPr>
          <w:rFonts w:ascii="Arial" w:hAnsi="Arial" w:cs="Arial"/>
          <w:b/>
          <w:bCs/>
          <w:u w:val="single"/>
        </w:rPr>
        <w:lastRenderedPageBreak/>
        <w:t xml:space="preserve">Conclusion </w:t>
      </w:r>
    </w:p>
    <w:p w14:paraId="0D3FBD40" w14:textId="3669E79F" w:rsidR="00D47EFB" w:rsidRPr="00D47EFB" w:rsidRDefault="00D47EFB" w:rsidP="007F5E4D">
      <w:pPr>
        <w:spacing w:line="360" w:lineRule="auto"/>
        <w:jc w:val="both"/>
        <w:rPr>
          <w:rFonts w:ascii="Arial" w:hAnsi="Arial" w:cs="Arial"/>
        </w:rPr>
      </w:pPr>
      <w:r w:rsidRPr="00D47EFB">
        <w:rPr>
          <w:rFonts w:ascii="Arial" w:hAnsi="Arial" w:cs="Arial"/>
        </w:rPr>
        <w:t>In conclusion, this report has explored how Erik Erikson’s Psychosocial Development Theory can help health and social care professionals support older adults living in care homes. Understanding the stage of integrity versus despair allows professionals to recognise the emotional needs of residents and encourage positive reflection on life experiences.</w:t>
      </w:r>
      <w:r w:rsidR="00F21E7B" w:rsidRPr="00F11938">
        <w:rPr>
          <w:rFonts w:ascii="Arial" w:hAnsi="Arial" w:cs="Arial"/>
        </w:rPr>
        <w:t xml:space="preserve"> Overall, psychological knowledge can contribute to more person-centred care and support the wellbeing and quality of life of older adults living in care homes.</w:t>
      </w:r>
    </w:p>
    <w:p w14:paraId="614BF0A7" w14:textId="6D6628E8" w:rsidR="00D47EFB" w:rsidRPr="00D47EFB" w:rsidRDefault="00D47EFB" w:rsidP="009A7B71">
      <w:pPr>
        <w:spacing w:line="360" w:lineRule="auto"/>
        <w:rPr>
          <w:rFonts w:ascii="Arial" w:hAnsi="Arial" w:cs="Arial"/>
        </w:rPr>
      </w:pPr>
    </w:p>
    <w:p w14:paraId="2C3E8355" w14:textId="77777777" w:rsidR="00734A00" w:rsidRDefault="00734A00" w:rsidP="009A7B71">
      <w:pPr>
        <w:spacing w:line="360" w:lineRule="auto"/>
        <w:rPr>
          <w:rFonts w:ascii="Arial" w:hAnsi="Arial" w:cs="Arial"/>
          <w:b/>
          <w:bCs/>
          <w:u w:val="single"/>
        </w:rPr>
      </w:pPr>
    </w:p>
    <w:p w14:paraId="5CEBE6E6" w14:textId="77777777" w:rsidR="00734A00" w:rsidRDefault="00734A00" w:rsidP="009A7B71">
      <w:pPr>
        <w:spacing w:line="360" w:lineRule="auto"/>
        <w:rPr>
          <w:rFonts w:ascii="Arial" w:hAnsi="Arial" w:cs="Arial"/>
          <w:b/>
          <w:bCs/>
          <w:u w:val="single"/>
        </w:rPr>
      </w:pPr>
    </w:p>
    <w:p w14:paraId="41544FD4" w14:textId="77777777" w:rsidR="00734A00" w:rsidRDefault="00734A00" w:rsidP="009A7B71">
      <w:pPr>
        <w:spacing w:line="360" w:lineRule="auto"/>
        <w:rPr>
          <w:rFonts w:ascii="Arial" w:hAnsi="Arial" w:cs="Arial"/>
          <w:b/>
          <w:bCs/>
          <w:u w:val="single"/>
        </w:rPr>
      </w:pPr>
    </w:p>
    <w:p w14:paraId="16A955B9" w14:textId="77777777" w:rsidR="00734A00" w:rsidRDefault="00734A00" w:rsidP="009A7B71">
      <w:pPr>
        <w:spacing w:line="360" w:lineRule="auto"/>
        <w:rPr>
          <w:rFonts w:ascii="Arial" w:hAnsi="Arial" w:cs="Arial"/>
          <w:b/>
          <w:bCs/>
          <w:u w:val="single"/>
        </w:rPr>
      </w:pPr>
    </w:p>
    <w:p w14:paraId="5EE77AC7" w14:textId="77777777" w:rsidR="00BD5462" w:rsidRDefault="00BD5462" w:rsidP="009A7B71">
      <w:pPr>
        <w:spacing w:line="360" w:lineRule="auto"/>
        <w:rPr>
          <w:rFonts w:ascii="Arial" w:hAnsi="Arial" w:cs="Arial"/>
          <w:b/>
          <w:bCs/>
          <w:u w:val="single"/>
        </w:rPr>
      </w:pPr>
    </w:p>
    <w:p w14:paraId="3DEE0FE5" w14:textId="77777777" w:rsidR="00BD5462" w:rsidRDefault="00BD5462" w:rsidP="009A7B71">
      <w:pPr>
        <w:spacing w:line="360" w:lineRule="auto"/>
        <w:rPr>
          <w:rFonts w:ascii="Arial" w:hAnsi="Arial" w:cs="Arial"/>
          <w:b/>
          <w:bCs/>
          <w:u w:val="single"/>
        </w:rPr>
      </w:pPr>
    </w:p>
    <w:p w14:paraId="0CE2F257" w14:textId="77777777" w:rsidR="00BD5462" w:rsidRDefault="00BD5462" w:rsidP="009A7B71">
      <w:pPr>
        <w:spacing w:line="360" w:lineRule="auto"/>
        <w:rPr>
          <w:rFonts w:ascii="Arial" w:hAnsi="Arial" w:cs="Arial"/>
          <w:b/>
          <w:bCs/>
          <w:u w:val="single"/>
        </w:rPr>
      </w:pPr>
    </w:p>
    <w:p w14:paraId="00D58556" w14:textId="77777777" w:rsidR="00BD5462" w:rsidRDefault="00BD5462" w:rsidP="009A7B71">
      <w:pPr>
        <w:spacing w:line="360" w:lineRule="auto"/>
        <w:rPr>
          <w:rFonts w:ascii="Arial" w:hAnsi="Arial" w:cs="Arial"/>
          <w:b/>
          <w:bCs/>
          <w:u w:val="single"/>
        </w:rPr>
      </w:pPr>
    </w:p>
    <w:p w14:paraId="0D8CD02C" w14:textId="77777777" w:rsidR="00E3182D" w:rsidRDefault="00E3182D" w:rsidP="009A7B71">
      <w:pPr>
        <w:spacing w:line="360" w:lineRule="auto"/>
        <w:rPr>
          <w:rFonts w:ascii="Arial" w:hAnsi="Arial" w:cs="Arial"/>
          <w:b/>
          <w:bCs/>
          <w:u w:val="single"/>
        </w:rPr>
      </w:pPr>
    </w:p>
    <w:p w14:paraId="17147309" w14:textId="77777777" w:rsidR="00E3182D" w:rsidRDefault="00E3182D" w:rsidP="009A7B71">
      <w:pPr>
        <w:spacing w:line="360" w:lineRule="auto"/>
        <w:rPr>
          <w:rFonts w:ascii="Arial" w:hAnsi="Arial" w:cs="Arial"/>
          <w:b/>
          <w:bCs/>
          <w:u w:val="single"/>
        </w:rPr>
      </w:pPr>
    </w:p>
    <w:p w14:paraId="09601F4E" w14:textId="77777777" w:rsidR="00E3182D" w:rsidRDefault="00E3182D" w:rsidP="009A7B71">
      <w:pPr>
        <w:spacing w:line="360" w:lineRule="auto"/>
        <w:rPr>
          <w:rFonts w:ascii="Arial" w:hAnsi="Arial" w:cs="Arial"/>
          <w:b/>
          <w:bCs/>
          <w:u w:val="single"/>
        </w:rPr>
      </w:pPr>
    </w:p>
    <w:p w14:paraId="62B1B88F" w14:textId="77777777" w:rsidR="007F5E4D" w:rsidRDefault="007F5E4D" w:rsidP="009A7B71">
      <w:pPr>
        <w:spacing w:line="360" w:lineRule="auto"/>
        <w:rPr>
          <w:rFonts w:ascii="Arial" w:hAnsi="Arial" w:cs="Arial"/>
          <w:b/>
          <w:bCs/>
          <w:u w:val="single"/>
        </w:rPr>
      </w:pPr>
    </w:p>
    <w:p w14:paraId="0B2AD049" w14:textId="77777777" w:rsidR="007F5E4D" w:rsidRDefault="007F5E4D" w:rsidP="009A7B71">
      <w:pPr>
        <w:spacing w:line="360" w:lineRule="auto"/>
        <w:rPr>
          <w:rFonts w:ascii="Arial" w:hAnsi="Arial" w:cs="Arial"/>
          <w:b/>
          <w:bCs/>
          <w:u w:val="single"/>
        </w:rPr>
      </w:pPr>
    </w:p>
    <w:p w14:paraId="06D4DC0B" w14:textId="77777777" w:rsidR="007F5E4D" w:rsidRDefault="007F5E4D" w:rsidP="009A7B71">
      <w:pPr>
        <w:spacing w:line="360" w:lineRule="auto"/>
        <w:rPr>
          <w:rFonts w:ascii="Arial" w:hAnsi="Arial" w:cs="Arial"/>
          <w:b/>
          <w:bCs/>
          <w:u w:val="single"/>
        </w:rPr>
      </w:pPr>
    </w:p>
    <w:p w14:paraId="37FE25CB" w14:textId="77777777" w:rsidR="007F5E4D" w:rsidRDefault="007F5E4D" w:rsidP="009A7B71">
      <w:pPr>
        <w:spacing w:line="360" w:lineRule="auto"/>
        <w:rPr>
          <w:rFonts w:ascii="Arial" w:hAnsi="Arial" w:cs="Arial"/>
          <w:b/>
          <w:bCs/>
          <w:u w:val="single"/>
        </w:rPr>
      </w:pPr>
    </w:p>
    <w:p w14:paraId="18B34D24" w14:textId="77777777" w:rsidR="007F5E4D" w:rsidRDefault="007F5E4D" w:rsidP="009A7B71">
      <w:pPr>
        <w:spacing w:line="360" w:lineRule="auto"/>
        <w:rPr>
          <w:rFonts w:ascii="Arial" w:hAnsi="Arial" w:cs="Arial"/>
          <w:b/>
          <w:bCs/>
          <w:u w:val="single"/>
        </w:rPr>
      </w:pPr>
    </w:p>
    <w:p w14:paraId="5A88C7DD" w14:textId="77777777" w:rsidR="007F5E4D" w:rsidRDefault="007F5E4D" w:rsidP="009A7B71">
      <w:pPr>
        <w:spacing w:line="360" w:lineRule="auto"/>
        <w:rPr>
          <w:rFonts w:ascii="Arial" w:hAnsi="Arial" w:cs="Arial"/>
          <w:b/>
          <w:bCs/>
          <w:u w:val="single"/>
        </w:rPr>
      </w:pPr>
    </w:p>
    <w:p w14:paraId="5B2B2306" w14:textId="77777777" w:rsidR="007F5E4D" w:rsidRDefault="007F5E4D" w:rsidP="009A7B71">
      <w:pPr>
        <w:spacing w:line="360" w:lineRule="auto"/>
        <w:rPr>
          <w:rFonts w:ascii="Arial" w:hAnsi="Arial" w:cs="Arial"/>
          <w:b/>
          <w:bCs/>
          <w:u w:val="single"/>
        </w:rPr>
      </w:pPr>
    </w:p>
    <w:p w14:paraId="049AE87C" w14:textId="77777777" w:rsidR="007F5E4D" w:rsidRDefault="007F5E4D" w:rsidP="009A7B71">
      <w:pPr>
        <w:spacing w:line="360" w:lineRule="auto"/>
        <w:rPr>
          <w:rFonts w:ascii="Arial" w:hAnsi="Arial" w:cs="Arial"/>
          <w:b/>
          <w:bCs/>
          <w:u w:val="single"/>
        </w:rPr>
      </w:pPr>
    </w:p>
    <w:p w14:paraId="2C0A40D4" w14:textId="45D58369" w:rsidR="00734A00" w:rsidRPr="00734A00" w:rsidRDefault="00D47EFB" w:rsidP="009A7B71">
      <w:pPr>
        <w:spacing w:line="360" w:lineRule="auto"/>
        <w:rPr>
          <w:rFonts w:ascii="Arial" w:hAnsi="Arial" w:cs="Arial"/>
          <w:b/>
          <w:bCs/>
          <w:u w:val="single"/>
        </w:rPr>
      </w:pPr>
      <w:r w:rsidRPr="00D47EFB">
        <w:rPr>
          <w:rFonts w:ascii="Arial" w:hAnsi="Arial" w:cs="Arial"/>
          <w:b/>
          <w:bCs/>
          <w:u w:val="single"/>
        </w:rPr>
        <w:lastRenderedPageBreak/>
        <w:t xml:space="preserve">Reference List </w:t>
      </w:r>
    </w:p>
    <w:p w14:paraId="2065C861" w14:textId="77777777" w:rsidR="00734A00" w:rsidRPr="00D47EFB" w:rsidRDefault="00734A00" w:rsidP="009A7B71">
      <w:pPr>
        <w:spacing w:line="360" w:lineRule="auto"/>
        <w:rPr>
          <w:rFonts w:ascii="Arial" w:hAnsi="Arial" w:cs="Arial"/>
          <w:b/>
          <w:bCs/>
          <w:u w:val="single"/>
        </w:rPr>
      </w:pPr>
    </w:p>
    <w:p w14:paraId="7BC4F006" w14:textId="005F112B" w:rsidR="00734A00" w:rsidRPr="00F11938" w:rsidRDefault="00734A00" w:rsidP="009A7B71">
      <w:pPr>
        <w:spacing w:line="360" w:lineRule="auto"/>
        <w:rPr>
          <w:rFonts w:ascii="Arial" w:hAnsi="Arial" w:cs="Arial"/>
        </w:rPr>
      </w:pPr>
      <w:r w:rsidRPr="00F11938">
        <w:rPr>
          <w:rFonts w:ascii="Arial" w:hAnsi="Arial" w:cs="Arial"/>
        </w:rPr>
        <w:t xml:space="preserve">Abbasi, M., Radfar, M., Jafarizadeh, H. </w:t>
      </w:r>
      <w:r>
        <w:rPr>
          <w:rFonts w:ascii="Arial" w:hAnsi="Arial" w:cs="Arial"/>
        </w:rPr>
        <w:t>and</w:t>
      </w:r>
      <w:r w:rsidRPr="00F11938">
        <w:rPr>
          <w:rFonts w:ascii="Arial" w:hAnsi="Arial" w:cs="Arial"/>
        </w:rPr>
        <w:t xml:space="preserve"> Khalkhali, H. (2025) ‘Does life story work based on Erikson’s theory enhance psychological well</w:t>
      </w:r>
      <w:r w:rsidRPr="00F11938">
        <w:rPr>
          <w:rFonts w:ascii="Arial" w:hAnsi="Arial" w:cs="Arial"/>
        </w:rPr>
        <w:noBreakHyphen/>
        <w:t xml:space="preserve">being in elderly residents of nursing homes? A randomized controlled trial’, </w:t>
      </w:r>
      <w:r w:rsidRPr="00F11938">
        <w:rPr>
          <w:rFonts w:ascii="Arial" w:hAnsi="Arial" w:cs="Arial"/>
          <w:i/>
          <w:iCs/>
        </w:rPr>
        <w:t>Geriatric Nursing</w:t>
      </w:r>
      <w:r w:rsidRPr="00F11938">
        <w:rPr>
          <w:rFonts w:ascii="Arial" w:hAnsi="Arial" w:cs="Arial"/>
        </w:rPr>
        <w:t xml:space="preserve">, 61, pp. 140–148. </w:t>
      </w:r>
    </w:p>
    <w:p w14:paraId="66BF3C5D" w14:textId="77777777" w:rsidR="00734A00" w:rsidRDefault="00734A00" w:rsidP="009A7B71">
      <w:pPr>
        <w:spacing w:line="360" w:lineRule="auto"/>
        <w:rPr>
          <w:rFonts w:ascii="Arial" w:hAnsi="Arial" w:cs="Arial"/>
        </w:rPr>
      </w:pPr>
    </w:p>
    <w:p w14:paraId="4D391EA0" w14:textId="163EFACB" w:rsidR="00734A00" w:rsidRPr="00F11938" w:rsidRDefault="00734A00" w:rsidP="009A7B71">
      <w:pPr>
        <w:spacing w:line="360" w:lineRule="auto"/>
        <w:rPr>
          <w:rFonts w:ascii="Arial" w:hAnsi="Arial" w:cs="Arial"/>
        </w:rPr>
      </w:pPr>
      <w:r w:rsidRPr="00F11938">
        <w:rPr>
          <w:rFonts w:ascii="Arial" w:hAnsi="Arial" w:cs="Arial"/>
        </w:rPr>
        <w:t xml:space="preserve">Balki, E., Hayes, N. </w:t>
      </w:r>
      <w:r>
        <w:rPr>
          <w:rFonts w:ascii="Arial" w:hAnsi="Arial" w:cs="Arial"/>
        </w:rPr>
        <w:t>and</w:t>
      </w:r>
      <w:r w:rsidRPr="00F11938">
        <w:rPr>
          <w:rFonts w:ascii="Arial" w:hAnsi="Arial" w:cs="Arial"/>
        </w:rPr>
        <w:t xml:space="preserve"> Holland, C. (2023) ‘Loneliness and older adults: psychological resilience and technology use during the COVID</w:t>
      </w:r>
      <w:r w:rsidRPr="00F11938">
        <w:rPr>
          <w:rFonts w:ascii="Arial" w:hAnsi="Arial" w:cs="Arial"/>
        </w:rPr>
        <w:noBreakHyphen/>
        <w:t xml:space="preserve">19 pandemic—a cross sectional study’, </w:t>
      </w:r>
      <w:r w:rsidRPr="00F11938">
        <w:rPr>
          <w:rFonts w:ascii="Arial" w:hAnsi="Arial" w:cs="Arial"/>
          <w:i/>
          <w:iCs/>
        </w:rPr>
        <w:t>Frontiers in Aging</w:t>
      </w:r>
      <w:r w:rsidRPr="00F11938">
        <w:rPr>
          <w:rFonts w:ascii="Arial" w:hAnsi="Arial" w:cs="Arial"/>
        </w:rPr>
        <w:t xml:space="preserve">, 4:1184386. </w:t>
      </w:r>
    </w:p>
    <w:p w14:paraId="5C274BD6" w14:textId="77777777" w:rsidR="00734A00" w:rsidRDefault="00734A00" w:rsidP="009A7B71">
      <w:pPr>
        <w:spacing w:line="360" w:lineRule="auto"/>
        <w:rPr>
          <w:rFonts w:ascii="Arial" w:hAnsi="Arial" w:cs="Arial"/>
        </w:rPr>
      </w:pPr>
    </w:p>
    <w:p w14:paraId="2358B120" w14:textId="377BC407" w:rsidR="00734A00" w:rsidRPr="00F21E7B" w:rsidRDefault="00734A00" w:rsidP="009A7B71">
      <w:pPr>
        <w:spacing w:line="360" w:lineRule="auto"/>
        <w:rPr>
          <w:rFonts w:ascii="Arial" w:hAnsi="Arial" w:cs="Arial"/>
        </w:rPr>
      </w:pPr>
      <w:r w:rsidRPr="00F21E7B">
        <w:rPr>
          <w:rFonts w:ascii="Arial" w:hAnsi="Arial" w:cs="Arial"/>
        </w:rPr>
        <w:t xml:space="preserve">Bohlmeijer, E., Westerhof, G. and Webster, J. (2011) ‘Reminiscence and mental health: A review of recent progress in theory, research and interventions’, </w:t>
      </w:r>
      <w:r w:rsidRPr="00F21E7B">
        <w:rPr>
          <w:rFonts w:ascii="Arial" w:hAnsi="Arial" w:cs="Arial"/>
          <w:i/>
          <w:iCs/>
        </w:rPr>
        <w:t>Ageing &amp; Society</w:t>
      </w:r>
      <w:r w:rsidRPr="00F21E7B">
        <w:rPr>
          <w:rFonts w:ascii="Arial" w:hAnsi="Arial" w:cs="Arial"/>
        </w:rPr>
        <w:t>, 30(4), pp. 697–721.</w:t>
      </w:r>
      <w:r w:rsidR="009D728C">
        <w:rPr>
          <w:rFonts w:ascii="Arial" w:hAnsi="Arial" w:cs="Arial"/>
        </w:rPr>
        <w:t xml:space="preserve"> </w:t>
      </w:r>
    </w:p>
    <w:p w14:paraId="77BA85DC" w14:textId="77777777" w:rsidR="00734A00" w:rsidRDefault="00734A00" w:rsidP="009A7B71">
      <w:pPr>
        <w:spacing w:line="360" w:lineRule="auto"/>
        <w:rPr>
          <w:rFonts w:ascii="Arial" w:hAnsi="Arial" w:cs="Arial"/>
        </w:rPr>
      </w:pPr>
    </w:p>
    <w:p w14:paraId="1C8FD9AA" w14:textId="6A952BB4" w:rsidR="00734A00" w:rsidRPr="00F21E7B" w:rsidRDefault="00734A00" w:rsidP="009A7B71">
      <w:pPr>
        <w:spacing w:line="360" w:lineRule="auto"/>
        <w:rPr>
          <w:rFonts w:ascii="Arial" w:hAnsi="Arial" w:cs="Arial"/>
        </w:rPr>
      </w:pPr>
      <w:r w:rsidRPr="00F21E7B">
        <w:rPr>
          <w:rFonts w:ascii="Arial" w:hAnsi="Arial" w:cs="Arial"/>
        </w:rPr>
        <w:t xml:space="preserve">Erikson, E.H. (1950) </w:t>
      </w:r>
      <w:r w:rsidRPr="00F21E7B">
        <w:rPr>
          <w:rFonts w:ascii="Arial" w:hAnsi="Arial" w:cs="Arial"/>
          <w:i/>
          <w:iCs/>
        </w:rPr>
        <w:t>Childhood and Society</w:t>
      </w:r>
      <w:r w:rsidRPr="00F21E7B">
        <w:rPr>
          <w:rFonts w:ascii="Arial" w:hAnsi="Arial" w:cs="Arial"/>
        </w:rPr>
        <w:t>. New York: Norton.</w:t>
      </w:r>
    </w:p>
    <w:p w14:paraId="3AA32B8D" w14:textId="77777777" w:rsidR="00734A00" w:rsidRDefault="00734A00" w:rsidP="009A7B71">
      <w:pPr>
        <w:spacing w:line="360" w:lineRule="auto"/>
        <w:rPr>
          <w:rFonts w:ascii="Arial" w:hAnsi="Arial" w:cs="Arial"/>
        </w:rPr>
      </w:pPr>
    </w:p>
    <w:p w14:paraId="559E1BB5" w14:textId="49AE3139" w:rsidR="00734A00" w:rsidRPr="00F21E7B" w:rsidRDefault="00734A00" w:rsidP="009A7B71">
      <w:pPr>
        <w:spacing w:line="360" w:lineRule="auto"/>
        <w:rPr>
          <w:rFonts w:ascii="Arial" w:hAnsi="Arial" w:cs="Arial"/>
        </w:rPr>
      </w:pPr>
      <w:r w:rsidRPr="00F21E7B">
        <w:rPr>
          <w:rFonts w:ascii="Arial" w:hAnsi="Arial" w:cs="Arial"/>
        </w:rPr>
        <w:t xml:space="preserve">Erikson, E.H. (1982) </w:t>
      </w:r>
      <w:r w:rsidRPr="00F21E7B">
        <w:rPr>
          <w:rFonts w:ascii="Arial" w:hAnsi="Arial" w:cs="Arial"/>
          <w:i/>
          <w:iCs/>
        </w:rPr>
        <w:t>The Life Cycle Completed</w:t>
      </w:r>
      <w:r w:rsidRPr="00F21E7B">
        <w:rPr>
          <w:rFonts w:ascii="Arial" w:hAnsi="Arial" w:cs="Arial"/>
        </w:rPr>
        <w:t>. New York: Norton.</w:t>
      </w:r>
    </w:p>
    <w:p w14:paraId="18FDB88C" w14:textId="77777777" w:rsidR="00734A00" w:rsidRDefault="00734A00" w:rsidP="009A7B71">
      <w:pPr>
        <w:spacing w:line="360" w:lineRule="auto"/>
        <w:rPr>
          <w:rFonts w:ascii="Arial" w:hAnsi="Arial" w:cs="Arial"/>
        </w:rPr>
      </w:pPr>
    </w:p>
    <w:p w14:paraId="2D99DD80" w14:textId="5544928F" w:rsidR="00734A00" w:rsidRPr="00F11938" w:rsidRDefault="00734A00" w:rsidP="009A7B71">
      <w:pPr>
        <w:spacing w:line="360" w:lineRule="auto"/>
        <w:rPr>
          <w:rFonts w:ascii="Arial" w:hAnsi="Arial" w:cs="Arial"/>
        </w:rPr>
      </w:pPr>
      <w:r w:rsidRPr="00F11938">
        <w:rPr>
          <w:rFonts w:ascii="Arial" w:hAnsi="Arial" w:cs="Arial"/>
        </w:rPr>
        <w:t>Ho, Y.</w:t>
      </w:r>
      <w:r w:rsidRPr="00F11938">
        <w:rPr>
          <w:rFonts w:ascii="Arial" w:hAnsi="Arial" w:cs="Arial"/>
        </w:rPr>
        <w:noBreakHyphen/>
        <w:t>F., Tseng, M.</w:t>
      </w:r>
      <w:r w:rsidRPr="00F11938">
        <w:rPr>
          <w:rFonts w:ascii="Arial" w:hAnsi="Arial" w:cs="Arial"/>
        </w:rPr>
        <w:noBreakHyphen/>
        <w:t xml:space="preserve">C. </w:t>
      </w:r>
      <w:r>
        <w:rPr>
          <w:rFonts w:ascii="Arial" w:hAnsi="Arial" w:cs="Arial"/>
        </w:rPr>
        <w:t>and</w:t>
      </w:r>
      <w:r w:rsidRPr="00F11938">
        <w:rPr>
          <w:rFonts w:ascii="Arial" w:hAnsi="Arial" w:cs="Arial"/>
        </w:rPr>
        <w:t xml:space="preserve"> Hsu, P.</w:t>
      </w:r>
      <w:r w:rsidRPr="00F11938">
        <w:rPr>
          <w:rFonts w:ascii="Arial" w:hAnsi="Arial" w:cs="Arial"/>
        </w:rPr>
        <w:noBreakHyphen/>
        <w:t xml:space="preserve">T. (2025) ‘The impact of life story groups on enhancing attitudes toward aging in older adults: a mixed methods study’, </w:t>
      </w:r>
      <w:r w:rsidRPr="00F11938">
        <w:rPr>
          <w:rFonts w:ascii="Arial" w:hAnsi="Arial" w:cs="Arial"/>
          <w:i/>
          <w:iCs/>
        </w:rPr>
        <w:t>BMC Geriatrics</w:t>
      </w:r>
      <w:r w:rsidRPr="00F11938">
        <w:rPr>
          <w:rFonts w:ascii="Arial" w:hAnsi="Arial" w:cs="Arial"/>
        </w:rPr>
        <w:t xml:space="preserve">, 25, 389. </w:t>
      </w:r>
    </w:p>
    <w:p w14:paraId="111F3DA6" w14:textId="77777777" w:rsidR="00734A00" w:rsidRDefault="00734A00" w:rsidP="009A7B71">
      <w:pPr>
        <w:spacing w:line="360" w:lineRule="auto"/>
        <w:rPr>
          <w:rFonts w:ascii="Arial" w:hAnsi="Arial" w:cs="Arial"/>
        </w:rPr>
      </w:pPr>
    </w:p>
    <w:p w14:paraId="02D33CD0" w14:textId="42B7680B" w:rsidR="00734A00" w:rsidRPr="00F21E7B" w:rsidRDefault="00734A00" w:rsidP="009A7B71">
      <w:pPr>
        <w:spacing w:line="360" w:lineRule="auto"/>
        <w:rPr>
          <w:rFonts w:ascii="Arial" w:hAnsi="Arial" w:cs="Arial"/>
        </w:rPr>
      </w:pPr>
      <w:r w:rsidRPr="00F21E7B">
        <w:rPr>
          <w:rFonts w:ascii="Arial" w:hAnsi="Arial" w:cs="Arial"/>
        </w:rPr>
        <w:t xml:space="preserve">Subramaniam, P. and Woods, B. (2012) ‘The impact of individual reminiscence therapy for people with dementia’, </w:t>
      </w:r>
      <w:r w:rsidRPr="00F21E7B">
        <w:rPr>
          <w:rFonts w:ascii="Arial" w:hAnsi="Arial" w:cs="Arial"/>
          <w:i/>
          <w:iCs/>
        </w:rPr>
        <w:t>Expert Review of Neurotherapeutics</w:t>
      </w:r>
      <w:r w:rsidRPr="00F21E7B">
        <w:rPr>
          <w:rFonts w:ascii="Arial" w:hAnsi="Arial" w:cs="Arial"/>
        </w:rPr>
        <w:t>, 12(5), pp. 545–555.</w:t>
      </w:r>
    </w:p>
    <w:p w14:paraId="10AEB0C5" w14:textId="77777777" w:rsidR="00734A00" w:rsidRDefault="00734A00" w:rsidP="009A7B71">
      <w:pPr>
        <w:spacing w:line="360" w:lineRule="auto"/>
        <w:rPr>
          <w:rFonts w:ascii="Arial" w:hAnsi="Arial" w:cs="Arial"/>
        </w:rPr>
      </w:pPr>
    </w:p>
    <w:p w14:paraId="7CD0ABB6" w14:textId="768CC000" w:rsidR="00734A00" w:rsidRPr="00F21E7B" w:rsidRDefault="00734A00" w:rsidP="009A7B71">
      <w:pPr>
        <w:spacing w:line="360" w:lineRule="auto"/>
        <w:rPr>
          <w:rFonts w:ascii="Arial" w:hAnsi="Arial" w:cs="Arial"/>
        </w:rPr>
      </w:pPr>
      <w:r w:rsidRPr="00F21E7B">
        <w:rPr>
          <w:rFonts w:ascii="Arial" w:hAnsi="Arial" w:cs="Arial"/>
        </w:rPr>
        <w:t xml:space="preserve">Westerhof, G.J. and Bohlmeijer, E.T. (2014) ‘Celebrating fifty years of research and applications in reminiscence and life review’, </w:t>
      </w:r>
      <w:r w:rsidRPr="00F21E7B">
        <w:rPr>
          <w:rFonts w:ascii="Arial" w:hAnsi="Arial" w:cs="Arial"/>
          <w:i/>
          <w:iCs/>
        </w:rPr>
        <w:t>Journal of Aging Studies</w:t>
      </w:r>
      <w:r w:rsidRPr="00F21E7B">
        <w:rPr>
          <w:rFonts w:ascii="Arial" w:hAnsi="Arial" w:cs="Arial"/>
        </w:rPr>
        <w:t>, 29, pp. 107–114.</w:t>
      </w:r>
    </w:p>
    <w:p w14:paraId="21158419" w14:textId="77777777" w:rsidR="00734A00" w:rsidRDefault="00734A00" w:rsidP="009A7B71">
      <w:pPr>
        <w:spacing w:line="360" w:lineRule="auto"/>
        <w:rPr>
          <w:rFonts w:ascii="Arial" w:hAnsi="Arial" w:cs="Arial"/>
        </w:rPr>
      </w:pPr>
    </w:p>
    <w:p w14:paraId="6C584F24" w14:textId="18C03748" w:rsidR="00734A00" w:rsidRPr="00F21E7B" w:rsidRDefault="00734A00" w:rsidP="009A7B71">
      <w:pPr>
        <w:spacing w:line="360" w:lineRule="auto"/>
        <w:rPr>
          <w:rFonts w:ascii="Arial" w:hAnsi="Arial" w:cs="Arial"/>
        </w:rPr>
      </w:pPr>
      <w:r w:rsidRPr="00F21E7B">
        <w:rPr>
          <w:rFonts w:ascii="Arial" w:hAnsi="Arial" w:cs="Arial"/>
        </w:rPr>
        <w:lastRenderedPageBreak/>
        <w:t xml:space="preserve">Westerhof, G.J., Bohlmeijer, E.T. and McAdams, D.P. (2017) ‘The relation of ego integrity and despair to personality traits and mental health’, </w:t>
      </w:r>
      <w:r w:rsidRPr="00F21E7B">
        <w:rPr>
          <w:rFonts w:ascii="Arial" w:hAnsi="Arial" w:cs="Arial"/>
          <w:i/>
          <w:iCs/>
        </w:rPr>
        <w:t>Journal of Gerontology: Psychological Sciences</w:t>
      </w:r>
      <w:r w:rsidRPr="00F21E7B">
        <w:rPr>
          <w:rFonts w:ascii="Arial" w:hAnsi="Arial" w:cs="Arial"/>
        </w:rPr>
        <w:t>, 72(3), pp. 400–407.</w:t>
      </w:r>
    </w:p>
    <w:p w14:paraId="3CB32757" w14:textId="77777777" w:rsidR="00734A00" w:rsidRPr="00B56762" w:rsidRDefault="00734A00" w:rsidP="009A7B71">
      <w:pPr>
        <w:spacing w:line="360" w:lineRule="auto"/>
        <w:rPr>
          <w:rFonts w:ascii="Arial" w:hAnsi="Arial" w:cs="Arial"/>
        </w:rPr>
      </w:pPr>
    </w:p>
    <w:p w14:paraId="12E109BF" w14:textId="2022019B" w:rsidR="00734A00" w:rsidRDefault="002666C2" w:rsidP="009A7B71">
      <w:pPr>
        <w:spacing w:line="360" w:lineRule="auto"/>
        <w:rPr>
          <w:rFonts w:ascii="Arial" w:hAnsi="Arial" w:cs="Arial"/>
        </w:rPr>
      </w:pPr>
      <w:r w:rsidRPr="002666C2">
        <w:rPr>
          <w:rFonts w:ascii="Arial" w:hAnsi="Arial" w:cs="Arial"/>
        </w:rPr>
        <w:t xml:space="preserve">Yang, H., Zhong, Q., Han, B., Pu, Y. and He, R. (2025) ‘Effects of reminiscence therapy for loneliness in older adults: a systematic review and meta-analysis’, </w:t>
      </w:r>
      <w:r w:rsidRPr="002666C2">
        <w:rPr>
          <w:rFonts w:ascii="Arial" w:hAnsi="Arial" w:cs="Arial"/>
          <w:i/>
          <w:iCs/>
        </w:rPr>
        <w:t>Age and Ageing</w:t>
      </w:r>
      <w:r w:rsidRPr="002666C2">
        <w:rPr>
          <w:rFonts w:ascii="Arial" w:hAnsi="Arial" w:cs="Arial"/>
        </w:rPr>
        <w:t>, afaf136.</w:t>
      </w:r>
    </w:p>
    <w:p w14:paraId="55885DDD" w14:textId="77777777" w:rsidR="005E4AF3" w:rsidRDefault="005E4AF3" w:rsidP="009A7B71">
      <w:pPr>
        <w:spacing w:line="360" w:lineRule="auto"/>
        <w:rPr>
          <w:rFonts w:ascii="Arial" w:hAnsi="Arial" w:cs="Arial"/>
        </w:rPr>
      </w:pPr>
    </w:p>
    <w:p w14:paraId="5B29035C" w14:textId="77777777" w:rsidR="005E4AF3" w:rsidRPr="005E4AF3" w:rsidRDefault="005E4AF3" w:rsidP="005E4AF3">
      <w:pPr>
        <w:spacing w:line="360" w:lineRule="auto"/>
        <w:rPr>
          <w:rFonts w:ascii="Arial" w:hAnsi="Arial" w:cs="Arial"/>
        </w:rPr>
      </w:pPr>
      <w:r w:rsidRPr="005E4AF3">
        <w:rPr>
          <w:rFonts w:ascii="Arial" w:hAnsi="Arial" w:cs="Arial"/>
        </w:rPr>
        <w:t xml:space="preserve">Bohlmeijer, E., Roemer, M., Cuijpers, P. and Smit, F. (2007) ‘The effects of reminiscence on psychological well-being in older adults’, </w:t>
      </w:r>
      <w:r w:rsidRPr="005E4AF3">
        <w:rPr>
          <w:rFonts w:ascii="Arial" w:hAnsi="Arial" w:cs="Arial"/>
          <w:i/>
          <w:iCs/>
        </w:rPr>
        <w:t>Clinical Psychology Review</w:t>
      </w:r>
      <w:r w:rsidRPr="005E4AF3">
        <w:rPr>
          <w:rFonts w:ascii="Arial" w:hAnsi="Arial" w:cs="Arial"/>
        </w:rPr>
        <w:t>, 27(3), pp. 291–303.</w:t>
      </w:r>
    </w:p>
    <w:p w14:paraId="4F72C86C" w14:textId="0ECCCC47" w:rsidR="005E4AF3" w:rsidRPr="005E4AF3" w:rsidRDefault="005E4AF3" w:rsidP="005E4AF3">
      <w:pPr>
        <w:spacing w:line="360" w:lineRule="auto"/>
        <w:rPr>
          <w:rFonts w:ascii="Arial" w:hAnsi="Arial" w:cs="Arial"/>
        </w:rPr>
      </w:pPr>
    </w:p>
    <w:p w14:paraId="1B656FD1" w14:textId="77777777" w:rsidR="005E4AF3" w:rsidRPr="005E4AF3" w:rsidRDefault="005E4AF3" w:rsidP="005E4AF3">
      <w:pPr>
        <w:spacing w:line="360" w:lineRule="auto"/>
        <w:rPr>
          <w:rFonts w:ascii="Arial" w:hAnsi="Arial" w:cs="Arial"/>
        </w:rPr>
      </w:pPr>
      <w:r w:rsidRPr="005E4AF3">
        <w:rPr>
          <w:rFonts w:ascii="Arial" w:hAnsi="Arial" w:cs="Arial"/>
        </w:rPr>
        <w:t xml:space="preserve">Brown, K.W., Ryan, R.M. and Creswell, J.D. (2007) ‘Mindfulness: Theoretical foundations and evidence for its salutary effects’, </w:t>
      </w:r>
      <w:r w:rsidRPr="005E4AF3">
        <w:rPr>
          <w:rFonts w:ascii="Arial" w:hAnsi="Arial" w:cs="Arial"/>
          <w:i/>
          <w:iCs/>
        </w:rPr>
        <w:t>Psychological Inquiry</w:t>
      </w:r>
      <w:r w:rsidRPr="005E4AF3">
        <w:rPr>
          <w:rFonts w:ascii="Arial" w:hAnsi="Arial" w:cs="Arial"/>
        </w:rPr>
        <w:t>, 18(4), pp. 211–237.</w:t>
      </w:r>
    </w:p>
    <w:p w14:paraId="1D7F6D3C" w14:textId="61C56D93" w:rsidR="005E4AF3" w:rsidRPr="005E4AF3" w:rsidRDefault="005E4AF3" w:rsidP="005E4AF3">
      <w:pPr>
        <w:spacing w:line="360" w:lineRule="auto"/>
        <w:rPr>
          <w:rFonts w:ascii="Arial" w:hAnsi="Arial" w:cs="Arial"/>
        </w:rPr>
      </w:pPr>
    </w:p>
    <w:p w14:paraId="3D1E3A80" w14:textId="77777777" w:rsidR="005E4AF3" w:rsidRPr="005E4AF3" w:rsidRDefault="005E4AF3" w:rsidP="005E4AF3">
      <w:pPr>
        <w:spacing w:line="360" w:lineRule="auto"/>
        <w:rPr>
          <w:rFonts w:ascii="Arial" w:hAnsi="Arial" w:cs="Arial"/>
        </w:rPr>
      </w:pPr>
      <w:r w:rsidRPr="005E4AF3">
        <w:rPr>
          <w:rFonts w:ascii="Arial" w:hAnsi="Arial" w:cs="Arial"/>
        </w:rPr>
        <w:t xml:space="preserve">Colcombe, S. and Kramer, A.F. (2003) ‘Fitness effects on the cognitive function of older adults’, </w:t>
      </w:r>
      <w:r w:rsidRPr="005E4AF3">
        <w:rPr>
          <w:rFonts w:ascii="Arial" w:hAnsi="Arial" w:cs="Arial"/>
          <w:i/>
          <w:iCs/>
        </w:rPr>
        <w:t>Psychological Science</w:t>
      </w:r>
      <w:r w:rsidRPr="005E4AF3">
        <w:rPr>
          <w:rFonts w:ascii="Arial" w:hAnsi="Arial" w:cs="Arial"/>
        </w:rPr>
        <w:t>, 14(2), pp. 125–130.</w:t>
      </w:r>
    </w:p>
    <w:p w14:paraId="4BB7043C" w14:textId="6E097991" w:rsidR="005E4AF3" w:rsidRPr="005E4AF3" w:rsidRDefault="005E4AF3" w:rsidP="005E4AF3">
      <w:pPr>
        <w:spacing w:line="360" w:lineRule="auto"/>
        <w:rPr>
          <w:rFonts w:ascii="Arial" w:hAnsi="Arial" w:cs="Arial"/>
        </w:rPr>
      </w:pPr>
    </w:p>
    <w:p w14:paraId="3DCF7070" w14:textId="77777777" w:rsidR="005E4AF3" w:rsidRPr="005E4AF3" w:rsidRDefault="005E4AF3" w:rsidP="005E4AF3">
      <w:pPr>
        <w:spacing w:line="360" w:lineRule="auto"/>
        <w:rPr>
          <w:rFonts w:ascii="Arial" w:hAnsi="Arial" w:cs="Arial"/>
        </w:rPr>
      </w:pPr>
      <w:r w:rsidRPr="005E4AF3">
        <w:rPr>
          <w:rFonts w:ascii="Arial" w:hAnsi="Arial" w:cs="Arial"/>
        </w:rPr>
        <w:t xml:space="preserve">Pedrotti, J.T. (2014) </w:t>
      </w:r>
      <w:r w:rsidRPr="005E4AF3">
        <w:rPr>
          <w:rFonts w:ascii="Arial" w:hAnsi="Arial" w:cs="Arial"/>
          <w:i/>
          <w:iCs/>
        </w:rPr>
        <w:t>Positive Psychology: Theory, Research and Applications</w:t>
      </w:r>
      <w:r w:rsidRPr="005E4AF3">
        <w:rPr>
          <w:rFonts w:ascii="Arial" w:hAnsi="Arial" w:cs="Arial"/>
        </w:rPr>
        <w:t>. London: Sage.</w:t>
      </w:r>
    </w:p>
    <w:p w14:paraId="0731A493" w14:textId="77777777" w:rsidR="005E4AF3" w:rsidRPr="00F11938" w:rsidRDefault="005E4AF3" w:rsidP="009A7B71">
      <w:pPr>
        <w:spacing w:line="360" w:lineRule="auto"/>
        <w:rPr>
          <w:rFonts w:ascii="Arial" w:hAnsi="Arial" w:cs="Arial"/>
        </w:rPr>
      </w:pPr>
    </w:p>
    <w:sectPr w:rsidR="005E4AF3" w:rsidRPr="00F1193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D9DAB" w14:textId="77777777" w:rsidR="00AB29C2" w:rsidRDefault="00AB29C2" w:rsidP="00DF6D3E">
      <w:pPr>
        <w:spacing w:after="0" w:line="240" w:lineRule="auto"/>
      </w:pPr>
      <w:r>
        <w:separator/>
      </w:r>
    </w:p>
  </w:endnote>
  <w:endnote w:type="continuationSeparator" w:id="0">
    <w:p w14:paraId="21585A0A" w14:textId="77777777" w:rsidR="00AB29C2" w:rsidRDefault="00AB29C2" w:rsidP="00DF6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417"/>
      <w:docPartObj>
        <w:docPartGallery w:val="Page Numbers (Bottom of Page)"/>
        <w:docPartUnique/>
      </w:docPartObj>
    </w:sdtPr>
    <w:sdtContent>
      <w:p w14:paraId="73F1D584" w14:textId="4F237401" w:rsidR="00DF6D3E" w:rsidRDefault="00DF6D3E">
        <w:pPr>
          <w:pStyle w:val="Footer"/>
          <w:jc w:val="center"/>
        </w:pPr>
        <w:r>
          <w:fldChar w:fldCharType="begin"/>
        </w:r>
        <w:r>
          <w:instrText>PAGE   \* MERGEFORMAT</w:instrText>
        </w:r>
        <w:r>
          <w:fldChar w:fldCharType="separate"/>
        </w:r>
        <w:r>
          <w:t>2</w:t>
        </w:r>
        <w:r>
          <w:fldChar w:fldCharType="end"/>
        </w:r>
      </w:p>
    </w:sdtContent>
  </w:sdt>
  <w:p w14:paraId="68C06057" w14:textId="77777777" w:rsidR="00DF6D3E" w:rsidRDefault="00DF6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84546" w14:textId="77777777" w:rsidR="00AB29C2" w:rsidRDefault="00AB29C2" w:rsidP="00DF6D3E">
      <w:pPr>
        <w:spacing w:after="0" w:line="240" w:lineRule="auto"/>
      </w:pPr>
      <w:r>
        <w:separator/>
      </w:r>
    </w:p>
  </w:footnote>
  <w:footnote w:type="continuationSeparator" w:id="0">
    <w:p w14:paraId="6B0D64C8" w14:textId="77777777" w:rsidR="00AB29C2" w:rsidRDefault="00AB29C2" w:rsidP="00DF6D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EFB"/>
    <w:rsid w:val="000302E8"/>
    <w:rsid w:val="000304EB"/>
    <w:rsid w:val="000A0AF9"/>
    <w:rsid w:val="000D5034"/>
    <w:rsid w:val="000D6311"/>
    <w:rsid w:val="00112ADF"/>
    <w:rsid w:val="001453F4"/>
    <w:rsid w:val="00190623"/>
    <w:rsid w:val="001C27E3"/>
    <w:rsid w:val="001D7E27"/>
    <w:rsid w:val="002118CA"/>
    <w:rsid w:val="00262FEF"/>
    <w:rsid w:val="002666C2"/>
    <w:rsid w:val="0039118D"/>
    <w:rsid w:val="003A0836"/>
    <w:rsid w:val="003B1897"/>
    <w:rsid w:val="00442534"/>
    <w:rsid w:val="00476A1D"/>
    <w:rsid w:val="00486BDA"/>
    <w:rsid w:val="004C4EC9"/>
    <w:rsid w:val="005306EF"/>
    <w:rsid w:val="005921A9"/>
    <w:rsid w:val="005B2704"/>
    <w:rsid w:val="005E4AF3"/>
    <w:rsid w:val="00621C9F"/>
    <w:rsid w:val="006922B6"/>
    <w:rsid w:val="00734A00"/>
    <w:rsid w:val="00751616"/>
    <w:rsid w:val="00753FDA"/>
    <w:rsid w:val="007D0692"/>
    <w:rsid w:val="007D371C"/>
    <w:rsid w:val="007D7176"/>
    <w:rsid w:val="007F5E4D"/>
    <w:rsid w:val="00814625"/>
    <w:rsid w:val="008A33A3"/>
    <w:rsid w:val="008C3091"/>
    <w:rsid w:val="008E412B"/>
    <w:rsid w:val="00934B40"/>
    <w:rsid w:val="009A7B71"/>
    <w:rsid w:val="009D728C"/>
    <w:rsid w:val="009F2777"/>
    <w:rsid w:val="00A05507"/>
    <w:rsid w:val="00A628C6"/>
    <w:rsid w:val="00AB29C2"/>
    <w:rsid w:val="00B132CF"/>
    <w:rsid w:val="00B56762"/>
    <w:rsid w:val="00B9320F"/>
    <w:rsid w:val="00BB1861"/>
    <w:rsid w:val="00BD10E7"/>
    <w:rsid w:val="00BD5462"/>
    <w:rsid w:val="00BE63F3"/>
    <w:rsid w:val="00C10DA4"/>
    <w:rsid w:val="00C2510A"/>
    <w:rsid w:val="00C52CAA"/>
    <w:rsid w:val="00C76CB4"/>
    <w:rsid w:val="00C9332A"/>
    <w:rsid w:val="00CE7F29"/>
    <w:rsid w:val="00D23288"/>
    <w:rsid w:val="00D24F8F"/>
    <w:rsid w:val="00D40BC8"/>
    <w:rsid w:val="00D47ACD"/>
    <w:rsid w:val="00D47EFB"/>
    <w:rsid w:val="00D83F8C"/>
    <w:rsid w:val="00DF6D3E"/>
    <w:rsid w:val="00E3182D"/>
    <w:rsid w:val="00E70503"/>
    <w:rsid w:val="00EC186A"/>
    <w:rsid w:val="00ED66D3"/>
    <w:rsid w:val="00F11938"/>
    <w:rsid w:val="00F21E7B"/>
    <w:rsid w:val="00F50EF6"/>
    <w:rsid w:val="00F6697D"/>
    <w:rsid w:val="00F95932"/>
    <w:rsid w:val="00F96B38"/>
    <w:rsid w:val="00FA2E78"/>
    <w:rsid w:val="00FB2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56412"/>
  <w15:chartTrackingRefBased/>
  <w15:docId w15:val="{CA776F07-A993-4776-AFD9-F0B60253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EFB"/>
    <w:rPr>
      <w:rFonts w:eastAsiaTheme="majorEastAsia" w:cstheme="majorBidi"/>
      <w:color w:val="272727" w:themeColor="text1" w:themeTint="D8"/>
    </w:rPr>
  </w:style>
  <w:style w:type="paragraph" w:styleId="Title">
    <w:name w:val="Title"/>
    <w:basedOn w:val="Normal"/>
    <w:next w:val="Normal"/>
    <w:link w:val="TitleChar"/>
    <w:uiPriority w:val="10"/>
    <w:qFormat/>
    <w:rsid w:val="00D47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EFB"/>
    <w:pPr>
      <w:spacing w:before="160"/>
      <w:jc w:val="center"/>
    </w:pPr>
    <w:rPr>
      <w:i/>
      <w:iCs/>
      <w:color w:val="404040" w:themeColor="text1" w:themeTint="BF"/>
    </w:rPr>
  </w:style>
  <w:style w:type="character" w:customStyle="1" w:styleId="QuoteChar">
    <w:name w:val="Quote Char"/>
    <w:basedOn w:val="DefaultParagraphFont"/>
    <w:link w:val="Quote"/>
    <w:uiPriority w:val="29"/>
    <w:rsid w:val="00D47EFB"/>
    <w:rPr>
      <w:i/>
      <w:iCs/>
      <w:color w:val="404040" w:themeColor="text1" w:themeTint="BF"/>
    </w:rPr>
  </w:style>
  <w:style w:type="paragraph" w:styleId="ListParagraph">
    <w:name w:val="List Paragraph"/>
    <w:basedOn w:val="Normal"/>
    <w:uiPriority w:val="34"/>
    <w:qFormat/>
    <w:rsid w:val="00D47EFB"/>
    <w:pPr>
      <w:ind w:left="720"/>
      <w:contextualSpacing/>
    </w:pPr>
  </w:style>
  <w:style w:type="character" w:styleId="IntenseEmphasis">
    <w:name w:val="Intense Emphasis"/>
    <w:basedOn w:val="DefaultParagraphFont"/>
    <w:uiPriority w:val="21"/>
    <w:qFormat/>
    <w:rsid w:val="00D47EFB"/>
    <w:rPr>
      <w:i/>
      <w:iCs/>
      <w:color w:val="0F4761" w:themeColor="accent1" w:themeShade="BF"/>
    </w:rPr>
  </w:style>
  <w:style w:type="paragraph" w:styleId="IntenseQuote">
    <w:name w:val="Intense Quote"/>
    <w:basedOn w:val="Normal"/>
    <w:next w:val="Normal"/>
    <w:link w:val="IntenseQuoteChar"/>
    <w:uiPriority w:val="30"/>
    <w:qFormat/>
    <w:rsid w:val="00D47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EFB"/>
    <w:rPr>
      <w:i/>
      <w:iCs/>
      <w:color w:val="0F4761" w:themeColor="accent1" w:themeShade="BF"/>
    </w:rPr>
  </w:style>
  <w:style w:type="character" w:styleId="IntenseReference">
    <w:name w:val="Intense Reference"/>
    <w:basedOn w:val="DefaultParagraphFont"/>
    <w:uiPriority w:val="32"/>
    <w:qFormat/>
    <w:rsid w:val="00D47EFB"/>
    <w:rPr>
      <w:b/>
      <w:bCs/>
      <w:smallCaps/>
      <w:color w:val="0F4761" w:themeColor="accent1" w:themeShade="BF"/>
      <w:spacing w:val="5"/>
    </w:rPr>
  </w:style>
  <w:style w:type="character" w:styleId="Hyperlink">
    <w:name w:val="Hyperlink"/>
    <w:basedOn w:val="DefaultParagraphFont"/>
    <w:uiPriority w:val="99"/>
    <w:unhideWhenUsed/>
    <w:rsid w:val="00D47EFB"/>
    <w:rPr>
      <w:color w:val="467886" w:themeColor="hyperlink"/>
      <w:u w:val="single"/>
    </w:rPr>
  </w:style>
  <w:style w:type="character" w:styleId="UnresolvedMention">
    <w:name w:val="Unresolved Mention"/>
    <w:basedOn w:val="DefaultParagraphFont"/>
    <w:uiPriority w:val="99"/>
    <w:semiHidden/>
    <w:unhideWhenUsed/>
    <w:rsid w:val="00D47EFB"/>
    <w:rPr>
      <w:color w:val="605E5C"/>
      <w:shd w:val="clear" w:color="auto" w:fill="E1DFDD"/>
    </w:rPr>
  </w:style>
  <w:style w:type="character" w:styleId="FollowedHyperlink">
    <w:name w:val="FollowedHyperlink"/>
    <w:basedOn w:val="DefaultParagraphFont"/>
    <w:uiPriority w:val="99"/>
    <w:semiHidden/>
    <w:unhideWhenUsed/>
    <w:rsid w:val="00F21E7B"/>
    <w:rPr>
      <w:color w:val="96607D" w:themeColor="followedHyperlink"/>
      <w:u w:val="single"/>
    </w:rPr>
  </w:style>
  <w:style w:type="paragraph" w:styleId="Header">
    <w:name w:val="header"/>
    <w:basedOn w:val="Normal"/>
    <w:link w:val="HeaderChar"/>
    <w:uiPriority w:val="99"/>
    <w:unhideWhenUsed/>
    <w:rsid w:val="00DF6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D3E"/>
  </w:style>
  <w:style w:type="paragraph" w:styleId="Footer">
    <w:name w:val="footer"/>
    <w:basedOn w:val="Normal"/>
    <w:link w:val="FooterChar"/>
    <w:uiPriority w:val="99"/>
    <w:unhideWhenUsed/>
    <w:rsid w:val="00DF6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geing/afaf136" TargetMode="External"/><Relationship Id="rId3" Type="http://schemas.openxmlformats.org/officeDocument/2006/relationships/webSettings" Target="webSettings.xml"/><Relationship Id="rId7" Type="http://schemas.openxmlformats.org/officeDocument/2006/relationships/hyperlink" Target="https://www.frontiersin.org/journals/aging/articles/10.3389/fragi.2023.118438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gerinurse.2024.10.066"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186/s12877-025-05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59</cp:revision>
  <dcterms:created xsi:type="dcterms:W3CDTF">2026-03-13T09:55:00Z</dcterms:created>
  <dcterms:modified xsi:type="dcterms:W3CDTF">2026-03-22T23:44:00Z</dcterms:modified>
</cp:coreProperties>
</file>